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2.xml" ContentType="application/vnd.openxmlformats-officedocument.drawingml.diagramData+xml"/>
  <Override PartName="/word/diagrams/data1.xml" ContentType="application/vnd.openxmlformats-officedocument.drawingml.diagramData+xml"/>
  <Override PartName="/word/header7.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diagrams/colors2.xml" ContentType="application/vnd.openxmlformats-officedocument.drawingml.diagramColors+xml"/>
  <Override PartName="/word/diagrams/quickStyle2.xml" ContentType="application/vnd.openxmlformats-officedocument.drawingml.diagramStyle+xml"/>
  <Override PartName="/word/diagrams/layout2.xml" ContentType="application/vnd.openxmlformats-officedocument.drawingml.diagramLayout+xml"/>
  <Override PartName="/word/diagrams/drawing1.xml" ContentType="application/vnd.ms-office.drawingml.diagramDrawing+xml"/>
  <Override PartName="/word/diagrams/colors1.xml" ContentType="application/vnd.openxmlformats-officedocument.drawingml.diagramColors+xml"/>
  <Override PartName="/word/diagrams/quickStyle1.xml" ContentType="application/vnd.openxmlformats-officedocument.drawingml.diagramStyle+xml"/>
  <Override PartName="/word/diagrams/layout1.xml" ContentType="application/vnd.openxmlformats-officedocument.drawingml.diagramLayout+xml"/>
  <Override PartName="/word/diagrams/drawing2.xml" ContentType="application/vnd.ms-office.drawingml.diagramDrawing+xml"/>
  <Override PartName="/word/settings.xml" ContentType="application/vnd.openxmlformats-officedocument.wordprocessingml.setting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1B212" w14:textId="0D591181" w:rsidR="00790556" w:rsidRPr="00986221" w:rsidRDefault="00274324" w:rsidP="009F01DA">
      <w:pPr>
        <w:rPr>
          <w:noProof/>
          <w:lang w:val="en-US"/>
        </w:rPr>
      </w:pPr>
      <w:bookmarkStart w:id="0" w:name="_Toc387322623"/>
      <w:r w:rsidRPr="00986221">
        <w:rPr>
          <w:noProof/>
          <w:lang w:eastAsia="en-AU"/>
        </w:rPr>
        <w:drawing>
          <wp:inline distT="0" distB="0" distL="0" distR="0" wp14:anchorId="2D012BF9" wp14:editId="2100CC72">
            <wp:extent cx="899160" cy="685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9160" cy="685800"/>
                    </a:xfrm>
                    <a:prstGeom prst="rect">
                      <a:avLst/>
                    </a:prstGeom>
                    <a:noFill/>
                    <a:ln>
                      <a:noFill/>
                    </a:ln>
                  </pic:spPr>
                </pic:pic>
              </a:graphicData>
            </a:graphic>
          </wp:inline>
        </w:drawing>
      </w:r>
      <w:bookmarkEnd w:id="0"/>
    </w:p>
    <w:p w14:paraId="652D0A5D" w14:textId="095A158E" w:rsidR="00933704" w:rsidRPr="00986221" w:rsidRDefault="00933704" w:rsidP="00933704">
      <w:pPr>
        <w:pStyle w:val="DocName"/>
        <w:pBdr>
          <w:top w:val="single" w:sz="4" w:space="12" w:color="FF9900"/>
          <w:bottom w:val="single" w:sz="4" w:space="9" w:color="FF9900"/>
        </w:pBdr>
        <w:shd w:val="clear" w:color="auto" w:fill="FFFFCC"/>
        <w:spacing w:line="360" w:lineRule="auto"/>
        <w:ind w:firstLine="720"/>
        <w:rPr>
          <w:rFonts w:cs="Arial"/>
          <w:sz w:val="24"/>
          <w:lang w:eastAsia="en-AU"/>
        </w:rPr>
      </w:pPr>
      <w:bookmarkStart w:id="1" w:name="_GoBack"/>
      <w:r w:rsidRPr="00986221">
        <w:rPr>
          <w:rFonts w:cs="Arial"/>
          <w:sz w:val="24"/>
          <w:lang w:eastAsia="en-AU"/>
        </w:rPr>
        <w:t>Investment Design for</w:t>
      </w:r>
    </w:p>
    <w:p w14:paraId="0BF38268" w14:textId="763159D4" w:rsidR="00933704" w:rsidRPr="00986221" w:rsidRDefault="00E431A9" w:rsidP="00933704">
      <w:pPr>
        <w:pStyle w:val="DocName"/>
        <w:pBdr>
          <w:top w:val="single" w:sz="4" w:space="12" w:color="FF9900"/>
          <w:bottom w:val="single" w:sz="4" w:space="9" w:color="FF9900"/>
        </w:pBdr>
        <w:shd w:val="clear" w:color="auto" w:fill="FFFFCC"/>
        <w:spacing w:line="360" w:lineRule="auto"/>
        <w:ind w:firstLine="720"/>
        <w:rPr>
          <w:rFonts w:cs="Arial"/>
          <w:sz w:val="24"/>
          <w:lang w:eastAsia="en-AU"/>
        </w:rPr>
      </w:pPr>
      <w:r w:rsidRPr="00986221">
        <w:rPr>
          <w:rFonts w:cs="Arial"/>
          <w:sz w:val="24"/>
          <w:lang w:eastAsia="en-AU"/>
        </w:rPr>
        <w:t xml:space="preserve">Restructuring for </w:t>
      </w:r>
      <w:r w:rsidR="00BD38B1" w:rsidRPr="00986221">
        <w:rPr>
          <w:rFonts w:cs="Arial"/>
          <w:sz w:val="24"/>
          <w:lang w:eastAsia="en-AU"/>
        </w:rPr>
        <w:t>a more Competitive Vietnam</w:t>
      </w:r>
    </w:p>
    <w:bookmarkEnd w:id="1"/>
    <w:p w14:paraId="755C4C7F" w14:textId="77777777" w:rsidR="00933704" w:rsidRPr="00986221" w:rsidRDefault="00933704" w:rsidP="00933704">
      <w:pPr>
        <w:rPr>
          <w:rFonts w:cs="Arial"/>
        </w:rPr>
      </w:pPr>
    </w:p>
    <w:tbl>
      <w:tblPr>
        <w:tblpPr w:leftFromText="180" w:rightFromText="180" w:vertAnchor="text" w:horzAnchor="margin" w:tblpY="225"/>
        <w:tblW w:w="983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CellMar>
          <w:top w:w="28" w:type="dxa"/>
          <w:bottom w:w="28" w:type="dxa"/>
        </w:tblCellMar>
        <w:tblLook w:val="01E0" w:firstRow="1" w:lastRow="1" w:firstColumn="1" w:lastColumn="1" w:noHBand="0" w:noVBand="0"/>
      </w:tblPr>
      <w:tblGrid>
        <w:gridCol w:w="9838"/>
      </w:tblGrid>
      <w:tr w:rsidR="00933704" w:rsidRPr="00986221" w14:paraId="6A710A3D" w14:textId="77777777" w:rsidTr="00933704">
        <w:trPr>
          <w:cantSplit/>
          <w:trHeight w:val="360"/>
        </w:trPr>
        <w:tc>
          <w:tcPr>
            <w:tcW w:w="9838" w:type="dxa"/>
            <w:tcBorders>
              <w:top w:val="single" w:sz="4" w:space="0" w:color="808080"/>
              <w:left w:val="single" w:sz="4" w:space="0" w:color="808080"/>
              <w:bottom w:val="single" w:sz="4" w:space="0" w:color="808080"/>
              <w:right w:val="single" w:sz="4" w:space="0" w:color="808080"/>
            </w:tcBorders>
            <w:shd w:val="clear" w:color="auto" w:fill="FFFFCC"/>
          </w:tcPr>
          <w:p w14:paraId="05C179F9" w14:textId="41CBB974" w:rsidR="00933704" w:rsidRPr="00986221" w:rsidRDefault="00933704" w:rsidP="00B203AC">
            <w:pPr>
              <w:spacing w:before="60"/>
              <w:rPr>
                <w:rFonts w:cs="Arial"/>
                <w:b/>
                <w:sz w:val="22"/>
                <w:szCs w:val="22"/>
              </w:rPr>
            </w:pPr>
            <w:r w:rsidRPr="00986221">
              <w:rPr>
                <w:rFonts w:cs="Arial"/>
                <w:b/>
                <w:sz w:val="22"/>
                <w:szCs w:val="22"/>
              </w:rPr>
              <w:t xml:space="preserve">Start date: </w:t>
            </w:r>
            <w:r w:rsidR="00B203AC">
              <w:rPr>
                <w:rFonts w:cs="Arial"/>
                <w:b/>
                <w:sz w:val="22"/>
                <w:szCs w:val="22"/>
              </w:rPr>
              <w:t>5 May</w:t>
            </w:r>
            <w:r w:rsidRPr="00986221">
              <w:rPr>
                <w:rFonts w:cs="Arial"/>
                <w:b/>
                <w:sz w:val="22"/>
                <w:szCs w:val="22"/>
              </w:rPr>
              <w:t xml:space="preserve"> 2014</w:t>
            </w:r>
            <w:r w:rsidRPr="00986221">
              <w:rPr>
                <w:rFonts w:cs="Arial"/>
                <w:b/>
                <w:sz w:val="22"/>
                <w:szCs w:val="22"/>
              </w:rPr>
              <w:tab/>
            </w:r>
            <w:r w:rsidRPr="00986221">
              <w:rPr>
                <w:rFonts w:cs="Arial"/>
                <w:b/>
                <w:sz w:val="22"/>
                <w:szCs w:val="22"/>
              </w:rPr>
              <w:tab/>
              <w:t xml:space="preserve">End Date: </w:t>
            </w:r>
            <w:r w:rsidR="00B203AC">
              <w:rPr>
                <w:rFonts w:cs="Arial"/>
                <w:b/>
                <w:sz w:val="22"/>
                <w:szCs w:val="22"/>
              </w:rPr>
              <w:t xml:space="preserve">31 </w:t>
            </w:r>
            <w:r w:rsidR="00384E34" w:rsidRPr="00986221">
              <w:rPr>
                <w:rFonts w:cs="Arial"/>
                <w:b/>
                <w:sz w:val="22"/>
                <w:szCs w:val="22"/>
              </w:rPr>
              <w:t>December</w:t>
            </w:r>
            <w:r w:rsidRPr="00986221">
              <w:rPr>
                <w:rFonts w:cs="Arial"/>
                <w:b/>
                <w:sz w:val="22"/>
                <w:szCs w:val="22"/>
              </w:rPr>
              <w:t xml:space="preserve"> 2016</w:t>
            </w:r>
          </w:p>
        </w:tc>
      </w:tr>
      <w:tr w:rsidR="00933704" w:rsidRPr="00986221" w14:paraId="372B0045" w14:textId="77777777" w:rsidTr="00933704">
        <w:trPr>
          <w:cantSplit/>
          <w:trHeight w:val="360"/>
        </w:trPr>
        <w:tc>
          <w:tcPr>
            <w:tcW w:w="9838" w:type="dxa"/>
            <w:tcBorders>
              <w:top w:val="single" w:sz="4" w:space="0" w:color="808080"/>
              <w:left w:val="single" w:sz="4" w:space="0" w:color="808080"/>
              <w:bottom w:val="single" w:sz="4" w:space="0" w:color="808080"/>
              <w:right w:val="single" w:sz="4" w:space="0" w:color="808080"/>
            </w:tcBorders>
            <w:shd w:val="clear" w:color="auto" w:fill="FFFFCC"/>
          </w:tcPr>
          <w:p w14:paraId="0DA2BCA0" w14:textId="237022E1" w:rsidR="00933704" w:rsidRPr="00986221" w:rsidRDefault="00933704" w:rsidP="003F33AA">
            <w:pPr>
              <w:spacing w:before="60"/>
              <w:rPr>
                <w:rFonts w:cs="Arial"/>
                <w:b/>
                <w:sz w:val="22"/>
                <w:szCs w:val="22"/>
              </w:rPr>
            </w:pPr>
            <w:r w:rsidRPr="00986221">
              <w:rPr>
                <w:rFonts w:cs="Arial"/>
                <w:b/>
                <w:sz w:val="22"/>
                <w:szCs w:val="22"/>
              </w:rPr>
              <w:t xml:space="preserve">Proposed funding allocation: </w:t>
            </w:r>
            <w:r w:rsidR="00BD38B1" w:rsidRPr="00986221">
              <w:rPr>
                <w:rFonts w:cs="Arial"/>
                <w:b/>
                <w:sz w:val="22"/>
                <w:szCs w:val="22"/>
              </w:rPr>
              <w:t xml:space="preserve">         </w:t>
            </w:r>
            <w:r w:rsidRPr="00986221">
              <w:rPr>
                <w:rFonts w:cs="Arial"/>
                <w:b/>
                <w:sz w:val="22"/>
                <w:szCs w:val="22"/>
              </w:rPr>
              <w:t xml:space="preserve">AUD$ </w:t>
            </w:r>
            <w:r w:rsidR="003F33AA" w:rsidRPr="00986221">
              <w:rPr>
                <w:rFonts w:cs="Arial"/>
                <w:b/>
                <w:sz w:val="22"/>
                <w:szCs w:val="22"/>
              </w:rPr>
              <w:t>3</w:t>
            </w:r>
            <w:r w:rsidRPr="00986221">
              <w:rPr>
                <w:rFonts w:cs="Arial"/>
                <w:b/>
                <w:sz w:val="22"/>
                <w:szCs w:val="22"/>
              </w:rPr>
              <w:t>,</w:t>
            </w:r>
            <w:r w:rsidR="003F33AA" w:rsidRPr="00986221">
              <w:rPr>
                <w:rFonts w:cs="Arial"/>
                <w:b/>
                <w:sz w:val="22"/>
                <w:szCs w:val="22"/>
              </w:rPr>
              <w:t>100</w:t>
            </w:r>
            <w:r w:rsidR="00046D57" w:rsidRPr="00986221">
              <w:rPr>
                <w:rFonts w:cs="Arial"/>
                <w:b/>
                <w:sz w:val="22"/>
                <w:szCs w:val="22"/>
              </w:rPr>
              <w:t>,000</w:t>
            </w:r>
            <w:r w:rsidRPr="00986221">
              <w:rPr>
                <w:rFonts w:cs="Arial"/>
                <w:b/>
                <w:sz w:val="22"/>
                <w:szCs w:val="22"/>
              </w:rPr>
              <w:t xml:space="preserve"> </w:t>
            </w:r>
          </w:p>
        </w:tc>
      </w:tr>
    </w:tbl>
    <w:p w14:paraId="6BAE431E" w14:textId="77777777" w:rsidR="00933704" w:rsidRPr="00986221" w:rsidRDefault="00933704" w:rsidP="00933704">
      <w:pPr>
        <w:rPr>
          <w:rFonts w:cs="Arial"/>
          <w:lang w:eastAsia="en-AU"/>
        </w:rPr>
      </w:pPr>
    </w:p>
    <w:p w14:paraId="697DD1E3" w14:textId="77777777" w:rsidR="0046148B" w:rsidRPr="00986221" w:rsidRDefault="0046148B" w:rsidP="00933704">
      <w:pPr>
        <w:rPr>
          <w:rFonts w:cs="Arial"/>
          <w:lang w:eastAsia="en-AU"/>
        </w:rPr>
      </w:pPr>
    </w:p>
    <w:p w14:paraId="1AE9D2CD" w14:textId="77777777" w:rsidR="0046148B" w:rsidRPr="00986221" w:rsidRDefault="0046148B" w:rsidP="00933704">
      <w:pPr>
        <w:rPr>
          <w:rFonts w:cs="Arial"/>
          <w:lang w:eastAsia="en-AU"/>
        </w:rPr>
      </w:pPr>
    </w:p>
    <w:p w14:paraId="1748B414" w14:textId="77777777" w:rsidR="0046148B" w:rsidRPr="00986221" w:rsidRDefault="0046148B" w:rsidP="00933704">
      <w:pPr>
        <w:rPr>
          <w:rFonts w:cs="Arial"/>
          <w:lang w:eastAsia="en-AU"/>
        </w:rPr>
      </w:pPr>
    </w:p>
    <w:p w14:paraId="5B31202E" w14:textId="77777777" w:rsidR="0046148B" w:rsidRPr="00986221" w:rsidRDefault="0046148B" w:rsidP="00933704">
      <w:pPr>
        <w:rPr>
          <w:rFonts w:cs="Arial"/>
          <w:lang w:eastAsia="en-AU"/>
        </w:rPr>
      </w:pPr>
    </w:p>
    <w:p w14:paraId="06AC7867" w14:textId="77777777" w:rsidR="0046148B" w:rsidRPr="00986221" w:rsidRDefault="0046148B" w:rsidP="00933704">
      <w:pPr>
        <w:rPr>
          <w:rFonts w:cs="Arial"/>
          <w:lang w:eastAsia="en-AU"/>
        </w:rPr>
      </w:pPr>
    </w:p>
    <w:p w14:paraId="2193CC47" w14:textId="77777777" w:rsidR="0046148B" w:rsidRPr="00986221" w:rsidRDefault="0046148B" w:rsidP="00933704">
      <w:pPr>
        <w:rPr>
          <w:rFonts w:cs="Arial"/>
          <w:lang w:eastAsia="en-AU"/>
        </w:rPr>
      </w:pPr>
    </w:p>
    <w:p w14:paraId="3E1096DC" w14:textId="77777777" w:rsidR="0046148B" w:rsidRPr="00986221" w:rsidRDefault="0046148B" w:rsidP="00933704">
      <w:pPr>
        <w:rPr>
          <w:rFonts w:cs="Arial"/>
          <w:lang w:eastAsia="en-AU"/>
        </w:rPr>
      </w:pPr>
    </w:p>
    <w:p w14:paraId="1D785250" w14:textId="77777777" w:rsidR="0046148B" w:rsidRPr="00986221" w:rsidRDefault="0046148B" w:rsidP="00933704">
      <w:pPr>
        <w:rPr>
          <w:rFonts w:cs="Arial"/>
          <w:lang w:eastAsia="en-AU"/>
        </w:rPr>
      </w:pPr>
    </w:p>
    <w:p w14:paraId="2BFA791E" w14:textId="77777777" w:rsidR="0046148B" w:rsidRPr="00986221" w:rsidRDefault="0046148B" w:rsidP="00933704">
      <w:pPr>
        <w:rPr>
          <w:rFonts w:cs="Arial"/>
          <w:lang w:eastAsia="en-AU"/>
        </w:rPr>
      </w:pPr>
    </w:p>
    <w:p w14:paraId="43053443" w14:textId="77777777" w:rsidR="0046148B" w:rsidRPr="00986221" w:rsidRDefault="0046148B" w:rsidP="00933704">
      <w:pPr>
        <w:rPr>
          <w:rFonts w:cs="Arial"/>
          <w:lang w:eastAsia="en-AU"/>
        </w:rPr>
      </w:pPr>
    </w:p>
    <w:p w14:paraId="39B2C94E" w14:textId="77777777" w:rsidR="0046148B" w:rsidRPr="00986221" w:rsidRDefault="0046148B" w:rsidP="00933704">
      <w:pPr>
        <w:rPr>
          <w:rFonts w:cs="Arial"/>
          <w:lang w:eastAsia="en-AU"/>
        </w:rPr>
      </w:pPr>
    </w:p>
    <w:p w14:paraId="1AE17C72" w14:textId="77777777" w:rsidR="0046148B" w:rsidRPr="00986221" w:rsidRDefault="0046148B" w:rsidP="00933704">
      <w:pPr>
        <w:rPr>
          <w:rFonts w:cs="Arial"/>
          <w:lang w:eastAsia="en-AU"/>
        </w:rPr>
      </w:pPr>
    </w:p>
    <w:p w14:paraId="576FE35A" w14:textId="175114F5" w:rsidR="0046148B" w:rsidRPr="00986221" w:rsidRDefault="00274324" w:rsidP="00274324">
      <w:pPr>
        <w:jc w:val="center"/>
        <w:rPr>
          <w:rFonts w:cs="Arial"/>
          <w:lang w:eastAsia="en-AU"/>
        </w:rPr>
      </w:pPr>
      <w:r w:rsidRPr="00986221">
        <w:rPr>
          <w:rFonts w:cs="Arial"/>
          <w:lang w:eastAsia="en-AU"/>
        </w:rPr>
        <w:t>Department of Foreign Affairs and Trade, Australian Embassy in Hanoi</w:t>
      </w:r>
    </w:p>
    <w:p w14:paraId="7A71C789" w14:textId="77777777" w:rsidR="0046148B" w:rsidRPr="00986221" w:rsidRDefault="0046148B" w:rsidP="00933704">
      <w:pPr>
        <w:rPr>
          <w:rFonts w:cs="Arial"/>
          <w:lang w:eastAsia="en-AU"/>
        </w:rPr>
      </w:pPr>
    </w:p>
    <w:p w14:paraId="7A00DCC9" w14:textId="20540EA3" w:rsidR="0046148B" w:rsidRPr="00986221" w:rsidRDefault="00B203AC" w:rsidP="0046148B">
      <w:pPr>
        <w:jc w:val="center"/>
        <w:rPr>
          <w:rFonts w:cs="Arial"/>
          <w:lang w:eastAsia="en-AU"/>
        </w:rPr>
        <w:sectPr w:rsidR="0046148B" w:rsidRPr="00986221" w:rsidSect="00201D17">
          <w:headerReference w:type="even" r:id="rId10"/>
          <w:headerReference w:type="default" r:id="rId11"/>
          <w:footerReference w:type="even" r:id="rId12"/>
          <w:footerReference w:type="default" r:id="rId13"/>
          <w:headerReference w:type="first" r:id="rId14"/>
          <w:footerReference w:type="first" r:id="rId15"/>
          <w:pgSz w:w="11900" w:h="16840"/>
          <w:pgMar w:top="961" w:right="1134" w:bottom="1265" w:left="1134" w:header="568" w:footer="430" w:gutter="0"/>
          <w:cols w:space="708"/>
          <w:docGrid w:linePitch="360"/>
        </w:sectPr>
      </w:pPr>
      <w:r>
        <w:rPr>
          <w:rFonts w:cs="Arial"/>
          <w:lang w:eastAsia="en-AU"/>
        </w:rPr>
        <w:t>8 May</w:t>
      </w:r>
      <w:r w:rsidR="004D1BEE" w:rsidRPr="00986221">
        <w:rPr>
          <w:rFonts w:cs="Arial"/>
          <w:lang w:eastAsia="en-AU"/>
        </w:rPr>
        <w:t xml:space="preserve"> </w:t>
      </w:r>
      <w:r w:rsidR="00017D91" w:rsidRPr="00986221">
        <w:rPr>
          <w:rFonts w:cs="Arial"/>
          <w:lang w:eastAsia="en-AU"/>
        </w:rPr>
        <w:t>2014</w:t>
      </w:r>
    </w:p>
    <w:p w14:paraId="30DBDAE8" w14:textId="251DE645" w:rsidR="00933704" w:rsidRPr="00986221" w:rsidRDefault="00933704" w:rsidP="005F6E30">
      <w:pPr>
        <w:pStyle w:val="BodyText"/>
        <w:jc w:val="center"/>
        <w:rPr>
          <w:rFonts w:cs="Arial"/>
          <w:b/>
          <w:sz w:val="24"/>
        </w:rPr>
      </w:pPr>
      <w:r w:rsidRPr="00986221">
        <w:rPr>
          <w:rFonts w:cs="Arial"/>
          <w:b/>
          <w:sz w:val="24"/>
        </w:rPr>
        <w:lastRenderedPageBreak/>
        <w:t>Table of Contents</w:t>
      </w:r>
    </w:p>
    <w:p w14:paraId="7D69BE22" w14:textId="77777777" w:rsidR="00933704" w:rsidRPr="00986221" w:rsidRDefault="00933704" w:rsidP="00933704">
      <w:pPr>
        <w:rPr>
          <w:rFonts w:cs="Arial"/>
        </w:rPr>
      </w:pPr>
    </w:p>
    <w:p w14:paraId="23EBCC3E" w14:textId="77777777" w:rsidR="00F15C5A" w:rsidRDefault="00933704">
      <w:pPr>
        <w:pStyle w:val="TOC2"/>
        <w:tabs>
          <w:tab w:val="right" w:leader="dot" w:pos="8290"/>
        </w:tabs>
        <w:rPr>
          <w:rFonts w:asciiTheme="minorHAnsi" w:eastAsiaTheme="minorEastAsia" w:hAnsiTheme="minorHAnsi" w:cstheme="minorBidi"/>
          <w:noProof/>
          <w:sz w:val="22"/>
          <w:szCs w:val="22"/>
          <w:lang w:eastAsia="en-AU"/>
        </w:rPr>
      </w:pPr>
      <w:r w:rsidRPr="00986221">
        <w:rPr>
          <w:b/>
          <w:noProof/>
          <w:sz w:val="24"/>
        </w:rPr>
        <w:fldChar w:fldCharType="begin"/>
      </w:r>
      <w:r w:rsidRPr="00986221">
        <w:instrText xml:space="preserve"> TOC \o "1-3" </w:instrText>
      </w:r>
      <w:r w:rsidRPr="00986221">
        <w:rPr>
          <w:b/>
          <w:noProof/>
          <w:sz w:val="24"/>
        </w:rPr>
        <w:fldChar w:fldCharType="separate"/>
      </w:r>
      <w:bookmarkStart w:id="2" w:name="_Toc385316815"/>
      <w:r w:rsidR="00F15C5A" w:rsidRPr="00986221">
        <w:rPr>
          <w:noProof/>
          <w:lang w:eastAsia="en-AU"/>
        </w:rPr>
        <w:drawing>
          <wp:inline distT="0" distB="0" distL="0" distR="0" wp14:anchorId="2D012BF9" wp14:editId="2100CC72">
            <wp:extent cx="899160"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9160" cy="685800"/>
                    </a:xfrm>
                    <a:prstGeom prst="rect">
                      <a:avLst/>
                    </a:prstGeom>
                    <a:noFill/>
                    <a:ln>
                      <a:noFill/>
                    </a:ln>
                  </pic:spPr>
                </pic:pic>
              </a:graphicData>
            </a:graphic>
          </wp:inline>
        </w:drawing>
      </w:r>
      <w:bookmarkEnd w:id="2"/>
      <w:r w:rsidR="00F15C5A">
        <w:rPr>
          <w:noProof/>
        </w:rPr>
        <w:tab/>
      </w:r>
      <w:r w:rsidR="00F15C5A">
        <w:rPr>
          <w:noProof/>
        </w:rPr>
        <w:fldChar w:fldCharType="begin"/>
      </w:r>
      <w:r w:rsidR="00F15C5A">
        <w:rPr>
          <w:noProof/>
        </w:rPr>
        <w:instrText xml:space="preserve"> PAGEREF _Toc387322623 \h </w:instrText>
      </w:r>
      <w:r w:rsidR="00F15C5A">
        <w:rPr>
          <w:noProof/>
        </w:rPr>
      </w:r>
      <w:r w:rsidR="00F15C5A">
        <w:rPr>
          <w:noProof/>
        </w:rPr>
        <w:fldChar w:fldCharType="separate"/>
      </w:r>
      <w:r w:rsidR="00B33A1D">
        <w:rPr>
          <w:noProof/>
        </w:rPr>
        <w:t>1</w:t>
      </w:r>
      <w:r w:rsidR="00F15C5A">
        <w:rPr>
          <w:noProof/>
        </w:rPr>
        <w:fldChar w:fldCharType="end"/>
      </w:r>
    </w:p>
    <w:p w14:paraId="28073294" w14:textId="77777777" w:rsidR="00F15C5A" w:rsidRDefault="00F15C5A">
      <w:pPr>
        <w:pStyle w:val="TOC1"/>
        <w:rPr>
          <w:rFonts w:asciiTheme="minorHAnsi" w:eastAsiaTheme="minorEastAsia" w:hAnsiTheme="minorHAnsi" w:cstheme="minorBidi"/>
          <w:b w:val="0"/>
          <w:sz w:val="22"/>
          <w:szCs w:val="22"/>
          <w:lang w:eastAsia="en-AU"/>
        </w:rPr>
      </w:pPr>
      <w:r w:rsidRPr="00522858">
        <w:t>Acronyms</w:t>
      </w:r>
      <w:r>
        <w:tab/>
      </w:r>
      <w:r>
        <w:fldChar w:fldCharType="begin"/>
      </w:r>
      <w:r>
        <w:instrText xml:space="preserve"> PAGEREF _Toc387322624 \h </w:instrText>
      </w:r>
      <w:r>
        <w:fldChar w:fldCharType="separate"/>
      </w:r>
      <w:r w:rsidR="00B33A1D">
        <w:t>iv</w:t>
      </w:r>
      <w:r>
        <w:fldChar w:fldCharType="end"/>
      </w:r>
    </w:p>
    <w:p w14:paraId="372C1941" w14:textId="77777777" w:rsidR="00F15C5A" w:rsidRDefault="00F15C5A">
      <w:pPr>
        <w:pStyle w:val="TOC1"/>
        <w:rPr>
          <w:rFonts w:asciiTheme="minorHAnsi" w:eastAsiaTheme="minorEastAsia" w:hAnsiTheme="minorHAnsi" w:cstheme="minorBidi"/>
          <w:b w:val="0"/>
          <w:sz w:val="22"/>
          <w:szCs w:val="22"/>
          <w:lang w:eastAsia="en-AU"/>
        </w:rPr>
      </w:pPr>
      <w:r w:rsidRPr="00522858">
        <w:t>0.</w:t>
      </w:r>
      <w:r>
        <w:rPr>
          <w:rFonts w:asciiTheme="minorHAnsi" w:eastAsiaTheme="minorEastAsia" w:hAnsiTheme="minorHAnsi" w:cstheme="minorBidi"/>
          <w:b w:val="0"/>
          <w:sz w:val="22"/>
          <w:szCs w:val="22"/>
          <w:lang w:eastAsia="en-AU"/>
        </w:rPr>
        <w:tab/>
      </w:r>
      <w:r w:rsidRPr="00522858">
        <w:t>Executive Summary</w:t>
      </w:r>
      <w:r>
        <w:tab/>
      </w:r>
      <w:r>
        <w:fldChar w:fldCharType="begin"/>
      </w:r>
      <w:r>
        <w:instrText xml:space="preserve"> PAGEREF _Toc387322625 \h </w:instrText>
      </w:r>
      <w:r>
        <w:fldChar w:fldCharType="separate"/>
      </w:r>
      <w:r w:rsidR="00B33A1D">
        <w:t>vi</w:t>
      </w:r>
      <w:r>
        <w:fldChar w:fldCharType="end"/>
      </w:r>
    </w:p>
    <w:p w14:paraId="31D1A303" w14:textId="77777777" w:rsidR="00F15C5A" w:rsidRDefault="00F15C5A">
      <w:pPr>
        <w:pStyle w:val="TOC2"/>
        <w:tabs>
          <w:tab w:val="right" w:leader="dot" w:pos="8290"/>
        </w:tabs>
        <w:rPr>
          <w:rFonts w:asciiTheme="minorHAnsi" w:eastAsiaTheme="minorEastAsia" w:hAnsiTheme="minorHAnsi" w:cstheme="minorBidi"/>
          <w:noProof/>
          <w:sz w:val="22"/>
          <w:szCs w:val="22"/>
          <w:lang w:eastAsia="en-AU"/>
        </w:rPr>
      </w:pPr>
      <w:r>
        <w:rPr>
          <w:noProof/>
        </w:rPr>
        <w:t>Planned Development Outcomes</w:t>
      </w:r>
      <w:r>
        <w:rPr>
          <w:noProof/>
        </w:rPr>
        <w:tab/>
      </w:r>
      <w:r>
        <w:rPr>
          <w:noProof/>
        </w:rPr>
        <w:fldChar w:fldCharType="begin"/>
      </w:r>
      <w:r>
        <w:rPr>
          <w:noProof/>
        </w:rPr>
        <w:instrText xml:space="preserve"> PAGEREF _Toc387322626 \h </w:instrText>
      </w:r>
      <w:r>
        <w:rPr>
          <w:noProof/>
        </w:rPr>
      </w:r>
      <w:r>
        <w:rPr>
          <w:noProof/>
        </w:rPr>
        <w:fldChar w:fldCharType="separate"/>
      </w:r>
      <w:r w:rsidR="00B33A1D">
        <w:rPr>
          <w:noProof/>
        </w:rPr>
        <w:t>vi</w:t>
      </w:r>
      <w:r>
        <w:rPr>
          <w:noProof/>
        </w:rPr>
        <w:fldChar w:fldCharType="end"/>
      </w:r>
    </w:p>
    <w:p w14:paraId="5267801B" w14:textId="77777777" w:rsidR="00F15C5A" w:rsidRDefault="00F15C5A">
      <w:pPr>
        <w:pStyle w:val="TOC2"/>
        <w:tabs>
          <w:tab w:val="right" w:leader="dot" w:pos="8290"/>
        </w:tabs>
        <w:rPr>
          <w:rFonts w:asciiTheme="minorHAnsi" w:eastAsiaTheme="minorEastAsia" w:hAnsiTheme="minorHAnsi" w:cstheme="minorBidi"/>
          <w:noProof/>
          <w:sz w:val="22"/>
          <w:szCs w:val="22"/>
          <w:lang w:eastAsia="en-AU"/>
        </w:rPr>
      </w:pPr>
      <w:r>
        <w:rPr>
          <w:noProof/>
        </w:rPr>
        <w:t>Timeframe and Resource Commitments</w:t>
      </w:r>
      <w:r>
        <w:rPr>
          <w:noProof/>
        </w:rPr>
        <w:tab/>
      </w:r>
      <w:r>
        <w:rPr>
          <w:noProof/>
        </w:rPr>
        <w:fldChar w:fldCharType="begin"/>
      </w:r>
      <w:r>
        <w:rPr>
          <w:noProof/>
        </w:rPr>
        <w:instrText xml:space="preserve"> PAGEREF _Toc387322627 \h </w:instrText>
      </w:r>
      <w:r>
        <w:rPr>
          <w:noProof/>
        </w:rPr>
      </w:r>
      <w:r>
        <w:rPr>
          <w:noProof/>
        </w:rPr>
        <w:fldChar w:fldCharType="separate"/>
      </w:r>
      <w:r w:rsidR="00B33A1D">
        <w:rPr>
          <w:noProof/>
        </w:rPr>
        <w:t>vii</w:t>
      </w:r>
      <w:r>
        <w:rPr>
          <w:noProof/>
        </w:rPr>
        <w:fldChar w:fldCharType="end"/>
      </w:r>
    </w:p>
    <w:p w14:paraId="67AA79BA" w14:textId="77777777" w:rsidR="00F15C5A" w:rsidRDefault="00F15C5A">
      <w:pPr>
        <w:pStyle w:val="TOC2"/>
        <w:tabs>
          <w:tab w:val="right" w:leader="dot" w:pos="8290"/>
        </w:tabs>
        <w:rPr>
          <w:rFonts w:asciiTheme="minorHAnsi" w:eastAsiaTheme="minorEastAsia" w:hAnsiTheme="minorHAnsi" w:cstheme="minorBidi"/>
          <w:noProof/>
          <w:sz w:val="22"/>
          <w:szCs w:val="22"/>
          <w:lang w:eastAsia="en-AU"/>
        </w:rPr>
      </w:pPr>
      <w:r>
        <w:rPr>
          <w:noProof/>
        </w:rPr>
        <w:t>Delivery Approach and Key Partnerships</w:t>
      </w:r>
      <w:r>
        <w:rPr>
          <w:noProof/>
        </w:rPr>
        <w:tab/>
      </w:r>
      <w:r>
        <w:rPr>
          <w:noProof/>
        </w:rPr>
        <w:fldChar w:fldCharType="begin"/>
      </w:r>
      <w:r>
        <w:rPr>
          <w:noProof/>
        </w:rPr>
        <w:instrText xml:space="preserve"> PAGEREF _Toc387322628 \h </w:instrText>
      </w:r>
      <w:r>
        <w:rPr>
          <w:noProof/>
        </w:rPr>
      </w:r>
      <w:r>
        <w:rPr>
          <w:noProof/>
        </w:rPr>
        <w:fldChar w:fldCharType="separate"/>
      </w:r>
      <w:r w:rsidR="00B33A1D">
        <w:rPr>
          <w:noProof/>
        </w:rPr>
        <w:t>vii</w:t>
      </w:r>
      <w:r>
        <w:rPr>
          <w:noProof/>
        </w:rPr>
        <w:fldChar w:fldCharType="end"/>
      </w:r>
    </w:p>
    <w:p w14:paraId="120CC052" w14:textId="77777777" w:rsidR="00F15C5A" w:rsidRDefault="00F15C5A">
      <w:pPr>
        <w:pStyle w:val="TOC2"/>
        <w:tabs>
          <w:tab w:val="right" w:leader="dot" w:pos="8290"/>
        </w:tabs>
        <w:rPr>
          <w:rFonts w:asciiTheme="minorHAnsi" w:eastAsiaTheme="minorEastAsia" w:hAnsiTheme="minorHAnsi" w:cstheme="minorBidi"/>
          <w:noProof/>
          <w:sz w:val="22"/>
          <w:szCs w:val="22"/>
          <w:lang w:eastAsia="en-AU"/>
        </w:rPr>
      </w:pPr>
      <w:r>
        <w:rPr>
          <w:noProof/>
        </w:rPr>
        <w:t>Key Challenges and Solutions</w:t>
      </w:r>
      <w:r>
        <w:rPr>
          <w:noProof/>
        </w:rPr>
        <w:tab/>
      </w:r>
      <w:r>
        <w:rPr>
          <w:noProof/>
        </w:rPr>
        <w:fldChar w:fldCharType="begin"/>
      </w:r>
      <w:r>
        <w:rPr>
          <w:noProof/>
        </w:rPr>
        <w:instrText xml:space="preserve"> PAGEREF _Toc387322629 \h </w:instrText>
      </w:r>
      <w:r>
        <w:rPr>
          <w:noProof/>
        </w:rPr>
      </w:r>
      <w:r>
        <w:rPr>
          <w:noProof/>
        </w:rPr>
        <w:fldChar w:fldCharType="separate"/>
      </w:r>
      <w:r w:rsidR="00B33A1D">
        <w:rPr>
          <w:noProof/>
        </w:rPr>
        <w:t>viii</w:t>
      </w:r>
      <w:r>
        <w:rPr>
          <w:noProof/>
        </w:rPr>
        <w:fldChar w:fldCharType="end"/>
      </w:r>
    </w:p>
    <w:p w14:paraId="0E3AC4E9" w14:textId="77777777" w:rsidR="00F15C5A" w:rsidRDefault="00F15C5A">
      <w:pPr>
        <w:pStyle w:val="TOC1"/>
        <w:rPr>
          <w:rFonts w:asciiTheme="minorHAnsi" w:eastAsiaTheme="minorEastAsia" w:hAnsiTheme="minorHAnsi" w:cstheme="minorBidi"/>
          <w:b w:val="0"/>
          <w:sz w:val="22"/>
          <w:szCs w:val="22"/>
          <w:lang w:eastAsia="en-AU"/>
        </w:rPr>
      </w:pPr>
      <w:r w:rsidRPr="00522858">
        <w:t>1.</w:t>
      </w:r>
      <w:r>
        <w:rPr>
          <w:rFonts w:asciiTheme="minorHAnsi" w:eastAsiaTheme="minorEastAsia" w:hAnsiTheme="minorHAnsi" w:cstheme="minorBidi"/>
          <w:b w:val="0"/>
          <w:sz w:val="22"/>
          <w:szCs w:val="22"/>
          <w:lang w:eastAsia="en-AU"/>
        </w:rPr>
        <w:tab/>
      </w:r>
      <w:r w:rsidRPr="00522858">
        <w:t>Analysis and Strategic Context</w:t>
      </w:r>
      <w:r>
        <w:tab/>
      </w:r>
      <w:r>
        <w:fldChar w:fldCharType="begin"/>
      </w:r>
      <w:r>
        <w:instrText xml:space="preserve"> PAGEREF _Toc387322630 \h </w:instrText>
      </w:r>
      <w:r>
        <w:fldChar w:fldCharType="separate"/>
      </w:r>
      <w:r w:rsidR="00B33A1D">
        <w:t>1</w:t>
      </w:r>
      <w:r>
        <w:fldChar w:fldCharType="end"/>
      </w:r>
    </w:p>
    <w:p w14:paraId="7FA0DE2E" w14:textId="77777777" w:rsidR="00F15C5A" w:rsidRDefault="00F15C5A">
      <w:pPr>
        <w:pStyle w:val="TOC2"/>
        <w:tabs>
          <w:tab w:val="right" w:leader="dot" w:pos="8290"/>
        </w:tabs>
        <w:rPr>
          <w:rFonts w:asciiTheme="minorHAnsi" w:eastAsiaTheme="minorEastAsia" w:hAnsiTheme="minorHAnsi" w:cstheme="minorBidi"/>
          <w:noProof/>
          <w:sz w:val="22"/>
          <w:szCs w:val="22"/>
          <w:lang w:eastAsia="en-AU"/>
        </w:rPr>
      </w:pPr>
      <w:r>
        <w:rPr>
          <w:noProof/>
        </w:rPr>
        <w:t>Country/Regional and Sector Issues</w:t>
      </w:r>
      <w:r>
        <w:rPr>
          <w:noProof/>
        </w:rPr>
        <w:tab/>
      </w:r>
      <w:r>
        <w:rPr>
          <w:noProof/>
        </w:rPr>
        <w:fldChar w:fldCharType="begin"/>
      </w:r>
      <w:r>
        <w:rPr>
          <w:noProof/>
        </w:rPr>
        <w:instrText xml:space="preserve"> PAGEREF _Toc387322631 \h </w:instrText>
      </w:r>
      <w:r>
        <w:rPr>
          <w:noProof/>
        </w:rPr>
      </w:r>
      <w:r>
        <w:rPr>
          <w:noProof/>
        </w:rPr>
        <w:fldChar w:fldCharType="separate"/>
      </w:r>
      <w:r w:rsidR="00B33A1D">
        <w:rPr>
          <w:noProof/>
        </w:rPr>
        <w:t>1</w:t>
      </w:r>
      <w:r>
        <w:rPr>
          <w:noProof/>
        </w:rPr>
        <w:fldChar w:fldCharType="end"/>
      </w:r>
    </w:p>
    <w:p w14:paraId="59788C1C" w14:textId="77777777" w:rsidR="00F15C5A" w:rsidRDefault="00F15C5A">
      <w:pPr>
        <w:pStyle w:val="TOC2"/>
        <w:tabs>
          <w:tab w:val="right" w:leader="dot" w:pos="8290"/>
        </w:tabs>
        <w:rPr>
          <w:rFonts w:asciiTheme="minorHAnsi" w:eastAsiaTheme="minorEastAsia" w:hAnsiTheme="minorHAnsi" w:cstheme="minorBidi"/>
          <w:noProof/>
          <w:sz w:val="22"/>
          <w:szCs w:val="22"/>
          <w:lang w:eastAsia="en-AU"/>
        </w:rPr>
      </w:pPr>
      <w:r>
        <w:rPr>
          <w:noProof/>
        </w:rPr>
        <w:t>Development Problem/Issue Analysis</w:t>
      </w:r>
      <w:r>
        <w:rPr>
          <w:noProof/>
        </w:rPr>
        <w:tab/>
      </w:r>
      <w:r>
        <w:rPr>
          <w:noProof/>
        </w:rPr>
        <w:fldChar w:fldCharType="begin"/>
      </w:r>
      <w:r>
        <w:rPr>
          <w:noProof/>
        </w:rPr>
        <w:instrText xml:space="preserve"> PAGEREF _Toc387322632 \h </w:instrText>
      </w:r>
      <w:r>
        <w:rPr>
          <w:noProof/>
        </w:rPr>
      </w:r>
      <w:r>
        <w:rPr>
          <w:noProof/>
        </w:rPr>
        <w:fldChar w:fldCharType="separate"/>
      </w:r>
      <w:r w:rsidR="00B33A1D">
        <w:rPr>
          <w:noProof/>
        </w:rPr>
        <w:t>2</w:t>
      </w:r>
      <w:r>
        <w:rPr>
          <w:noProof/>
        </w:rPr>
        <w:fldChar w:fldCharType="end"/>
      </w:r>
    </w:p>
    <w:p w14:paraId="00A402B1" w14:textId="77777777" w:rsidR="00F15C5A" w:rsidRDefault="00F15C5A">
      <w:pPr>
        <w:pStyle w:val="TOC2"/>
        <w:tabs>
          <w:tab w:val="right" w:leader="dot" w:pos="8290"/>
        </w:tabs>
        <w:rPr>
          <w:rFonts w:asciiTheme="minorHAnsi" w:eastAsiaTheme="minorEastAsia" w:hAnsiTheme="minorHAnsi" w:cstheme="minorBidi"/>
          <w:noProof/>
          <w:sz w:val="22"/>
          <w:szCs w:val="22"/>
          <w:lang w:eastAsia="en-AU"/>
        </w:rPr>
      </w:pPr>
      <w:r>
        <w:rPr>
          <w:noProof/>
        </w:rPr>
        <w:t>Evidence-base/Lessons Learned</w:t>
      </w:r>
      <w:r>
        <w:rPr>
          <w:noProof/>
        </w:rPr>
        <w:tab/>
      </w:r>
      <w:r>
        <w:rPr>
          <w:noProof/>
        </w:rPr>
        <w:fldChar w:fldCharType="begin"/>
      </w:r>
      <w:r>
        <w:rPr>
          <w:noProof/>
        </w:rPr>
        <w:instrText xml:space="preserve"> PAGEREF _Toc387322633 \h </w:instrText>
      </w:r>
      <w:r>
        <w:rPr>
          <w:noProof/>
        </w:rPr>
      </w:r>
      <w:r>
        <w:rPr>
          <w:noProof/>
        </w:rPr>
        <w:fldChar w:fldCharType="separate"/>
      </w:r>
      <w:r w:rsidR="00B33A1D">
        <w:rPr>
          <w:noProof/>
        </w:rPr>
        <w:t>4</w:t>
      </w:r>
      <w:r>
        <w:rPr>
          <w:noProof/>
        </w:rPr>
        <w:fldChar w:fldCharType="end"/>
      </w:r>
    </w:p>
    <w:p w14:paraId="2F07DEB9" w14:textId="77777777" w:rsidR="00F15C5A" w:rsidRDefault="00F15C5A">
      <w:pPr>
        <w:pStyle w:val="TOC3"/>
        <w:tabs>
          <w:tab w:val="right" w:leader="dot" w:pos="8290"/>
        </w:tabs>
        <w:rPr>
          <w:rFonts w:asciiTheme="minorHAnsi" w:eastAsiaTheme="minorEastAsia" w:hAnsiTheme="minorHAnsi" w:cstheme="minorBidi"/>
          <w:noProof/>
          <w:sz w:val="22"/>
          <w:szCs w:val="22"/>
          <w:lang w:eastAsia="en-AU"/>
        </w:rPr>
      </w:pPr>
      <w:r>
        <w:rPr>
          <w:noProof/>
        </w:rPr>
        <w:t>Experiences Underpinning the Program Design</w:t>
      </w:r>
      <w:r>
        <w:rPr>
          <w:noProof/>
        </w:rPr>
        <w:tab/>
      </w:r>
      <w:r>
        <w:rPr>
          <w:noProof/>
        </w:rPr>
        <w:fldChar w:fldCharType="begin"/>
      </w:r>
      <w:r>
        <w:rPr>
          <w:noProof/>
        </w:rPr>
        <w:instrText xml:space="preserve"> PAGEREF _Toc387322634 \h </w:instrText>
      </w:r>
      <w:r>
        <w:rPr>
          <w:noProof/>
        </w:rPr>
      </w:r>
      <w:r>
        <w:rPr>
          <w:noProof/>
        </w:rPr>
        <w:fldChar w:fldCharType="separate"/>
      </w:r>
      <w:r w:rsidR="00B33A1D">
        <w:rPr>
          <w:noProof/>
        </w:rPr>
        <w:t>4</w:t>
      </w:r>
      <w:r>
        <w:rPr>
          <w:noProof/>
        </w:rPr>
        <w:fldChar w:fldCharType="end"/>
      </w:r>
    </w:p>
    <w:p w14:paraId="5BF82F4E" w14:textId="77777777" w:rsidR="00F15C5A" w:rsidRDefault="00F15C5A">
      <w:pPr>
        <w:pStyle w:val="TOC2"/>
        <w:tabs>
          <w:tab w:val="right" w:leader="dot" w:pos="8290"/>
        </w:tabs>
        <w:rPr>
          <w:rFonts w:asciiTheme="minorHAnsi" w:eastAsiaTheme="minorEastAsia" w:hAnsiTheme="minorHAnsi" w:cstheme="minorBidi"/>
          <w:noProof/>
          <w:sz w:val="22"/>
          <w:szCs w:val="22"/>
          <w:lang w:eastAsia="en-AU"/>
        </w:rPr>
      </w:pPr>
      <w:r>
        <w:rPr>
          <w:noProof/>
        </w:rPr>
        <w:t>Strategic Setting and Rationale for Australian Engagement</w:t>
      </w:r>
      <w:r>
        <w:rPr>
          <w:noProof/>
        </w:rPr>
        <w:tab/>
      </w:r>
      <w:r>
        <w:rPr>
          <w:noProof/>
        </w:rPr>
        <w:fldChar w:fldCharType="begin"/>
      </w:r>
      <w:r>
        <w:rPr>
          <w:noProof/>
        </w:rPr>
        <w:instrText xml:space="preserve"> PAGEREF _Toc387322635 \h </w:instrText>
      </w:r>
      <w:r>
        <w:rPr>
          <w:noProof/>
        </w:rPr>
      </w:r>
      <w:r>
        <w:rPr>
          <w:noProof/>
        </w:rPr>
        <w:fldChar w:fldCharType="separate"/>
      </w:r>
      <w:r w:rsidR="00B33A1D">
        <w:rPr>
          <w:noProof/>
        </w:rPr>
        <w:t>5</w:t>
      </w:r>
      <w:r>
        <w:rPr>
          <w:noProof/>
        </w:rPr>
        <w:fldChar w:fldCharType="end"/>
      </w:r>
    </w:p>
    <w:p w14:paraId="5B3BAF58" w14:textId="77777777" w:rsidR="00F15C5A" w:rsidRDefault="00F15C5A">
      <w:pPr>
        <w:pStyle w:val="TOC3"/>
        <w:tabs>
          <w:tab w:val="right" w:leader="dot" w:pos="8290"/>
        </w:tabs>
        <w:rPr>
          <w:rFonts w:asciiTheme="minorHAnsi" w:eastAsiaTheme="minorEastAsia" w:hAnsiTheme="minorHAnsi" w:cstheme="minorBidi"/>
          <w:noProof/>
          <w:sz w:val="22"/>
          <w:szCs w:val="22"/>
          <w:lang w:eastAsia="en-AU"/>
        </w:rPr>
      </w:pPr>
      <w:r>
        <w:rPr>
          <w:noProof/>
        </w:rPr>
        <w:t>Strategic Alignment and Options Considered</w:t>
      </w:r>
      <w:r>
        <w:rPr>
          <w:noProof/>
        </w:rPr>
        <w:tab/>
      </w:r>
      <w:r>
        <w:rPr>
          <w:noProof/>
        </w:rPr>
        <w:fldChar w:fldCharType="begin"/>
      </w:r>
      <w:r>
        <w:rPr>
          <w:noProof/>
        </w:rPr>
        <w:instrText xml:space="preserve"> PAGEREF _Toc387322636 \h </w:instrText>
      </w:r>
      <w:r>
        <w:rPr>
          <w:noProof/>
        </w:rPr>
      </w:r>
      <w:r>
        <w:rPr>
          <w:noProof/>
        </w:rPr>
        <w:fldChar w:fldCharType="separate"/>
      </w:r>
      <w:r w:rsidR="00B33A1D">
        <w:rPr>
          <w:noProof/>
        </w:rPr>
        <w:t>5</w:t>
      </w:r>
      <w:r>
        <w:rPr>
          <w:noProof/>
        </w:rPr>
        <w:fldChar w:fldCharType="end"/>
      </w:r>
    </w:p>
    <w:p w14:paraId="1BC2A99F" w14:textId="77777777" w:rsidR="00F15C5A" w:rsidRDefault="00F15C5A">
      <w:pPr>
        <w:pStyle w:val="TOC3"/>
        <w:tabs>
          <w:tab w:val="right" w:leader="dot" w:pos="8290"/>
        </w:tabs>
        <w:rPr>
          <w:rFonts w:asciiTheme="minorHAnsi" w:eastAsiaTheme="minorEastAsia" w:hAnsiTheme="minorHAnsi" w:cstheme="minorBidi"/>
          <w:noProof/>
          <w:sz w:val="22"/>
          <w:szCs w:val="22"/>
          <w:lang w:eastAsia="en-AU"/>
        </w:rPr>
      </w:pPr>
      <w:r>
        <w:rPr>
          <w:noProof/>
        </w:rPr>
        <w:t>What are other donors doing?</w:t>
      </w:r>
      <w:r>
        <w:rPr>
          <w:noProof/>
        </w:rPr>
        <w:tab/>
      </w:r>
      <w:r>
        <w:rPr>
          <w:noProof/>
        </w:rPr>
        <w:fldChar w:fldCharType="begin"/>
      </w:r>
      <w:r>
        <w:rPr>
          <w:noProof/>
        </w:rPr>
        <w:instrText xml:space="preserve"> PAGEREF _Toc387322637 \h </w:instrText>
      </w:r>
      <w:r>
        <w:rPr>
          <w:noProof/>
        </w:rPr>
      </w:r>
      <w:r>
        <w:rPr>
          <w:noProof/>
        </w:rPr>
        <w:fldChar w:fldCharType="separate"/>
      </w:r>
      <w:r w:rsidR="00B33A1D">
        <w:rPr>
          <w:noProof/>
        </w:rPr>
        <w:t>6</w:t>
      </w:r>
      <w:r>
        <w:rPr>
          <w:noProof/>
        </w:rPr>
        <w:fldChar w:fldCharType="end"/>
      </w:r>
    </w:p>
    <w:p w14:paraId="15F20CC2" w14:textId="77777777" w:rsidR="00F15C5A" w:rsidRDefault="00F15C5A">
      <w:pPr>
        <w:pStyle w:val="TOC3"/>
        <w:tabs>
          <w:tab w:val="right" w:leader="dot" w:pos="8290"/>
        </w:tabs>
        <w:rPr>
          <w:rFonts w:asciiTheme="minorHAnsi" w:eastAsiaTheme="minorEastAsia" w:hAnsiTheme="minorHAnsi" w:cstheme="minorBidi"/>
          <w:noProof/>
          <w:sz w:val="22"/>
          <w:szCs w:val="22"/>
          <w:lang w:eastAsia="en-AU"/>
        </w:rPr>
      </w:pPr>
      <w:r>
        <w:rPr>
          <w:noProof/>
        </w:rPr>
        <w:t>Context for Australian Support: What does Australia have to offer?</w:t>
      </w:r>
      <w:r>
        <w:rPr>
          <w:noProof/>
        </w:rPr>
        <w:tab/>
      </w:r>
      <w:r>
        <w:rPr>
          <w:noProof/>
        </w:rPr>
        <w:fldChar w:fldCharType="begin"/>
      </w:r>
      <w:r>
        <w:rPr>
          <w:noProof/>
        </w:rPr>
        <w:instrText xml:space="preserve"> PAGEREF _Toc387322638 \h </w:instrText>
      </w:r>
      <w:r>
        <w:rPr>
          <w:noProof/>
        </w:rPr>
      </w:r>
      <w:r>
        <w:rPr>
          <w:noProof/>
        </w:rPr>
        <w:fldChar w:fldCharType="separate"/>
      </w:r>
      <w:r w:rsidR="00B33A1D">
        <w:rPr>
          <w:noProof/>
        </w:rPr>
        <w:t>6</w:t>
      </w:r>
      <w:r>
        <w:rPr>
          <w:noProof/>
        </w:rPr>
        <w:fldChar w:fldCharType="end"/>
      </w:r>
    </w:p>
    <w:p w14:paraId="01E039B5" w14:textId="77777777" w:rsidR="00F15C5A" w:rsidRDefault="00F15C5A">
      <w:pPr>
        <w:pStyle w:val="TOC3"/>
        <w:tabs>
          <w:tab w:val="right" w:leader="dot" w:pos="8290"/>
        </w:tabs>
        <w:rPr>
          <w:rFonts w:asciiTheme="minorHAnsi" w:eastAsiaTheme="minorEastAsia" w:hAnsiTheme="minorHAnsi" w:cstheme="minorBidi"/>
          <w:noProof/>
          <w:sz w:val="22"/>
          <w:szCs w:val="22"/>
          <w:lang w:eastAsia="en-AU"/>
        </w:rPr>
      </w:pPr>
      <w:r>
        <w:rPr>
          <w:noProof/>
        </w:rPr>
        <w:t>What National Level Development Outcomes will the Program Support?</w:t>
      </w:r>
      <w:r>
        <w:rPr>
          <w:noProof/>
        </w:rPr>
        <w:tab/>
      </w:r>
      <w:r>
        <w:rPr>
          <w:noProof/>
        </w:rPr>
        <w:fldChar w:fldCharType="begin"/>
      </w:r>
      <w:r>
        <w:rPr>
          <w:noProof/>
        </w:rPr>
        <w:instrText xml:space="preserve"> PAGEREF _Toc387322639 \h </w:instrText>
      </w:r>
      <w:r>
        <w:rPr>
          <w:noProof/>
        </w:rPr>
      </w:r>
      <w:r>
        <w:rPr>
          <w:noProof/>
        </w:rPr>
        <w:fldChar w:fldCharType="separate"/>
      </w:r>
      <w:r w:rsidR="00B33A1D">
        <w:rPr>
          <w:noProof/>
        </w:rPr>
        <w:t>7</w:t>
      </w:r>
      <w:r>
        <w:rPr>
          <w:noProof/>
        </w:rPr>
        <w:fldChar w:fldCharType="end"/>
      </w:r>
    </w:p>
    <w:p w14:paraId="12129652" w14:textId="77777777" w:rsidR="00F15C5A" w:rsidRDefault="00F15C5A">
      <w:pPr>
        <w:pStyle w:val="TOC3"/>
        <w:tabs>
          <w:tab w:val="right" w:leader="dot" w:pos="8290"/>
        </w:tabs>
        <w:rPr>
          <w:rFonts w:asciiTheme="minorHAnsi" w:eastAsiaTheme="minorEastAsia" w:hAnsiTheme="minorHAnsi" w:cstheme="minorBidi"/>
          <w:noProof/>
          <w:sz w:val="22"/>
          <w:szCs w:val="22"/>
          <w:lang w:eastAsia="en-AU"/>
        </w:rPr>
      </w:pPr>
      <w:r>
        <w:rPr>
          <w:noProof/>
        </w:rPr>
        <w:t>Program Beneficiaries</w:t>
      </w:r>
      <w:r>
        <w:rPr>
          <w:noProof/>
        </w:rPr>
        <w:tab/>
      </w:r>
      <w:r>
        <w:rPr>
          <w:noProof/>
        </w:rPr>
        <w:fldChar w:fldCharType="begin"/>
      </w:r>
      <w:r>
        <w:rPr>
          <w:noProof/>
        </w:rPr>
        <w:instrText xml:space="preserve"> PAGEREF _Toc387322640 \h </w:instrText>
      </w:r>
      <w:r>
        <w:rPr>
          <w:noProof/>
        </w:rPr>
      </w:r>
      <w:r>
        <w:rPr>
          <w:noProof/>
        </w:rPr>
        <w:fldChar w:fldCharType="separate"/>
      </w:r>
      <w:r w:rsidR="00B33A1D">
        <w:rPr>
          <w:noProof/>
        </w:rPr>
        <w:t>7</w:t>
      </w:r>
      <w:r>
        <w:rPr>
          <w:noProof/>
        </w:rPr>
        <w:fldChar w:fldCharType="end"/>
      </w:r>
    </w:p>
    <w:p w14:paraId="6E1D78CB" w14:textId="77777777" w:rsidR="00F15C5A" w:rsidRDefault="00F15C5A">
      <w:pPr>
        <w:pStyle w:val="TOC1"/>
        <w:rPr>
          <w:rFonts w:asciiTheme="minorHAnsi" w:eastAsiaTheme="minorEastAsia" w:hAnsiTheme="minorHAnsi" w:cstheme="minorBidi"/>
          <w:b w:val="0"/>
          <w:sz w:val="22"/>
          <w:szCs w:val="22"/>
          <w:lang w:eastAsia="en-AU"/>
        </w:rPr>
      </w:pPr>
      <w:r w:rsidRPr="00522858">
        <w:t>2.</w:t>
      </w:r>
      <w:r>
        <w:rPr>
          <w:rFonts w:asciiTheme="minorHAnsi" w:eastAsiaTheme="minorEastAsia" w:hAnsiTheme="minorHAnsi" w:cstheme="minorBidi"/>
          <w:b w:val="0"/>
          <w:sz w:val="22"/>
          <w:szCs w:val="22"/>
          <w:lang w:eastAsia="en-AU"/>
        </w:rPr>
        <w:tab/>
      </w:r>
      <w:r w:rsidRPr="00522858">
        <w:t>Investment Description</w:t>
      </w:r>
      <w:r>
        <w:tab/>
      </w:r>
      <w:r>
        <w:fldChar w:fldCharType="begin"/>
      </w:r>
      <w:r>
        <w:instrText xml:space="preserve"> PAGEREF _Toc387322641 \h </w:instrText>
      </w:r>
      <w:r>
        <w:fldChar w:fldCharType="separate"/>
      </w:r>
      <w:r w:rsidR="00B33A1D">
        <w:t>9</w:t>
      </w:r>
      <w:r>
        <w:fldChar w:fldCharType="end"/>
      </w:r>
    </w:p>
    <w:p w14:paraId="7BAFECA4" w14:textId="77777777" w:rsidR="00F15C5A" w:rsidRDefault="00F15C5A">
      <w:pPr>
        <w:pStyle w:val="TOC2"/>
        <w:tabs>
          <w:tab w:val="right" w:leader="dot" w:pos="8290"/>
        </w:tabs>
        <w:rPr>
          <w:rFonts w:asciiTheme="minorHAnsi" w:eastAsiaTheme="minorEastAsia" w:hAnsiTheme="minorHAnsi" w:cstheme="minorBidi"/>
          <w:noProof/>
          <w:sz w:val="22"/>
          <w:szCs w:val="22"/>
          <w:lang w:eastAsia="en-AU"/>
        </w:rPr>
      </w:pPr>
      <w:r>
        <w:rPr>
          <w:noProof/>
        </w:rPr>
        <w:t>RCV Logic and Expected Outcomes</w:t>
      </w:r>
      <w:r>
        <w:rPr>
          <w:noProof/>
        </w:rPr>
        <w:tab/>
      </w:r>
      <w:r>
        <w:rPr>
          <w:noProof/>
        </w:rPr>
        <w:fldChar w:fldCharType="begin"/>
      </w:r>
      <w:r>
        <w:rPr>
          <w:noProof/>
        </w:rPr>
        <w:instrText xml:space="preserve"> PAGEREF _Toc387322642 \h </w:instrText>
      </w:r>
      <w:r>
        <w:rPr>
          <w:noProof/>
        </w:rPr>
      </w:r>
      <w:r>
        <w:rPr>
          <w:noProof/>
        </w:rPr>
        <w:fldChar w:fldCharType="separate"/>
      </w:r>
      <w:r w:rsidR="00B33A1D">
        <w:rPr>
          <w:noProof/>
        </w:rPr>
        <w:t>9</w:t>
      </w:r>
      <w:r>
        <w:rPr>
          <w:noProof/>
        </w:rPr>
        <w:fldChar w:fldCharType="end"/>
      </w:r>
    </w:p>
    <w:p w14:paraId="27165B2C" w14:textId="77777777" w:rsidR="00F15C5A" w:rsidRDefault="00F15C5A">
      <w:pPr>
        <w:pStyle w:val="TOC3"/>
        <w:tabs>
          <w:tab w:val="right" w:leader="dot" w:pos="8290"/>
        </w:tabs>
        <w:rPr>
          <w:rFonts w:asciiTheme="minorHAnsi" w:eastAsiaTheme="minorEastAsia" w:hAnsiTheme="minorHAnsi" w:cstheme="minorBidi"/>
          <w:noProof/>
          <w:sz w:val="22"/>
          <w:szCs w:val="22"/>
          <w:lang w:eastAsia="en-AU"/>
        </w:rPr>
      </w:pPr>
      <w:r>
        <w:rPr>
          <w:noProof/>
        </w:rPr>
        <w:t>RCV Goals and Purpose</w:t>
      </w:r>
      <w:r>
        <w:rPr>
          <w:noProof/>
        </w:rPr>
        <w:tab/>
      </w:r>
      <w:r>
        <w:rPr>
          <w:noProof/>
        </w:rPr>
        <w:fldChar w:fldCharType="begin"/>
      </w:r>
      <w:r>
        <w:rPr>
          <w:noProof/>
        </w:rPr>
        <w:instrText xml:space="preserve"> PAGEREF _Toc387322643 \h </w:instrText>
      </w:r>
      <w:r>
        <w:rPr>
          <w:noProof/>
        </w:rPr>
      </w:r>
      <w:r>
        <w:rPr>
          <w:noProof/>
        </w:rPr>
        <w:fldChar w:fldCharType="separate"/>
      </w:r>
      <w:r w:rsidR="00B33A1D">
        <w:rPr>
          <w:noProof/>
        </w:rPr>
        <w:t>9</w:t>
      </w:r>
      <w:r>
        <w:rPr>
          <w:noProof/>
        </w:rPr>
        <w:fldChar w:fldCharType="end"/>
      </w:r>
    </w:p>
    <w:p w14:paraId="1FB469BF" w14:textId="77777777" w:rsidR="00F15C5A" w:rsidRDefault="00F15C5A">
      <w:pPr>
        <w:pStyle w:val="TOC2"/>
        <w:tabs>
          <w:tab w:val="right" w:leader="dot" w:pos="8290"/>
        </w:tabs>
        <w:rPr>
          <w:rFonts w:asciiTheme="minorHAnsi" w:eastAsiaTheme="minorEastAsia" w:hAnsiTheme="minorHAnsi" w:cstheme="minorBidi"/>
          <w:noProof/>
          <w:sz w:val="22"/>
          <w:szCs w:val="22"/>
          <w:lang w:eastAsia="en-AU"/>
        </w:rPr>
      </w:pPr>
      <w:r>
        <w:rPr>
          <w:noProof/>
        </w:rPr>
        <w:t>Delivery Approach</w:t>
      </w:r>
      <w:r>
        <w:rPr>
          <w:noProof/>
        </w:rPr>
        <w:tab/>
      </w:r>
      <w:r>
        <w:rPr>
          <w:noProof/>
        </w:rPr>
        <w:fldChar w:fldCharType="begin"/>
      </w:r>
      <w:r>
        <w:rPr>
          <w:noProof/>
        </w:rPr>
        <w:instrText xml:space="preserve"> PAGEREF _Toc387322644 \h </w:instrText>
      </w:r>
      <w:r>
        <w:rPr>
          <w:noProof/>
        </w:rPr>
      </w:r>
      <w:r>
        <w:rPr>
          <w:noProof/>
        </w:rPr>
        <w:fldChar w:fldCharType="separate"/>
      </w:r>
      <w:r w:rsidR="00B33A1D">
        <w:rPr>
          <w:noProof/>
        </w:rPr>
        <w:t>12</w:t>
      </w:r>
      <w:r>
        <w:rPr>
          <w:noProof/>
        </w:rPr>
        <w:fldChar w:fldCharType="end"/>
      </w:r>
    </w:p>
    <w:p w14:paraId="67499828" w14:textId="77777777" w:rsidR="00F15C5A" w:rsidRDefault="00F15C5A">
      <w:pPr>
        <w:pStyle w:val="TOC3"/>
        <w:tabs>
          <w:tab w:val="right" w:leader="dot" w:pos="8290"/>
        </w:tabs>
        <w:rPr>
          <w:rFonts w:asciiTheme="minorHAnsi" w:eastAsiaTheme="minorEastAsia" w:hAnsiTheme="minorHAnsi" w:cstheme="minorBidi"/>
          <w:noProof/>
          <w:sz w:val="22"/>
          <w:szCs w:val="22"/>
          <w:lang w:eastAsia="en-AU"/>
        </w:rPr>
      </w:pPr>
      <w:r>
        <w:rPr>
          <w:noProof/>
        </w:rPr>
        <w:t>Program Delivery through Government Systems</w:t>
      </w:r>
      <w:r>
        <w:rPr>
          <w:noProof/>
        </w:rPr>
        <w:tab/>
      </w:r>
      <w:r>
        <w:rPr>
          <w:noProof/>
        </w:rPr>
        <w:fldChar w:fldCharType="begin"/>
      </w:r>
      <w:r>
        <w:rPr>
          <w:noProof/>
        </w:rPr>
        <w:instrText xml:space="preserve"> PAGEREF _Toc387322645 \h </w:instrText>
      </w:r>
      <w:r>
        <w:rPr>
          <w:noProof/>
        </w:rPr>
      </w:r>
      <w:r>
        <w:rPr>
          <w:noProof/>
        </w:rPr>
        <w:fldChar w:fldCharType="separate"/>
      </w:r>
      <w:r w:rsidR="00B33A1D">
        <w:rPr>
          <w:noProof/>
        </w:rPr>
        <w:t>12</w:t>
      </w:r>
      <w:r>
        <w:rPr>
          <w:noProof/>
        </w:rPr>
        <w:fldChar w:fldCharType="end"/>
      </w:r>
    </w:p>
    <w:p w14:paraId="0D5F1339" w14:textId="77777777" w:rsidR="00F15C5A" w:rsidRDefault="00F15C5A">
      <w:pPr>
        <w:pStyle w:val="TOC3"/>
        <w:tabs>
          <w:tab w:val="right" w:leader="dot" w:pos="8290"/>
        </w:tabs>
        <w:rPr>
          <w:rFonts w:asciiTheme="minorHAnsi" w:eastAsiaTheme="minorEastAsia" w:hAnsiTheme="minorHAnsi" w:cstheme="minorBidi"/>
          <w:noProof/>
          <w:sz w:val="22"/>
          <w:szCs w:val="22"/>
          <w:lang w:eastAsia="en-AU"/>
        </w:rPr>
      </w:pPr>
      <w:r>
        <w:rPr>
          <w:noProof/>
        </w:rPr>
        <w:t>Other options considered</w:t>
      </w:r>
      <w:r>
        <w:rPr>
          <w:noProof/>
        </w:rPr>
        <w:tab/>
      </w:r>
      <w:r>
        <w:rPr>
          <w:noProof/>
        </w:rPr>
        <w:fldChar w:fldCharType="begin"/>
      </w:r>
      <w:r>
        <w:rPr>
          <w:noProof/>
        </w:rPr>
        <w:instrText xml:space="preserve"> PAGEREF _Toc387322646 \h </w:instrText>
      </w:r>
      <w:r>
        <w:rPr>
          <w:noProof/>
        </w:rPr>
      </w:r>
      <w:r>
        <w:rPr>
          <w:noProof/>
        </w:rPr>
        <w:fldChar w:fldCharType="separate"/>
      </w:r>
      <w:r w:rsidR="00B33A1D">
        <w:rPr>
          <w:noProof/>
        </w:rPr>
        <w:t>12</w:t>
      </w:r>
      <w:r>
        <w:rPr>
          <w:noProof/>
        </w:rPr>
        <w:fldChar w:fldCharType="end"/>
      </w:r>
    </w:p>
    <w:p w14:paraId="13711946" w14:textId="77777777" w:rsidR="00F15C5A" w:rsidRDefault="00F15C5A">
      <w:pPr>
        <w:pStyle w:val="TOC2"/>
        <w:tabs>
          <w:tab w:val="right" w:leader="dot" w:pos="8290"/>
        </w:tabs>
        <w:rPr>
          <w:rFonts w:asciiTheme="minorHAnsi" w:eastAsiaTheme="minorEastAsia" w:hAnsiTheme="minorHAnsi" w:cstheme="minorBidi"/>
          <w:noProof/>
          <w:sz w:val="22"/>
          <w:szCs w:val="22"/>
          <w:lang w:eastAsia="en-AU"/>
        </w:rPr>
      </w:pPr>
      <w:r>
        <w:rPr>
          <w:noProof/>
        </w:rPr>
        <w:t>Resources</w:t>
      </w:r>
      <w:r>
        <w:rPr>
          <w:noProof/>
        </w:rPr>
        <w:tab/>
      </w:r>
      <w:r>
        <w:rPr>
          <w:noProof/>
        </w:rPr>
        <w:fldChar w:fldCharType="begin"/>
      </w:r>
      <w:r>
        <w:rPr>
          <w:noProof/>
        </w:rPr>
        <w:instrText xml:space="preserve"> PAGEREF _Toc387322647 \h </w:instrText>
      </w:r>
      <w:r>
        <w:rPr>
          <w:noProof/>
        </w:rPr>
      </w:r>
      <w:r>
        <w:rPr>
          <w:noProof/>
        </w:rPr>
        <w:fldChar w:fldCharType="separate"/>
      </w:r>
      <w:r w:rsidR="00B33A1D">
        <w:rPr>
          <w:noProof/>
        </w:rPr>
        <w:t>12</w:t>
      </w:r>
      <w:r>
        <w:rPr>
          <w:noProof/>
        </w:rPr>
        <w:fldChar w:fldCharType="end"/>
      </w:r>
    </w:p>
    <w:p w14:paraId="74E3424E" w14:textId="77777777" w:rsidR="00F15C5A" w:rsidRDefault="00F15C5A">
      <w:pPr>
        <w:pStyle w:val="TOC1"/>
        <w:rPr>
          <w:rFonts w:asciiTheme="minorHAnsi" w:eastAsiaTheme="minorEastAsia" w:hAnsiTheme="minorHAnsi" w:cstheme="minorBidi"/>
          <w:b w:val="0"/>
          <w:sz w:val="22"/>
          <w:szCs w:val="22"/>
          <w:lang w:eastAsia="en-AU"/>
        </w:rPr>
      </w:pPr>
      <w:r>
        <w:t>3.</w:t>
      </w:r>
      <w:r>
        <w:rPr>
          <w:rFonts w:asciiTheme="minorHAnsi" w:eastAsiaTheme="minorEastAsia" w:hAnsiTheme="minorHAnsi" w:cstheme="minorBidi"/>
          <w:b w:val="0"/>
          <w:sz w:val="22"/>
          <w:szCs w:val="22"/>
          <w:lang w:eastAsia="en-AU"/>
        </w:rPr>
        <w:tab/>
      </w:r>
      <w:r>
        <w:t>Implementation Arrangements</w:t>
      </w:r>
      <w:r>
        <w:tab/>
      </w:r>
      <w:r>
        <w:fldChar w:fldCharType="begin"/>
      </w:r>
      <w:r>
        <w:instrText xml:space="preserve"> PAGEREF _Toc387322648 \h </w:instrText>
      </w:r>
      <w:r>
        <w:fldChar w:fldCharType="separate"/>
      </w:r>
      <w:r w:rsidR="00B33A1D">
        <w:t>14</w:t>
      </w:r>
      <w:r>
        <w:fldChar w:fldCharType="end"/>
      </w:r>
    </w:p>
    <w:p w14:paraId="4D73AD29" w14:textId="77777777" w:rsidR="00F15C5A" w:rsidRDefault="00F15C5A">
      <w:pPr>
        <w:pStyle w:val="TOC2"/>
        <w:tabs>
          <w:tab w:val="right" w:leader="dot" w:pos="8290"/>
        </w:tabs>
        <w:rPr>
          <w:rFonts w:asciiTheme="minorHAnsi" w:eastAsiaTheme="minorEastAsia" w:hAnsiTheme="minorHAnsi" w:cstheme="minorBidi"/>
          <w:noProof/>
          <w:sz w:val="22"/>
          <w:szCs w:val="22"/>
          <w:lang w:eastAsia="en-AU"/>
        </w:rPr>
      </w:pPr>
      <w:r>
        <w:rPr>
          <w:noProof/>
        </w:rPr>
        <w:t>Management and Governance Arrangements and Structure</w:t>
      </w:r>
      <w:r>
        <w:rPr>
          <w:noProof/>
        </w:rPr>
        <w:tab/>
      </w:r>
      <w:r>
        <w:rPr>
          <w:noProof/>
        </w:rPr>
        <w:fldChar w:fldCharType="begin"/>
      </w:r>
      <w:r>
        <w:rPr>
          <w:noProof/>
        </w:rPr>
        <w:instrText xml:space="preserve"> PAGEREF _Toc387322649 \h </w:instrText>
      </w:r>
      <w:r>
        <w:rPr>
          <w:noProof/>
        </w:rPr>
      </w:r>
      <w:r>
        <w:rPr>
          <w:noProof/>
        </w:rPr>
        <w:fldChar w:fldCharType="separate"/>
      </w:r>
      <w:r w:rsidR="00B33A1D">
        <w:rPr>
          <w:noProof/>
        </w:rPr>
        <w:t>14</w:t>
      </w:r>
      <w:r>
        <w:rPr>
          <w:noProof/>
        </w:rPr>
        <w:fldChar w:fldCharType="end"/>
      </w:r>
    </w:p>
    <w:p w14:paraId="69C6DD6D" w14:textId="77777777" w:rsidR="00F15C5A" w:rsidRDefault="00F15C5A">
      <w:pPr>
        <w:pStyle w:val="TOC3"/>
        <w:tabs>
          <w:tab w:val="right" w:leader="dot" w:pos="8290"/>
        </w:tabs>
        <w:rPr>
          <w:rFonts w:asciiTheme="minorHAnsi" w:eastAsiaTheme="minorEastAsia" w:hAnsiTheme="minorHAnsi" w:cstheme="minorBidi"/>
          <w:noProof/>
          <w:sz w:val="22"/>
          <w:szCs w:val="22"/>
          <w:lang w:eastAsia="en-AU"/>
        </w:rPr>
      </w:pPr>
      <w:r>
        <w:rPr>
          <w:noProof/>
        </w:rPr>
        <w:t>Overview of Program Management</w:t>
      </w:r>
      <w:r>
        <w:rPr>
          <w:noProof/>
        </w:rPr>
        <w:tab/>
      </w:r>
      <w:r>
        <w:rPr>
          <w:noProof/>
        </w:rPr>
        <w:fldChar w:fldCharType="begin"/>
      </w:r>
      <w:r>
        <w:rPr>
          <w:noProof/>
        </w:rPr>
        <w:instrText xml:space="preserve"> PAGEREF _Toc387322650 \h </w:instrText>
      </w:r>
      <w:r>
        <w:rPr>
          <w:noProof/>
        </w:rPr>
      </w:r>
      <w:r>
        <w:rPr>
          <w:noProof/>
        </w:rPr>
        <w:fldChar w:fldCharType="separate"/>
      </w:r>
      <w:r w:rsidR="00B33A1D">
        <w:rPr>
          <w:noProof/>
        </w:rPr>
        <w:t>14</w:t>
      </w:r>
      <w:r>
        <w:rPr>
          <w:noProof/>
        </w:rPr>
        <w:fldChar w:fldCharType="end"/>
      </w:r>
    </w:p>
    <w:p w14:paraId="0D298F25" w14:textId="77777777" w:rsidR="00F15C5A" w:rsidRDefault="00F15C5A">
      <w:pPr>
        <w:pStyle w:val="TOC3"/>
        <w:tabs>
          <w:tab w:val="right" w:leader="dot" w:pos="8290"/>
        </w:tabs>
        <w:rPr>
          <w:rFonts w:asciiTheme="minorHAnsi" w:eastAsiaTheme="minorEastAsia" w:hAnsiTheme="minorHAnsi" w:cstheme="minorBidi"/>
          <w:noProof/>
          <w:sz w:val="22"/>
          <w:szCs w:val="22"/>
          <w:lang w:eastAsia="en-AU"/>
        </w:rPr>
      </w:pPr>
      <w:r>
        <w:rPr>
          <w:noProof/>
        </w:rPr>
        <w:t>Management of Program Components</w:t>
      </w:r>
      <w:r>
        <w:rPr>
          <w:noProof/>
        </w:rPr>
        <w:tab/>
      </w:r>
      <w:r>
        <w:rPr>
          <w:noProof/>
        </w:rPr>
        <w:fldChar w:fldCharType="begin"/>
      </w:r>
      <w:r>
        <w:rPr>
          <w:noProof/>
        </w:rPr>
        <w:instrText xml:space="preserve"> PAGEREF _Toc387322651 \h </w:instrText>
      </w:r>
      <w:r>
        <w:rPr>
          <w:noProof/>
        </w:rPr>
      </w:r>
      <w:r>
        <w:rPr>
          <w:noProof/>
        </w:rPr>
        <w:fldChar w:fldCharType="separate"/>
      </w:r>
      <w:r w:rsidR="00B33A1D">
        <w:rPr>
          <w:noProof/>
        </w:rPr>
        <w:t>15</w:t>
      </w:r>
      <w:r>
        <w:rPr>
          <w:noProof/>
        </w:rPr>
        <w:fldChar w:fldCharType="end"/>
      </w:r>
    </w:p>
    <w:p w14:paraId="0E652B2D" w14:textId="77777777" w:rsidR="00F15C5A" w:rsidRDefault="00F15C5A">
      <w:pPr>
        <w:pStyle w:val="TOC3"/>
        <w:tabs>
          <w:tab w:val="right" w:leader="dot" w:pos="8290"/>
        </w:tabs>
        <w:rPr>
          <w:rFonts w:asciiTheme="minorHAnsi" w:eastAsiaTheme="minorEastAsia" w:hAnsiTheme="minorHAnsi" w:cstheme="minorBidi"/>
          <w:noProof/>
          <w:sz w:val="22"/>
          <w:szCs w:val="22"/>
          <w:lang w:eastAsia="en-AU"/>
        </w:rPr>
      </w:pPr>
      <w:r>
        <w:rPr>
          <w:noProof/>
        </w:rPr>
        <w:t>Program Support</w:t>
      </w:r>
      <w:r>
        <w:rPr>
          <w:noProof/>
        </w:rPr>
        <w:tab/>
      </w:r>
      <w:r>
        <w:rPr>
          <w:noProof/>
        </w:rPr>
        <w:fldChar w:fldCharType="begin"/>
      </w:r>
      <w:r>
        <w:rPr>
          <w:noProof/>
        </w:rPr>
        <w:instrText xml:space="preserve"> PAGEREF _Toc387322652 \h </w:instrText>
      </w:r>
      <w:r>
        <w:rPr>
          <w:noProof/>
        </w:rPr>
      </w:r>
      <w:r>
        <w:rPr>
          <w:noProof/>
        </w:rPr>
        <w:fldChar w:fldCharType="separate"/>
      </w:r>
      <w:r w:rsidR="00B33A1D">
        <w:rPr>
          <w:noProof/>
        </w:rPr>
        <w:t>15</w:t>
      </w:r>
      <w:r>
        <w:rPr>
          <w:noProof/>
        </w:rPr>
        <w:fldChar w:fldCharType="end"/>
      </w:r>
    </w:p>
    <w:p w14:paraId="5A3621AE" w14:textId="77777777" w:rsidR="00F15C5A" w:rsidRDefault="00F15C5A">
      <w:pPr>
        <w:pStyle w:val="TOC3"/>
        <w:tabs>
          <w:tab w:val="right" w:leader="dot" w:pos="8290"/>
        </w:tabs>
        <w:rPr>
          <w:rFonts w:asciiTheme="minorHAnsi" w:eastAsiaTheme="minorEastAsia" w:hAnsiTheme="minorHAnsi" w:cstheme="minorBidi"/>
          <w:noProof/>
          <w:sz w:val="22"/>
          <w:szCs w:val="22"/>
          <w:lang w:eastAsia="en-AU"/>
        </w:rPr>
      </w:pPr>
      <w:r w:rsidRPr="00522858">
        <w:rPr>
          <w:noProof/>
          <w:highlight w:val="yellow"/>
        </w:rPr>
        <w:t>Funding arrangements</w:t>
      </w:r>
      <w:r>
        <w:rPr>
          <w:noProof/>
        </w:rPr>
        <w:tab/>
      </w:r>
      <w:r>
        <w:rPr>
          <w:noProof/>
        </w:rPr>
        <w:fldChar w:fldCharType="begin"/>
      </w:r>
      <w:r>
        <w:rPr>
          <w:noProof/>
        </w:rPr>
        <w:instrText xml:space="preserve"> PAGEREF _Toc387322653 \h </w:instrText>
      </w:r>
      <w:r>
        <w:rPr>
          <w:noProof/>
        </w:rPr>
      </w:r>
      <w:r>
        <w:rPr>
          <w:noProof/>
        </w:rPr>
        <w:fldChar w:fldCharType="separate"/>
      </w:r>
      <w:r w:rsidR="00B33A1D">
        <w:rPr>
          <w:noProof/>
        </w:rPr>
        <w:t>16</w:t>
      </w:r>
      <w:r>
        <w:rPr>
          <w:noProof/>
        </w:rPr>
        <w:fldChar w:fldCharType="end"/>
      </w:r>
    </w:p>
    <w:p w14:paraId="69B70339" w14:textId="77777777" w:rsidR="00F15C5A" w:rsidRDefault="00F15C5A">
      <w:pPr>
        <w:pStyle w:val="TOC2"/>
        <w:tabs>
          <w:tab w:val="right" w:leader="dot" w:pos="8290"/>
        </w:tabs>
        <w:rPr>
          <w:rFonts w:asciiTheme="minorHAnsi" w:eastAsiaTheme="minorEastAsia" w:hAnsiTheme="minorHAnsi" w:cstheme="minorBidi"/>
          <w:noProof/>
          <w:sz w:val="22"/>
          <w:szCs w:val="22"/>
          <w:lang w:eastAsia="en-AU"/>
        </w:rPr>
      </w:pPr>
      <w:r>
        <w:rPr>
          <w:noProof/>
        </w:rPr>
        <w:t>Implementation Plan</w:t>
      </w:r>
      <w:r>
        <w:rPr>
          <w:noProof/>
        </w:rPr>
        <w:tab/>
      </w:r>
      <w:r>
        <w:rPr>
          <w:noProof/>
        </w:rPr>
        <w:fldChar w:fldCharType="begin"/>
      </w:r>
      <w:r>
        <w:rPr>
          <w:noProof/>
        </w:rPr>
        <w:instrText xml:space="preserve"> PAGEREF _Toc387322654 \h </w:instrText>
      </w:r>
      <w:r>
        <w:rPr>
          <w:noProof/>
        </w:rPr>
      </w:r>
      <w:r>
        <w:rPr>
          <w:noProof/>
        </w:rPr>
        <w:fldChar w:fldCharType="separate"/>
      </w:r>
      <w:r w:rsidR="00B33A1D">
        <w:rPr>
          <w:noProof/>
        </w:rPr>
        <w:t>16</w:t>
      </w:r>
      <w:r>
        <w:rPr>
          <w:noProof/>
        </w:rPr>
        <w:fldChar w:fldCharType="end"/>
      </w:r>
    </w:p>
    <w:p w14:paraId="2D039AF1" w14:textId="77777777" w:rsidR="00F15C5A" w:rsidRDefault="00F15C5A">
      <w:pPr>
        <w:pStyle w:val="TOC2"/>
        <w:tabs>
          <w:tab w:val="right" w:leader="dot" w:pos="8290"/>
        </w:tabs>
        <w:rPr>
          <w:rFonts w:asciiTheme="minorHAnsi" w:eastAsiaTheme="minorEastAsia" w:hAnsiTheme="minorHAnsi" w:cstheme="minorBidi"/>
          <w:noProof/>
          <w:sz w:val="22"/>
          <w:szCs w:val="22"/>
          <w:lang w:eastAsia="en-AU"/>
        </w:rPr>
      </w:pPr>
      <w:r>
        <w:rPr>
          <w:noProof/>
        </w:rPr>
        <w:t>Procurement Arrangements</w:t>
      </w:r>
      <w:r>
        <w:rPr>
          <w:noProof/>
        </w:rPr>
        <w:tab/>
      </w:r>
      <w:r>
        <w:rPr>
          <w:noProof/>
        </w:rPr>
        <w:fldChar w:fldCharType="begin"/>
      </w:r>
      <w:r>
        <w:rPr>
          <w:noProof/>
        </w:rPr>
        <w:instrText xml:space="preserve"> PAGEREF _Toc387322655 \h </w:instrText>
      </w:r>
      <w:r>
        <w:rPr>
          <w:noProof/>
        </w:rPr>
      </w:r>
      <w:r>
        <w:rPr>
          <w:noProof/>
        </w:rPr>
        <w:fldChar w:fldCharType="separate"/>
      </w:r>
      <w:r w:rsidR="00B33A1D">
        <w:rPr>
          <w:noProof/>
        </w:rPr>
        <w:t>16</w:t>
      </w:r>
      <w:r>
        <w:rPr>
          <w:noProof/>
        </w:rPr>
        <w:fldChar w:fldCharType="end"/>
      </w:r>
    </w:p>
    <w:p w14:paraId="7E5BE557" w14:textId="77777777" w:rsidR="00F15C5A" w:rsidRDefault="00F15C5A">
      <w:pPr>
        <w:pStyle w:val="TOC2"/>
        <w:tabs>
          <w:tab w:val="right" w:leader="dot" w:pos="8290"/>
        </w:tabs>
        <w:rPr>
          <w:rFonts w:asciiTheme="minorHAnsi" w:eastAsiaTheme="minorEastAsia" w:hAnsiTheme="minorHAnsi" w:cstheme="minorBidi"/>
          <w:noProof/>
          <w:sz w:val="22"/>
          <w:szCs w:val="22"/>
          <w:lang w:eastAsia="en-AU"/>
        </w:rPr>
      </w:pPr>
      <w:r>
        <w:rPr>
          <w:noProof/>
        </w:rPr>
        <w:t>Monitoring and Evaluation (M&amp;E)</w:t>
      </w:r>
      <w:r>
        <w:rPr>
          <w:noProof/>
        </w:rPr>
        <w:tab/>
      </w:r>
      <w:r>
        <w:rPr>
          <w:noProof/>
        </w:rPr>
        <w:fldChar w:fldCharType="begin"/>
      </w:r>
      <w:r>
        <w:rPr>
          <w:noProof/>
        </w:rPr>
        <w:instrText xml:space="preserve"> PAGEREF _Toc387322656 \h </w:instrText>
      </w:r>
      <w:r>
        <w:rPr>
          <w:noProof/>
        </w:rPr>
      </w:r>
      <w:r>
        <w:rPr>
          <w:noProof/>
        </w:rPr>
        <w:fldChar w:fldCharType="separate"/>
      </w:r>
      <w:r w:rsidR="00B33A1D">
        <w:rPr>
          <w:noProof/>
        </w:rPr>
        <w:t>17</w:t>
      </w:r>
      <w:r>
        <w:rPr>
          <w:noProof/>
        </w:rPr>
        <w:fldChar w:fldCharType="end"/>
      </w:r>
    </w:p>
    <w:p w14:paraId="267A39FC" w14:textId="77777777" w:rsidR="00F15C5A" w:rsidRDefault="00F15C5A">
      <w:pPr>
        <w:pStyle w:val="TOC2"/>
        <w:tabs>
          <w:tab w:val="right" w:leader="dot" w:pos="8290"/>
        </w:tabs>
        <w:rPr>
          <w:rFonts w:asciiTheme="minorHAnsi" w:eastAsiaTheme="minorEastAsia" w:hAnsiTheme="minorHAnsi" w:cstheme="minorBidi"/>
          <w:noProof/>
          <w:sz w:val="22"/>
          <w:szCs w:val="22"/>
          <w:lang w:eastAsia="en-AU"/>
        </w:rPr>
      </w:pPr>
      <w:r>
        <w:rPr>
          <w:noProof/>
        </w:rPr>
        <w:t>Sustainability</w:t>
      </w:r>
      <w:r>
        <w:rPr>
          <w:noProof/>
        </w:rPr>
        <w:tab/>
      </w:r>
      <w:r>
        <w:rPr>
          <w:noProof/>
        </w:rPr>
        <w:fldChar w:fldCharType="begin"/>
      </w:r>
      <w:r>
        <w:rPr>
          <w:noProof/>
        </w:rPr>
        <w:instrText xml:space="preserve"> PAGEREF _Toc387322657 \h </w:instrText>
      </w:r>
      <w:r>
        <w:rPr>
          <w:noProof/>
        </w:rPr>
      </w:r>
      <w:r>
        <w:rPr>
          <w:noProof/>
        </w:rPr>
        <w:fldChar w:fldCharType="separate"/>
      </w:r>
      <w:r w:rsidR="00B33A1D">
        <w:rPr>
          <w:noProof/>
        </w:rPr>
        <w:t>18</w:t>
      </w:r>
      <w:r>
        <w:rPr>
          <w:noProof/>
        </w:rPr>
        <w:fldChar w:fldCharType="end"/>
      </w:r>
    </w:p>
    <w:p w14:paraId="3A0F4A4B" w14:textId="77777777" w:rsidR="00F15C5A" w:rsidRDefault="00F15C5A">
      <w:pPr>
        <w:pStyle w:val="TOC2"/>
        <w:tabs>
          <w:tab w:val="right" w:leader="dot" w:pos="8290"/>
        </w:tabs>
        <w:rPr>
          <w:rFonts w:asciiTheme="minorHAnsi" w:eastAsiaTheme="minorEastAsia" w:hAnsiTheme="minorHAnsi" w:cstheme="minorBidi"/>
          <w:noProof/>
          <w:sz w:val="22"/>
          <w:szCs w:val="22"/>
          <w:lang w:eastAsia="en-AU"/>
        </w:rPr>
      </w:pPr>
      <w:r>
        <w:rPr>
          <w:noProof/>
        </w:rPr>
        <w:t>Inclusiveness</w:t>
      </w:r>
      <w:r>
        <w:rPr>
          <w:noProof/>
        </w:rPr>
        <w:tab/>
      </w:r>
      <w:r>
        <w:rPr>
          <w:noProof/>
        </w:rPr>
        <w:fldChar w:fldCharType="begin"/>
      </w:r>
      <w:r>
        <w:rPr>
          <w:noProof/>
        </w:rPr>
        <w:instrText xml:space="preserve"> PAGEREF _Toc387322658 \h </w:instrText>
      </w:r>
      <w:r>
        <w:rPr>
          <w:noProof/>
        </w:rPr>
      </w:r>
      <w:r>
        <w:rPr>
          <w:noProof/>
        </w:rPr>
        <w:fldChar w:fldCharType="separate"/>
      </w:r>
      <w:r w:rsidR="00B33A1D">
        <w:rPr>
          <w:noProof/>
        </w:rPr>
        <w:t>18</w:t>
      </w:r>
      <w:r>
        <w:rPr>
          <w:noProof/>
        </w:rPr>
        <w:fldChar w:fldCharType="end"/>
      </w:r>
    </w:p>
    <w:p w14:paraId="77A1FF9A" w14:textId="77777777" w:rsidR="00F15C5A" w:rsidRDefault="00F15C5A">
      <w:pPr>
        <w:pStyle w:val="TOC3"/>
        <w:tabs>
          <w:tab w:val="right" w:leader="dot" w:pos="8290"/>
        </w:tabs>
        <w:rPr>
          <w:rFonts w:asciiTheme="minorHAnsi" w:eastAsiaTheme="minorEastAsia" w:hAnsiTheme="minorHAnsi" w:cstheme="minorBidi"/>
          <w:noProof/>
          <w:sz w:val="22"/>
          <w:szCs w:val="22"/>
          <w:lang w:eastAsia="en-AU"/>
        </w:rPr>
      </w:pPr>
      <w:r>
        <w:rPr>
          <w:noProof/>
        </w:rPr>
        <w:t>Risk assessment and management response</w:t>
      </w:r>
      <w:r>
        <w:rPr>
          <w:noProof/>
        </w:rPr>
        <w:tab/>
      </w:r>
      <w:r>
        <w:rPr>
          <w:noProof/>
        </w:rPr>
        <w:fldChar w:fldCharType="begin"/>
      </w:r>
      <w:r>
        <w:rPr>
          <w:noProof/>
        </w:rPr>
        <w:instrText xml:space="preserve"> PAGEREF _Toc387322659 \h </w:instrText>
      </w:r>
      <w:r>
        <w:rPr>
          <w:noProof/>
        </w:rPr>
      </w:r>
      <w:r>
        <w:rPr>
          <w:noProof/>
        </w:rPr>
        <w:fldChar w:fldCharType="separate"/>
      </w:r>
      <w:r w:rsidR="00B33A1D">
        <w:rPr>
          <w:noProof/>
        </w:rPr>
        <w:t>19</w:t>
      </w:r>
      <w:r>
        <w:rPr>
          <w:noProof/>
        </w:rPr>
        <w:fldChar w:fldCharType="end"/>
      </w:r>
    </w:p>
    <w:p w14:paraId="1CD7A76A" w14:textId="77777777" w:rsidR="00F15C5A" w:rsidRDefault="00F15C5A">
      <w:pPr>
        <w:pStyle w:val="TOC3"/>
        <w:tabs>
          <w:tab w:val="right" w:leader="dot" w:pos="8290"/>
        </w:tabs>
        <w:rPr>
          <w:rFonts w:asciiTheme="minorHAnsi" w:eastAsiaTheme="minorEastAsia" w:hAnsiTheme="minorHAnsi" w:cstheme="minorBidi"/>
          <w:noProof/>
          <w:sz w:val="22"/>
          <w:szCs w:val="22"/>
          <w:lang w:eastAsia="en-AU"/>
        </w:rPr>
      </w:pPr>
      <w:r>
        <w:rPr>
          <w:noProof/>
        </w:rPr>
        <w:t>Risk management approach and responsibilities</w:t>
      </w:r>
      <w:r>
        <w:rPr>
          <w:noProof/>
        </w:rPr>
        <w:tab/>
      </w:r>
      <w:r>
        <w:rPr>
          <w:noProof/>
        </w:rPr>
        <w:fldChar w:fldCharType="begin"/>
      </w:r>
      <w:r>
        <w:rPr>
          <w:noProof/>
        </w:rPr>
        <w:instrText xml:space="preserve"> PAGEREF _Toc387322660 \h </w:instrText>
      </w:r>
      <w:r>
        <w:rPr>
          <w:noProof/>
        </w:rPr>
      </w:r>
      <w:r>
        <w:rPr>
          <w:noProof/>
        </w:rPr>
        <w:fldChar w:fldCharType="separate"/>
      </w:r>
      <w:r w:rsidR="00B33A1D">
        <w:rPr>
          <w:noProof/>
        </w:rPr>
        <w:t>20</w:t>
      </w:r>
      <w:r>
        <w:rPr>
          <w:noProof/>
        </w:rPr>
        <w:fldChar w:fldCharType="end"/>
      </w:r>
    </w:p>
    <w:p w14:paraId="183E59B6" w14:textId="77777777" w:rsidR="00F15C5A" w:rsidRDefault="00F15C5A">
      <w:pPr>
        <w:pStyle w:val="TOC1"/>
        <w:rPr>
          <w:rFonts w:asciiTheme="minorHAnsi" w:eastAsiaTheme="minorEastAsia" w:hAnsiTheme="minorHAnsi" w:cstheme="minorBidi"/>
          <w:b w:val="0"/>
          <w:sz w:val="22"/>
          <w:szCs w:val="22"/>
          <w:lang w:eastAsia="en-AU"/>
        </w:rPr>
      </w:pPr>
      <w:r w:rsidRPr="00522858">
        <w:t>APPENDIX 1. RCV: M&amp;E Framework</w:t>
      </w:r>
      <w:r>
        <w:tab/>
      </w:r>
      <w:r>
        <w:fldChar w:fldCharType="begin"/>
      </w:r>
      <w:r>
        <w:instrText xml:space="preserve"> PAGEREF _Toc387322661 \h </w:instrText>
      </w:r>
      <w:r>
        <w:fldChar w:fldCharType="separate"/>
      </w:r>
      <w:r w:rsidR="00B33A1D">
        <w:t>21</w:t>
      </w:r>
      <w:r>
        <w:fldChar w:fldCharType="end"/>
      </w:r>
    </w:p>
    <w:p w14:paraId="2B046A8B" w14:textId="77777777" w:rsidR="00F15C5A" w:rsidRDefault="00F15C5A">
      <w:pPr>
        <w:pStyle w:val="TOC2"/>
        <w:tabs>
          <w:tab w:val="right" w:leader="dot" w:pos="8290"/>
        </w:tabs>
        <w:rPr>
          <w:rFonts w:asciiTheme="minorHAnsi" w:eastAsiaTheme="minorEastAsia" w:hAnsiTheme="minorHAnsi" w:cstheme="minorBidi"/>
          <w:noProof/>
          <w:sz w:val="22"/>
          <w:szCs w:val="22"/>
          <w:lang w:eastAsia="en-AU"/>
        </w:rPr>
      </w:pPr>
      <w:r w:rsidRPr="00522858">
        <w:rPr>
          <w:noProof/>
          <w:lang w:val="en-GB"/>
        </w:rPr>
        <w:t>The RCV Theory of Change</w:t>
      </w:r>
      <w:r>
        <w:rPr>
          <w:noProof/>
        </w:rPr>
        <w:tab/>
      </w:r>
      <w:r>
        <w:rPr>
          <w:noProof/>
        </w:rPr>
        <w:fldChar w:fldCharType="begin"/>
      </w:r>
      <w:r>
        <w:rPr>
          <w:noProof/>
        </w:rPr>
        <w:instrText xml:space="preserve"> PAGEREF _Toc387322662 \h </w:instrText>
      </w:r>
      <w:r>
        <w:rPr>
          <w:noProof/>
        </w:rPr>
      </w:r>
      <w:r>
        <w:rPr>
          <w:noProof/>
        </w:rPr>
        <w:fldChar w:fldCharType="separate"/>
      </w:r>
      <w:r w:rsidR="00B33A1D">
        <w:rPr>
          <w:noProof/>
        </w:rPr>
        <w:t>21</w:t>
      </w:r>
      <w:r>
        <w:rPr>
          <w:noProof/>
        </w:rPr>
        <w:fldChar w:fldCharType="end"/>
      </w:r>
    </w:p>
    <w:p w14:paraId="63781EA6" w14:textId="77777777" w:rsidR="00F15C5A" w:rsidRDefault="00F15C5A">
      <w:pPr>
        <w:pStyle w:val="TOC2"/>
        <w:tabs>
          <w:tab w:val="right" w:leader="dot" w:pos="8290"/>
        </w:tabs>
        <w:rPr>
          <w:rFonts w:asciiTheme="minorHAnsi" w:eastAsiaTheme="minorEastAsia" w:hAnsiTheme="minorHAnsi" w:cstheme="minorBidi"/>
          <w:noProof/>
          <w:sz w:val="22"/>
          <w:szCs w:val="22"/>
          <w:lang w:eastAsia="en-AU"/>
        </w:rPr>
      </w:pPr>
      <w:r>
        <w:rPr>
          <w:noProof/>
        </w:rPr>
        <w:t>Overview of M&amp;E</w:t>
      </w:r>
      <w:r>
        <w:rPr>
          <w:noProof/>
        </w:rPr>
        <w:tab/>
      </w:r>
      <w:r>
        <w:rPr>
          <w:noProof/>
        </w:rPr>
        <w:fldChar w:fldCharType="begin"/>
      </w:r>
      <w:r>
        <w:rPr>
          <w:noProof/>
        </w:rPr>
        <w:instrText xml:space="preserve"> PAGEREF _Toc387322663 \h </w:instrText>
      </w:r>
      <w:r>
        <w:rPr>
          <w:noProof/>
        </w:rPr>
      </w:r>
      <w:r>
        <w:rPr>
          <w:noProof/>
        </w:rPr>
        <w:fldChar w:fldCharType="separate"/>
      </w:r>
      <w:r w:rsidR="00B33A1D">
        <w:rPr>
          <w:noProof/>
        </w:rPr>
        <w:t>23</w:t>
      </w:r>
      <w:r>
        <w:rPr>
          <w:noProof/>
        </w:rPr>
        <w:fldChar w:fldCharType="end"/>
      </w:r>
    </w:p>
    <w:p w14:paraId="123CC370" w14:textId="77777777" w:rsidR="00F15C5A" w:rsidRDefault="00F15C5A">
      <w:pPr>
        <w:pStyle w:val="TOC2"/>
        <w:tabs>
          <w:tab w:val="right" w:leader="dot" w:pos="8290"/>
        </w:tabs>
        <w:rPr>
          <w:rFonts w:asciiTheme="minorHAnsi" w:eastAsiaTheme="minorEastAsia" w:hAnsiTheme="minorHAnsi" w:cstheme="minorBidi"/>
          <w:noProof/>
          <w:sz w:val="22"/>
          <w:szCs w:val="22"/>
          <w:lang w:eastAsia="en-AU"/>
        </w:rPr>
      </w:pPr>
      <w:r>
        <w:rPr>
          <w:noProof/>
        </w:rPr>
        <w:t>Logical Framework Matrix</w:t>
      </w:r>
      <w:r>
        <w:rPr>
          <w:noProof/>
        </w:rPr>
        <w:tab/>
      </w:r>
      <w:r>
        <w:rPr>
          <w:noProof/>
        </w:rPr>
        <w:fldChar w:fldCharType="begin"/>
      </w:r>
      <w:r>
        <w:rPr>
          <w:noProof/>
        </w:rPr>
        <w:instrText xml:space="preserve"> PAGEREF _Toc387322664 \h </w:instrText>
      </w:r>
      <w:r>
        <w:rPr>
          <w:noProof/>
        </w:rPr>
      </w:r>
      <w:r>
        <w:rPr>
          <w:noProof/>
        </w:rPr>
        <w:fldChar w:fldCharType="separate"/>
      </w:r>
      <w:r w:rsidR="00B33A1D">
        <w:rPr>
          <w:noProof/>
        </w:rPr>
        <w:t>27</w:t>
      </w:r>
      <w:r>
        <w:rPr>
          <w:noProof/>
        </w:rPr>
        <w:fldChar w:fldCharType="end"/>
      </w:r>
    </w:p>
    <w:p w14:paraId="40226033" w14:textId="77777777" w:rsidR="00F15C5A" w:rsidRDefault="00F15C5A">
      <w:pPr>
        <w:pStyle w:val="TOC1"/>
        <w:rPr>
          <w:rFonts w:asciiTheme="minorHAnsi" w:eastAsiaTheme="minorEastAsia" w:hAnsiTheme="minorHAnsi" w:cstheme="minorBidi"/>
          <w:b w:val="0"/>
          <w:sz w:val="22"/>
          <w:szCs w:val="22"/>
          <w:lang w:eastAsia="en-AU"/>
        </w:rPr>
      </w:pPr>
      <w:r w:rsidRPr="00522858">
        <w:t>Appendix 2: Program Management Structure and Terms of Reference for Key Stakeholders and Personnel</w:t>
      </w:r>
      <w:r>
        <w:tab/>
      </w:r>
      <w:r>
        <w:fldChar w:fldCharType="begin"/>
      </w:r>
      <w:r>
        <w:instrText xml:space="preserve"> PAGEREF _Toc387322665 \h </w:instrText>
      </w:r>
      <w:r>
        <w:fldChar w:fldCharType="separate"/>
      </w:r>
      <w:r w:rsidR="00B33A1D">
        <w:t>31</w:t>
      </w:r>
      <w:r>
        <w:fldChar w:fldCharType="end"/>
      </w:r>
    </w:p>
    <w:p w14:paraId="01D16D6E" w14:textId="77777777" w:rsidR="00F15C5A" w:rsidRDefault="00F15C5A">
      <w:pPr>
        <w:pStyle w:val="TOC2"/>
        <w:tabs>
          <w:tab w:val="right" w:leader="dot" w:pos="8290"/>
        </w:tabs>
        <w:rPr>
          <w:rFonts w:asciiTheme="minorHAnsi" w:eastAsiaTheme="minorEastAsia" w:hAnsiTheme="minorHAnsi" w:cstheme="minorBidi"/>
          <w:noProof/>
          <w:sz w:val="22"/>
          <w:szCs w:val="22"/>
          <w:lang w:eastAsia="en-AU"/>
        </w:rPr>
      </w:pPr>
      <w:r>
        <w:rPr>
          <w:noProof/>
        </w:rPr>
        <w:t>Overview</w:t>
      </w:r>
      <w:r>
        <w:rPr>
          <w:noProof/>
        </w:rPr>
        <w:tab/>
      </w:r>
      <w:r>
        <w:rPr>
          <w:noProof/>
        </w:rPr>
        <w:fldChar w:fldCharType="begin"/>
      </w:r>
      <w:r>
        <w:rPr>
          <w:noProof/>
        </w:rPr>
        <w:instrText xml:space="preserve"> PAGEREF _Toc387322666 \h </w:instrText>
      </w:r>
      <w:r>
        <w:rPr>
          <w:noProof/>
        </w:rPr>
      </w:r>
      <w:r>
        <w:rPr>
          <w:noProof/>
        </w:rPr>
        <w:fldChar w:fldCharType="separate"/>
      </w:r>
      <w:r w:rsidR="00B33A1D">
        <w:rPr>
          <w:noProof/>
        </w:rPr>
        <w:t>31</w:t>
      </w:r>
      <w:r>
        <w:rPr>
          <w:noProof/>
        </w:rPr>
        <w:fldChar w:fldCharType="end"/>
      </w:r>
    </w:p>
    <w:p w14:paraId="5A5FD3D3" w14:textId="77777777" w:rsidR="00F15C5A" w:rsidRDefault="00F15C5A">
      <w:pPr>
        <w:pStyle w:val="TOC2"/>
        <w:tabs>
          <w:tab w:val="right" w:leader="dot" w:pos="8290"/>
        </w:tabs>
        <w:rPr>
          <w:rFonts w:asciiTheme="minorHAnsi" w:eastAsiaTheme="minorEastAsia" w:hAnsiTheme="minorHAnsi" w:cstheme="minorBidi"/>
          <w:noProof/>
          <w:sz w:val="22"/>
          <w:szCs w:val="22"/>
          <w:lang w:eastAsia="en-AU"/>
        </w:rPr>
      </w:pPr>
      <w:r>
        <w:rPr>
          <w:noProof/>
        </w:rPr>
        <w:t>Decision Making Principles</w:t>
      </w:r>
      <w:r>
        <w:rPr>
          <w:noProof/>
        </w:rPr>
        <w:tab/>
      </w:r>
      <w:r>
        <w:rPr>
          <w:noProof/>
        </w:rPr>
        <w:fldChar w:fldCharType="begin"/>
      </w:r>
      <w:r>
        <w:rPr>
          <w:noProof/>
        </w:rPr>
        <w:instrText xml:space="preserve"> PAGEREF _Toc387322667 \h </w:instrText>
      </w:r>
      <w:r>
        <w:rPr>
          <w:noProof/>
        </w:rPr>
      </w:r>
      <w:r>
        <w:rPr>
          <w:noProof/>
        </w:rPr>
        <w:fldChar w:fldCharType="separate"/>
      </w:r>
      <w:r w:rsidR="00B33A1D">
        <w:rPr>
          <w:noProof/>
        </w:rPr>
        <w:t>31</w:t>
      </w:r>
      <w:r>
        <w:rPr>
          <w:noProof/>
        </w:rPr>
        <w:fldChar w:fldCharType="end"/>
      </w:r>
    </w:p>
    <w:p w14:paraId="294E2EB5" w14:textId="77777777" w:rsidR="00F15C5A" w:rsidRDefault="00F15C5A">
      <w:pPr>
        <w:pStyle w:val="TOC2"/>
        <w:tabs>
          <w:tab w:val="right" w:leader="dot" w:pos="8290"/>
        </w:tabs>
        <w:rPr>
          <w:rFonts w:asciiTheme="minorHAnsi" w:eastAsiaTheme="minorEastAsia" w:hAnsiTheme="minorHAnsi" w:cstheme="minorBidi"/>
          <w:noProof/>
          <w:sz w:val="22"/>
          <w:szCs w:val="22"/>
          <w:lang w:eastAsia="en-AU"/>
        </w:rPr>
      </w:pPr>
      <w:r>
        <w:rPr>
          <w:noProof/>
        </w:rPr>
        <w:t>Tasks and Responsibilities of Key Stakeholders</w:t>
      </w:r>
      <w:r>
        <w:rPr>
          <w:noProof/>
        </w:rPr>
        <w:tab/>
      </w:r>
      <w:r>
        <w:rPr>
          <w:noProof/>
        </w:rPr>
        <w:fldChar w:fldCharType="begin"/>
      </w:r>
      <w:r>
        <w:rPr>
          <w:noProof/>
        </w:rPr>
        <w:instrText xml:space="preserve"> PAGEREF _Toc387322668 \h </w:instrText>
      </w:r>
      <w:r>
        <w:rPr>
          <w:noProof/>
        </w:rPr>
      </w:r>
      <w:r>
        <w:rPr>
          <w:noProof/>
        </w:rPr>
        <w:fldChar w:fldCharType="separate"/>
      </w:r>
      <w:r w:rsidR="00B33A1D">
        <w:rPr>
          <w:noProof/>
        </w:rPr>
        <w:t>32</w:t>
      </w:r>
      <w:r>
        <w:rPr>
          <w:noProof/>
        </w:rPr>
        <w:fldChar w:fldCharType="end"/>
      </w:r>
    </w:p>
    <w:p w14:paraId="37629332" w14:textId="77777777" w:rsidR="00F15C5A" w:rsidRDefault="00F15C5A">
      <w:pPr>
        <w:pStyle w:val="TOC3"/>
        <w:tabs>
          <w:tab w:val="right" w:leader="dot" w:pos="8290"/>
        </w:tabs>
        <w:rPr>
          <w:rFonts w:asciiTheme="minorHAnsi" w:eastAsiaTheme="minorEastAsia" w:hAnsiTheme="minorHAnsi" w:cstheme="minorBidi"/>
          <w:noProof/>
          <w:sz w:val="22"/>
          <w:szCs w:val="22"/>
          <w:lang w:eastAsia="en-AU"/>
        </w:rPr>
      </w:pPr>
      <w:r>
        <w:rPr>
          <w:noProof/>
        </w:rPr>
        <w:t>Program Director</w:t>
      </w:r>
      <w:r>
        <w:rPr>
          <w:noProof/>
        </w:rPr>
        <w:tab/>
      </w:r>
      <w:r>
        <w:rPr>
          <w:noProof/>
        </w:rPr>
        <w:fldChar w:fldCharType="begin"/>
      </w:r>
      <w:r>
        <w:rPr>
          <w:noProof/>
        </w:rPr>
        <w:instrText xml:space="preserve"> PAGEREF _Toc387322669 \h </w:instrText>
      </w:r>
      <w:r>
        <w:rPr>
          <w:noProof/>
        </w:rPr>
      </w:r>
      <w:r>
        <w:rPr>
          <w:noProof/>
        </w:rPr>
        <w:fldChar w:fldCharType="separate"/>
      </w:r>
      <w:r w:rsidR="00B33A1D">
        <w:rPr>
          <w:noProof/>
        </w:rPr>
        <w:t>32</w:t>
      </w:r>
      <w:r>
        <w:rPr>
          <w:noProof/>
        </w:rPr>
        <w:fldChar w:fldCharType="end"/>
      </w:r>
    </w:p>
    <w:p w14:paraId="5BB5BCE7" w14:textId="77777777" w:rsidR="00F15C5A" w:rsidRDefault="00F15C5A">
      <w:pPr>
        <w:pStyle w:val="TOC3"/>
        <w:tabs>
          <w:tab w:val="right" w:leader="dot" w:pos="8290"/>
        </w:tabs>
        <w:rPr>
          <w:rFonts w:asciiTheme="minorHAnsi" w:eastAsiaTheme="minorEastAsia" w:hAnsiTheme="minorHAnsi" w:cstheme="minorBidi"/>
          <w:noProof/>
          <w:sz w:val="22"/>
          <w:szCs w:val="22"/>
          <w:lang w:eastAsia="en-AU"/>
        </w:rPr>
      </w:pPr>
      <w:r>
        <w:rPr>
          <w:noProof/>
        </w:rPr>
        <w:t>Component Directors</w:t>
      </w:r>
      <w:r>
        <w:rPr>
          <w:noProof/>
        </w:rPr>
        <w:tab/>
      </w:r>
      <w:r>
        <w:rPr>
          <w:noProof/>
        </w:rPr>
        <w:fldChar w:fldCharType="begin"/>
      </w:r>
      <w:r>
        <w:rPr>
          <w:noProof/>
        </w:rPr>
        <w:instrText xml:space="preserve"> PAGEREF _Toc387322670 \h </w:instrText>
      </w:r>
      <w:r>
        <w:rPr>
          <w:noProof/>
        </w:rPr>
      </w:r>
      <w:r>
        <w:rPr>
          <w:noProof/>
        </w:rPr>
        <w:fldChar w:fldCharType="separate"/>
      </w:r>
      <w:r w:rsidR="00B33A1D">
        <w:rPr>
          <w:noProof/>
        </w:rPr>
        <w:t>33</w:t>
      </w:r>
      <w:r>
        <w:rPr>
          <w:noProof/>
        </w:rPr>
        <w:fldChar w:fldCharType="end"/>
      </w:r>
    </w:p>
    <w:p w14:paraId="661CDEA7" w14:textId="77777777" w:rsidR="00F15C5A" w:rsidRDefault="00F15C5A">
      <w:pPr>
        <w:pStyle w:val="TOC3"/>
        <w:tabs>
          <w:tab w:val="right" w:leader="dot" w:pos="8290"/>
        </w:tabs>
        <w:rPr>
          <w:rFonts w:asciiTheme="minorHAnsi" w:eastAsiaTheme="minorEastAsia" w:hAnsiTheme="minorHAnsi" w:cstheme="minorBidi"/>
          <w:noProof/>
          <w:sz w:val="22"/>
          <w:szCs w:val="22"/>
          <w:lang w:eastAsia="en-AU"/>
        </w:rPr>
      </w:pPr>
      <w:r>
        <w:rPr>
          <w:noProof/>
        </w:rPr>
        <w:t>Program Coordinating Committee (PCC)</w:t>
      </w:r>
      <w:r>
        <w:rPr>
          <w:noProof/>
        </w:rPr>
        <w:tab/>
      </w:r>
      <w:r>
        <w:rPr>
          <w:noProof/>
        </w:rPr>
        <w:fldChar w:fldCharType="begin"/>
      </w:r>
      <w:r>
        <w:rPr>
          <w:noProof/>
        </w:rPr>
        <w:instrText xml:space="preserve"> PAGEREF _Toc387322671 \h </w:instrText>
      </w:r>
      <w:r>
        <w:rPr>
          <w:noProof/>
        </w:rPr>
      </w:r>
      <w:r>
        <w:rPr>
          <w:noProof/>
        </w:rPr>
        <w:fldChar w:fldCharType="separate"/>
      </w:r>
      <w:r w:rsidR="00B33A1D">
        <w:rPr>
          <w:noProof/>
        </w:rPr>
        <w:t>33</w:t>
      </w:r>
      <w:r>
        <w:rPr>
          <w:noProof/>
        </w:rPr>
        <w:fldChar w:fldCharType="end"/>
      </w:r>
    </w:p>
    <w:p w14:paraId="7C96ACB8" w14:textId="77777777" w:rsidR="00F15C5A" w:rsidRDefault="00F15C5A">
      <w:pPr>
        <w:pStyle w:val="TOC3"/>
        <w:tabs>
          <w:tab w:val="right" w:leader="dot" w:pos="8290"/>
        </w:tabs>
        <w:rPr>
          <w:rFonts w:asciiTheme="minorHAnsi" w:eastAsiaTheme="minorEastAsia" w:hAnsiTheme="minorHAnsi" w:cstheme="minorBidi"/>
          <w:noProof/>
          <w:sz w:val="22"/>
          <w:szCs w:val="22"/>
          <w:lang w:eastAsia="en-AU"/>
        </w:rPr>
      </w:pPr>
      <w:r>
        <w:rPr>
          <w:noProof/>
        </w:rPr>
        <w:t>DFAT</w:t>
      </w:r>
      <w:r>
        <w:rPr>
          <w:noProof/>
        </w:rPr>
        <w:tab/>
      </w:r>
      <w:r>
        <w:rPr>
          <w:noProof/>
        </w:rPr>
        <w:fldChar w:fldCharType="begin"/>
      </w:r>
      <w:r>
        <w:rPr>
          <w:noProof/>
        </w:rPr>
        <w:instrText xml:space="preserve"> PAGEREF _Toc387322672 \h </w:instrText>
      </w:r>
      <w:r>
        <w:rPr>
          <w:noProof/>
        </w:rPr>
      </w:r>
      <w:r>
        <w:rPr>
          <w:noProof/>
        </w:rPr>
        <w:fldChar w:fldCharType="separate"/>
      </w:r>
      <w:r w:rsidR="00B33A1D">
        <w:rPr>
          <w:noProof/>
        </w:rPr>
        <w:t>34</w:t>
      </w:r>
      <w:r>
        <w:rPr>
          <w:noProof/>
        </w:rPr>
        <w:fldChar w:fldCharType="end"/>
      </w:r>
    </w:p>
    <w:p w14:paraId="3B6CF8F1" w14:textId="77777777" w:rsidR="00F15C5A" w:rsidRDefault="00F15C5A">
      <w:pPr>
        <w:pStyle w:val="TOC2"/>
        <w:tabs>
          <w:tab w:val="right" w:leader="dot" w:pos="8290"/>
        </w:tabs>
        <w:rPr>
          <w:rFonts w:asciiTheme="minorHAnsi" w:eastAsiaTheme="minorEastAsia" w:hAnsiTheme="minorHAnsi" w:cstheme="minorBidi"/>
          <w:noProof/>
          <w:sz w:val="22"/>
          <w:szCs w:val="22"/>
          <w:lang w:eastAsia="en-AU"/>
        </w:rPr>
      </w:pPr>
      <w:r>
        <w:rPr>
          <w:noProof/>
        </w:rPr>
        <w:t>Terms of Reference for Program Supported Personnel</w:t>
      </w:r>
      <w:r>
        <w:rPr>
          <w:noProof/>
        </w:rPr>
        <w:tab/>
      </w:r>
      <w:r>
        <w:rPr>
          <w:noProof/>
        </w:rPr>
        <w:fldChar w:fldCharType="begin"/>
      </w:r>
      <w:r>
        <w:rPr>
          <w:noProof/>
        </w:rPr>
        <w:instrText xml:space="preserve"> PAGEREF _Toc387322673 \h </w:instrText>
      </w:r>
      <w:r>
        <w:rPr>
          <w:noProof/>
        </w:rPr>
      </w:r>
      <w:r>
        <w:rPr>
          <w:noProof/>
        </w:rPr>
        <w:fldChar w:fldCharType="separate"/>
      </w:r>
      <w:r w:rsidR="00B33A1D">
        <w:rPr>
          <w:noProof/>
        </w:rPr>
        <w:t>34</w:t>
      </w:r>
      <w:r>
        <w:rPr>
          <w:noProof/>
        </w:rPr>
        <w:fldChar w:fldCharType="end"/>
      </w:r>
    </w:p>
    <w:p w14:paraId="5E97172E" w14:textId="77777777" w:rsidR="00F15C5A" w:rsidRDefault="00F15C5A">
      <w:pPr>
        <w:pStyle w:val="TOC3"/>
        <w:tabs>
          <w:tab w:val="right" w:leader="dot" w:pos="8290"/>
        </w:tabs>
        <w:rPr>
          <w:rFonts w:asciiTheme="minorHAnsi" w:eastAsiaTheme="minorEastAsia" w:hAnsiTheme="minorHAnsi" w:cstheme="minorBidi"/>
          <w:noProof/>
          <w:sz w:val="22"/>
          <w:szCs w:val="22"/>
          <w:lang w:eastAsia="en-AU"/>
        </w:rPr>
      </w:pPr>
      <w:r>
        <w:rPr>
          <w:noProof/>
        </w:rPr>
        <w:t>Senior Advisory Group (SAG)</w:t>
      </w:r>
      <w:r>
        <w:rPr>
          <w:noProof/>
        </w:rPr>
        <w:tab/>
      </w:r>
      <w:r>
        <w:rPr>
          <w:noProof/>
        </w:rPr>
        <w:fldChar w:fldCharType="begin"/>
      </w:r>
      <w:r>
        <w:rPr>
          <w:noProof/>
        </w:rPr>
        <w:instrText xml:space="preserve"> PAGEREF _Toc387322674 \h </w:instrText>
      </w:r>
      <w:r>
        <w:rPr>
          <w:noProof/>
        </w:rPr>
      </w:r>
      <w:r>
        <w:rPr>
          <w:noProof/>
        </w:rPr>
        <w:fldChar w:fldCharType="separate"/>
      </w:r>
      <w:r w:rsidR="00B33A1D">
        <w:rPr>
          <w:noProof/>
        </w:rPr>
        <w:t>34</w:t>
      </w:r>
      <w:r>
        <w:rPr>
          <w:noProof/>
        </w:rPr>
        <w:fldChar w:fldCharType="end"/>
      </w:r>
    </w:p>
    <w:p w14:paraId="6561338C" w14:textId="77777777" w:rsidR="00F15C5A" w:rsidRDefault="00F15C5A">
      <w:pPr>
        <w:pStyle w:val="TOC3"/>
        <w:tabs>
          <w:tab w:val="right" w:leader="dot" w:pos="8290"/>
        </w:tabs>
        <w:rPr>
          <w:rFonts w:asciiTheme="minorHAnsi" w:eastAsiaTheme="minorEastAsia" w:hAnsiTheme="minorHAnsi" w:cstheme="minorBidi"/>
          <w:noProof/>
          <w:sz w:val="22"/>
          <w:szCs w:val="22"/>
          <w:lang w:eastAsia="en-AU"/>
        </w:rPr>
      </w:pPr>
      <w:r>
        <w:rPr>
          <w:noProof/>
        </w:rPr>
        <w:t>The Senior Technical Adviser (STA)</w:t>
      </w:r>
      <w:r>
        <w:rPr>
          <w:noProof/>
        </w:rPr>
        <w:tab/>
      </w:r>
      <w:r>
        <w:rPr>
          <w:noProof/>
        </w:rPr>
        <w:fldChar w:fldCharType="begin"/>
      </w:r>
      <w:r>
        <w:rPr>
          <w:noProof/>
        </w:rPr>
        <w:instrText xml:space="preserve"> PAGEREF _Toc387322675 \h </w:instrText>
      </w:r>
      <w:r>
        <w:rPr>
          <w:noProof/>
        </w:rPr>
      </w:r>
      <w:r>
        <w:rPr>
          <w:noProof/>
        </w:rPr>
        <w:fldChar w:fldCharType="separate"/>
      </w:r>
      <w:r w:rsidR="00B33A1D">
        <w:rPr>
          <w:noProof/>
        </w:rPr>
        <w:t>35</w:t>
      </w:r>
      <w:r>
        <w:rPr>
          <w:noProof/>
        </w:rPr>
        <w:fldChar w:fldCharType="end"/>
      </w:r>
    </w:p>
    <w:p w14:paraId="5D037B04" w14:textId="77777777" w:rsidR="00F15C5A" w:rsidRDefault="00F15C5A">
      <w:pPr>
        <w:pStyle w:val="TOC3"/>
        <w:tabs>
          <w:tab w:val="right" w:leader="dot" w:pos="8290"/>
        </w:tabs>
        <w:rPr>
          <w:rFonts w:asciiTheme="minorHAnsi" w:eastAsiaTheme="minorEastAsia" w:hAnsiTheme="minorHAnsi" w:cstheme="minorBidi"/>
          <w:noProof/>
          <w:sz w:val="22"/>
          <w:szCs w:val="22"/>
          <w:lang w:eastAsia="en-AU"/>
        </w:rPr>
      </w:pPr>
      <w:r>
        <w:rPr>
          <w:noProof/>
        </w:rPr>
        <w:t>Senior Program Coordinator-Economist</w:t>
      </w:r>
      <w:r>
        <w:rPr>
          <w:noProof/>
        </w:rPr>
        <w:tab/>
      </w:r>
      <w:r>
        <w:rPr>
          <w:noProof/>
        </w:rPr>
        <w:fldChar w:fldCharType="begin"/>
      </w:r>
      <w:r>
        <w:rPr>
          <w:noProof/>
        </w:rPr>
        <w:instrText xml:space="preserve"> PAGEREF _Toc387322676 \h </w:instrText>
      </w:r>
      <w:r>
        <w:rPr>
          <w:noProof/>
        </w:rPr>
      </w:r>
      <w:r>
        <w:rPr>
          <w:noProof/>
        </w:rPr>
        <w:fldChar w:fldCharType="separate"/>
      </w:r>
      <w:r w:rsidR="00B33A1D">
        <w:rPr>
          <w:noProof/>
        </w:rPr>
        <w:t>36</w:t>
      </w:r>
      <w:r>
        <w:rPr>
          <w:noProof/>
        </w:rPr>
        <w:fldChar w:fldCharType="end"/>
      </w:r>
    </w:p>
    <w:p w14:paraId="69933DA4" w14:textId="77777777" w:rsidR="00F15C5A" w:rsidRDefault="00F15C5A">
      <w:pPr>
        <w:pStyle w:val="TOC3"/>
        <w:tabs>
          <w:tab w:val="right" w:leader="dot" w:pos="8290"/>
        </w:tabs>
        <w:rPr>
          <w:rFonts w:asciiTheme="minorHAnsi" w:eastAsiaTheme="minorEastAsia" w:hAnsiTheme="minorHAnsi" w:cstheme="minorBidi"/>
          <w:noProof/>
          <w:sz w:val="22"/>
          <w:szCs w:val="22"/>
          <w:lang w:eastAsia="en-AU"/>
        </w:rPr>
      </w:pPr>
      <w:r>
        <w:rPr>
          <w:noProof/>
        </w:rPr>
        <w:t>Program Support Unit (PCU)</w:t>
      </w:r>
      <w:r>
        <w:rPr>
          <w:noProof/>
        </w:rPr>
        <w:tab/>
      </w:r>
      <w:r>
        <w:rPr>
          <w:noProof/>
        </w:rPr>
        <w:fldChar w:fldCharType="begin"/>
      </w:r>
      <w:r>
        <w:rPr>
          <w:noProof/>
        </w:rPr>
        <w:instrText xml:space="preserve"> PAGEREF _Toc387322677 \h </w:instrText>
      </w:r>
      <w:r>
        <w:rPr>
          <w:noProof/>
        </w:rPr>
      </w:r>
      <w:r>
        <w:rPr>
          <w:noProof/>
        </w:rPr>
        <w:fldChar w:fldCharType="separate"/>
      </w:r>
      <w:r w:rsidR="00B33A1D">
        <w:rPr>
          <w:noProof/>
        </w:rPr>
        <w:t>37</w:t>
      </w:r>
      <w:r>
        <w:rPr>
          <w:noProof/>
        </w:rPr>
        <w:fldChar w:fldCharType="end"/>
      </w:r>
    </w:p>
    <w:p w14:paraId="50B099B7" w14:textId="77777777" w:rsidR="00F15C5A" w:rsidRDefault="00F15C5A">
      <w:pPr>
        <w:pStyle w:val="TOC1"/>
        <w:rPr>
          <w:rFonts w:asciiTheme="minorHAnsi" w:eastAsiaTheme="minorEastAsia" w:hAnsiTheme="minorHAnsi" w:cstheme="minorBidi"/>
          <w:b w:val="0"/>
          <w:sz w:val="22"/>
          <w:szCs w:val="22"/>
          <w:lang w:eastAsia="en-AU"/>
        </w:rPr>
      </w:pPr>
      <w:r w:rsidRPr="00522858">
        <w:t>Appendix 3: The RCV Flexible Fund</w:t>
      </w:r>
      <w:r>
        <w:tab/>
      </w:r>
      <w:r>
        <w:fldChar w:fldCharType="begin"/>
      </w:r>
      <w:r>
        <w:instrText xml:space="preserve"> PAGEREF _Toc387322678 \h </w:instrText>
      </w:r>
      <w:r>
        <w:fldChar w:fldCharType="separate"/>
      </w:r>
      <w:r w:rsidR="00B33A1D">
        <w:t>39</w:t>
      </w:r>
      <w:r>
        <w:fldChar w:fldCharType="end"/>
      </w:r>
    </w:p>
    <w:p w14:paraId="2205D2DB" w14:textId="77777777" w:rsidR="00F15C5A" w:rsidRDefault="00F15C5A">
      <w:pPr>
        <w:pStyle w:val="TOC2"/>
        <w:tabs>
          <w:tab w:val="right" w:leader="dot" w:pos="8290"/>
        </w:tabs>
        <w:rPr>
          <w:rFonts w:asciiTheme="minorHAnsi" w:eastAsiaTheme="minorEastAsia" w:hAnsiTheme="minorHAnsi" w:cstheme="minorBidi"/>
          <w:noProof/>
          <w:sz w:val="22"/>
          <w:szCs w:val="22"/>
          <w:lang w:eastAsia="en-AU"/>
        </w:rPr>
      </w:pPr>
      <w:r>
        <w:rPr>
          <w:noProof/>
        </w:rPr>
        <w:t>Introduction</w:t>
      </w:r>
      <w:r>
        <w:rPr>
          <w:noProof/>
        </w:rPr>
        <w:tab/>
      </w:r>
      <w:r>
        <w:rPr>
          <w:noProof/>
        </w:rPr>
        <w:fldChar w:fldCharType="begin"/>
      </w:r>
      <w:r>
        <w:rPr>
          <w:noProof/>
        </w:rPr>
        <w:instrText xml:space="preserve"> PAGEREF _Toc387322679 \h </w:instrText>
      </w:r>
      <w:r>
        <w:rPr>
          <w:noProof/>
        </w:rPr>
      </w:r>
      <w:r>
        <w:rPr>
          <w:noProof/>
        </w:rPr>
        <w:fldChar w:fldCharType="separate"/>
      </w:r>
      <w:r w:rsidR="00B33A1D">
        <w:rPr>
          <w:noProof/>
        </w:rPr>
        <w:t>39</w:t>
      </w:r>
      <w:r>
        <w:rPr>
          <w:noProof/>
        </w:rPr>
        <w:fldChar w:fldCharType="end"/>
      </w:r>
    </w:p>
    <w:p w14:paraId="5476D913" w14:textId="77777777" w:rsidR="00F15C5A" w:rsidRDefault="00F15C5A">
      <w:pPr>
        <w:pStyle w:val="TOC2"/>
        <w:tabs>
          <w:tab w:val="right" w:leader="dot" w:pos="8290"/>
        </w:tabs>
        <w:rPr>
          <w:rFonts w:asciiTheme="minorHAnsi" w:eastAsiaTheme="minorEastAsia" w:hAnsiTheme="minorHAnsi" w:cstheme="minorBidi"/>
          <w:noProof/>
          <w:sz w:val="22"/>
          <w:szCs w:val="22"/>
          <w:lang w:eastAsia="en-AU"/>
        </w:rPr>
      </w:pPr>
      <w:r>
        <w:rPr>
          <w:noProof/>
        </w:rPr>
        <w:t>Criteria for Selection of Projects for Funding from the Flexible Fund</w:t>
      </w:r>
      <w:r>
        <w:rPr>
          <w:noProof/>
        </w:rPr>
        <w:tab/>
      </w:r>
      <w:r>
        <w:rPr>
          <w:noProof/>
        </w:rPr>
        <w:fldChar w:fldCharType="begin"/>
      </w:r>
      <w:r>
        <w:rPr>
          <w:noProof/>
        </w:rPr>
        <w:instrText xml:space="preserve"> PAGEREF _Toc387322680 \h </w:instrText>
      </w:r>
      <w:r>
        <w:rPr>
          <w:noProof/>
        </w:rPr>
      </w:r>
      <w:r>
        <w:rPr>
          <w:noProof/>
        </w:rPr>
        <w:fldChar w:fldCharType="separate"/>
      </w:r>
      <w:r w:rsidR="00B33A1D">
        <w:rPr>
          <w:noProof/>
        </w:rPr>
        <w:t>39</w:t>
      </w:r>
      <w:r>
        <w:rPr>
          <w:noProof/>
        </w:rPr>
        <w:fldChar w:fldCharType="end"/>
      </w:r>
    </w:p>
    <w:p w14:paraId="6E728C9C" w14:textId="77777777" w:rsidR="00F15C5A" w:rsidRDefault="00F15C5A">
      <w:pPr>
        <w:pStyle w:val="TOC2"/>
        <w:tabs>
          <w:tab w:val="right" w:leader="dot" w:pos="8290"/>
        </w:tabs>
        <w:rPr>
          <w:rFonts w:asciiTheme="minorHAnsi" w:eastAsiaTheme="minorEastAsia" w:hAnsiTheme="minorHAnsi" w:cstheme="minorBidi"/>
          <w:noProof/>
          <w:sz w:val="22"/>
          <w:szCs w:val="22"/>
          <w:lang w:eastAsia="en-AU"/>
        </w:rPr>
      </w:pPr>
      <w:r>
        <w:rPr>
          <w:noProof/>
        </w:rPr>
        <w:t>Proposals for Funding for the Flexible Fund</w:t>
      </w:r>
      <w:r>
        <w:rPr>
          <w:noProof/>
        </w:rPr>
        <w:tab/>
      </w:r>
      <w:r>
        <w:rPr>
          <w:noProof/>
        </w:rPr>
        <w:fldChar w:fldCharType="begin"/>
      </w:r>
      <w:r>
        <w:rPr>
          <w:noProof/>
        </w:rPr>
        <w:instrText xml:space="preserve"> PAGEREF _Toc387322681 \h </w:instrText>
      </w:r>
      <w:r>
        <w:rPr>
          <w:noProof/>
        </w:rPr>
      </w:r>
      <w:r>
        <w:rPr>
          <w:noProof/>
        </w:rPr>
        <w:fldChar w:fldCharType="separate"/>
      </w:r>
      <w:r w:rsidR="00B33A1D">
        <w:rPr>
          <w:noProof/>
        </w:rPr>
        <w:t>39</w:t>
      </w:r>
      <w:r>
        <w:rPr>
          <w:noProof/>
        </w:rPr>
        <w:fldChar w:fldCharType="end"/>
      </w:r>
    </w:p>
    <w:p w14:paraId="3B892D4A" w14:textId="77777777" w:rsidR="00F15C5A" w:rsidRDefault="00F15C5A">
      <w:pPr>
        <w:pStyle w:val="TOC2"/>
        <w:tabs>
          <w:tab w:val="right" w:leader="dot" w:pos="8290"/>
        </w:tabs>
        <w:rPr>
          <w:rFonts w:asciiTheme="minorHAnsi" w:eastAsiaTheme="minorEastAsia" w:hAnsiTheme="minorHAnsi" w:cstheme="minorBidi"/>
          <w:noProof/>
          <w:sz w:val="22"/>
          <w:szCs w:val="22"/>
          <w:lang w:eastAsia="en-AU"/>
        </w:rPr>
      </w:pPr>
      <w:r>
        <w:rPr>
          <w:noProof/>
        </w:rPr>
        <w:t>Approving the Use of Flexible Funds</w:t>
      </w:r>
      <w:r>
        <w:rPr>
          <w:noProof/>
        </w:rPr>
        <w:tab/>
      </w:r>
      <w:r>
        <w:rPr>
          <w:noProof/>
        </w:rPr>
        <w:fldChar w:fldCharType="begin"/>
      </w:r>
      <w:r>
        <w:rPr>
          <w:noProof/>
        </w:rPr>
        <w:instrText xml:space="preserve"> PAGEREF _Toc387322682 \h </w:instrText>
      </w:r>
      <w:r>
        <w:rPr>
          <w:noProof/>
        </w:rPr>
      </w:r>
      <w:r>
        <w:rPr>
          <w:noProof/>
        </w:rPr>
        <w:fldChar w:fldCharType="separate"/>
      </w:r>
      <w:r w:rsidR="00B33A1D">
        <w:rPr>
          <w:noProof/>
        </w:rPr>
        <w:t>40</w:t>
      </w:r>
      <w:r>
        <w:rPr>
          <w:noProof/>
        </w:rPr>
        <w:fldChar w:fldCharType="end"/>
      </w:r>
    </w:p>
    <w:p w14:paraId="189B4A06" w14:textId="77777777" w:rsidR="00F15C5A" w:rsidRDefault="00F15C5A">
      <w:pPr>
        <w:pStyle w:val="TOC2"/>
        <w:tabs>
          <w:tab w:val="right" w:leader="dot" w:pos="8290"/>
        </w:tabs>
        <w:rPr>
          <w:rFonts w:asciiTheme="minorHAnsi" w:eastAsiaTheme="minorEastAsia" w:hAnsiTheme="minorHAnsi" w:cstheme="minorBidi"/>
          <w:noProof/>
          <w:sz w:val="22"/>
          <w:szCs w:val="22"/>
          <w:lang w:eastAsia="en-AU"/>
        </w:rPr>
      </w:pPr>
      <w:r>
        <w:rPr>
          <w:noProof/>
        </w:rPr>
        <w:t>Use of Funds</w:t>
      </w:r>
      <w:r>
        <w:rPr>
          <w:noProof/>
        </w:rPr>
        <w:tab/>
      </w:r>
      <w:r>
        <w:rPr>
          <w:noProof/>
        </w:rPr>
        <w:fldChar w:fldCharType="begin"/>
      </w:r>
      <w:r>
        <w:rPr>
          <w:noProof/>
        </w:rPr>
        <w:instrText xml:space="preserve"> PAGEREF _Toc387322683 \h </w:instrText>
      </w:r>
      <w:r>
        <w:rPr>
          <w:noProof/>
        </w:rPr>
      </w:r>
      <w:r>
        <w:rPr>
          <w:noProof/>
        </w:rPr>
        <w:fldChar w:fldCharType="separate"/>
      </w:r>
      <w:r w:rsidR="00B33A1D">
        <w:rPr>
          <w:noProof/>
        </w:rPr>
        <w:t>40</w:t>
      </w:r>
      <w:r>
        <w:rPr>
          <w:noProof/>
        </w:rPr>
        <w:fldChar w:fldCharType="end"/>
      </w:r>
    </w:p>
    <w:p w14:paraId="18738F5D" w14:textId="77777777" w:rsidR="00F15C5A" w:rsidRDefault="00F15C5A">
      <w:pPr>
        <w:pStyle w:val="TOC1"/>
        <w:rPr>
          <w:rFonts w:asciiTheme="minorHAnsi" w:eastAsiaTheme="minorEastAsia" w:hAnsiTheme="minorHAnsi" w:cstheme="minorBidi"/>
          <w:b w:val="0"/>
          <w:sz w:val="22"/>
          <w:szCs w:val="22"/>
          <w:lang w:eastAsia="en-AU"/>
        </w:rPr>
      </w:pPr>
      <w:r w:rsidRPr="00522858">
        <w:t>Appendix 4: Indicative Table of Contents for RCV Operation Manual</w:t>
      </w:r>
      <w:r>
        <w:tab/>
      </w:r>
      <w:r>
        <w:fldChar w:fldCharType="begin"/>
      </w:r>
      <w:r>
        <w:instrText xml:space="preserve"> PAGEREF _Toc387322684 \h </w:instrText>
      </w:r>
      <w:r>
        <w:fldChar w:fldCharType="separate"/>
      </w:r>
      <w:r w:rsidR="00B33A1D">
        <w:t>41</w:t>
      </w:r>
      <w:r>
        <w:fldChar w:fldCharType="end"/>
      </w:r>
    </w:p>
    <w:p w14:paraId="244FABB1" w14:textId="77777777" w:rsidR="00F15C5A" w:rsidRDefault="00F15C5A">
      <w:pPr>
        <w:pStyle w:val="TOC1"/>
        <w:rPr>
          <w:rFonts w:asciiTheme="minorHAnsi" w:eastAsiaTheme="minorEastAsia" w:hAnsiTheme="minorHAnsi" w:cstheme="minorBidi"/>
          <w:b w:val="0"/>
          <w:sz w:val="22"/>
          <w:szCs w:val="22"/>
          <w:lang w:eastAsia="en-AU"/>
        </w:rPr>
      </w:pPr>
      <w:r>
        <w:t>Appendix 5: Risk Management Plan</w:t>
      </w:r>
      <w:r>
        <w:tab/>
      </w:r>
      <w:r>
        <w:fldChar w:fldCharType="begin"/>
      </w:r>
      <w:r>
        <w:instrText xml:space="preserve"> PAGEREF _Toc387322685 \h </w:instrText>
      </w:r>
      <w:r>
        <w:fldChar w:fldCharType="separate"/>
      </w:r>
      <w:r w:rsidR="00B33A1D">
        <w:t>42</w:t>
      </w:r>
      <w:r>
        <w:fldChar w:fldCharType="end"/>
      </w:r>
    </w:p>
    <w:p w14:paraId="1F7A7507" w14:textId="77777777" w:rsidR="00F15C5A" w:rsidRDefault="00F15C5A">
      <w:pPr>
        <w:pStyle w:val="TOC1"/>
        <w:rPr>
          <w:rFonts w:asciiTheme="minorHAnsi" w:eastAsiaTheme="minorEastAsia" w:hAnsiTheme="minorHAnsi" w:cstheme="minorBidi"/>
          <w:b w:val="0"/>
          <w:sz w:val="22"/>
          <w:szCs w:val="22"/>
          <w:lang w:eastAsia="en-AU"/>
        </w:rPr>
      </w:pPr>
      <w:r w:rsidRPr="00F15C5A">
        <w:t>Appendix</w:t>
      </w:r>
      <w:r>
        <w:t xml:space="preserve"> 6: </w:t>
      </w:r>
      <w:r w:rsidRPr="00522858">
        <w:rPr>
          <w:lang w:val="en-GB"/>
        </w:rPr>
        <w:t>Direct Funding Agreement</w:t>
      </w:r>
      <w:r>
        <w:tab/>
      </w:r>
      <w:r>
        <w:fldChar w:fldCharType="begin"/>
      </w:r>
      <w:r>
        <w:instrText xml:space="preserve"> PAGEREF _Toc387322686 \h </w:instrText>
      </w:r>
      <w:r>
        <w:fldChar w:fldCharType="separate"/>
      </w:r>
      <w:r w:rsidR="00B33A1D">
        <w:t>47</w:t>
      </w:r>
      <w:r>
        <w:fldChar w:fldCharType="end"/>
      </w:r>
    </w:p>
    <w:p w14:paraId="659A1CE6" w14:textId="77777777" w:rsidR="00F15C5A" w:rsidRDefault="00F15C5A">
      <w:pPr>
        <w:pStyle w:val="TOC2"/>
        <w:tabs>
          <w:tab w:val="right" w:leader="dot" w:pos="8290"/>
        </w:tabs>
        <w:rPr>
          <w:rFonts w:asciiTheme="minorHAnsi" w:eastAsiaTheme="minorEastAsia" w:hAnsiTheme="minorHAnsi" w:cstheme="minorBidi"/>
          <w:noProof/>
          <w:sz w:val="22"/>
          <w:szCs w:val="22"/>
          <w:lang w:eastAsia="en-AU"/>
        </w:rPr>
      </w:pPr>
      <w:r>
        <w:rPr>
          <w:noProof/>
        </w:rPr>
        <w:t>Planned Development Outcomes</w:t>
      </w:r>
      <w:r>
        <w:rPr>
          <w:noProof/>
        </w:rPr>
        <w:tab/>
      </w:r>
      <w:r>
        <w:rPr>
          <w:noProof/>
        </w:rPr>
        <w:fldChar w:fldCharType="begin"/>
      </w:r>
      <w:r>
        <w:rPr>
          <w:noProof/>
        </w:rPr>
        <w:instrText xml:space="preserve"> PAGEREF _Toc387322688 \h </w:instrText>
      </w:r>
      <w:r>
        <w:rPr>
          <w:noProof/>
        </w:rPr>
      </w:r>
      <w:r>
        <w:rPr>
          <w:noProof/>
        </w:rPr>
        <w:fldChar w:fldCharType="separate"/>
      </w:r>
      <w:r w:rsidR="00B33A1D">
        <w:rPr>
          <w:noProof/>
        </w:rPr>
        <w:t>60</w:t>
      </w:r>
      <w:r>
        <w:rPr>
          <w:noProof/>
        </w:rPr>
        <w:fldChar w:fldCharType="end"/>
      </w:r>
    </w:p>
    <w:p w14:paraId="64538BEE" w14:textId="77777777" w:rsidR="00F15C5A" w:rsidRDefault="00F15C5A">
      <w:pPr>
        <w:pStyle w:val="TOC2"/>
        <w:tabs>
          <w:tab w:val="right" w:leader="dot" w:pos="8290"/>
        </w:tabs>
        <w:rPr>
          <w:rFonts w:asciiTheme="minorHAnsi" w:eastAsiaTheme="minorEastAsia" w:hAnsiTheme="minorHAnsi" w:cstheme="minorBidi"/>
          <w:noProof/>
          <w:sz w:val="22"/>
          <w:szCs w:val="22"/>
          <w:lang w:eastAsia="en-AU"/>
        </w:rPr>
      </w:pPr>
      <w:r>
        <w:rPr>
          <w:noProof/>
        </w:rPr>
        <w:t>Timeframe and Resource Commitments</w:t>
      </w:r>
      <w:r>
        <w:rPr>
          <w:noProof/>
        </w:rPr>
        <w:tab/>
      </w:r>
      <w:r>
        <w:rPr>
          <w:noProof/>
        </w:rPr>
        <w:fldChar w:fldCharType="begin"/>
      </w:r>
      <w:r>
        <w:rPr>
          <w:noProof/>
        </w:rPr>
        <w:instrText xml:space="preserve"> PAGEREF _Toc387322689 \h </w:instrText>
      </w:r>
      <w:r>
        <w:rPr>
          <w:noProof/>
        </w:rPr>
      </w:r>
      <w:r>
        <w:rPr>
          <w:noProof/>
        </w:rPr>
        <w:fldChar w:fldCharType="separate"/>
      </w:r>
      <w:r w:rsidR="00B33A1D">
        <w:rPr>
          <w:noProof/>
        </w:rPr>
        <w:t>61</w:t>
      </w:r>
      <w:r>
        <w:rPr>
          <w:noProof/>
        </w:rPr>
        <w:fldChar w:fldCharType="end"/>
      </w:r>
    </w:p>
    <w:p w14:paraId="742C0445" w14:textId="77777777" w:rsidR="00F15C5A" w:rsidRDefault="00F15C5A">
      <w:pPr>
        <w:pStyle w:val="TOC2"/>
        <w:tabs>
          <w:tab w:val="right" w:leader="dot" w:pos="8290"/>
        </w:tabs>
        <w:rPr>
          <w:noProof/>
        </w:rPr>
      </w:pPr>
      <w:r>
        <w:rPr>
          <w:noProof/>
        </w:rPr>
        <w:t>Delivery Approach and Key Partnerships</w:t>
      </w:r>
      <w:r>
        <w:rPr>
          <w:noProof/>
        </w:rPr>
        <w:tab/>
      </w:r>
      <w:r>
        <w:rPr>
          <w:noProof/>
        </w:rPr>
        <w:fldChar w:fldCharType="begin"/>
      </w:r>
      <w:r>
        <w:rPr>
          <w:noProof/>
        </w:rPr>
        <w:instrText xml:space="preserve"> PAGEREF _Toc387322690 \h </w:instrText>
      </w:r>
      <w:r>
        <w:rPr>
          <w:noProof/>
        </w:rPr>
      </w:r>
      <w:r>
        <w:rPr>
          <w:noProof/>
        </w:rPr>
        <w:fldChar w:fldCharType="separate"/>
      </w:r>
      <w:r w:rsidR="00B33A1D">
        <w:rPr>
          <w:noProof/>
        </w:rPr>
        <w:t>61</w:t>
      </w:r>
      <w:r>
        <w:rPr>
          <w:noProof/>
        </w:rPr>
        <w:fldChar w:fldCharType="end"/>
      </w:r>
    </w:p>
    <w:p w14:paraId="385B455A" w14:textId="786E1ED8" w:rsidR="00F15C5A" w:rsidRPr="00F15C5A" w:rsidRDefault="00F15C5A" w:rsidP="00F15C5A">
      <w:pPr>
        <w:ind w:right="-1339"/>
        <w:rPr>
          <w:rFonts w:cs="Arial"/>
          <w:b/>
          <w:noProof/>
          <w:sz w:val="24"/>
        </w:rPr>
      </w:pPr>
      <w:r w:rsidRPr="00F15C5A">
        <w:rPr>
          <w:b/>
          <w:noProof/>
          <w:sz w:val="24"/>
        </w:rPr>
        <w:t>A</w:t>
      </w:r>
      <w:r w:rsidRPr="00F15C5A">
        <w:rPr>
          <w:rFonts w:cs="Arial"/>
          <w:b/>
          <w:noProof/>
          <w:sz w:val="24"/>
        </w:rPr>
        <w:t xml:space="preserve">ppendix </w:t>
      </w:r>
      <w:r>
        <w:rPr>
          <w:rFonts w:cs="Arial"/>
          <w:b/>
          <w:noProof/>
          <w:sz w:val="24"/>
        </w:rPr>
        <w:t>7</w:t>
      </w:r>
      <w:r w:rsidRPr="00F15C5A">
        <w:rPr>
          <w:rFonts w:cs="Arial"/>
          <w:b/>
          <w:noProof/>
          <w:sz w:val="24"/>
        </w:rPr>
        <w:t xml:space="preserve">: </w:t>
      </w:r>
      <w:r>
        <w:rPr>
          <w:rFonts w:cs="Arial"/>
          <w:b/>
          <w:noProof/>
          <w:sz w:val="24"/>
        </w:rPr>
        <w:t>Component Implementation Schedule</w:t>
      </w:r>
      <w:r>
        <w:rPr>
          <w:rFonts w:cs="Arial"/>
          <w:b/>
          <w:noProof/>
          <w:sz w:val="24"/>
        </w:rPr>
        <w:tab/>
        <w:t>………………………………………65</w:t>
      </w:r>
    </w:p>
    <w:p w14:paraId="3BAF38F0" w14:textId="77777777" w:rsidR="00384E34" w:rsidRPr="00986221" w:rsidRDefault="00933704" w:rsidP="00933704">
      <w:pPr>
        <w:rPr>
          <w:rFonts w:cs="Arial"/>
        </w:rPr>
      </w:pPr>
      <w:r w:rsidRPr="00986221">
        <w:rPr>
          <w:rFonts w:cs="Arial"/>
        </w:rPr>
        <w:fldChar w:fldCharType="end"/>
      </w:r>
      <w:r w:rsidR="0046587F" w:rsidRPr="00986221">
        <w:rPr>
          <w:rFonts w:cs="Arial"/>
        </w:rPr>
        <w:t xml:space="preserve">  </w:t>
      </w:r>
    </w:p>
    <w:p w14:paraId="28A84A22" w14:textId="77777777" w:rsidR="006100D3" w:rsidRDefault="006100D3">
      <w:pPr>
        <w:spacing w:before="0"/>
        <w:rPr>
          <w:rFonts w:eastAsiaTheme="majorEastAsia" w:cs="Arial"/>
          <w:b/>
          <w:bCs/>
          <w:color w:val="345A8A" w:themeColor="accent1" w:themeShade="B5"/>
          <w:sz w:val="32"/>
          <w:szCs w:val="32"/>
        </w:rPr>
      </w:pPr>
      <w:r>
        <w:rPr>
          <w:rFonts w:cs="Arial"/>
        </w:rPr>
        <w:br w:type="page"/>
      </w:r>
    </w:p>
    <w:p w14:paraId="62CD04D1" w14:textId="6C984552" w:rsidR="00997E27" w:rsidRPr="00986221" w:rsidRDefault="00997E27" w:rsidP="00015DC1">
      <w:pPr>
        <w:pStyle w:val="Heading1"/>
        <w:numPr>
          <w:ilvl w:val="0"/>
          <w:numId w:val="0"/>
        </w:numPr>
        <w:ind w:left="720"/>
        <w:jc w:val="center"/>
        <w:rPr>
          <w:rFonts w:ascii="Arial" w:hAnsi="Arial" w:cs="Arial"/>
        </w:rPr>
      </w:pPr>
      <w:bookmarkStart w:id="3" w:name="_Toc387322624"/>
      <w:r w:rsidRPr="00986221">
        <w:rPr>
          <w:rFonts w:ascii="Arial" w:hAnsi="Arial" w:cs="Arial"/>
        </w:rPr>
        <w:lastRenderedPageBreak/>
        <w:t>Acronyms</w:t>
      </w:r>
      <w:bookmarkEnd w:id="3"/>
    </w:p>
    <w:p w14:paraId="0E4C0119" w14:textId="77777777" w:rsidR="00015DC1" w:rsidRPr="00986221" w:rsidRDefault="00015DC1" w:rsidP="00015DC1">
      <w:pPr>
        <w:rPr>
          <w:rFonts w:cs="Arial"/>
        </w:rPr>
      </w:pPr>
    </w:p>
    <w:tbl>
      <w:tblPr>
        <w:tblW w:w="0" w:type="auto"/>
        <w:tblLook w:val="04A0" w:firstRow="1" w:lastRow="0" w:firstColumn="1" w:lastColumn="0" w:noHBand="0" w:noVBand="1"/>
      </w:tblPr>
      <w:tblGrid>
        <w:gridCol w:w="1242"/>
        <w:gridCol w:w="7274"/>
      </w:tblGrid>
      <w:tr w:rsidR="00F56240" w:rsidRPr="00986221" w14:paraId="3066D041" w14:textId="77777777" w:rsidTr="00B03BD3">
        <w:tc>
          <w:tcPr>
            <w:tcW w:w="1242" w:type="dxa"/>
            <w:shd w:val="clear" w:color="auto" w:fill="auto"/>
          </w:tcPr>
          <w:p w14:paraId="4726EAFC" w14:textId="73502A4C" w:rsidR="00F56240" w:rsidRPr="00986221" w:rsidRDefault="00F56240" w:rsidP="00A73D23">
            <w:pPr>
              <w:spacing w:before="60" w:after="60"/>
              <w:rPr>
                <w:rFonts w:cs="Arial"/>
              </w:rPr>
            </w:pPr>
            <w:r w:rsidRPr="00986221">
              <w:rPr>
                <w:rFonts w:cs="Arial"/>
              </w:rPr>
              <w:t>ACCC</w:t>
            </w:r>
          </w:p>
        </w:tc>
        <w:tc>
          <w:tcPr>
            <w:tcW w:w="7274" w:type="dxa"/>
            <w:shd w:val="clear" w:color="auto" w:fill="auto"/>
          </w:tcPr>
          <w:p w14:paraId="3B11AEAC" w14:textId="3DA55A2B" w:rsidR="00F56240" w:rsidRPr="00986221" w:rsidRDefault="00F56240" w:rsidP="00A73D23">
            <w:pPr>
              <w:spacing w:before="60" w:after="60"/>
              <w:rPr>
                <w:rFonts w:cs="Arial"/>
              </w:rPr>
            </w:pPr>
            <w:r w:rsidRPr="00986221">
              <w:rPr>
                <w:rFonts w:cs="Arial"/>
              </w:rPr>
              <w:t>Australian Competition and Consumer Commission</w:t>
            </w:r>
          </w:p>
        </w:tc>
      </w:tr>
      <w:tr w:rsidR="00015DC1" w:rsidRPr="00986221" w14:paraId="408218BB" w14:textId="77777777" w:rsidTr="00B03BD3">
        <w:tc>
          <w:tcPr>
            <w:tcW w:w="1242" w:type="dxa"/>
            <w:shd w:val="clear" w:color="auto" w:fill="auto"/>
          </w:tcPr>
          <w:p w14:paraId="19EAD8B4" w14:textId="77777777" w:rsidR="00015DC1" w:rsidRPr="00986221" w:rsidRDefault="00015DC1" w:rsidP="00A73D23">
            <w:pPr>
              <w:spacing w:before="60" w:after="60"/>
              <w:rPr>
                <w:rFonts w:cs="Arial"/>
              </w:rPr>
            </w:pPr>
            <w:r w:rsidRPr="00986221">
              <w:rPr>
                <w:rFonts w:cs="Arial"/>
              </w:rPr>
              <w:t>AEC</w:t>
            </w:r>
          </w:p>
        </w:tc>
        <w:tc>
          <w:tcPr>
            <w:tcW w:w="7274" w:type="dxa"/>
            <w:shd w:val="clear" w:color="auto" w:fill="auto"/>
          </w:tcPr>
          <w:p w14:paraId="61882F0E" w14:textId="77777777" w:rsidR="00015DC1" w:rsidRPr="00986221" w:rsidRDefault="00015DC1" w:rsidP="00A73D23">
            <w:pPr>
              <w:spacing w:before="60" w:after="60"/>
              <w:rPr>
                <w:rFonts w:cs="Arial"/>
              </w:rPr>
            </w:pPr>
            <w:r w:rsidRPr="00986221">
              <w:rPr>
                <w:rFonts w:cs="Arial"/>
              </w:rPr>
              <w:t>ASEAN Economic Community</w:t>
            </w:r>
          </w:p>
        </w:tc>
      </w:tr>
      <w:tr w:rsidR="00015DC1" w:rsidRPr="00986221" w14:paraId="6782241F" w14:textId="77777777" w:rsidTr="00B03BD3">
        <w:tc>
          <w:tcPr>
            <w:tcW w:w="1242" w:type="dxa"/>
            <w:shd w:val="clear" w:color="auto" w:fill="auto"/>
          </w:tcPr>
          <w:p w14:paraId="59FBA64F" w14:textId="77777777" w:rsidR="00015DC1" w:rsidRPr="00986221" w:rsidRDefault="00015DC1" w:rsidP="00A73D23">
            <w:pPr>
              <w:spacing w:before="60" w:after="60"/>
              <w:rPr>
                <w:rFonts w:cs="Arial"/>
              </w:rPr>
            </w:pPr>
            <w:r w:rsidRPr="00986221">
              <w:rPr>
                <w:rFonts w:cs="Arial"/>
              </w:rPr>
              <w:t>AFTA</w:t>
            </w:r>
          </w:p>
        </w:tc>
        <w:tc>
          <w:tcPr>
            <w:tcW w:w="7274" w:type="dxa"/>
            <w:shd w:val="clear" w:color="auto" w:fill="auto"/>
          </w:tcPr>
          <w:p w14:paraId="2627FF84" w14:textId="77777777" w:rsidR="00015DC1" w:rsidRPr="00986221" w:rsidRDefault="00015DC1" w:rsidP="00A73D23">
            <w:pPr>
              <w:spacing w:before="60" w:after="60"/>
              <w:rPr>
                <w:rFonts w:cs="Arial"/>
              </w:rPr>
            </w:pPr>
            <w:r w:rsidRPr="00986221">
              <w:rPr>
                <w:rFonts w:cs="Arial"/>
              </w:rPr>
              <w:t>ASEAN Free Trade Agreement</w:t>
            </w:r>
          </w:p>
        </w:tc>
      </w:tr>
      <w:tr w:rsidR="00807014" w:rsidRPr="00986221" w14:paraId="6807C4F5" w14:textId="77777777" w:rsidTr="00B03BD3">
        <w:tc>
          <w:tcPr>
            <w:tcW w:w="1242" w:type="dxa"/>
            <w:shd w:val="clear" w:color="auto" w:fill="auto"/>
          </w:tcPr>
          <w:p w14:paraId="28C2D37D" w14:textId="4592ED31" w:rsidR="00807014" w:rsidRPr="00986221" w:rsidRDefault="00807014" w:rsidP="00A73D23">
            <w:pPr>
              <w:spacing w:before="60" w:after="60"/>
              <w:rPr>
                <w:rFonts w:cs="Arial"/>
              </w:rPr>
            </w:pPr>
            <w:r w:rsidRPr="00986221">
              <w:rPr>
                <w:rFonts w:cs="Arial"/>
              </w:rPr>
              <w:t>AICD</w:t>
            </w:r>
          </w:p>
        </w:tc>
        <w:tc>
          <w:tcPr>
            <w:tcW w:w="7274" w:type="dxa"/>
            <w:shd w:val="clear" w:color="auto" w:fill="auto"/>
          </w:tcPr>
          <w:p w14:paraId="553832F5" w14:textId="61CBA9F2" w:rsidR="00807014" w:rsidRPr="00986221" w:rsidRDefault="00807014" w:rsidP="00A73D23">
            <w:pPr>
              <w:spacing w:before="60" w:after="60"/>
              <w:rPr>
                <w:rFonts w:cs="Arial"/>
              </w:rPr>
            </w:pPr>
            <w:r w:rsidRPr="00986221">
              <w:rPr>
                <w:rFonts w:cs="Arial"/>
              </w:rPr>
              <w:t>Australian Institute of Company Directors</w:t>
            </w:r>
          </w:p>
        </w:tc>
      </w:tr>
      <w:tr w:rsidR="00F56240" w:rsidRPr="00986221" w14:paraId="4952B5F2" w14:textId="77777777" w:rsidTr="00B03BD3">
        <w:tc>
          <w:tcPr>
            <w:tcW w:w="1242" w:type="dxa"/>
            <w:shd w:val="clear" w:color="auto" w:fill="auto"/>
          </w:tcPr>
          <w:p w14:paraId="0489FDEB" w14:textId="051AE9EC" w:rsidR="00F56240" w:rsidRPr="00986221" w:rsidRDefault="00F56240" w:rsidP="00A73D23">
            <w:pPr>
              <w:spacing w:before="60" w:after="60"/>
              <w:rPr>
                <w:rFonts w:cs="Arial"/>
              </w:rPr>
            </w:pPr>
            <w:r w:rsidRPr="00986221">
              <w:rPr>
                <w:rFonts w:cs="Arial"/>
              </w:rPr>
              <w:t>ANU</w:t>
            </w:r>
          </w:p>
        </w:tc>
        <w:tc>
          <w:tcPr>
            <w:tcW w:w="7274" w:type="dxa"/>
            <w:shd w:val="clear" w:color="auto" w:fill="auto"/>
          </w:tcPr>
          <w:p w14:paraId="3CDEC5B0" w14:textId="748CB083" w:rsidR="00F56240" w:rsidRPr="00986221" w:rsidRDefault="00F56240" w:rsidP="00A73D23">
            <w:pPr>
              <w:spacing w:before="60" w:after="60"/>
              <w:rPr>
                <w:rFonts w:cs="Arial"/>
              </w:rPr>
            </w:pPr>
            <w:r w:rsidRPr="00986221">
              <w:rPr>
                <w:rFonts w:cs="Arial"/>
              </w:rPr>
              <w:t>Australian National University</w:t>
            </w:r>
          </w:p>
        </w:tc>
      </w:tr>
      <w:tr w:rsidR="00015DC1" w:rsidRPr="00986221" w14:paraId="3ACF9329" w14:textId="77777777" w:rsidTr="00B03BD3">
        <w:tc>
          <w:tcPr>
            <w:tcW w:w="1242" w:type="dxa"/>
            <w:shd w:val="clear" w:color="auto" w:fill="auto"/>
          </w:tcPr>
          <w:p w14:paraId="06B0A9CF" w14:textId="77777777" w:rsidR="00015DC1" w:rsidRPr="00986221" w:rsidRDefault="00015DC1" w:rsidP="00A73D23">
            <w:pPr>
              <w:spacing w:before="60" w:after="60"/>
              <w:rPr>
                <w:rFonts w:cs="Arial"/>
              </w:rPr>
            </w:pPr>
            <w:r w:rsidRPr="00986221">
              <w:rPr>
                <w:rFonts w:cs="Arial"/>
              </w:rPr>
              <w:t>APEC</w:t>
            </w:r>
          </w:p>
        </w:tc>
        <w:tc>
          <w:tcPr>
            <w:tcW w:w="7274" w:type="dxa"/>
            <w:shd w:val="clear" w:color="auto" w:fill="auto"/>
          </w:tcPr>
          <w:p w14:paraId="426F16EE" w14:textId="77777777" w:rsidR="00015DC1" w:rsidRPr="00986221" w:rsidRDefault="00015DC1" w:rsidP="00A73D23">
            <w:pPr>
              <w:spacing w:before="60" w:after="60"/>
              <w:rPr>
                <w:rFonts w:cs="Arial"/>
              </w:rPr>
            </w:pPr>
            <w:r w:rsidRPr="00986221">
              <w:rPr>
                <w:rFonts w:cs="Arial"/>
              </w:rPr>
              <w:t>Asia Pacific Economic Cooperation</w:t>
            </w:r>
          </w:p>
        </w:tc>
      </w:tr>
      <w:tr w:rsidR="00015DC1" w:rsidRPr="00986221" w14:paraId="01906CBB" w14:textId="77777777" w:rsidTr="00B03BD3">
        <w:tc>
          <w:tcPr>
            <w:tcW w:w="1242" w:type="dxa"/>
            <w:shd w:val="clear" w:color="auto" w:fill="auto"/>
          </w:tcPr>
          <w:p w14:paraId="484D588C" w14:textId="77777777" w:rsidR="00015DC1" w:rsidRPr="00986221" w:rsidRDefault="00015DC1" w:rsidP="00A73D23">
            <w:pPr>
              <w:spacing w:before="60" w:after="60"/>
              <w:rPr>
                <w:rFonts w:cs="Arial"/>
              </w:rPr>
            </w:pPr>
            <w:r w:rsidRPr="00986221">
              <w:rPr>
                <w:rFonts w:cs="Arial"/>
              </w:rPr>
              <w:t>ASEAN</w:t>
            </w:r>
          </w:p>
        </w:tc>
        <w:tc>
          <w:tcPr>
            <w:tcW w:w="7274" w:type="dxa"/>
            <w:shd w:val="clear" w:color="auto" w:fill="auto"/>
          </w:tcPr>
          <w:p w14:paraId="5A4AC5BB" w14:textId="77777777" w:rsidR="00015DC1" w:rsidRPr="00986221" w:rsidRDefault="00015DC1" w:rsidP="00A73D23">
            <w:pPr>
              <w:spacing w:before="60" w:after="60"/>
              <w:rPr>
                <w:rFonts w:cs="Arial"/>
              </w:rPr>
            </w:pPr>
            <w:r w:rsidRPr="00986221">
              <w:rPr>
                <w:rFonts w:cs="Arial"/>
              </w:rPr>
              <w:t>Association of Southeast Asian Nations</w:t>
            </w:r>
          </w:p>
        </w:tc>
      </w:tr>
      <w:tr w:rsidR="00015DC1" w:rsidRPr="00986221" w14:paraId="3F334005" w14:textId="77777777" w:rsidTr="00B03BD3">
        <w:tc>
          <w:tcPr>
            <w:tcW w:w="1242" w:type="dxa"/>
            <w:shd w:val="clear" w:color="auto" w:fill="auto"/>
          </w:tcPr>
          <w:p w14:paraId="1CA7F496" w14:textId="77777777" w:rsidR="00015DC1" w:rsidRPr="00986221" w:rsidRDefault="00015DC1" w:rsidP="00A73D23">
            <w:pPr>
              <w:spacing w:before="60" w:after="60"/>
              <w:rPr>
                <w:rFonts w:cs="Arial"/>
              </w:rPr>
            </w:pPr>
            <w:r w:rsidRPr="00986221">
              <w:rPr>
                <w:rFonts w:cs="Arial"/>
              </w:rPr>
              <w:t>AUD</w:t>
            </w:r>
          </w:p>
        </w:tc>
        <w:tc>
          <w:tcPr>
            <w:tcW w:w="7274" w:type="dxa"/>
            <w:shd w:val="clear" w:color="auto" w:fill="auto"/>
          </w:tcPr>
          <w:p w14:paraId="725EF03D" w14:textId="77777777" w:rsidR="00015DC1" w:rsidRPr="00986221" w:rsidRDefault="00015DC1" w:rsidP="00A73D23">
            <w:pPr>
              <w:spacing w:before="60" w:after="60"/>
              <w:rPr>
                <w:rFonts w:cs="Arial"/>
              </w:rPr>
            </w:pPr>
            <w:r w:rsidRPr="00986221">
              <w:rPr>
                <w:rFonts w:cs="Arial"/>
              </w:rPr>
              <w:t>Australian Dollar</w:t>
            </w:r>
          </w:p>
        </w:tc>
      </w:tr>
      <w:tr w:rsidR="00015DC1" w:rsidRPr="00986221" w14:paraId="0871AF51" w14:textId="77777777" w:rsidTr="00B03BD3">
        <w:tc>
          <w:tcPr>
            <w:tcW w:w="1242" w:type="dxa"/>
            <w:shd w:val="clear" w:color="auto" w:fill="auto"/>
          </w:tcPr>
          <w:p w14:paraId="2C2BD89C" w14:textId="77777777" w:rsidR="00015DC1" w:rsidRPr="00986221" w:rsidRDefault="00015DC1" w:rsidP="00A73D23">
            <w:pPr>
              <w:spacing w:before="60" w:after="60"/>
              <w:rPr>
                <w:rFonts w:cs="Arial"/>
              </w:rPr>
            </w:pPr>
            <w:r w:rsidRPr="00986221">
              <w:rPr>
                <w:rFonts w:cs="Arial"/>
              </w:rPr>
              <w:t>AusAID</w:t>
            </w:r>
          </w:p>
        </w:tc>
        <w:tc>
          <w:tcPr>
            <w:tcW w:w="7274" w:type="dxa"/>
            <w:shd w:val="clear" w:color="auto" w:fill="auto"/>
          </w:tcPr>
          <w:p w14:paraId="29219584" w14:textId="2306AB06" w:rsidR="00015DC1" w:rsidRPr="00986221" w:rsidRDefault="00015DC1" w:rsidP="00A73D23">
            <w:pPr>
              <w:spacing w:before="60" w:after="60"/>
              <w:rPr>
                <w:rFonts w:cs="Arial"/>
              </w:rPr>
            </w:pPr>
            <w:r w:rsidRPr="00986221">
              <w:rPr>
                <w:rFonts w:cs="Arial"/>
              </w:rPr>
              <w:t>Australian Agency for International Development</w:t>
            </w:r>
            <w:r w:rsidR="00001B7B" w:rsidRPr="00986221">
              <w:rPr>
                <w:rFonts w:cs="Arial"/>
              </w:rPr>
              <w:t xml:space="preserve"> (now DFAT)</w:t>
            </w:r>
          </w:p>
        </w:tc>
      </w:tr>
      <w:tr w:rsidR="00015DC1" w:rsidRPr="00986221" w14:paraId="18104E31" w14:textId="77777777" w:rsidTr="00B03BD3">
        <w:tc>
          <w:tcPr>
            <w:tcW w:w="1242" w:type="dxa"/>
            <w:shd w:val="clear" w:color="auto" w:fill="auto"/>
          </w:tcPr>
          <w:p w14:paraId="52F62D0D" w14:textId="77777777" w:rsidR="00015DC1" w:rsidRPr="00986221" w:rsidRDefault="00015DC1" w:rsidP="00A73D23">
            <w:pPr>
              <w:spacing w:before="60" w:after="60"/>
              <w:rPr>
                <w:rFonts w:cs="Arial"/>
              </w:rPr>
            </w:pPr>
            <w:r w:rsidRPr="00986221">
              <w:rPr>
                <w:rFonts w:cs="Arial"/>
              </w:rPr>
              <w:t>BTA</w:t>
            </w:r>
          </w:p>
        </w:tc>
        <w:tc>
          <w:tcPr>
            <w:tcW w:w="7274" w:type="dxa"/>
            <w:shd w:val="clear" w:color="auto" w:fill="auto"/>
          </w:tcPr>
          <w:p w14:paraId="492B2AA8" w14:textId="77777777" w:rsidR="00015DC1" w:rsidRPr="00986221" w:rsidRDefault="00015DC1" w:rsidP="00A73D23">
            <w:pPr>
              <w:spacing w:before="60" w:after="60"/>
              <w:rPr>
                <w:rFonts w:cs="Arial"/>
              </w:rPr>
            </w:pPr>
            <w:r w:rsidRPr="00986221">
              <w:rPr>
                <w:rFonts w:cs="Arial"/>
              </w:rPr>
              <w:t>Bilateral Trade Agreement</w:t>
            </w:r>
          </w:p>
        </w:tc>
      </w:tr>
      <w:tr w:rsidR="00015DC1" w:rsidRPr="00986221" w14:paraId="75641E59" w14:textId="77777777" w:rsidTr="00B03BD3">
        <w:tc>
          <w:tcPr>
            <w:tcW w:w="1242" w:type="dxa"/>
            <w:shd w:val="clear" w:color="auto" w:fill="auto"/>
          </w:tcPr>
          <w:p w14:paraId="44947B80" w14:textId="77777777" w:rsidR="00015DC1" w:rsidRPr="00986221" w:rsidRDefault="00015DC1" w:rsidP="00A73D23">
            <w:pPr>
              <w:spacing w:before="60" w:after="60"/>
              <w:rPr>
                <w:rFonts w:cs="Arial"/>
              </w:rPr>
            </w:pPr>
            <w:r w:rsidRPr="00986221">
              <w:rPr>
                <w:rFonts w:cs="Arial"/>
              </w:rPr>
              <w:t>B-WTO</w:t>
            </w:r>
          </w:p>
        </w:tc>
        <w:tc>
          <w:tcPr>
            <w:tcW w:w="7274" w:type="dxa"/>
            <w:shd w:val="clear" w:color="auto" w:fill="auto"/>
          </w:tcPr>
          <w:p w14:paraId="0F52C534" w14:textId="77777777" w:rsidR="00015DC1" w:rsidRPr="00986221" w:rsidRDefault="00015DC1" w:rsidP="00A73D23">
            <w:pPr>
              <w:spacing w:before="60" w:after="60"/>
              <w:rPr>
                <w:rFonts w:cs="Arial"/>
              </w:rPr>
            </w:pPr>
            <w:r w:rsidRPr="00986221">
              <w:rPr>
                <w:rFonts w:cs="Arial"/>
              </w:rPr>
              <w:t>Beyond WTO</w:t>
            </w:r>
          </w:p>
        </w:tc>
      </w:tr>
      <w:tr w:rsidR="00A73D23" w:rsidRPr="00986221" w14:paraId="22E21535" w14:textId="77777777" w:rsidTr="00B03BD3">
        <w:tc>
          <w:tcPr>
            <w:tcW w:w="1242" w:type="dxa"/>
            <w:shd w:val="clear" w:color="auto" w:fill="auto"/>
          </w:tcPr>
          <w:p w14:paraId="3F3580E6" w14:textId="53ACDDE0" w:rsidR="00A73D23" w:rsidRPr="00986221" w:rsidRDefault="00A73D23" w:rsidP="00A73D23">
            <w:pPr>
              <w:spacing w:before="60" w:after="60"/>
              <w:rPr>
                <w:rFonts w:cs="Arial"/>
              </w:rPr>
            </w:pPr>
            <w:r w:rsidRPr="00986221">
              <w:rPr>
                <w:rFonts w:cs="Arial"/>
              </w:rPr>
              <w:t>CD</w:t>
            </w:r>
          </w:p>
        </w:tc>
        <w:tc>
          <w:tcPr>
            <w:tcW w:w="7274" w:type="dxa"/>
            <w:shd w:val="clear" w:color="auto" w:fill="auto"/>
          </w:tcPr>
          <w:p w14:paraId="029ED871" w14:textId="7F22C4A2" w:rsidR="00A73D23" w:rsidRPr="00986221" w:rsidRDefault="00A73D23" w:rsidP="00A73D23">
            <w:pPr>
              <w:spacing w:before="60" w:after="60"/>
              <w:rPr>
                <w:rFonts w:cs="Arial"/>
              </w:rPr>
            </w:pPr>
            <w:r w:rsidRPr="00986221">
              <w:rPr>
                <w:rFonts w:cs="Arial"/>
              </w:rPr>
              <w:t>Component Director</w:t>
            </w:r>
          </w:p>
        </w:tc>
      </w:tr>
      <w:tr w:rsidR="00015DC1" w:rsidRPr="00986221" w14:paraId="734160BA" w14:textId="77777777" w:rsidTr="00B03BD3">
        <w:tc>
          <w:tcPr>
            <w:tcW w:w="1242" w:type="dxa"/>
            <w:shd w:val="clear" w:color="auto" w:fill="auto"/>
          </w:tcPr>
          <w:p w14:paraId="1CED40F5" w14:textId="77777777" w:rsidR="00015DC1" w:rsidRPr="00986221" w:rsidRDefault="00015DC1" w:rsidP="00A73D23">
            <w:pPr>
              <w:spacing w:before="60" w:after="60"/>
              <w:rPr>
                <w:rFonts w:cs="Arial"/>
              </w:rPr>
            </w:pPr>
            <w:r w:rsidRPr="00986221">
              <w:rPr>
                <w:rFonts w:cs="Arial"/>
              </w:rPr>
              <w:t>CIEM</w:t>
            </w:r>
          </w:p>
        </w:tc>
        <w:tc>
          <w:tcPr>
            <w:tcW w:w="7274" w:type="dxa"/>
            <w:shd w:val="clear" w:color="auto" w:fill="auto"/>
          </w:tcPr>
          <w:p w14:paraId="54E1BDF6" w14:textId="77777777" w:rsidR="00015DC1" w:rsidRPr="00986221" w:rsidRDefault="00015DC1" w:rsidP="00A73D23">
            <w:pPr>
              <w:spacing w:before="60" w:after="60"/>
              <w:rPr>
                <w:rFonts w:cs="Arial"/>
              </w:rPr>
            </w:pPr>
            <w:r w:rsidRPr="00986221">
              <w:rPr>
                <w:rFonts w:cs="Arial"/>
              </w:rPr>
              <w:t>Central Institute for Economic Management</w:t>
            </w:r>
          </w:p>
        </w:tc>
      </w:tr>
      <w:tr w:rsidR="00015DC1" w:rsidRPr="00986221" w14:paraId="086595EE" w14:textId="77777777" w:rsidTr="00B03BD3">
        <w:tc>
          <w:tcPr>
            <w:tcW w:w="1242" w:type="dxa"/>
            <w:shd w:val="clear" w:color="auto" w:fill="auto"/>
          </w:tcPr>
          <w:p w14:paraId="2E28C206" w14:textId="77777777" w:rsidR="00015DC1" w:rsidRPr="00986221" w:rsidRDefault="00015DC1" w:rsidP="00A73D23">
            <w:pPr>
              <w:spacing w:before="60" w:after="60"/>
              <w:rPr>
                <w:rFonts w:cs="Arial"/>
              </w:rPr>
            </w:pPr>
            <w:r w:rsidRPr="00986221">
              <w:rPr>
                <w:rFonts w:cs="Arial"/>
              </w:rPr>
              <w:t>CNs</w:t>
            </w:r>
          </w:p>
        </w:tc>
        <w:tc>
          <w:tcPr>
            <w:tcW w:w="7274" w:type="dxa"/>
            <w:shd w:val="clear" w:color="auto" w:fill="auto"/>
          </w:tcPr>
          <w:p w14:paraId="6CA81CCB" w14:textId="77777777" w:rsidR="00015DC1" w:rsidRPr="00986221" w:rsidRDefault="00015DC1" w:rsidP="00A73D23">
            <w:pPr>
              <w:spacing w:before="60" w:after="60"/>
              <w:rPr>
                <w:rFonts w:cs="Arial"/>
              </w:rPr>
            </w:pPr>
            <w:r w:rsidRPr="00986221">
              <w:rPr>
                <w:rFonts w:cs="Arial"/>
              </w:rPr>
              <w:t>Concept Notes</w:t>
            </w:r>
          </w:p>
        </w:tc>
      </w:tr>
      <w:tr w:rsidR="0030094C" w:rsidRPr="00986221" w14:paraId="55B9FEB4" w14:textId="77777777" w:rsidTr="002577B0">
        <w:tc>
          <w:tcPr>
            <w:tcW w:w="1242" w:type="dxa"/>
            <w:shd w:val="clear" w:color="auto" w:fill="auto"/>
          </w:tcPr>
          <w:p w14:paraId="50B04665" w14:textId="5B6D28BD" w:rsidR="0030094C" w:rsidRPr="00986221" w:rsidRDefault="0030094C" w:rsidP="002577B0">
            <w:pPr>
              <w:spacing w:before="60" w:after="60"/>
              <w:rPr>
                <w:rFonts w:cs="Arial"/>
              </w:rPr>
            </w:pPr>
            <w:r w:rsidRPr="00986221">
              <w:rPr>
                <w:rFonts w:cs="Arial"/>
              </w:rPr>
              <w:t>CPV</w:t>
            </w:r>
          </w:p>
        </w:tc>
        <w:tc>
          <w:tcPr>
            <w:tcW w:w="7274" w:type="dxa"/>
            <w:shd w:val="clear" w:color="auto" w:fill="auto"/>
          </w:tcPr>
          <w:p w14:paraId="1589777F" w14:textId="155AABBA" w:rsidR="0030094C" w:rsidRPr="00986221" w:rsidRDefault="00C04F11" w:rsidP="002577B0">
            <w:pPr>
              <w:spacing w:before="60" w:after="60"/>
              <w:rPr>
                <w:rFonts w:cs="Arial"/>
              </w:rPr>
            </w:pPr>
            <w:r w:rsidRPr="00986221">
              <w:rPr>
                <w:rFonts w:cs="Arial"/>
              </w:rPr>
              <w:t>Communist Party of Vietnam</w:t>
            </w:r>
          </w:p>
        </w:tc>
      </w:tr>
      <w:tr w:rsidR="002577B0" w:rsidRPr="00986221" w14:paraId="0FB3354F" w14:textId="77777777" w:rsidTr="002577B0">
        <w:tc>
          <w:tcPr>
            <w:tcW w:w="1242" w:type="dxa"/>
            <w:shd w:val="clear" w:color="auto" w:fill="auto"/>
          </w:tcPr>
          <w:p w14:paraId="4A9F6373" w14:textId="47E165E5" w:rsidR="002577B0" w:rsidRPr="00986221" w:rsidRDefault="002577B0" w:rsidP="002577B0">
            <w:pPr>
              <w:spacing w:before="60" w:after="60"/>
              <w:rPr>
                <w:rFonts w:cs="Arial"/>
              </w:rPr>
            </w:pPr>
            <w:r w:rsidRPr="00986221">
              <w:rPr>
                <w:rFonts w:cs="Arial"/>
              </w:rPr>
              <w:t>CSU</w:t>
            </w:r>
          </w:p>
        </w:tc>
        <w:tc>
          <w:tcPr>
            <w:tcW w:w="7274" w:type="dxa"/>
            <w:shd w:val="clear" w:color="auto" w:fill="auto"/>
          </w:tcPr>
          <w:p w14:paraId="5FB7227E" w14:textId="2D1EFBF6" w:rsidR="002577B0" w:rsidRPr="00986221" w:rsidRDefault="002577B0" w:rsidP="002577B0">
            <w:pPr>
              <w:spacing w:before="60" w:after="60"/>
              <w:rPr>
                <w:rFonts w:cs="Arial"/>
              </w:rPr>
            </w:pPr>
            <w:r w:rsidRPr="00986221">
              <w:rPr>
                <w:rFonts w:cs="Arial"/>
              </w:rPr>
              <w:t>Component Support Unit</w:t>
            </w:r>
          </w:p>
        </w:tc>
      </w:tr>
      <w:tr w:rsidR="00001B7B" w:rsidRPr="00986221" w14:paraId="386D34D2" w14:textId="77777777" w:rsidTr="00B03BD3">
        <w:tc>
          <w:tcPr>
            <w:tcW w:w="1242" w:type="dxa"/>
            <w:shd w:val="clear" w:color="auto" w:fill="auto"/>
          </w:tcPr>
          <w:p w14:paraId="3E082B19" w14:textId="50901F59" w:rsidR="00001B7B" w:rsidRPr="00986221" w:rsidRDefault="00001B7B" w:rsidP="00A73D23">
            <w:pPr>
              <w:spacing w:before="60" w:after="60"/>
              <w:rPr>
                <w:rFonts w:cs="Arial"/>
              </w:rPr>
            </w:pPr>
            <w:r w:rsidRPr="00986221">
              <w:rPr>
                <w:rFonts w:cs="Arial"/>
              </w:rPr>
              <w:t>DB</w:t>
            </w:r>
          </w:p>
        </w:tc>
        <w:tc>
          <w:tcPr>
            <w:tcW w:w="7274" w:type="dxa"/>
            <w:shd w:val="clear" w:color="auto" w:fill="auto"/>
          </w:tcPr>
          <w:p w14:paraId="5A6A3B2E" w14:textId="440F88FA" w:rsidR="00001B7B" w:rsidRPr="00986221" w:rsidRDefault="00001B7B" w:rsidP="00A73D23">
            <w:pPr>
              <w:spacing w:before="60" w:after="60"/>
              <w:rPr>
                <w:rFonts w:cs="Arial"/>
              </w:rPr>
            </w:pPr>
            <w:r w:rsidRPr="00986221">
              <w:rPr>
                <w:rFonts w:cs="Arial"/>
              </w:rPr>
              <w:t>Doing Business</w:t>
            </w:r>
          </w:p>
        </w:tc>
      </w:tr>
      <w:tr w:rsidR="009D2A1A" w:rsidRPr="00986221" w14:paraId="5E2C0C93" w14:textId="77777777" w:rsidTr="00B03BD3">
        <w:tc>
          <w:tcPr>
            <w:tcW w:w="1242" w:type="dxa"/>
            <w:shd w:val="clear" w:color="auto" w:fill="auto"/>
          </w:tcPr>
          <w:p w14:paraId="17C0D98B" w14:textId="5AEB5810" w:rsidR="009D2A1A" w:rsidRPr="00986221" w:rsidRDefault="009D2A1A" w:rsidP="00A73D23">
            <w:pPr>
              <w:spacing w:before="60" w:after="60"/>
              <w:rPr>
                <w:rFonts w:cs="Arial"/>
              </w:rPr>
            </w:pPr>
            <w:r w:rsidRPr="00986221">
              <w:rPr>
                <w:rFonts w:cs="Arial"/>
              </w:rPr>
              <w:t>DFAT</w:t>
            </w:r>
          </w:p>
        </w:tc>
        <w:tc>
          <w:tcPr>
            <w:tcW w:w="7274" w:type="dxa"/>
            <w:shd w:val="clear" w:color="auto" w:fill="auto"/>
          </w:tcPr>
          <w:p w14:paraId="5C665DDF" w14:textId="6742D6E9" w:rsidR="009D2A1A" w:rsidRPr="00986221" w:rsidRDefault="009D2A1A" w:rsidP="00A73D23">
            <w:pPr>
              <w:spacing w:before="60" w:after="60"/>
              <w:rPr>
                <w:rFonts w:cs="Arial"/>
              </w:rPr>
            </w:pPr>
            <w:r w:rsidRPr="00986221">
              <w:rPr>
                <w:rFonts w:cs="Arial"/>
              </w:rPr>
              <w:t>Department of Foreign Affairs and Trade (Australia)</w:t>
            </w:r>
          </w:p>
        </w:tc>
      </w:tr>
      <w:tr w:rsidR="009D2A1A" w:rsidRPr="00986221" w14:paraId="441AEA10" w14:textId="77777777" w:rsidTr="00B03BD3">
        <w:tc>
          <w:tcPr>
            <w:tcW w:w="1242" w:type="dxa"/>
            <w:shd w:val="clear" w:color="auto" w:fill="auto"/>
          </w:tcPr>
          <w:p w14:paraId="757BD167" w14:textId="0A3B92E5" w:rsidR="009D2A1A" w:rsidRPr="00986221" w:rsidRDefault="009D2A1A" w:rsidP="00A73D23">
            <w:pPr>
              <w:spacing w:before="60" w:after="60"/>
              <w:rPr>
                <w:rFonts w:cs="Arial"/>
              </w:rPr>
            </w:pPr>
            <w:r w:rsidRPr="00986221">
              <w:rPr>
                <w:rFonts w:cs="Arial"/>
              </w:rPr>
              <w:t>DFAT SPM</w:t>
            </w:r>
          </w:p>
        </w:tc>
        <w:tc>
          <w:tcPr>
            <w:tcW w:w="7274" w:type="dxa"/>
            <w:shd w:val="clear" w:color="auto" w:fill="auto"/>
          </w:tcPr>
          <w:p w14:paraId="2A1D60E5" w14:textId="4C250A35" w:rsidR="009D2A1A" w:rsidRPr="00986221" w:rsidRDefault="009D2A1A" w:rsidP="00A73D23">
            <w:pPr>
              <w:spacing w:before="60" w:after="60"/>
              <w:rPr>
                <w:rFonts w:cs="Arial"/>
              </w:rPr>
            </w:pPr>
            <w:r w:rsidRPr="00986221">
              <w:rPr>
                <w:rFonts w:cs="Arial"/>
              </w:rPr>
              <w:t>DFAT’s Senior Program Manager</w:t>
            </w:r>
            <w:r w:rsidR="00D35E7E" w:rsidRPr="00986221">
              <w:rPr>
                <w:rFonts w:cs="Arial"/>
              </w:rPr>
              <w:t xml:space="preserve"> (for RCV)</w:t>
            </w:r>
          </w:p>
        </w:tc>
      </w:tr>
      <w:tr w:rsidR="00015DC1" w:rsidRPr="00986221" w14:paraId="271B95E0" w14:textId="77777777" w:rsidTr="00B03BD3">
        <w:tc>
          <w:tcPr>
            <w:tcW w:w="1242" w:type="dxa"/>
            <w:shd w:val="clear" w:color="auto" w:fill="auto"/>
          </w:tcPr>
          <w:p w14:paraId="3C357A71" w14:textId="77777777" w:rsidR="00015DC1" w:rsidRPr="00986221" w:rsidRDefault="00015DC1" w:rsidP="00A73D23">
            <w:pPr>
              <w:spacing w:before="60" w:after="60"/>
              <w:rPr>
                <w:rFonts w:cs="Arial"/>
              </w:rPr>
            </w:pPr>
            <w:proofErr w:type="spellStart"/>
            <w:r w:rsidRPr="00986221">
              <w:rPr>
                <w:rFonts w:cs="Arial"/>
              </w:rPr>
              <w:t>DfID</w:t>
            </w:r>
            <w:proofErr w:type="spellEnd"/>
          </w:p>
        </w:tc>
        <w:tc>
          <w:tcPr>
            <w:tcW w:w="7274" w:type="dxa"/>
            <w:shd w:val="clear" w:color="auto" w:fill="auto"/>
          </w:tcPr>
          <w:p w14:paraId="6AA7169E" w14:textId="77777777" w:rsidR="00015DC1" w:rsidRPr="00986221" w:rsidRDefault="00015DC1" w:rsidP="00A73D23">
            <w:pPr>
              <w:spacing w:before="60" w:after="60"/>
              <w:rPr>
                <w:rFonts w:cs="Arial"/>
              </w:rPr>
            </w:pPr>
            <w:r w:rsidRPr="00986221">
              <w:rPr>
                <w:rFonts w:cs="Arial"/>
              </w:rPr>
              <w:t>Department for International Development (UK)</w:t>
            </w:r>
          </w:p>
        </w:tc>
      </w:tr>
      <w:tr w:rsidR="00015DC1" w:rsidRPr="00986221" w14:paraId="22DD6BC0" w14:textId="77777777" w:rsidTr="00B03BD3">
        <w:tc>
          <w:tcPr>
            <w:tcW w:w="1242" w:type="dxa"/>
            <w:shd w:val="clear" w:color="auto" w:fill="auto"/>
          </w:tcPr>
          <w:p w14:paraId="0B2E92FF" w14:textId="77777777" w:rsidR="00015DC1" w:rsidRPr="00986221" w:rsidRDefault="00015DC1" w:rsidP="00A73D23">
            <w:pPr>
              <w:spacing w:before="60" w:after="60"/>
              <w:rPr>
                <w:rFonts w:cs="Arial"/>
              </w:rPr>
            </w:pPr>
            <w:r w:rsidRPr="00986221">
              <w:rPr>
                <w:rFonts w:cs="Arial"/>
              </w:rPr>
              <w:t>EU</w:t>
            </w:r>
          </w:p>
        </w:tc>
        <w:tc>
          <w:tcPr>
            <w:tcW w:w="7274" w:type="dxa"/>
            <w:shd w:val="clear" w:color="auto" w:fill="auto"/>
          </w:tcPr>
          <w:p w14:paraId="14C9F58A" w14:textId="77777777" w:rsidR="00015DC1" w:rsidRPr="00986221" w:rsidRDefault="00015DC1" w:rsidP="00A73D23">
            <w:pPr>
              <w:spacing w:before="60" w:after="60"/>
              <w:ind w:right="-674"/>
              <w:rPr>
                <w:rFonts w:cs="Arial"/>
              </w:rPr>
            </w:pPr>
            <w:r w:rsidRPr="00986221">
              <w:rPr>
                <w:rFonts w:cs="Arial"/>
              </w:rPr>
              <w:t>European Union</w:t>
            </w:r>
          </w:p>
        </w:tc>
      </w:tr>
      <w:tr w:rsidR="00015DC1" w:rsidRPr="00986221" w14:paraId="227C4163" w14:textId="77777777" w:rsidTr="00B03BD3">
        <w:tc>
          <w:tcPr>
            <w:tcW w:w="1242" w:type="dxa"/>
            <w:shd w:val="clear" w:color="auto" w:fill="auto"/>
          </w:tcPr>
          <w:p w14:paraId="237B7C91" w14:textId="77777777" w:rsidR="00015DC1" w:rsidRPr="00986221" w:rsidRDefault="00015DC1" w:rsidP="00A73D23">
            <w:pPr>
              <w:spacing w:before="60" w:after="60"/>
              <w:rPr>
                <w:rFonts w:cs="Arial"/>
              </w:rPr>
            </w:pPr>
            <w:r w:rsidRPr="00986221">
              <w:rPr>
                <w:rFonts w:cs="Arial"/>
              </w:rPr>
              <w:t>FTA</w:t>
            </w:r>
          </w:p>
        </w:tc>
        <w:tc>
          <w:tcPr>
            <w:tcW w:w="7274" w:type="dxa"/>
            <w:shd w:val="clear" w:color="auto" w:fill="auto"/>
          </w:tcPr>
          <w:p w14:paraId="53669C05" w14:textId="77777777" w:rsidR="00015DC1" w:rsidRPr="00986221" w:rsidRDefault="00015DC1" w:rsidP="00A73D23">
            <w:pPr>
              <w:spacing w:before="60" w:after="60"/>
              <w:ind w:right="-674"/>
              <w:rPr>
                <w:rFonts w:cs="Arial"/>
              </w:rPr>
            </w:pPr>
            <w:r w:rsidRPr="00986221">
              <w:rPr>
                <w:rFonts w:cs="Arial"/>
              </w:rPr>
              <w:t>Free Trade Agreement</w:t>
            </w:r>
          </w:p>
        </w:tc>
      </w:tr>
      <w:tr w:rsidR="00015DC1" w:rsidRPr="00986221" w14:paraId="267FFC53" w14:textId="77777777" w:rsidTr="00B03BD3">
        <w:tc>
          <w:tcPr>
            <w:tcW w:w="1242" w:type="dxa"/>
            <w:shd w:val="clear" w:color="auto" w:fill="auto"/>
          </w:tcPr>
          <w:p w14:paraId="13E53714" w14:textId="77777777" w:rsidR="00015DC1" w:rsidRPr="00986221" w:rsidRDefault="00015DC1" w:rsidP="00A73D23">
            <w:pPr>
              <w:spacing w:before="60" w:after="60"/>
              <w:rPr>
                <w:rFonts w:cs="Arial"/>
              </w:rPr>
            </w:pPr>
            <w:r w:rsidRPr="00986221">
              <w:rPr>
                <w:rFonts w:cs="Arial"/>
              </w:rPr>
              <w:t>GAP</w:t>
            </w:r>
          </w:p>
        </w:tc>
        <w:tc>
          <w:tcPr>
            <w:tcW w:w="7274" w:type="dxa"/>
            <w:shd w:val="clear" w:color="auto" w:fill="auto"/>
          </w:tcPr>
          <w:p w14:paraId="5B7EB203" w14:textId="77777777" w:rsidR="00015DC1" w:rsidRPr="00986221" w:rsidRDefault="00015DC1" w:rsidP="00A73D23">
            <w:pPr>
              <w:spacing w:before="60" w:after="60"/>
              <w:rPr>
                <w:rFonts w:cs="Arial"/>
              </w:rPr>
            </w:pPr>
            <w:r w:rsidRPr="00986221">
              <w:rPr>
                <w:rFonts w:cs="Arial"/>
              </w:rPr>
              <w:t>Government Action Plan</w:t>
            </w:r>
          </w:p>
        </w:tc>
      </w:tr>
      <w:tr w:rsidR="00015DC1" w:rsidRPr="00986221" w14:paraId="2B378CD9" w14:textId="77777777" w:rsidTr="00B03BD3">
        <w:tc>
          <w:tcPr>
            <w:tcW w:w="1242" w:type="dxa"/>
            <w:shd w:val="clear" w:color="auto" w:fill="auto"/>
          </w:tcPr>
          <w:p w14:paraId="16FFD0D3" w14:textId="77777777" w:rsidR="00015DC1" w:rsidRPr="00986221" w:rsidRDefault="00015DC1" w:rsidP="00A73D23">
            <w:pPr>
              <w:spacing w:before="60" w:after="60"/>
              <w:rPr>
                <w:rFonts w:cs="Arial"/>
              </w:rPr>
            </w:pPr>
            <w:r w:rsidRPr="00986221">
              <w:rPr>
                <w:rFonts w:cs="Arial"/>
              </w:rPr>
              <w:t>GDLM</w:t>
            </w:r>
          </w:p>
        </w:tc>
        <w:tc>
          <w:tcPr>
            <w:tcW w:w="7274" w:type="dxa"/>
            <w:shd w:val="clear" w:color="auto" w:fill="auto"/>
          </w:tcPr>
          <w:p w14:paraId="6EFAEBDE" w14:textId="77777777" w:rsidR="00015DC1" w:rsidRPr="00986221" w:rsidRDefault="00015DC1" w:rsidP="00A73D23">
            <w:pPr>
              <w:spacing w:before="60" w:after="60"/>
              <w:rPr>
                <w:rFonts w:cs="Arial"/>
              </w:rPr>
            </w:pPr>
            <w:r w:rsidRPr="00986221">
              <w:rPr>
                <w:rFonts w:cs="Arial"/>
              </w:rPr>
              <w:t>General Department of Land Management</w:t>
            </w:r>
          </w:p>
        </w:tc>
      </w:tr>
      <w:tr w:rsidR="00807014" w:rsidRPr="00986221" w14:paraId="0F196480" w14:textId="77777777" w:rsidTr="00B03BD3">
        <w:tc>
          <w:tcPr>
            <w:tcW w:w="1242" w:type="dxa"/>
            <w:shd w:val="clear" w:color="auto" w:fill="auto"/>
          </w:tcPr>
          <w:p w14:paraId="5D92A56A" w14:textId="5C3131B4" w:rsidR="00807014" w:rsidRPr="00986221" w:rsidRDefault="00807014" w:rsidP="00A73D23">
            <w:pPr>
              <w:spacing w:before="60" w:after="60"/>
              <w:rPr>
                <w:rFonts w:cs="Arial"/>
              </w:rPr>
            </w:pPr>
            <w:r w:rsidRPr="00986221">
              <w:rPr>
                <w:rFonts w:cs="Arial"/>
              </w:rPr>
              <w:t>GFC</w:t>
            </w:r>
          </w:p>
        </w:tc>
        <w:tc>
          <w:tcPr>
            <w:tcW w:w="7274" w:type="dxa"/>
            <w:shd w:val="clear" w:color="auto" w:fill="auto"/>
          </w:tcPr>
          <w:p w14:paraId="5DE0AB53" w14:textId="0BC37C2E" w:rsidR="00807014" w:rsidRPr="00986221" w:rsidRDefault="00807014" w:rsidP="00A73D23">
            <w:pPr>
              <w:spacing w:before="60" w:after="60"/>
              <w:rPr>
                <w:rFonts w:cs="Arial"/>
              </w:rPr>
            </w:pPr>
            <w:r w:rsidRPr="00986221">
              <w:rPr>
                <w:rFonts w:cs="Arial"/>
              </w:rPr>
              <w:t>Global Financial Crisis</w:t>
            </w:r>
          </w:p>
        </w:tc>
      </w:tr>
      <w:tr w:rsidR="00015DC1" w:rsidRPr="00986221" w14:paraId="766F909B" w14:textId="77777777" w:rsidTr="00B03BD3">
        <w:tc>
          <w:tcPr>
            <w:tcW w:w="1242" w:type="dxa"/>
            <w:shd w:val="clear" w:color="auto" w:fill="auto"/>
          </w:tcPr>
          <w:p w14:paraId="0D233B93" w14:textId="77777777" w:rsidR="00015DC1" w:rsidRPr="00986221" w:rsidRDefault="00015DC1" w:rsidP="00A73D23">
            <w:pPr>
              <w:spacing w:before="60" w:after="60"/>
              <w:rPr>
                <w:rFonts w:cs="Arial"/>
              </w:rPr>
            </w:pPr>
            <w:r w:rsidRPr="00986221">
              <w:rPr>
                <w:rFonts w:cs="Arial"/>
              </w:rPr>
              <w:t>GoV</w:t>
            </w:r>
          </w:p>
        </w:tc>
        <w:tc>
          <w:tcPr>
            <w:tcW w:w="7274" w:type="dxa"/>
            <w:shd w:val="clear" w:color="auto" w:fill="auto"/>
          </w:tcPr>
          <w:p w14:paraId="1BB1289B" w14:textId="76DBB2E6" w:rsidR="00015DC1" w:rsidRPr="00986221" w:rsidRDefault="00015DC1" w:rsidP="00A73D23">
            <w:pPr>
              <w:spacing w:before="60" w:after="60"/>
              <w:rPr>
                <w:rFonts w:cs="Arial"/>
              </w:rPr>
            </w:pPr>
            <w:r w:rsidRPr="00986221">
              <w:rPr>
                <w:rFonts w:cs="Arial"/>
              </w:rPr>
              <w:t xml:space="preserve">Government of </w:t>
            </w:r>
            <w:r w:rsidR="00687C28" w:rsidRPr="00986221">
              <w:rPr>
                <w:rFonts w:cs="Arial"/>
              </w:rPr>
              <w:t>Vietnam</w:t>
            </w:r>
          </w:p>
        </w:tc>
      </w:tr>
      <w:tr w:rsidR="00015DC1" w:rsidRPr="00986221" w14:paraId="57C2B91D" w14:textId="77777777" w:rsidTr="00B03BD3">
        <w:tc>
          <w:tcPr>
            <w:tcW w:w="1242" w:type="dxa"/>
            <w:shd w:val="clear" w:color="auto" w:fill="auto"/>
          </w:tcPr>
          <w:p w14:paraId="310B8365" w14:textId="77777777" w:rsidR="00015DC1" w:rsidRPr="00986221" w:rsidRDefault="00015DC1" w:rsidP="00A73D23">
            <w:pPr>
              <w:spacing w:before="60" w:after="60"/>
              <w:rPr>
                <w:rFonts w:cs="Arial"/>
              </w:rPr>
            </w:pPr>
            <w:r w:rsidRPr="00986221">
              <w:rPr>
                <w:rFonts w:cs="Arial"/>
              </w:rPr>
              <w:t>HCMC</w:t>
            </w:r>
          </w:p>
        </w:tc>
        <w:tc>
          <w:tcPr>
            <w:tcW w:w="7274" w:type="dxa"/>
            <w:shd w:val="clear" w:color="auto" w:fill="auto"/>
          </w:tcPr>
          <w:p w14:paraId="21BC818D" w14:textId="77777777" w:rsidR="00015DC1" w:rsidRPr="00986221" w:rsidRDefault="00015DC1" w:rsidP="00A73D23">
            <w:pPr>
              <w:spacing w:before="60" w:after="60"/>
              <w:rPr>
                <w:rFonts w:cs="Arial"/>
              </w:rPr>
            </w:pPr>
            <w:r w:rsidRPr="00986221">
              <w:rPr>
                <w:rFonts w:cs="Arial"/>
              </w:rPr>
              <w:t>Ho Chi Minh City</w:t>
            </w:r>
          </w:p>
        </w:tc>
      </w:tr>
      <w:tr w:rsidR="00015DC1" w:rsidRPr="00986221" w14:paraId="7D3D2204" w14:textId="77777777" w:rsidTr="00B03BD3">
        <w:tc>
          <w:tcPr>
            <w:tcW w:w="1242" w:type="dxa"/>
            <w:shd w:val="clear" w:color="auto" w:fill="auto"/>
          </w:tcPr>
          <w:p w14:paraId="03D9B05E" w14:textId="77777777" w:rsidR="00015DC1" w:rsidRPr="00986221" w:rsidRDefault="00015DC1" w:rsidP="00A73D23">
            <w:pPr>
              <w:spacing w:before="60" w:after="60"/>
              <w:rPr>
                <w:rFonts w:cs="Arial"/>
              </w:rPr>
            </w:pPr>
            <w:r w:rsidRPr="00986221">
              <w:rPr>
                <w:rFonts w:cs="Arial"/>
              </w:rPr>
              <w:t>IPSARD</w:t>
            </w:r>
          </w:p>
        </w:tc>
        <w:tc>
          <w:tcPr>
            <w:tcW w:w="7274" w:type="dxa"/>
            <w:shd w:val="clear" w:color="auto" w:fill="auto"/>
          </w:tcPr>
          <w:p w14:paraId="514FCB75" w14:textId="77777777" w:rsidR="00015DC1" w:rsidRPr="00986221" w:rsidRDefault="00015DC1" w:rsidP="00A73D23">
            <w:pPr>
              <w:spacing w:before="60" w:after="60"/>
              <w:rPr>
                <w:rFonts w:cs="Arial"/>
              </w:rPr>
            </w:pPr>
            <w:r w:rsidRPr="00986221">
              <w:rPr>
                <w:rFonts w:cs="Arial"/>
              </w:rPr>
              <w:t>Institute of Policy and Strategy for Agriculture and Rural Development</w:t>
            </w:r>
          </w:p>
        </w:tc>
      </w:tr>
      <w:tr w:rsidR="00015DC1" w:rsidRPr="00986221" w14:paraId="43A55404" w14:textId="77777777" w:rsidTr="00B03BD3">
        <w:tc>
          <w:tcPr>
            <w:tcW w:w="1242" w:type="dxa"/>
            <w:shd w:val="clear" w:color="auto" w:fill="auto"/>
          </w:tcPr>
          <w:p w14:paraId="2D4EDD7A" w14:textId="77777777" w:rsidR="00015DC1" w:rsidRPr="00986221" w:rsidRDefault="00015DC1" w:rsidP="00A73D23">
            <w:pPr>
              <w:spacing w:before="60" w:after="60"/>
              <w:rPr>
                <w:rFonts w:cs="Arial"/>
              </w:rPr>
            </w:pPr>
            <w:r w:rsidRPr="00986221">
              <w:rPr>
                <w:rFonts w:cs="Arial"/>
              </w:rPr>
              <w:t>LFM</w:t>
            </w:r>
          </w:p>
        </w:tc>
        <w:tc>
          <w:tcPr>
            <w:tcW w:w="7274" w:type="dxa"/>
            <w:shd w:val="clear" w:color="auto" w:fill="auto"/>
          </w:tcPr>
          <w:p w14:paraId="45936C0F" w14:textId="77777777" w:rsidR="00015DC1" w:rsidRPr="00986221" w:rsidRDefault="00015DC1" w:rsidP="00A73D23">
            <w:pPr>
              <w:spacing w:before="60" w:after="60"/>
              <w:rPr>
                <w:rFonts w:cs="Arial"/>
              </w:rPr>
            </w:pPr>
            <w:r w:rsidRPr="00986221">
              <w:rPr>
                <w:rFonts w:cs="Arial"/>
              </w:rPr>
              <w:t>Logical Framework Matrix</w:t>
            </w:r>
          </w:p>
        </w:tc>
      </w:tr>
      <w:tr w:rsidR="00015DC1" w:rsidRPr="00986221" w14:paraId="5EF66299" w14:textId="77777777" w:rsidTr="00B03BD3">
        <w:tc>
          <w:tcPr>
            <w:tcW w:w="1242" w:type="dxa"/>
            <w:shd w:val="clear" w:color="auto" w:fill="auto"/>
          </w:tcPr>
          <w:p w14:paraId="3894EBC1" w14:textId="77777777" w:rsidR="00015DC1" w:rsidRPr="00986221" w:rsidRDefault="00015DC1" w:rsidP="00A73D23">
            <w:pPr>
              <w:spacing w:before="60" w:after="60"/>
              <w:rPr>
                <w:rFonts w:cs="Arial"/>
              </w:rPr>
            </w:pPr>
            <w:r w:rsidRPr="00986221">
              <w:rPr>
                <w:rFonts w:cs="Arial"/>
              </w:rPr>
              <w:t>M&amp;E</w:t>
            </w:r>
          </w:p>
        </w:tc>
        <w:tc>
          <w:tcPr>
            <w:tcW w:w="7274" w:type="dxa"/>
            <w:shd w:val="clear" w:color="auto" w:fill="auto"/>
          </w:tcPr>
          <w:p w14:paraId="44251DD6" w14:textId="77777777" w:rsidR="00015DC1" w:rsidRPr="00986221" w:rsidRDefault="00015DC1" w:rsidP="00A73D23">
            <w:pPr>
              <w:spacing w:before="60" w:after="60"/>
              <w:rPr>
                <w:rFonts w:cs="Arial"/>
              </w:rPr>
            </w:pPr>
            <w:r w:rsidRPr="00986221">
              <w:rPr>
                <w:rFonts w:cs="Arial"/>
              </w:rPr>
              <w:t>Monitoring and Evaluation</w:t>
            </w:r>
          </w:p>
        </w:tc>
      </w:tr>
      <w:tr w:rsidR="00015DC1" w:rsidRPr="00986221" w14:paraId="3755B9D9" w14:textId="77777777" w:rsidTr="00B03BD3">
        <w:tc>
          <w:tcPr>
            <w:tcW w:w="1242" w:type="dxa"/>
            <w:shd w:val="clear" w:color="auto" w:fill="auto"/>
          </w:tcPr>
          <w:p w14:paraId="2D3168D7" w14:textId="77777777" w:rsidR="00015DC1" w:rsidRPr="00986221" w:rsidRDefault="00015DC1" w:rsidP="00A73D23">
            <w:pPr>
              <w:spacing w:before="60" w:after="60"/>
              <w:rPr>
                <w:rFonts w:cs="Arial"/>
              </w:rPr>
            </w:pPr>
            <w:r w:rsidRPr="00986221">
              <w:rPr>
                <w:rFonts w:cs="Arial"/>
              </w:rPr>
              <w:t>MARD</w:t>
            </w:r>
          </w:p>
        </w:tc>
        <w:tc>
          <w:tcPr>
            <w:tcW w:w="7274" w:type="dxa"/>
            <w:shd w:val="clear" w:color="auto" w:fill="auto"/>
          </w:tcPr>
          <w:p w14:paraId="5B8FD11A" w14:textId="77777777" w:rsidR="00015DC1" w:rsidRPr="00986221" w:rsidRDefault="00015DC1" w:rsidP="00A73D23">
            <w:pPr>
              <w:spacing w:before="60" w:after="60"/>
              <w:rPr>
                <w:rFonts w:cs="Arial"/>
              </w:rPr>
            </w:pPr>
            <w:r w:rsidRPr="00986221">
              <w:rPr>
                <w:rFonts w:cs="Arial"/>
              </w:rPr>
              <w:t xml:space="preserve">Ministry of Agriculture and Rural Development </w:t>
            </w:r>
          </w:p>
        </w:tc>
      </w:tr>
      <w:tr w:rsidR="00015DC1" w:rsidRPr="00986221" w14:paraId="57A411C7" w14:textId="77777777" w:rsidTr="00B03BD3">
        <w:tc>
          <w:tcPr>
            <w:tcW w:w="1242" w:type="dxa"/>
            <w:shd w:val="clear" w:color="auto" w:fill="auto"/>
          </w:tcPr>
          <w:p w14:paraId="7AF55AE6" w14:textId="77777777" w:rsidR="00015DC1" w:rsidRPr="00986221" w:rsidRDefault="00015DC1" w:rsidP="00A73D23">
            <w:pPr>
              <w:spacing w:before="60" w:after="60"/>
              <w:rPr>
                <w:rFonts w:cs="Arial"/>
              </w:rPr>
            </w:pPr>
            <w:r w:rsidRPr="00986221">
              <w:rPr>
                <w:rFonts w:cs="Arial"/>
              </w:rPr>
              <w:t>MDG</w:t>
            </w:r>
          </w:p>
        </w:tc>
        <w:tc>
          <w:tcPr>
            <w:tcW w:w="7274" w:type="dxa"/>
            <w:shd w:val="clear" w:color="auto" w:fill="auto"/>
          </w:tcPr>
          <w:p w14:paraId="31AD124E" w14:textId="77777777" w:rsidR="00015DC1" w:rsidRPr="00986221" w:rsidRDefault="00015DC1" w:rsidP="00A73D23">
            <w:pPr>
              <w:spacing w:before="60" w:after="60"/>
              <w:rPr>
                <w:rFonts w:cs="Arial"/>
              </w:rPr>
            </w:pPr>
            <w:r w:rsidRPr="00986221">
              <w:rPr>
                <w:rFonts w:cs="Arial"/>
              </w:rPr>
              <w:t>Millennium Development Goals</w:t>
            </w:r>
          </w:p>
        </w:tc>
      </w:tr>
      <w:tr w:rsidR="00015DC1" w:rsidRPr="00986221" w14:paraId="51290DD6" w14:textId="77777777" w:rsidTr="00B03BD3">
        <w:tc>
          <w:tcPr>
            <w:tcW w:w="1242" w:type="dxa"/>
            <w:shd w:val="clear" w:color="auto" w:fill="auto"/>
          </w:tcPr>
          <w:p w14:paraId="6FED601F" w14:textId="77777777" w:rsidR="00015DC1" w:rsidRPr="00986221" w:rsidRDefault="00015DC1" w:rsidP="00A73D23">
            <w:pPr>
              <w:spacing w:before="60" w:after="60"/>
              <w:rPr>
                <w:rFonts w:cs="Arial"/>
              </w:rPr>
            </w:pPr>
            <w:r w:rsidRPr="00986221">
              <w:rPr>
                <w:rFonts w:cs="Arial"/>
              </w:rPr>
              <w:t>MOIT</w:t>
            </w:r>
          </w:p>
        </w:tc>
        <w:tc>
          <w:tcPr>
            <w:tcW w:w="7274" w:type="dxa"/>
            <w:shd w:val="clear" w:color="auto" w:fill="auto"/>
          </w:tcPr>
          <w:p w14:paraId="008D8B63" w14:textId="77777777" w:rsidR="00015DC1" w:rsidRPr="00986221" w:rsidRDefault="00015DC1" w:rsidP="00A73D23">
            <w:pPr>
              <w:spacing w:before="60" w:after="60"/>
              <w:rPr>
                <w:rFonts w:cs="Arial"/>
              </w:rPr>
            </w:pPr>
            <w:r w:rsidRPr="00986221">
              <w:rPr>
                <w:rFonts w:cs="Arial"/>
              </w:rPr>
              <w:t>Ministry of Industry and Trade</w:t>
            </w:r>
          </w:p>
        </w:tc>
      </w:tr>
      <w:tr w:rsidR="0003199D" w:rsidRPr="00986221" w14:paraId="24237579" w14:textId="77777777" w:rsidTr="00B03BD3">
        <w:tc>
          <w:tcPr>
            <w:tcW w:w="1242" w:type="dxa"/>
            <w:shd w:val="clear" w:color="auto" w:fill="auto"/>
          </w:tcPr>
          <w:p w14:paraId="4E6E56A0" w14:textId="728DC8A9" w:rsidR="0003199D" w:rsidRPr="00986221" w:rsidRDefault="0003199D" w:rsidP="00A73D23">
            <w:pPr>
              <w:spacing w:before="60" w:after="60"/>
              <w:rPr>
                <w:rFonts w:cs="Arial"/>
              </w:rPr>
            </w:pPr>
            <w:r w:rsidRPr="00986221">
              <w:rPr>
                <w:rFonts w:cs="Arial"/>
              </w:rPr>
              <w:t>MPER</w:t>
            </w:r>
          </w:p>
        </w:tc>
        <w:tc>
          <w:tcPr>
            <w:tcW w:w="7274" w:type="dxa"/>
            <w:shd w:val="clear" w:color="auto" w:fill="auto"/>
          </w:tcPr>
          <w:p w14:paraId="79FE1974" w14:textId="6C942708" w:rsidR="0003199D" w:rsidRPr="00986221" w:rsidRDefault="0003199D" w:rsidP="00A73D23">
            <w:pPr>
              <w:spacing w:before="60" w:after="60"/>
              <w:rPr>
                <w:rFonts w:cs="Arial"/>
              </w:rPr>
            </w:pPr>
            <w:r w:rsidRPr="00986221">
              <w:rPr>
                <w:rFonts w:cs="Arial"/>
              </w:rPr>
              <w:t>Master Plan on Economic Restructuring</w:t>
            </w:r>
          </w:p>
        </w:tc>
      </w:tr>
      <w:tr w:rsidR="00015DC1" w:rsidRPr="00986221" w14:paraId="78F8472F" w14:textId="77777777" w:rsidTr="00B03BD3">
        <w:tc>
          <w:tcPr>
            <w:tcW w:w="1242" w:type="dxa"/>
            <w:shd w:val="clear" w:color="auto" w:fill="auto"/>
          </w:tcPr>
          <w:p w14:paraId="5EEF5CD3" w14:textId="77777777" w:rsidR="00015DC1" w:rsidRPr="00986221" w:rsidRDefault="00015DC1" w:rsidP="00A73D23">
            <w:pPr>
              <w:spacing w:before="60" w:after="60"/>
              <w:rPr>
                <w:rFonts w:cs="Arial"/>
              </w:rPr>
            </w:pPr>
            <w:r w:rsidRPr="00986221">
              <w:rPr>
                <w:rFonts w:cs="Arial"/>
              </w:rPr>
              <w:t>MPI</w:t>
            </w:r>
          </w:p>
        </w:tc>
        <w:tc>
          <w:tcPr>
            <w:tcW w:w="7274" w:type="dxa"/>
            <w:shd w:val="clear" w:color="auto" w:fill="auto"/>
          </w:tcPr>
          <w:p w14:paraId="1FC8E4A5" w14:textId="77777777" w:rsidR="00015DC1" w:rsidRPr="00986221" w:rsidRDefault="00015DC1" w:rsidP="00A73D23">
            <w:pPr>
              <w:spacing w:before="60" w:after="60"/>
              <w:rPr>
                <w:rFonts w:cs="Arial"/>
              </w:rPr>
            </w:pPr>
            <w:r w:rsidRPr="00986221">
              <w:rPr>
                <w:rFonts w:cs="Arial"/>
              </w:rPr>
              <w:t>Ministry of Planning and Investment</w:t>
            </w:r>
          </w:p>
        </w:tc>
      </w:tr>
      <w:tr w:rsidR="00015DC1" w:rsidRPr="00986221" w14:paraId="7DADFEF4" w14:textId="77777777" w:rsidTr="00B03BD3">
        <w:tc>
          <w:tcPr>
            <w:tcW w:w="1242" w:type="dxa"/>
            <w:shd w:val="clear" w:color="auto" w:fill="auto"/>
          </w:tcPr>
          <w:p w14:paraId="1CDAF55C" w14:textId="77777777" w:rsidR="00015DC1" w:rsidRPr="00986221" w:rsidRDefault="00015DC1" w:rsidP="00A73D23">
            <w:pPr>
              <w:spacing w:before="60" w:after="60"/>
              <w:rPr>
                <w:rFonts w:cs="Arial"/>
              </w:rPr>
            </w:pPr>
            <w:r w:rsidRPr="00986221">
              <w:rPr>
                <w:rFonts w:cs="Arial"/>
              </w:rPr>
              <w:t>MTR</w:t>
            </w:r>
          </w:p>
        </w:tc>
        <w:tc>
          <w:tcPr>
            <w:tcW w:w="7274" w:type="dxa"/>
            <w:shd w:val="clear" w:color="auto" w:fill="auto"/>
          </w:tcPr>
          <w:p w14:paraId="17038911" w14:textId="77777777" w:rsidR="00015DC1" w:rsidRPr="00986221" w:rsidRDefault="00015DC1" w:rsidP="00A73D23">
            <w:pPr>
              <w:spacing w:before="60" w:after="60"/>
              <w:rPr>
                <w:rFonts w:cs="Arial"/>
              </w:rPr>
            </w:pPr>
            <w:r w:rsidRPr="00986221">
              <w:rPr>
                <w:rFonts w:cs="Arial"/>
              </w:rPr>
              <w:t>Mid-term Review</w:t>
            </w:r>
          </w:p>
        </w:tc>
      </w:tr>
      <w:tr w:rsidR="00015DC1" w:rsidRPr="00986221" w14:paraId="6D38BB31" w14:textId="77777777" w:rsidTr="00B03BD3">
        <w:tc>
          <w:tcPr>
            <w:tcW w:w="1242" w:type="dxa"/>
            <w:shd w:val="clear" w:color="auto" w:fill="auto"/>
          </w:tcPr>
          <w:p w14:paraId="171AD62C" w14:textId="77777777" w:rsidR="00015DC1" w:rsidRPr="00986221" w:rsidRDefault="00015DC1" w:rsidP="00A73D23">
            <w:pPr>
              <w:spacing w:before="60" w:after="60"/>
              <w:rPr>
                <w:rFonts w:cs="Arial"/>
              </w:rPr>
            </w:pPr>
            <w:r w:rsidRPr="00986221">
              <w:rPr>
                <w:rFonts w:cs="Arial"/>
              </w:rPr>
              <w:t>MUTRAP</w:t>
            </w:r>
          </w:p>
        </w:tc>
        <w:tc>
          <w:tcPr>
            <w:tcW w:w="7274" w:type="dxa"/>
            <w:shd w:val="clear" w:color="auto" w:fill="auto"/>
          </w:tcPr>
          <w:p w14:paraId="7B970F73" w14:textId="77777777" w:rsidR="00015DC1" w:rsidRPr="00986221" w:rsidRDefault="00015DC1" w:rsidP="00A73D23">
            <w:pPr>
              <w:spacing w:before="60" w:after="60"/>
              <w:rPr>
                <w:rFonts w:cs="Arial"/>
              </w:rPr>
            </w:pPr>
            <w:r w:rsidRPr="00986221">
              <w:rPr>
                <w:rFonts w:cs="Arial"/>
              </w:rPr>
              <w:t>European Trade Policy and Investment Support Project</w:t>
            </w:r>
          </w:p>
        </w:tc>
      </w:tr>
      <w:tr w:rsidR="0030094C" w:rsidRPr="00986221" w14:paraId="6D47CB26" w14:textId="77777777" w:rsidTr="00B03BD3">
        <w:tc>
          <w:tcPr>
            <w:tcW w:w="1242" w:type="dxa"/>
            <w:shd w:val="clear" w:color="auto" w:fill="auto"/>
          </w:tcPr>
          <w:p w14:paraId="397B1EE7" w14:textId="76496D8F" w:rsidR="0030094C" w:rsidRPr="00986221" w:rsidRDefault="0030094C" w:rsidP="00A73D23">
            <w:pPr>
              <w:spacing w:before="60" w:after="60"/>
              <w:rPr>
                <w:rFonts w:cs="Arial"/>
              </w:rPr>
            </w:pPr>
            <w:r w:rsidRPr="00986221">
              <w:rPr>
                <w:rFonts w:cs="Arial"/>
              </w:rPr>
              <w:t>NA</w:t>
            </w:r>
          </w:p>
        </w:tc>
        <w:tc>
          <w:tcPr>
            <w:tcW w:w="7274" w:type="dxa"/>
            <w:shd w:val="clear" w:color="auto" w:fill="auto"/>
          </w:tcPr>
          <w:p w14:paraId="435D4C60" w14:textId="79FCF16B" w:rsidR="0030094C" w:rsidRPr="00986221" w:rsidRDefault="0030094C" w:rsidP="00A73D23">
            <w:pPr>
              <w:spacing w:before="60" w:after="60"/>
              <w:rPr>
                <w:rFonts w:cs="Arial"/>
              </w:rPr>
            </w:pPr>
            <w:r w:rsidRPr="00986221">
              <w:rPr>
                <w:rFonts w:cs="Arial"/>
              </w:rPr>
              <w:t>National Assembly</w:t>
            </w:r>
          </w:p>
        </w:tc>
      </w:tr>
      <w:tr w:rsidR="00015DC1" w:rsidRPr="00986221" w14:paraId="34048335" w14:textId="77777777" w:rsidTr="00B03BD3">
        <w:tc>
          <w:tcPr>
            <w:tcW w:w="1242" w:type="dxa"/>
            <w:shd w:val="clear" w:color="auto" w:fill="auto"/>
          </w:tcPr>
          <w:p w14:paraId="34722FED" w14:textId="77777777" w:rsidR="00015DC1" w:rsidRPr="00986221" w:rsidRDefault="00015DC1" w:rsidP="00A73D23">
            <w:pPr>
              <w:spacing w:before="60" w:after="60"/>
              <w:rPr>
                <w:rFonts w:cs="Arial"/>
              </w:rPr>
            </w:pPr>
            <w:r w:rsidRPr="00986221">
              <w:rPr>
                <w:rFonts w:cs="Arial"/>
              </w:rPr>
              <w:t>NCIEC</w:t>
            </w:r>
          </w:p>
        </w:tc>
        <w:tc>
          <w:tcPr>
            <w:tcW w:w="7274" w:type="dxa"/>
            <w:shd w:val="clear" w:color="auto" w:fill="auto"/>
          </w:tcPr>
          <w:p w14:paraId="1BA56AF2" w14:textId="77777777" w:rsidR="00015DC1" w:rsidRPr="00986221" w:rsidRDefault="00015DC1" w:rsidP="00A73D23">
            <w:pPr>
              <w:spacing w:before="60" w:after="60"/>
              <w:rPr>
                <w:rFonts w:cs="Arial"/>
              </w:rPr>
            </w:pPr>
            <w:r w:rsidRPr="00986221">
              <w:rPr>
                <w:rFonts w:cs="Arial"/>
              </w:rPr>
              <w:t>National Committee for International Economic Cooperation</w:t>
            </w:r>
          </w:p>
        </w:tc>
      </w:tr>
      <w:tr w:rsidR="002577B0" w:rsidRPr="00986221" w14:paraId="71A28409" w14:textId="77777777" w:rsidTr="00B03BD3">
        <w:tc>
          <w:tcPr>
            <w:tcW w:w="1242" w:type="dxa"/>
            <w:shd w:val="clear" w:color="auto" w:fill="auto"/>
          </w:tcPr>
          <w:p w14:paraId="0EA2D36F" w14:textId="14C83FF0" w:rsidR="002577B0" w:rsidRPr="00986221" w:rsidRDefault="002E4746" w:rsidP="00A73D23">
            <w:pPr>
              <w:spacing w:before="60" w:after="60"/>
              <w:rPr>
                <w:rFonts w:cs="Arial"/>
              </w:rPr>
            </w:pPr>
            <w:r w:rsidRPr="00986221">
              <w:rPr>
                <w:rFonts w:cs="Arial"/>
              </w:rPr>
              <w:t>CD</w:t>
            </w:r>
          </w:p>
        </w:tc>
        <w:tc>
          <w:tcPr>
            <w:tcW w:w="7274" w:type="dxa"/>
            <w:shd w:val="clear" w:color="auto" w:fill="auto"/>
          </w:tcPr>
          <w:p w14:paraId="1796074B" w14:textId="404E3011" w:rsidR="002577B0" w:rsidRPr="00986221" w:rsidRDefault="002577B0" w:rsidP="00DE5565">
            <w:pPr>
              <w:spacing w:before="60" w:after="60"/>
              <w:rPr>
                <w:rFonts w:cs="Arial"/>
              </w:rPr>
            </w:pPr>
            <w:r w:rsidRPr="00986221">
              <w:rPr>
                <w:rFonts w:cs="Arial"/>
              </w:rPr>
              <w:t>National Component Director</w:t>
            </w:r>
          </w:p>
        </w:tc>
      </w:tr>
      <w:tr w:rsidR="00DE5565" w:rsidRPr="00986221" w14:paraId="3482DEE1" w14:textId="77777777" w:rsidTr="00B03BD3">
        <w:tc>
          <w:tcPr>
            <w:tcW w:w="1242" w:type="dxa"/>
            <w:shd w:val="clear" w:color="auto" w:fill="auto"/>
          </w:tcPr>
          <w:p w14:paraId="0250CA4C" w14:textId="1BAD3D6D" w:rsidR="00DE5565" w:rsidRPr="00986221" w:rsidRDefault="00DE5565" w:rsidP="00A73D23">
            <w:pPr>
              <w:spacing w:before="60" w:after="60"/>
              <w:rPr>
                <w:rFonts w:cs="Arial"/>
              </w:rPr>
            </w:pPr>
            <w:r w:rsidRPr="00986221">
              <w:rPr>
                <w:rFonts w:cs="Arial"/>
              </w:rPr>
              <w:t>NCI</w:t>
            </w:r>
          </w:p>
        </w:tc>
        <w:tc>
          <w:tcPr>
            <w:tcW w:w="7274" w:type="dxa"/>
            <w:shd w:val="clear" w:color="auto" w:fill="auto"/>
          </w:tcPr>
          <w:p w14:paraId="706D848C" w14:textId="7437614E" w:rsidR="00DE5565" w:rsidRPr="00986221" w:rsidRDefault="00DE5565" w:rsidP="00DE5565">
            <w:pPr>
              <w:spacing w:before="60" w:after="60"/>
              <w:rPr>
                <w:rFonts w:cs="Arial"/>
              </w:rPr>
            </w:pPr>
            <w:r w:rsidRPr="00986221">
              <w:rPr>
                <w:rFonts w:cs="Arial"/>
              </w:rPr>
              <w:t>National Steering Committee on Integration</w:t>
            </w:r>
          </w:p>
        </w:tc>
      </w:tr>
      <w:tr w:rsidR="002577B0" w:rsidRPr="00986221" w14:paraId="662E55C4" w14:textId="77777777" w:rsidTr="002577B0">
        <w:tc>
          <w:tcPr>
            <w:tcW w:w="1242" w:type="dxa"/>
            <w:shd w:val="clear" w:color="auto" w:fill="auto"/>
          </w:tcPr>
          <w:p w14:paraId="1F659243" w14:textId="70FD9DF4" w:rsidR="002577B0" w:rsidRPr="00986221" w:rsidRDefault="002E4746" w:rsidP="002577B0">
            <w:pPr>
              <w:spacing w:before="60" w:after="60"/>
              <w:rPr>
                <w:rFonts w:cs="Arial"/>
              </w:rPr>
            </w:pPr>
            <w:r w:rsidRPr="00986221">
              <w:rPr>
                <w:rFonts w:cs="Arial"/>
              </w:rPr>
              <w:t>PD</w:t>
            </w:r>
          </w:p>
        </w:tc>
        <w:tc>
          <w:tcPr>
            <w:tcW w:w="7274" w:type="dxa"/>
            <w:shd w:val="clear" w:color="auto" w:fill="auto"/>
          </w:tcPr>
          <w:p w14:paraId="16A8D634" w14:textId="781A9B87" w:rsidR="002577B0" w:rsidRPr="00986221" w:rsidRDefault="002577B0" w:rsidP="002577B0">
            <w:pPr>
              <w:spacing w:before="60" w:after="60"/>
              <w:rPr>
                <w:rFonts w:cs="Arial"/>
              </w:rPr>
            </w:pPr>
            <w:r w:rsidRPr="00986221">
              <w:rPr>
                <w:rFonts w:cs="Arial"/>
              </w:rPr>
              <w:t>National Project Director</w:t>
            </w:r>
          </w:p>
        </w:tc>
      </w:tr>
      <w:tr w:rsidR="00DE5565" w:rsidRPr="00986221" w14:paraId="12AEA13F" w14:textId="77777777" w:rsidTr="00B03BD3">
        <w:tc>
          <w:tcPr>
            <w:tcW w:w="1242" w:type="dxa"/>
            <w:shd w:val="clear" w:color="auto" w:fill="auto"/>
          </w:tcPr>
          <w:p w14:paraId="46D804E5" w14:textId="26DB9550" w:rsidR="00DE5565" w:rsidRPr="00986221" w:rsidRDefault="00DE5565" w:rsidP="00A73D23">
            <w:pPr>
              <w:spacing w:before="60" w:after="60"/>
              <w:rPr>
                <w:rFonts w:cs="Arial"/>
              </w:rPr>
            </w:pPr>
            <w:r w:rsidRPr="00986221">
              <w:rPr>
                <w:rFonts w:cs="Arial"/>
              </w:rPr>
              <w:t>NSCSDC</w:t>
            </w:r>
          </w:p>
        </w:tc>
        <w:tc>
          <w:tcPr>
            <w:tcW w:w="7274" w:type="dxa"/>
            <w:shd w:val="clear" w:color="auto" w:fill="auto"/>
          </w:tcPr>
          <w:p w14:paraId="6840A2B3" w14:textId="506C96CC" w:rsidR="00DE5565" w:rsidRPr="00986221" w:rsidRDefault="00DE5565" w:rsidP="00A73D23">
            <w:pPr>
              <w:spacing w:before="60" w:after="60"/>
              <w:rPr>
                <w:rFonts w:cs="Arial"/>
              </w:rPr>
            </w:pPr>
            <w:r w:rsidRPr="00986221">
              <w:rPr>
                <w:rFonts w:cs="Arial"/>
              </w:rPr>
              <w:t>National Steering Committee on Sustainable Development and Competitiveness</w:t>
            </w:r>
          </w:p>
        </w:tc>
      </w:tr>
      <w:tr w:rsidR="00835D27" w:rsidRPr="00986221" w14:paraId="41C85989" w14:textId="77777777" w:rsidTr="00B03BD3">
        <w:tc>
          <w:tcPr>
            <w:tcW w:w="1242" w:type="dxa"/>
            <w:shd w:val="clear" w:color="auto" w:fill="auto"/>
          </w:tcPr>
          <w:p w14:paraId="52C998D0" w14:textId="3E1FBFC0" w:rsidR="00835D27" w:rsidRPr="00986221" w:rsidRDefault="00835D27" w:rsidP="00A73D23">
            <w:pPr>
              <w:spacing w:before="60" w:after="60"/>
              <w:rPr>
                <w:rFonts w:cs="Arial"/>
              </w:rPr>
            </w:pPr>
            <w:r w:rsidRPr="00986221">
              <w:rPr>
                <w:rFonts w:cs="Arial"/>
              </w:rPr>
              <w:t>ODA</w:t>
            </w:r>
          </w:p>
        </w:tc>
        <w:tc>
          <w:tcPr>
            <w:tcW w:w="7274" w:type="dxa"/>
            <w:shd w:val="clear" w:color="auto" w:fill="auto"/>
          </w:tcPr>
          <w:p w14:paraId="1AF846FF" w14:textId="630C0090" w:rsidR="00835D27" w:rsidRPr="00986221" w:rsidRDefault="00835D27" w:rsidP="00A73D23">
            <w:pPr>
              <w:spacing w:before="60" w:after="60"/>
              <w:rPr>
                <w:rFonts w:cs="Arial"/>
              </w:rPr>
            </w:pPr>
            <w:r w:rsidRPr="00986221">
              <w:rPr>
                <w:rFonts w:cs="Arial"/>
              </w:rPr>
              <w:t>Official Development Assistance</w:t>
            </w:r>
          </w:p>
        </w:tc>
      </w:tr>
      <w:tr w:rsidR="00015DC1" w:rsidRPr="00986221" w14:paraId="0DBCE124" w14:textId="77777777" w:rsidTr="00B03BD3">
        <w:tc>
          <w:tcPr>
            <w:tcW w:w="1242" w:type="dxa"/>
            <w:shd w:val="clear" w:color="auto" w:fill="auto"/>
          </w:tcPr>
          <w:p w14:paraId="07A0DAC1" w14:textId="77777777" w:rsidR="00015DC1" w:rsidRPr="00986221" w:rsidRDefault="00015DC1" w:rsidP="00A73D23">
            <w:pPr>
              <w:spacing w:before="60" w:after="60"/>
              <w:rPr>
                <w:rFonts w:cs="Arial"/>
              </w:rPr>
            </w:pPr>
            <w:r w:rsidRPr="00986221">
              <w:rPr>
                <w:rFonts w:cs="Arial"/>
              </w:rPr>
              <w:t>OOG</w:t>
            </w:r>
          </w:p>
        </w:tc>
        <w:tc>
          <w:tcPr>
            <w:tcW w:w="7274" w:type="dxa"/>
            <w:shd w:val="clear" w:color="auto" w:fill="auto"/>
          </w:tcPr>
          <w:p w14:paraId="40F4E333" w14:textId="77777777" w:rsidR="00015DC1" w:rsidRPr="00986221" w:rsidRDefault="00015DC1" w:rsidP="00A73D23">
            <w:pPr>
              <w:spacing w:before="60" w:after="60"/>
              <w:rPr>
                <w:rFonts w:cs="Arial"/>
              </w:rPr>
            </w:pPr>
            <w:r w:rsidRPr="00986221">
              <w:rPr>
                <w:rFonts w:cs="Arial"/>
              </w:rPr>
              <w:t>Office of Government</w:t>
            </w:r>
          </w:p>
        </w:tc>
      </w:tr>
      <w:tr w:rsidR="007A4BAD" w:rsidRPr="00986221" w14:paraId="157E7809" w14:textId="77777777" w:rsidTr="00B03BD3">
        <w:tc>
          <w:tcPr>
            <w:tcW w:w="1242" w:type="dxa"/>
            <w:shd w:val="clear" w:color="auto" w:fill="auto"/>
          </w:tcPr>
          <w:p w14:paraId="1B35EC70" w14:textId="2FCFBAA0" w:rsidR="007A4BAD" w:rsidRPr="00986221" w:rsidRDefault="007A4BAD" w:rsidP="00A73D23">
            <w:pPr>
              <w:spacing w:before="60" w:after="60"/>
              <w:rPr>
                <w:rFonts w:cs="Arial"/>
              </w:rPr>
            </w:pPr>
            <w:r w:rsidRPr="00986221">
              <w:rPr>
                <w:rFonts w:cs="Arial"/>
              </w:rPr>
              <w:t>PCC</w:t>
            </w:r>
          </w:p>
        </w:tc>
        <w:tc>
          <w:tcPr>
            <w:tcW w:w="7274" w:type="dxa"/>
            <w:shd w:val="clear" w:color="auto" w:fill="auto"/>
          </w:tcPr>
          <w:p w14:paraId="7EBC365D" w14:textId="4F375F4B" w:rsidR="007A4BAD" w:rsidRPr="00986221" w:rsidRDefault="007A4BAD" w:rsidP="00A73D23">
            <w:pPr>
              <w:spacing w:before="60" w:after="60"/>
              <w:rPr>
                <w:rFonts w:cs="Arial"/>
              </w:rPr>
            </w:pPr>
            <w:r w:rsidRPr="00986221">
              <w:rPr>
                <w:rFonts w:cs="Arial"/>
              </w:rPr>
              <w:t>Program Coordinating Committee</w:t>
            </w:r>
          </w:p>
        </w:tc>
      </w:tr>
      <w:tr w:rsidR="00A73D23" w:rsidRPr="00986221" w14:paraId="60B502F6" w14:textId="77777777" w:rsidTr="00B03BD3">
        <w:tc>
          <w:tcPr>
            <w:tcW w:w="1242" w:type="dxa"/>
            <w:shd w:val="clear" w:color="auto" w:fill="auto"/>
          </w:tcPr>
          <w:p w14:paraId="4A76286F" w14:textId="1B3F800B" w:rsidR="00A73D23" w:rsidRPr="00986221" w:rsidRDefault="00A73D23" w:rsidP="00A73D23">
            <w:pPr>
              <w:spacing w:before="60" w:after="60"/>
              <w:rPr>
                <w:rFonts w:cs="Arial"/>
              </w:rPr>
            </w:pPr>
            <w:r w:rsidRPr="00986221">
              <w:rPr>
                <w:rFonts w:cs="Arial"/>
              </w:rPr>
              <w:t>PD</w:t>
            </w:r>
          </w:p>
        </w:tc>
        <w:tc>
          <w:tcPr>
            <w:tcW w:w="7274" w:type="dxa"/>
            <w:shd w:val="clear" w:color="auto" w:fill="auto"/>
          </w:tcPr>
          <w:p w14:paraId="31FA0C42" w14:textId="6E1FF651" w:rsidR="00A73D23" w:rsidRPr="00986221" w:rsidRDefault="00A73D23" w:rsidP="00A73D23">
            <w:pPr>
              <w:spacing w:before="60" w:after="60"/>
              <w:rPr>
                <w:rFonts w:cs="Arial"/>
              </w:rPr>
            </w:pPr>
            <w:r w:rsidRPr="00986221">
              <w:rPr>
                <w:rFonts w:cs="Arial"/>
              </w:rPr>
              <w:t>Project Director</w:t>
            </w:r>
          </w:p>
        </w:tc>
      </w:tr>
      <w:tr w:rsidR="00004899" w:rsidRPr="00986221" w14:paraId="18A57D2F" w14:textId="77777777" w:rsidTr="00B03BD3">
        <w:tc>
          <w:tcPr>
            <w:tcW w:w="1242" w:type="dxa"/>
            <w:shd w:val="clear" w:color="auto" w:fill="auto"/>
          </w:tcPr>
          <w:p w14:paraId="46976FBC" w14:textId="6FF04784" w:rsidR="00004899" w:rsidRPr="00986221" w:rsidRDefault="00485FC2" w:rsidP="00A73D23">
            <w:pPr>
              <w:spacing w:before="60" w:after="60"/>
              <w:rPr>
                <w:rFonts w:cs="Arial"/>
              </w:rPr>
            </w:pPr>
            <w:r w:rsidRPr="00986221">
              <w:rPr>
                <w:rFonts w:cs="Arial"/>
              </w:rPr>
              <w:t>PCU</w:t>
            </w:r>
          </w:p>
        </w:tc>
        <w:tc>
          <w:tcPr>
            <w:tcW w:w="7274" w:type="dxa"/>
            <w:shd w:val="clear" w:color="auto" w:fill="auto"/>
          </w:tcPr>
          <w:p w14:paraId="3AA64B5A" w14:textId="2E0FABFA" w:rsidR="00004899" w:rsidRPr="00986221" w:rsidRDefault="00004899" w:rsidP="00A73D23">
            <w:pPr>
              <w:spacing w:before="60" w:after="60"/>
              <w:rPr>
                <w:rFonts w:cs="Arial"/>
              </w:rPr>
            </w:pPr>
            <w:r w:rsidRPr="00986221">
              <w:rPr>
                <w:rFonts w:cs="Arial"/>
              </w:rPr>
              <w:t>Program Support Unit</w:t>
            </w:r>
          </w:p>
        </w:tc>
      </w:tr>
      <w:tr w:rsidR="00015DC1" w:rsidRPr="00986221" w14:paraId="1EB56B03" w14:textId="77777777" w:rsidTr="00B03BD3">
        <w:tc>
          <w:tcPr>
            <w:tcW w:w="1242" w:type="dxa"/>
            <w:shd w:val="clear" w:color="auto" w:fill="auto"/>
          </w:tcPr>
          <w:p w14:paraId="31921795" w14:textId="77777777" w:rsidR="00015DC1" w:rsidRPr="00986221" w:rsidRDefault="00015DC1" w:rsidP="00A73D23">
            <w:pPr>
              <w:spacing w:before="60" w:after="60"/>
              <w:rPr>
                <w:rFonts w:cs="Arial"/>
              </w:rPr>
            </w:pPr>
            <w:r w:rsidRPr="00986221">
              <w:rPr>
                <w:rFonts w:cs="Arial"/>
              </w:rPr>
              <w:t>RCEP</w:t>
            </w:r>
          </w:p>
        </w:tc>
        <w:tc>
          <w:tcPr>
            <w:tcW w:w="7274" w:type="dxa"/>
            <w:shd w:val="clear" w:color="auto" w:fill="auto"/>
          </w:tcPr>
          <w:p w14:paraId="4C9F84C6" w14:textId="77777777" w:rsidR="00015DC1" w:rsidRPr="00986221" w:rsidRDefault="00015DC1" w:rsidP="00A73D23">
            <w:pPr>
              <w:spacing w:before="60" w:after="60"/>
              <w:rPr>
                <w:rFonts w:cs="Arial"/>
              </w:rPr>
            </w:pPr>
            <w:r w:rsidRPr="00986221">
              <w:rPr>
                <w:rFonts w:cs="Arial"/>
              </w:rPr>
              <w:t>Regional Comprehensive Economic Partnership (RCEP)</w:t>
            </w:r>
          </w:p>
        </w:tc>
      </w:tr>
      <w:tr w:rsidR="00004899" w:rsidRPr="00986221" w14:paraId="634430A2" w14:textId="77777777" w:rsidTr="00B03BD3">
        <w:tc>
          <w:tcPr>
            <w:tcW w:w="1242" w:type="dxa"/>
            <w:shd w:val="clear" w:color="auto" w:fill="auto"/>
          </w:tcPr>
          <w:p w14:paraId="4AC3103E" w14:textId="4A0AAB4A" w:rsidR="00004899" w:rsidRPr="00986221" w:rsidRDefault="00004899" w:rsidP="00A73D23">
            <w:pPr>
              <w:spacing w:before="60" w:after="60"/>
              <w:rPr>
                <w:rFonts w:cs="Arial"/>
              </w:rPr>
            </w:pPr>
            <w:r w:rsidRPr="00986221">
              <w:rPr>
                <w:rFonts w:cs="Arial"/>
              </w:rPr>
              <w:t>RCV</w:t>
            </w:r>
          </w:p>
        </w:tc>
        <w:tc>
          <w:tcPr>
            <w:tcW w:w="7274" w:type="dxa"/>
            <w:shd w:val="clear" w:color="auto" w:fill="auto"/>
          </w:tcPr>
          <w:p w14:paraId="3853006D" w14:textId="165A1A11" w:rsidR="00004899" w:rsidRPr="00986221" w:rsidRDefault="00004899" w:rsidP="00A73D23">
            <w:pPr>
              <w:spacing w:before="60" w:after="60"/>
              <w:rPr>
                <w:rFonts w:cs="Arial"/>
              </w:rPr>
            </w:pPr>
            <w:r w:rsidRPr="00986221">
              <w:rPr>
                <w:rFonts w:cs="Arial"/>
              </w:rPr>
              <w:t>Restructuring for a Competitive Vietnam (Program)</w:t>
            </w:r>
          </w:p>
        </w:tc>
      </w:tr>
      <w:tr w:rsidR="00015DC1" w:rsidRPr="00986221" w14:paraId="467FCC81" w14:textId="77777777" w:rsidTr="00B03BD3">
        <w:tc>
          <w:tcPr>
            <w:tcW w:w="1242" w:type="dxa"/>
            <w:shd w:val="clear" w:color="auto" w:fill="auto"/>
          </w:tcPr>
          <w:p w14:paraId="30D705B7" w14:textId="77777777" w:rsidR="00015DC1" w:rsidRPr="00986221" w:rsidRDefault="00015DC1" w:rsidP="00A73D23">
            <w:pPr>
              <w:spacing w:before="60" w:after="60"/>
              <w:rPr>
                <w:rFonts w:cs="Arial"/>
              </w:rPr>
            </w:pPr>
            <w:r w:rsidRPr="00986221">
              <w:rPr>
                <w:rFonts w:cs="Arial"/>
              </w:rPr>
              <w:t>SAG</w:t>
            </w:r>
          </w:p>
        </w:tc>
        <w:tc>
          <w:tcPr>
            <w:tcW w:w="7274" w:type="dxa"/>
            <w:shd w:val="clear" w:color="auto" w:fill="auto"/>
          </w:tcPr>
          <w:p w14:paraId="44031D17" w14:textId="77777777" w:rsidR="00015DC1" w:rsidRPr="00986221" w:rsidRDefault="00015DC1" w:rsidP="00A73D23">
            <w:pPr>
              <w:spacing w:before="60" w:after="60"/>
              <w:rPr>
                <w:rFonts w:cs="Arial"/>
              </w:rPr>
            </w:pPr>
            <w:r w:rsidRPr="00986221">
              <w:rPr>
                <w:rFonts w:cs="Arial"/>
              </w:rPr>
              <w:t>Senior Advisory Group</w:t>
            </w:r>
          </w:p>
        </w:tc>
      </w:tr>
      <w:tr w:rsidR="000F5CB7" w:rsidRPr="00986221" w14:paraId="55260F42" w14:textId="77777777" w:rsidTr="00B03BD3">
        <w:tc>
          <w:tcPr>
            <w:tcW w:w="1242" w:type="dxa"/>
            <w:shd w:val="clear" w:color="auto" w:fill="auto"/>
          </w:tcPr>
          <w:p w14:paraId="3849266D" w14:textId="30242BDF" w:rsidR="000F5CB7" w:rsidRPr="00986221" w:rsidRDefault="000F5CB7" w:rsidP="00A73D23">
            <w:pPr>
              <w:spacing w:before="60" w:after="60"/>
              <w:rPr>
                <w:rFonts w:cs="Arial"/>
              </w:rPr>
            </w:pPr>
            <w:r w:rsidRPr="00986221">
              <w:rPr>
                <w:rFonts w:cs="Arial"/>
              </w:rPr>
              <w:t>SEDP</w:t>
            </w:r>
          </w:p>
        </w:tc>
        <w:tc>
          <w:tcPr>
            <w:tcW w:w="7274" w:type="dxa"/>
            <w:shd w:val="clear" w:color="auto" w:fill="auto"/>
          </w:tcPr>
          <w:p w14:paraId="6953F68B" w14:textId="76B3DC21" w:rsidR="000F5CB7" w:rsidRPr="00986221" w:rsidRDefault="000F5CB7" w:rsidP="00A73D23">
            <w:pPr>
              <w:spacing w:before="60" w:after="60"/>
              <w:rPr>
                <w:rFonts w:cs="Arial"/>
              </w:rPr>
            </w:pPr>
            <w:r w:rsidRPr="00986221">
              <w:rPr>
                <w:rFonts w:cs="Arial"/>
              </w:rPr>
              <w:t>Socio-Economic Development Plan</w:t>
            </w:r>
          </w:p>
        </w:tc>
      </w:tr>
      <w:tr w:rsidR="00015DC1" w:rsidRPr="00986221" w14:paraId="26DD1E0F" w14:textId="77777777" w:rsidTr="00B03BD3">
        <w:tc>
          <w:tcPr>
            <w:tcW w:w="1242" w:type="dxa"/>
            <w:shd w:val="clear" w:color="auto" w:fill="auto"/>
          </w:tcPr>
          <w:p w14:paraId="2FD53FD7" w14:textId="77777777" w:rsidR="00015DC1" w:rsidRPr="00986221" w:rsidRDefault="00015DC1" w:rsidP="00A73D23">
            <w:pPr>
              <w:spacing w:before="60" w:after="60"/>
              <w:rPr>
                <w:rFonts w:cs="Arial"/>
              </w:rPr>
            </w:pPr>
            <w:r w:rsidRPr="00986221">
              <w:rPr>
                <w:rFonts w:cs="Arial"/>
              </w:rPr>
              <w:t>SMEs</w:t>
            </w:r>
          </w:p>
        </w:tc>
        <w:tc>
          <w:tcPr>
            <w:tcW w:w="7274" w:type="dxa"/>
            <w:shd w:val="clear" w:color="auto" w:fill="auto"/>
          </w:tcPr>
          <w:p w14:paraId="22FEDFD1" w14:textId="77777777" w:rsidR="00015DC1" w:rsidRPr="00986221" w:rsidRDefault="00015DC1" w:rsidP="00A73D23">
            <w:pPr>
              <w:spacing w:before="60" w:after="60"/>
              <w:rPr>
                <w:rFonts w:cs="Arial"/>
              </w:rPr>
            </w:pPr>
            <w:r w:rsidRPr="00986221">
              <w:rPr>
                <w:rFonts w:cs="Arial"/>
              </w:rPr>
              <w:t>Small and Medium Enterprises</w:t>
            </w:r>
          </w:p>
        </w:tc>
      </w:tr>
      <w:tr w:rsidR="00015DC1" w:rsidRPr="00986221" w14:paraId="722C76F1" w14:textId="77777777" w:rsidTr="00B03BD3">
        <w:tc>
          <w:tcPr>
            <w:tcW w:w="1242" w:type="dxa"/>
            <w:shd w:val="clear" w:color="auto" w:fill="auto"/>
          </w:tcPr>
          <w:p w14:paraId="2D1CBD6E" w14:textId="77777777" w:rsidR="00015DC1" w:rsidRPr="00986221" w:rsidRDefault="00015DC1" w:rsidP="00A73D23">
            <w:pPr>
              <w:spacing w:before="60" w:after="60"/>
              <w:rPr>
                <w:rFonts w:cs="Arial"/>
              </w:rPr>
            </w:pPr>
            <w:r w:rsidRPr="00986221">
              <w:rPr>
                <w:rFonts w:cs="Arial"/>
              </w:rPr>
              <w:t>SE</w:t>
            </w:r>
          </w:p>
        </w:tc>
        <w:tc>
          <w:tcPr>
            <w:tcW w:w="7274" w:type="dxa"/>
            <w:shd w:val="clear" w:color="auto" w:fill="auto"/>
          </w:tcPr>
          <w:p w14:paraId="429BE852" w14:textId="77777777" w:rsidR="00015DC1" w:rsidRPr="00986221" w:rsidRDefault="00015DC1" w:rsidP="00A73D23">
            <w:pPr>
              <w:spacing w:before="60" w:after="60"/>
              <w:rPr>
                <w:rFonts w:cs="Arial"/>
              </w:rPr>
            </w:pPr>
            <w:r w:rsidRPr="00986221">
              <w:rPr>
                <w:rFonts w:cs="Arial"/>
              </w:rPr>
              <w:t>State Enterprise</w:t>
            </w:r>
          </w:p>
        </w:tc>
      </w:tr>
      <w:tr w:rsidR="00015DC1" w:rsidRPr="00986221" w14:paraId="78DA4C3B" w14:textId="77777777" w:rsidTr="00B03BD3">
        <w:tc>
          <w:tcPr>
            <w:tcW w:w="1242" w:type="dxa"/>
            <w:shd w:val="clear" w:color="auto" w:fill="auto"/>
          </w:tcPr>
          <w:p w14:paraId="2EDBDDA2" w14:textId="1C8C2F4C" w:rsidR="00015DC1" w:rsidRPr="00986221" w:rsidRDefault="00485FC2" w:rsidP="00A73D23">
            <w:pPr>
              <w:spacing w:before="60" w:after="60"/>
              <w:rPr>
                <w:rFonts w:cs="Arial"/>
              </w:rPr>
            </w:pPr>
            <w:r w:rsidRPr="00986221">
              <w:rPr>
                <w:rFonts w:cs="Arial"/>
              </w:rPr>
              <w:t>SPC-E</w:t>
            </w:r>
          </w:p>
        </w:tc>
        <w:tc>
          <w:tcPr>
            <w:tcW w:w="7274" w:type="dxa"/>
            <w:shd w:val="clear" w:color="auto" w:fill="auto"/>
          </w:tcPr>
          <w:p w14:paraId="43D260D9" w14:textId="52D326A2" w:rsidR="00015DC1" w:rsidRPr="00986221" w:rsidRDefault="00015DC1" w:rsidP="009D2A1A">
            <w:pPr>
              <w:spacing w:before="60" w:after="60"/>
              <w:rPr>
                <w:rFonts w:cs="Arial"/>
              </w:rPr>
            </w:pPr>
            <w:r w:rsidRPr="00986221">
              <w:rPr>
                <w:rFonts w:cs="Arial"/>
              </w:rPr>
              <w:t xml:space="preserve">Senior </w:t>
            </w:r>
            <w:r w:rsidR="00A731FC" w:rsidRPr="00986221">
              <w:rPr>
                <w:rFonts w:cs="Arial"/>
              </w:rPr>
              <w:t>Program</w:t>
            </w:r>
            <w:r w:rsidRPr="00986221">
              <w:rPr>
                <w:rFonts w:cs="Arial"/>
              </w:rPr>
              <w:t xml:space="preserve"> </w:t>
            </w:r>
            <w:r w:rsidR="009D2A1A" w:rsidRPr="00986221">
              <w:rPr>
                <w:rFonts w:cs="Arial"/>
              </w:rPr>
              <w:t>Manager/Economist</w:t>
            </w:r>
          </w:p>
        </w:tc>
      </w:tr>
      <w:tr w:rsidR="00015DC1" w:rsidRPr="00986221" w14:paraId="40226988" w14:textId="77777777" w:rsidTr="00B03BD3">
        <w:tc>
          <w:tcPr>
            <w:tcW w:w="1242" w:type="dxa"/>
            <w:shd w:val="clear" w:color="auto" w:fill="auto"/>
          </w:tcPr>
          <w:p w14:paraId="69AB66BF" w14:textId="77777777" w:rsidR="00015DC1" w:rsidRPr="00986221" w:rsidRDefault="00015DC1" w:rsidP="00A73D23">
            <w:pPr>
              <w:spacing w:before="60" w:after="60"/>
              <w:rPr>
                <w:rFonts w:cs="Arial"/>
              </w:rPr>
            </w:pPr>
            <w:r w:rsidRPr="00986221">
              <w:rPr>
                <w:rFonts w:cs="Arial"/>
              </w:rPr>
              <w:t>STA</w:t>
            </w:r>
          </w:p>
        </w:tc>
        <w:tc>
          <w:tcPr>
            <w:tcW w:w="7274" w:type="dxa"/>
            <w:shd w:val="clear" w:color="auto" w:fill="auto"/>
          </w:tcPr>
          <w:p w14:paraId="6F919C34" w14:textId="77777777" w:rsidR="00015DC1" w:rsidRPr="00986221" w:rsidRDefault="00015DC1" w:rsidP="00A73D23">
            <w:pPr>
              <w:spacing w:before="60" w:after="60"/>
              <w:rPr>
                <w:rFonts w:cs="Arial"/>
              </w:rPr>
            </w:pPr>
            <w:r w:rsidRPr="00986221">
              <w:rPr>
                <w:rFonts w:cs="Arial"/>
              </w:rPr>
              <w:t>Senior Technical Adviser</w:t>
            </w:r>
          </w:p>
        </w:tc>
      </w:tr>
      <w:tr w:rsidR="00C00851" w:rsidRPr="00986221" w14:paraId="5BA86EA8" w14:textId="77777777" w:rsidTr="00C00851">
        <w:tc>
          <w:tcPr>
            <w:tcW w:w="1242" w:type="dxa"/>
            <w:shd w:val="clear" w:color="auto" w:fill="auto"/>
          </w:tcPr>
          <w:p w14:paraId="40B5C39D" w14:textId="00849B1C" w:rsidR="00C00851" w:rsidRPr="00986221" w:rsidRDefault="00C00851" w:rsidP="00C00851">
            <w:pPr>
              <w:spacing w:before="60" w:after="60"/>
              <w:rPr>
                <w:rFonts w:cs="Arial"/>
              </w:rPr>
            </w:pPr>
            <w:r w:rsidRPr="00986221">
              <w:rPr>
                <w:rFonts w:cs="Arial"/>
              </w:rPr>
              <w:t>TFP</w:t>
            </w:r>
          </w:p>
        </w:tc>
        <w:tc>
          <w:tcPr>
            <w:tcW w:w="7274" w:type="dxa"/>
            <w:shd w:val="clear" w:color="auto" w:fill="auto"/>
          </w:tcPr>
          <w:p w14:paraId="181E40CB" w14:textId="6427493F" w:rsidR="00C00851" w:rsidRPr="00986221" w:rsidRDefault="00C00851" w:rsidP="00C00851">
            <w:pPr>
              <w:spacing w:before="60" w:after="60"/>
              <w:rPr>
                <w:rFonts w:cs="Arial"/>
              </w:rPr>
            </w:pPr>
            <w:r w:rsidRPr="00986221">
              <w:rPr>
                <w:rFonts w:cs="Arial"/>
              </w:rPr>
              <w:t>Total Factor Productivity</w:t>
            </w:r>
          </w:p>
        </w:tc>
      </w:tr>
      <w:tr w:rsidR="00D61A30" w:rsidRPr="00986221" w14:paraId="168116D0" w14:textId="77777777" w:rsidTr="00B03BD3">
        <w:tc>
          <w:tcPr>
            <w:tcW w:w="1242" w:type="dxa"/>
            <w:shd w:val="clear" w:color="auto" w:fill="auto"/>
          </w:tcPr>
          <w:p w14:paraId="384FA9A2" w14:textId="7154EF8B" w:rsidR="00D61A30" w:rsidRPr="00986221" w:rsidRDefault="00D61A30" w:rsidP="00A73D23">
            <w:pPr>
              <w:spacing w:before="60" w:after="60"/>
              <w:rPr>
                <w:rFonts w:cs="Arial"/>
              </w:rPr>
            </w:pPr>
            <w:proofErr w:type="spellStart"/>
            <w:r w:rsidRPr="00986221">
              <w:rPr>
                <w:rFonts w:cs="Arial"/>
              </w:rPr>
              <w:t>ToR</w:t>
            </w:r>
            <w:proofErr w:type="spellEnd"/>
          </w:p>
        </w:tc>
        <w:tc>
          <w:tcPr>
            <w:tcW w:w="7274" w:type="dxa"/>
            <w:shd w:val="clear" w:color="auto" w:fill="auto"/>
          </w:tcPr>
          <w:p w14:paraId="632B7DAC" w14:textId="62769A5C" w:rsidR="00D61A30" w:rsidRPr="00986221" w:rsidRDefault="00D61A30" w:rsidP="00A73D23">
            <w:pPr>
              <w:spacing w:before="60" w:after="60"/>
              <w:rPr>
                <w:rFonts w:cs="Arial"/>
              </w:rPr>
            </w:pPr>
            <w:r w:rsidRPr="00986221">
              <w:rPr>
                <w:rFonts w:cs="Arial"/>
              </w:rPr>
              <w:t>Terms of Reference</w:t>
            </w:r>
          </w:p>
        </w:tc>
      </w:tr>
      <w:tr w:rsidR="00015DC1" w:rsidRPr="00986221" w14:paraId="54446E27" w14:textId="77777777" w:rsidTr="00B03BD3">
        <w:tc>
          <w:tcPr>
            <w:tcW w:w="1242" w:type="dxa"/>
            <w:shd w:val="clear" w:color="auto" w:fill="auto"/>
          </w:tcPr>
          <w:p w14:paraId="03375CF4" w14:textId="77777777" w:rsidR="00015DC1" w:rsidRPr="00986221" w:rsidRDefault="00015DC1" w:rsidP="00A73D23">
            <w:pPr>
              <w:spacing w:before="60" w:after="60"/>
              <w:rPr>
                <w:rFonts w:cs="Arial"/>
              </w:rPr>
            </w:pPr>
            <w:r w:rsidRPr="00986221">
              <w:rPr>
                <w:rFonts w:cs="Arial"/>
              </w:rPr>
              <w:t>TPP</w:t>
            </w:r>
          </w:p>
        </w:tc>
        <w:tc>
          <w:tcPr>
            <w:tcW w:w="7274" w:type="dxa"/>
            <w:shd w:val="clear" w:color="auto" w:fill="auto"/>
          </w:tcPr>
          <w:p w14:paraId="7DF5A83F" w14:textId="77777777" w:rsidR="00015DC1" w:rsidRPr="00986221" w:rsidRDefault="00015DC1" w:rsidP="00A73D23">
            <w:pPr>
              <w:spacing w:before="60" w:after="60"/>
              <w:rPr>
                <w:rFonts w:cs="Arial"/>
              </w:rPr>
            </w:pPr>
            <w:r w:rsidRPr="00986221">
              <w:rPr>
                <w:rFonts w:cs="Arial"/>
              </w:rPr>
              <w:t>Trans Pacific Partnership</w:t>
            </w:r>
          </w:p>
        </w:tc>
      </w:tr>
      <w:tr w:rsidR="00015DC1" w:rsidRPr="00986221" w14:paraId="1A69C061" w14:textId="77777777" w:rsidTr="00B03BD3">
        <w:tc>
          <w:tcPr>
            <w:tcW w:w="1242" w:type="dxa"/>
            <w:shd w:val="clear" w:color="auto" w:fill="auto"/>
          </w:tcPr>
          <w:p w14:paraId="6DAA5637" w14:textId="77777777" w:rsidR="00015DC1" w:rsidRPr="00986221" w:rsidRDefault="00015DC1" w:rsidP="00A73D23">
            <w:pPr>
              <w:spacing w:before="60" w:after="60"/>
              <w:rPr>
                <w:rFonts w:cs="Arial"/>
              </w:rPr>
            </w:pPr>
            <w:r w:rsidRPr="00986221">
              <w:rPr>
                <w:rFonts w:cs="Arial"/>
              </w:rPr>
              <w:t>VCA</w:t>
            </w:r>
          </w:p>
        </w:tc>
        <w:tc>
          <w:tcPr>
            <w:tcW w:w="7274" w:type="dxa"/>
            <w:shd w:val="clear" w:color="auto" w:fill="auto"/>
          </w:tcPr>
          <w:p w14:paraId="3ABA5C0A" w14:textId="495EE9CD" w:rsidR="00015DC1" w:rsidRPr="00986221" w:rsidRDefault="00687C28" w:rsidP="00E853A4">
            <w:pPr>
              <w:spacing w:before="60" w:after="60"/>
              <w:rPr>
                <w:rFonts w:cs="Arial"/>
              </w:rPr>
            </w:pPr>
            <w:r w:rsidRPr="00986221">
              <w:rPr>
                <w:rFonts w:cs="Arial"/>
              </w:rPr>
              <w:t>Vietnam</w:t>
            </w:r>
            <w:r w:rsidR="00015DC1" w:rsidRPr="00986221">
              <w:rPr>
                <w:rFonts w:cs="Arial"/>
              </w:rPr>
              <w:t xml:space="preserve"> Competition </w:t>
            </w:r>
            <w:r w:rsidR="00E853A4" w:rsidRPr="00986221">
              <w:rPr>
                <w:rFonts w:cs="Arial"/>
              </w:rPr>
              <w:t>Authority</w:t>
            </w:r>
          </w:p>
        </w:tc>
      </w:tr>
      <w:tr w:rsidR="00015DC1" w:rsidRPr="00986221" w14:paraId="0AFA512E" w14:textId="77777777" w:rsidTr="00B03BD3">
        <w:tc>
          <w:tcPr>
            <w:tcW w:w="1242" w:type="dxa"/>
            <w:shd w:val="clear" w:color="auto" w:fill="auto"/>
          </w:tcPr>
          <w:p w14:paraId="66060D6C" w14:textId="77777777" w:rsidR="00015DC1" w:rsidRPr="00986221" w:rsidRDefault="00015DC1" w:rsidP="00A73D23">
            <w:pPr>
              <w:spacing w:before="60" w:after="60"/>
              <w:rPr>
                <w:rFonts w:cs="Arial"/>
              </w:rPr>
            </w:pPr>
            <w:r w:rsidRPr="00986221">
              <w:rPr>
                <w:rFonts w:cs="Arial"/>
              </w:rPr>
              <w:t>VCCI</w:t>
            </w:r>
          </w:p>
        </w:tc>
        <w:tc>
          <w:tcPr>
            <w:tcW w:w="7274" w:type="dxa"/>
            <w:shd w:val="clear" w:color="auto" w:fill="auto"/>
          </w:tcPr>
          <w:p w14:paraId="113DCD51" w14:textId="07405C65" w:rsidR="00015DC1" w:rsidRPr="00986221" w:rsidRDefault="00687C28" w:rsidP="00A73D23">
            <w:pPr>
              <w:spacing w:before="60" w:after="60"/>
              <w:rPr>
                <w:rFonts w:cs="Arial"/>
              </w:rPr>
            </w:pPr>
            <w:r w:rsidRPr="00986221">
              <w:rPr>
                <w:rFonts w:cs="Arial"/>
              </w:rPr>
              <w:t>Vietnam</w:t>
            </w:r>
            <w:r w:rsidR="00015DC1" w:rsidRPr="00986221">
              <w:rPr>
                <w:rFonts w:cs="Arial"/>
              </w:rPr>
              <w:t xml:space="preserve"> Chamber of Commerce and Industry</w:t>
            </w:r>
          </w:p>
        </w:tc>
      </w:tr>
      <w:tr w:rsidR="007A4BAD" w:rsidRPr="00986221" w14:paraId="45E29D4F" w14:textId="77777777" w:rsidTr="00C00851">
        <w:tc>
          <w:tcPr>
            <w:tcW w:w="1242" w:type="dxa"/>
            <w:shd w:val="clear" w:color="auto" w:fill="auto"/>
          </w:tcPr>
          <w:p w14:paraId="18923AAF" w14:textId="21B9AA8E" w:rsidR="007A4BAD" w:rsidRPr="00986221" w:rsidRDefault="007A4BAD" w:rsidP="00C00851">
            <w:pPr>
              <w:spacing w:before="60" w:after="60"/>
              <w:rPr>
                <w:rFonts w:cs="Arial"/>
              </w:rPr>
            </w:pPr>
            <w:r w:rsidRPr="00986221">
              <w:rPr>
                <w:rFonts w:cs="Arial"/>
              </w:rPr>
              <w:t>VNS</w:t>
            </w:r>
          </w:p>
        </w:tc>
        <w:tc>
          <w:tcPr>
            <w:tcW w:w="7274" w:type="dxa"/>
            <w:shd w:val="clear" w:color="auto" w:fill="auto"/>
          </w:tcPr>
          <w:p w14:paraId="3CE204E5" w14:textId="6AD0CEAB" w:rsidR="007A4BAD" w:rsidRPr="00986221" w:rsidRDefault="007A4BAD" w:rsidP="00C00851">
            <w:pPr>
              <w:spacing w:before="60" w:after="60"/>
              <w:rPr>
                <w:rFonts w:cs="Arial"/>
              </w:rPr>
            </w:pPr>
            <w:r w:rsidRPr="00986221">
              <w:rPr>
                <w:rFonts w:cs="Arial"/>
              </w:rPr>
              <w:t>Vietnamese Dong</w:t>
            </w:r>
          </w:p>
        </w:tc>
      </w:tr>
      <w:tr w:rsidR="00C00851" w:rsidRPr="00986221" w14:paraId="712995FA" w14:textId="77777777" w:rsidTr="00C00851">
        <w:tc>
          <w:tcPr>
            <w:tcW w:w="1242" w:type="dxa"/>
            <w:shd w:val="clear" w:color="auto" w:fill="auto"/>
          </w:tcPr>
          <w:p w14:paraId="3F0D390E" w14:textId="77777777" w:rsidR="00C00851" w:rsidRPr="00986221" w:rsidRDefault="00C00851" w:rsidP="00C00851">
            <w:pPr>
              <w:spacing w:before="60" w:after="60"/>
              <w:rPr>
                <w:rFonts w:cs="Arial"/>
              </w:rPr>
            </w:pPr>
            <w:r w:rsidRPr="00986221">
              <w:rPr>
                <w:rFonts w:cs="Arial"/>
              </w:rPr>
              <w:t>WB</w:t>
            </w:r>
          </w:p>
        </w:tc>
        <w:tc>
          <w:tcPr>
            <w:tcW w:w="7274" w:type="dxa"/>
            <w:shd w:val="clear" w:color="auto" w:fill="auto"/>
          </w:tcPr>
          <w:p w14:paraId="79529BA2" w14:textId="77777777" w:rsidR="00C00851" w:rsidRPr="00986221" w:rsidRDefault="00C00851" w:rsidP="00C00851">
            <w:pPr>
              <w:spacing w:before="60" w:after="60"/>
              <w:rPr>
                <w:rFonts w:cs="Arial"/>
              </w:rPr>
            </w:pPr>
            <w:r w:rsidRPr="00986221">
              <w:rPr>
                <w:rFonts w:cs="Arial"/>
              </w:rPr>
              <w:t>World Bank</w:t>
            </w:r>
          </w:p>
        </w:tc>
      </w:tr>
      <w:tr w:rsidR="00015DC1" w:rsidRPr="00986221" w14:paraId="7D028E9A" w14:textId="77777777" w:rsidTr="00B03BD3">
        <w:tc>
          <w:tcPr>
            <w:tcW w:w="1242" w:type="dxa"/>
            <w:shd w:val="clear" w:color="auto" w:fill="auto"/>
          </w:tcPr>
          <w:p w14:paraId="169C64D8" w14:textId="1ECCB5F8" w:rsidR="00015DC1" w:rsidRPr="00986221" w:rsidRDefault="00015DC1" w:rsidP="00A73D23">
            <w:pPr>
              <w:spacing w:before="60" w:after="60"/>
              <w:rPr>
                <w:rFonts w:cs="Arial"/>
              </w:rPr>
            </w:pPr>
            <w:r w:rsidRPr="00986221">
              <w:rPr>
                <w:rFonts w:cs="Arial"/>
              </w:rPr>
              <w:t>W</w:t>
            </w:r>
            <w:r w:rsidR="00C00851" w:rsidRPr="00986221">
              <w:rPr>
                <w:rFonts w:cs="Arial"/>
              </w:rPr>
              <w:t>EF</w:t>
            </w:r>
          </w:p>
        </w:tc>
        <w:tc>
          <w:tcPr>
            <w:tcW w:w="7274" w:type="dxa"/>
            <w:shd w:val="clear" w:color="auto" w:fill="auto"/>
          </w:tcPr>
          <w:p w14:paraId="08D5614D" w14:textId="2E6DB546" w:rsidR="00015DC1" w:rsidRPr="00986221" w:rsidRDefault="00015DC1" w:rsidP="00C00851">
            <w:pPr>
              <w:spacing w:before="60" w:after="60"/>
              <w:rPr>
                <w:rFonts w:cs="Arial"/>
              </w:rPr>
            </w:pPr>
            <w:r w:rsidRPr="00986221">
              <w:rPr>
                <w:rFonts w:cs="Arial"/>
              </w:rPr>
              <w:t xml:space="preserve">World </w:t>
            </w:r>
            <w:r w:rsidR="00C00851" w:rsidRPr="00986221">
              <w:rPr>
                <w:rFonts w:cs="Arial"/>
              </w:rPr>
              <w:t>Economic Forum</w:t>
            </w:r>
          </w:p>
        </w:tc>
      </w:tr>
      <w:tr w:rsidR="00015DC1" w:rsidRPr="00986221" w14:paraId="7EDF9E42" w14:textId="77777777" w:rsidTr="00B03BD3">
        <w:tc>
          <w:tcPr>
            <w:tcW w:w="1242" w:type="dxa"/>
            <w:shd w:val="clear" w:color="auto" w:fill="auto"/>
          </w:tcPr>
          <w:p w14:paraId="66259CA9" w14:textId="77777777" w:rsidR="00015DC1" w:rsidRPr="00986221" w:rsidRDefault="00015DC1" w:rsidP="00A73D23">
            <w:pPr>
              <w:spacing w:before="60" w:after="60"/>
              <w:rPr>
                <w:rFonts w:cs="Arial"/>
              </w:rPr>
            </w:pPr>
            <w:r w:rsidRPr="00986221">
              <w:rPr>
                <w:rFonts w:cs="Arial"/>
              </w:rPr>
              <w:t>WTO</w:t>
            </w:r>
          </w:p>
        </w:tc>
        <w:tc>
          <w:tcPr>
            <w:tcW w:w="7274" w:type="dxa"/>
            <w:shd w:val="clear" w:color="auto" w:fill="auto"/>
          </w:tcPr>
          <w:p w14:paraId="4BF7DCD4" w14:textId="77777777" w:rsidR="00015DC1" w:rsidRPr="00986221" w:rsidRDefault="00015DC1" w:rsidP="00A73D23">
            <w:pPr>
              <w:spacing w:before="60" w:after="60"/>
              <w:rPr>
                <w:rFonts w:cs="Arial"/>
              </w:rPr>
            </w:pPr>
            <w:r w:rsidRPr="00986221">
              <w:rPr>
                <w:rFonts w:cs="Arial"/>
              </w:rPr>
              <w:t>World Trade Organization</w:t>
            </w:r>
          </w:p>
        </w:tc>
      </w:tr>
      <w:tr w:rsidR="00015DC1" w:rsidRPr="00986221" w14:paraId="01BF0E45" w14:textId="77777777" w:rsidTr="00B03BD3">
        <w:tc>
          <w:tcPr>
            <w:tcW w:w="1242" w:type="dxa"/>
            <w:shd w:val="clear" w:color="auto" w:fill="auto"/>
          </w:tcPr>
          <w:p w14:paraId="63C743BC" w14:textId="77777777" w:rsidR="00015DC1" w:rsidRPr="00986221" w:rsidRDefault="00015DC1" w:rsidP="00A73D23">
            <w:pPr>
              <w:spacing w:before="60" w:after="60"/>
              <w:rPr>
                <w:rFonts w:cs="Arial"/>
              </w:rPr>
            </w:pPr>
          </w:p>
        </w:tc>
        <w:tc>
          <w:tcPr>
            <w:tcW w:w="7274" w:type="dxa"/>
            <w:shd w:val="clear" w:color="auto" w:fill="auto"/>
          </w:tcPr>
          <w:p w14:paraId="6E7E6394" w14:textId="77777777" w:rsidR="00015DC1" w:rsidRPr="00986221" w:rsidRDefault="00015DC1" w:rsidP="00A73D23">
            <w:pPr>
              <w:spacing w:before="60" w:after="60"/>
              <w:rPr>
                <w:rFonts w:cs="Arial"/>
              </w:rPr>
            </w:pPr>
          </w:p>
        </w:tc>
      </w:tr>
    </w:tbl>
    <w:p w14:paraId="3A81A0C9" w14:textId="77777777" w:rsidR="00997E27" w:rsidRPr="00986221" w:rsidRDefault="00997E27" w:rsidP="00997E27">
      <w:pPr>
        <w:rPr>
          <w:rFonts w:cs="Arial"/>
        </w:rPr>
        <w:sectPr w:rsidR="00997E27" w:rsidRPr="00986221" w:rsidSect="00201D17">
          <w:footerReference w:type="default" r:id="rId16"/>
          <w:pgSz w:w="11900" w:h="16840"/>
          <w:pgMar w:top="1440" w:right="1800" w:bottom="1440" w:left="1800" w:header="708" w:footer="708" w:gutter="0"/>
          <w:pgNumType w:fmt="lowerRoman"/>
          <w:cols w:space="708"/>
          <w:docGrid w:linePitch="360"/>
        </w:sectPr>
      </w:pPr>
    </w:p>
    <w:p w14:paraId="4548F6B1" w14:textId="1E659329" w:rsidR="00EE6C3D" w:rsidRPr="00986221" w:rsidRDefault="00933704" w:rsidP="00154C7D">
      <w:pPr>
        <w:pStyle w:val="Heading1"/>
        <w:numPr>
          <w:ilvl w:val="0"/>
          <w:numId w:val="7"/>
        </w:numPr>
        <w:rPr>
          <w:rFonts w:ascii="Arial" w:hAnsi="Arial" w:cs="Arial"/>
        </w:rPr>
      </w:pPr>
      <w:bookmarkStart w:id="4" w:name="_Toc387322625"/>
      <w:r w:rsidRPr="00986221">
        <w:rPr>
          <w:rFonts w:ascii="Arial" w:hAnsi="Arial" w:cs="Arial"/>
        </w:rPr>
        <w:t>Executive Summary</w:t>
      </w:r>
      <w:bookmarkEnd w:id="4"/>
    </w:p>
    <w:p w14:paraId="6F35ACEA" w14:textId="77777777" w:rsidR="002B15B5" w:rsidRPr="00986221" w:rsidRDefault="002B15B5" w:rsidP="002B15B5"/>
    <w:p w14:paraId="3EB6E8B9" w14:textId="77777777" w:rsidR="00933704" w:rsidRPr="00986221" w:rsidRDefault="00933704" w:rsidP="00EE6C3D">
      <w:pPr>
        <w:pStyle w:val="Heading2"/>
      </w:pPr>
      <w:bookmarkStart w:id="5" w:name="_Toc387322626"/>
      <w:r w:rsidRPr="00986221">
        <w:t>Planned Development Outcomes</w:t>
      </w:r>
      <w:bookmarkEnd w:id="5"/>
    </w:p>
    <w:p w14:paraId="0D6BF185" w14:textId="583B14DD" w:rsidR="00E444D1" w:rsidRPr="00986221" w:rsidRDefault="00117465" w:rsidP="000221A3">
      <w:pPr>
        <w:pStyle w:val="ListParagraph"/>
      </w:pPr>
      <w:r w:rsidRPr="00986221">
        <w:t xml:space="preserve">The Restructuring </w:t>
      </w:r>
      <w:r w:rsidR="002577B0" w:rsidRPr="00986221">
        <w:t>for a Competitive Vietnam</w:t>
      </w:r>
      <w:r w:rsidR="00347344" w:rsidRPr="00986221">
        <w:t xml:space="preserve"> (</w:t>
      </w:r>
      <w:r w:rsidR="002577B0" w:rsidRPr="00986221">
        <w:t>R</w:t>
      </w:r>
      <w:r w:rsidR="00CC2E58" w:rsidRPr="00986221">
        <w:t>C</w:t>
      </w:r>
      <w:r w:rsidR="002577B0" w:rsidRPr="00986221">
        <w:t>V</w:t>
      </w:r>
      <w:r w:rsidR="00CC2E58" w:rsidRPr="00986221">
        <w:t>) Program</w:t>
      </w:r>
      <w:r w:rsidR="007936D8" w:rsidRPr="00986221">
        <w:t xml:space="preserve"> has been designed to support implementation of selected elements of the Government Master Plan o</w:t>
      </w:r>
      <w:r w:rsidR="00E6588C" w:rsidRPr="00986221">
        <w:t xml:space="preserve">n Economic Restructuring (MPER, 2013-2020). </w:t>
      </w:r>
      <w:r w:rsidR="00C36645" w:rsidRPr="00986221">
        <w:t>MPER</w:t>
      </w:r>
      <w:r w:rsidR="00E6588C" w:rsidRPr="00986221">
        <w:t xml:space="preserve"> </w:t>
      </w:r>
      <w:r w:rsidR="00C36645" w:rsidRPr="00986221">
        <w:t xml:space="preserve">goals supported by </w:t>
      </w:r>
      <w:r w:rsidR="0065699F" w:rsidRPr="00986221">
        <w:t>RCV</w:t>
      </w:r>
      <w:r w:rsidR="008D2A61" w:rsidRPr="00986221">
        <w:t xml:space="preserve"> </w:t>
      </w:r>
      <w:r w:rsidR="00C36645" w:rsidRPr="00986221">
        <w:t xml:space="preserve">are </w:t>
      </w:r>
      <w:r w:rsidR="00E6588C" w:rsidRPr="00986221">
        <w:t>to</w:t>
      </w:r>
      <w:r w:rsidR="00E444D1" w:rsidRPr="00986221">
        <w:t>:</w:t>
      </w:r>
      <w:r w:rsidR="00E6588C" w:rsidRPr="00986221">
        <w:t xml:space="preserve"> </w:t>
      </w:r>
    </w:p>
    <w:p w14:paraId="7ED96004" w14:textId="41065BD7" w:rsidR="00E444D1" w:rsidRPr="00986221" w:rsidRDefault="00BE1292" w:rsidP="007D6243">
      <w:pPr>
        <w:pStyle w:val="ListParagraphindent"/>
      </w:pPr>
      <w:r w:rsidRPr="00986221">
        <w:t>Increase</w:t>
      </w:r>
      <w:r w:rsidR="004400FC" w:rsidRPr="00986221">
        <w:t>d</w:t>
      </w:r>
      <w:r w:rsidRPr="00986221">
        <w:t xml:space="preserve"> n</w:t>
      </w:r>
      <w:r w:rsidR="00C36645" w:rsidRPr="00986221">
        <w:t>ational economic c</w:t>
      </w:r>
      <w:r w:rsidR="00E444D1" w:rsidRPr="00986221">
        <w:t>ompetitiveness</w:t>
      </w:r>
      <w:r w:rsidR="00C36645" w:rsidRPr="00986221">
        <w:t>.</w:t>
      </w:r>
      <w:r w:rsidR="00E444D1" w:rsidRPr="00986221">
        <w:t xml:space="preserve"> </w:t>
      </w:r>
    </w:p>
    <w:p w14:paraId="73A43C16" w14:textId="2BFE1628" w:rsidR="00E444D1" w:rsidRPr="00986221" w:rsidRDefault="00BE1292" w:rsidP="007D6243">
      <w:pPr>
        <w:pStyle w:val="ListParagraphindent"/>
      </w:pPr>
      <w:r w:rsidRPr="00986221">
        <w:t>Accelerate</w:t>
      </w:r>
      <w:r w:rsidR="004400FC" w:rsidRPr="00986221">
        <w:t>d</w:t>
      </w:r>
      <w:r w:rsidRPr="00986221">
        <w:t xml:space="preserve"> growth in l</w:t>
      </w:r>
      <w:r w:rsidR="00E444D1" w:rsidRPr="00986221">
        <w:t xml:space="preserve">abour </w:t>
      </w:r>
      <w:r w:rsidR="00CC2E58" w:rsidRPr="00986221">
        <w:t>productivity</w:t>
      </w:r>
      <w:r w:rsidR="00C36645" w:rsidRPr="00986221">
        <w:t>, employment</w:t>
      </w:r>
      <w:r w:rsidR="00CC2E58" w:rsidRPr="00986221">
        <w:t xml:space="preserve"> and </w:t>
      </w:r>
      <w:r w:rsidR="00E444D1" w:rsidRPr="00986221">
        <w:t>incomes.</w:t>
      </w:r>
    </w:p>
    <w:p w14:paraId="55C5432D" w14:textId="4DA4C835" w:rsidR="00DD47AA" w:rsidRPr="00986221" w:rsidRDefault="00BE1292" w:rsidP="007D6243">
      <w:pPr>
        <w:pStyle w:val="ListParagraphindent"/>
      </w:pPr>
      <w:r w:rsidRPr="00986221">
        <w:t>Improve</w:t>
      </w:r>
      <w:r w:rsidR="004400FC" w:rsidRPr="00986221">
        <w:t>d</w:t>
      </w:r>
      <w:r w:rsidR="00DD47AA" w:rsidRPr="00986221">
        <w:t xml:space="preserve"> transparency </w:t>
      </w:r>
      <w:r w:rsidR="004A04FB" w:rsidRPr="00986221">
        <w:t xml:space="preserve">in business regulation </w:t>
      </w:r>
      <w:r w:rsidRPr="00986221">
        <w:t>and reduce</w:t>
      </w:r>
      <w:r w:rsidR="00DD47AA" w:rsidRPr="00986221">
        <w:t xml:space="preserve"> corruption.</w:t>
      </w:r>
    </w:p>
    <w:p w14:paraId="02598948" w14:textId="2B94CDE7" w:rsidR="00017D72" w:rsidRPr="00986221" w:rsidRDefault="00C36645" w:rsidP="000221A3">
      <w:pPr>
        <w:pStyle w:val="ListParagraph"/>
      </w:pPr>
      <w:r w:rsidRPr="00986221">
        <w:t>K</w:t>
      </w:r>
      <w:r w:rsidR="00017D72" w:rsidRPr="00986221">
        <w:t>ey results</w:t>
      </w:r>
      <w:r w:rsidR="00653490" w:rsidRPr="00986221">
        <w:t xml:space="preserve"> </w:t>
      </w:r>
      <w:r w:rsidR="00017D72" w:rsidRPr="00986221">
        <w:t>expected from the program by March 2016 are:</w:t>
      </w:r>
    </w:p>
    <w:p w14:paraId="2E0AD1A5" w14:textId="1E72B4DB" w:rsidR="00E444D1" w:rsidRPr="00986221" w:rsidRDefault="00E444D1" w:rsidP="007D6243">
      <w:pPr>
        <w:pStyle w:val="ListParagraphindent"/>
      </w:pPr>
      <w:r w:rsidRPr="00986221">
        <w:t>Reductions in business compliance costs (following approval of revisions to the Enterprise and Investment Laws).</w:t>
      </w:r>
    </w:p>
    <w:p w14:paraId="299194BC" w14:textId="593C2B2C" w:rsidR="00902270" w:rsidRPr="00986221" w:rsidRDefault="00902270" w:rsidP="007D6243">
      <w:pPr>
        <w:pStyle w:val="ListParagraphindent"/>
      </w:pPr>
      <w:r w:rsidRPr="00986221">
        <w:t>Increase in the quantity and quality of the cas</w:t>
      </w:r>
      <w:r w:rsidR="00C47C70" w:rsidRPr="00986221">
        <w:t xml:space="preserve">es handled by the Vietnam </w:t>
      </w:r>
      <w:r w:rsidR="00E853A4" w:rsidRPr="00986221">
        <w:t>Competition Authority</w:t>
      </w:r>
      <w:r w:rsidR="00C47C70" w:rsidRPr="00986221">
        <w:t>.</w:t>
      </w:r>
    </w:p>
    <w:p w14:paraId="37FC8898" w14:textId="0849816A" w:rsidR="00C256BD" w:rsidRPr="00986221" w:rsidRDefault="00C256BD" w:rsidP="007D6243">
      <w:pPr>
        <w:pStyle w:val="ListParagraphindent"/>
      </w:pPr>
      <w:r w:rsidRPr="00986221">
        <w:t xml:space="preserve">Concrete actions taken by </w:t>
      </w:r>
      <w:r w:rsidR="00CD14EA" w:rsidRPr="00986221">
        <w:t>G</w:t>
      </w:r>
      <w:r w:rsidRPr="00986221">
        <w:t>o</w:t>
      </w:r>
      <w:r w:rsidR="00CD14EA" w:rsidRPr="00986221">
        <w:t xml:space="preserve">V </w:t>
      </w:r>
      <w:r w:rsidRPr="00986221">
        <w:t>to begin restructuring the rice value chain at national and central level.</w:t>
      </w:r>
    </w:p>
    <w:p w14:paraId="56D56D22" w14:textId="1DFDFD92" w:rsidR="004400FC" w:rsidRPr="00986221" w:rsidRDefault="004400FC" w:rsidP="007D6243">
      <w:pPr>
        <w:pStyle w:val="ListParagraphindent"/>
      </w:pPr>
      <w:r w:rsidRPr="00986221">
        <w:t xml:space="preserve">Policy recommendation resulted in GoV, </w:t>
      </w:r>
      <w:r w:rsidR="00CD14EA" w:rsidRPr="00986221">
        <w:t>C</w:t>
      </w:r>
      <w:r w:rsidRPr="00986221">
        <w:t>PV’s strategic documents dealing with economic restructuring including restructuring of the rural economy</w:t>
      </w:r>
      <w:r w:rsidR="006245A6" w:rsidRPr="00986221">
        <w:t>.</w:t>
      </w:r>
    </w:p>
    <w:p w14:paraId="320C0A6B" w14:textId="06ABD496" w:rsidR="008B10ED" w:rsidRPr="00986221" w:rsidRDefault="00C103C6" w:rsidP="000221A3">
      <w:pPr>
        <w:pStyle w:val="ListParagraph"/>
      </w:pPr>
      <w:r w:rsidRPr="00986221">
        <w:t>The program will help the Go</w:t>
      </w:r>
      <w:r w:rsidR="004400FC" w:rsidRPr="00986221">
        <w:t>V</w:t>
      </w:r>
      <w:r w:rsidRPr="00986221">
        <w:t xml:space="preserve"> achieve these objectives via three targeted components and a flexible fund to respond to emerging priority</w:t>
      </w:r>
      <w:r w:rsidR="008B10ED" w:rsidRPr="00986221">
        <w:t xml:space="preserve"> issues linked to the</w:t>
      </w:r>
      <w:r w:rsidRPr="00986221">
        <w:t xml:space="preserve"> economic restructuring </w:t>
      </w:r>
      <w:r w:rsidR="008B10ED" w:rsidRPr="00986221">
        <w:t>program</w:t>
      </w:r>
      <w:r w:rsidRPr="00986221">
        <w:t>.</w:t>
      </w:r>
      <w:r w:rsidR="008B10ED" w:rsidRPr="00986221">
        <w:t xml:space="preserve"> The three components</w:t>
      </w:r>
      <w:r w:rsidR="001F787A" w:rsidRPr="00986221">
        <w:t xml:space="preserve"> and planned outputs</w:t>
      </w:r>
      <w:r w:rsidR="008B10ED" w:rsidRPr="00986221">
        <w:t xml:space="preserve"> are: </w:t>
      </w:r>
    </w:p>
    <w:p w14:paraId="13236264" w14:textId="090744C7" w:rsidR="00E6588C" w:rsidRPr="00986221" w:rsidRDefault="00C256BD" w:rsidP="007D6243">
      <w:pPr>
        <w:pStyle w:val="ListParagraphindent"/>
      </w:pPr>
      <w:r w:rsidRPr="00986221">
        <w:rPr>
          <w:u w:val="single"/>
        </w:rPr>
        <w:t>Enhanced business competitiveness and transparency</w:t>
      </w:r>
      <w:r w:rsidR="008B10ED" w:rsidRPr="00986221">
        <w:t xml:space="preserve">. </w:t>
      </w:r>
      <w:r w:rsidR="0099449A" w:rsidRPr="00986221">
        <w:t>This</w:t>
      </w:r>
      <w:r w:rsidR="00017D72" w:rsidRPr="00986221">
        <w:t xml:space="preserve"> </w:t>
      </w:r>
      <w:r w:rsidR="008B10ED" w:rsidRPr="00986221">
        <w:t>Central Institute for Economic Management (CIEM)</w:t>
      </w:r>
      <w:r w:rsidR="000E1411" w:rsidRPr="00986221">
        <w:t>- Ministry of Planning and Investment (MPI)</w:t>
      </w:r>
      <w:r w:rsidR="0099449A" w:rsidRPr="00986221">
        <w:t xml:space="preserve"> led component will </w:t>
      </w:r>
      <w:r w:rsidR="00017D72" w:rsidRPr="00986221">
        <w:t>result in:</w:t>
      </w:r>
    </w:p>
    <w:p w14:paraId="5D07767D" w14:textId="2CA91540" w:rsidR="00017D72" w:rsidRPr="00986221" w:rsidRDefault="00C575A4" w:rsidP="007D6243">
      <w:pPr>
        <w:pStyle w:val="ListParagraphindent2"/>
      </w:pPr>
      <w:r w:rsidRPr="00986221">
        <w:t>More business friendly</w:t>
      </w:r>
      <w:r w:rsidR="00661AAE" w:rsidRPr="00986221">
        <w:t xml:space="preserve"> Enterprise and Investment Law approved by National Assembly </w:t>
      </w:r>
      <w:r w:rsidR="002D4DAE" w:rsidRPr="00986221">
        <w:t>(</w:t>
      </w:r>
      <w:r w:rsidR="00C63935" w:rsidRPr="00986221">
        <w:t xml:space="preserve">in </w:t>
      </w:r>
      <w:r w:rsidR="00FE5BE6" w:rsidRPr="00986221">
        <w:t>2014-</w:t>
      </w:r>
      <w:r w:rsidR="00C63935" w:rsidRPr="00986221">
        <w:t>1</w:t>
      </w:r>
      <w:r w:rsidR="00DF3DD6" w:rsidRPr="00986221">
        <w:t>5</w:t>
      </w:r>
      <w:r w:rsidR="00C63935" w:rsidRPr="00986221">
        <w:t xml:space="preserve">, </w:t>
      </w:r>
      <w:r w:rsidR="002D4DAE" w:rsidRPr="00986221">
        <w:t>with key</w:t>
      </w:r>
      <w:r w:rsidR="00661AAE" w:rsidRPr="00986221">
        <w:t xml:space="preserve"> implementing regulations approved by the </w:t>
      </w:r>
      <w:r w:rsidR="00C63935" w:rsidRPr="00986221">
        <w:t>Go</w:t>
      </w:r>
      <w:r w:rsidR="00CD14EA" w:rsidRPr="00986221">
        <w:t>V</w:t>
      </w:r>
      <w:r w:rsidR="00AE3A80" w:rsidRPr="00986221">
        <w:t xml:space="preserve"> </w:t>
      </w:r>
      <w:r w:rsidR="00C63935" w:rsidRPr="00986221">
        <w:t>by</w:t>
      </w:r>
      <w:r w:rsidR="00AE3A80" w:rsidRPr="00986221">
        <w:t xml:space="preserve"> 2015</w:t>
      </w:r>
      <w:r w:rsidR="00FE5BE6" w:rsidRPr="00986221">
        <w:t>-16</w:t>
      </w:r>
      <w:r w:rsidR="00C63935" w:rsidRPr="00986221">
        <w:t>)</w:t>
      </w:r>
      <w:r w:rsidR="00AE3A80" w:rsidRPr="00986221">
        <w:t>.</w:t>
      </w:r>
    </w:p>
    <w:p w14:paraId="1B753232" w14:textId="57EEB690" w:rsidR="002155F0" w:rsidRPr="00986221" w:rsidRDefault="002155F0" w:rsidP="007D6243">
      <w:pPr>
        <w:pStyle w:val="ListParagraphindent2"/>
      </w:pPr>
      <w:r w:rsidRPr="00986221">
        <w:t xml:space="preserve">Diagnostic report on impediments to private sector development </w:t>
      </w:r>
      <w:r w:rsidR="00AE3A80" w:rsidRPr="00986221">
        <w:t xml:space="preserve">and to implementation of international economic commitments </w:t>
      </w:r>
      <w:r w:rsidRPr="00986221">
        <w:t>submitted to Go</w:t>
      </w:r>
      <w:r w:rsidR="00CD14EA" w:rsidRPr="00986221">
        <w:t>V</w:t>
      </w:r>
      <w:r w:rsidR="00AE3A80" w:rsidRPr="00986221">
        <w:t xml:space="preserve"> </w:t>
      </w:r>
      <w:r w:rsidR="00C63935" w:rsidRPr="00986221">
        <w:t>(</w:t>
      </w:r>
      <w:r w:rsidR="00FE5BE6" w:rsidRPr="00986221">
        <w:t xml:space="preserve">by </w:t>
      </w:r>
      <w:r w:rsidR="004400FC" w:rsidRPr="00986221">
        <w:t>2015</w:t>
      </w:r>
      <w:r w:rsidR="00FE5BE6" w:rsidRPr="00986221">
        <w:t>-16</w:t>
      </w:r>
      <w:r w:rsidR="00C63935" w:rsidRPr="00986221">
        <w:t>)</w:t>
      </w:r>
      <w:r w:rsidR="00AE3A80" w:rsidRPr="00986221">
        <w:t>.</w:t>
      </w:r>
    </w:p>
    <w:p w14:paraId="298F9942" w14:textId="74E73EC3" w:rsidR="00C575A4" w:rsidRPr="00986221" w:rsidRDefault="002D4DAE" w:rsidP="007D6243">
      <w:pPr>
        <w:pStyle w:val="ListParagraphindent2"/>
      </w:pPr>
      <w:r w:rsidRPr="00986221">
        <w:t>Quarterly and annual reports on progress and issues with MPER used by Go</w:t>
      </w:r>
      <w:r w:rsidR="00CD14EA" w:rsidRPr="00986221">
        <w:t>V</w:t>
      </w:r>
      <w:r w:rsidRPr="00986221">
        <w:t xml:space="preserve"> to </w:t>
      </w:r>
      <w:r w:rsidR="006E009E" w:rsidRPr="00986221">
        <w:t xml:space="preserve">sustain pressures to implement the </w:t>
      </w:r>
      <w:proofErr w:type="gramStart"/>
      <w:r w:rsidR="006E009E" w:rsidRPr="00986221">
        <w:t>MPER,</w:t>
      </w:r>
      <w:proofErr w:type="gramEnd"/>
      <w:r w:rsidR="006E009E" w:rsidRPr="00986221">
        <w:t xml:space="preserve"> and to adapt MPER priority actions to meet changing circumstance.</w:t>
      </w:r>
    </w:p>
    <w:p w14:paraId="4CC60A7F" w14:textId="7BDEA9F8" w:rsidR="004A04FB" w:rsidRPr="00986221" w:rsidRDefault="000F3822" w:rsidP="007D6243">
      <w:pPr>
        <w:pStyle w:val="ListParagraphindent2"/>
      </w:pPr>
      <w:r w:rsidRPr="00986221">
        <w:t>At l</w:t>
      </w:r>
      <w:r w:rsidR="00712114" w:rsidRPr="00986221">
        <w:t xml:space="preserve">east </w:t>
      </w:r>
      <w:r w:rsidR="00744AD4" w:rsidRPr="00986221">
        <w:t>two</w:t>
      </w:r>
      <w:r w:rsidRPr="00986221">
        <w:t xml:space="preserve"> </w:t>
      </w:r>
      <w:r w:rsidR="00840138" w:rsidRPr="00986221">
        <w:t xml:space="preserve">quality analytical </w:t>
      </w:r>
      <w:r w:rsidRPr="00986221">
        <w:t xml:space="preserve">reports </w:t>
      </w:r>
      <w:r w:rsidR="00712114" w:rsidRPr="00986221">
        <w:t xml:space="preserve">on priority </w:t>
      </w:r>
      <w:r w:rsidR="00506B6E" w:rsidRPr="00986221">
        <w:t>macro</w:t>
      </w:r>
      <w:r w:rsidR="003112E2" w:rsidRPr="00986221">
        <w:t>-</w:t>
      </w:r>
      <w:r w:rsidR="00506B6E" w:rsidRPr="00986221">
        <w:t xml:space="preserve">economic and broader </w:t>
      </w:r>
      <w:r w:rsidR="00712114" w:rsidRPr="00986221">
        <w:t xml:space="preserve">economic development issues </w:t>
      </w:r>
      <w:r w:rsidRPr="00986221">
        <w:t>subm</w:t>
      </w:r>
      <w:r w:rsidR="002155F0" w:rsidRPr="00986221">
        <w:t xml:space="preserve">itted by the MPI </w:t>
      </w:r>
      <w:r w:rsidRPr="00986221">
        <w:t xml:space="preserve">to the </w:t>
      </w:r>
      <w:r w:rsidR="00840138" w:rsidRPr="00986221">
        <w:t>national leadership</w:t>
      </w:r>
      <w:r w:rsidR="004A04FB" w:rsidRPr="00986221">
        <w:t xml:space="preserve"> </w:t>
      </w:r>
      <w:r w:rsidR="002155F0" w:rsidRPr="00986221">
        <w:t>and widely discussed in mass media</w:t>
      </w:r>
      <w:r w:rsidR="00840138" w:rsidRPr="00986221">
        <w:t xml:space="preserve"> (by </w:t>
      </w:r>
      <w:r w:rsidR="00FE5BE6" w:rsidRPr="00986221">
        <w:t xml:space="preserve">December </w:t>
      </w:r>
      <w:r w:rsidR="00840138" w:rsidRPr="00986221">
        <w:t>2016)</w:t>
      </w:r>
      <w:r w:rsidR="002155F0" w:rsidRPr="00986221">
        <w:t>.</w:t>
      </w:r>
    </w:p>
    <w:p w14:paraId="61FA4394" w14:textId="74511EAF" w:rsidR="00017D72" w:rsidRPr="00986221" w:rsidRDefault="001F787A" w:rsidP="007D6243">
      <w:pPr>
        <w:pStyle w:val="ListParagraphindent"/>
      </w:pPr>
      <w:r w:rsidRPr="00986221">
        <w:rPr>
          <w:u w:val="single"/>
        </w:rPr>
        <w:t>Restructuring</w:t>
      </w:r>
      <w:r w:rsidR="00712114" w:rsidRPr="00986221">
        <w:rPr>
          <w:u w:val="single"/>
        </w:rPr>
        <w:t xml:space="preserve"> competition</w:t>
      </w:r>
      <w:r w:rsidR="00106A46" w:rsidRPr="00986221">
        <w:rPr>
          <w:u w:val="single"/>
        </w:rPr>
        <w:t xml:space="preserve"> institutions</w:t>
      </w:r>
      <w:r w:rsidR="00712114" w:rsidRPr="00986221">
        <w:rPr>
          <w:u w:val="single"/>
        </w:rPr>
        <w:t xml:space="preserve"> in line with </w:t>
      </w:r>
      <w:r w:rsidR="0099449A" w:rsidRPr="00986221">
        <w:rPr>
          <w:u w:val="single"/>
        </w:rPr>
        <w:t>international commitments</w:t>
      </w:r>
      <w:r w:rsidR="0099449A" w:rsidRPr="00986221">
        <w:t>.</w:t>
      </w:r>
      <w:r w:rsidR="009A19B4" w:rsidRPr="00986221">
        <w:t xml:space="preserve"> The intended outputs of this</w:t>
      </w:r>
      <w:r w:rsidRPr="00986221">
        <w:t xml:space="preserve"> Vietnam Competition </w:t>
      </w:r>
      <w:r w:rsidR="00E853A4" w:rsidRPr="00986221">
        <w:t>Authority</w:t>
      </w:r>
      <w:r w:rsidRPr="00986221">
        <w:t xml:space="preserve"> (VCA)</w:t>
      </w:r>
      <w:r w:rsidR="000E1411" w:rsidRPr="00986221">
        <w:t>- Ministry of Industry and Trade (MOIT)</w:t>
      </w:r>
      <w:r w:rsidRPr="00986221">
        <w:t xml:space="preserve"> led component </w:t>
      </w:r>
      <w:r w:rsidR="009A19B4" w:rsidRPr="00986221">
        <w:t>are</w:t>
      </w:r>
      <w:r w:rsidRPr="00986221">
        <w:t>:</w:t>
      </w:r>
    </w:p>
    <w:p w14:paraId="37A653C7" w14:textId="7EAB77E2" w:rsidR="001F787A" w:rsidRPr="00986221" w:rsidRDefault="0095364C" w:rsidP="007D6243">
      <w:pPr>
        <w:pStyle w:val="ListParagraphindent2"/>
      </w:pPr>
      <w:r w:rsidRPr="00986221">
        <w:t>Enhanced</w:t>
      </w:r>
      <w:r w:rsidR="00FF2C15" w:rsidRPr="00986221">
        <w:t xml:space="preserve"> </w:t>
      </w:r>
      <w:r w:rsidR="004F16D5" w:rsidRPr="00986221">
        <w:t xml:space="preserve">evidence base, </w:t>
      </w:r>
      <w:r w:rsidR="00FF2C15" w:rsidRPr="00986221">
        <w:t xml:space="preserve">information </w:t>
      </w:r>
      <w:r w:rsidR="009A19B4" w:rsidRPr="00986221">
        <w:t xml:space="preserve">and </w:t>
      </w:r>
      <w:r w:rsidR="004400FC" w:rsidRPr="00986221">
        <w:t xml:space="preserve">skill </w:t>
      </w:r>
      <w:r w:rsidR="00FF2C15" w:rsidRPr="00986221">
        <w:t>to enforce</w:t>
      </w:r>
      <w:r w:rsidRPr="00986221">
        <w:t xml:space="preserve"> competition policy</w:t>
      </w:r>
      <w:r w:rsidR="004F16D5" w:rsidRPr="00986221">
        <w:t>.</w:t>
      </w:r>
    </w:p>
    <w:p w14:paraId="50D154C1" w14:textId="558B9A29" w:rsidR="0095364C" w:rsidRPr="00986221" w:rsidRDefault="007E1C10" w:rsidP="007D6243">
      <w:pPr>
        <w:pStyle w:val="ListParagraphindent2"/>
      </w:pPr>
      <w:r w:rsidRPr="00986221">
        <w:t xml:space="preserve">Enhanced </w:t>
      </w:r>
      <w:r w:rsidR="00106A46" w:rsidRPr="00986221">
        <w:t xml:space="preserve">policies, </w:t>
      </w:r>
      <w:r w:rsidRPr="00986221">
        <w:t xml:space="preserve">systems and support to minimize the negative impact of </w:t>
      </w:r>
      <w:r w:rsidR="003137D0" w:rsidRPr="00986221">
        <w:t>anti-dumping actions and other trade remedies.</w:t>
      </w:r>
    </w:p>
    <w:p w14:paraId="2BDF97F6" w14:textId="576123AF" w:rsidR="003137D0" w:rsidRPr="00986221" w:rsidRDefault="00106A46" w:rsidP="007D6243">
      <w:pPr>
        <w:pStyle w:val="ListParagraphindent2"/>
      </w:pPr>
      <w:r w:rsidRPr="00986221">
        <w:t>Expa</w:t>
      </w:r>
      <w:r w:rsidR="003137D0" w:rsidRPr="00986221">
        <w:t xml:space="preserve">nded early warning systems on potential </w:t>
      </w:r>
      <w:r w:rsidR="004F16D5" w:rsidRPr="00986221">
        <w:t>trade defence cases</w:t>
      </w:r>
      <w:r w:rsidR="003137D0" w:rsidRPr="00986221">
        <w:t>.</w:t>
      </w:r>
    </w:p>
    <w:p w14:paraId="7F5DA58B" w14:textId="60360F63" w:rsidR="001F787A" w:rsidRPr="00986221" w:rsidRDefault="00106A46" w:rsidP="002B15B5">
      <w:pPr>
        <w:pStyle w:val="ListParagraphindent"/>
      </w:pPr>
      <w:r w:rsidRPr="00986221">
        <w:rPr>
          <w:u w:val="single"/>
        </w:rPr>
        <w:t xml:space="preserve">Restructuring the rural </w:t>
      </w:r>
      <w:r w:rsidR="00C57E5D" w:rsidRPr="00986221">
        <w:rPr>
          <w:u w:val="single"/>
        </w:rPr>
        <w:t xml:space="preserve">economy </w:t>
      </w:r>
      <w:r w:rsidRPr="00986221">
        <w:rPr>
          <w:u w:val="single"/>
        </w:rPr>
        <w:t>to increase value added</w:t>
      </w:r>
      <w:r w:rsidRPr="00986221">
        <w:t xml:space="preserve">. This </w:t>
      </w:r>
      <w:r w:rsidR="004400FC" w:rsidRPr="00986221">
        <w:t xml:space="preserve">Institute </w:t>
      </w:r>
      <w:r w:rsidR="00BF3357" w:rsidRPr="00986221">
        <w:t xml:space="preserve">of </w:t>
      </w:r>
      <w:r w:rsidR="004400FC" w:rsidRPr="00986221">
        <w:t xml:space="preserve">Policy and Strategy </w:t>
      </w:r>
      <w:r w:rsidR="00BF3357" w:rsidRPr="00986221">
        <w:t xml:space="preserve">for </w:t>
      </w:r>
      <w:r w:rsidR="004400FC" w:rsidRPr="00986221">
        <w:t>Agriculture and Rural Development (</w:t>
      </w:r>
      <w:r w:rsidRPr="00986221">
        <w:t>IPSARD</w:t>
      </w:r>
      <w:r w:rsidR="004400FC" w:rsidRPr="00986221">
        <w:t>)</w:t>
      </w:r>
      <w:r w:rsidR="000E1411" w:rsidRPr="00986221">
        <w:t>- Ministry of Agriculture and Rural Development (MARD)</w:t>
      </w:r>
      <w:r w:rsidRPr="00986221">
        <w:t xml:space="preserve"> led component will result in the following outputs:</w:t>
      </w:r>
    </w:p>
    <w:p w14:paraId="315DF769" w14:textId="5A75C508" w:rsidR="00AC63F0" w:rsidRPr="00986221" w:rsidRDefault="00A35A0E" w:rsidP="002B15B5">
      <w:pPr>
        <w:pStyle w:val="ListParagraphindent2"/>
      </w:pPr>
      <w:r w:rsidRPr="00986221">
        <w:t>A</w:t>
      </w:r>
      <w:r w:rsidR="00AC63F0" w:rsidRPr="00986221">
        <w:t>nalysis and reports contribute</w:t>
      </w:r>
      <w:r w:rsidR="004F16D5" w:rsidRPr="00986221">
        <w:t xml:space="preserve"> to improved </w:t>
      </w:r>
      <w:r w:rsidR="00922E81" w:rsidRPr="00986221">
        <w:t xml:space="preserve">institutional structure for rice value chain collaboration </w:t>
      </w:r>
      <w:r w:rsidRPr="00986221">
        <w:t xml:space="preserve">in Dong Thap </w:t>
      </w:r>
      <w:r w:rsidR="00922E81" w:rsidRPr="00986221">
        <w:t>supported by</w:t>
      </w:r>
      <w:r w:rsidRPr="00986221">
        <w:t xml:space="preserve"> </w:t>
      </w:r>
      <w:r w:rsidR="00922E81" w:rsidRPr="00986221">
        <w:t>representatives</w:t>
      </w:r>
      <w:r w:rsidR="00AC63F0" w:rsidRPr="00986221">
        <w:t xml:space="preserve"> </w:t>
      </w:r>
      <w:r w:rsidR="00922E81" w:rsidRPr="00986221">
        <w:t>of</w:t>
      </w:r>
      <w:r w:rsidR="00AC63F0" w:rsidRPr="00986221">
        <w:t xml:space="preserve"> all stages of the rice value chain.</w:t>
      </w:r>
    </w:p>
    <w:p w14:paraId="756805C6" w14:textId="6C60263D" w:rsidR="007E689C" w:rsidRPr="00986221" w:rsidRDefault="007E689C" w:rsidP="002B15B5">
      <w:pPr>
        <w:pStyle w:val="ListParagraphindent2"/>
      </w:pPr>
      <w:r w:rsidRPr="00986221">
        <w:t xml:space="preserve">Reports on </w:t>
      </w:r>
      <w:r w:rsidR="0050184A" w:rsidRPr="00986221">
        <w:t>modelling of impacts</w:t>
      </w:r>
      <w:r w:rsidRPr="00986221">
        <w:t xml:space="preserve"> of rice</w:t>
      </w:r>
      <w:r w:rsidR="0095568C" w:rsidRPr="00986221">
        <w:t xml:space="preserve"> value chain</w:t>
      </w:r>
      <w:r w:rsidRPr="00986221">
        <w:t xml:space="preserve"> restructuring (including </w:t>
      </w:r>
      <w:r w:rsidR="0050184A" w:rsidRPr="00986221">
        <w:t>proposed</w:t>
      </w:r>
      <w:r w:rsidR="0095568C" w:rsidRPr="00986221">
        <w:t xml:space="preserve"> reforms</w:t>
      </w:r>
      <w:r w:rsidRPr="00986221">
        <w:t xml:space="preserve"> to paddy land reservation policies, and</w:t>
      </w:r>
      <w:r w:rsidR="0050184A" w:rsidRPr="00986221">
        <w:t xml:space="preserve"> proposed</w:t>
      </w:r>
      <w:r w:rsidRPr="00986221">
        <w:t xml:space="preserve"> </w:t>
      </w:r>
      <w:r w:rsidR="0095568C" w:rsidRPr="00986221">
        <w:t xml:space="preserve">reforms to increase competition in </w:t>
      </w:r>
      <w:r w:rsidRPr="00986221">
        <w:t xml:space="preserve">rice </w:t>
      </w:r>
      <w:r w:rsidR="00BF3357" w:rsidRPr="00986221">
        <w:t xml:space="preserve">sector </w:t>
      </w:r>
      <w:r w:rsidR="00922E81" w:rsidRPr="00986221">
        <w:t>in line with international commitments</w:t>
      </w:r>
      <w:r w:rsidRPr="00986221">
        <w:t xml:space="preserve">) submitted to Minister, </w:t>
      </w:r>
      <w:r w:rsidR="004400FC" w:rsidRPr="00986221">
        <w:t>Ministry of Agriculture and Rural Development (</w:t>
      </w:r>
      <w:r w:rsidRPr="00986221">
        <w:t>MARD</w:t>
      </w:r>
      <w:r w:rsidR="004400FC" w:rsidRPr="00986221">
        <w:t>)</w:t>
      </w:r>
      <w:r w:rsidRPr="00986221">
        <w:t>.</w:t>
      </w:r>
    </w:p>
    <w:p w14:paraId="3980613A" w14:textId="740CEE5D" w:rsidR="00106A46" w:rsidRPr="00986221" w:rsidRDefault="001E6941" w:rsidP="002B15B5">
      <w:pPr>
        <w:pStyle w:val="ListParagraphindent2"/>
      </w:pPr>
      <w:r w:rsidRPr="00986221">
        <w:t xml:space="preserve">Policy dialogue on rice value chain restructuring issues reflected in media coverage </w:t>
      </w:r>
      <w:r w:rsidR="00A21CC2" w:rsidRPr="00986221">
        <w:t xml:space="preserve">and public awareness </w:t>
      </w:r>
      <w:r w:rsidRPr="00986221">
        <w:t>of issues and policy options.</w:t>
      </w:r>
      <w:r w:rsidR="00A35A0E" w:rsidRPr="00986221">
        <w:t xml:space="preserve"> </w:t>
      </w:r>
    </w:p>
    <w:p w14:paraId="5D4B8F7D" w14:textId="77777777" w:rsidR="00933704" w:rsidRPr="00986221" w:rsidRDefault="00933704" w:rsidP="000221A3">
      <w:pPr>
        <w:pStyle w:val="Heading2"/>
        <w:ind w:left="426"/>
      </w:pPr>
      <w:bookmarkStart w:id="6" w:name="_Toc387322627"/>
      <w:r w:rsidRPr="00986221">
        <w:t>Timeframe and Resource Commitments</w:t>
      </w:r>
      <w:bookmarkEnd w:id="6"/>
    </w:p>
    <w:p w14:paraId="36CC8960" w14:textId="2BED474D" w:rsidR="00933704" w:rsidRPr="00986221" w:rsidRDefault="00CC2E58" w:rsidP="000221A3">
      <w:pPr>
        <w:pStyle w:val="ListParagraph"/>
      </w:pPr>
      <w:r w:rsidRPr="00986221">
        <w:t xml:space="preserve">The initial pilot program will be implemented from April 2014 to </w:t>
      </w:r>
      <w:r w:rsidR="002E4746" w:rsidRPr="00986221">
        <w:t>December</w:t>
      </w:r>
      <w:r w:rsidRPr="00986221">
        <w:t xml:space="preserve"> 2016. The Government of Australia will provide AUD </w:t>
      </w:r>
      <w:r w:rsidR="002E4746" w:rsidRPr="00986221">
        <w:t>3</w:t>
      </w:r>
      <w:r w:rsidRPr="00986221">
        <w:t>,</w:t>
      </w:r>
      <w:r w:rsidR="002E4746" w:rsidRPr="00986221">
        <w:t>1</w:t>
      </w:r>
      <w:r w:rsidRPr="00986221">
        <w:t>00,000</w:t>
      </w:r>
      <w:r w:rsidR="002E4746" w:rsidRPr="00986221">
        <w:t>, in which AUD2</w:t>
      </w:r>
      <w:proofErr w:type="gramStart"/>
      <w:r w:rsidR="002E4746" w:rsidRPr="00986221">
        <w:t>,500,000</w:t>
      </w:r>
      <w:proofErr w:type="gramEnd"/>
      <w:r w:rsidR="002E4746" w:rsidRPr="00986221">
        <w:t xml:space="preserve"> will be grant to GoV and the remaining AUD600,000 will be for</w:t>
      </w:r>
      <w:r w:rsidR="002E4746" w:rsidRPr="00986221">
        <w:rPr>
          <w:szCs w:val="22"/>
        </w:rPr>
        <w:t xml:space="preserve"> technical support for the implementation of the Program and design of the new phase, including funding the Senior Technical Adviser (STA) position</w:t>
      </w:r>
      <w:r w:rsidRPr="00986221">
        <w:t>.</w:t>
      </w:r>
      <w:r w:rsidR="00776A0E" w:rsidRPr="00986221">
        <w:t xml:space="preserve"> The Go</w:t>
      </w:r>
      <w:r w:rsidR="000E1411" w:rsidRPr="00986221">
        <w:t>V</w:t>
      </w:r>
      <w:r w:rsidR="00776A0E" w:rsidRPr="00986221">
        <w:t xml:space="preserve"> will provide, through the implementing agencies, in-kind support estimated at about AUD</w:t>
      </w:r>
      <w:r w:rsidR="00DD467C" w:rsidRPr="00986221">
        <w:t xml:space="preserve"> </w:t>
      </w:r>
      <w:r w:rsidR="00585760" w:rsidRPr="00986221">
        <w:t>1</w:t>
      </w:r>
      <w:r w:rsidR="002E4746" w:rsidRPr="00986221">
        <w:t>22</w:t>
      </w:r>
      <w:r w:rsidR="00585760" w:rsidRPr="00986221">
        <w:t>,000</w:t>
      </w:r>
      <w:r w:rsidR="00776A0E" w:rsidRPr="00986221">
        <w:t xml:space="preserve">). Considerable in-kind contributions </w:t>
      </w:r>
      <w:r w:rsidR="00F65E4F" w:rsidRPr="00986221">
        <w:t xml:space="preserve">(mostly in the form of people’s time) </w:t>
      </w:r>
      <w:r w:rsidR="00776A0E" w:rsidRPr="00986221">
        <w:t>are expected from the private sector</w:t>
      </w:r>
      <w:r w:rsidR="00F65E4F" w:rsidRPr="00986221">
        <w:t>, media, business associations, research institutes, and the broader community.</w:t>
      </w:r>
    </w:p>
    <w:p w14:paraId="0915EC26" w14:textId="77777777" w:rsidR="002E4746" w:rsidRPr="00986221" w:rsidRDefault="002E4746" w:rsidP="002E4746">
      <w:pPr>
        <w:pStyle w:val="ListParagraph"/>
      </w:pPr>
      <w:r w:rsidRPr="00986221">
        <w:t xml:space="preserve">In late 2015/early 2016, DFAT will conduct a review of the program to assess its effectiveness and design a new phase to 2020. The new phase to 2020 will support priorities of the new National Socio-economic Development Plan (SEDP 2016-2020). </w:t>
      </w:r>
    </w:p>
    <w:p w14:paraId="5FBEEEFB" w14:textId="77777777" w:rsidR="00933704" w:rsidRPr="00986221" w:rsidRDefault="00933704" w:rsidP="000221A3">
      <w:pPr>
        <w:pStyle w:val="Heading2"/>
        <w:ind w:left="426"/>
      </w:pPr>
      <w:bookmarkStart w:id="7" w:name="_Toc387322628"/>
      <w:r w:rsidRPr="00986221">
        <w:t>Delivery Approach and Key Partnerships</w:t>
      </w:r>
      <w:bookmarkEnd w:id="7"/>
    </w:p>
    <w:p w14:paraId="2FB58377" w14:textId="02517744" w:rsidR="00C2312A" w:rsidRPr="00986221" w:rsidRDefault="0050184A" w:rsidP="000221A3">
      <w:pPr>
        <w:pStyle w:val="ListParagraph"/>
      </w:pPr>
      <w:r w:rsidRPr="00986221">
        <w:t>CIEM</w:t>
      </w:r>
      <w:r w:rsidR="0019509E" w:rsidRPr="00986221">
        <w:t xml:space="preserve"> will be the lead agency responsible for overall program </w:t>
      </w:r>
      <w:r w:rsidR="00C103C6" w:rsidRPr="00986221">
        <w:t>delivery</w:t>
      </w:r>
      <w:r w:rsidR="0019509E" w:rsidRPr="00986221">
        <w:t xml:space="preserve">. </w:t>
      </w:r>
      <w:r w:rsidR="00954642" w:rsidRPr="00986221">
        <w:t xml:space="preserve">CIEM will appoint a Project Director (PD) to oversee the program. </w:t>
      </w:r>
      <w:r w:rsidR="00202C1E" w:rsidRPr="00986221">
        <w:t xml:space="preserve">CIEM, </w:t>
      </w:r>
      <w:r w:rsidRPr="00986221">
        <w:t xml:space="preserve">VCA and IPSARD will be responsible and accountable for effective and efficient delivery of component outputs as discussed above. </w:t>
      </w:r>
      <w:r w:rsidR="001E1DE8" w:rsidRPr="00986221">
        <w:t xml:space="preserve">Component implementing agencies will appoint Component Directors (CDs). </w:t>
      </w:r>
      <w:r w:rsidR="00835EC2" w:rsidRPr="00986221">
        <w:t xml:space="preserve">CIEM will be responsible for the overall program management and coordination and for the implementation of the Flexible Fund to respond quickly to emerging policy issues. </w:t>
      </w:r>
    </w:p>
    <w:p w14:paraId="3AE2FB7C" w14:textId="38E98994" w:rsidR="00933704" w:rsidRPr="00986221" w:rsidRDefault="00835EC2" w:rsidP="000221A3">
      <w:pPr>
        <w:pStyle w:val="ListParagraph"/>
      </w:pPr>
      <w:r w:rsidRPr="00986221">
        <w:t xml:space="preserve">A Program Coordination Committee </w:t>
      </w:r>
      <w:r w:rsidR="008E47E3" w:rsidRPr="00986221">
        <w:t xml:space="preserve">(PCC) </w:t>
      </w:r>
      <w:r w:rsidRPr="00986221">
        <w:t>will be established and me</w:t>
      </w:r>
      <w:r w:rsidR="00202C1E" w:rsidRPr="00986221">
        <w:t>et</w:t>
      </w:r>
      <w:r w:rsidRPr="00986221">
        <w:t xml:space="preserve"> </w:t>
      </w:r>
      <w:r w:rsidR="00202C1E" w:rsidRPr="00986221">
        <w:t xml:space="preserve">at least </w:t>
      </w:r>
      <w:r w:rsidR="004E20BC" w:rsidRPr="00986221">
        <w:t>every six months</w:t>
      </w:r>
      <w:r w:rsidRPr="00986221">
        <w:t xml:space="preserve"> to review progress and implementation issues.</w:t>
      </w:r>
      <w:r w:rsidR="00C2312A" w:rsidRPr="00986221">
        <w:t xml:space="preserve"> All </w:t>
      </w:r>
      <w:r w:rsidR="008E47E3" w:rsidRPr="00986221">
        <w:t>CDs</w:t>
      </w:r>
      <w:r w:rsidR="00C2312A" w:rsidRPr="00986221">
        <w:t xml:space="preserve"> </w:t>
      </w:r>
      <w:r w:rsidR="00141C2D">
        <w:t xml:space="preserve">and DFAT (First Secretary of Development Cooperation and First Secretary of Trade) </w:t>
      </w:r>
      <w:r w:rsidR="00C2312A" w:rsidRPr="00986221">
        <w:t>will participate in the PCC. The PD</w:t>
      </w:r>
      <w:r w:rsidR="00141C2D">
        <w:t>, in consultation with DFAT,</w:t>
      </w:r>
      <w:r w:rsidR="004E20BC" w:rsidRPr="00986221">
        <w:t xml:space="preserve"> may decide to invite other observers</w:t>
      </w:r>
      <w:r w:rsidR="00C2312A" w:rsidRPr="00986221">
        <w:t xml:space="preserve"> </w:t>
      </w:r>
      <w:r w:rsidR="004400FC" w:rsidRPr="00986221">
        <w:t>(such as representative of Senior Advisory Group (SAG),</w:t>
      </w:r>
      <w:r w:rsidR="003112E2" w:rsidRPr="00986221">
        <w:t xml:space="preserve"> National Assembly (NA) or CPV)</w:t>
      </w:r>
      <w:r w:rsidR="004400FC" w:rsidRPr="00986221">
        <w:t xml:space="preserve"> </w:t>
      </w:r>
      <w:r w:rsidR="00C2312A" w:rsidRPr="00986221">
        <w:t>if that is seen as advancing the Program objectives.</w:t>
      </w:r>
    </w:p>
    <w:p w14:paraId="09DC305E" w14:textId="1D926750" w:rsidR="00835EC2" w:rsidRPr="00986221" w:rsidRDefault="00835EC2" w:rsidP="000221A3">
      <w:pPr>
        <w:pStyle w:val="ListParagraph"/>
      </w:pPr>
      <w:r w:rsidRPr="00986221">
        <w:t xml:space="preserve">DFAT will </w:t>
      </w:r>
      <w:r w:rsidR="0053022D" w:rsidRPr="00986221">
        <w:t xml:space="preserve">be involved in program planning and strategy decisions, including approval of the </w:t>
      </w:r>
      <w:r w:rsidR="008E47E3" w:rsidRPr="00986221">
        <w:t>Operational Manual (</w:t>
      </w:r>
      <w:r w:rsidR="0053022D" w:rsidRPr="00986221">
        <w:t>OM</w:t>
      </w:r>
      <w:r w:rsidR="008E47E3" w:rsidRPr="00986221">
        <w:t>)</w:t>
      </w:r>
      <w:r w:rsidR="0053022D" w:rsidRPr="00986221">
        <w:t xml:space="preserve">, key program personnel in the </w:t>
      </w:r>
      <w:r w:rsidR="008E47E3" w:rsidRPr="00986221">
        <w:t xml:space="preserve">Project </w:t>
      </w:r>
      <w:r w:rsidR="00485FC2" w:rsidRPr="00986221">
        <w:t xml:space="preserve">Coordination </w:t>
      </w:r>
      <w:r w:rsidR="008E47E3" w:rsidRPr="00986221">
        <w:t>Unit (</w:t>
      </w:r>
      <w:r w:rsidR="0053022D" w:rsidRPr="00986221">
        <w:t>P</w:t>
      </w:r>
      <w:r w:rsidR="00485FC2" w:rsidRPr="00986221">
        <w:t>C</w:t>
      </w:r>
      <w:r w:rsidR="0053022D" w:rsidRPr="00986221">
        <w:t>U</w:t>
      </w:r>
      <w:r w:rsidR="008E47E3" w:rsidRPr="00986221">
        <w:t>)</w:t>
      </w:r>
      <w:r w:rsidR="00954642" w:rsidRPr="00986221">
        <w:t xml:space="preserve"> (including the Senior Program </w:t>
      </w:r>
      <w:r w:rsidR="00485FC2" w:rsidRPr="00986221">
        <w:t>Coordinator</w:t>
      </w:r>
      <w:r w:rsidR="008E47E3" w:rsidRPr="00986221">
        <w:t>-Economist (SP</w:t>
      </w:r>
      <w:r w:rsidR="00485FC2" w:rsidRPr="00986221">
        <w:t>C-</w:t>
      </w:r>
      <w:r w:rsidR="008E47E3" w:rsidRPr="00986221">
        <w:t>E</w:t>
      </w:r>
      <w:r w:rsidR="00954642" w:rsidRPr="00986221">
        <w:t>)</w:t>
      </w:r>
      <w:r w:rsidR="0053022D" w:rsidRPr="00986221">
        <w:t>, the SAG, and decisions on the use of the Flexible Fund.</w:t>
      </w:r>
    </w:p>
    <w:p w14:paraId="5C1B50F9" w14:textId="46ACB895" w:rsidR="00C2312A" w:rsidRPr="00986221" w:rsidRDefault="00C2312A" w:rsidP="000221A3">
      <w:pPr>
        <w:pStyle w:val="ListParagraph"/>
      </w:pPr>
      <w:r w:rsidRPr="00986221">
        <w:t>The SAG and the international Senior Tech</w:t>
      </w:r>
      <w:r w:rsidR="004E20BC" w:rsidRPr="00986221">
        <w:t xml:space="preserve">nical Advisor (STA) will play an important </w:t>
      </w:r>
      <w:r w:rsidRPr="00986221">
        <w:t>role in</w:t>
      </w:r>
      <w:r w:rsidR="00954642" w:rsidRPr="00986221">
        <w:t xml:space="preserve"> planning, policy dialogue, communications and quality control </w:t>
      </w:r>
      <w:r w:rsidR="004E20BC" w:rsidRPr="00986221">
        <w:t xml:space="preserve">over </w:t>
      </w:r>
      <w:r w:rsidR="00862C95" w:rsidRPr="00986221">
        <w:t>program</w:t>
      </w:r>
      <w:r w:rsidR="00954642" w:rsidRPr="00986221">
        <w:t xml:space="preserve"> activities.</w:t>
      </w:r>
    </w:p>
    <w:p w14:paraId="30D697E5" w14:textId="77777777" w:rsidR="00933704" w:rsidRPr="00986221" w:rsidRDefault="00933704" w:rsidP="000221A3">
      <w:pPr>
        <w:pStyle w:val="Heading2"/>
        <w:ind w:left="426"/>
      </w:pPr>
      <w:bookmarkStart w:id="8" w:name="_Toc387322629"/>
      <w:r w:rsidRPr="00986221">
        <w:t>Key Challenges and Solutions</w:t>
      </w:r>
      <w:bookmarkEnd w:id="8"/>
    </w:p>
    <w:p w14:paraId="3817938F" w14:textId="2F1C378B" w:rsidR="00933704" w:rsidRPr="00986221" w:rsidRDefault="000D2BFF" w:rsidP="000221A3">
      <w:pPr>
        <w:pStyle w:val="ListParagraph"/>
      </w:pPr>
      <w:r w:rsidRPr="00986221">
        <w:t>Successful implementation of this program will depend critically on continuing broad based support for the proposed reforms amongst the national leadership in the Go</w:t>
      </w:r>
      <w:r w:rsidR="008E47E3" w:rsidRPr="00986221">
        <w:t xml:space="preserve">V, NA </w:t>
      </w:r>
      <w:r w:rsidRPr="00986221">
        <w:t xml:space="preserve">and </w:t>
      </w:r>
      <w:r w:rsidR="008E47E3" w:rsidRPr="00986221">
        <w:t>CPV</w:t>
      </w:r>
      <w:r w:rsidRPr="00986221">
        <w:t>.</w:t>
      </w:r>
      <w:r w:rsidR="004446F7" w:rsidRPr="00986221">
        <w:t xml:space="preserve"> Such leadership will be important in resisting attempts by vested interests to stall reforms. The program includes a strong focus on policy dialogue and outreach programs in order to help sustain and build on </w:t>
      </w:r>
      <w:r w:rsidR="004E20BC" w:rsidRPr="00986221">
        <w:t xml:space="preserve">the </w:t>
      </w:r>
      <w:r w:rsidR="002F39A0" w:rsidRPr="00986221">
        <w:t xml:space="preserve">apparent </w:t>
      </w:r>
      <w:r w:rsidR="004446F7" w:rsidRPr="00986221">
        <w:t>existing support for reform</w:t>
      </w:r>
      <w:r w:rsidR="002F39A0" w:rsidRPr="00986221">
        <w:t>.</w:t>
      </w:r>
    </w:p>
    <w:p w14:paraId="37D95435" w14:textId="52652269" w:rsidR="00347344" w:rsidRPr="00986221" w:rsidRDefault="002F39A0" w:rsidP="000221A3">
      <w:pPr>
        <w:pStyle w:val="ListParagraph"/>
      </w:pPr>
      <w:r w:rsidRPr="00986221">
        <w:t>Another critical assumption is that the Program’s implementing partners continue to exercise the respect of, and access to, key policy makers in the Go</w:t>
      </w:r>
      <w:r w:rsidR="008E47E3" w:rsidRPr="00986221">
        <w:t xml:space="preserve">V, NA </w:t>
      </w:r>
      <w:r w:rsidRPr="00986221">
        <w:t xml:space="preserve">and National Assembly. </w:t>
      </w:r>
      <w:r w:rsidR="00F73423" w:rsidRPr="00986221">
        <w:t xml:space="preserve">It will also be important </w:t>
      </w:r>
      <w:r w:rsidR="00D64155" w:rsidRPr="00986221">
        <w:t xml:space="preserve">that partners are effective in engaging with the broader community. </w:t>
      </w:r>
      <w:r w:rsidR="00F73423" w:rsidRPr="00986221">
        <w:t>The program includes a several strategies in this regard. Firstly, the selected lead agency, CIEM, has an established</w:t>
      </w:r>
      <w:r w:rsidR="00D64155" w:rsidRPr="00986221">
        <w:t xml:space="preserve"> reputation in engaging with leaders, the media and other stakeholders to implement reform. Secondly, </w:t>
      </w:r>
      <w:r w:rsidR="000228A1" w:rsidRPr="00986221">
        <w:t xml:space="preserve">(drawing on experiences with the Beyond WTO program) </w:t>
      </w:r>
      <w:proofErr w:type="gramStart"/>
      <w:r w:rsidR="00D64155" w:rsidRPr="00986221">
        <w:t>a S</w:t>
      </w:r>
      <w:r w:rsidR="00785E85" w:rsidRPr="00986221">
        <w:t>AG</w:t>
      </w:r>
      <w:proofErr w:type="gramEnd"/>
      <w:r w:rsidR="00D64155" w:rsidRPr="00986221">
        <w:t xml:space="preserve"> will be established consisting of </w:t>
      </w:r>
      <w:r w:rsidR="000228A1" w:rsidRPr="00986221">
        <w:t xml:space="preserve">influential national experts </w:t>
      </w:r>
      <w:r w:rsidR="00D64155" w:rsidRPr="00986221">
        <w:t>with a demonstrate</w:t>
      </w:r>
      <w:r w:rsidR="000228A1" w:rsidRPr="00986221">
        <w:t>d</w:t>
      </w:r>
      <w:r w:rsidR="00D64155" w:rsidRPr="00986221">
        <w:t xml:space="preserve"> capacity to engage on reform issues at all levels.</w:t>
      </w:r>
      <w:r w:rsidR="000228A1" w:rsidRPr="00986221">
        <w:t xml:space="preserve"> Finally, DFAT expertise will be used to help facilitate dialogue between international and national experts as appropriate.</w:t>
      </w:r>
    </w:p>
    <w:p w14:paraId="5B3A5450" w14:textId="767C1FE6" w:rsidR="00FF77F6" w:rsidRPr="00986221" w:rsidRDefault="000228A1" w:rsidP="000221A3">
      <w:pPr>
        <w:pStyle w:val="ListParagraph"/>
      </w:pPr>
      <w:r w:rsidRPr="00986221">
        <w:t xml:space="preserve">The </w:t>
      </w:r>
      <w:r w:rsidR="004276E2" w:rsidRPr="00986221">
        <w:t xml:space="preserve">analysis and advice provided under the program must be credible and readily defendable to a mix of audiences. The program will need to access </w:t>
      </w:r>
      <w:r w:rsidR="009308BE" w:rsidRPr="00986221">
        <w:t xml:space="preserve">to information on international and national best practices, and to </w:t>
      </w:r>
      <w:r w:rsidR="004276E2" w:rsidRPr="00986221">
        <w:t>national and international experts</w:t>
      </w:r>
      <w:r w:rsidR="009E5512" w:rsidRPr="00986221">
        <w:t xml:space="preserve"> with the capacity</w:t>
      </w:r>
      <w:r w:rsidR="004276E2" w:rsidRPr="00986221">
        <w:t xml:space="preserve"> to undertake and explain</w:t>
      </w:r>
      <w:r w:rsidR="009308BE" w:rsidRPr="00986221">
        <w:t xml:space="preserve"> </w:t>
      </w:r>
      <w:r w:rsidR="00B91DEE" w:rsidRPr="00986221">
        <w:t>program supported</w:t>
      </w:r>
      <w:r w:rsidR="009308BE" w:rsidRPr="00986221">
        <w:t xml:space="preserve"> analysis in a credible manner. The program includes peer review processes to help ensure the quality and credibility of analysis to national audiences.</w:t>
      </w:r>
      <w:r w:rsidR="00B91DEE" w:rsidRPr="00986221">
        <w:t xml:space="preserve"> Strategies are included to ensure that program supported analysis feeds into national policy debate covered by the mass media.</w:t>
      </w:r>
    </w:p>
    <w:p w14:paraId="4E13FA21" w14:textId="650551BF" w:rsidR="00347344" w:rsidRPr="00986221" w:rsidRDefault="00431416" w:rsidP="000221A3">
      <w:pPr>
        <w:pStyle w:val="ListParagraph"/>
        <w:sectPr w:rsidR="00347344" w:rsidRPr="00986221" w:rsidSect="00201D17">
          <w:pgSz w:w="11900" w:h="16840"/>
          <w:pgMar w:top="1440" w:right="1800" w:bottom="1440" w:left="1800" w:header="708" w:footer="708" w:gutter="0"/>
          <w:pgNumType w:fmt="lowerRoman"/>
          <w:cols w:space="708"/>
          <w:docGrid w:linePitch="360"/>
        </w:sectPr>
      </w:pPr>
      <w:r w:rsidRPr="00986221">
        <w:t xml:space="preserve">As demonstrated in earlier Australian supported programs, opportunities to support reform can emerge unexpectedly, and at times there </w:t>
      </w:r>
      <w:r w:rsidR="0030094C" w:rsidRPr="00986221">
        <w:t>may</w:t>
      </w:r>
      <w:r w:rsidRPr="00986221">
        <w:t xml:space="preserve"> be limited windows of time to have the most significant impact in terms of influencing new legislation or policies. The program includes flexibility in the program design to respond to these needs, including the establishment of a Flexible Fund. </w:t>
      </w:r>
      <w:r w:rsidR="004A6F64" w:rsidRPr="00986221">
        <w:t>The Go</w:t>
      </w:r>
      <w:r w:rsidR="000E1411" w:rsidRPr="00986221">
        <w:t>V</w:t>
      </w:r>
      <w:r w:rsidR="004A6F64" w:rsidRPr="00986221">
        <w:t xml:space="preserve"> and DFAT will monitor implementation of this Fund to ensure that it is effective in responding to relevant reform priorities.</w:t>
      </w:r>
    </w:p>
    <w:p w14:paraId="5CC3568F" w14:textId="77777777" w:rsidR="00933704" w:rsidRPr="00986221" w:rsidRDefault="00933704" w:rsidP="00933704">
      <w:pPr>
        <w:pStyle w:val="Heading1"/>
        <w:rPr>
          <w:rFonts w:ascii="Arial" w:hAnsi="Arial" w:cs="Arial"/>
        </w:rPr>
      </w:pPr>
      <w:bookmarkStart w:id="9" w:name="_Toc387322630"/>
      <w:r w:rsidRPr="00986221">
        <w:rPr>
          <w:rFonts w:ascii="Arial" w:hAnsi="Arial" w:cs="Arial"/>
        </w:rPr>
        <w:t>Analysis and Strategic Context</w:t>
      </w:r>
      <w:bookmarkEnd w:id="9"/>
    </w:p>
    <w:p w14:paraId="2FDB4179" w14:textId="77777777" w:rsidR="00933704" w:rsidRPr="00986221" w:rsidRDefault="00933704" w:rsidP="00933704">
      <w:pPr>
        <w:pStyle w:val="Heading2"/>
      </w:pPr>
      <w:bookmarkStart w:id="10" w:name="_Toc387322631"/>
      <w:r w:rsidRPr="00986221">
        <w:t>Country/Regional and Sector Issues</w:t>
      </w:r>
      <w:bookmarkEnd w:id="10"/>
    </w:p>
    <w:p w14:paraId="1552C0A9" w14:textId="71820F10" w:rsidR="00933704" w:rsidRPr="00986221" w:rsidRDefault="00933704" w:rsidP="00154C7D">
      <w:pPr>
        <w:pStyle w:val="ListParagraph"/>
        <w:numPr>
          <w:ilvl w:val="0"/>
          <w:numId w:val="8"/>
        </w:numPr>
        <w:ind w:left="426"/>
      </w:pPr>
      <w:r w:rsidRPr="00986221">
        <w:t xml:space="preserve">Low growth, </w:t>
      </w:r>
      <w:r w:rsidR="009937DD" w:rsidRPr="00986221">
        <w:t>hyperinflation</w:t>
      </w:r>
      <w:r w:rsidR="00CF1FB9" w:rsidRPr="00986221">
        <w:t xml:space="preserve"> and food shortages --</w:t>
      </w:r>
      <w:r w:rsidRPr="00986221">
        <w:t xml:space="preserve"> exacerbated by the collapse of </w:t>
      </w:r>
      <w:r w:rsidR="00FF0CFC" w:rsidRPr="00986221">
        <w:t xml:space="preserve">the (former) USSR and </w:t>
      </w:r>
      <w:r w:rsidRPr="00986221">
        <w:t xml:space="preserve">Eastern Europe (Vietnam’s </w:t>
      </w:r>
      <w:r w:rsidR="00CF1FB9" w:rsidRPr="00986221">
        <w:t xml:space="preserve">then </w:t>
      </w:r>
      <w:r w:rsidRPr="00986221">
        <w:t xml:space="preserve">major source of trade and development </w:t>
      </w:r>
      <w:r w:rsidR="00CF1FB9" w:rsidRPr="00986221">
        <w:t>cooperation) --</w:t>
      </w:r>
      <w:r w:rsidRPr="00986221">
        <w:t xml:space="preserve"> provided the initial impetus for </w:t>
      </w:r>
      <w:r w:rsidR="0061344A" w:rsidRPr="00986221">
        <w:t>economic r</w:t>
      </w:r>
      <w:r w:rsidR="00CF1FB9" w:rsidRPr="00986221">
        <w:t>enovation (</w:t>
      </w:r>
      <w:proofErr w:type="spellStart"/>
      <w:r w:rsidR="00CF1FB9" w:rsidRPr="00986221">
        <w:rPr>
          <w:i/>
        </w:rPr>
        <w:t>Doi</w:t>
      </w:r>
      <w:proofErr w:type="spellEnd"/>
      <w:r w:rsidR="00CF1FB9" w:rsidRPr="00986221">
        <w:rPr>
          <w:i/>
        </w:rPr>
        <w:t xml:space="preserve"> </w:t>
      </w:r>
      <w:proofErr w:type="spellStart"/>
      <w:r w:rsidR="00CF1FB9" w:rsidRPr="00986221">
        <w:rPr>
          <w:i/>
        </w:rPr>
        <w:t>Moi</w:t>
      </w:r>
      <w:proofErr w:type="spellEnd"/>
      <w:r w:rsidR="00CF1FB9" w:rsidRPr="00986221">
        <w:t>)</w:t>
      </w:r>
      <w:r w:rsidRPr="00986221">
        <w:t xml:space="preserve"> in Vietnam in the 1980s. Grassroots pressure to alleviate food </w:t>
      </w:r>
      <w:r w:rsidR="00FF0CFC" w:rsidRPr="00986221">
        <w:t xml:space="preserve">and other </w:t>
      </w:r>
      <w:r w:rsidRPr="00986221">
        <w:t xml:space="preserve">shortages, evidence that </w:t>
      </w:r>
      <w:r w:rsidR="00FF0CFC" w:rsidRPr="00986221">
        <w:t xml:space="preserve">neighbouring </w:t>
      </w:r>
      <w:r w:rsidRPr="00986221">
        <w:t xml:space="preserve">market economies were more effectively achieving social development goals, and </w:t>
      </w:r>
      <w:r w:rsidR="003A158A" w:rsidRPr="00986221">
        <w:t xml:space="preserve">evidence of </w:t>
      </w:r>
      <w:r w:rsidRPr="00986221">
        <w:t>China’s initia</w:t>
      </w:r>
      <w:r w:rsidR="0061344A" w:rsidRPr="00986221">
        <w:t>l success with economic reforms combined to build</w:t>
      </w:r>
      <w:r w:rsidRPr="00986221">
        <w:t xml:space="preserve"> a compelling case for reform. </w:t>
      </w:r>
    </w:p>
    <w:p w14:paraId="22B5DDF3" w14:textId="2588C529" w:rsidR="00933704" w:rsidRPr="00986221" w:rsidRDefault="0061344A" w:rsidP="000221A3">
      <w:pPr>
        <w:pStyle w:val="ListParagraph"/>
      </w:pPr>
      <w:r w:rsidRPr="00986221">
        <w:t>Relatively q</w:t>
      </w:r>
      <w:r w:rsidR="00933704" w:rsidRPr="00986221">
        <w:t>uick</w:t>
      </w:r>
      <w:r w:rsidRPr="00986221">
        <w:t xml:space="preserve"> and equitable</w:t>
      </w:r>
      <w:r w:rsidR="00933704" w:rsidRPr="00986221">
        <w:t xml:space="preserve"> gains from land and price reforms and removal of restrictions on petty trading helped </w:t>
      </w:r>
      <w:r w:rsidRPr="00986221">
        <w:t>reduce</w:t>
      </w:r>
      <w:r w:rsidR="00933704" w:rsidRPr="00986221">
        <w:t xml:space="preserve"> ideological resistance to reform. Further reforms from the late 1980s – combined with a relatively low-cost </w:t>
      </w:r>
      <w:r w:rsidR="008F1173" w:rsidRPr="00986221">
        <w:t>work force</w:t>
      </w:r>
      <w:r w:rsidR="00933704" w:rsidRPr="00986221">
        <w:t xml:space="preserve"> and a young population with a relatively strong and equitable basic education system --</w:t>
      </w:r>
      <w:r w:rsidRPr="00986221">
        <w:t xml:space="preserve"> helped transform the economy. Despite periodic </w:t>
      </w:r>
      <w:r w:rsidR="005216F0" w:rsidRPr="00986221">
        <w:t>recurrence</w:t>
      </w:r>
      <w:r w:rsidR="003A158A" w:rsidRPr="00986221">
        <w:t>s</w:t>
      </w:r>
      <w:r w:rsidR="005216F0" w:rsidRPr="00986221">
        <w:t xml:space="preserve"> of macro instability -- especially during the Asian Financial Crisis (which started in 1997) --</w:t>
      </w:r>
      <w:r w:rsidRPr="00986221">
        <w:t xml:space="preserve"> per capita i</w:t>
      </w:r>
      <w:r w:rsidR="00933704" w:rsidRPr="00986221">
        <w:t>ncomes increased</w:t>
      </w:r>
      <w:r w:rsidR="005216F0" w:rsidRPr="00986221">
        <w:t xml:space="preserve"> steadily</w:t>
      </w:r>
      <w:r w:rsidR="00933704" w:rsidRPr="00986221">
        <w:t xml:space="preserve"> and the poverty rate fell</w:t>
      </w:r>
      <w:r w:rsidR="005216F0" w:rsidRPr="00986221">
        <w:t>,</w:t>
      </w:r>
      <w:r w:rsidR="00933704" w:rsidRPr="00986221">
        <w:t xml:space="preserve"> from 58% in the 1990s</w:t>
      </w:r>
      <w:r w:rsidR="005216F0" w:rsidRPr="00986221">
        <w:t>,</w:t>
      </w:r>
      <w:r w:rsidR="00933704" w:rsidRPr="00986221">
        <w:t xml:space="preserve"> to 14.5% in 2010</w:t>
      </w:r>
      <w:r w:rsidR="00933704" w:rsidRPr="00986221">
        <w:rPr>
          <w:rStyle w:val="FootnoteReference"/>
        </w:rPr>
        <w:footnoteReference w:id="1"/>
      </w:r>
      <w:r w:rsidR="00933704" w:rsidRPr="00986221">
        <w:t>.</w:t>
      </w:r>
    </w:p>
    <w:p w14:paraId="1A8261D9" w14:textId="77CD11BE" w:rsidR="00664105" w:rsidRPr="00986221" w:rsidRDefault="00C365FC" w:rsidP="000221A3">
      <w:pPr>
        <w:pStyle w:val="ListParagraph"/>
      </w:pPr>
      <w:r w:rsidRPr="00986221">
        <w:t>Following</w:t>
      </w:r>
      <w:r w:rsidR="000C776D" w:rsidRPr="00986221">
        <w:t xml:space="preserve"> the onset of the </w:t>
      </w:r>
      <w:r w:rsidR="00C2201C" w:rsidRPr="00986221">
        <w:t>G</w:t>
      </w:r>
      <w:r w:rsidR="000C776D" w:rsidRPr="00986221">
        <w:t xml:space="preserve">lobal </w:t>
      </w:r>
      <w:proofErr w:type="spellStart"/>
      <w:r w:rsidR="00C2201C" w:rsidRPr="00986221">
        <w:t>G</w:t>
      </w:r>
      <w:r w:rsidR="000C776D" w:rsidRPr="00986221">
        <w:t>inancial</w:t>
      </w:r>
      <w:proofErr w:type="spellEnd"/>
      <w:r w:rsidR="000C776D" w:rsidRPr="00986221">
        <w:t xml:space="preserve"> </w:t>
      </w:r>
      <w:r w:rsidR="00C2201C" w:rsidRPr="00986221">
        <w:t>C</w:t>
      </w:r>
      <w:r w:rsidR="000C776D" w:rsidRPr="00986221">
        <w:t>risis (GFC) in 2007</w:t>
      </w:r>
      <w:r w:rsidRPr="00986221">
        <w:t xml:space="preserve"> growth stagnated</w:t>
      </w:r>
      <w:r w:rsidR="000C776D" w:rsidRPr="00986221">
        <w:t xml:space="preserve">, </w:t>
      </w:r>
      <w:r w:rsidRPr="00986221">
        <w:t xml:space="preserve">despite </w:t>
      </w:r>
      <w:r w:rsidR="000C776D" w:rsidRPr="00986221">
        <w:t>r</w:t>
      </w:r>
      <w:r w:rsidR="00664105" w:rsidRPr="00986221">
        <w:t>apid increases in short-term capital inflows and private remi</w:t>
      </w:r>
      <w:r w:rsidRPr="00986221">
        <w:t>ttances following WTO accession. This surge in foreign capital inflows --</w:t>
      </w:r>
      <w:r w:rsidR="00664105" w:rsidRPr="00986221">
        <w:t xml:space="preserve"> combined with rapid growth in domestic credit</w:t>
      </w:r>
      <w:r w:rsidR="00F616B9" w:rsidRPr="00986221">
        <w:t>,</w:t>
      </w:r>
      <w:r w:rsidR="00664105" w:rsidRPr="00986221">
        <w:t xml:space="preserve"> </w:t>
      </w:r>
      <w:r w:rsidR="00174CD1" w:rsidRPr="00986221">
        <w:t xml:space="preserve">a </w:t>
      </w:r>
      <w:r w:rsidR="00F616B9" w:rsidRPr="00986221">
        <w:t>Go</w:t>
      </w:r>
      <w:r w:rsidR="00785E85" w:rsidRPr="00986221">
        <w:t>V</w:t>
      </w:r>
      <w:r w:rsidR="00F616B9" w:rsidRPr="00986221">
        <w:t xml:space="preserve"> </w:t>
      </w:r>
      <w:r w:rsidR="00174CD1" w:rsidRPr="00986221">
        <w:t>stimulus package</w:t>
      </w:r>
      <w:r w:rsidR="00F616B9" w:rsidRPr="00986221">
        <w:t xml:space="preserve"> that included increased public investment (some of which was </w:t>
      </w:r>
      <w:r w:rsidR="00844E58" w:rsidRPr="00986221">
        <w:t>channelled</w:t>
      </w:r>
      <w:r w:rsidR="00F616B9" w:rsidRPr="00986221">
        <w:t xml:space="preserve"> through inefficient State enterprises), </w:t>
      </w:r>
      <w:r w:rsidR="00664105" w:rsidRPr="00986221">
        <w:t xml:space="preserve">and rising international commodity </w:t>
      </w:r>
      <w:proofErr w:type="gramStart"/>
      <w:r w:rsidR="00664105" w:rsidRPr="00986221">
        <w:t xml:space="preserve">prices </w:t>
      </w:r>
      <w:r w:rsidRPr="00986221">
        <w:t xml:space="preserve"> --</w:t>
      </w:r>
      <w:proofErr w:type="gramEnd"/>
      <w:r w:rsidRPr="00986221">
        <w:t xml:space="preserve"> </w:t>
      </w:r>
      <w:r w:rsidR="00664105" w:rsidRPr="00986221">
        <w:t xml:space="preserve">contributed to increased inflation and macro-economic instability. The </w:t>
      </w:r>
      <w:r w:rsidR="000C776D" w:rsidRPr="00986221">
        <w:t xml:space="preserve">current account deficit </w:t>
      </w:r>
      <w:r w:rsidR="00BE1E55" w:rsidRPr="00986221">
        <w:t xml:space="preserve">blew out </w:t>
      </w:r>
      <w:r w:rsidR="008F29BE" w:rsidRPr="00986221">
        <w:t>from</w:t>
      </w:r>
      <w:r w:rsidR="00BE1E55" w:rsidRPr="00986221">
        <w:t xml:space="preserve"> 2008 </w:t>
      </w:r>
      <w:r w:rsidR="008F29BE" w:rsidRPr="00986221">
        <w:t>to</w:t>
      </w:r>
      <w:r w:rsidR="00BE1E55" w:rsidRPr="00986221">
        <w:t xml:space="preserve"> 2009</w:t>
      </w:r>
      <w:r w:rsidR="00C55B8D" w:rsidRPr="00986221">
        <w:t>,</w:t>
      </w:r>
      <w:r w:rsidR="00087F2E" w:rsidRPr="00986221">
        <w:t xml:space="preserve"> and </w:t>
      </w:r>
      <w:r w:rsidR="00C55B8D" w:rsidRPr="00986221">
        <w:t xml:space="preserve">annual </w:t>
      </w:r>
      <w:r w:rsidR="00087F2E" w:rsidRPr="00986221">
        <w:t xml:space="preserve">inflation </w:t>
      </w:r>
      <w:r w:rsidR="00C55B8D" w:rsidRPr="00986221">
        <w:t>increased</w:t>
      </w:r>
      <w:r w:rsidR="00BE1E55" w:rsidRPr="00986221">
        <w:t xml:space="preserve"> from</w:t>
      </w:r>
      <w:r w:rsidR="00C7665D" w:rsidRPr="00986221">
        <w:t xml:space="preserve"> 6.7% in</w:t>
      </w:r>
      <w:r w:rsidR="00BE1E55" w:rsidRPr="00986221">
        <w:t xml:space="preserve"> 2008, </w:t>
      </w:r>
      <w:r w:rsidR="00914877" w:rsidRPr="00986221">
        <w:t>to above 20</w:t>
      </w:r>
      <w:r w:rsidR="00C7665D" w:rsidRPr="00986221">
        <w:t>% in</w:t>
      </w:r>
      <w:r w:rsidR="00C55B8D" w:rsidRPr="00986221">
        <w:t xml:space="preserve"> </w:t>
      </w:r>
      <w:r w:rsidR="00914877" w:rsidRPr="00986221">
        <w:t xml:space="preserve">2008 and 2009 and again in </w:t>
      </w:r>
      <w:r w:rsidR="00C55B8D" w:rsidRPr="00986221">
        <w:t>2011</w:t>
      </w:r>
      <w:r w:rsidR="00087F2E" w:rsidRPr="00986221">
        <w:t xml:space="preserve">. </w:t>
      </w:r>
    </w:p>
    <w:p w14:paraId="15AEDE85" w14:textId="4DB84242" w:rsidR="00453889" w:rsidRPr="00986221" w:rsidRDefault="00453889" w:rsidP="000221A3">
      <w:pPr>
        <w:pStyle w:val="ListParagraph"/>
      </w:pPr>
      <w:r w:rsidRPr="00986221">
        <w:t>Following the 11</w:t>
      </w:r>
      <w:r w:rsidRPr="00986221">
        <w:rPr>
          <w:vertAlign w:val="superscript"/>
        </w:rPr>
        <w:t>th</w:t>
      </w:r>
      <w:r w:rsidRPr="00986221">
        <w:t xml:space="preserve"> Party Congress in 2011, the Go</w:t>
      </w:r>
      <w:r w:rsidR="00D839C6" w:rsidRPr="00986221">
        <w:t>V</w:t>
      </w:r>
      <w:r w:rsidRPr="00986221">
        <w:t xml:space="preserve"> acted to addr</w:t>
      </w:r>
      <w:r w:rsidR="00002D9C" w:rsidRPr="00986221">
        <w:t>ess imbalances</w:t>
      </w:r>
      <w:r w:rsidRPr="00986221">
        <w:t xml:space="preserve"> by lim</w:t>
      </w:r>
      <w:r w:rsidR="00002D9C" w:rsidRPr="00986221">
        <w:t>iting credit growth and increasing</w:t>
      </w:r>
      <w:r w:rsidRPr="00986221">
        <w:t xml:space="preserve"> interest rates</w:t>
      </w:r>
      <w:r w:rsidR="005A7B38" w:rsidRPr="00986221">
        <w:t>. This</w:t>
      </w:r>
      <w:r w:rsidR="000C0D2F" w:rsidRPr="00986221">
        <w:t xml:space="preserve"> helped </w:t>
      </w:r>
      <w:r w:rsidR="00A34B81" w:rsidRPr="00986221">
        <w:t>reduce</w:t>
      </w:r>
      <w:r w:rsidR="000C0D2F" w:rsidRPr="00986221">
        <w:t xml:space="preserve"> macroeconomic imbalances, with inflation f</w:t>
      </w:r>
      <w:r w:rsidR="00002D9C" w:rsidRPr="00986221">
        <w:t>alling to about 6.5% in 2013. E</w:t>
      </w:r>
      <w:r w:rsidR="0018511C" w:rsidRPr="00986221">
        <w:t xml:space="preserve">xport growth has </w:t>
      </w:r>
      <w:r w:rsidR="00002D9C" w:rsidRPr="00986221">
        <w:t>remained</w:t>
      </w:r>
      <w:r w:rsidR="0018511C" w:rsidRPr="00986221">
        <w:t xml:space="preserve"> strong (despite difficult international conditions</w:t>
      </w:r>
      <w:r w:rsidR="00FE0E74" w:rsidRPr="00986221">
        <w:t xml:space="preserve"> following the GFC</w:t>
      </w:r>
      <w:r w:rsidR="0018511C" w:rsidRPr="00986221">
        <w:t>,</w:t>
      </w:r>
      <w:r w:rsidR="00CB5700" w:rsidRPr="00986221">
        <w:t xml:space="preserve"> the country has a current account surplus, and international reserves are robust.</w:t>
      </w:r>
      <w:r w:rsidR="005A7B38" w:rsidRPr="00986221">
        <w:t xml:space="preserve"> </w:t>
      </w:r>
      <w:r w:rsidR="0018511C" w:rsidRPr="00986221">
        <w:t xml:space="preserve">However, the domestic private sector continues to be adversely affected by the tighter monetary conditions, the bursting of the property and capital market bubbles, and subdued growth in domestic demand. </w:t>
      </w:r>
      <w:r w:rsidR="00C25032" w:rsidRPr="00986221">
        <w:t xml:space="preserve">Those investing in land and capital markets have experienced sharp drops in wealth. </w:t>
      </w:r>
      <w:r w:rsidR="00841CC6" w:rsidRPr="00986221">
        <w:t xml:space="preserve">Average GDP growth has </w:t>
      </w:r>
      <w:r w:rsidR="00745D69" w:rsidRPr="00986221">
        <w:t xml:space="preserve">fluctuated at around 6% per annum since </w:t>
      </w:r>
      <w:r w:rsidR="00FE0E74" w:rsidRPr="00986221">
        <w:t>2008</w:t>
      </w:r>
      <w:r w:rsidR="00745D69" w:rsidRPr="00986221">
        <w:t>, well below average growth in the previous decade.</w:t>
      </w:r>
      <w:r w:rsidR="00841CC6" w:rsidRPr="00986221">
        <w:t xml:space="preserve"> </w:t>
      </w:r>
      <w:r w:rsidR="00844E58" w:rsidRPr="00986221">
        <w:t>Labour</w:t>
      </w:r>
      <w:r w:rsidR="006650D1" w:rsidRPr="00986221">
        <w:t xml:space="preserve"> productivity and per capita income</w:t>
      </w:r>
      <w:r w:rsidR="008268B2" w:rsidRPr="00986221">
        <w:t xml:space="preserve"> remain well below China and most other East Asian economies. </w:t>
      </w:r>
      <w:r w:rsidR="003F2777" w:rsidRPr="00986221">
        <w:t>There is growing national pressure for change to accelerate and ensure more equitable outcomes from economic development.</w:t>
      </w:r>
    </w:p>
    <w:p w14:paraId="1B0102EA" w14:textId="665D2FF9" w:rsidR="0079380A" w:rsidRPr="00986221" w:rsidRDefault="0079380A" w:rsidP="000221A3">
      <w:pPr>
        <w:pStyle w:val="ListParagraph"/>
      </w:pPr>
      <w:r w:rsidRPr="00986221">
        <w:t xml:space="preserve">Economic integration remains a </w:t>
      </w:r>
      <w:r w:rsidR="00674E5C" w:rsidRPr="00986221">
        <w:t>central</w:t>
      </w:r>
      <w:r w:rsidRPr="00986221">
        <w:t xml:space="preserve"> element of Vietnam’s strategy </w:t>
      </w:r>
      <w:r w:rsidR="009A38D9" w:rsidRPr="00986221">
        <w:t xml:space="preserve">to “catch up” with </w:t>
      </w:r>
      <w:r w:rsidR="00844E58" w:rsidRPr="00986221">
        <w:t>neighbouring</w:t>
      </w:r>
      <w:r w:rsidR="009A38D9" w:rsidRPr="00986221">
        <w:t xml:space="preserve"> countries in terms of </w:t>
      </w:r>
      <w:r w:rsidR="00844E58" w:rsidRPr="00986221">
        <w:t>labour</w:t>
      </w:r>
      <w:r w:rsidRPr="00986221">
        <w:t xml:space="preserve"> productivity and living standards. </w:t>
      </w:r>
      <w:r w:rsidR="00687C28" w:rsidRPr="00986221">
        <w:t>Vietnam</w:t>
      </w:r>
      <w:r w:rsidR="00792B67" w:rsidRPr="00986221">
        <w:t xml:space="preserve"> is a member of WTO and the ASEAN Free Trade Area (AFTA), and has signed bilateral trade agreements</w:t>
      </w:r>
      <w:r w:rsidR="00A34B81" w:rsidRPr="00986221">
        <w:t xml:space="preserve"> with several </w:t>
      </w:r>
      <w:r w:rsidR="0020081D" w:rsidRPr="00986221">
        <w:t>major</w:t>
      </w:r>
      <w:r w:rsidR="00A34B81" w:rsidRPr="00986221">
        <w:t xml:space="preserve"> trading partners</w:t>
      </w:r>
      <w:r w:rsidR="00792B67" w:rsidRPr="00986221">
        <w:t xml:space="preserve">. </w:t>
      </w:r>
      <w:r w:rsidRPr="00986221">
        <w:t xml:space="preserve">Vietnam is </w:t>
      </w:r>
      <w:r w:rsidR="00456C05" w:rsidRPr="00986221">
        <w:t>also</w:t>
      </w:r>
      <w:r w:rsidR="009A38D9" w:rsidRPr="00986221">
        <w:t xml:space="preserve"> </w:t>
      </w:r>
      <w:r w:rsidR="00524C6A" w:rsidRPr="00986221">
        <w:t xml:space="preserve">active </w:t>
      </w:r>
      <w:r w:rsidRPr="00986221">
        <w:t xml:space="preserve">in regional economic cooperation agreements such as the ASEAN Economic Community (AEC) the regional economic cooperation partnership </w:t>
      </w:r>
      <w:r w:rsidR="00997E27" w:rsidRPr="00986221">
        <w:t>(</w:t>
      </w:r>
      <w:r w:rsidRPr="00986221">
        <w:t>RCEP</w:t>
      </w:r>
      <w:r w:rsidR="00997E27" w:rsidRPr="00986221">
        <w:t>)</w:t>
      </w:r>
      <w:r w:rsidRPr="00986221">
        <w:t xml:space="preserve"> and the Trans-Pacific </w:t>
      </w:r>
      <w:r w:rsidR="003F4C2F" w:rsidRPr="00986221">
        <w:t>Partnership (TPP)</w:t>
      </w:r>
      <w:r w:rsidR="00524C6A" w:rsidRPr="00986221">
        <w:rPr>
          <w:rStyle w:val="FootnoteReference"/>
        </w:rPr>
        <w:footnoteReference w:id="2"/>
      </w:r>
      <w:r w:rsidR="003F4C2F" w:rsidRPr="00986221">
        <w:t xml:space="preserve">. </w:t>
      </w:r>
      <w:r w:rsidR="008268B2" w:rsidRPr="00986221">
        <w:t>Planned</w:t>
      </w:r>
      <w:r w:rsidR="00792B67" w:rsidRPr="00986221">
        <w:t xml:space="preserve"> i</w:t>
      </w:r>
      <w:r w:rsidRPr="00986221">
        <w:t>mplementation of the AEC, RCEP and TPP</w:t>
      </w:r>
      <w:r w:rsidR="00792B67" w:rsidRPr="00986221">
        <w:t>, and new bilateral agreements (including with the EU)</w:t>
      </w:r>
      <w:r w:rsidR="004C78B5" w:rsidRPr="00986221">
        <w:t xml:space="preserve">, </w:t>
      </w:r>
      <w:r w:rsidR="00274336" w:rsidRPr="00986221">
        <w:t>and</w:t>
      </w:r>
      <w:r w:rsidR="004C78B5" w:rsidRPr="00986221">
        <w:t xml:space="preserve"> the </w:t>
      </w:r>
      <w:r w:rsidR="00274336" w:rsidRPr="00986221">
        <w:t>recently approved (</w:t>
      </w:r>
      <w:r w:rsidR="004C78B5" w:rsidRPr="00986221">
        <w:t>2013</w:t>
      </w:r>
      <w:r w:rsidR="00274336" w:rsidRPr="00986221">
        <w:t>)</w:t>
      </w:r>
      <w:r w:rsidR="004C78B5" w:rsidRPr="00986221">
        <w:t xml:space="preserve"> WTO Trade Facilitation Agreement</w:t>
      </w:r>
      <w:r w:rsidR="004C78B5" w:rsidRPr="00986221">
        <w:rPr>
          <w:rStyle w:val="FootnoteReference"/>
        </w:rPr>
        <w:footnoteReference w:id="3"/>
      </w:r>
      <w:r w:rsidRPr="00986221">
        <w:t xml:space="preserve"> </w:t>
      </w:r>
      <w:r w:rsidR="008268B2" w:rsidRPr="00986221">
        <w:t>will</w:t>
      </w:r>
      <w:r w:rsidRPr="00986221">
        <w:t xml:space="preserve"> </w:t>
      </w:r>
      <w:r w:rsidR="00C95DC6" w:rsidRPr="00986221">
        <w:t xml:space="preserve">increase pressures to restructure the economy and will </w:t>
      </w:r>
      <w:r w:rsidR="008268B2" w:rsidRPr="00986221">
        <w:t>impact</w:t>
      </w:r>
      <w:r w:rsidRPr="00986221">
        <w:t xml:space="preserve"> on the pace and distribution of economic growth. </w:t>
      </w:r>
      <w:r w:rsidR="00F94385" w:rsidRPr="00986221">
        <w:t>The challenge is to facilitate e</w:t>
      </w:r>
      <w:r w:rsidR="00AD6EA1" w:rsidRPr="00986221">
        <w:t>conomic</w:t>
      </w:r>
      <w:r w:rsidR="003F4C2F" w:rsidRPr="00986221">
        <w:t xml:space="preserve"> restructuring </w:t>
      </w:r>
      <w:r w:rsidR="00F94385" w:rsidRPr="00986221">
        <w:t>to</w:t>
      </w:r>
      <w:r w:rsidR="003F4C2F" w:rsidRPr="00986221">
        <w:t xml:space="preserve"> </w:t>
      </w:r>
      <w:r w:rsidR="00C95DC6" w:rsidRPr="00986221">
        <w:t xml:space="preserve">promote </w:t>
      </w:r>
      <w:r w:rsidR="00F94385" w:rsidRPr="00986221">
        <w:t xml:space="preserve">more </w:t>
      </w:r>
      <w:r w:rsidR="003F4C2F" w:rsidRPr="00986221">
        <w:t xml:space="preserve">positive </w:t>
      </w:r>
      <w:r w:rsidR="00AD6EA1" w:rsidRPr="00986221">
        <w:t xml:space="preserve">and equitable </w:t>
      </w:r>
      <w:r w:rsidR="003F4C2F" w:rsidRPr="00986221">
        <w:t>impacts</w:t>
      </w:r>
      <w:r w:rsidR="00AD6EA1" w:rsidRPr="00986221">
        <w:t xml:space="preserve"> from integration</w:t>
      </w:r>
      <w:r w:rsidR="003F4C2F" w:rsidRPr="00986221">
        <w:t>.</w:t>
      </w:r>
    </w:p>
    <w:p w14:paraId="373C2FC2" w14:textId="77777777" w:rsidR="0079380A" w:rsidRPr="00986221" w:rsidRDefault="0079380A" w:rsidP="000221A3">
      <w:pPr>
        <w:pStyle w:val="ListParagraph"/>
        <w:numPr>
          <w:ilvl w:val="0"/>
          <w:numId w:val="0"/>
        </w:numPr>
        <w:ind w:left="426"/>
      </w:pPr>
    </w:p>
    <w:p w14:paraId="58B44A6F" w14:textId="77777777" w:rsidR="00933704" w:rsidRPr="00986221" w:rsidRDefault="00933704" w:rsidP="000221A3">
      <w:pPr>
        <w:pStyle w:val="Heading2"/>
        <w:ind w:left="426"/>
      </w:pPr>
      <w:bookmarkStart w:id="11" w:name="_Toc387322632"/>
      <w:r w:rsidRPr="00986221">
        <w:t>Development Problem/Issue Analysis</w:t>
      </w:r>
      <w:bookmarkEnd w:id="11"/>
      <w:r w:rsidRPr="00986221">
        <w:t xml:space="preserve"> </w:t>
      </w:r>
    </w:p>
    <w:p w14:paraId="34D2DE9B" w14:textId="41453204" w:rsidR="006650D1" w:rsidRPr="00986221" w:rsidRDefault="003F2777" w:rsidP="000221A3">
      <w:pPr>
        <w:pStyle w:val="ListParagraph"/>
      </w:pPr>
      <w:r w:rsidRPr="00986221">
        <w:t>The recent</w:t>
      </w:r>
      <w:r w:rsidR="00FD0772" w:rsidRPr="00986221">
        <w:t xml:space="preserve"> </w:t>
      </w:r>
      <w:r w:rsidR="008B5E1F" w:rsidRPr="00986221">
        <w:t xml:space="preserve">prolonged </w:t>
      </w:r>
      <w:r w:rsidR="00FD0772" w:rsidRPr="00986221">
        <w:t>economic</w:t>
      </w:r>
      <w:r w:rsidRPr="00986221">
        <w:t xml:space="preserve"> slow</w:t>
      </w:r>
      <w:r w:rsidR="003112E2" w:rsidRPr="00986221">
        <w:t>-</w:t>
      </w:r>
      <w:r w:rsidRPr="00986221">
        <w:t>down has prompted increasing public debate about inequities, corruption</w:t>
      </w:r>
      <w:r w:rsidR="00712299" w:rsidRPr="00986221">
        <w:t>,</w:t>
      </w:r>
      <w:r w:rsidRPr="00986221">
        <w:t xml:space="preserve"> and the most appropriate socio-economic development models for </w:t>
      </w:r>
      <w:r w:rsidR="00687C28" w:rsidRPr="00986221">
        <w:t>Vietnam</w:t>
      </w:r>
      <w:r w:rsidRPr="00986221">
        <w:t xml:space="preserve">. There have been </w:t>
      </w:r>
      <w:r w:rsidR="00127502" w:rsidRPr="00986221">
        <w:t>growing</w:t>
      </w:r>
      <w:r w:rsidRPr="00986221">
        <w:t xml:space="preserve"> concerns that those most closely connected to political power </w:t>
      </w:r>
      <w:r w:rsidR="00B9593F" w:rsidRPr="00986221">
        <w:t>have been</w:t>
      </w:r>
      <w:r w:rsidRPr="00986221">
        <w:t xml:space="preserve"> able to accumulate wealth relatively easily due to their privileged access to capital, land, and markets. </w:t>
      </w:r>
      <w:r w:rsidR="006650D1" w:rsidRPr="00986221">
        <w:t>This is seen as inequitable</w:t>
      </w:r>
      <w:r w:rsidR="00E90DD2" w:rsidRPr="00986221">
        <w:t>,</w:t>
      </w:r>
      <w:r w:rsidR="006650D1" w:rsidRPr="00986221">
        <w:t xml:space="preserve"> and </w:t>
      </w:r>
      <w:r w:rsidR="00E90DD2" w:rsidRPr="00986221">
        <w:t xml:space="preserve">it </w:t>
      </w:r>
      <w:r w:rsidR="006650D1" w:rsidRPr="00986221">
        <w:t>acts as barrier to the entry of new businesses, competition and innovation.</w:t>
      </w:r>
    </w:p>
    <w:p w14:paraId="3D245E3E" w14:textId="30D2AAEE" w:rsidR="003F2777" w:rsidRPr="00986221" w:rsidRDefault="003F2777" w:rsidP="000221A3">
      <w:pPr>
        <w:pStyle w:val="ListParagraph"/>
      </w:pPr>
      <w:r w:rsidRPr="00986221">
        <w:t>Weaknesses in the emerging regulatory and legal framework and institutions have allowed these</w:t>
      </w:r>
      <w:r w:rsidR="00E90DD2" w:rsidRPr="00986221">
        <w:t xml:space="preserve"> unfair advantages to persist, stifling growth in productivity, </w:t>
      </w:r>
      <w:r w:rsidRPr="00986221">
        <w:t>competitiveness</w:t>
      </w:r>
      <w:r w:rsidR="00E90DD2" w:rsidRPr="00986221">
        <w:t>, incomes</w:t>
      </w:r>
      <w:r w:rsidR="0037303D" w:rsidRPr="00986221">
        <w:t>, and living standards</w:t>
      </w:r>
      <w:r w:rsidRPr="00986221">
        <w:t>.</w:t>
      </w:r>
      <w:r w:rsidR="00E64CA6" w:rsidRPr="00986221">
        <w:t xml:space="preserve"> </w:t>
      </w:r>
      <w:r w:rsidR="00421D6E" w:rsidRPr="00986221">
        <w:t>Vietnam continues to rank poorly in terms of the WB’s Doing Business Index and the World Economic Forum’s Global Competitiveness Index</w:t>
      </w:r>
      <w:r w:rsidR="006F7930" w:rsidRPr="00986221">
        <w:rPr>
          <w:rStyle w:val="FootnoteReference"/>
        </w:rPr>
        <w:footnoteReference w:id="4"/>
      </w:r>
      <w:r w:rsidR="00421D6E" w:rsidRPr="00986221">
        <w:t xml:space="preserve">. </w:t>
      </w:r>
      <w:r w:rsidRPr="00986221">
        <w:t xml:space="preserve">Relatively strong economic performance prior to the GFC and the recent economic slowdown made it easier for vested interests (e.g. politically connected </w:t>
      </w:r>
      <w:r w:rsidR="00F8184E" w:rsidRPr="00986221">
        <w:t>managers and owners of State and private enterprises</w:t>
      </w:r>
      <w:r w:rsidRPr="00986221">
        <w:t xml:space="preserve">) to resist reforms. </w:t>
      </w:r>
    </w:p>
    <w:p w14:paraId="6CACB551" w14:textId="1CF434D8" w:rsidR="00034947" w:rsidRPr="00986221" w:rsidRDefault="00127502" w:rsidP="000221A3">
      <w:pPr>
        <w:pStyle w:val="ListParagraph"/>
      </w:pPr>
      <w:r w:rsidRPr="00986221">
        <w:t xml:space="preserve">The sustained economic slowdown since 2008 has resulted in growing pressure to accelerate reforms to increase competition, productivity and national competitiveness in order to realize national aspirations for reducing poverty and achieving equitable improvements in living standards. </w:t>
      </w:r>
      <w:r w:rsidR="00D47457" w:rsidRPr="00986221">
        <w:t xml:space="preserve">Party and Government resolutions and strategies, business forums and the Vietnamese media have become increasingly frank in their critique of </w:t>
      </w:r>
      <w:r w:rsidR="005700CE" w:rsidRPr="00986221">
        <w:t>vested interests, corruption and inequity</w:t>
      </w:r>
      <w:r w:rsidR="00D47457" w:rsidRPr="00986221">
        <w:t>. Increasingly,</w:t>
      </w:r>
      <w:r w:rsidR="0079138B" w:rsidRPr="00986221">
        <w:t xml:space="preserve"> s</w:t>
      </w:r>
      <w:r w:rsidR="00260554" w:rsidRPr="00986221">
        <w:t>enior government and party leaders, academics, business</w:t>
      </w:r>
      <w:r w:rsidR="0088088B" w:rsidRPr="00986221">
        <w:t xml:space="preserve"> people</w:t>
      </w:r>
      <w:r w:rsidR="00260554" w:rsidRPr="00986221">
        <w:t xml:space="preserve">, and the </w:t>
      </w:r>
      <w:r w:rsidR="0088088B" w:rsidRPr="00986221">
        <w:t>broader community</w:t>
      </w:r>
      <w:r w:rsidR="001B274A" w:rsidRPr="00986221">
        <w:t xml:space="preserve"> – as well as international development experts --</w:t>
      </w:r>
      <w:r w:rsidR="00260554" w:rsidRPr="00986221">
        <w:t xml:space="preserve"> </w:t>
      </w:r>
      <w:r w:rsidR="001B274A" w:rsidRPr="00986221">
        <w:t xml:space="preserve">have </w:t>
      </w:r>
      <w:r w:rsidR="00D47457" w:rsidRPr="00986221">
        <w:t>emphasis</w:t>
      </w:r>
      <w:r w:rsidR="001B274A" w:rsidRPr="00986221">
        <w:t>ed</w:t>
      </w:r>
      <w:r w:rsidR="00D47457" w:rsidRPr="00986221">
        <w:t xml:space="preserve"> the need to accelerate economic</w:t>
      </w:r>
      <w:r w:rsidR="005700CE" w:rsidRPr="00986221">
        <w:t xml:space="preserve"> restructuring to help address these concerns.</w:t>
      </w:r>
      <w:r w:rsidR="00395549" w:rsidRPr="00986221">
        <w:t xml:space="preserve"> </w:t>
      </w:r>
      <w:r w:rsidR="009F6EA2" w:rsidRPr="00986221">
        <w:t>WTO’s recent Trade Policy Review for Vietnam</w:t>
      </w:r>
      <w:r w:rsidR="009F6EA2" w:rsidRPr="00986221">
        <w:rPr>
          <w:rStyle w:val="FootnoteReference"/>
        </w:rPr>
        <w:footnoteReference w:id="5"/>
      </w:r>
      <w:r w:rsidR="009F6EA2" w:rsidRPr="00986221">
        <w:t xml:space="preserve"> found that “the contribution of total factor productivity (TFP) to the growth of Viet</w:t>
      </w:r>
      <w:r w:rsidR="0037303D" w:rsidRPr="00986221">
        <w:t>n</w:t>
      </w:r>
      <w:r w:rsidR="009F6EA2" w:rsidRPr="00986221">
        <w:t xml:space="preserve">am’s factor driven economy appears to have collapsed” with “the slow pace of structural reform” impeding TFP growth. </w:t>
      </w:r>
      <w:r w:rsidR="00395549" w:rsidRPr="00986221">
        <w:t xml:space="preserve">The press, the internet, and social media are </w:t>
      </w:r>
      <w:r w:rsidR="0088088B" w:rsidRPr="00986221">
        <w:t>increasingly important platforms for</w:t>
      </w:r>
      <w:r w:rsidR="00395549" w:rsidRPr="00986221">
        <w:t xml:space="preserve"> domestic discussion about how best to achieve </w:t>
      </w:r>
      <w:r w:rsidR="0088088B" w:rsidRPr="00986221">
        <w:t xml:space="preserve">national </w:t>
      </w:r>
      <w:r w:rsidR="00395549" w:rsidRPr="00986221">
        <w:t>development goals.</w:t>
      </w:r>
    </w:p>
    <w:p w14:paraId="4C106602" w14:textId="1FDFAF3B" w:rsidR="002035C4" w:rsidRPr="00986221" w:rsidRDefault="006C616F" w:rsidP="000221A3">
      <w:pPr>
        <w:pStyle w:val="ListParagraph"/>
      </w:pPr>
      <w:r w:rsidRPr="00986221">
        <w:t>In response to community pressure, the Government of Vietnam (</w:t>
      </w:r>
      <w:r w:rsidR="000E1411" w:rsidRPr="00986221">
        <w:t>GoV</w:t>
      </w:r>
      <w:r w:rsidRPr="00986221">
        <w:t>) and the Communist Party of Vietnam (CPV) have made e</w:t>
      </w:r>
      <w:r w:rsidR="002035C4" w:rsidRPr="00986221">
        <w:t xml:space="preserve">conomic restructuring one of the </w:t>
      </w:r>
      <w:r w:rsidR="005700CE" w:rsidRPr="00986221">
        <w:t>highest priority</w:t>
      </w:r>
      <w:r w:rsidRPr="00986221">
        <w:t xml:space="preserve"> development issues. E</w:t>
      </w:r>
      <w:r w:rsidR="002035C4" w:rsidRPr="00986221">
        <w:t xml:space="preserve">conomic restructuring -- to ensure Vietnam maximises the employment and poverty reduction benefits of ongoing global economic integration </w:t>
      </w:r>
      <w:r w:rsidRPr="00986221">
        <w:t>–</w:t>
      </w:r>
      <w:r w:rsidR="002035C4" w:rsidRPr="00986221">
        <w:t xml:space="preserve"> </w:t>
      </w:r>
      <w:r w:rsidRPr="00986221">
        <w:t xml:space="preserve">was identified </w:t>
      </w:r>
      <w:r w:rsidR="002035C4" w:rsidRPr="00986221">
        <w:t>as a key development objective of Vietnam’s Socio-Economic Development Plan (SEDP: 2011-15)</w:t>
      </w:r>
      <w:r w:rsidR="002035C4" w:rsidRPr="00986221">
        <w:rPr>
          <w:rStyle w:val="FootnoteReference"/>
        </w:rPr>
        <w:footnoteReference w:id="6"/>
      </w:r>
      <w:r w:rsidR="002035C4" w:rsidRPr="00986221">
        <w:t xml:space="preserve">. </w:t>
      </w:r>
      <w:proofErr w:type="gramStart"/>
      <w:r w:rsidR="002035C4" w:rsidRPr="00986221">
        <w:t>A</w:t>
      </w:r>
      <w:proofErr w:type="gramEnd"/>
      <w:r w:rsidR="002035C4" w:rsidRPr="00986221">
        <w:t xml:space="preserve"> 11</w:t>
      </w:r>
      <w:r w:rsidR="002035C4" w:rsidRPr="00986221">
        <w:rPr>
          <w:vertAlign w:val="superscript"/>
        </w:rPr>
        <w:t>th</w:t>
      </w:r>
      <w:r w:rsidR="002035C4" w:rsidRPr="00986221">
        <w:t xml:space="preserve"> Party Congress Resolution (January 2011) called for innovation in </w:t>
      </w:r>
      <w:r w:rsidR="00687C28" w:rsidRPr="00986221">
        <w:t>Vietnam</w:t>
      </w:r>
      <w:r w:rsidR="002035C4" w:rsidRPr="00986221">
        <w:t>’s development model to restructure the economy. The Prime Minister approved (in February 2013) a Master Plan on Economic Restructuring (MPER) from 2013 to 2020</w:t>
      </w:r>
      <w:r w:rsidR="002035C4" w:rsidRPr="00986221">
        <w:rPr>
          <w:rStyle w:val="FootnoteReference"/>
          <w:bCs/>
        </w:rPr>
        <w:footnoteReference w:id="7"/>
      </w:r>
      <w:r w:rsidR="002035C4" w:rsidRPr="00986221">
        <w:t xml:space="preserve">. </w:t>
      </w:r>
    </w:p>
    <w:p w14:paraId="32454EDA" w14:textId="594A6B29" w:rsidR="00D77E54" w:rsidRPr="00986221" w:rsidRDefault="00127502" w:rsidP="000221A3">
      <w:pPr>
        <w:pStyle w:val="ListParagraph"/>
      </w:pPr>
      <w:r w:rsidRPr="00986221">
        <w:t xml:space="preserve">The MPER </w:t>
      </w:r>
      <w:r w:rsidR="003C2423" w:rsidRPr="00986221">
        <w:t xml:space="preserve">aims </w:t>
      </w:r>
      <w:r w:rsidR="007526EA" w:rsidRPr="00986221">
        <w:t>to</w:t>
      </w:r>
      <w:r w:rsidR="009A7BDB" w:rsidRPr="00986221">
        <w:t xml:space="preserve"> build and</w:t>
      </w:r>
      <w:r w:rsidR="007526EA" w:rsidRPr="00986221">
        <w:t xml:space="preserve"> implement</w:t>
      </w:r>
      <w:r w:rsidR="003C2423" w:rsidRPr="00986221">
        <w:t xml:space="preserve"> </w:t>
      </w:r>
      <w:r w:rsidR="007526EA" w:rsidRPr="00986221">
        <w:t xml:space="preserve">a new model of </w:t>
      </w:r>
      <w:r w:rsidR="00CF0F33" w:rsidRPr="00986221">
        <w:t xml:space="preserve">economic </w:t>
      </w:r>
      <w:r w:rsidR="007526EA" w:rsidRPr="00986221">
        <w:t xml:space="preserve">growth </w:t>
      </w:r>
      <w:r w:rsidR="00CF0F33" w:rsidRPr="00986221">
        <w:t>focusing on</w:t>
      </w:r>
      <w:r w:rsidR="007526EA" w:rsidRPr="00986221">
        <w:t xml:space="preserve"> quality</w:t>
      </w:r>
      <w:r w:rsidR="00CF0F33" w:rsidRPr="00986221">
        <w:t>, efficiency</w:t>
      </w:r>
      <w:r w:rsidR="007526EA" w:rsidRPr="00986221">
        <w:t xml:space="preserve"> and competitive</w:t>
      </w:r>
      <w:r w:rsidR="00CF0F33" w:rsidRPr="00986221">
        <w:t>ness</w:t>
      </w:r>
      <w:r w:rsidR="003C2423" w:rsidRPr="00986221">
        <w:t xml:space="preserve"> by 2020</w:t>
      </w:r>
      <w:r w:rsidR="00004F13" w:rsidRPr="00986221">
        <w:t>.</w:t>
      </w:r>
      <w:r w:rsidR="007526EA" w:rsidRPr="00986221">
        <w:t xml:space="preserve"> </w:t>
      </w:r>
      <w:r w:rsidR="00D77E54" w:rsidRPr="00986221">
        <w:t>Core MPER objectives are more transparent and broad based business investment leading to an increased share of the workforce being employed in higher productivity and higher income formal employment in both rura</w:t>
      </w:r>
      <w:r w:rsidR="00252335" w:rsidRPr="00986221">
        <w:t xml:space="preserve">l and urban areas. </w:t>
      </w:r>
      <w:r w:rsidR="00887C17" w:rsidRPr="00986221">
        <w:t xml:space="preserve">The </w:t>
      </w:r>
      <w:r w:rsidR="00D77E54" w:rsidRPr="00986221">
        <w:t>MPER</w:t>
      </w:r>
      <w:r w:rsidR="00CF0F33" w:rsidRPr="00986221">
        <w:t xml:space="preserve"> focuses</w:t>
      </w:r>
      <w:r w:rsidR="00887C17" w:rsidRPr="00986221">
        <w:t xml:space="preserve"> on the need to:</w:t>
      </w:r>
      <w:r w:rsidR="002B62E8" w:rsidRPr="00986221">
        <w:t xml:space="preserve"> more clearly delineate the roles of the State and the market;</w:t>
      </w:r>
      <w:r w:rsidR="00887C17" w:rsidRPr="00986221">
        <w:t xml:space="preserve"> </w:t>
      </w:r>
      <w:r w:rsidR="00DB197E" w:rsidRPr="00986221">
        <w:t xml:space="preserve">facilitate higher value added agriculture production and </w:t>
      </w:r>
      <w:r w:rsidR="00D5627D" w:rsidRPr="00986221">
        <w:t>rural economic development</w:t>
      </w:r>
      <w:r w:rsidR="002B62E8" w:rsidRPr="00986221">
        <w:t xml:space="preserve">; </w:t>
      </w:r>
      <w:r w:rsidR="00887C17" w:rsidRPr="00986221">
        <w:t>reduce barriers to efficient business investment; develop more competitive markets; improve corporate governance (of state enterprises, and publicly listed companies); and strengthen prudential supervision and management of the financial secto</w:t>
      </w:r>
      <w:r w:rsidR="002372C3" w:rsidRPr="00986221">
        <w:t>r (banking and capital markets)</w:t>
      </w:r>
      <w:r w:rsidR="00765FA3" w:rsidRPr="00986221">
        <w:t>.</w:t>
      </w:r>
    </w:p>
    <w:p w14:paraId="192AFC46" w14:textId="7F6790F5" w:rsidR="00D5627D" w:rsidRPr="00986221" w:rsidRDefault="002B6CB3" w:rsidP="000221A3">
      <w:pPr>
        <w:pStyle w:val="ListParagraph"/>
      </w:pPr>
      <w:r w:rsidRPr="00986221">
        <w:t xml:space="preserve">Implementation of the </w:t>
      </w:r>
      <w:r w:rsidR="009A7BDB" w:rsidRPr="00986221">
        <w:t>MPER</w:t>
      </w:r>
      <w:r w:rsidRPr="00986221">
        <w:t xml:space="preserve"> will not be easy: vested interests can be expected to resist changes that will affect their current privileged positions. </w:t>
      </w:r>
      <w:r w:rsidR="00D5627D" w:rsidRPr="00986221">
        <w:t xml:space="preserve">Integration and economic restructuring will expose uncompetitive sectors </w:t>
      </w:r>
      <w:r w:rsidR="00391CF2" w:rsidRPr="00986221">
        <w:t xml:space="preserve">of the economy to competition. </w:t>
      </w:r>
      <w:r w:rsidR="00433C4D" w:rsidRPr="00986221">
        <w:t xml:space="preserve">Restructuring </w:t>
      </w:r>
      <w:r w:rsidR="00D5627D" w:rsidRPr="00986221">
        <w:t>can lead to increased productiv</w:t>
      </w:r>
      <w:r w:rsidR="00252335" w:rsidRPr="00986221">
        <w:t xml:space="preserve">ity and competitiveness, but can also lead to </w:t>
      </w:r>
      <w:r w:rsidR="00D5627D" w:rsidRPr="00986221">
        <w:t xml:space="preserve">the failure of </w:t>
      </w:r>
      <w:r w:rsidR="00252335" w:rsidRPr="00986221">
        <w:t xml:space="preserve">some </w:t>
      </w:r>
      <w:r w:rsidR="00D5627D" w:rsidRPr="00986221">
        <w:t>enterprises</w:t>
      </w:r>
      <w:r w:rsidR="00391CF2" w:rsidRPr="00986221">
        <w:t xml:space="preserve"> and significant adjustments in some areas</w:t>
      </w:r>
      <w:r w:rsidR="00D5627D" w:rsidRPr="00986221">
        <w:t xml:space="preserve">. </w:t>
      </w:r>
      <w:r w:rsidR="00C51AF0" w:rsidRPr="00986221">
        <w:t>Policy</w:t>
      </w:r>
      <w:r w:rsidR="00D5627D" w:rsidRPr="00986221">
        <w:t xml:space="preserve"> </w:t>
      </w:r>
      <w:r w:rsidR="00C51AF0" w:rsidRPr="00986221">
        <w:t>responses</w:t>
      </w:r>
      <w:r w:rsidR="00D5627D" w:rsidRPr="00986221">
        <w:t xml:space="preserve"> </w:t>
      </w:r>
      <w:r w:rsidR="00C51AF0" w:rsidRPr="00986221">
        <w:t xml:space="preserve">need </w:t>
      </w:r>
      <w:r w:rsidR="00D5627D" w:rsidRPr="00986221">
        <w:t xml:space="preserve">to </w:t>
      </w:r>
      <w:r w:rsidR="00C51AF0" w:rsidRPr="00986221">
        <w:t>be</w:t>
      </w:r>
      <w:r w:rsidR="00991C1D" w:rsidRPr="00986221">
        <w:t xml:space="preserve"> timely and</w:t>
      </w:r>
      <w:r w:rsidR="00C51AF0" w:rsidRPr="00986221">
        <w:t xml:space="preserve"> </w:t>
      </w:r>
      <w:r w:rsidR="00991C1D" w:rsidRPr="00986221">
        <w:t>adapted</w:t>
      </w:r>
      <w:r w:rsidR="00C51AF0" w:rsidRPr="00986221">
        <w:t xml:space="preserve"> to </w:t>
      </w:r>
      <w:r w:rsidR="00991C1D" w:rsidRPr="00986221">
        <w:t xml:space="preserve">prevailing circumstance to </w:t>
      </w:r>
      <w:r w:rsidR="00B160A9" w:rsidRPr="00986221">
        <w:t>help</w:t>
      </w:r>
      <w:r w:rsidR="00D5627D" w:rsidRPr="00986221">
        <w:t xml:space="preserve"> minimize adverse impacts. Vietnam </w:t>
      </w:r>
      <w:r w:rsidR="00991C1D" w:rsidRPr="00986221">
        <w:t xml:space="preserve">has limited capacity </w:t>
      </w:r>
      <w:r w:rsidR="00D5627D" w:rsidRPr="00986221">
        <w:t>to</w:t>
      </w:r>
      <w:r w:rsidR="00265CB5" w:rsidRPr="00986221">
        <w:t>: (</w:t>
      </w:r>
      <w:proofErr w:type="spellStart"/>
      <w:r w:rsidR="00265CB5" w:rsidRPr="00986221">
        <w:t>i</w:t>
      </w:r>
      <w:proofErr w:type="spellEnd"/>
      <w:r w:rsidR="00265CB5" w:rsidRPr="00986221">
        <w:t>)</w:t>
      </w:r>
      <w:r w:rsidR="00D5627D" w:rsidRPr="00986221">
        <w:t xml:space="preserve"> monitor and/or </w:t>
      </w:r>
      <w:r w:rsidR="00265CB5" w:rsidRPr="00986221">
        <w:t xml:space="preserve">provide evidence based </w:t>
      </w:r>
      <w:r w:rsidR="00D5627D" w:rsidRPr="00986221">
        <w:t>predict</w:t>
      </w:r>
      <w:r w:rsidR="00265CB5" w:rsidRPr="00986221">
        <w:t>ions of</w:t>
      </w:r>
      <w:r w:rsidR="00D5627D" w:rsidRPr="00986221">
        <w:t xml:space="preserve"> the impacts of economic reforms (especially equity impacts)</w:t>
      </w:r>
      <w:r w:rsidR="00265CB5" w:rsidRPr="00986221">
        <w:t xml:space="preserve"> or; (ii)</w:t>
      </w:r>
      <w:r w:rsidR="00D5627D" w:rsidRPr="00986221">
        <w:t xml:space="preserve"> to develop policy actions aimed at ensuring </w:t>
      </w:r>
      <w:r w:rsidR="00991C1D" w:rsidRPr="00986221">
        <w:t xml:space="preserve">better and </w:t>
      </w:r>
      <w:r w:rsidR="00D5627D" w:rsidRPr="00986221">
        <w:t xml:space="preserve">more equitable outcomes. Without a sound understanding of </w:t>
      </w:r>
      <w:r w:rsidR="00B160A9" w:rsidRPr="00986221">
        <w:t>potential</w:t>
      </w:r>
      <w:r w:rsidR="00D5627D" w:rsidRPr="00986221">
        <w:t xml:space="preserve"> impacts and </w:t>
      </w:r>
      <w:r w:rsidR="00265CB5" w:rsidRPr="00986221">
        <w:t>potential policy responses</w:t>
      </w:r>
      <w:r w:rsidR="00D5627D" w:rsidRPr="00986221">
        <w:t xml:space="preserve">, </w:t>
      </w:r>
      <w:r w:rsidR="00265CB5" w:rsidRPr="00986221">
        <w:t xml:space="preserve">it will be difficult to build a consensus for </w:t>
      </w:r>
      <w:r w:rsidR="006C616F" w:rsidRPr="00986221">
        <w:t>reforms</w:t>
      </w:r>
      <w:r w:rsidR="00265CB5" w:rsidRPr="00986221">
        <w:t xml:space="preserve">, and </w:t>
      </w:r>
      <w:r w:rsidR="00D5627D" w:rsidRPr="00986221">
        <w:t xml:space="preserve">Vietnam’s leaders will be reluctant to push forward with difficult reforms for fear of </w:t>
      </w:r>
      <w:r w:rsidR="00433C4D" w:rsidRPr="00986221">
        <w:t xml:space="preserve">a possible </w:t>
      </w:r>
      <w:r w:rsidR="00D5627D" w:rsidRPr="00986221">
        <w:t xml:space="preserve">popular backlash </w:t>
      </w:r>
      <w:r w:rsidR="00034947" w:rsidRPr="00986221">
        <w:t>when reforms begin to bi</w:t>
      </w:r>
      <w:r w:rsidR="00D5627D" w:rsidRPr="00986221">
        <w:t>t</w:t>
      </w:r>
      <w:r w:rsidR="00034947" w:rsidRPr="00986221">
        <w:t>e</w:t>
      </w:r>
      <w:r w:rsidR="00D5627D" w:rsidRPr="00986221">
        <w:t xml:space="preserve">.  </w:t>
      </w:r>
    </w:p>
    <w:p w14:paraId="5051E968" w14:textId="2F06D01B" w:rsidR="00F76A5D" w:rsidRPr="00986221" w:rsidRDefault="00260554" w:rsidP="000221A3">
      <w:pPr>
        <w:pStyle w:val="ListParagraph"/>
      </w:pPr>
      <w:r w:rsidRPr="00986221">
        <w:t xml:space="preserve">While there is no way of being sure </w:t>
      </w:r>
      <w:r w:rsidR="00433C4D" w:rsidRPr="00986221">
        <w:t xml:space="preserve">that </w:t>
      </w:r>
      <w:r w:rsidRPr="00986221">
        <w:t xml:space="preserve">the </w:t>
      </w:r>
      <w:r w:rsidR="00461CEA" w:rsidRPr="00986221">
        <w:t>increasing</w:t>
      </w:r>
      <w:r w:rsidRPr="00986221">
        <w:t xml:space="preserve"> pressures for </w:t>
      </w:r>
      <w:r w:rsidR="00307345" w:rsidRPr="00986221">
        <w:t xml:space="preserve">economic </w:t>
      </w:r>
      <w:r w:rsidRPr="00986221">
        <w:t xml:space="preserve">reform </w:t>
      </w:r>
      <w:r w:rsidR="00307345" w:rsidRPr="00986221">
        <w:t xml:space="preserve">and restructuring </w:t>
      </w:r>
      <w:r w:rsidRPr="00986221">
        <w:t>will be adequate to bring significant change soon</w:t>
      </w:r>
      <w:r w:rsidR="00B72880" w:rsidRPr="00986221">
        <w:t xml:space="preserve">. Nor is it possible to be sure about </w:t>
      </w:r>
      <w:r w:rsidR="00307345" w:rsidRPr="00986221">
        <w:t>the details of</w:t>
      </w:r>
      <w:r w:rsidRPr="00986221">
        <w:t xml:space="preserve"> how this change might happen</w:t>
      </w:r>
      <w:r w:rsidR="00B72880" w:rsidRPr="00986221">
        <w:t xml:space="preserve">. However, </w:t>
      </w:r>
      <w:r w:rsidRPr="00986221">
        <w:t>pressure</w:t>
      </w:r>
      <w:r w:rsidR="00731563" w:rsidRPr="00986221">
        <w:t xml:space="preserve"> from</w:t>
      </w:r>
      <w:r w:rsidRPr="00986221">
        <w:t xml:space="preserve"> within the </w:t>
      </w:r>
      <w:r w:rsidR="00731563" w:rsidRPr="00986221">
        <w:t xml:space="preserve">political </w:t>
      </w:r>
      <w:r w:rsidRPr="00986221">
        <w:t>system, and public sentiment</w:t>
      </w:r>
      <w:r w:rsidR="00731563" w:rsidRPr="00986221">
        <w:t xml:space="preserve"> on the need for change</w:t>
      </w:r>
      <w:r w:rsidRPr="00986221">
        <w:t xml:space="preserve">, support the case for engaging on economic reform issues at this time. </w:t>
      </w:r>
      <w:r w:rsidR="00391CF2" w:rsidRPr="00986221">
        <w:t xml:space="preserve">Moreover, there are </w:t>
      </w:r>
      <w:r w:rsidR="00E83C04" w:rsidRPr="00986221">
        <w:t>firm</w:t>
      </w:r>
      <w:r w:rsidR="00391CF2" w:rsidRPr="00986221">
        <w:t xml:space="preserve"> targets for key reforms such as the changes to the Enterprise and Investment </w:t>
      </w:r>
      <w:r w:rsidR="00E83C04" w:rsidRPr="00986221">
        <w:t xml:space="preserve">legislation. </w:t>
      </w:r>
      <w:r w:rsidRPr="00986221">
        <w:t>Past experience (</w:t>
      </w:r>
      <w:r w:rsidR="00655062" w:rsidRPr="00986221">
        <w:t xml:space="preserve">since </w:t>
      </w:r>
      <w:r w:rsidRPr="00986221">
        <w:t xml:space="preserve">the beginning of </w:t>
      </w:r>
      <w:proofErr w:type="spellStart"/>
      <w:r w:rsidRPr="00986221">
        <w:t>Doi</w:t>
      </w:r>
      <w:proofErr w:type="spellEnd"/>
      <w:r w:rsidRPr="00986221">
        <w:t xml:space="preserve"> </w:t>
      </w:r>
      <w:proofErr w:type="spellStart"/>
      <w:r w:rsidRPr="00986221">
        <w:t>Moi</w:t>
      </w:r>
      <w:proofErr w:type="spellEnd"/>
      <w:r w:rsidRPr="00986221">
        <w:t xml:space="preserve">) suggests that </w:t>
      </w:r>
      <w:r w:rsidR="00E57B81" w:rsidRPr="00986221">
        <w:t>Vietnam’s leaders are</w:t>
      </w:r>
      <w:r w:rsidRPr="00986221">
        <w:t xml:space="preserve"> prepared to take a pragmatic approach to</w:t>
      </w:r>
      <w:r w:rsidR="009C0F69" w:rsidRPr="00986221">
        <w:t xml:space="preserve"> economic</w:t>
      </w:r>
      <w:r w:rsidRPr="00986221">
        <w:t xml:space="preserve"> reform when there are compelling arguments and significant pressure. </w:t>
      </w:r>
      <w:r w:rsidR="00E83C04" w:rsidRPr="00986221">
        <w:t>More substantive public debate about equity issues and the</w:t>
      </w:r>
      <w:r w:rsidRPr="00986221">
        <w:t xml:space="preserve"> need for legitimacy</w:t>
      </w:r>
      <w:r w:rsidR="00860BBF" w:rsidRPr="00986221">
        <w:t xml:space="preserve"> --</w:t>
      </w:r>
      <w:r w:rsidRPr="00986221">
        <w:t xml:space="preserve"> that </w:t>
      </w:r>
      <w:r w:rsidR="00860BBF" w:rsidRPr="00986221">
        <w:t xml:space="preserve">partly </w:t>
      </w:r>
      <w:r w:rsidRPr="00986221">
        <w:t xml:space="preserve">depends on </w:t>
      </w:r>
      <w:r w:rsidR="00860BBF" w:rsidRPr="00986221">
        <w:t>achieving ‘broad enough’</w:t>
      </w:r>
      <w:r w:rsidR="00731563" w:rsidRPr="00986221">
        <w:t xml:space="preserve"> </w:t>
      </w:r>
      <w:r w:rsidR="00860BBF" w:rsidRPr="00986221">
        <w:t>-</w:t>
      </w:r>
      <w:r w:rsidRPr="00986221">
        <w:t xml:space="preserve">based economic growth </w:t>
      </w:r>
      <w:r w:rsidR="00860BBF" w:rsidRPr="00986221">
        <w:t xml:space="preserve">-- </w:t>
      </w:r>
      <w:r w:rsidRPr="00986221">
        <w:t xml:space="preserve">is </w:t>
      </w:r>
      <w:r w:rsidR="008D3CD3" w:rsidRPr="00986221">
        <w:t xml:space="preserve">contributing to </w:t>
      </w:r>
      <w:r w:rsidRPr="00986221">
        <w:t>pressure for reform.</w:t>
      </w:r>
      <w:r w:rsidR="00B36F6D" w:rsidRPr="00986221">
        <w:t xml:space="preserve"> Past experience suggests that</w:t>
      </w:r>
      <w:r w:rsidR="0079380A" w:rsidRPr="00986221">
        <w:t xml:space="preserve"> </w:t>
      </w:r>
      <w:r w:rsidR="002C019F" w:rsidRPr="00986221">
        <w:t xml:space="preserve">international support </w:t>
      </w:r>
      <w:r w:rsidR="001A16B8" w:rsidRPr="00986221">
        <w:t>-- to help provide</w:t>
      </w:r>
      <w:r w:rsidR="002C019F" w:rsidRPr="00986221">
        <w:t xml:space="preserve"> advocates of reform </w:t>
      </w:r>
      <w:r w:rsidR="001A16B8" w:rsidRPr="00986221">
        <w:t>with better</w:t>
      </w:r>
      <w:r w:rsidR="00B36F6D" w:rsidRPr="00986221">
        <w:t xml:space="preserve"> access </w:t>
      </w:r>
      <w:r w:rsidR="001A16B8" w:rsidRPr="00986221">
        <w:t xml:space="preserve">to </w:t>
      </w:r>
      <w:r w:rsidR="00B36F6D" w:rsidRPr="00986221">
        <w:t xml:space="preserve">information and credible </w:t>
      </w:r>
      <w:r w:rsidR="002C019F" w:rsidRPr="00986221">
        <w:t xml:space="preserve">national and international </w:t>
      </w:r>
      <w:r w:rsidR="00B36F6D" w:rsidRPr="00986221">
        <w:t>evidence of linkages between economic reform</w:t>
      </w:r>
      <w:r w:rsidR="002C019F" w:rsidRPr="00986221">
        <w:t xml:space="preserve"> and equitable</w:t>
      </w:r>
      <w:r w:rsidR="00B36F6D" w:rsidRPr="00986221">
        <w:t xml:space="preserve"> socio-economic outcomes</w:t>
      </w:r>
      <w:r w:rsidR="001A16B8" w:rsidRPr="00986221">
        <w:t xml:space="preserve"> --</w:t>
      </w:r>
      <w:r w:rsidR="00B36F6D" w:rsidRPr="00986221">
        <w:t xml:space="preserve"> can help in building support for such reforms.</w:t>
      </w:r>
    </w:p>
    <w:p w14:paraId="564F1CBB" w14:textId="63522686" w:rsidR="00004F13" w:rsidRPr="00986221" w:rsidRDefault="00D5627D" w:rsidP="000221A3">
      <w:pPr>
        <w:pStyle w:val="ListParagraph"/>
      </w:pPr>
      <w:r w:rsidRPr="00986221">
        <w:t xml:space="preserve">In </w:t>
      </w:r>
      <w:r w:rsidR="0014192A" w:rsidRPr="00986221">
        <w:t>order</w:t>
      </w:r>
      <w:r w:rsidR="00004F13" w:rsidRPr="00986221">
        <w:t xml:space="preserve"> for the Go</w:t>
      </w:r>
      <w:r w:rsidR="00D839C6" w:rsidRPr="00986221">
        <w:t>V</w:t>
      </w:r>
      <w:r w:rsidR="00004F13" w:rsidRPr="00986221">
        <w:t xml:space="preserve"> </w:t>
      </w:r>
      <w:r w:rsidR="00B13E6F" w:rsidRPr="00986221">
        <w:t>to effectively implement</w:t>
      </w:r>
      <w:r w:rsidR="0014192A" w:rsidRPr="00986221">
        <w:t xml:space="preserve"> the restructuring plan, it will need </w:t>
      </w:r>
      <w:r w:rsidRPr="00986221">
        <w:t>to ensure</w:t>
      </w:r>
      <w:r w:rsidR="00004F13" w:rsidRPr="00986221">
        <w:t>:</w:t>
      </w:r>
    </w:p>
    <w:p w14:paraId="66AE2F6B" w14:textId="149DC516" w:rsidR="00077FE3" w:rsidRPr="00986221" w:rsidRDefault="00077FE3" w:rsidP="00C860D6">
      <w:pPr>
        <w:pStyle w:val="ListParagraphindent"/>
      </w:pPr>
      <w:r w:rsidRPr="00986221">
        <w:t xml:space="preserve">Capacity exists to </w:t>
      </w:r>
      <w:r w:rsidR="00DE7773" w:rsidRPr="00986221">
        <w:t>implement</w:t>
      </w:r>
      <w:r w:rsidRPr="00986221">
        <w:t xml:space="preserve"> the restructuring plan, including capacity to monitor and </w:t>
      </w:r>
      <w:r w:rsidR="00DE7773" w:rsidRPr="00986221">
        <w:t>assess</w:t>
      </w:r>
      <w:r w:rsidRPr="00986221">
        <w:t xml:space="preserve"> the distributional impacts of structural impediments to development, and proposed solutions to address these impediments</w:t>
      </w:r>
      <w:r w:rsidR="00DD63F2" w:rsidRPr="00986221">
        <w:rPr>
          <w:rStyle w:val="FootnoteReference"/>
        </w:rPr>
        <w:footnoteReference w:id="8"/>
      </w:r>
      <w:r w:rsidRPr="00986221">
        <w:t xml:space="preserve">. </w:t>
      </w:r>
    </w:p>
    <w:p w14:paraId="340E131E" w14:textId="000F1795" w:rsidR="00004F13" w:rsidRPr="00986221" w:rsidRDefault="00004F13" w:rsidP="00C860D6">
      <w:pPr>
        <w:pStyle w:val="ListParagraphindent"/>
      </w:pPr>
      <w:r w:rsidRPr="00986221">
        <w:t>T</w:t>
      </w:r>
      <w:r w:rsidR="00F76A5D" w:rsidRPr="00986221">
        <w:t xml:space="preserve">he </w:t>
      </w:r>
      <w:r w:rsidR="0014192A" w:rsidRPr="00986221">
        <w:t>institutional</w:t>
      </w:r>
      <w:r w:rsidR="00F76A5D" w:rsidRPr="00986221">
        <w:t xml:space="preserve"> capacity </w:t>
      </w:r>
      <w:r w:rsidR="00A61883" w:rsidRPr="00986221">
        <w:t xml:space="preserve">and evidence base exists </w:t>
      </w:r>
      <w:r w:rsidR="00F76A5D" w:rsidRPr="00986221">
        <w:t>to</w:t>
      </w:r>
      <w:r w:rsidR="00A61883" w:rsidRPr="00986221">
        <w:t xml:space="preserve"> </w:t>
      </w:r>
      <w:r w:rsidR="00D96B14" w:rsidRPr="00986221">
        <w:t>support the development and implementation of</w:t>
      </w:r>
      <w:r w:rsidRPr="00986221">
        <w:t xml:space="preserve"> policy, regulatory and public investment </w:t>
      </w:r>
      <w:r w:rsidR="00A61883" w:rsidRPr="00986221">
        <w:t>reform strategies that will</w:t>
      </w:r>
      <w:r w:rsidR="00B13E6F" w:rsidRPr="00986221">
        <w:t xml:space="preserve"> </w:t>
      </w:r>
      <w:r w:rsidR="00AD44E8" w:rsidRPr="00986221">
        <w:t>promote</w:t>
      </w:r>
      <w:r w:rsidR="00B13E6F" w:rsidRPr="00986221">
        <w:t xml:space="preserve"> increased efficiency and competitiveness, and more</w:t>
      </w:r>
      <w:r w:rsidR="00D96B14" w:rsidRPr="00986221">
        <w:t xml:space="preserve"> equitable outcomes</w:t>
      </w:r>
      <w:r w:rsidRPr="00986221">
        <w:t>;</w:t>
      </w:r>
    </w:p>
    <w:p w14:paraId="1B002FEE" w14:textId="024B97BA" w:rsidR="00004F13" w:rsidRPr="00986221" w:rsidRDefault="00B65705" w:rsidP="00C860D6">
      <w:pPr>
        <w:pStyle w:val="ListParagraphindent"/>
      </w:pPr>
      <w:r w:rsidRPr="00986221">
        <w:t>A</w:t>
      </w:r>
      <w:r w:rsidR="00F953C8" w:rsidRPr="00986221">
        <w:t>dequate resources are</w:t>
      </w:r>
      <w:r w:rsidR="005C379D" w:rsidRPr="00986221">
        <w:t xml:space="preserve"> mobilized to develop </w:t>
      </w:r>
      <w:r w:rsidR="00763188" w:rsidRPr="00986221">
        <w:t xml:space="preserve">and strengthen the </w:t>
      </w:r>
      <w:r w:rsidR="005C379D" w:rsidRPr="00986221">
        <w:t>core market institutions that will be central to implementation of the economic restructuring pla</w:t>
      </w:r>
      <w:r w:rsidR="00763188" w:rsidRPr="00986221">
        <w:t xml:space="preserve">n </w:t>
      </w:r>
      <w:r w:rsidR="00004F13" w:rsidRPr="00986221">
        <w:t xml:space="preserve">(e.g. </w:t>
      </w:r>
      <w:r w:rsidR="00AD44E8" w:rsidRPr="00986221">
        <w:t xml:space="preserve">policy analysis, </w:t>
      </w:r>
      <w:r w:rsidR="00004F13" w:rsidRPr="00986221">
        <w:t xml:space="preserve">competition and </w:t>
      </w:r>
      <w:r w:rsidR="00763188" w:rsidRPr="00986221">
        <w:t>corporate</w:t>
      </w:r>
      <w:r w:rsidR="00004F13" w:rsidRPr="00986221">
        <w:t xml:space="preserve"> governance institutions)</w:t>
      </w:r>
      <w:r w:rsidR="00F953C8" w:rsidRPr="00986221">
        <w:t>.</w:t>
      </w:r>
    </w:p>
    <w:p w14:paraId="18B8A43F" w14:textId="2251D0D0" w:rsidR="00DB7977" w:rsidRPr="00986221" w:rsidRDefault="00F953C8" w:rsidP="00C32124">
      <w:pPr>
        <w:pStyle w:val="ListParagraph"/>
      </w:pPr>
      <w:r w:rsidRPr="00986221">
        <w:t xml:space="preserve">The </w:t>
      </w:r>
      <w:r w:rsidR="008D2A61" w:rsidRPr="00986221">
        <w:t>RCV</w:t>
      </w:r>
      <w:r w:rsidRPr="00986221">
        <w:t xml:space="preserve"> is designed to help the Go</w:t>
      </w:r>
      <w:r w:rsidR="00D839C6" w:rsidRPr="00986221">
        <w:t>V</w:t>
      </w:r>
      <w:r w:rsidRPr="00986221">
        <w:t xml:space="preserve"> address </w:t>
      </w:r>
      <w:r w:rsidR="00D839C6" w:rsidRPr="00986221">
        <w:t xml:space="preserve">key elements of </w:t>
      </w:r>
      <w:r w:rsidRPr="00986221">
        <w:t>these challenges, and thus to help the Go</w:t>
      </w:r>
      <w:r w:rsidR="00CD14EA" w:rsidRPr="00986221">
        <w:t>V</w:t>
      </w:r>
      <w:r w:rsidRPr="00986221">
        <w:t xml:space="preserve"> achieve</w:t>
      </w:r>
      <w:r w:rsidR="002B2ADC" w:rsidRPr="00986221">
        <w:t xml:space="preserve"> its targeted outcomes from economic restructuring.</w:t>
      </w:r>
      <w:r w:rsidR="00B65705" w:rsidRPr="00986221">
        <w:t xml:space="preserve"> </w:t>
      </w:r>
      <w:r w:rsidR="005F274E" w:rsidRPr="00986221">
        <w:t xml:space="preserve">As discussed below other donors are </w:t>
      </w:r>
      <w:r w:rsidR="00A77DB2" w:rsidRPr="00986221">
        <w:t xml:space="preserve">also </w:t>
      </w:r>
      <w:r w:rsidR="00EC6C8D" w:rsidRPr="00986221">
        <w:t xml:space="preserve">involved in supporting </w:t>
      </w:r>
      <w:r w:rsidR="009F3C59" w:rsidRPr="00986221">
        <w:t>economic reforms</w:t>
      </w:r>
      <w:r w:rsidR="00DC76EF" w:rsidRPr="00986221">
        <w:t xml:space="preserve">, but </w:t>
      </w:r>
      <w:r w:rsidR="008D2A61" w:rsidRPr="00986221">
        <w:t>RCV</w:t>
      </w:r>
      <w:r w:rsidR="00DC76EF" w:rsidRPr="00986221">
        <w:t xml:space="preserve"> will be unique in </w:t>
      </w:r>
      <w:r w:rsidR="009F3C59" w:rsidRPr="00986221">
        <w:t xml:space="preserve">being the only support focussed on </w:t>
      </w:r>
      <w:r w:rsidR="006B3E9F" w:rsidRPr="00986221">
        <w:t xml:space="preserve">MPER </w:t>
      </w:r>
      <w:r w:rsidR="009F3C59" w:rsidRPr="00986221">
        <w:t xml:space="preserve">implementation, and directly </w:t>
      </w:r>
      <w:r w:rsidR="00DC76EF" w:rsidRPr="00986221">
        <w:t xml:space="preserve">supporting </w:t>
      </w:r>
      <w:r w:rsidR="006B3E9F" w:rsidRPr="00986221">
        <w:t>the national institution responsible for</w:t>
      </w:r>
      <w:r w:rsidR="00EC6C8D" w:rsidRPr="00986221">
        <w:t xml:space="preserve"> </w:t>
      </w:r>
      <w:r w:rsidR="006B3E9F" w:rsidRPr="00986221">
        <w:t>overall coordination, monitoring, evaluation and reporting on</w:t>
      </w:r>
      <w:r w:rsidR="00DC76EF" w:rsidRPr="00986221">
        <w:t xml:space="preserve"> implementation of the </w:t>
      </w:r>
      <w:r w:rsidR="006B3E9F" w:rsidRPr="00986221">
        <w:t>MPER</w:t>
      </w:r>
      <w:r w:rsidR="00DC76EF" w:rsidRPr="00986221">
        <w:t xml:space="preserve">. </w:t>
      </w:r>
      <w:r w:rsidR="008D2A61" w:rsidRPr="00986221">
        <w:t>RCV</w:t>
      </w:r>
      <w:r w:rsidR="0028520E" w:rsidRPr="00986221">
        <w:t xml:space="preserve"> will</w:t>
      </w:r>
      <w:r w:rsidR="00634A7C" w:rsidRPr="00986221">
        <w:t xml:space="preserve"> also directly support the development of key market institutions that impact on business investme</w:t>
      </w:r>
      <w:r w:rsidR="00B4473A" w:rsidRPr="00986221">
        <w:t xml:space="preserve">nt, corporate governance, </w:t>
      </w:r>
      <w:r w:rsidR="0086288A" w:rsidRPr="00986221">
        <w:t>comp</w:t>
      </w:r>
      <w:r w:rsidR="00634A7C" w:rsidRPr="00986221">
        <w:t>eti</w:t>
      </w:r>
      <w:r w:rsidR="0086288A" w:rsidRPr="00986221">
        <w:t>ti</w:t>
      </w:r>
      <w:r w:rsidR="00634A7C" w:rsidRPr="00986221">
        <w:t>on policy</w:t>
      </w:r>
      <w:r w:rsidR="00B4473A" w:rsidRPr="00986221">
        <w:t>, and restructuring of the rural economy</w:t>
      </w:r>
      <w:r w:rsidR="00634A7C" w:rsidRPr="00986221">
        <w:t xml:space="preserve">.  </w:t>
      </w:r>
    </w:p>
    <w:p w14:paraId="715374C8" w14:textId="77777777" w:rsidR="00B61BD5" w:rsidRPr="00986221" w:rsidRDefault="00B61BD5" w:rsidP="00B61BD5">
      <w:pPr>
        <w:pStyle w:val="ListParagraph"/>
        <w:numPr>
          <w:ilvl w:val="0"/>
          <w:numId w:val="0"/>
        </w:numPr>
        <w:ind w:left="426"/>
      </w:pPr>
    </w:p>
    <w:p w14:paraId="05CD9B33" w14:textId="77777777" w:rsidR="00933704" w:rsidRPr="00986221" w:rsidRDefault="00933704" w:rsidP="000221A3">
      <w:pPr>
        <w:pStyle w:val="Heading2"/>
        <w:ind w:left="426"/>
      </w:pPr>
      <w:bookmarkStart w:id="12" w:name="_Toc387322633"/>
      <w:r w:rsidRPr="00986221">
        <w:t>Evidence-base/Lessons Learned</w:t>
      </w:r>
      <w:bookmarkEnd w:id="12"/>
    </w:p>
    <w:p w14:paraId="564A86BD" w14:textId="41D0522D" w:rsidR="005F274E" w:rsidRPr="00986221" w:rsidRDefault="005E3177" w:rsidP="000221A3">
      <w:pPr>
        <w:pStyle w:val="Heading3"/>
        <w:ind w:left="426"/>
      </w:pPr>
      <w:bookmarkStart w:id="13" w:name="_Toc387322634"/>
      <w:r w:rsidRPr="00986221">
        <w:t>Experiences Underpinning the Program Design</w:t>
      </w:r>
      <w:bookmarkEnd w:id="13"/>
    </w:p>
    <w:p w14:paraId="4D62320C" w14:textId="5CF3CAA8" w:rsidR="005C4F2C" w:rsidRPr="00986221" w:rsidRDefault="00A77DB2" w:rsidP="00C32124">
      <w:pPr>
        <w:pStyle w:val="ListParagraph"/>
      </w:pPr>
      <w:r w:rsidRPr="00986221">
        <w:t>L</w:t>
      </w:r>
      <w:r w:rsidR="008A3905" w:rsidRPr="00986221">
        <w:t xml:space="preserve">essons </w:t>
      </w:r>
      <w:r w:rsidRPr="00986221">
        <w:t xml:space="preserve">learned </w:t>
      </w:r>
      <w:r w:rsidR="008A3905" w:rsidRPr="00986221">
        <w:t xml:space="preserve">from </w:t>
      </w:r>
      <w:r w:rsidR="00775783" w:rsidRPr="00986221">
        <w:t>GoV</w:t>
      </w:r>
      <w:r w:rsidR="001B4CE0" w:rsidRPr="00986221">
        <w:t xml:space="preserve"> experiences in developing an</w:t>
      </w:r>
      <w:r w:rsidRPr="00986221">
        <w:t>d im</w:t>
      </w:r>
      <w:r w:rsidR="00F11D55" w:rsidRPr="00986221">
        <w:t>plementing reform processes --</w:t>
      </w:r>
      <w:r w:rsidR="00775783" w:rsidRPr="00986221">
        <w:t xml:space="preserve"> </w:t>
      </w:r>
      <w:r w:rsidRPr="00986221">
        <w:t xml:space="preserve">and </w:t>
      </w:r>
      <w:r w:rsidR="00775783" w:rsidRPr="00986221">
        <w:t xml:space="preserve">from </w:t>
      </w:r>
      <w:r w:rsidRPr="00986221">
        <w:t>international</w:t>
      </w:r>
      <w:r w:rsidR="005C4F2C" w:rsidRPr="00986221">
        <w:t xml:space="preserve"> </w:t>
      </w:r>
      <w:r w:rsidRPr="00986221">
        <w:t>support for</w:t>
      </w:r>
      <w:r w:rsidR="007434C9" w:rsidRPr="00986221">
        <w:t xml:space="preserve"> </w:t>
      </w:r>
      <w:r w:rsidR="00687C28" w:rsidRPr="00986221">
        <w:t>Vietnam</w:t>
      </w:r>
      <w:r w:rsidR="00CE3E41" w:rsidRPr="00986221">
        <w:t xml:space="preserve">’s </w:t>
      </w:r>
      <w:r w:rsidR="007434C9" w:rsidRPr="00986221">
        <w:t xml:space="preserve">reform </w:t>
      </w:r>
      <w:r w:rsidRPr="00986221">
        <w:t>program (including the B-WTO program)</w:t>
      </w:r>
      <w:r w:rsidR="00F11D55" w:rsidRPr="00986221">
        <w:t xml:space="preserve"> -- </w:t>
      </w:r>
      <w:r w:rsidR="008A3905" w:rsidRPr="00986221">
        <w:t xml:space="preserve">have underpinned the design of this program. </w:t>
      </w:r>
      <w:r w:rsidR="007434C9" w:rsidRPr="00986221">
        <w:t>Some s</w:t>
      </w:r>
      <w:r w:rsidR="00CD2804" w:rsidRPr="00986221">
        <w:t xml:space="preserve">pecific </w:t>
      </w:r>
      <w:r w:rsidR="007434C9" w:rsidRPr="00986221">
        <w:t>l</w:t>
      </w:r>
      <w:r w:rsidR="005C4F2C" w:rsidRPr="00986221">
        <w:t xml:space="preserve">essons </w:t>
      </w:r>
      <w:r w:rsidR="007434C9" w:rsidRPr="00986221">
        <w:t>relevant to the proposed p</w:t>
      </w:r>
      <w:r w:rsidR="005C4F2C" w:rsidRPr="00986221">
        <w:t>rogram</w:t>
      </w:r>
      <w:r w:rsidR="007434C9" w:rsidRPr="00986221">
        <w:t xml:space="preserve"> include:</w:t>
      </w:r>
    </w:p>
    <w:p w14:paraId="61D791DD" w14:textId="0FBC9AD2" w:rsidR="006162F0" w:rsidRPr="00986221" w:rsidRDefault="005C4F2C" w:rsidP="00D71655">
      <w:pPr>
        <w:pStyle w:val="bullet"/>
      </w:pPr>
      <w:r w:rsidRPr="00986221">
        <w:t xml:space="preserve">Well-designed support to help improve the evidence base for </w:t>
      </w:r>
      <w:r w:rsidR="00D71655" w:rsidRPr="00986221">
        <w:t xml:space="preserve">reform advocates </w:t>
      </w:r>
      <w:r w:rsidRPr="00986221">
        <w:t xml:space="preserve">can be cost-effective. </w:t>
      </w:r>
    </w:p>
    <w:p w14:paraId="5167CF2C" w14:textId="77777777" w:rsidR="007D74C6" w:rsidRPr="00986221" w:rsidRDefault="007D74C6" w:rsidP="00D71655">
      <w:pPr>
        <w:pStyle w:val="bullet1"/>
      </w:pPr>
      <w:r w:rsidRPr="00986221">
        <w:t>Economic reforms are more likely to be broadly supported and succeed where there is effective whole-of-government and public-private collaboration.</w:t>
      </w:r>
    </w:p>
    <w:p w14:paraId="6BFA6607" w14:textId="442CBEDA" w:rsidR="007D74C6" w:rsidRPr="00986221" w:rsidRDefault="007D74C6" w:rsidP="00D71655">
      <w:pPr>
        <w:pStyle w:val="bullet1"/>
      </w:pPr>
      <w:r w:rsidRPr="00986221">
        <w:t>Broad based policy dialogue, including effective engagement with the media, is important in building national support for reform.</w:t>
      </w:r>
    </w:p>
    <w:p w14:paraId="1C9DEA38" w14:textId="1D688877" w:rsidR="007D74C6" w:rsidRPr="00986221" w:rsidRDefault="007D74C6" w:rsidP="00D71655">
      <w:pPr>
        <w:pStyle w:val="bullet1"/>
      </w:pPr>
      <w:r w:rsidRPr="00986221">
        <w:t>International experience and good practice</w:t>
      </w:r>
      <w:r w:rsidR="00594388" w:rsidRPr="00986221">
        <w:t>s</w:t>
      </w:r>
      <w:r w:rsidR="00A70BCA" w:rsidRPr="00986221">
        <w:t xml:space="preserve">, effectively translated to directly relate to national reform issues, can play a critical role in building support for </w:t>
      </w:r>
      <w:r w:rsidR="00594388" w:rsidRPr="00986221">
        <w:t xml:space="preserve">national </w:t>
      </w:r>
      <w:r w:rsidR="00A70BCA" w:rsidRPr="00986221">
        <w:t>reform</w:t>
      </w:r>
      <w:r w:rsidR="00594388" w:rsidRPr="00986221">
        <w:t>s</w:t>
      </w:r>
      <w:r w:rsidR="00A70BCA" w:rsidRPr="00986221">
        <w:t xml:space="preserve">. </w:t>
      </w:r>
      <w:r w:rsidR="00594388" w:rsidRPr="00986221">
        <w:t>International support can play a valuable role in helping n</w:t>
      </w:r>
      <w:r w:rsidRPr="00986221">
        <w:t xml:space="preserve">ational institutions to effectively access </w:t>
      </w:r>
      <w:r w:rsidR="00A70BCA" w:rsidRPr="00986221">
        <w:t>relevant</w:t>
      </w:r>
      <w:r w:rsidRPr="00986221">
        <w:t xml:space="preserve"> experience and expertise.</w:t>
      </w:r>
    </w:p>
    <w:p w14:paraId="24EA650B" w14:textId="2393ECB1" w:rsidR="00AE3239" w:rsidRPr="00986221" w:rsidRDefault="00AE3239" w:rsidP="00D71655">
      <w:pPr>
        <w:pStyle w:val="bullet1"/>
      </w:pPr>
      <w:r w:rsidRPr="00986221">
        <w:t xml:space="preserve">Externally financed support for reform is likely to be </w:t>
      </w:r>
      <w:r w:rsidR="00067EAB" w:rsidRPr="00986221">
        <w:t xml:space="preserve">more </w:t>
      </w:r>
      <w:r w:rsidRPr="00986221">
        <w:t xml:space="preserve">effective if it is linked with appropriately networked “champions of reform”. </w:t>
      </w:r>
      <w:r w:rsidR="00067EAB" w:rsidRPr="00986221">
        <w:t>Ideally, r</w:t>
      </w:r>
      <w:r w:rsidRPr="00986221">
        <w:t xml:space="preserve">eform proponents </w:t>
      </w:r>
      <w:r w:rsidR="00067EAB" w:rsidRPr="00986221">
        <w:t>should have</w:t>
      </w:r>
      <w:r w:rsidRPr="00986221">
        <w:t xml:space="preserve"> a cl</w:t>
      </w:r>
      <w:r w:rsidR="00067EAB" w:rsidRPr="00986221">
        <w:t>ear vision of intended results, reform</w:t>
      </w:r>
      <w:r w:rsidRPr="00986221">
        <w:t xml:space="preserve"> strategies</w:t>
      </w:r>
      <w:r w:rsidR="00067EAB" w:rsidRPr="00986221">
        <w:t>,</w:t>
      </w:r>
      <w:r w:rsidRPr="00986221">
        <w:t xml:space="preserve"> and options for realizing change.</w:t>
      </w:r>
    </w:p>
    <w:p w14:paraId="0AC6FAFE" w14:textId="4BE2AC2D" w:rsidR="005C4F2C" w:rsidRPr="00986221" w:rsidRDefault="005C4F2C" w:rsidP="00D71655">
      <w:pPr>
        <w:pStyle w:val="bullet1"/>
      </w:pPr>
      <w:r w:rsidRPr="00986221">
        <w:t xml:space="preserve">Planning the specifics of </w:t>
      </w:r>
      <w:r w:rsidR="00594388" w:rsidRPr="00986221">
        <w:t xml:space="preserve">support for </w:t>
      </w:r>
      <w:r w:rsidRPr="00986221">
        <w:t xml:space="preserve">reform is difficult. Opportunities for reform can emerge unexpectedly. Flexibility to respond to emerging needs </w:t>
      </w:r>
      <w:r w:rsidR="00594388" w:rsidRPr="00986221">
        <w:t>is needed to maximize potential returns on development investments</w:t>
      </w:r>
      <w:r w:rsidRPr="00986221">
        <w:t>.</w:t>
      </w:r>
    </w:p>
    <w:p w14:paraId="2616EEF5" w14:textId="77777777" w:rsidR="004946C4" w:rsidRPr="00986221" w:rsidRDefault="004946C4" w:rsidP="000221A3">
      <w:pPr>
        <w:pStyle w:val="bullet"/>
        <w:ind w:left="426"/>
      </w:pPr>
      <w:r w:rsidRPr="00986221">
        <w:t>Getting the right institutional structure (governance, accountability, delegation, and ownership) is critically important to effective support for reform:</w:t>
      </w:r>
    </w:p>
    <w:p w14:paraId="58DA0591" w14:textId="039E9185" w:rsidR="004946C4" w:rsidRPr="00986221" w:rsidRDefault="004946C4" w:rsidP="00D71655">
      <w:pPr>
        <w:pStyle w:val="bullet1"/>
      </w:pPr>
      <w:r w:rsidRPr="00986221">
        <w:t xml:space="preserve">Complex and/or ambiguous decision making structures </w:t>
      </w:r>
      <w:r w:rsidR="009C0825" w:rsidRPr="00986221">
        <w:t>should</w:t>
      </w:r>
      <w:r w:rsidRPr="00986221">
        <w:t xml:space="preserve"> be avoided. Responsibility and accountability for component operational and financial decisions should be delegated to component directors to ensure clear lines of accountability;</w:t>
      </w:r>
    </w:p>
    <w:p w14:paraId="3F148057" w14:textId="2A3830DC" w:rsidR="004946C4" w:rsidRPr="00986221" w:rsidRDefault="004946C4" w:rsidP="00D71655">
      <w:pPr>
        <w:pStyle w:val="bullet1"/>
      </w:pPr>
      <w:r w:rsidRPr="00986221">
        <w:t xml:space="preserve">National ownership of design and implementation of reform initiatives is particularly important. Support should be implemented directly with the Vietnamese implementing agencies </w:t>
      </w:r>
      <w:r w:rsidR="009C0825" w:rsidRPr="00986221">
        <w:t xml:space="preserve">to address </w:t>
      </w:r>
      <w:r w:rsidRPr="00986221">
        <w:t xml:space="preserve">specific </w:t>
      </w:r>
      <w:r w:rsidR="009C0825" w:rsidRPr="00986221">
        <w:t xml:space="preserve">policy reform </w:t>
      </w:r>
      <w:r w:rsidRPr="00986221">
        <w:t xml:space="preserve">issues and/or </w:t>
      </w:r>
      <w:r w:rsidR="009C0825" w:rsidRPr="00986221">
        <w:t xml:space="preserve">to build </w:t>
      </w:r>
      <w:r w:rsidRPr="00986221">
        <w:t>capacity.</w:t>
      </w:r>
    </w:p>
    <w:p w14:paraId="65CDCD8C" w14:textId="77777777" w:rsidR="004946C4" w:rsidRPr="00986221" w:rsidRDefault="004946C4" w:rsidP="000221A3">
      <w:pPr>
        <w:pStyle w:val="bullet"/>
        <w:ind w:left="426"/>
      </w:pPr>
      <w:r w:rsidRPr="00986221">
        <w:t xml:space="preserve">Establishing clear guidelines for quality assurance can help enhance the quality of outcomes. Useful approaches to quality assurance include: </w:t>
      </w:r>
    </w:p>
    <w:p w14:paraId="235353C5" w14:textId="52046695" w:rsidR="004946C4" w:rsidRPr="00986221" w:rsidRDefault="004946C4" w:rsidP="00D71655">
      <w:pPr>
        <w:pStyle w:val="bullet1"/>
      </w:pPr>
      <w:r w:rsidRPr="00986221">
        <w:t xml:space="preserve">Peer reviews (e.g. of study designs, findings and recommendations). Utilization of international expertise </w:t>
      </w:r>
      <w:r w:rsidR="009C0825" w:rsidRPr="00986221">
        <w:t xml:space="preserve">for peer reviews </w:t>
      </w:r>
      <w:r w:rsidRPr="00986221">
        <w:t>can be particularly helpful in shaping the design of activities, developing methodologies, and in reviewing policy analysis and recommendations.</w:t>
      </w:r>
    </w:p>
    <w:p w14:paraId="4EC17339" w14:textId="77777777" w:rsidR="004946C4" w:rsidRPr="00986221" w:rsidRDefault="004946C4" w:rsidP="00D71655">
      <w:pPr>
        <w:pStyle w:val="bullet1"/>
      </w:pPr>
      <w:r w:rsidRPr="00986221">
        <w:t>Formal participant evaluation of all learning and capacity building activities, including study tours (including concrete examples of how the support was used to enhance institutional outcomes).</w:t>
      </w:r>
    </w:p>
    <w:p w14:paraId="6E6E368F" w14:textId="7D4614E0" w:rsidR="004946C4" w:rsidRPr="00986221" w:rsidRDefault="004946C4" w:rsidP="00D71655">
      <w:pPr>
        <w:pStyle w:val="bullet1"/>
      </w:pPr>
      <w:r w:rsidRPr="00986221">
        <w:t xml:space="preserve">Use of senior and </w:t>
      </w:r>
      <w:r w:rsidR="00F11D55" w:rsidRPr="00986221">
        <w:t xml:space="preserve">seriously </w:t>
      </w:r>
      <w:r w:rsidRPr="00986221">
        <w:t>motivated national experts (such as the SAG) in informal and formal peer reviews of policy studies and recommendations.</w:t>
      </w:r>
    </w:p>
    <w:p w14:paraId="0A6E32FA" w14:textId="4849AEEB" w:rsidR="008104CD" w:rsidRPr="00986221" w:rsidRDefault="008104CD" w:rsidP="00D71655">
      <w:pPr>
        <w:pStyle w:val="bullet1"/>
      </w:pPr>
      <w:r w:rsidRPr="00986221">
        <w:t>Providing easy public access to all program supported studies and reports (e.g. via a program website).</w:t>
      </w:r>
    </w:p>
    <w:p w14:paraId="7D3DB285" w14:textId="3EB7703B" w:rsidR="00CD2804" w:rsidRPr="00986221" w:rsidRDefault="00CD2804" w:rsidP="000221A3">
      <w:pPr>
        <w:pStyle w:val="bullet"/>
        <w:ind w:left="426"/>
      </w:pPr>
      <w:r w:rsidRPr="00986221">
        <w:t xml:space="preserve">Because timing of reform </w:t>
      </w:r>
      <w:r w:rsidR="0029734B" w:rsidRPr="00986221">
        <w:t>can be</w:t>
      </w:r>
      <w:r w:rsidRPr="00986221">
        <w:t xml:space="preserve"> uncertain, </w:t>
      </w:r>
      <w:r w:rsidR="006162F0" w:rsidRPr="00986221">
        <w:t xml:space="preserve">some flexibility in </w:t>
      </w:r>
      <w:r w:rsidRPr="00986221">
        <w:t xml:space="preserve">defining </w:t>
      </w:r>
      <w:r w:rsidR="006162F0" w:rsidRPr="00986221">
        <w:t xml:space="preserve">and monitoring </w:t>
      </w:r>
      <w:r w:rsidRPr="00986221">
        <w:t xml:space="preserve">results indicators </w:t>
      </w:r>
      <w:r w:rsidR="006162F0" w:rsidRPr="00986221">
        <w:t>may be needed</w:t>
      </w:r>
      <w:r w:rsidR="00A94AF6" w:rsidRPr="00986221">
        <w:t xml:space="preserve"> to capture information on the most important reform results</w:t>
      </w:r>
      <w:r w:rsidR="001B4CE0" w:rsidRPr="00986221">
        <w:t>:</w:t>
      </w:r>
    </w:p>
    <w:p w14:paraId="42F68410" w14:textId="4FBADF0A" w:rsidR="00CD2804" w:rsidRPr="00986221" w:rsidRDefault="00CD2804" w:rsidP="00D71655">
      <w:pPr>
        <w:pStyle w:val="bullet1"/>
      </w:pPr>
      <w:r w:rsidRPr="00986221">
        <w:t>Many of the most compelling indicators of r</w:t>
      </w:r>
      <w:r w:rsidR="00F31C63" w:rsidRPr="00986221">
        <w:t>eform results are likely to become apparent</w:t>
      </w:r>
      <w:r w:rsidRPr="00986221">
        <w:t xml:space="preserve"> as the </w:t>
      </w:r>
      <w:r w:rsidR="00F31C63" w:rsidRPr="00986221">
        <w:t>details of</w:t>
      </w:r>
      <w:r w:rsidRPr="00986221">
        <w:t xml:space="preserve"> reform</w:t>
      </w:r>
      <w:r w:rsidR="0057191C" w:rsidRPr="00986221">
        <w:t xml:space="preserve"> emerge from the dialogue and consensus building process.</w:t>
      </w:r>
      <w:r w:rsidRPr="00986221">
        <w:t xml:space="preserve"> </w:t>
      </w:r>
    </w:p>
    <w:p w14:paraId="58957780" w14:textId="46E1E7AD" w:rsidR="00FF03A0" w:rsidRPr="00986221" w:rsidRDefault="00CD2804" w:rsidP="00D71655">
      <w:pPr>
        <w:pStyle w:val="bullet1"/>
      </w:pPr>
      <w:r w:rsidRPr="00986221">
        <w:t>At the same time, it is important that programs supporting reform include sufficiently focussed results targets (or at least criteria for making funding decisions) to help in choosing between competing priorities.</w:t>
      </w:r>
    </w:p>
    <w:p w14:paraId="6381BC8D" w14:textId="53F28CBF" w:rsidR="002372C3" w:rsidRPr="00986221" w:rsidRDefault="002372C3" w:rsidP="00384E34">
      <w:pPr>
        <w:pStyle w:val="bullet"/>
        <w:numPr>
          <w:ilvl w:val="0"/>
          <w:numId w:val="0"/>
        </w:numPr>
      </w:pPr>
    </w:p>
    <w:p w14:paraId="36A3FF65" w14:textId="4EB57FB2" w:rsidR="00933704" w:rsidRPr="00986221" w:rsidRDefault="00933704" w:rsidP="000221A3">
      <w:pPr>
        <w:pStyle w:val="Heading2"/>
        <w:ind w:left="426"/>
      </w:pPr>
      <w:bookmarkStart w:id="14" w:name="_Toc387322635"/>
      <w:r w:rsidRPr="00986221">
        <w:t>Strategic Setting</w:t>
      </w:r>
      <w:r w:rsidR="00F10894" w:rsidRPr="00986221">
        <w:t xml:space="preserve"> and Rationale for Australian </w:t>
      </w:r>
      <w:r w:rsidR="00BA22A9" w:rsidRPr="00986221">
        <w:t>E</w:t>
      </w:r>
      <w:r w:rsidRPr="00986221">
        <w:t>ngagement</w:t>
      </w:r>
      <w:bookmarkEnd w:id="14"/>
    </w:p>
    <w:p w14:paraId="04048CA2" w14:textId="4E18EA36" w:rsidR="00F2142F" w:rsidRPr="00986221" w:rsidRDefault="00BA22A9" w:rsidP="000221A3">
      <w:pPr>
        <w:pStyle w:val="Heading3"/>
        <w:ind w:left="426"/>
      </w:pPr>
      <w:bookmarkStart w:id="15" w:name="_Toc387322636"/>
      <w:r w:rsidRPr="00986221">
        <w:t>Strategic Alignment and Options Considered</w:t>
      </w:r>
      <w:bookmarkEnd w:id="15"/>
    </w:p>
    <w:p w14:paraId="4E555152" w14:textId="4448385B" w:rsidR="00BA22A9" w:rsidRPr="00986221" w:rsidRDefault="00BA22A9" w:rsidP="000221A3">
      <w:pPr>
        <w:spacing w:after="120" w:line="276" w:lineRule="auto"/>
        <w:ind w:left="426"/>
        <w:rPr>
          <w:rFonts w:cs="Arial"/>
          <w:i/>
          <w:szCs w:val="20"/>
        </w:rPr>
      </w:pPr>
      <w:r w:rsidRPr="00986221">
        <w:rPr>
          <w:rFonts w:cs="Arial"/>
          <w:i/>
          <w:szCs w:val="20"/>
        </w:rPr>
        <w:t>Alignment with Go</w:t>
      </w:r>
      <w:r w:rsidR="00D839C6" w:rsidRPr="00986221">
        <w:rPr>
          <w:rFonts w:cs="Arial"/>
          <w:i/>
          <w:szCs w:val="20"/>
        </w:rPr>
        <w:t>V</w:t>
      </w:r>
      <w:r w:rsidRPr="00986221">
        <w:rPr>
          <w:rFonts w:cs="Arial"/>
          <w:i/>
          <w:szCs w:val="20"/>
        </w:rPr>
        <w:t xml:space="preserve"> and </w:t>
      </w:r>
      <w:r w:rsidR="00D839C6" w:rsidRPr="00986221">
        <w:rPr>
          <w:rFonts w:cs="Arial"/>
          <w:i/>
          <w:szCs w:val="20"/>
        </w:rPr>
        <w:t xml:space="preserve">CPV </w:t>
      </w:r>
      <w:r w:rsidR="0003199D" w:rsidRPr="00986221">
        <w:rPr>
          <w:rFonts w:cs="Arial"/>
          <w:i/>
          <w:szCs w:val="20"/>
        </w:rPr>
        <w:t>P</w:t>
      </w:r>
      <w:r w:rsidRPr="00986221">
        <w:rPr>
          <w:rFonts w:cs="Arial"/>
          <w:i/>
          <w:szCs w:val="20"/>
        </w:rPr>
        <w:t>riorities</w:t>
      </w:r>
    </w:p>
    <w:p w14:paraId="2736DD91" w14:textId="5DDBB3F8" w:rsidR="0038171B" w:rsidRPr="00986221" w:rsidRDefault="00356AA7" w:rsidP="000221A3">
      <w:pPr>
        <w:pStyle w:val="ListParagraph"/>
      </w:pPr>
      <w:r w:rsidRPr="00986221">
        <w:t>The GoV has identified r</w:t>
      </w:r>
      <w:r w:rsidR="00BA22A9" w:rsidRPr="00986221">
        <w:t xml:space="preserve">estructuring the economy </w:t>
      </w:r>
      <w:r w:rsidRPr="00986221">
        <w:t xml:space="preserve">-- </w:t>
      </w:r>
      <w:r w:rsidR="00BA22A9" w:rsidRPr="00986221">
        <w:t>to ensure Vietnam maximises the employment and poverty reduction benefits of ongoing global economic integration</w:t>
      </w:r>
      <w:r w:rsidR="000B60F8" w:rsidRPr="00986221">
        <w:rPr>
          <w:rStyle w:val="FootnoteReference"/>
        </w:rPr>
        <w:footnoteReference w:id="9"/>
      </w:r>
      <w:r w:rsidRPr="00986221">
        <w:t xml:space="preserve"> --</w:t>
      </w:r>
      <w:r w:rsidR="00BA22A9" w:rsidRPr="00986221">
        <w:t xml:space="preserve"> as a key development objective of Vietnam’s </w:t>
      </w:r>
      <w:r w:rsidR="000F5CB7" w:rsidRPr="00986221">
        <w:t>SEDP:</w:t>
      </w:r>
      <w:r w:rsidR="00BA22A9" w:rsidRPr="00986221">
        <w:t xml:space="preserve"> 2011-15</w:t>
      </w:r>
      <w:r w:rsidR="00E74957" w:rsidRPr="00986221">
        <w:rPr>
          <w:rStyle w:val="FootnoteReference"/>
        </w:rPr>
        <w:footnoteReference w:id="10"/>
      </w:r>
      <w:r w:rsidR="00BA22A9" w:rsidRPr="00986221">
        <w:t>.</w:t>
      </w:r>
      <w:r w:rsidR="005152FF" w:rsidRPr="00986221">
        <w:t xml:space="preserve"> The </w:t>
      </w:r>
      <w:r w:rsidR="00E24CE2" w:rsidRPr="00986221">
        <w:t xml:space="preserve">MPER </w:t>
      </w:r>
      <w:r w:rsidR="00EF1869" w:rsidRPr="00986221">
        <w:t xml:space="preserve">aims to facilitate a major restructuring of the economy by </w:t>
      </w:r>
      <w:r w:rsidR="004F7153" w:rsidRPr="00986221">
        <w:t>2020</w:t>
      </w:r>
      <w:r w:rsidR="005152FF" w:rsidRPr="00986221">
        <w:rPr>
          <w:rStyle w:val="FootnoteReference"/>
          <w:bCs/>
        </w:rPr>
        <w:footnoteReference w:id="11"/>
      </w:r>
      <w:r w:rsidR="000A0320" w:rsidRPr="00986221">
        <w:t xml:space="preserve">. </w:t>
      </w:r>
      <w:r w:rsidR="002372C3" w:rsidRPr="00986221">
        <w:t>The Ministry of Planning and Investment (MPI) acts as the advisory body and coordinator of the program, and is responsible for monitoring and reporting to the Go</w:t>
      </w:r>
      <w:r w:rsidR="00D839C6" w:rsidRPr="00986221">
        <w:t>V</w:t>
      </w:r>
      <w:r w:rsidR="002372C3" w:rsidRPr="00986221">
        <w:t xml:space="preserve"> in implementation of this plan</w:t>
      </w:r>
      <w:r w:rsidR="0010463B" w:rsidRPr="00986221">
        <w:t>, MPI is also responsible for</w:t>
      </w:r>
      <w:r w:rsidR="002372C3" w:rsidRPr="00986221">
        <w:t xml:space="preserve"> implementing major elements of the MPER, including reforms to the business environment, corporate governance and public investment</w:t>
      </w:r>
      <w:r w:rsidR="0038171B" w:rsidRPr="00986221">
        <w:t>.</w:t>
      </w:r>
      <w:r w:rsidR="00A01895" w:rsidRPr="00986221">
        <w:t xml:space="preserve"> Within MPI, the Central Institute for Economic Management (CIEM) has the lead role in implanting </w:t>
      </w:r>
      <w:r w:rsidR="0007518B" w:rsidRPr="00986221">
        <w:t>MPI’s responsibilities for restructuring</w:t>
      </w:r>
      <w:r w:rsidR="00775080" w:rsidRPr="00986221">
        <w:t>, in addition to its responsibilities to lead efforts to improve the business-enabling environment</w:t>
      </w:r>
      <w:r w:rsidR="0007518B" w:rsidRPr="00986221">
        <w:t>.</w:t>
      </w:r>
      <w:r w:rsidR="00A77BC4" w:rsidRPr="00986221">
        <w:t xml:space="preserve"> </w:t>
      </w:r>
      <w:r w:rsidR="004C6801" w:rsidRPr="00986221">
        <w:t xml:space="preserve">Planned </w:t>
      </w:r>
      <w:r w:rsidR="00033412" w:rsidRPr="00986221">
        <w:t>RCV</w:t>
      </w:r>
      <w:r w:rsidR="00A77BC4" w:rsidRPr="00986221">
        <w:t xml:space="preserve"> support will help</w:t>
      </w:r>
      <w:r w:rsidR="004C6801" w:rsidRPr="00986221">
        <w:t xml:space="preserve"> build CIEM’s capacity to </w:t>
      </w:r>
      <w:r w:rsidR="00A77BC4" w:rsidRPr="00986221">
        <w:t>implement these responsibilities.</w:t>
      </w:r>
    </w:p>
    <w:p w14:paraId="022A010B" w14:textId="77777777" w:rsidR="00F10894" w:rsidRPr="00986221" w:rsidRDefault="00F10894" w:rsidP="000221A3">
      <w:pPr>
        <w:spacing w:after="200" w:line="276" w:lineRule="auto"/>
        <w:ind w:left="426"/>
        <w:rPr>
          <w:rFonts w:cs="Arial"/>
          <w:i/>
          <w:szCs w:val="20"/>
        </w:rPr>
      </w:pPr>
      <w:r w:rsidRPr="00986221">
        <w:rPr>
          <w:rFonts w:cs="Arial"/>
          <w:i/>
          <w:szCs w:val="20"/>
        </w:rPr>
        <w:t>Alignment with Australian Government policy</w:t>
      </w:r>
    </w:p>
    <w:p w14:paraId="14EDEF5C" w14:textId="50940E14" w:rsidR="00201D17" w:rsidRPr="00986221" w:rsidRDefault="00F10894" w:rsidP="00201D17">
      <w:pPr>
        <w:pStyle w:val="ListParagraph"/>
        <w:rPr>
          <w:i/>
        </w:rPr>
      </w:pPr>
      <w:r w:rsidRPr="00986221">
        <w:t>This investment aligns well with the Australian Government’s strategic priorities in Vietnam, especially in the context of Australi</w:t>
      </w:r>
      <w:r w:rsidR="004C6801" w:rsidRPr="00986221">
        <w:t>a’s advocacy for RCEP</w:t>
      </w:r>
      <w:r w:rsidR="00253B54" w:rsidRPr="00986221">
        <w:t xml:space="preserve">, </w:t>
      </w:r>
      <w:r w:rsidR="004C6801" w:rsidRPr="00986221">
        <w:t>TPP</w:t>
      </w:r>
      <w:r w:rsidR="00253B54" w:rsidRPr="00986221">
        <w:t>, and trade facilitation</w:t>
      </w:r>
      <w:r w:rsidR="004C6801" w:rsidRPr="00986221">
        <w:t xml:space="preserve">. </w:t>
      </w:r>
      <w:r w:rsidR="00201D17" w:rsidRPr="00986221">
        <w:t>Economic diplomacy is at the core of the Australian government’s international engagement. Its implementation is guided by the objectives of (</w:t>
      </w:r>
      <w:proofErr w:type="spellStart"/>
      <w:r w:rsidR="00201D17" w:rsidRPr="00986221">
        <w:t>i</w:t>
      </w:r>
      <w:proofErr w:type="spellEnd"/>
      <w:r w:rsidR="00201D17" w:rsidRPr="00986221">
        <w:t>) improved trade liberalisation through participating in regional and global trade agreements, (ii) improved growth through promoting economic reform and infrastructure, (iii) improved investment through promoting Australian investment; and (iv) improved business through promoting a stronger private sector and advancing Australian business overseas.</w:t>
      </w:r>
    </w:p>
    <w:p w14:paraId="784E0098" w14:textId="4D5ABA51" w:rsidR="00E63B41" w:rsidRPr="00986221" w:rsidRDefault="00DF1298" w:rsidP="000221A3">
      <w:pPr>
        <w:pStyle w:val="ListParagraph"/>
        <w:rPr>
          <w:i/>
        </w:rPr>
      </w:pPr>
      <w:r w:rsidRPr="00986221">
        <w:t xml:space="preserve">Australia’s </w:t>
      </w:r>
      <w:r w:rsidR="00F10894" w:rsidRPr="00986221">
        <w:t xml:space="preserve">country strategy </w:t>
      </w:r>
      <w:r w:rsidRPr="00986221">
        <w:t xml:space="preserve">for Vietnam </w:t>
      </w:r>
      <w:r w:rsidR="00F10894" w:rsidRPr="00986221">
        <w:t>identifies reforms in state enterprise</w:t>
      </w:r>
      <w:r w:rsidR="002D7FF6" w:rsidRPr="00986221">
        <w:t xml:space="preserve"> policies</w:t>
      </w:r>
      <w:r w:rsidR="00F10894" w:rsidRPr="00986221">
        <w:t xml:space="preserve"> and competition policy as priorities for </w:t>
      </w:r>
      <w:r w:rsidR="00134F0B" w:rsidRPr="00986221">
        <w:t>development cooperation</w:t>
      </w:r>
      <w:r w:rsidR="00F10894" w:rsidRPr="00986221">
        <w:t xml:space="preserve"> investments. Support to build an evidence-base for policy making</w:t>
      </w:r>
      <w:r w:rsidR="002D7FF6" w:rsidRPr="00986221">
        <w:t>,</w:t>
      </w:r>
      <w:r w:rsidR="00F10894" w:rsidRPr="00986221">
        <w:t xml:space="preserve"> as well as legal and regulatory reforms in areas that will improve Vietnam’s competitiveness and productivity</w:t>
      </w:r>
      <w:r w:rsidR="002D7FF6" w:rsidRPr="00986221">
        <w:t>,</w:t>
      </w:r>
      <w:r w:rsidR="00F10894" w:rsidRPr="00986221">
        <w:t xml:space="preserve"> are also identified as priorities. </w:t>
      </w:r>
      <w:r w:rsidR="002D7FF6" w:rsidRPr="00986221">
        <w:t>RCV supported</w:t>
      </w:r>
      <w:r w:rsidR="00435404" w:rsidRPr="00986221">
        <w:t xml:space="preserve"> reforms should increase transparency, reduce opportunities for corruption, and ensure more equitable development outcomes</w:t>
      </w:r>
      <w:r w:rsidR="002D7FF6" w:rsidRPr="00986221">
        <w:t xml:space="preserve">, </w:t>
      </w:r>
      <w:r w:rsidR="006753AD" w:rsidRPr="00986221">
        <w:t>all core strategic objectives of Australian support to Vietnam</w:t>
      </w:r>
      <w:r w:rsidR="00435404" w:rsidRPr="00986221">
        <w:t xml:space="preserve">. </w:t>
      </w:r>
      <w:r w:rsidR="0021794C" w:rsidRPr="00986221">
        <w:t>The Australian government recently announced a refocussing of assistance, giving even greater prominence to the role of aid for trade and private sector development in raising the living standards of the most vulnerable</w:t>
      </w:r>
      <w:r w:rsidR="0021794C" w:rsidRPr="00986221">
        <w:rPr>
          <w:rStyle w:val="FootnoteReference"/>
        </w:rPr>
        <w:footnoteReference w:id="12"/>
      </w:r>
      <w:r w:rsidR="0021794C" w:rsidRPr="00986221">
        <w:t>.</w:t>
      </w:r>
      <w:r w:rsidR="00E63B41" w:rsidRPr="00986221">
        <w:t xml:space="preserve"> </w:t>
      </w:r>
    </w:p>
    <w:p w14:paraId="7A47FB71" w14:textId="30DBEE8B" w:rsidR="00A53411" w:rsidRPr="00986221" w:rsidRDefault="00F10894" w:rsidP="000221A3">
      <w:pPr>
        <w:pStyle w:val="ListParagraph"/>
        <w:rPr>
          <w:i/>
        </w:rPr>
      </w:pPr>
      <w:r w:rsidRPr="00986221">
        <w:t xml:space="preserve">The </w:t>
      </w:r>
      <w:r w:rsidR="006753AD" w:rsidRPr="00986221">
        <w:t xml:space="preserve">Vietnam country </w:t>
      </w:r>
      <w:r w:rsidR="00ED3F61" w:rsidRPr="00986221">
        <w:t>s</w:t>
      </w:r>
      <w:r w:rsidRPr="00986221">
        <w:t xml:space="preserve">trategy </w:t>
      </w:r>
      <w:r w:rsidR="00DF1298" w:rsidRPr="00986221">
        <w:t xml:space="preserve">also </w:t>
      </w:r>
      <w:r w:rsidRPr="00986221">
        <w:t>highlights the importance of building partnerships between Australian and Vietnamese institutions. Several of the components proposed under this investment build on partnerships begun under the B</w:t>
      </w:r>
      <w:r w:rsidR="00134F0B" w:rsidRPr="00986221">
        <w:t>-</w:t>
      </w:r>
      <w:r w:rsidRPr="00986221">
        <w:t>WTO program (</w:t>
      </w:r>
      <w:r w:rsidR="00134F0B" w:rsidRPr="00986221">
        <w:t xml:space="preserve">e.g. with </w:t>
      </w:r>
      <w:r w:rsidRPr="00986221">
        <w:t xml:space="preserve">the </w:t>
      </w:r>
      <w:r w:rsidR="00807014" w:rsidRPr="00986221">
        <w:t>Australian Competition and Consumer Commission (</w:t>
      </w:r>
      <w:r w:rsidRPr="00986221">
        <w:t>ACCC</w:t>
      </w:r>
      <w:r w:rsidR="00807014" w:rsidRPr="00986221">
        <w:t>)</w:t>
      </w:r>
      <w:r w:rsidR="00F56240" w:rsidRPr="00986221">
        <w:t xml:space="preserve">, </w:t>
      </w:r>
      <w:r w:rsidRPr="00986221">
        <w:t>the A</w:t>
      </w:r>
      <w:r w:rsidR="00F56240" w:rsidRPr="00986221">
        <w:t xml:space="preserve">ustralian </w:t>
      </w:r>
      <w:r w:rsidRPr="00986221">
        <w:t>N</w:t>
      </w:r>
      <w:r w:rsidR="00F56240" w:rsidRPr="00986221">
        <w:t xml:space="preserve">ational </w:t>
      </w:r>
      <w:r w:rsidRPr="00986221">
        <w:t>U</w:t>
      </w:r>
      <w:r w:rsidR="00F56240" w:rsidRPr="00986221">
        <w:t>niversity (ANU), and Monash University</w:t>
      </w:r>
      <w:r w:rsidRPr="00986221">
        <w:t>) and potentially new partnerships such as with the Australian Institute of Company Directors</w:t>
      </w:r>
      <w:r w:rsidR="00807014" w:rsidRPr="00986221">
        <w:t xml:space="preserve"> (AICD)</w:t>
      </w:r>
      <w:r w:rsidRPr="00986221">
        <w:t xml:space="preserve">. </w:t>
      </w:r>
    </w:p>
    <w:p w14:paraId="1A29A49C" w14:textId="18B0C893" w:rsidR="009E279A" w:rsidRPr="00986221" w:rsidRDefault="009E279A" w:rsidP="000221A3">
      <w:pPr>
        <w:pStyle w:val="Heading3"/>
        <w:ind w:left="426"/>
      </w:pPr>
      <w:bookmarkStart w:id="17" w:name="_Toc387322637"/>
      <w:r w:rsidRPr="00986221">
        <w:t>What are other donors doing?</w:t>
      </w:r>
      <w:bookmarkEnd w:id="17"/>
    </w:p>
    <w:p w14:paraId="7115B70E" w14:textId="5CA1B91C" w:rsidR="002D6B94" w:rsidRPr="00986221" w:rsidRDefault="009E279A" w:rsidP="000221A3">
      <w:pPr>
        <w:pStyle w:val="ListParagraph"/>
      </w:pPr>
      <w:r w:rsidRPr="00986221">
        <w:t xml:space="preserve">The WB </w:t>
      </w:r>
      <w:r w:rsidR="0037425E" w:rsidRPr="00986221">
        <w:t xml:space="preserve">is arguably the lead donor agency involved in providing </w:t>
      </w:r>
      <w:proofErr w:type="spellStart"/>
      <w:proofErr w:type="gramStart"/>
      <w:r w:rsidR="0037425E" w:rsidRPr="00986221">
        <w:t>advise</w:t>
      </w:r>
      <w:proofErr w:type="spellEnd"/>
      <w:proofErr w:type="gramEnd"/>
      <w:r w:rsidR="0037425E" w:rsidRPr="00986221">
        <w:t xml:space="preserve"> on </w:t>
      </w:r>
      <w:r w:rsidRPr="00986221">
        <w:t>the broad economic reform agenda and for trade facilitation (e.g. logistics).</w:t>
      </w:r>
      <w:r w:rsidR="0037425E" w:rsidRPr="00986221">
        <w:t xml:space="preserve"> Much of the WB support is in the form of export advice, studies, and policy dialogue (</w:t>
      </w:r>
      <w:r w:rsidR="00FA04A7" w:rsidRPr="00986221">
        <w:t>sometimes</w:t>
      </w:r>
      <w:r w:rsidR="0037425E" w:rsidRPr="00986221">
        <w:t xml:space="preserve"> linked to </w:t>
      </w:r>
      <w:r w:rsidR="00FA04A7" w:rsidRPr="00986221">
        <w:t>budget support and/or sector operations)</w:t>
      </w:r>
      <w:r w:rsidR="00C907A8" w:rsidRPr="00986221">
        <w:t xml:space="preserve">. The Asian Development Bank </w:t>
      </w:r>
      <w:r w:rsidR="002D6B94" w:rsidRPr="00986221">
        <w:t xml:space="preserve">(ADB) </w:t>
      </w:r>
      <w:r w:rsidR="00C907A8" w:rsidRPr="00986221">
        <w:t>is providing complementary support to the WB, with a particular focus on State enterprise reform, and SME and private sector development.</w:t>
      </w:r>
      <w:r w:rsidR="00C253ED" w:rsidRPr="00986221">
        <w:t xml:space="preserve"> </w:t>
      </w:r>
    </w:p>
    <w:p w14:paraId="4B1D58CF" w14:textId="4022142A" w:rsidR="002D6B94" w:rsidRPr="00986221" w:rsidRDefault="002D6B94" w:rsidP="002D6B94">
      <w:pPr>
        <w:pStyle w:val="ListParagraph"/>
      </w:pPr>
      <w:r w:rsidRPr="00986221">
        <w:t>ADB is also developing a sub-regional Mekong Business Initiative (MBI: with proposed AUS 20 million in Australian Government financing), with the aim of addressing the binding constraints to private sector-led economic growth in the region. The MPI is expected to focus on the core themes of private sector growth, state enterprise reform, public-private partnerships, and business regulation.</w:t>
      </w:r>
    </w:p>
    <w:p w14:paraId="0156B001" w14:textId="691C7A23" w:rsidR="00D96D20" w:rsidRPr="00986221" w:rsidRDefault="00C253ED" w:rsidP="000221A3">
      <w:pPr>
        <w:pStyle w:val="ListParagraph"/>
      </w:pPr>
      <w:r w:rsidRPr="00986221">
        <w:t xml:space="preserve">The IMF </w:t>
      </w:r>
      <w:r w:rsidR="009A5103" w:rsidRPr="00986221">
        <w:t>provides</w:t>
      </w:r>
      <w:r w:rsidRPr="00986221">
        <w:t xml:space="preserve"> technical assistance to</w:t>
      </w:r>
      <w:r w:rsidR="009A5103" w:rsidRPr="00986221">
        <w:t xml:space="preserve"> help national institutions</w:t>
      </w:r>
      <w:r w:rsidRPr="00986221">
        <w:t xml:space="preserve"> address macroeconomic and monetary </w:t>
      </w:r>
      <w:r w:rsidR="009A5103" w:rsidRPr="00986221">
        <w:t xml:space="preserve">and financial sector </w:t>
      </w:r>
      <w:r w:rsidRPr="00986221">
        <w:t xml:space="preserve">policy issues. </w:t>
      </w:r>
    </w:p>
    <w:p w14:paraId="7C407C8F" w14:textId="35113E1F" w:rsidR="009E279A" w:rsidRPr="00986221" w:rsidRDefault="006605D5" w:rsidP="000221A3">
      <w:pPr>
        <w:pStyle w:val="ListParagraph"/>
      </w:pPr>
      <w:r w:rsidRPr="00986221">
        <w:t xml:space="preserve">The US Government is </w:t>
      </w:r>
      <w:r w:rsidR="002D6B94" w:rsidRPr="00986221">
        <w:t xml:space="preserve">developing a Governance for Inclusive Growth program to work with the public and private sectors to </w:t>
      </w:r>
      <w:r w:rsidR="00C82C5B" w:rsidRPr="00986221">
        <w:t>support economic growth and governance, including: (</w:t>
      </w:r>
      <w:proofErr w:type="spellStart"/>
      <w:r w:rsidR="00C82C5B" w:rsidRPr="00986221">
        <w:t>i</w:t>
      </w:r>
      <w:proofErr w:type="spellEnd"/>
      <w:r w:rsidR="00C82C5B" w:rsidRPr="00986221">
        <w:t xml:space="preserve">) trade and investment; (ii) private sector competitiveness; (iii) public administration and financial management; and (iv) </w:t>
      </w:r>
      <w:r w:rsidR="00D46215" w:rsidRPr="00986221">
        <w:t>social and economic inclusion</w:t>
      </w:r>
      <w:r w:rsidR="00C82C5B" w:rsidRPr="00986221">
        <w:t>.</w:t>
      </w:r>
      <w:r w:rsidRPr="00986221">
        <w:t xml:space="preserve"> </w:t>
      </w:r>
    </w:p>
    <w:p w14:paraId="3D952444" w14:textId="3C5F58EC" w:rsidR="009E279A" w:rsidRPr="00986221" w:rsidRDefault="009E279A" w:rsidP="000221A3">
      <w:pPr>
        <w:pStyle w:val="ListParagraph"/>
      </w:pPr>
      <w:r w:rsidRPr="00986221">
        <w:t>The European Union’s support for integration (MUTRAP)</w:t>
      </w:r>
      <w:r w:rsidRPr="00986221" w:rsidDel="00EE0866">
        <w:t xml:space="preserve"> </w:t>
      </w:r>
      <w:r w:rsidRPr="00986221">
        <w:t xml:space="preserve">focuses on implementation of bilateral (EU-Vietnam) trade and investment commitments. </w:t>
      </w:r>
      <w:r w:rsidR="00FA04A7" w:rsidRPr="00986221">
        <w:t>MUTRAP is currently in its 4</w:t>
      </w:r>
      <w:r w:rsidR="00FA04A7" w:rsidRPr="00986221">
        <w:rPr>
          <w:vertAlign w:val="superscript"/>
        </w:rPr>
        <w:t>th</w:t>
      </w:r>
      <w:r w:rsidR="00FA04A7" w:rsidRPr="00986221">
        <w:t xml:space="preserve"> phase of operations and is one of the longest running programs of support provided for </w:t>
      </w:r>
      <w:r w:rsidR="000B4934" w:rsidRPr="00986221">
        <w:t>trade related</w:t>
      </w:r>
      <w:r w:rsidR="00FA04A7" w:rsidRPr="00986221">
        <w:t xml:space="preserve"> reform</w:t>
      </w:r>
      <w:r w:rsidR="000B4934" w:rsidRPr="00986221">
        <w:t>s</w:t>
      </w:r>
      <w:r w:rsidR="00FA04A7" w:rsidRPr="00986221">
        <w:t xml:space="preserve"> in </w:t>
      </w:r>
      <w:r w:rsidR="00687C28" w:rsidRPr="00986221">
        <w:t>Vietnam</w:t>
      </w:r>
      <w:r w:rsidR="00FA04A7" w:rsidRPr="00986221">
        <w:t>.</w:t>
      </w:r>
    </w:p>
    <w:p w14:paraId="47ADFBAB" w14:textId="71890C37" w:rsidR="009E279A" w:rsidRPr="00986221" w:rsidRDefault="009E279A" w:rsidP="000221A3">
      <w:pPr>
        <w:pStyle w:val="ListParagraph"/>
      </w:pPr>
      <w:r w:rsidRPr="00986221">
        <w:t>Japan (JICA) and Switzerland are also providing limited support for competition policy reforms.</w:t>
      </w:r>
      <w:r w:rsidR="00FA04A7" w:rsidRPr="00986221">
        <w:t xml:space="preserve"> </w:t>
      </w:r>
      <w:r w:rsidR="00E215B0" w:rsidRPr="00986221">
        <w:t xml:space="preserve">The Vietnam Competition </w:t>
      </w:r>
      <w:r w:rsidR="00E853A4" w:rsidRPr="00986221">
        <w:t>Authority</w:t>
      </w:r>
      <w:r w:rsidR="00E215B0" w:rsidRPr="00986221">
        <w:t xml:space="preserve"> </w:t>
      </w:r>
      <w:r w:rsidR="00B01EFA" w:rsidRPr="00986221">
        <w:t xml:space="preserve">(VCA) </w:t>
      </w:r>
      <w:r w:rsidR="00E215B0" w:rsidRPr="00986221">
        <w:t>is also engaged in regional technical cooperation arrangements funded through the ASEAN Secretariat</w:t>
      </w:r>
      <w:r w:rsidR="00B01EFA" w:rsidRPr="00986221">
        <w:t>.</w:t>
      </w:r>
      <w:r w:rsidR="00E215B0" w:rsidRPr="00986221">
        <w:t xml:space="preserve"> </w:t>
      </w:r>
      <w:r w:rsidR="00FA04A7" w:rsidRPr="00986221">
        <w:t xml:space="preserve">VCA plays a proactive role in ensuring that </w:t>
      </w:r>
      <w:r w:rsidR="00A46D3E" w:rsidRPr="00986221">
        <w:t>donors are aware of all competition policy related support in order to</w:t>
      </w:r>
      <w:r w:rsidR="00C907A8" w:rsidRPr="00986221">
        <w:t xml:space="preserve"> maximize complementarity and</w:t>
      </w:r>
      <w:r w:rsidR="00A46D3E" w:rsidRPr="00986221">
        <w:t xml:space="preserve"> avoid any overlap.</w:t>
      </w:r>
    </w:p>
    <w:p w14:paraId="2CC512B3" w14:textId="7BB6BAF0" w:rsidR="00CF3BA4" w:rsidRPr="00986221" w:rsidRDefault="009E279A" w:rsidP="000221A3">
      <w:pPr>
        <w:pStyle w:val="ListParagraph"/>
      </w:pPr>
      <w:r w:rsidRPr="00986221">
        <w:t xml:space="preserve">Australia has collaborated effectively with these donors </w:t>
      </w:r>
      <w:r w:rsidR="004C3139" w:rsidRPr="00986221">
        <w:t>under established Go</w:t>
      </w:r>
      <w:r w:rsidR="00CD14EA" w:rsidRPr="00986221">
        <w:t>V</w:t>
      </w:r>
      <w:r w:rsidR="004C3139" w:rsidRPr="00986221">
        <w:t xml:space="preserve"> led donor coordination mechanisms, </w:t>
      </w:r>
      <w:r w:rsidRPr="00986221">
        <w:t xml:space="preserve">and </w:t>
      </w:r>
      <w:r w:rsidR="004C3139" w:rsidRPr="00986221">
        <w:t xml:space="preserve">under specific programs such as </w:t>
      </w:r>
      <w:r w:rsidRPr="00986221">
        <w:t>the Beyond WTO program</w:t>
      </w:r>
      <w:r w:rsidR="004C3139" w:rsidRPr="00986221">
        <w:t xml:space="preserve">. These mechanisms have proved </w:t>
      </w:r>
      <w:r w:rsidR="00C907A8" w:rsidRPr="00986221">
        <w:t xml:space="preserve">generally </w:t>
      </w:r>
      <w:r w:rsidRPr="00986221">
        <w:t>effective</w:t>
      </w:r>
      <w:r w:rsidR="004C3139" w:rsidRPr="00986221">
        <w:t xml:space="preserve"> in providing</w:t>
      </w:r>
      <w:r w:rsidRPr="00986221">
        <w:t xml:space="preserve"> with </w:t>
      </w:r>
      <w:r w:rsidR="00687C28" w:rsidRPr="00986221">
        <w:t>Vietnam</w:t>
      </w:r>
      <w:r w:rsidRPr="00986221">
        <w:t xml:space="preserve"> </w:t>
      </w:r>
      <w:r w:rsidR="004C3139" w:rsidRPr="00986221">
        <w:t>with</w:t>
      </w:r>
      <w:r w:rsidRPr="00986221">
        <w:t xml:space="preserve"> differing perspectives and foci in key areas of reform</w:t>
      </w:r>
      <w:r w:rsidR="004C3139" w:rsidRPr="00986221">
        <w:t>, while avoiding unproductive duplication of effort</w:t>
      </w:r>
      <w:r w:rsidRPr="00986221">
        <w:t>.</w:t>
      </w:r>
      <w:r w:rsidR="005825BE" w:rsidRPr="00986221">
        <w:t xml:space="preserve"> </w:t>
      </w:r>
    </w:p>
    <w:p w14:paraId="6AFAA83C" w14:textId="4BC8A999" w:rsidR="009E279A" w:rsidRPr="00986221" w:rsidRDefault="00414CCD" w:rsidP="000221A3">
      <w:pPr>
        <w:pStyle w:val="ListParagraph"/>
      </w:pPr>
      <w:r w:rsidRPr="00986221">
        <w:t xml:space="preserve">Effective communications and knowledge management will be important in ensuring complementarity with related donor initiatives. </w:t>
      </w:r>
      <w:r w:rsidR="00CF3BA4" w:rsidRPr="00986221">
        <w:t>Provision</w:t>
      </w:r>
      <w:r w:rsidR="005825BE" w:rsidRPr="00986221">
        <w:t xml:space="preserve"> is included </w:t>
      </w:r>
      <w:r w:rsidR="00CF3BA4" w:rsidRPr="00986221">
        <w:t xml:space="preserve">in the program design </w:t>
      </w:r>
      <w:r w:rsidR="005825BE" w:rsidRPr="00986221">
        <w:t>for communications and knowledge sharing activities</w:t>
      </w:r>
      <w:r w:rsidR="00CF3BA4" w:rsidRPr="00986221">
        <w:t>. P</w:t>
      </w:r>
      <w:r w:rsidR="005825BE" w:rsidRPr="00986221">
        <w:t xml:space="preserve">rogram </w:t>
      </w:r>
      <w:r w:rsidR="00CF3BA4" w:rsidRPr="00986221">
        <w:t>design documents, work plans</w:t>
      </w:r>
      <w:r w:rsidR="005825BE" w:rsidRPr="00986221">
        <w:t xml:space="preserve"> and program supported studies will be made available on the program website </w:t>
      </w:r>
      <w:r w:rsidR="00090C4B" w:rsidRPr="00986221">
        <w:t xml:space="preserve">(integrated within the CIEM website) </w:t>
      </w:r>
      <w:r w:rsidR="005825BE" w:rsidRPr="00986221">
        <w:t>to facilitate</w:t>
      </w:r>
      <w:r w:rsidR="00CF3BA4" w:rsidRPr="00986221">
        <w:t xml:space="preserve"> coordination with other donors.</w:t>
      </w:r>
      <w:r w:rsidR="00AA22E1" w:rsidRPr="00986221">
        <w:t xml:space="preserve"> </w:t>
      </w:r>
    </w:p>
    <w:p w14:paraId="3955AB6E" w14:textId="27EB57F1" w:rsidR="00BA22A9" w:rsidRPr="00986221" w:rsidRDefault="009E279A" w:rsidP="000221A3">
      <w:pPr>
        <w:pStyle w:val="Heading3"/>
        <w:ind w:left="426"/>
      </w:pPr>
      <w:bookmarkStart w:id="18" w:name="_Toc387322638"/>
      <w:r w:rsidRPr="00986221">
        <w:t>Context</w:t>
      </w:r>
      <w:r w:rsidR="00BA22A9" w:rsidRPr="00986221">
        <w:t xml:space="preserve"> for Australian Support: </w:t>
      </w:r>
      <w:r w:rsidR="00C91627" w:rsidRPr="00986221">
        <w:t>What does Australia have to o</w:t>
      </w:r>
      <w:r w:rsidR="00F2142F" w:rsidRPr="00986221">
        <w:t>ffer?</w:t>
      </w:r>
      <w:bookmarkEnd w:id="18"/>
    </w:p>
    <w:p w14:paraId="293FBE02" w14:textId="5FB31F37" w:rsidR="00F2142F" w:rsidRPr="00986221" w:rsidRDefault="00E74957" w:rsidP="000221A3">
      <w:pPr>
        <w:pStyle w:val="ListParagraph"/>
      </w:pPr>
      <w:r w:rsidRPr="00986221">
        <w:t xml:space="preserve">The GoV articulated an ongoing demand for Australian support to assist with the economic restructuring process at </w:t>
      </w:r>
      <w:r w:rsidR="00F2142F" w:rsidRPr="00986221">
        <w:t>High Level Consultations on development cooperation between Australia and Vietnam</w:t>
      </w:r>
      <w:r w:rsidR="00C907A8" w:rsidRPr="00986221">
        <w:t xml:space="preserve"> in 2013</w:t>
      </w:r>
      <w:r w:rsidR="00F2142F" w:rsidRPr="00986221">
        <w:t>.</w:t>
      </w:r>
      <w:r w:rsidRPr="00986221">
        <w:t xml:space="preserve"> </w:t>
      </w:r>
      <w:r w:rsidR="00F2142F" w:rsidRPr="00986221">
        <w:t>Vietnam sees Australia as a logical partner to address these issues, because:</w:t>
      </w:r>
    </w:p>
    <w:p w14:paraId="0D692946" w14:textId="7CE90F8A" w:rsidR="00F2142F" w:rsidRPr="00986221" w:rsidRDefault="00F2142F" w:rsidP="004D7EF1">
      <w:pPr>
        <w:pStyle w:val="ListParagraphindent"/>
      </w:pPr>
      <w:r w:rsidRPr="00986221">
        <w:t>Australia is viewed as a leading advocate of trade related reforms, and is active in promoting regional partnerships that will impact on Vietnam (especially</w:t>
      </w:r>
      <w:r w:rsidR="00090C4B" w:rsidRPr="00986221">
        <w:t xml:space="preserve"> the</w:t>
      </w:r>
      <w:r w:rsidRPr="00986221">
        <w:t xml:space="preserve"> AEC, RCEP and TPP</w:t>
      </w:r>
      <w:r w:rsidR="00831B8C" w:rsidRPr="00986221">
        <w:t>)</w:t>
      </w:r>
      <w:r w:rsidRPr="00986221">
        <w:t>.</w:t>
      </w:r>
      <w:r w:rsidR="00831B8C" w:rsidRPr="00986221">
        <w:t xml:space="preserve"> </w:t>
      </w:r>
      <w:r w:rsidR="0087694C" w:rsidRPr="00986221">
        <w:t xml:space="preserve">Australia is also active in addressing “beyond the border” reforms, including the </w:t>
      </w:r>
      <w:r w:rsidR="00831B8C" w:rsidRPr="00986221">
        <w:t>W</w:t>
      </w:r>
      <w:r w:rsidR="0087694C" w:rsidRPr="00986221">
        <w:t xml:space="preserve">TO Trade Facilitation Agreement, </w:t>
      </w:r>
      <w:r w:rsidR="00831B8C" w:rsidRPr="00986221">
        <w:t xml:space="preserve">which will require Viet Nam to reform </w:t>
      </w:r>
      <w:r w:rsidR="0087694C" w:rsidRPr="00986221">
        <w:t>its</w:t>
      </w:r>
      <w:r w:rsidR="00831B8C" w:rsidRPr="00986221">
        <w:t xml:space="preserve"> customs and border procedures.</w:t>
      </w:r>
    </w:p>
    <w:p w14:paraId="3E9FC62C" w14:textId="77777777" w:rsidR="00B01EFA" w:rsidRPr="00986221" w:rsidRDefault="00B01EFA" w:rsidP="004D7EF1">
      <w:pPr>
        <w:pStyle w:val="ListParagraphindent"/>
      </w:pPr>
      <w:r w:rsidRPr="00986221">
        <w:t>Australia has particular expertise in modelling the impact of economic restructuring, including assessing equity impacts;</w:t>
      </w:r>
    </w:p>
    <w:p w14:paraId="16610E0A" w14:textId="77777777" w:rsidR="00F2142F" w:rsidRPr="00986221" w:rsidRDefault="00F2142F" w:rsidP="004D7EF1">
      <w:pPr>
        <w:pStyle w:val="ListParagraphindent"/>
      </w:pPr>
      <w:r w:rsidRPr="00986221">
        <w:t>Australia has the capacity to tap into regional expertise;</w:t>
      </w:r>
    </w:p>
    <w:p w14:paraId="4C89A41A" w14:textId="31A69BD5" w:rsidR="00933704" w:rsidRPr="00986221" w:rsidRDefault="00F2142F" w:rsidP="004D7EF1">
      <w:pPr>
        <w:pStyle w:val="ListParagraphindent"/>
      </w:pPr>
      <w:r w:rsidRPr="00986221">
        <w:t xml:space="preserve">There is an opportunity to build on the results of activities funded under the </w:t>
      </w:r>
      <w:r w:rsidR="00973EF5" w:rsidRPr="00986221">
        <w:t>B-</w:t>
      </w:r>
      <w:r w:rsidRPr="00986221">
        <w:t xml:space="preserve">WTO program, where </w:t>
      </w:r>
      <w:r w:rsidR="00756A8A" w:rsidRPr="00986221">
        <w:t>effective</w:t>
      </w:r>
      <w:r w:rsidRPr="00986221">
        <w:t xml:space="preserve"> partnerships have been developed between counterpart Vietnamese and Australian institutions</w:t>
      </w:r>
      <w:r w:rsidR="00F64DDB" w:rsidRPr="00986221">
        <w:t xml:space="preserve"> (as noted above)</w:t>
      </w:r>
      <w:r w:rsidRPr="00986221">
        <w:t>:</w:t>
      </w:r>
    </w:p>
    <w:p w14:paraId="368628F8" w14:textId="0A997A1E" w:rsidR="00A53411" w:rsidRPr="00986221" w:rsidRDefault="001E0D14" w:rsidP="000221A3">
      <w:pPr>
        <w:pStyle w:val="Heading3"/>
        <w:ind w:left="426"/>
      </w:pPr>
      <w:bookmarkStart w:id="19" w:name="_Toc387322639"/>
      <w:r w:rsidRPr="00986221">
        <w:t xml:space="preserve">What National Level Development Outcomes will </w:t>
      </w:r>
      <w:r w:rsidR="00DD1A51" w:rsidRPr="00986221">
        <w:t>the Program Support</w:t>
      </w:r>
      <w:r w:rsidRPr="00986221">
        <w:t>?</w:t>
      </w:r>
      <w:bookmarkEnd w:id="19"/>
    </w:p>
    <w:p w14:paraId="07C8BFF9" w14:textId="63C071AE" w:rsidR="00066E45" w:rsidRPr="00986221" w:rsidRDefault="00C61940" w:rsidP="000221A3">
      <w:pPr>
        <w:pStyle w:val="ListParagraph"/>
      </w:pPr>
      <w:r w:rsidRPr="00986221">
        <w:t xml:space="preserve">MPER goals supported by the </w:t>
      </w:r>
      <w:r w:rsidR="008D2A61" w:rsidRPr="00986221">
        <w:t>RCV</w:t>
      </w:r>
      <w:r w:rsidRPr="00986221">
        <w:t xml:space="preserve"> are to </w:t>
      </w:r>
      <w:r w:rsidR="00EA23B0" w:rsidRPr="00986221">
        <w:t>improve competitiveness,</w:t>
      </w:r>
      <w:r w:rsidRPr="00986221">
        <w:t xml:space="preserve"> increase employment and labour productivity</w:t>
      </w:r>
      <w:r w:rsidR="00B01EFA" w:rsidRPr="00986221">
        <w:t>, and improved transparency and reduce corruption</w:t>
      </w:r>
      <w:r w:rsidRPr="00986221">
        <w:t xml:space="preserve">. </w:t>
      </w:r>
      <w:r w:rsidR="00EA23B0" w:rsidRPr="00986221">
        <w:t>This will help to reduce poverty.</w:t>
      </w:r>
    </w:p>
    <w:p w14:paraId="6B905897" w14:textId="1F90D32C" w:rsidR="004A5440" w:rsidRPr="00986221" w:rsidRDefault="00ED3CD1" w:rsidP="000221A3">
      <w:pPr>
        <w:pStyle w:val="ListParagraph"/>
      </w:pPr>
      <w:r w:rsidRPr="00986221">
        <w:t xml:space="preserve">The </w:t>
      </w:r>
      <w:r w:rsidR="008D2A61" w:rsidRPr="00986221">
        <w:t>RCV</w:t>
      </w:r>
      <w:r w:rsidR="00745A7B" w:rsidRPr="00986221">
        <w:t xml:space="preserve"> will</w:t>
      </w:r>
      <w:r w:rsidR="00C61940" w:rsidRPr="00986221">
        <w:t xml:space="preserve"> help the Go</w:t>
      </w:r>
      <w:r w:rsidR="00CD14EA" w:rsidRPr="00986221">
        <w:t>V</w:t>
      </w:r>
      <w:r w:rsidR="00C61940" w:rsidRPr="00986221">
        <w:t xml:space="preserve"> realize these goals by</w:t>
      </w:r>
      <w:r w:rsidR="004A5440" w:rsidRPr="00986221">
        <w:t>:</w:t>
      </w:r>
    </w:p>
    <w:p w14:paraId="69A61FD7" w14:textId="340D8A09" w:rsidR="004A5440" w:rsidRPr="00986221" w:rsidRDefault="004A5440" w:rsidP="00C860D6">
      <w:pPr>
        <w:pStyle w:val="ListParagraphindent"/>
      </w:pPr>
      <w:r w:rsidRPr="00986221">
        <w:t>B</w:t>
      </w:r>
      <w:r w:rsidR="00C61940" w:rsidRPr="00986221">
        <w:t>uildin</w:t>
      </w:r>
      <w:r w:rsidR="006A6A3A" w:rsidRPr="00986221">
        <w:t xml:space="preserve">g capacity to monitor, evaluate, </w:t>
      </w:r>
      <w:r w:rsidR="00C61940" w:rsidRPr="00986221">
        <w:t>report</w:t>
      </w:r>
      <w:r w:rsidR="006A6A3A" w:rsidRPr="00986221">
        <w:t xml:space="preserve"> and facilitate dialogue</w:t>
      </w:r>
      <w:r w:rsidR="00745A7B" w:rsidRPr="00986221">
        <w:t xml:space="preserve"> on implementation of the </w:t>
      </w:r>
      <w:r w:rsidR="00F64DDB" w:rsidRPr="00986221">
        <w:t>MPER</w:t>
      </w:r>
      <w:r w:rsidR="00DD1A51" w:rsidRPr="00986221">
        <w:t>, and thus ensure greater accountability to ensure that the program is implemented effectively and in line with intended goals;</w:t>
      </w:r>
    </w:p>
    <w:p w14:paraId="1DF22385" w14:textId="4358BFD5" w:rsidR="003D1582" w:rsidRPr="00986221" w:rsidRDefault="00DD1A51" w:rsidP="00C860D6">
      <w:pPr>
        <w:pStyle w:val="ListParagraphindent"/>
      </w:pPr>
      <w:r w:rsidRPr="00986221">
        <w:t>Building a</w:t>
      </w:r>
      <w:r w:rsidR="003D1582" w:rsidRPr="00986221">
        <w:t xml:space="preserve"> stronger consensus on the actions needed to facilitate economic restructuring and reduce barriers to business entry, growth and competition by:</w:t>
      </w:r>
    </w:p>
    <w:p w14:paraId="2117FBA8" w14:textId="77777777" w:rsidR="003D1582" w:rsidRPr="00986221" w:rsidRDefault="003D1582" w:rsidP="00C860D6">
      <w:pPr>
        <w:pStyle w:val="ListParagraphindent2"/>
      </w:pPr>
      <w:r w:rsidRPr="00986221">
        <w:t>Enhanced dialogue among policy makers, the public, academics and politicians;</w:t>
      </w:r>
    </w:p>
    <w:p w14:paraId="6D4962C1" w14:textId="638B078E" w:rsidR="003D1582" w:rsidRPr="00986221" w:rsidRDefault="003D1582" w:rsidP="00C860D6">
      <w:pPr>
        <w:pStyle w:val="ListParagraphindent2"/>
      </w:pPr>
      <w:r w:rsidRPr="00986221">
        <w:t>Strategic use of the media to disseminate evidence that highlights the costs of the status quo</w:t>
      </w:r>
      <w:r w:rsidR="00973EF5" w:rsidRPr="00986221">
        <w:t xml:space="preserve"> and impacts of proposed reforms</w:t>
      </w:r>
      <w:r w:rsidRPr="00986221">
        <w:t>;</w:t>
      </w:r>
    </w:p>
    <w:p w14:paraId="2FDE2CBC" w14:textId="529B7CB8" w:rsidR="003D1582" w:rsidRPr="00986221" w:rsidRDefault="003D1582" w:rsidP="00C860D6">
      <w:pPr>
        <w:pStyle w:val="ListParagraphindent"/>
      </w:pPr>
      <w:r w:rsidRPr="00986221">
        <w:t xml:space="preserve">Supporting </w:t>
      </w:r>
      <w:r w:rsidR="006A6A3A" w:rsidRPr="00986221">
        <w:t xml:space="preserve">policy dialogue and </w:t>
      </w:r>
      <w:r w:rsidRPr="00986221">
        <w:t xml:space="preserve">implementation of core elements of the </w:t>
      </w:r>
      <w:r w:rsidR="006A6A3A" w:rsidRPr="00986221">
        <w:t>MPER</w:t>
      </w:r>
      <w:r w:rsidRPr="00986221">
        <w:t xml:space="preserve"> relating to business, competition policy, and rural development. </w:t>
      </w:r>
    </w:p>
    <w:p w14:paraId="4C0326CB" w14:textId="716F1B87" w:rsidR="003D1582" w:rsidRPr="00986221" w:rsidRDefault="000C2464" w:rsidP="00C860D6">
      <w:pPr>
        <w:pStyle w:val="ListParagraphindent"/>
      </w:pPr>
      <w:r w:rsidRPr="00986221">
        <w:t xml:space="preserve">Strengthening the capacity of </w:t>
      </w:r>
      <w:r w:rsidR="003D1582" w:rsidRPr="00986221">
        <w:t>Vietnamese institutions to conduct research and analysis on economic reform issues;</w:t>
      </w:r>
    </w:p>
    <w:p w14:paraId="2FF41A68" w14:textId="52987A0C" w:rsidR="003D1582" w:rsidRPr="00986221" w:rsidRDefault="000C2464" w:rsidP="00C860D6">
      <w:pPr>
        <w:pStyle w:val="ListParagraphindent"/>
      </w:pPr>
      <w:r w:rsidRPr="00986221">
        <w:t>Strengthening</w:t>
      </w:r>
      <w:r w:rsidR="003D1582" w:rsidRPr="00986221">
        <w:t xml:space="preserve"> partnerships between Australian and Vietnamese counterpart institutions.</w:t>
      </w:r>
    </w:p>
    <w:p w14:paraId="3CEE81E7" w14:textId="0B13C6E4" w:rsidR="004946C4" w:rsidRPr="00986221" w:rsidRDefault="00435404" w:rsidP="000221A3">
      <w:pPr>
        <w:pStyle w:val="ListParagraph"/>
      </w:pPr>
      <w:r w:rsidRPr="00986221">
        <w:t>More broadly, the proposed reforms will help ensure greater transparency in policy-making processes and reduce opportunities for</w:t>
      </w:r>
      <w:r w:rsidR="006F6740" w:rsidRPr="00986221">
        <w:t xml:space="preserve"> corruption. This, combined with reforms to remove barriers to entry and innovation, should help ensure more inclusive development outcomes. </w:t>
      </w:r>
    </w:p>
    <w:p w14:paraId="554A534C" w14:textId="30BAD0DB" w:rsidR="00DE4EF4" w:rsidRPr="00986221" w:rsidRDefault="00066E45" w:rsidP="000221A3">
      <w:pPr>
        <w:pStyle w:val="ListParagraph"/>
      </w:pPr>
      <w:r w:rsidRPr="00986221">
        <w:t xml:space="preserve">The focus of the </w:t>
      </w:r>
      <w:r w:rsidR="008D2A61" w:rsidRPr="00986221">
        <w:t>RCV</w:t>
      </w:r>
      <w:r w:rsidRPr="00986221">
        <w:t xml:space="preserve"> will be on: monitoring and evaluation of implementation of the MPER</w:t>
      </w:r>
      <w:r w:rsidR="000E1411" w:rsidRPr="00986221">
        <w:t xml:space="preserve">; </w:t>
      </w:r>
      <w:r w:rsidR="00690794" w:rsidRPr="00986221">
        <w:t>improving the business enabling environment</w:t>
      </w:r>
      <w:r w:rsidR="000E1411" w:rsidRPr="00986221">
        <w:t xml:space="preserve"> including </w:t>
      </w:r>
      <w:r w:rsidR="00690794" w:rsidRPr="00986221">
        <w:t>State enterprise restructuring</w:t>
      </w:r>
      <w:r w:rsidR="000E1411" w:rsidRPr="00986221">
        <w:t>;</w:t>
      </w:r>
      <w:r w:rsidR="00690794" w:rsidRPr="00986221">
        <w:t xml:space="preserve"> competition policy, trade remedies</w:t>
      </w:r>
      <w:r w:rsidR="000E1411" w:rsidRPr="00986221">
        <w:t xml:space="preserve">; </w:t>
      </w:r>
      <w:r w:rsidR="00690794" w:rsidRPr="00986221">
        <w:t>restructuring of the paddy rice value chain, and rural institutional reform and development.</w:t>
      </w:r>
      <w:r w:rsidRPr="00986221">
        <w:t xml:space="preserve"> </w:t>
      </w:r>
    </w:p>
    <w:p w14:paraId="7C5B0FD6" w14:textId="7DCA7631" w:rsidR="003D1582" w:rsidRPr="00986221" w:rsidRDefault="003D1582" w:rsidP="000221A3">
      <w:pPr>
        <w:pStyle w:val="Heading3"/>
        <w:ind w:left="426"/>
      </w:pPr>
      <w:bookmarkStart w:id="20" w:name="_Toc387322640"/>
      <w:r w:rsidRPr="00986221">
        <w:t>Program Beneficiaries</w:t>
      </w:r>
      <w:bookmarkEnd w:id="20"/>
    </w:p>
    <w:p w14:paraId="7E464D47" w14:textId="5FB50BF9" w:rsidR="00614C1C" w:rsidRPr="00986221" w:rsidRDefault="00614C1C" w:rsidP="000221A3">
      <w:pPr>
        <w:pStyle w:val="ListParagraph"/>
      </w:pPr>
      <w:r w:rsidRPr="00986221">
        <w:t xml:space="preserve">The immediate beneficiaries will be the CIEM (MPI), </w:t>
      </w:r>
      <w:r w:rsidR="00973EF5" w:rsidRPr="00986221">
        <w:t xml:space="preserve">VCA (MOIT), and </w:t>
      </w:r>
      <w:r w:rsidRPr="00986221">
        <w:t>IPSARD (MARD)</w:t>
      </w:r>
      <w:r w:rsidR="00973EF5" w:rsidRPr="00986221">
        <w:t xml:space="preserve"> </w:t>
      </w:r>
      <w:r w:rsidRPr="00986221">
        <w:t xml:space="preserve">officials who are playing leading roles in planning, coordinating and implementing economic restructuring initiatives. </w:t>
      </w:r>
      <w:r w:rsidR="001C421A" w:rsidRPr="00986221">
        <w:t xml:space="preserve">The capacity and reputations of these institutions should be strengthened. </w:t>
      </w:r>
      <w:r w:rsidRPr="00986221">
        <w:t>Policy makers and researchers in the CPV, N</w:t>
      </w:r>
      <w:r w:rsidR="000E1411" w:rsidRPr="00986221">
        <w:t>A</w:t>
      </w:r>
      <w:r w:rsidRPr="00986221">
        <w:t xml:space="preserve">, central and local </w:t>
      </w:r>
      <w:r w:rsidR="00CD14EA" w:rsidRPr="00986221">
        <w:t>G</w:t>
      </w:r>
      <w:r w:rsidRPr="00986221">
        <w:t>o</w:t>
      </w:r>
      <w:r w:rsidR="00CD14EA" w:rsidRPr="00986221">
        <w:t>V</w:t>
      </w:r>
      <w:r w:rsidRPr="00986221">
        <w:t xml:space="preserve"> agencies, business associations, and other researchers will benefit from an improved evidence base for reform and more effective consultation with stakeholders on key reform issues. </w:t>
      </w:r>
    </w:p>
    <w:p w14:paraId="6C2D5CDF" w14:textId="609E5437" w:rsidR="005C47E3" w:rsidRPr="00986221" w:rsidRDefault="005C47E3" w:rsidP="000221A3">
      <w:pPr>
        <w:pStyle w:val="ListParagraph"/>
      </w:pPr>
      <w:r w:rsidRPr="00986221">
        <w:t xml:space="preserve">The program will engage and work with a range of policy researchers in research institutes, civil society organizations and private firms. </w:t>
      </w:r>
      <w:r w:rsidR="00A65150" w:rsidRPr="00986221">
        <w:t>R</w:t>
      </w:r>
      <w:r w:rsidR="00492AE9" w:rsidRPr="00986221">
        <w:t xml:space="preserve">esearchers will benefit from the employment, </w:t>
      </w:r>
      <w:r w:rsidR="005B7DB5" w:rsidRPr="00986221">
        <w:t>and</w:t>
      </w:r>
      <w:r w:rsidR="00492AE9" w:rsidRPr="00986221">
        <w:t xml:space="preserve"> more importantly</w:t>
      </w:r>
      <w:r w:rsidR="005B7DB5" w:rsidRPr="00986221">
        <w:t>,</w:t>
      </w:r>
      <w:r w:rsidR="00492AE9" w:rsidRPr="00986221">
        <w:t xml:space="preserve"> from improved capacity resulting from international and national experiences and advice and support on study design, methodology, </w:t>
      </w:r>
      <w:r w:rsidR="00201D17" w:rsidRPr="00986221">
        <w:t xml:space="preserve">and </w:t>
      </w:r>
      <w:r w:rsidR="00492AE9" w:rsidRPr="00986221">
        <w:t>analysis and policy recommendations.</w:t>
      </w:r>
    </w:p>
    <w:p w14:paraId="2E533A90" w14:textId="2E887CB2" w:rsidR="00ED12CE" w:rsidRPr="00986221" w:rsidRDefault="00ED12CE" w:rsidP="000221A3">
      <w:pPr>
        <w:pStyle w:val="ListParagraph"/>
      </w:pPr>
      <w:r w:rsidRPr="00986221">
        <w:t xml:space="preserve">Administrative reforms should simplify </w:t>
      </w:r>
      <w:r w:rsidR="0055243B" w:rsidRPr="00986221">
        <w:t>the</w:t>
      </w:r>
      <w:r w:rsidRPr="00986221">
        <w:t xml:space="preserve"> work</w:t>
      </w:r>
      <w:r w:rsidR="0055243B" w:rsidRPr="00986221">
        <w:t xml:space="preserve"> of sub-national level officials</w:t>
      </w:r>
      <w:r w:rsidRPr="00986221">
        <w:t xml:space="preserve">, and help </w:t>
      </w:r>
      <w:r w:rsidR="0055243B" w:rsidRPr="00986221">
        <w:t>improve their</w:t>
      </w:r>
      <w:r w:rsidRPr="00986221">
        <w:t xml:space="preserve"> relations with local clients (</w:t>
      </w:r>
      <w:r w:rsidR="000F7439" w:rsidRPr="00986221">
        <w:t xml:space="preserve">firms and other stakeholders). There will be </w:t>
      </w:r>
      <w:r w:rsidR="005C47E3" w:rsidRPr="00986221">
        <w:t>fewer</w:t>
      </w:r>
      <w:r w:rsidR="000F7439" w:rsidRPr="00986221">
        <w:t xml:space="preserve"> opportunities for local level corruption.</w:t>
      </w:r>
    </w:p>
    <w:p w14:paraId="68D90784" w14:textId="464436F3" w:rsidR="00CE1113" w:rsidRPr="00986221" w:rsidRDefault="00614C1C" w:rsidP="000221A3">
      <w:pPr>
        <w:pStyle w:val="ListParagraph"/>
      </w:pPr>
      <w:r w:rsidRPr="00986221">
        <w:t xml:space="preserve">The Program is expected to benefit </w:t>
      </w:r>
      <w:r w:rsidR="000F7439" w:rsidRPr="00986221">
        <w:t>household</w:t>
      </w:r>
      <w:r w:rsidR="00AD1E93" w:rsidRPr="00986221">
        <w:t>s, farmers, private firms</w:t>
      </w:r>
      <w:r w:rsidR="000F7439" w:rsidRPr="00986221">
        <w:t xml:space="preserve"> and other business and their employees. Thus, the impact will be felt across </w:t>
      </w:r>
      <w:r w:rsidRPr="00986221">
        <w:t>most areas of society, including both women and men. Those</w:t>
      </w:r>
      <w:r w:rsidR="00CE1113" w:rsidRPr="00986221">
        <w:t xml:space="preserve"> business owners that are</w:t>
      </w:r>
      <w:r w:rsidRPr="00986221">
        <w:t xml:space="preserve"> least connected to existing power structures should benefit the most. </w:t>
      </w:r>
    </w:p>
    <w:p w14:paraId="6A0F8E02" w14:textId="484E1123" w:rsidR="00614C1C" w:rsidRPr="00986221" w:rsidRDefault="00614C1C" w:rsidP="000221A3">
      <w:pPr>
        <w:pStyle w:val="ListParagraph"/>
      </w:pPr>
      <w:r w:rsidRPr="00986221">
        <w:t xml:space="preserve">The program </w:t>
      </w:r>
      <w:r w:rsidR="00CE1113" w:rsidRPr="00986221">
        <w:t>may</w:t>
      </w:r>
      <w:r w:rsidRPr="00986221">
        <w:t xml:space="preserve"> negatively impact on those that currently benefit from the lack of transparent competition via preferential access to decision makers, land, capital and markets.</w:t>
      </w:r>
      <w:r w:rsidR="0055243B" w:rsidRPr="00986221">
        <w:t xml:space="preserve"> These groups can be expected to resist reforms. The </w:t>
      </w:r>
      <w:r w:rsidR="004E0D03" w:rsidRPr="00986221">
        <w:t xml:space="preserve">program supported policy dialogue should help </w:t>
      </w:r>
      <w:r w:rsidR="00AD1E93" w:rsidRPr="00986221">
        <w:t>to build the support for reform that will be needed to counteract potential resistance from vested interests.</w:t>
      </w:r>
      <w:r w:rsidR="002017C2" w:rsidRPr="00986221">
        <w:t xml:space="preserve"> Knowledge dissemination will also be critical to addressing potential resistance from vested interests.</w:t>
      </w:r>
    </w:p>
    <w:p w14:paraId="1CFE7FB0" w14:textId="77777777" w:rsidR="004E0D03" w:rsidRPr="00986221" w:rsidRDefault="004E0D03" w:rsidP="000221A3">
      <w:pPr>
        <w:ind w:left="426"/>
        <w:rPr>
          <w:rFonts w:cs="Arial"/>
        </w:rPr>
      </w:pPr>
    </w:p>
    <w:p w14:paraId="7AC52FB5" w14:textId="77777777" w:rsidR="00933704" w:rsidRPr="00986221" w:rsidRDefault="00933704" w:rsidP="00384E34">
      <w:pPr>
        <w:rPr>
          <w:rFonts w:cs="Arial"/>
          <w:lang w:eastAsia="en-AU"/>
        </w:rPr>
        <w:sectPr w:rsidR="00933704" w:rsidRPr="00986221" w:rsidSect="00A65D88">
          <w:headerReference w:type="default" r:id="rId17"/>
          <w:pgSz w:w="11900" w:h="16840"/>
          <w:pgMar w:top="1276" w:right="1134" w:bottom="1265" w:left="1134" w:header="568" w:footer="430" w:gutter="0"/>
          <w:pgNumType w:start="1"/>
          <w:cols w:space="708"/>
          <w:docGrid w:linePitch="360"/>
        </w:sectPr>
      </w:pPr>
    </w:p>
    <w:p w14:paraId="5D3D0E27" w14:textId="7D16B1D6" w:rsidR="00555F6D" w:rsidRPr="00986221" w:rsidRDefault="00EA16E9" w:rsidP="000221A3">
      <w:pPr>
        <w:pStyle w:val="Heading1"/>
        <w:ind w:left="426"/>
        <w:rPr>
          <w:rFonts w:ascii="Arial" w:hAnsi="Arial" w:cs="Arial"/>
        </w:rPr>
      </w:pPr>
      <w:bookmarkStart w:id="21" w:name="_Toc387322641"/>
      <w:r w:rsidRPr="00986221">
        <w:rPr>
          <w:rFonts w:ascii="Arial" w:hAnsi="Arial" w:cs="Arial"/>
        </w:rPr>
        <w:t>Investment Description</w:t>
      </w:r>
      <w:bookmarkEnd w:id="21"/>
    </w:p>
    <w:p w14:paraId="12AFD520" w14:textId="77777777" w:rsidR="009C58C5" w:rsidRPr="00986221" w:rsidRDefault="009C58C5" w:rsidP="009C58C5"/>
    <w:p w14:paraId="7083CA6D" w14:textId="78D7E378" w:rsidR="00EA16E9" w:rsidRPr="00986221" w:rsidRDefault="008D2A61" w:rsidP="000221A3">
      <w:pPr>
        <w:pStyle w:val="Heading2"/>
        <w:ind w:left="426"/>
      </w:pPr>
      <w:bookmarkStart w:id="22" w:name="_Toc387322642"/>
      <w:r w:rsidRPr="00986221">
        <w:t>RCV</w:t>
      </w:r>
      <w:r w:rsidR="004C7B83" w:rsidRPr="00986221">
        <w:t xml:space="preserve"> </w:t>
      </w:r>
      <w:r w:rsidR="00EA16E9" w:rsidRPr="00986221">
        <w:t>Logic and Expected Outcomes</w:t>
      </w:r>
      <w:bookmarkEnd w:id="22"/>
    </w:p>
    <w:p w14:paraId="390A41DB" w14:textId="2F3FB3DC" w:rsidR="007E229E" w:rsidRPr="00986221" w:rsidRDefault="008D2A61" w:rsidP="000221A3">
      <w:pPr>
        <w:pStyle w:val="Heading3"/>
        <w:ind w:left="426"/>
      </w:pPr>
      <w:bookmarkStart w:id="23" w:name="_Toc387322643"/>
      <w:r w:rsidRPr="00986221">
        <w:t>RCV</w:t>
      </w:r>
      <w:r w:rsidR="007E229E" w:rsidRPr="00986221">
        <w:t xml:space="preserve"> Goals and Purpose</w:t>
      </w:r>
      <w:bookmarkEnd w:id="23"/>
    </w:p>
    <w:p w14:paraId="0E3A69B1" w14:textId="77777777" w:rsidR="007E229E" w:rsidRPr="00986221" w:rsidRDefault="007E229E" w:rsidP="000221A3">
      <w:pPr>
        <w:ind w:left="426"/>
        <w:rPr>
          <w:rFonts w:cs="Arial"/>
        </w:rPr>
      </w:pPr>
    </w:p>
    <w:p w14:paraId="7F235334" w14:textId="45D4F74D" w:rsidR="00D84065" w:rsidRPr="00986221" w:rsidRDefault="00D84065" w:rsidP="000221A3">
      <w:pPr>
        <w:pStyle w:val="ListParagraph"/>
      </w:pPr>
      <w:r w:rsidRPr="00986221">
        <w:t xml:space="preserve">The </w:t>
      </w:r>
      <w:r w:rsidR="008D2A61" w:rsidRPr="00986221">
        <w:t>RCV</w:t>
      </w:r>
      <w:r w:rsidR="007E229E" w:rsidRPr="00986221">
        <w:t xml:space="preserve"> </w:t>
      </w:r>
      <w:r w:rsidRPr="00986221">
        <w:rPr>
          <w:b/>
        </w:rPr>
        <w:t>goal</w:t>
      </w:r>
      <w:r w:rsidRPr="00986221">
        <w:t xml:space="preserve"> is to</w:t>
      </w:r>
      <w:r w:rsidR="00A67A39" w:rsidRPr="00986221">
        <w:t xml:space="preserve"> help </w:t>
      </w:r>
      <w:r w:rsidR="00287F13" w:rsidRPr="00986221">
        <w:t xml:space="preserve">the </w:t>
      </w:r>
      <w:r w:rsidR="00A67A39" w:rsidRPr="00986221">
        <w:t>Go</w:t>
      </w:r>
      <w:r w:rsidR="00CD14EA" w:rsidRPr="00986221">
        <w:t>V</w:t>
      </w:r>
      <w:r w:rsidR="007E229E" w:rsidRPr="00986221">
        <w:t xml:space="preserve"> </w:t>
      </w:r>
      <w:r w:rsidR="00287F13" w:rsidRPr="00986221">
        <w:t xml:space="preserve">achieve its </w:t>
      </w:r>
      <w:r w:rsidR="007E229E" w:rsidRPr="00986221">
        <w:t>MPER</w:t>
      </w:r>
      <w:r w:rsidR="00A67A39" w:rsidRPr="00986221">
        <w:t xml:space="preserve"> goals of</w:t>
      </w:r>
      <w:r w:rsidR="001C421A" w:rsidRPr="00986221">
        <w:t xml:space="preserve"> developing a more </w:t>
      </w:r>
      <w:r w:rsidR="00BD01F5" w:rsidRPr="00986221">
        <w:t xml:space="preserve">internationally competitive economy with increased productivity, reduced corruption and accelerated growth in employment and income. </w:t>
      </w:r>
      <w:r w:rsidR="00D330BC" w:rsidRPr="00986221">
        <w:t xml:space="preserve">A Logical Framework Matrix </w:t>
      </w:r>
      <w:r w:rsidR="00E87055" w:rsidRPr="00986221">
        <w:t xml:space="preserve">(LFM) </w:t>
      </w:r>
      <w:r w:rsidR="00D330BC" w:rsidRPr="00986221">
        <w:t xml:space="preserve">and Theory of Change </w:t>
      </w:r>
      <w:r w:rsidR="00EA4626" w:rsidRPr="00986221">
        <w:t xml:space="preserve">with </w:t>
      </w:r>
      <w:r w:rsidR="00E87055" w:rsidRPr="00986221">
        <w:t xml:space="preserve">objectively </w:t>
      </w:r>
      <w:r w:rsidR="005B7DB5" w:rsidRPr="00986221">
        <w:t>verifiable</w:t>
      </w:r>
      <w:r w:rsidR="00EA4626" w:rsidRPr="00986221">
        <w:t xml:space="preserve"> indicators </w:t>
      </w:r>
      <w:r w:rsidR="00805327" w:rsidRPr="00986221">
        <w:t>are</w:t>
      </w:r>
      <w:r w:rsidR="00D330BC" w:rsidRPr="00986221">
        <w:t xml:space="preserve"> included </w:t>
      </w:r>
      <w:r w:rsidR="008F04DD" w:rsidRPr="00986221">
        <w:t xml:space="preserve">in the Monitoring &amp; Evaluation (M&amp;E) Framework </w:t>
      </w:r>
      <w:r w:rsidR="00D330BC" w:rsidRPr="00986221">
        <w:t xml:space="preserve">as </w:t>
      </w:r>
      <w:r w:rsidR="00D330BC" w:rsidRPr="00986221">
        <w:rPr>
          <w:b/>
          <w:u w:val="single"/>
        </w:rPr>
        <w:t>Appendix 1</w:t>
      </w:r>
      <w:r w:rsidR="00D438DE" w:rsidRPr="00986221">
        <w:rPr>
          <w:b/>
          <w:u w:val="single"/>
        </w:rPr>
        <w:t xml:space="preserve"> – M&amp;E framework</w:t>
      </w:r>
      <w:r w:rsidR="00D330BC" w:rsidRPr="00986221">
        <w:t xml:space="preserve">. </w:t>
      </w:r>
    </w:p>
    <w:p w14:paraId="256B77FC" w14:textId="3F99483E" w:rsidR="00287F13" w:rsidRPr="00986221" w:rsidRDefault="00D330BC" w:rsidP="000221A3">
      <w:pPr>
        <w:pStyle w:val="ListParagraph"/>
      </w:pPr>
      <w:r w:rsidRPr="00986221">
        <w:t>In summary, t</w:t>
      </w:r>
      <w:r w:rsidR="00CE1DC5" w:rsidRPr="00986221">
        <w:t xml:space="preserve">he program design </w:t>
      </w:r>
      <w:r w:rsidR="0049505B" w:rsidRPr="00986221">
        <w:t xml:space="preserve">will support </w:t>
      </w:r>
      <w:r w:rsidR="00CE1DC5" w:rsidRPr="00986221">
        <w:t>measurable impro</w:t>
      </w:r>
      <w:r w:rsidR="00C10E90" w:rsidRPr="00986221">
        <w:t>vements</w:t>
      </w:r>
      <w:r w:rsidR="0049505B" w:rsidRPr="00986221">
        <w:rPr>
          <w:rStyle w:val="FootnoteReference"/>
        </w:rPr>
        <w:footnoteReference w:id="13"/>
      </w:r>
      <w:r w:rsidR="00C10E90" w:rsidRPr="00986221">
        <w:t xml:space="preserve"> (by 2020) in</w:t>
      </w:r>
      <w:r w:rsidR="00287F13" w:rsidRPr="00986221">
        <w:t>:</w:t>
      </w:r>
      <w:r w:rsidR="00A67A39" w:rsidRPr="00986221">
        <w:t xml:space="preserve"> </w:t>
      </w:r>
    </w:p>
    <w:p w14:paraId="719D4EBC" w14:textId="77777777" w:rsidR="005B7DB5" w:rsidRPr="00986221" w:rsidRDefault="005B7DB5" w:rsidP="00C860D6">
      <w:pPr>
        <w:pStyle w:val="ListParagraphindent"/>
      </w:pPr>
      <w:r w:rsidRPr="00986221">
        <w:t>Vietnam’s Global Competitiveness Index score (up from 4.18 in 2013-14).</w:t>
      </w:r>
      <w:r w:rsidRPr="00986221">
        <w:rPr>
          <w:rStyle w:val="FootnoteReference"/>
        </w:rPr>
        <w:footnoteReference w:id="14"/>
      </w:r>
      <w:r w:rsidRPr="00986221">
        <w:t xml:space="preserve">  </w:t>
      </w:r>
    </w:p>
    <w:p w14:paraId="04EE8A21" w14:textId="0E68B1DF" w:rsidR="005B7DB5" w:rsidRPr="00986221" w:rsidRDefault="003177D0" w:rsidP="00C860D6">
      <w:pPr>
        <w:pStyle w:val="ListParagraphindent"/>
      </w:pPr>
      <w:r w:rsidRPr="00986221">
        <w:t>A recovery in the</w:t>
      </w:r>
      <w:r w:rsidR="00D84065" w:rsidRPr="00986221">
        <w:t xml:space="preserve"> annual rate of</w:t>
      </w:r>
      <w:r w:rsidR="00A24E4D" w:rsidRPr="00986221">
        <w:t xml:space="preserve"> growth in labour productivity</w:t>
      </w:r>
      <w:r w:rsidRPr="00986221">
        <w:t>, from 3.2% in 2005-11, to &gt; 4.8% (the average rate for 2000-2011)</w:t>
      </w:r>
      <w:r w:rsidRPr="00986221">
        <w:rPr>
          <w:rStyle w:val="FootnoteReference"/>
        </w:rPr>
        <w:footnoteReference w:id="15"/>
      </w:r>
      <w:r w:rsidR="0018715A" w:rsidRPr="00986221">
        <w:t>.</w:t>
      </w:r>
      <w:r w:rsidR="00A24E4D" w:rsidRPr="00986221">
        <w:t xml:space="preserve"> </w:t>
      </w:r>
    </w:p>
    <w:p w14:paraId="56AC1A07" w14:textId="17773247" w:rsidR="005B7DB5" w:rsidRPr="00986221" w:rsidRDefault="005B7DB5" w:rsidP="00C860D6">
      <w:pPr>
        <w:pStyle w:val="ListParagraphindent"/>
      </w:pPr>
      <w:r w:rsidRPr="00986221">
        <w:t xml:space="preserve">Vietnam’s Corruption Perception Index score (up from </w:t>
      </w:r>
      <w:r w:rsidR="00F21518" w:rsidRPr="00986221">
        <w:t xml:space="preserve">the score of </w:t>
      </w:r>
      <w:r w:rsidRPr="00986221">
        <w:t>31 in 2013)</w:t>
      </w:r>
      <w:r w:rsidRPr="00986221">
        <w:rPr>
          <w:rStyle w:val="FootnoteReference"/>
        </w:rPr>
        <w:footnoteReference w:id="16"/>
      </w:r>
      <w:r w:rsidRPr="00986221">
        <w:t xml:space="preserve"> </w:t>
      </w:r>
    </w:p>
    <w:p w14:paraId="6F942E9C" w14:textId="1F96CADA" w:rsidR="005F4381" w:rsidRPr="00986221" w:rsidRDefault="001D254E" w:rsidP="000221A3">
      <w:pPr>
        <w:pStyle w:val="ListParagraph"/>
      </w:pPr>
      <w:r w:rsidRPr="00986221">
        <w:t>The</w:t>
      </w:r>
      <w:r w:rsidRPr="00986221">
        <w:rPr>
          <w:b/>
        </w:rPr>
        <w:t xml:space="preserve"> </w:t>
      </w:r>
      <w:r w:rsidR="004B7C08" w:rsidRPr="00986221">
        <w:rPr>
          <w:b/>
        </w:rPr>
        <w:t>Purpose</w:t>
      </w:r>
      <w:r w:rsidRPr="00986221">
        <w:t xml:space="preserve"> is to help</w:t>
      </w:r>
      <w:r w:rsidR="007E229E" w:rsidRPr="00986221">
        <w:t xml:space="preserve"> </w:t>
      </w:r>
      <w:r w:rsidR="00841951" w:rsidRPr="00986221">
        <w:t>improve implementation of selected elements</w:t>
      </w:r>
      <w:r w:rsidR="00805327" w:rsidRPr="00986221">
        <w:rPr>
          <w:rStyle w:val="FootnoteReference"/>
        </w:rPr>
        <w:footnoteReference w:id="17"/>
      </w:r>
      <w:r w:rsidR="00841951" w:rsidRPr="00986221">
        <w:t xml:space="preserve"> of the</w:t>
      </w:r>
      <w:r w:rsidRPr="00986221">
        <w:t xml:space="preserve"> Government</w:t>
      </w:r>
      <w:r w:rsidR="00841951" w:rsidRPr="00986221">
        <w:t xml:space="preserve">’s Master Plan for Economic </w:t>
      </w:r>
      <w:proofErr w:type="gramStart"/>
      <w:r w:rsidR="00841951" w:rsidRPr="00986221">
        <w:t xml:space="preserve">Restructuring </w:t>
      </w:r>
      <w:r w:rsidR="005051A3" w:rsidRPr="00986221">
        <w:t xml:space="preserve"> (</w:t>
      </w:r>
      <w:proofErr w:type="gramEnd"/>
      <w:r w:rsidR="005051A3" w:rsidRPr="00986221">
        <w:t>MPER) in line with international economic cooperation agreements.</w:t>
      </w:r>
      <w:r w:rsidR="00712746" w:rsidRPr="00986221">
        <w:t xml:space="preserve"> </w:t>
      </w:r>
    </w:p>
    <w:p w14:paraId="0F4EB016" w14:textId="0195A099" w:rsidR="00A75105" w:rsidRPr="00986221" w:rsidRDefault="00EA4626" w:rsidP="000221A3">
      <w:pPr>
        <w:pStyle w:val="ListParagraph"/>
      </w:pPr>
      <w:r w:rsidRPr="00986221">
        <w:t>Successful p</w:t>
      </w:r>
      <w:r w:rsidR="00712746" w:rsidRPr="00986221">
        <w:t>rogram success should be reflected, by 2016</w:t>
      </w:r>
      <w:r w:rsidR="00A46697" w:rsidRPr="00986221">
        <w:rPr>
          <w:rStyle w:val="FootnoteReference"/>
        </w:rPr>
        <w:footnoteReference w:id="18"/>
      </w:r>
      <w:r w:rsidR="00712746" w:rsidRPr="00986221">
        <w:t>, in:</w:t>
      </w:r>
    </w:p>
    <w:p w14:paraId="0BDD0322" w14:textId="77777777" w:rsidR="00712746" w:rsidRPr="00986221" w:rsidRDefault="00712746" w:rsidP="00C860D6">
      <w:pPr>
        <w:pStyle w:val="ListParagraphindent"/>
      </w:pPr>
      <w:r w:rsidRPr="00986221">
        <w:t xml:space="preserve">Improved business-enabling environment with reduced compliance costs, greater transparency, reduced corruption and improved corporate governance (including reforms to enterprise and investment legislation). </w:t>
      </w:r>
    </w:p>
    <w:p w14:paraId="38CDF722" w14:textId="767544DE" w:rsidR="00712746" w:rsidRPr="00986221" w:rsidRDefault="00712746" w:rsidP="00C860D6">
      <w:pPr>
        <w:pStyle w:val="ListParagraphindent"/>
      </w:pPr>
      <w:r w:rsidRPr="00986221">
        <w:t>Strengthened analytical capacity and information base resulting in enhanced implementation of competition policy in line with international good practice (including proposals submitted to the Go</w:t>
      </w:r>
      <w:r w:rsidR="00CD14EA" w:rsidRPr="00986221">
        <w:t>V</w:t>
      </w:r>
      <w:r w:rsidRPr="00986221">
        <w:t xml:space="preserve"> on changes in the Competition Law)</w:t>
      </w:r>
      <w:r w:rsidR="008E5A50" w:rsidRPr="00986221">
        <w:t>.</w:t>
      </w:r>
    </w:p>
    <w:p w14:paraId="2CB4286C" w14:textId="0BDFEA65" w:rsidR="003E6C5B" w:rsidRPr="00986221" w:rsidRDefault="00EA4626" w:rsidP="00C860D6">
      <w:pPr>
        <w:pStyle w:val="ListParagraphindent"/>
      </w:pPr>
      <w:r w:rsidRPr="00986221">
        <w:t>Concrete actions taken by</w:t>
      </w:r>
      <w:r w:rsidR="00A126AF" w:rsidRPr="00986221">
        <w:t xml:space="preserve"> provincial authorities and other stakeholders in</w:t>
      </w:r>
      <w:r w:rsidRPr="00986221">
        <w:t xml:space="preserve"> Dong Thap to restructure </w:t>
      </w:r>
      <w:r w:rsidR="00A126AF" w:rsidRPr="00986221">
        <w:t xml:space="preserve">rice </w:t>
      </w:r>
      <w:r w:rsidR="008E5A50" w:rsidRPr="00986221">
        <w:t>sector</w:t>
      </w:r>
      <w:r w:rsidRPr="00986221">
        <w:t xml:space="preserve"> </w:t>
      </w:r>
      <w:r w:rsidR="00A126AF" w:rsidRPr="00986221">
        <w:t xml:space="preserve">institutions, with pilot initiatives </w:t>
      </w:r>
      <w:r w:rsidRPr="00986221">
        <w:t>attract</w:t>
      </w:r>
      <w:r w:rsidR="00A126AF" w:rsidRPr="00986221">
        <w:t>ing</w:t>
      </w:r>
      <w:r w:rsidRPr="00986221">
        <w:t xml:space="preserve"> interest from local and central stakeholders. </w:t>
      </w:r>
      <w:r w:rsidR="008D5FE6" w:rsidRPr="00986221">
        <w:t xml:space="preserve">Ideally, there should also be evidence of more </w:t>
      </w:r>
      <w:r w:rsidR="00E801E6" w:rsidRPr="00986221">
        <w:t>substantive policy debate about the impediments to increasing value added in the rural economy.</w:t>
      </w:r>
    </w:p>
    <w:p w14:paraId="7E8FD741" w14:textId="77777777" w:rsidR="009C58C5" w:rsidRPr="00986221" w:rsidRDefault="009C58C5" w:rsidP="00384E34">
      <w:pPr>
        <w:ind w:left="426" w:hanging="426"/>
      </w:pPr>
    </w:p>
    <w:p w14:paraId="3B3DDDA3" w14:textId="77777777" w:rsidR="00C30922" w:rsidRPr="00986221" w:rsidRDefault="00C30922" w:rsidP="000221A3">
      <w:pPr>
        <w:ind w:left="426"/>
        <w:rPr>
          <w:rFonts w:cs="Arial"/>
          <w:b/>
          <w:u w:val="single"/>
        </w:rPr>
      </w:pPr>
      <w:r w:rsidRPr="00986221">
        <w:rPr>
          <w:rFonts w:cs="Arial"/>
          <w:b/>
          <w:u w:val="single"/>
        </w:rPr>
        <w:t>Proposed Program Components</w:t>
      </w:r>
    </w:p>
    <w:p w14:paraId="4F6C8EEF" w14:textId="22554604" w:rsidR="00C30922" w:rsidRPr="00986221" w:rsidRDefault="00C30922" w:rsidP="000221A3">
      <w:pPr>
        <w:pStyle w:val="Heading4"/>
        <w:ind w:left="426"/>
        <w:rPr>
          <w:rFonts w:cs="Arial"/>
          <w:b/>
        </w:rPr>
      </w:pPr>
      <w:r w:rsidRPr="00986221">
        <w:rPr>
          <w:rFonts w:cs="Arial"/>
        </w:rPr>
        <w:t>E</w:t>
      </w:r>
      <w:r w:rsidR="00555F6D" w:rsidRPr="00986221">
        <w:rPr>
          <w:rFonts w:cs="Arial"/>
        </w:rPr>
        <w:t xml:space="preserve">nhanced </w:t>
      </w:r>
      <w:r w:rsidR="00C57E5D" w:rsidRPr="00986221">
        <w:rPr>
          <w:rFonts w:cs="Arial"/>
        </w:rPr>
        <w:t xml:space="preserve">Business </w:t>
      </w:r>
      <w:r w:rsidR="00555F6D" w:rsidRPr="00986221">
        <w:rPr>
          <w:rFonts w:cs="Arial"/>
        </w:rPr>
        <w:t>Competitiveness</w:t>
      </w:r>
      <w:r w:rsidR="00C57E5D" w:rsidRPr="00986221">
        <w:rPr>
          <w:rFonts w:cs="Arial"/>
        </w:rPr>
        <w:t xml:space="preserve"> and Transparency</w:t>
      </w:r>
      <w:r w:rsidRPr="00986221">
        <w:rPr>
          <w:rFonts w:cs="Arial"/>
        </w:rPr>
        <w:t xml:space="preserve"> (CIEM)</w:t>
      </w:r>
    </w:p>
    <w:p w14:paraId="12B433B4" w14:textId="1087D64C" w:rsidR="00C30922" w:rsidRPr="00986221" w:rsidRDefault="00555F6D" w:rsidP="000221A3">
      <w:pPr>
        <w:pStyle w:val="ListParagraph"/>
        <w:rPr>
          <w:b/>
          <w:bCs/>
        </w:rPr>
      </w:pPr>
      <w:r w:rsidRPr="00986221">
        <w:rPr>
          <w:bCs/>
        </w:rPr>
        <w:t>Program support will</w:t>
      </w:r>
      <w:r w:rsidR="001F2269" w:rsidRPr="00986221">
        <w:t xml:space="preserve"> build the capacity and</w:t>
      </w:r>
      <w:r w:rsidR="0019174C" w:rsidRPr="00986221">
        <w:t xml:space="preserve"> </w:t>
      </w:r>
      <w:r w:rsidR="001F2269" w:rsidRPr="00986221">
        <w:t>evidence-based need</w:t>
      </w:r>
      <w:r w:rsidR="006B572E" w:rsidRPr="00986221">
        <w:t>ed</w:t>
      </w:r>
      <w:r w:rsidR="001F2269" w:rsidRPr="00986221">
        <w:t xml:space="preserve"> to effectively </w:t>
      </w:r>
      <w:r w:rsidR="00403B93" w:rsidRPr="00986221">
        <w:t xml:space="preserve">manage </w:t>
      </w:r>
      <w:r w:rsidR="00EA53F8" w:rsidRPr="00986221">
        <w:t>the economy</w:t>
      </w:r>
      <w:r w:rsidR="00403B93" w:rsidRPr="00986221">
        <w:t xml:space="preserve"> </w:t>
      </w:r>
      <w:r w:rsidR="00A45285" w:rsidRPr="00986221">
        <w:t xml:space="preserve">and </w:t>
      </w:r>
      <w:r w:rsidR="00EA53F8" w:rsidRPr="00986221">
        <w:t xml:space="preserve">economic </w:t>
      </w:r>
      <w:r w:rsidR="00896459" w:rsidRPr="00986221">
        <w:t xml:space="preserve">restructuring </w:t>
      </w:r>
      <w:r w:rsidR="00403B93" w:rsidRPr="00986221">
        <w:t xml:space="preserve">-- in line with regional and international </w:t>
      </w:r>
      <w:r w:rsidR="00EA53F8" w:rsidRPr="00986221">
        <w:t xml:space="preserve">commitments under economic cooperation agreements </w:t>
      </w:r>
      <w:r w:rsidR="00403B93" w:rsidRPr="00986221">
        <w:t xml:space="preserve">-- </w:t>
      </w:r>
      <w:r w:rsidR="00896459" w:rsidRPr="00986221">
        <w:t>in order</w:t>
      </w:r>
      <w:r w:rsidR="001F2269" w:rsidRPr="00986221">
        <w:t xml:space="preserve"> to</w:t>
      </w:r>
      <w:r w:rsidR="002440F9" w:rsidRPr="00986221">
        <w:t>:</w:t>
      </w:r>
      <w:r w:rsidR="0019174C" w:rsidRPr="00986221">
        <w:t xml:space="preserve"> boost </w:t>
      </w:r>
      <w:r w:rsidR="004A4A25" w:rsidRPr="00986221">
        <w:t xml:space="preserve">the </w:t>
      </w:r>
      <w:r w:rsidR="00EB1C27" w:rsidRPr="00986221">
        <w:t>inclusiveness</w:t>
      </w:r>
      <w:r w:rsidR="00403B93" w:rsidRPr="00986221">
        <w:t>, efficiency and competitiveness of economic growth</w:t>
      </w:r>
      <w:r w:rsidR="008325A3" w:rsidRPr="00986221">
        <w:t>;</w:t>
      </w:r>
      <w:r w:rsidR="00403B93" w:rsidRPr="00986221">
        <w:t xml:space="preserve"> increase business investment and employment;</w:t>
      </w:r>
      <w:r w:rsidR="00D75CCE" w:rsidRPr="00986221">
        <w:t xml:space="preserve"> </w:t>
      </w:r>
      <w:r w:rsidR="00EA53F8" w:rsidRPr="00986221">
        <w:t xml:space="preserve">and </w:t>
      </w:r>
      <w:r w:rsidR="00D75CCE" w:rsidRPr="00986221">
        <w:t>reduce</w:t>
      </w:r>
      <w:r w:rsidR="00C30922" w:rsidRPr="00986221">
        <w:t xml:space="preserve"> opportunities for rent-seek</w:t>
      </w:r>
      <w:r w:rsidR="00D75CCE" w:rsidRPr="00986221">
        <w:t>ing and corruption</w:t>
      </w:r>
      <w:r w:rsidR="00C44C52" w:rsidRPr="00986221">
        <w:t xml:space="preserve">. </w:t>
      </w:r>
      <w:r w:rsidR="00B16BBA" w:rsidRPr="00986221">
        <w:t xml:space="preserve">Planned support and key </w:t>
      </w:r>
      <w:r w:rsidR="00C14A48" w:rsidRPr="00986221">
        <w:t>outputs</w:t>
      </w:r>
      <w:r w:rsidR="00B16BBA" w:rsidRPr="00986221">
        <w:t xml:space="preserve"> by component are</w:t>
      </w:r>
      <w:r w:rsidR="00C30922" w:rsidRPr="00986221">
        <w:t>:</w:t>
      </w:r>
    </w:p>
    <w:p w14:paraId="24594545" w14:textId="30EDDF4A" w:rsidR="00C30922" w:rsidRPr="00986221" w:rsidRDefault="00B16BBA" w:rsidP="005A6DE3">
      <w:pPr>
        <w:pStyle w:val="ListParagraphindent"/>
      </w:pPr>
      <w:r w:rsidRPr="00986221">
        <w:rPr>
          <w:u w:val="single"/>
        </w:rPr>
        <w:t>Improved Enterprise and Investment Legislation</w:t>
      </w:r>
      <w:r w:rsidR="004B482D" w:rsidRPr="00986221">
        <w:t xml:space="preserve">. </w:t>
      </w:r>
      <w:r w:rsidR="00A539E7" w:rsidRPr="00986221">
        <w:t xml:space="preserve">Diagnostic studies and field surveys contributing to recommended reforms, including proposed amendments to Enterprise and Investment legislation (laws </w:t>
      </w:r>
      <w:r w:rsidRPr="00986221">
        <w:t xml:space="preserve">amended by 2014, </w:t>
      </w:r>
      <w:r w:rsidR="00A539E7" w:rsidRPr="00986221">
        <w:t>and implementing regulations</w:t>
      </w:r>
      <w:r w:rsidR="003E55D7" w:rsidRPr="00986221">
        <w:t xml:space="preserve"> by 2015</w:t>
      </w:r>
      <w:r w:rsidR="00A539E7" w:rsidRPr="00986221">
        <w:t>)</w:t>
      </w:r>
      <w:r w:rsidR="00114CAB" w:rsidRPr="00986221">
        <w:rPr>
          <w:rStyle w:val="FootnoteReference"/>
        </w:rPr>
        <w:footnoteReference w:id="19"/>
      </w:r>
      <w:r w:rsidR="000907C8" w:rsidRPr="00986221">
        <w:t>.</w:t>
      </w:r>
    </w:p>
    <w:p w14:paraId="0FC31BD8" w14:textId="63AC5718" w:rsidR="00C30922" w:rsidRPr="00986221" w:rsidRDefault="00D330BC" w:rsidP="005A6DE3">
      <w:pPr>
        <w:pStyle w:val="ListParagraphindent"/>
      </w:pPr>
      <w:r w:rsidRPr="00986221">
        <w:rPr>
          <w:u w:val="single"/>
        </w:rPr>
        <w:t>Reduced Impediments to Competitive Business Environment</w:t>
      </w:r>
      <w:r w:rsidR="004B482D" w:rsidRPr="00986221">
        <w:t xml:space="preserve">. </w:t>
      </w:r>
      <w:r w:rsidR="0003200A" w:rsidRPr="00986221">
        <w:t xml:space="preserve"> </w:t>
      </w:r>
      <w:r w:rsidR="00EE60F0" w:rsidRPr="00986221">
        <w:t>D</w:t>
      </w:r>
      <w:r w:rsidR="005F4381" w:rsidRPr="00986221">
        <w:t xml:space="preserve">iagnostics </w:t>
      </w:r>
      <w:r w:rsidR="00506B6E" w:rsidRPr="00986221">
        <w:t xml:space="preserve">studies, field surveys </w:t>
      </w:r>
      <w:r w:rsidR="00770306" w:rsidRPr="00986221">
        <w:t xml:space="preserve">and </w:t>
      </w:r>
      <w:r w:rsidR="005F4381" w:rsidRPr="00986221">
        <w:t>report</w:t>
      </w:r>
      <w:r w:rsidR="00506B6E" w:rsidRPr="00986221">
        <w:t>s</w:t>
      </w:r>
      <w:r w:rsidR="005F4381" w:rsidRPr="00986221">
        <w:t xml:space="preserve"> </w:t>
      </w:r>
      <w:r w:rsidR="00770306" w:rsidRPr="00986221">
        <w:t>on</w:t>
      </w:r>
      <w:r w:rsidR="005F4381" w:rsidRPr="00986221">
        <w:t xml:space="preserve"> business impediments, and recommended reform to</w:t>
      </w:r>
      <w:r w:rsidR="00770306" w:rsidRPr="00986221">
        <w:t xml:space="preserve"> address these impediments </w:t>
      </w:r>
      <w:r w:rsidR="002D30EB" w:rsidRPr="00986221">
        <w:t xml:space="preserve">-- </w:t>
      </w:r>
      <w:r w:rsidR="00770306" w:rsidRPr="00986221">
        <w:t xml:space="preserve">and </w:t>
      </w:r>
      <w:r w:rsidR="002D30EB" w:rsidRPr="00986221">
        <w:t xml:space="preserve">to </w:t>
      </w:r>
      <w:r w:rsidR="00770306" w:rsidRPr="00986221">
        <w:t>comply with international commitments</w:t>
      </w:r>
      <w:r w:rsidR="002D30EB" w:rsidRPr="00986221">
        <w:t xml:space="preserve"> -- </w:t>
      </w:r>
      <w:r w:rsidR="00770306" w:rsidRPr="00986221">
        <w:t xml:space="preserve">submitted to the </w:t>
      </w:r>
      <w:proofErr w:type="spellStart"/>
      <w:r w:rsidR="00770306" w:rsidRPr="00986221">
        <w:t>Go</w:t>
      </w:r>
      <w:r w:rsidR="00506B6E" w:rsidRPr="00986221">
        <w:t>V</w:t>
      </w:r>
      <w:r w:rsidR="000F60E2" w:rsidRPr="00986221">
        <w:t>.</w:t>
      </w:r>
      <w:proofErr w:type="spellEnd"/>
      <w:r w:rsidR="000F60E2" w:rsidRPr="00986221">
        <w:t xml:space="preserve"> Potential </w:t>
      </w:r>
      <w:r w:rsidR="00EE60F0" w:rsidRPr="00986221">
        <w:t xml:space="preserve">reform </w:t>
      </w:r>
      <w:r w:rsidR="006B7163" w:rsidRPr="00986221">
        <w:t>areas</w:t>
      </w:r>
      <w:r w:rsidR="008C7555" w:rsidRPr="00986221">
        <w:t xml:space="preserve"> to be addressed</w:t>
      </w:r>
      <w:r w:rsidR="000F60E2" w:rsidRPr="00986221">
        <w:t xml:space="preserve"> include</w:t>
      </w:r>
      <w:r w:rsidR="00506B6E" w:rsidRPr="00986221">
        <w:t xml:space="preserve"> (</w:t>
      </w:r>
      <w:proofErr w:type="spellStart"/>
      <w:r w:rsidR="00506B6E" w:rsidRPr="00986221">
        <w:t>i</w:t>
      </w:r>
      <w:proofErr w:type="spellEnd"/>
      <w:r w:rsidR="00506B6E" w:rsidRPr="00986221">
        <w:t>) trade</w:t>
      </w:r>
      <w:r w:rsidR="001F59C6" w:rsidRPr="00986221">
        <w:t xml:space="preserve"> facilitation</w:t>
      </w:r>
      <w:r w:rsidR="00770306" w:rsidRPr="00986221">
        <w:t xml:space="preserve">; </w:t>
      </w:r>
      <w:r w:rsidR="0003200A" w:rsidRPr="00986221">
        <w:t xml:space="preserve">(ii) </w:t>
      </w:r>
      <w:r w:rsidR="00506B6E" w:rsidRPr="00986221">
        <w:t>market entry</w:t>
      </w:r>
      <w:r w:rsidR="008C7555" w:rsidRPr="00986221">
        <w:t xml:space="preserve">; </w:t>
      </w:r>
      <w:r w:rsidR="000F60E2" w:rsidRPr="00986221">
        <w:t xml:space="preserve">(iii) </w:t>
      </w:r>
      <w:r w:rsidR="00010819" w:rsidRPr="00986221">
        <w:t xml:space="preserve">adoption of </w:t>
      </w:r>
      <w:r w:rsidR="000F60E2" w:rsidRPr="00986221">
        <w:t>corporate governance</w:t>
      </w:r>
      <w:r w:rsidR="00010819" w:rsidRPr="00986221">
        <w:t xml:space="preserve"> guidelines</w:t>
      </w:r>
      <w:r w:rsidR="000F60E2" w:rsidRPr="00986221">
        <w:t xml:space="preserve"> </w:t>
      </w:r>
      <w:r w:rsidR="0003200A" w:rsidRPr="00986221">
        <w:t xml:space="preserve">consistent with </w:t>
      </w:r>
      <w:r w:rsidR="006B7163" w:rsidRPr="00986221">
        <w:t xml:space="preserve">international (e.g., </w:t>
      </w:r>
      <w:r w:rsidR="0003200A" w:rsidRPr="00986221">
        <w:t>OECD</w:t>
      </w:r>
      <w:r w:rsidR="006B7163" w:rsidRPr="00986221">
        <w:t>)</w:t>
      </w:r>
      <w:r w:rsidR="0003200A" w:rsidRPr="00986221">
        <w:t xml:space="preserve"> </w:t>
      </w:r>
      <w:r w:rsidR="00EE60F0" w:rsidRPr="00986221">
        <w:t>good practices</w:t>
      </w:r>
      <w:r w:rsidR="0003200A" w:rsidRPr="00986221">
        <w:t xml:space="preserve">, </w:t>
      </w:r>
      <w:r w:rsidR="00D459CD" w:rsidRPr="00986221">
        <w:t>and</w:t>
      </w:r>
      <w:r w:rsidR="0003200A" w:rsidRPr="00986221">
        <w:t>; (i</w:t>
      </w:r>
      <w:r w:rsidR="008C7555" w:rsidRPr="00986221">
        <w:t>v</w:t>
      </w:r>
      <w:proofErr w:type="gramStart"/>
      <w:r w:rsidR="0003200A" w:rsidRPr="00986221">
        <w:t xml:space="preserve">) </w:t>
      </w:r>
      <w:r w:rsidR="00506B6E" w:rsidRPr="00986221">
        <w:t xml:space="preserve"> </w:t>
      </w:r>
      <w:r w:rsidR="0003200A" w:rsidRPr="00986221">
        <w:t>State</w:t>
      </w:r>
      <w:proofErr w:type="gramEnd"/>
      <w:r w:rsidR="0003200A" w:rsidRPr="00986221">
        <w:t xml:space="preserve"> enterprise</w:t>
      </w:r>
      <w:r w:rsidR="00C241A8" w:rsidRPr="00986221">
        <w:t xml:space="preserve"> reforms</w:t>
      </w:r>
      <w:r w:rsidR="0003200A" w:rsidRPr="00986221">
        <w:t xml:space="preserve">. </w:t>
      </w:r>
    </w:p>
    <w:p w14:paraId="63A82820" w14:textId="7DCDE282" w:rsidR="00333DBF" w:rsidRPr="00986221" w:rsidRDefault="00333DBF" w:rsidP="005A6DE3">
      <w:pPr>
        <w:pStyle w:val="ListParagraphindent"/>
      </w:pPr>
      <w:r w:rsidRPr="00986221">
        <w:rPr>
          <w:u w:val="single"/>
        </w:rPr>
        <w:t>Economic Restructuring</w:t>
      </w:r>
      <w:r w:rsidRPr="00986221">
        <w:t xml:space="preserve">. </w:t>
      </w:r>
      <w:r w:rsidR="009012F3" w:rsidRPr="00986221">
        <w:t xml:space="preserve">Improved evidence based analysis and </w:t>
      </w:r>
      <w:r w:rsidR="0083776F" w:rsidRPr="00986221">
        <w:t xml:space="preserve">public </w:t>
      </w:r>
      <w:r w:rsidR="009012F3" w:rsidRPr="00986221">
        <w:t>dialogue on MPER implementation performance and emerging issues</w:t>
      </w:r>
      <w:r w:rsidRPr="00986221">
        <w:rPr>
          <w:rStyle w:val="FootnoteReference"/>
        </w:rPr>
        <w:footnoteReference w:id="20"/>
      </w:r>
      <w:r w:rsidR="009012F3" w:rsidRPr="00986221">
        <w:t>, including</w:t>
      </w:r>
      <w:r w:rsidRPr="00986221">
        <w:t xml:space="preserve"> </w:t>
      </w:r>
      <w:r w:rsidR="0083776F" w:rsidRPr="00986221">
        <w:t>analysis of</w:t>
      </w:r>
      <w:r w:rsidRPr="00986221">
        <w:t xml:space="preserve"> the </w:t>
      </w:r>
      <w:r w:rsidR="0083776F" w:rsidRPr="00986221">
        <w:t>implications</w:t>
      </w:r>
      <w:r w:rsidRPr="00986221">
        <w:t xml:space="preserve"> of international commitments </w:t>
      </w:r>
      <w:r w:rsidR="0083776F" w:rsidRPr="00986221">
        <w:t xml:space="preserve">for economic restructuring, </w:t>
      </w:r>
    </w:p>
    <w:p w14:paraId="2953D30C" w14:textId="290AAB73" w:rsidR="0094273D" w:rsidRPr="00986221" w:rsidRDefault="00E8084D" w:rsidP="005A6DE3">
      <w:pPr>
        <w:pStyle w:val="ListParagraphindent"/>
      </w:pPr>
      <w:r w:rsidRPr="00986221">
        <w:rPr>
          <w:u w:val="single"/>
        </w:rPr>
        <w:t>Independent Assessments of</w:t>
      </w:r>
      <w:r w:rsidR="000907C8" w:rsidRPr="00986221">
        <w:rPr>
          <w:u w:val="single"/>
        </w:rPr>
        <w:t xml:space="preserve"> Macroe</w:t>
      </w:r>
      <w:r w:rsidR="00BF7FC4" w:rsidRPr="00986221">
        <w:rPr>
          <w:u w:val="single"/>
        </w:rPr>
        <w:t xml:space="preserve">conomic </w:t>
      </w:r>
      <w:r w:rsidR="000907C8" w:rsidRPr="00986221">
        <w:rPr>
          <w:u w:val="single"/>
        </w:rPr>
        <w:t>Performance</w:t>
      </w:r>
      <w:r w:rsidR="00BF7FC4" w:rsidRPr="00986221">
        <w:t xml:space="preserve">. </w:t>
      </w:r>
      <w:r w:rsidR="0083776F" w:rsidRPr="00986221">
        <w:t>More substantive</w:t>
      </w:r>
      <w:r w:rsidR="00BF7FC4" w:rsidRPr="00986221">
        <w:t xml:space="preserve"> </w:t>
      </w:r>
      <w:r w:rsidR="0083776F" w:rsidRPr="00986221">
        <w:t>public-</w:t>
      </w:r>
      <w:r w:rsidRPr="00986221">
        <w:t xml:space="preserve">private dialogue </w:t>
      </w:r>
      <w:r w:rsidR="0083776F" w:rsidRPr="00986221">
        <w:t>(</w:t>
      </w:r>
      <w:r w:rsidR="004A0F49" w:rsidRPr="00986221">
        <w:t>reflecting</w:t>
      </w:r>
      <w:r w:rsidR="0083776F" w:rsidRPr="00986221">
        <w:t xml:space="preserve"> account international experiences) </w:t>
      </w:r>
      <w:r w:rsidRPr="00986221">
        <w:t xml:space="preserve">on macroeconomic </w:t>
      </w:r>
      <w:r w:rsidR="004A0F49" w:rsidRPr="00986221">
        <w:t xml:space="preserve">and broader economic development </w:t>
      </w:r>
      <w:r w:rsidRPr="00986221">
        <w:t>issues</w:t>
      </w:r>
      <w:r w:rsidR="000907C8" w:rsidRPr="00986221">
        <w:t xml:space="preserve"> and options</w:t>
      </w:r>
      <w:r w:rsidRPr="00986221">
        <w:t>.</w:t>
      </w:r>
      <w:r w:rsidR="00BF7FC4" w:rsidRPr="00986221">
        <w:t xml:space="preserve"> </w:t>
      </w:r>
    </w:p>
    <w:p w14:paraId="4B0FF4A6" w14:textId="2871A731" w:rsidR="00C30922" w:rsidRPr="00986221" w:rsidRDefault="00C57E5D" w:rsidP="000221A3">
      <w:pPr>
        <w:pStyle w:val="Heading4"/>
        <w:ind w:left="426"/>
        <w:rPr>
          <w:rFonts w:cs="Arial"/>
        </w:rPr>
      </w:pPr>
      <w:r w:rsidRPr="00986221">
        <w:rPr>
          <w:rFonts w:cs="Arial"/>
        </w:rPr>
        <w:t xml:space="preserve">Restructuring </w:t>
      </w:r>
      <w:r w:rsidR="00C30922" w:rsidRPr="00986221">
        <w:rPr>
          <w:rFonts w:cs="Arial"/>
        </w:rPr>
        <w:t xml:space="preserve">Competition </w:t>
      </w:r>
      <w:r w:rsidRPr="00986221">
        <w:rPr>
          <w:rFonts w:cs="Arial"/>
        </w:rPr>
        <w:t xml:space="preserve">Institutions </w:t>
      </w:r>
      <w:r w:rsidR="00C30922" w:rsidRPr="00986221">
        <w:rPr>
          <w:rFonts w:cs="Arial"/>
        </w:rPr>
        <w:t>(VCA)</w:t>
      </w:r>
    </w:p>
    <w:p w14:paraId="3E297393" w14:textId="798EFDA5" w:rsidR="00C30922" w:rsidRPr="00986221" w:rsidRDefault="00C30922" w:rsidP="000221A3">
      <w:pPr>
        <w:pStyle w:val="ListParagraph"/>
      </w:pPr>
      <w:r w:rsidRPr="00986221">
        <w:t>This component aims to increase productivity and competitiveness by strengthening Vietnam’s capacity to implement competition policy and trade remedy actions in line with its regional and international commitments</w:t>
      </w:r>
      <w:r w:rsidRPr="00986221">
        <w:rPr>
          <w:i/>
        </w:rPr>
        <w:t xml:space="preserve">. </w:t>
      </w:r>
      <w:r w:rsidRPr="00986221">
        <w:t xml:space="preserve">Targeted </w:t>
      </w:r>
      <w:r w:rsidR="005051A3" w:rsidRPr="00986221">
        <w:t>outputs</w:t>
      </w:r>
      <w:r w:rsidRPr="00986221">
        <w:t xml:space="preserve"> include: </w:t>
      </w:r>
    </w:p>
    <w:p w14:paraId="57439E20" w14:textId="5165E4A6" w:rsidR="00C30922" w:rsidRPr="00986221" w:rsidRDefault="00992935" w:rsidP="005A6DE3">
      <w:pPr>
        <w:pStyle w:val="ListParagraphindent"/>
      </w:pPr>
      <w:r w:rsidRPr="00986221">
        <w:rPr>
          <w:u w:val="single"/>
        </w:rPr>
        <w:t>Enhanced enforcement of competition policy</w:t>
      </w:r>
      <w:r w:rsidRPr="00986221">
        <w:t xml:space="preserve">. </w:t>
      </w:r>
      <w:r w:rsidR="00C30922" w:rsidRPr="00986221">
        <w:t>Sector and industry competition studies conducted in line with international good practice</w:t>
      </w:r>
      <w:r w:rsidRPr="00986221">
        <w:t>, and</w:t>
      </w:r>
      <w:r w:rsidR="00C30922" w:rsidRPr="00986221">
        <w:t xml:space="preserve"> being used to inform</w:t>
      </w:r>
      <w:r w:rsidRPr="00986221">
        <w:t xml:space="preserve"> effective enforcement</w:t>
      </w:r>
      <w:r w:rsidR="00F14EB4" w:rsidRPr="00986221">
        <w:t>.</w:t>
      </w:r>
      <w:r w:rsidR="00CD6B50" w:rsidRPr="00986221">
        <w:t xml:space="preserve"> Enhanced s</w:t>
      </w:r>
      <w:r w:rsidR="001F3DD7" w:rsidRPr="00986221">
        <w:t>kills.</w:t>
      </w:r>
      <w:r w:rsidR="00CD6B50" w:rsidRPr="00986221">
        <w:t xml:space="preserve"> Consultations with stakeholders, leading to </w:t>
      </w:r>
      <w:r w:rsidR="004E2F41" w:rsidRPr="00986221">
        <w:t xml:space="preserve">changes in mindsets, and the </w:t>
      </w:r>
      <w:r w:rsidR="00CD6B50" w:rsidRPr="00986221">
        <w:t xml:space="preserve">submission </w:t>
      </w:r>
      <w:r w:rsidR="004E2F41" w:rsidRPr="00986221">
        <w:t xml:space="preserve">of proposals </w:t>
      </w:r>
      <w:r w:rsidR="00CD6B50" w:rsidRPr="00986221">
        <w:t>to the Go</w:t>
      </w:r>
      <w:r w:rsidR="00CD14EA" w:rsidRPr="00986221">
        <w:t>V</w:t>
      </w:r>
      <w:r w:rsidR="00CD6B50" w:rsidRPr="00986221">
        <w:t xml:space="preserve"> to reform competition policy and institutions in line with international </w:t>
      </w:r>
      <w:r w:rsidR="004E2F41" w:rsidRPr="00986221">
        <w:t>good practice</w:t>
      </w:r>
      <w:r w:rsidR="00CD6B50" w:rsidRPr="00986221">
        <w:t>.</w:t>
      </w:r>
    </w:p>
    <w:p w14:paraId="119D2220" w14:textId="2B27CC62" w:rsidR="00A454D0" w:rsidRPr="00986221" w:rsidRDefault="00A454D0" w:rsidP="005A6DE3">
      <w:pPr>
        <w:pStyle w:val="ListParagraphindent"/>
      </w:pPr>
      <w:r w:rsidRPr="00986221">
        <w:rPr>
          <w:u w:val="single"/>
        </w:rPr>
        <w:t xml:space="preserve">Revisions to trade </w:t>
      </w:r>
      <w:r w:rsidR="00506B6E" w:rsidRPr="00986221">
        <w:rPr>
          <w:u w:val="single"/>
        </w:rPr>
        <w:t xml:space="preserve">remedies </w:t>
      </w:r>
      <w:r w:rsidRPr="00986221">
        <w:rPr>
          <w:u w:val="single"/>
        </w:rPr>
        <w:t>regulations</w:t>
      </w:r>
      <w:r w:rsidRPr="00986221">
        <w:t xml:space="preserve"> to </w:t>
      </w:r>
      <w:r w:rsidR="007B21D7" w:rsidRPr="00986221">
        <w:t>comply with international</w:t>
      </w:r>
      <w:r w:rsidR="00F14EB4" w:rsidRPr="00986221">
        <w:t xml:space="preserve"> economic agreements, and detailed implementing guidelines issued and accessible by businesses.</w:t>
      </w:r>
      <w:r w:rsidR="001F3DD7" w:rsidRPr="00986221">
        <w:t xml:space="preserve"> Skills training will also be provided.</w:t>
      </w:r>
    </w:p>
    <w:p w14:paraId="581615A7" w14:textId="6368EB87" w:rsidR="00C30922" w:rsidRPr="00986221" w:rsidRDefault="0011435C" w:rsidP="005A6DE3">
      <w:pPr>
        <w:pStyle w:val="ListParagraphindent"/>
      </w:pPr>
      <w:r w:rsidRPr="00986221">
        <w:rPr>
          <w:u w:val="single"/>
        </w:rPr>
        <w:t>E</w:t>
      </w:r>
      <w:r w:rsidR="005A6DE3" w:rsidRPr="00986221">
        <w:rPr>
          <w:u w:val="single"/>
        </w:rPr>
        <w:t>nhanced e</w:t>
      </w:r>
      <w:r w:rsidR="00A454D0" w:rsidRPr="00986221">
        <w:rPr>
          <w:u w:val="single"/>
        </w:rPr>
        <w:t>arly warning systems</w:t>
      </w:r>
      <w:r w:rsidR="00506B6E" w:rsidRPr="00986221">
        <w:t xml:space="preserve"> for trade defence cases</w:t>
      </w:r>
      <w:r w:rsidR="005A6DE3" w:rsidRPr="00986221">
        <w:rPr>
          <w:u w:val="single"/>
        </w:rPr>
        <w:t xml:space="preserve"> </w:t>
      </w:r>
      <w:r w:rsidR="005A6DE3" w:rsidRPr="00986221">
        <w:t xml:space="preserve">with </w:t>
      </w:r>
      <w:r w:rsidRPr="00986221">
        <w:t>additional markets and products to the system.</w:t>
      </w:r>
    </w:p>
    <w:p w14:paraId="3BCBA970" w14:textId="0DCEDD98" w:rsidR="00C30922" w:rsidRPr="00986221" w:rsidRDefault="00C30922" w:rsidP="000221A3">
      <w:pPr>
        <w:pStyle w:val="Heading4"/>
        <w:ind w:left="426"/>
        <w:rPr>
          <w:rFonts w:cs="Arial"/>
        </w:rPr>
      </w:pPr>
      <w:proofErr w:type="gramStart"/>
      <w:r w:rsidRPr="00986221">
        <w:rPr>
          <w:rFonts w:cs="Arial"/>
        </w:rPr>
        <w:t xml:space="preserve">Restructuring </w:t>
      </w:r>
      <w:r w:rsidR="00821A87" w:rsidRPr="00986221">
        <w:rPr>
          <w:rFonts w:cs="Arial"/>
        </w:rPr>
        <w:t xml:space="preserve">the </w:t>
      </w:r>
      <w:r w:rsidRPr="00986221">
        <w:rPr>
          <w:rFonts w:cs="Arial"/>
        </w:rPr>
        <w:t xml:space="preserve">Rural </w:t>
      </w:r>
      <w:r w:rsidR="00821A87" w:rsidRPr="00986221">
        <w:rPr>
          <w:rFonts w:cs="Arial"/>
        </w:rPr>
        <w:t>Economy (</w:t>
      </w:r>
      <w:r w:rsidRPr="00986221">
        <w:rPr>
          <w:rFonts w:cs="Arial"/>
        </w:rPr>
        <w:t>IPSARD</w:t>
      </w:r>
      <w:r w:rsidR="00821A87" w:rsidRPr="00986221">
        <w:rPr>
          <w:rFonts w:cs="Arial"/>
        </w:rPr>
        <w:t>)</w:t>
      </w:r>
      <w:r w:rsidRPr="00986221">
        <w:rPr>
          <w:rFonts w:cs="Arial"/>
        </w:rPr>
        <w:t>.</w:t>
      </w:r>
      <w:proofErr w:type="gramEnd"/>
    </w:p>
    <w:p w14:paraId="0F300881" w14:textId="5B32C8C3" w:rsidR="00C30922" w:rsidRPr="00986221" w:rsidRDefault="00C30922" w:rsidP="000221A3">
      <w:pPr>
        <w:pStyle w:val="ListParagraph"/>
      </w:pPr>
      <w:r w:rsidRPr="00986221">
        <w:t xml:space="preserve">This component aims to help the </w:t>
      </w:r>
      <w:r w:rsidR="00CD14EA" w:rsidRPr="00986221">
        <w:t>G</w:t>
      </w:r>
      <w:r w:rsidRPr="00986221">
        <w:t>o</w:t>
      </w:r>
      <w:r w:rsidR="00CD14EA" w:rsidRPr="00986221">
        <w:t>V</w:t>
      </w:r>
      <w:r w:rsidRPr="00986221">
        <w:t xml:space="preserve"> formulate evidence-based strategies for restructuring the rural economy to improve access to higher value-added economic opportunities in rural areas</w:t>
      </w:r>
      <w:r w:rsidRPr="00986221">
        <w:rPr>
          <w:rStyle w:val="FootnoteReference"/>
        </w:rPr>
        <w:footnoteReference w:id="21"/>
      </w:r>
      <w:r w:rsidRPr="00986221">
        <w:t>.</w:t>
      </w:r>
      <w:r w:rsidR="00691F53" w:rsidRPr="00986221">
        <w:t xml:space="preserve"> </w:t>
      </w:r>
      <w:r w:rsidR="00480632" w:rsidRPr="00986221">
        <w:t xml:space="preserve">The focus under this pilot phase will be on restructuring the rice value chain. </w:t>
      </w:r>
      <w:r w:rsidR="00691F53" w:rsidRPr="00986221">
        <w:t>This component is important in terms of promoting inclusive growth as most of the poor people live in rural areas, and about 50% of women and 45% of men</w:t>
      </w:r>
      <w:r w:rsidR="00414E2F" w:rsidRPr="00986221">
        <w:t xml:space="preserve"> in Vietnam</w:t>
      </w:r>
      <w:r w:rsidR="00691F53" w:rsidRPr="00986221">
        <w:t xml:space="preserve"> are </w:t>
      </w:r>
      <w:r w:rsidR="00414E2F" w:rsidRPr="00986221">
        <w:t xml:space="preserve">directly </w:t>
      </w:r>
      <w:r w:rsidR="00691F53" w:rsidRPr="00986221">
        <w:t xml:space="preserve">employed in </w:t>
      </w:r>
      <w:r w:rsidR="00414E2F" w:rsidRPr="00986221">
        <w:t xml:space="preserve">the </w:t>
      </w:r>
      <w:r w:rsidR="00691F53" w:rsidRPr="00986221">
        <w:t>agriculture</w:t>
      </w:r>
      <w:r w:rsidR="00414E2F" w:rsidRPr="00986221">
        <w:t xml:space="preserve"> sector</w:t>
      </w:r>
      <w:r w:rsidR="00691F53" w:rsidRPr="00986221">
        <w:t>.</w:t>
      </w:r>
      <w:r w:rsidRPr="00986221">
        <w:rPr>
          <w:i/>
        </w:rPr>
        <w:t xml:space="preserve"> </w:t>
      </w:r>
      <w:r w:rsidRPr="00986221">
        <w:t xml:space="preserve">Targeted </w:t>
      </w:r>
      <w:r w:rsidR="005051A3" w:rsidRPr="00986221">
        <w:t>outputs</w:t>
      </w:r>
      <w:r w:rsidRPr="00986221">
        <w:t xml:space="preserve"> include:</w:t>
      </w:r>
    </w:p>
    <w:p w14:paraId="715FC267" w14:textId="14FCABE9" w:rsidR="00015F1B" w:rsidRPr="00986221" w:rsidRDefault="00E9416D" w:rsidP="005A6DE3">
      <w:pPr>
        <w:pStyle w:val="ListParagraphindent"/>
      </w:pPr>
      <w:r w:rsidRPr="00986221">
        <w:rPr>
          <w:u w:val="single"/>
        </w:rPr>
        <w:t>Rice value chain studies</w:t>
      </w:r>
      <w:r w:rsidR="00C63E11" w:rsidRPr="00986221">
        <w:rPr>
          <w:u w:val="single"/>
        </w:rPr>
        <w:t xml:space="preserve"> and </w:t>
      </w:r>
      <w:r w:rsidR="009F1AC0" w:rsidRPr="00986221">
        <w:rPr>
          <w:u w:val="single"/>
        </w:rPr>
        <w:t>pilot innovations</w:t>
      </w:r>
      <w:r w:rsidRPr="00986221">
        <w:t xml:space="preserve">. </w:t>
      </w:r>
      <w:r w:rsidR="00CD6872" w:rsidRPr="00986221">
        <w:t xml:space="preserve">Support will be provided for policy analysis and consultations leading to the formulation </w:t>
      </w:r>
      <w:r w:rsidR="006766CC" w:rsidRPr="00986221">
        <w:t xml:space="preserve">and pilot implementation </w:t>
      </w:r>
      <w:r w:rsidR="00CD6872" w:rsidRPr="00986221">
        <w:t xml:space="preserve">of </w:t>
      </w:r>
      <w:r w:rsidR="006766CC" w:rsidRPr="00986221">
        <w:t>new</w:t>
      </w:r>
      <w:r w:rsidR="00975ABE" w:rsidRPr="00986221">
        <w:t xml:space="preserve"> institutional structure</w:t>
      </w:r>
      <w:r w:rsidR="006766CC" w:rsidRPr="00986221">
        <w:t>s</w:t>
      </w:r>
      <w:r w:rsidR="00975ABE" w:rsidRPr="00986221">
        <w:t xml:space="preserve"> </w:t>
      </w:r>
      <w:r w:rsidR="006766CC" w:rsidRPr="00986221">
        <w:t>to increase the value added in</w:t>
      </w:r>
      <w:r w:rsidR="00975ABE" w:rsidRPr="00986221">
        <w:t xml:space="preserve"> rice production value chain</w:t>
      </w:r>
      <w:r w:rsidR="00DF1058" w:rsidRPr="00986221">
        <w:t>s</w:t>
      </w:r>
      <w:r w:rsidR="00975ABE" w:rsidRPr="00986221">
        <w:t xml:space="preserve"> in Dong Thap</w:t>
      </w:r>
      <w:r w:rsidR="00CD6872" w:rsidRPr="00986221">
        <w:t>.</w:t>
      </w:r>
      <w:r w:rsidR="006766CC" w:rsidRPr="00986221">
        <w:t xml:space="preserve"> </w:t>
      </w:r>
      <w:r w:rsidR="005A29CA" w:rsidRPr="00986221">
        <w:t>Specific attention will be given to gender issues in value chain development.</w:t>
      </w:r>
    </w:p>
    <w:p w14:paraId="3D861D09" w14:textId="4D2D8399" w:rsidR="005F1673" w:rsidRPr="00986221" w:rsidRDefault="00015F1B" w:rsidP="005A6DE3">
      <w:pPr>
        <w:pStyle w:val="ListParagraphindent"/>
      </w:pPr>
      <w:r w:rsidRPr="00986221">
        <w:rPr>
          <w:u w:val="single"/>
        </w:rPr>
        <w:t>Recommendations</w:t>
      </w:r>
      <w:r w:rsidR="001C699D" w:rsidRPr="00986221">
        <w:rPr>
          <w:u w:val="single"/>
        </w:rPr>
        <w:t xml:space="preserve"> to Minister, MARD, </w:t>
      </w:r>
      <w:r w:rsidRPr="00986221">
        <w:rPr>
          <w:u w:val="single"/>
        </w:rPr>
        <w:t>on rice sector restructuring.</w:t>
      </w:r>
      <w:r w:rsidRPr="00986221">
        <w:t xml:space="preserve"> </w:t>
      </w:r>
      <w:r w:rsidR="009F1AC0" w:rsidRPr="00986221">
        <w:t>I</w:t>
      </w:r>
      <w:r w:rsidR="000C186C" w:rsidRPr="00986221">
        <w:t xml:space="preserve">mproved modelling and analysis of impacts of constraints to </w:t>
      </w:r>
      <w:r w:rsidR="004A04F1" w:rsidRPr="00986221">
        <w:t xml:space="preserve">developing </w:t>
      </w:r>
      <w:r w:rsidR="000C186C" w:rsidRPr="00986221">
        <w:t>rice value chain (e.g. paddy land reservation, barriers to competition</w:t>
      </w:r>
      <w:r w:rsidR="009F1AC0" w:rsidRPr="00986221">
        <w:t xml:space="preserve"> and innovation</w:t>
      </w:r>
      <w:r w:rsidR="0037496E" w:rsidRPr="00986221">
        <w:t>, institutions</w:t>
      </w:r>
      <w:r w:rsidR="000C186C" w:rsidRPr="00986221">
        <w:t xml:space="preserve">) and impacts </w:t>
      </w:r>
      <w:r w:rsidR="009F1AC0" w:rsidRPr="00986221">
        <w:t>of emerging</w:t>
      </w:r>
      <w:r w:rsidR="000C186C" w:rsidRPr="00986221">
        <w:t xml:space="preserve"> international commitments</w:t>
      </w:r>
      <w:r w:rsidR="00975ABE" w:rsidRPr="00986221">
        <w:t xml:space="preserve"> </w:t>
      </w:r>
      <w:r w:rsidR="000C186C" w:rsidRPr="00986221">
        <w:t xml:space="preserve">informing national policy debate </w:t>
      </w:r>
      <w:r w:rsidR="009F1AC0" w:rsidRPr="00986221">
        <w:t>on policy options to</w:t>
      </w:r>
      <w:r w:rsidR="00975ABE" w:rsidRPr="00986221">
        <w:t xml:space="preserve"> promote higher value added, more efficient an</w:t>
      </w:r>
      <w:r w:rsidR="009F1AC0" w:rsidRPr="00986221">
        <w:t xml:space="preserve">d sustainable rice </w:t>
      </w:r>
      <w:r w:rsidR="004A04F1" w:rsidRPr="00986221">
        <w:t>sector</w:t>
      </w:r>
      <w:r w:rsidR="00033BE6" w:rsidRPr="00986221">
        <w:rPr>
          <w:rStyle w:val="FootnoteReference"/>
        </w:rPr>
        <w:footnoteReference w:id="22"/>
      </w:r>
      <w:r w:rsidR="001C699D" w:rsidRPr="00986221">
        <w:t xml:space="preserve">. </w:t>
      </w:r>
      <w:r w:rsidR="009F1AC0" w:rsidRPr="00986221">
        <w:t xml:space="preserve">This analysis </w:t>
      </w:r>
      <w:r w:rsidRPr="00986221">
        <w:t xml:space="preserve">will </w:t>
      </w:r>
      <w:r w:rsidR="005F1673" w:rsidRPr="00986221">
        <w:t xml:space="preserve">contribute to the strategy for agriculture and rural development </w:t>
      </w:r>
      <w:r w:rsidR="006766CC" w:rsidRPr="00986221">
        <w:t>for the SEDP</w:t>
      </w:r>
      <w:r w:rsidR="005F1673" w:rsidRPr="00986221">
        <w:t xml:space="preserve"> 2016-2020.</w:t>
      </w:r>
    </w:p>
    <w:p w14:paraId="2BF9785F" w14:textId="34A77E57" w:rsidR="001C699D" w:rsidRPr="00986221" w:rsidRDefault="009F1AC0" w:rsidP="005A6DE3">
      <w:pPr>
        <w:pStyle w:val="ListParagraphindent"/>
      </w:pPr>
      <w:r w:rsidRPr="00986221">
        <w:rPr>
          <w:u w:val="single"/>
        </w:rPr>
        <w:t xml:space="preserve">Policy dialogue and awareness </w:t>
      </w:r>
      <w:proofErr w:type="gramStart"/>
      <w:r w:rsidRPr="00986221">
        <w:rPr>
          <w:u w:val="single"/>
        </w:rPr>
        <w:t>r</w:t>
      </w:r>
      <w:r w:rsidR="00480632" w:rsidRPr="00986221">
        <w:rPr>
          <w:u w:val="single"/>
        </w:rPr>
        <w:t>aising</w:t>
      </w:r>
      <w:proofErr w:type="gramEnd"/>
      <w:r w:rsidR="005F1673" w:rsidRPr="00986221">
        <w:t xml:space="preserve">. </w:t>
      </w:r>
      <w:r w:rsidR="009066B5" w:rsidRPr="00986221">
        <w:t>Information dissemination and policy dialogue will be used to improve awareness of opportunities for increasing competitiveness through re-structuring of rice value chains, and to build consensus</w:t>
      </w:r>
      <w:r w:rsidR="00C95840" w:rsidRPr="00986221">
        <w:t xml:space="preserve"> on priority actions for </w:t>
      </w:r>
      <w:r w:rsidR="009066B5" w:rsidRPr="00986221">
        <w:t>rural restructuring.</w:t>
      </w:r>
    </w:p>
    <w:p w14:paraId="444D76C5" w14:textId="77777777" w:rsidR="00C30922" w:rsidRPr="00986221" w:rsidRDefault="00C30922" w:rsidP="000221A3">
      <w:pPr>
        <w:pStyle w:val="Heading4"/>
        <w:ind w:left="426"/>
        <w:rPr>
          <w:rFonts w:cs="Arial"/>
        </w:rPr>
      </w:pPr>
      <w:proofErr w:type="gramStart"/>
      <w:r w:rsidRPr="00986221">
        <w:rPr>
          <w:rFonts w:cs="Arial"/>
        </w:rPr>
        <w:t>Flexible Fund to Respond to Priority Emerging Issues (CIEM).</w:t>
      </w:r>
      <w:proofErr w:type="gramEnd"/>
    </w:p>
    <w:p w14:paraId="142E0AFF" w14:textId="1D95E8BA" w:rsidR="00465ACE" w:rsidRPr="00986221" w:rsidRDefault="00465ACE" w:rsidP="000221A3">
      <w:pPr>
        <w:pStyle w:val="Heading4"/>
        <w:ind w:left="426"/>
        <w:rPr>
          <w:rFonts w:cs="Arial"/>
        </w:rPr>
      </w:pPr>
      <w:r w:rsidRPr="00986221">
        <w:rPr>
          <w:rFonts w:cs="Arial"/>
        </w:rPr>
        <w:t>Cross-Component Outcome</w:t>
      </w:r>
      <w:r w:rsidR="004A17C2" w:rsidRPr="00986221">
        <w:rPr>
          <w:rFonts w:cs="Arial"/>
        </w:rPr>
        <w:t>s</w:t>
      </w:r>
    </w:p>
    <w:p w14:paraId="18BFF275" w14:textId="0BBD194B" w:rsidR="00582AED" w:rsidRPr="00986221" w:rsidRDefault="00582AED" w:rsidP="000221A3">
      <w:pPr>
        <w:pStyle w:val="ListParagraph"/>
      </w:pPr>
      <w:r w:rsidRPr="00986221">
        <w:t>This component will provide a mechanism to respond quickly to emerging economic restructuring related issues identified as a priority by the Governments of Vietnam and Australia. Detail</w:t>
      </w:r>
      <w:r w:rsidR="003A59CF" w:rsidRPr="00986221">
        <w:t xml:space="preserve">s of the operation of this fund </w:t>
      </w:r>
      <w:r w:rsidRPr="00986221">
        <w:t xml:space="preserve">are provided in </w:t>
      </w:r>
      <w:r w:rsidRPr="00986221">
        <w:rPr>
          <w:b/>
          <w:u w:val="single"/>
        </w:rPr>
        <w:t xml:space="preserve">Appendix </w:t>
      </w:r>
      <w:r w:rsidR="00506B6E" w:rsidRPr="00986221">
        <w:rPr>
          <w:b/>
          <w:u w:val="single"/>
        </w:rPr>
        <w:t>3</w:t>
      </w:r>
      <w:r w:rsidR="00452FDA" w:rsidRPr="00986221">
        <w:rPr>
          <w:b/>
          <w:u w:val="single"/>
        </w:rPr>
        <w:t xml:space="preserve">- </w:t>
      </w:r>
      <w:r w:rsidR="00414E2F" w:rsidRPr="00986221">
        <w:rPr>
          <w:b/>
          <w:u w:val="single"/>
        </w:rPr>
        <w:t xml:space="preserve">RCV </w:t>
      </w:r>
      <w:r w:rsidR="00452FDA" w:rsidRPr="00986221">
        <w:rPr>
          <w:b/>
          <w:u w:val="single"/>
        </w:rPr>
        <w:t>Flexible Fund</w:t>
      </w:r>
      <w:r w:rsidRPr="00986221">
        <w:rPr>
          <w:b/>
        </w:rPr>
        <w:t>.</w:t>
      </w:r>
    </w:p>
    <w:p w14:paraId="2D3A6B24" w14:textId="1BB0A374" w:rsidR="0001589F" w:rsidRPr="00986221" w:rsidRDefault="0001589F" w:rsidP="000221A3">
      <w:pPr>
        <w:pStyle w:val="ListParagraph"/>
      </w:pPr>
      <w:r w:rsidRPr="00986221">
        <w:t xml:space="preserve">The </w:t>
      </w:r>
      <w:r w:rsidR="00ED4F79" w:rsidRPr="00986221">
        <w:t>proposed support</w:t>
      </w:r>
      <w:r w:rsidRPr="00986221">
        <w:t xml:space="preserve"> </w:t>
      </w:r>
      <w:r w:rsidR="00DE4EF4" w:rsidRPr="00986221">
        <w:t>will</w:t>
      </w:r>
      <w:r w:rsidR="00465ACE" w:rsidRPr="00986221">
        <w:t xml:space="preserve"> also</w:t>
      </w:r>
      <w:r w:rsidR="00DE4EF4" w:rsidRPr="00986221">
        <w:t xml:space="preserve"> contribute to </w:t>
      </w:r>
      <w:proofErr w:type="gramStart"/>
      <w:r w:rsidR="00DE4EF4" w:rsidRPr="00986221">
        <w:t>improved</w:t>
      </w:r>
      <w:proofErr w:type="gramEnd"/>
      <w:r w:rsidR="00DE4EF4" w:rsidRPr="00986221">
        <w:t xml:space="preserve"> </w:t>
      </w:r>
      <w:r w:rsidRPr="00986221">
        <w:t>soc</w:t>
      </w:r>
      <w:r w:rsidR="00DE4EF4" w:rsidRPr="00986221">
        <w:t>io-economic development planning</w:t>
      </w:r>
      <w:r w:rsidRPr="00986221">
        <w:t xml:space="preserve">. Vietnam’s current SEDP will end in 2015, with a new SEDP (2016-20) to be formulated and approved over the next two years. The </w:t>
      </w:r>
      <w:r w:rsidR="00506B6E" w:rsidRPr="00986221">
        <w:t>CPV</w:t>
      </w:r>
      <w:r w:rsidRPr="00986221">
        <w:t xml:space="preserve"> has also launched a study to review 30 years of </w:t>
      </w:r>
      <w:proofErr w:type="spellStart"/>
      <w:r w:rsidRPr="00986221">
        <w:rPr>
          <w:i/>
        </w:rPr>
        <w:t>Doi</w:t>
      </w:r>
      <w:proofErr w:type="spellEnd"/>
      <w:r w:rsidRPr="00986221">
        <w:rPr>
          <w:i/>
        </w:rPr>
        <w:t xml:space="preserve"> </w:t>
      </w:r>
      <w:proofErr w:type="spellStart"/>
      <w:r w:rsidRPr="00986221">
        <w:rPr>
          <w:i/>
        </w:rPr>
        <w:t>Moi</w:t>
      </w:r>
      <w:proofErr w:type="spellEnd"/>
      <w:r w:rsidRPr="00986221">
        <w:t xml:space="preserve">. Key counterparts for </w:t>
      </w:r>
      <w:r w:rsidR="00597052" w:rsidRPr="00986221">
        <w:t xml:space="preserve">RCV </w:t>
      </w:r>
      <w:r w:rsidRPr="00986221">
        <w:t>will play important roles in both these exercises, providing good opportunities to influence the shape of the reform agenda going forward.  In addition to these opportunities for influence, the Program will be well positioned to provide concrete recommendations to the highest levels of the Go</w:t>
      </w:r>
      <w:r w:rsidR="00CD14EA" w:rsidRPr="00986221">
        <w:t>V</w:t>
      </w:r>
      <w:r w:rsidRPr="00986221">
        <w:t xml:space="preserve"> and </w:t>
      </w:r>
      <w:r w:rsidR="00CD14EA" w:rsidRPr="00986221">
        <w:t>CPV</w:t>
      </w:r>
      <w:r w:rsidRPr="00986221">
        <w:t xml:space="preserve">. </w:t>
      </w:r>
    </w:p>
    <w:p w14:paraId="1B0DD7C0" w14:textId="20600EA8" w:rsidR="004A17C2" w:rsidRPr="00986221" w:rsidRDefault="004A17C2" w:rsidP="000221A3">
      <w:pPr>
        <w:pStyle w:val="ListParagraph"/>
      </w:pPr>
      <w:r w:rsidRPr="00986221">
        <w:t xml:space="preserve">More broadly, the proposed support will help </w:t>
      </w:r>
      <w:r w:rsidR="002D4F7A" w:rsidRPr="00986221">
        <w:t xml:space="preserve">to </w:t>
      </w:r>
      <w:r w:rsidRPr="00986221">
        <w:t xml:space="preserve">build </w:t>
      </w:r>
      <w:r w:rsidR="002D4F7A" w:rsidRPr="00986221">
        <w:t xml:space="preserve">awareness of the benefits of </w:t>
      </w:r>
      <w:r w:rsidRPr="00986221">
        <w:t xml:space="preserve">“whole-of-government” </w:t>
      </w:r>
      <w:r w:rsidR="002D4F7A" w:rsidRPr="00986221">
        <w:t xml:space="preserve">and public-private collaborative </w:t>
      </w:r>
      <w:r w:rsidRPr="00986221">
        <w:t xml:space="preserve">approaches to analysing and taking action on key economic </w:t>
      </w:r>
      <w:r w:rsidR="002D4F7A" w:rsidRPr="00986221">
        <w:t xml:space="preserve">restructuring and </w:t>
      </w:r>
      <w:r w:rsidRPr="00986221">
        <w:t xml:space="preserve">development issues. </w:t>
      </w:r>
      <w:r w:rsidR="00326F4A" w:rsidRPr="00986221">
        <w:t xml:space="preserve">During implementation the program will need to ensure that policy recommendations feed into other “whole of government” mechanisms such as the </w:t>
      </w:r>
      <w:r w:rsidR="00DE5565" w:rsidRPr="00986221">
        <w:t>National Steering Committee on Sustainable Development and Competitiveness</w:t>
      </w:r>
      <w:r w:rsidR="00326F4A" w:rsidRPr="00986221">
        <w:t xml:space="preserve"> (NSCSDC) and the National Committee on Integration</w:t>
      </w:r>
      <w:r w:rsidR="00DE5565" w:rsidRPr="00986221">
        <w:t xml:space="preserve"> (NCI)</w:t>
      </w:r>
      <w:r w:rsidR="00326F4A" w:rsidRPr="00986221">
        <w:t>.</w:t>
      </w:r>
    </w:p>
    <w:p w14:paraId="074DACFC" w14:textId="77777777" w:rsidR="00EA16E9" w:rsidRPr="00986221" w:rsidRDefault="00EA16E9" w:rsidP="000221A3">
      <w:pPr>
        <w:pStyle w:val="Heading2"/>
        <w:ind w:left="426"/>
      </w:pPr>
      <w:bookmarkStart w:id="24" w:name="_Toc387322644"/>
      <w:r w:rsidRPr="00986221">
        <w:t>Delivery Approach</w:t>
      </w:r>
      <w:bookmarkEnd w:id="24"/>
    </w:p>
    <w:p w14:paraId="54806088" w14:textId="4711A8F8" w:rsidR="00E076BF" w:rsidRPr="00986221" w:rsidRDefault="00E076BF" w:rsidP="000221A3">
      <w:pPr>
        <w:pStyle w:val="Heading3"/>
        <w:ind w:left="426"/>
      </w:pPr>
      <w:bookmarkStart w:id="25" w:name="_Toc387322645"/>
      <w:r w:rsidRPr="00986221">
        <w:t>Program Delivery th</w:t>
      </w:r>
      <w:r w:rsidR="005B06D4" w:rsidRPr="00986221">
        <w:t>r</w:t>
      </w:r>
      <w:r w:rsidRPr="00986221">
        <w:t xml:space="preserve">ough </w:t>
      </w:r>
      <w:r w:rsidR="004D3716" w:rsidRPr="00986221">
        <w:t>Government Systems</w:t>
      </w:r>
      <w:bookmarkEnd w:id="25"/>
      <w:r w:rsidRPr="00986221">
        <w:t xml:space="preserve"> </w:t>
      </w:r>
    </w:p>
    <w:p w14:paraId="5DC90FA0" w14:textId="4DB7BC43" w:rsidR="00BB6F6E" w:rsidRPr="00986221" w:rsidRDefault="00253530" w:rsidP="000221A3">
      <w:pPr>
        <w:pStyle w:val="ListParagraph"/>
      </w:pPr>
      <w:r w:rsidRPr="00986221">
        <w:t xml:space="preserve">Supported will be delivered through national implementing agencies, </w:t>
      </w:r>
      <w:r w:rsidR="00BB6F6E" w:rsidRPr="00986221">
        <w:t>using national procurement and financial management, reporting, and accountability systems.</w:t>
      </w:r>
      <w:r w:rsidR="00550890" w:rsidRPr="00986221">
        <w:t xml:space="preserve"> The Project Director will be responsible to the Go</w:t>
      </w:r>
      <w:r w:rsidR="00CD14EA" w:rsidRPr="00986221">
        <w:t>V</w:t>
      </w:r>
      <w:r w:rsidR="00550890" w:rsidRPr="00986221">
        <w:t xml:space="preserve"> and DFAT for effective and efficient use of program resources.</w:t>
      </w:r>
      <w:r w:rsidR="00582AED" w:rsidRPr="00986221">
        <w:t xml:space="preserve"> </w:t>
      </w:r>
      <w:r w:rsidR="00C70994" w:rsidRPr="00986221">
        <w:t xml:space="preserve">Previous </w:t>
      </w:r>
      <w:proofErr w:type="gramStart"/>
      <w:r w:rsidR="00C70994" w:rsidRPr="00986221">
        <w:t>experience have</w:t>
      </w:r>
      <w:proofErr w:type="gramEnd"/>
      <w:r w:rsidR="00C70994" w:rsidRPr="00986221">
        <w:t xml:space="preserve"> demonstrated that the Vietnamese Go</w:t>
      </w:r>
      <w:r w:rsidR="00CD14EA" w:rsidRPr="00986221">
        <w:t>V</w:t>
      </w:r>
      <w:r w:rsidR="00C70994" w:rsidRPr="00986221">
        <w:t xml:space="preserve"> system can effective deliver such support in line with Government of Australian requirements</w:t>
      </w:r>
      <w:r w:rsidR="00C70994" w:rsidRPr="00986221">
        <w:rPr>
          <w:rStyle w:val="FootnoteReference"/>
        </w:rPr>
        <w:footnoteReference w:id="23"/>
      </w:r>
      <w:r w:rsidR="00C70994" w:rsidRPr="00986221">
        <w:t>.</w:t>
      </w:r>
    </w:p>
    <w:p w14:paraId="635450D1" w14:textId="76EDA72D" w:rsidR="00324344" w:rsidRPr="00986221" w:rsidRDefault="00324344" w:rsidP="000221A3">
      <w:pPr>
        <w:pStyle w:val="ListParagraph"/>
      </w:pPr>
      <w:r w:rsidRPr="00986221">
        <w:t xml:space="preserve">The STA, </w:t>
      </w:r>
      <w:r w:rsidR="00BB6F6E" w:rsidRPr="00986221">
        <w:t>d</w:t>
      </w:r>
      <w:r w:rsidR="00C44C52" w:rsidRPr="00986221">
        <w:t xml:space="preserve">evelopment experts at </w:t>
      </w:r>
      <w:r w:rsidRPr="00986221">
        <w:t>DFAT</w:t>
      </w:r>
      <w:r w:rsidR="00550890" w:rsidRPr="00986221">
        <w:t>, and other national and international experts,</w:t>
      </w:r>
      <w:r w:rsidR="00253530" w:rsidRPr="00986221">
        <w:t xml:space="preserve"> </w:t>
      </w:r>
      <w:r w:rsidR="00BB6F6E" w:rsidRPr="00986221">
        <w:t xml:space="preserve">will </w:t>
      </w:r>
      <w:r w:rsidRPr="00986221">
        <w:t xml:space="preserve">advise on </w:t>
      </w:r>
      <w:r w:rsidR="004D3716" w:rsidRPr="00986221">
        <w:t xml:space="preserve">the development of work-plans, research methodology, </w:t>
      </w:r>
      <w:r w:rsidR="00550890" w:rsidRPr="00986221">
        <w:t xml:space="preserve">identifying and </w:t>
      </w:r>
      <w:r w:rsidR="00C44C52" w:rsidRPr="00986221">
        <w:t>mobilizing international expertise</w:t>
      </w:r>
      <w:r w:rsidR="004D3716" w:rsidRPr="00986221">
        <w:t>, and results monitoring</w:t>
      </w:r>
      <w:r w:rsidR="00253530" w:rsidRPr="00986221">
        <w:t xml:space="preserve">. </w:t>
      </w:r>
    </w:p>
    <w:p w14:paraId="4B295EA1" w14:textId="143516EA" w:rsidR="00D7281E" w:rsidRPr="00986221" w:rsidRDefault="00BB6F6E" w:rsidP="000221A3">
      <w:pPr>
        <w:pStyle w:val="ListParagraph"/>
      </w:pPr>
      <w:r w:rsidRPr="00986221">
        <w:t>In addition to Go</w:t>
      </w:r>
      <w:r w:rsidR="00CD14EA" w:rsidRPr="00986221">
        <w:t>V</w:t>
      </w:r>
      <w:r w:rsidRPr="00986221">
        <w:t xml:space="preserve"> reporting requirements</w:t>
      </w:r>
      <w:r w:rsidR="00835D27" w:rsidRPr="00986221">
        <w:t xml:space="preserve"> for p</w:t>
      </w:r>
      <w:r w:rsidR="000B2878" w:rsidRPr="00986221">
        <w:t>rojects financed from Official Development A</w:t>
      </w:r>
      <w:r w:rsidR="00835D27" w:rsidRPr="00986221">
        <w:t>ssistance (ODA)</w:t>
      </w:r>
      <w:r w:rsidRPr="00986221">
        <w:t xml:space="preserve">, the Program will be required to submit </w:t>
      </w:r>
      <w:r w:rsidR="008F04DD" w:rsidRPr="00986221">
        <w:t xml:space="preserve">quarterly, six-monthly </w:t>
      </w:r>
      <w:r w:rsidRPr="00986221">
        <w:t>and annual performance and res</w:t>
      </w:r>
      <w:r w:rsidR="00A03146" w:rsidRPr="00986221">
        <w:t>ults monitoring report to DFAT in line with DFAT reporting needs.</w:t>
      </w:r>
      <w:r w:rsidR="007D3867" w:rsidRPr="00986221">
        <w:t xml:space="preserve"> Program reporting obligations are provided in the </w:t>
      </w:r>
      <w:r w:rsidR="008F04DD" w:rsidRPr="00986221">
        <w:t xml:space="preserve">M&amp;E </w:t>
      </w:r>
      <w:r w:rsidR="007D3867" w:rsidRPr="00986221">
        <w:t xml:space="preserve">framework attached as </w:t>
      </w:r>
      <w:r w:rsidR="007D3867" w:rsidRPr="00986221">
        <w:rPr>
          <w:b/>
          <w:u w:val="single"/>
        </w:rPr>
        <w:t xml:space="preserve">Appendix </w:t>
      </w:r>
      <w:r w:rsidR="008F04DD" w:rsidRPr="00986221">
        <w:rPr>
          <w:b/>
          <w:u w:val="single"/>
        </w:rPr>
        <w:t>1</w:t>
      </w:r>
      <w:r w:rsidR="00452FDA" w:rsidRPr="00986221">
        <w:rPr>
          <w:b/>
          <w:u w:val="single"/>
        </w:rPr>
        <w:t>-M&amp;E Framework</w:t>
      </w:r>
      <w:r w:rsidR="007D3867" w:rsidRPr="00986221">
        <w:t xml:space="preserve">. </w:t>
      </w:r>
      <w:r w:rsidR="00AE6E93" w:rsidRPr="00986221">
        <w:t>Additional guidance will be included in the program operational manual (OM).</w:t>
      </w:r>
      <w:r w:rsidR="00AE6E93" w:rsidRPr="00986221">
        <w:rPr>
          <w:rStyle w:val="FootnoteReference"/>
        </w:rPr>
        <w:footnoteReference w:id="24"/>
      </w:r>
    </w:p>
    <w:p w14:paraId="310C5CD4" w14:textId="77777777" w:rsidR="00E076BF" w:rsidRPr="00986221" w:rsidRDefault="00E076BF" w:rsidP="000221A3">
      <w:pPr>
        <w:pStyle w:val="Heading3"/>
        <w:ind w:left="426"/>
      </w:pPr>
      <w:bookmarkStart w:id="26" w:name="_Toc387322646"/>
      <w:r w:rsidRPr="00986221">
        <w:t>Other options considered</w:t>
      </w:r>
      <w:bookmarkEnd w:id="26"/>
    </w:p>
    <w:p w14:paraId="4252017D" w14:textId="661E5C52" w:rsidR="00E076BF" w:rsidRPr="00986221" w:rsidRDefault="00E076BF" w:rsidP="000221A3">
      <w:pPr>
        <w:pStyle w:val="ListParagraph"/>
      </w:pPr>
      <w:r w:rsidRPr="00986221">
        <w:t xml:space="preserve">Australia has been working with the GoV on reforms related to economic integration for 6 years under the Beyond WTO (B-WTO) program. This work has been implemented through a </w:t>
      </w:r>
      <w:r w:rsidR="0095375E" w:rsidRPr="00986221">
        <w:t xml:space="preserve">multi-donor </w:t>
      </w:r>
      <w:r w:rsidRPr="00986221">
        <w:t xml:space="preserve">trust fund based at the Ministry of Industry and Trade. While the program has achieved some important results in areas like land management, price and valuation policy reforms, competition policy, business regulation, and developing improved interaction between business and </w:t>
      </w:r>
      <w:r w:rsidR="00CD14EA" w:rsidRPr="00986221">
        <w:t>GoV</w:t>
      </w:r>
      <w:r w:rsidRPr="00986221">
        <w:t xml:space="preserve"> agencies, the complexity of the management structure impeded effective and efficient decision making and strategic direction setting.  </w:t>
      </w:r>
    </w:p>
    <w:p w14:paraId="5F0FF565" w14:textId="3F049EFA" w:rsidR="00E076BF" w:rsidRPr="00986221" w:rsidRDefault="00E076BF" w:rsidP="000221A3">
      <w:pPr>
        <w:pStyle w:val="ListParagraph"/>
      </w:pPr>
      <w:r w:rsidRPr="00986221">
        <w:t xml:space="preserve">The mid-term review of B-WTO confirmed ongoing demand for assistance </w:t>
      </w:r>
      <w:r w:rsidR="00210FAF" w:rsidRPr="00986221">
        <w:t>to support the economic reform processes</w:t>
      </w:r>
      <w:r w:rsidRPr="00986221">
        <w:t xml:space="preserve">, but suggested that Australia consider alternative implementation options for any future investments. One option put forward for consideration was a managing contractor model. While this model might bring some efficiency to </w:t>
      </w:r>
      <w:r w:rsidR="00210FAF" w:rsidRPr="00986221">
        <w:t xml:space="preserve">program </w:t>
      </w:r>
      <w:r w:rsidRPr="00986221">
        <w:t>implementation, the counterpart agency level ownership of activities that was a positive feature of the B</w:t>
      </w:r>
      <w:r w:rsidR="0095375E" w:rsidRPr="00986221">
        <w:t>-</w:t>
      </w:r>
      <w:r w:rsidRPr="00986221">
        <w:t>WTO program would be weakened under such an approach, undermining the influence of interventions.</w:t>
      </w:r>
      <w:r w:rsidR="00F42B01" w:rsidRPr="00986221">
        <w:t xml:space="preserve"> The </w:t>
      </w:r>
      <w:r w:rsidR="005F68EF" w:rsidRPr="00986221">
        <w:t>possibility of involving an</w:t>
      </w:r>
      <w:r w:rsidR="00F42B01" w:rsidRPr="00986221">
        <w:t xml:space="preserve"> international development</w:t>
      </w:r>
      <w:r w:rsidR="005F68EF" w:rsidRPr="00986221">
        <w:t xml:space="preserve"> agency</w:t>
      </w:r>
      <w:r w:rsidR="00F42B01" w:rsidRPr="00986221">
        <w:t xml:space="preserve"> in implementation was rejected for the same reason.</w:t>
      </w:r>
    </w:p>
    <w:p w14:paraId="02460D7F" w14:textId="6E42D6BB" w:rsidR="00E076BF" w:rsidRPr="00986221" w:rsidRDefault="00E076BF" w:rsidP="000221A3">
      <w:pPr>
        <w:pStyle w:val="ListParagraph"/>
      </w:pPr>
      <w:r w:rsidRPr="00986221">
        <w:t xml:space="preserve">Instead, a hybrid model is proposed that offers a balance between efficiency and ownership, and that is more focussed on medium-term capacity building needs of targeted institutions. The program is designed to ensure ownership properties that encourage strong accountability of implementing partners, while avoiding the cumbersome governance structures that hampered the BWTO program.  </w:t>
      </w:r>
    </w:p>
    <w:p w14:paraId="6E80A9F7" w14:textId="77777777" w:rsidR="00EA16E9" w:rsidRPr="00986221" w:rsidRDefault="00EA16E9" w:rsidP="000221A3">
      <w:pPr>
        <w:pStyle w:val="Heading2"/>
        <w:ind w:left="426"/>
      </w:pPr>
      <w:bookmarkStart w:id="27" w:name="_Toc387322647"/>
      <w:r w:rsidRPr="00986221">
        <w:t>Resources</w:t>
      </w:r>
      <w:bookmarkEnd w:id="27"/>
    </w:p>
    <w:p w14:paraId="675DAC10" w14:textId="6B0E218A" w:rsidR="00A23CE9" w:rsidRPr="00986221" w:rsidRDefault="00A23CE9" w:rsidP="000221A3">
      <w:pPr>
        <w:pStyle w:val="ListParagraph"/>
      </w:pPr>
      <w:r w:rsidRPr="00986221">
        <w:t xml:space="preserve">The GoV </w:t>
      </w:r>
      <w:r w:rsidR="00960FB9" w:rsidRPr="00986221">
        <w:t>is providing substantial (</w:t>
      </w:r>
      <w:r w:rsidR="000B2878" w:rsidRPr="00986221">
        <w:t>but</w:t>
      </w:r>
      <w:r w:rsidR="00960FB9" w:rsidRPr="00986221">
        <w:t xml:space="preserve"> only partially </w:t>
      </w:r>
      <w:r w:rsidRPr="00986221">
        <w:t xml:space="preserve">quantified) human and financial resources for successful implementation of the </w:t>
      </w:r>
      <w:r w:rsidR="008F04DD" w:rsidRPr="00986221">
        <w:t xml:space="preserve">RCV </w:t>
      </w:r>
      <w:r w:rsidR="00192F12" w:rsidRPr="00986221">
        <w:t>(see budget below)</w:t>
      </w:r>
      <w:r w:rsidRPr="00986221">
        <w:t>.</w:t>
      </w:r>
      <w:r w:rsidR="002F5433" w:rsidRPr="00986221">
        <w:t xml:space="preserve"> </w:t>
      </w:r>
    </w:p>
    <w:p w14:paraId="6487F572" w14:textId="69B3C818" w:rsidR="002F5433" w:rsidRPr="00986221" w:rsidRDefault="002F5433" w:rsidP="000221A3">
      <w:pPr>
        <w:pStyle w:val="ListParagraph"/>
      </w:pPr>
      <w:r w:rsidRPr="00986221">
        <w:t xml:space="preserve">CIEM will </w:t>
      </w:r>
      <w:r w:rsidR="00597264" w:rsidRPr="00986221">
        <w:t>establish a program support unit (</w:t>
      </w:r>
      <w:r w:rsidR="00485FC2" w:rsidRPr="00986221">
        <w:t>PCU</w:t>
      </w:r>
      <w:r w:rsidR="00597264" w:rsidRPr="00986221">
        <w:t xml:space="preserve">) and </w:t>
      </w:r>
      <w:r w:rsidRPr="00986221">
        <w:t>provide: a national program director (</w:t>
      </w:r>
      <w:r w:rsidR="002E4746" w:rsidRPr="00986221">
        <w:t>PD</w:t>
      </w:r>
      <w:r w:rsidRPr="00986221">
        <w:t xml:space="preserve">); </w:t>
      </w:r>
      <w:r w:rsidR="00D32ACE" w:rsidRPr="00986221">
        <w:t xml:space="preserve">a component manager; </w:t>
      </w:r>
      <w:r w:rsidRPr="00986221">
        <w:t xml:space="preserve">a program support office and facilities, and; </w:t>
      </w:r>
      <w:r w:rsidR="006732F2" w:rsidRPr="00986221">
        <w:t xml:space="preserve">accounting and </w:t>
      </w:r>
      <w:r w:rsidRPr="00986221">
        <w:t>administrative support</w:t>
      </w:r>
      <w:r w:rsidR="006732F2" w:rsidRPr="00986221">
        <w:t xml:space="preserve"> staff</w:t>
      </w:r>
      <w:r w:rsidRPr="00986221">
        <w:t>. CIEM</w:t>
      </w:r>
      <w:r w:rsidR="00D32ACE" w:rsidRPr="00986221">
        <w:t xml:space="preserve"> will also use its status to help convene the key stakeholders needed for policy dialogue.</w:t>
      </w:r>
    </w:p>
    <w:p w14:paraId="1B7FDD55" w14:textId="7017E424" w:rsidR="00D32ACE" w:rsidRPr="00986221" w:rsidRDefault="00D32ACE" w:rsidP="000221A3">
      <w:pPr>
        <w:pStyle w:val="ListParagraph"/>
      </w:pPr>
      <w:r w:rsidRPr="00986221">
        <w:t xml:space="preserve">VCA and IPSARD will </w:t>
      </w:r>
      <w:r w:rsidR="00192F12" w:rsidRPr="00986221">
        <w:t xml:space="preserve">establish component support units (CSU) and </w:t>
      </w:r>
      <w:r w:rsidRPr="00986221">
        <w:t>provide component directors (who will also serve on the Program coordination committ</w:t>
      </w:r>
      <w:r w:rsidR="006732F2" w:rsidRPr="00986221">
        <w:t>ee), a component manager, accounting and administrative support staff, and office facilities.</w:t>
      </w:r>
      <w:r w:rsidR="00192F12" w:rsidRPr="00986221">
        <w:t xml:space="preserve"> </w:t>
      </w:r>
    </w:p>
    <w:p w14:paraId="3B685C92" w14:textId="36F4AB17" w:rsidR="00960FB9" w:rsidRPr="00986221" w:rsidRDefault="00960FB9" w:rsidP="000221A3">
      <w:pPr>
        <w:pStyle w:val="ListParagraph"/>
      </w:pPr>
      <w:r w:rsidRPr="00986221">
        <w:t>The business community and other stakeholders are also expected to contribute their</w:t>
      </w:r>
      <w:r w:rsidR="00324344" w:rsidRPr="00986221">
        <w:t xml:space="preserve"> time and ideas as inputs for studies and consultations. Targeted efforts will also be made to seek media coverage of program findings and consultations.</w:t>
      </w:r>
    </w:p>
    <w:p w14:paraId="4FD8895C" w14:textId="17FF5DBE" w:rsidR="00B77CD9" w:rsidRPr="00B93071" w:rsidRDefault="00A23CE9" w:rsidP="00B77CD9">
      <w:pPr>
        <w:pStyle w:val="ListParagraph"/>
        <w:rPr>
          <w:b/>
          <w:highlight w:val="yellow"/>
        </w:rPr>
      </w:pPr>
      <w:r w:rsidRPr="00986221">
        <w:t xml:space="preserve">The </w:t>
      </w:r>
      <w:r w:rsidR="006732F2" w:rsidRPr="00986221">
        <w:t xml:space="preserve">Government of Australia </w:t>
      </w:r>
      <w:r w:rsidR="00B203AC">
        <w:t xml:space="preserve">will require up to </w:t>
      </w:r>
      <w:r w:rsidR="00B203AC" w:rsidRPr="00B93071">
        <w:rPr>
          <w:highlight w:val="yellow"/>
        </w:rPr>
        <w:t>AUD3</w:t>
      </w:r>
      <w:r w:rsidRPr="00B93071">
        <w:rPr>
          <w:highlight w:val="yellow"/>
        </w:rPr>
        <w:t>.</w:t>
      </w:r>
      <w:r w:rsidR="00B203AC" w:rsidRPr="00B93071">
        <w:rPr>
          <w:highlight w:val="yellow"/>
        </w:rPr>
        <w:t>1</w:t>
      </w:r>
      <w:r w:rsidRPr="00B93071">
        <w:rPr>
          <w:highlight w:val="yellow"/>
        </w:rPr>
        <w:t xml:space="preserve"> million</w:t>
      </w:r>
      <w:r w:rsidRPr="00986221">
        <w:t xml:space="preserve"> </w:t>
      </w:r>
      <w:r w:rsidR="006732F2" w:rsidRPr="00986221">
        <w:t xml:space="preserve">to finance </w:t>
      </w:r>
      <w:r w:rsidR="00B77CD9">
        <w:t xml:space="preserve">the program </w:t>
      </w:r>
      <w:r w:rsidR="00B77CD9" w:rsidRPr="00986221">
        <w:t>coordination experts, the SAG, national and international experts, applied policy studies, stakeholder consultations and policy dialogue, and capacity building activities</w:t>
      </w:r>
      <w:r w:rsidR="00B77CD9">
        <w:t xml:space="preserve"> </w:t>
      </w:r>
      <w:r w:rsidR="00B77CD9" w:rsidRPr="00B93071">
        <w:rPr>
          <w:highlight w:val="yellow"/>
        </w:rPr>
        <w:t xml:space="preserve">as well as design of a new phase. AUD2.5 million will be direct grant to </w:t>
      </w:r>
      <w:proofErr w:type="spellStart"/>
      <w:r w:rsidR="00B77CD9" w:rsidRPr="00B93071">
        <w:rPr>
          <w:highlight w:val="yellow"/>
        </w:rPr>
        <w:t>GoV.</w:t>
      </w:r>
      <w:proofErr w:type="spellEnd"/>
      <w:r w:rsidR="00B77CD9" w:rsidRPr="00B93071">
        <w:rPr>
          <w:highlight w:val="yellow"/>
        </w:rPr>
        <w:t xml:space="preserve"> </w:t>
      </w:r>
      <w:r w:rsidR="00B77CD9" w:rsidRPr="00B93071">
        <w:rPr>
          <w:szCs w:val="22"/>
          <w:highlight w:val="yellow"/>
        </w:rPr>
        <w:t>AUD600</w:t>
      </w:r>
      <w:proofErr w:type="gramStart"/>
      <w:r w:rsidR="00B77CD9" w:rsidRPr="00B93071">
        <w:rPr>
          <w:szCs w:val="22"/>
          <w:highlight w:val="yellow"/>
        </w:rPr>
        <w:t>,000</w:t>
      </w:r>
      <w:proofErr w:type="gramEnd"/>
      <w:r w:rsidR="00B77CD9" w:rsidRPr="00B93071">
        <w:rPr>
          <w:szCs w:val="22"/>
          <w:highlight w:val="yellow"/>
        </w:rPr>
        <w:t xml:space="preserve"> will be for technical assistance and related support for the implementation of the program and design of the new phase, managed by GOA.</w:t>
      </w:r>
    </w:p>
    <w:p w14:paraId="1709079D" w14:textId="4EF430A8" w:rsidR="005F28E2" w:rsidRPr="00B203AC" w:rsidRDefault="00640506" w:rsidP="00B203AC">
      <w:pPr>
        <w:pStyle w:val="ListParagraph"/>
        <w:numPr>
          <w:ilvl w:val="0"/>
          <w:numId w:val="0"/>
        </w:numPr>
        <w:ind w:left="426"/>
        <w:rPr>
          <w:b/>
        </w:rPr>
      </w:pPr>
      <w:r w:rsidRPr="00B203AC">
        <w:rPr>
          <w:b/>
        </w:rPr>
        <w:t xml:space="preserve">Table: </w:t>
      </w:r>
      <w:r w:rsidR="007407E1" w:rsidRPr="00B203AC">
        <w:rPr>
          <w:b/>
        </w:rPr>
        <w:t>Summary Budget (AUD ‘</w:t>
      </w:r>
      <w:r w:rsidR="005F28E2" w:rsidRPr="00B203AC">
        <w:rPr>
          <w:b/>
        </w:rPr>
        <w:t>000)</w:t>
      </w:r>
    </w:p>
    <w:tbl>
      <w:tblPr>
        <w:tblStyle w:val="TableGrid"/>
        <w:tblW w:w="0" w:type="auto"/>
        <w:tblInd w:w="357" w:type="dxa"/>
        <w:tblLook w:val="04A0" w:firstRow="1" w:lastRow="0" w:firstColumn="1" w:lastColumn="0" w:noHBand="0" w:noVBand="1"/>
      </w:tblPr>
      <w:tblGrid>
        <w:gridCol w:w="2870"/>
        <w:gridCol w:w="1322"/>
        <w:gridCol w:w="1322"/>
        <w:gridCol w:w="1322"/>
        <w:gridCol w:w="1365"/>
      </w:tblGrid>
      <w:tr w:rsidR="00184649" w:rsidRPr="00986221" w14:paraId="246330BC" w14:textId="77777777" w:rsidTr="003A59CF">
        <w:tc>
          <w:tcPr>
            <w:tcW w:w="2870" w:type="dxa"/>
            <w:shd w:val="clear" w:color="auto" w:fill="00FFFF"/>
          </w:tcPr>
          <w:p w14:paraId="40845B92" w14:textId="77777777" w:rsidR="00184649" w:rsidRPr="00986221" w:rsidRDefault="00184649" w:rsidP="000221A3">
            <w:pPr>
              <w:pStyle w:val="Table-normal-text"/>
              <w:ind w:left="426"/>
              <w:rPr>
                <w:rFonts w:cs="Arial"/>
              </w:rPr>
            </w:pPr>
          </w:p>
        </w:tc>
        <w:tc>
          <w:tcPr>
            <w:tcW w:w="1322" w:type="dxa"/>
            <w:shd w:val="clear" w:color="auto" w:fill="00FFFF"/>
          </w:tcPr>
          <w:p w14:paraId="30B9CD67" w14:textId="0501640D" w:rsidR="00184649" w:rsidRPr="00986221" w:rsidRDefault="00DB670A" w:rsidP="000221A3">
            <w:pPr>
              <w:pStyle w:val="Table-normal-text"/>
              <w:ind w:left="426"/>
              <w:jc w:val="right"/>
              <w:rPr>
                <w:rFonts w:cs="Arial"/>
              </w:rPr>
            </w:pPr>
            <w:r w:rsidRPr="00986221">
              <w:rPr>
                <w:rFonts w:cs="Arial"/>
              </w:rPr>
              <w:t>2014</w:t>
            </w:r>
          </w:p>
        </w:tc>
        <w:tc>
          <w:tcPr>
            <w:tcW w:w="1322" w:type="dxa"/>
            <w:shd w:val="clear" w:color="auto" w:fill="00FFFF"/>
          </w:tcPr>
          <w:p w14:paraId="6309A854" w14:textId="2167E898" w:rsidR="00184649" w:rsidRPr="00986221" w:rsidRDefault="00DB670A" w:rsidP="000221A3">
            <w:pPr>
              <w:pStyle w:val="Table-normal-text"/>
              <w:ind w:left="426"/>
              <w:jc w:val="right"/>
              <w:rPr>
                <w:rFonts w:cs="Arial"/>
              </w:rPr>
            </w:pPr>
            <w:r w:rsidRPr="00986221">
              <w:rPr>
                <w:rFonts w:cs="Arial"/>
              </w:rPr>
              <w:t>2015</w:t>
            </w:r>
          </w:p>
        </w:tc>
        <w:tc>
          <w:tcPr>
            <w:tcW w:w="1322" w:type="dxa"/>
            <w:shd w:val="clear" w:color="auto" w:fill="00FFFF"/>
          </w:tcPr>
          <w:p w14:paraId="048B9C66" w14:textId="2A52C698" w:rsidR="00184649" w:rsidRPr="00986221" w:rsidRDefault="00DB670A" w:rsidP="000221A3">
            <w:pPr>
              <w:pStyle w:val="Table-normal-text"/>
              <w:ind w:left="426"/>
              <w:jc w:val="right"/>
              <w:rPr>
                <w:rFonts w:cs="Arial"/>
              </w:rPr>
            </w:pPr>
            <w:r w:rsidRPr="00986221">
              <w:rPr>
                <w:rFonts w:cs="Arial"/>
              </w:rPr>
              <w:t>2016</w:t>
            </w:r>
          </w:p>
        </w:tc>
        <w:tc>
          <w:tcPr>
            <w:tcW w:w="1323" w:type="dxa"/>
            <w:shd w:val="clear" w:color="auto" w:fill="00FFFF"/>
          </w:tcPr>
          <w:p w14:paraId="7AFBAE85" w14:textId="4499719C" w:rsidR="00184649" w:rsidRPr="00986221" w:rsidRDefault="00DB670A" w:rsidP="000221A3">
            <w:pPr>
              <w:pStyle w:val="Table-normal-text"/>
              <w:ind w:left="426"/>
              <w:jc w:val="right"/>
              <w:rPr>
                <w:rFonts w:cs="Arial"/>
              </w:rPr>
            </w:pPr>
            <w:r w:rsidRPr="00986221">
              <w:rPr>
                <w:rFonts w:cs="Arial"/>
              </w:rPr>
              <w:t>Total</w:t>
            </w:r>
          </w:p>
        </w:tc>
      </w:tr>
      <w:tr w:rsidR="007407E1" w:rsidRPr="00986221" w14:paraId="038F2033" w14:textId="77777777" w:rsidTr="00DB670A">
        <w:tc>
          <w:tcPr>
            <w:tcW w:w="8159" w:type="dxa"/>
            <w:gridSpan w:val="5"/>
          </w:tcPr>
          <w:p w14:paraId="63064B99" w14:textId="24D3026C" w:rsidR="007407E1" w:rsidRPr="00986221" w:rsidRDefault="007407E1" w:rsidP="000221A3">
            <w:pPr>
              <w:pStyle w:val="Table-normal-text"/>
              <w:ind w:left="426"/>
              <w:rPr>
                <w:rFonts w:cs="Arial"/>
                <w:b/>
              </w:rPr>
            </w:pPr>
            <w:r w:rsidRPr="00986221">
              <w:rPr>
                <w:rFonts w:cs="Arial"/>
                <w:b/>
              </w:rPr>
              <w:t>GRANT</w:t>
            </w:r>
          </w:p>
        </w:tc>
      </w:tr>
      <w:tr w:rsidR="00DB670A" w:rsidRPr="00986221" w14:paraId="2B49883A" w14:textId="77777777" w:rsidTr="00DB670A">
        <w:tc>
          <w:tcPr>
            <w:tcW w:w="8159" w:type="dxa"/>
            <w:gridSpan w:val="5"/>
          </w:tcPr>
          <w:p w14:paraId="19BAB8A0" w14:textId="1BEFE80A" w:rsidR="00DB670A" w:rsidRPr="00986221" w:rsidRDefault="00DB670A" w:rsidP="000221A3">
            <w:pPr>
              <w:pStyle w:val="Table-normal-text"/>
              <w:ind w:left="426"/>
              <w:rPr>
                <w:rFonts w:cs="Arial"/>
                <w:b/>
              </w:rPr>
            </w:pPr>
            <w:r w:rsidRPr="00986221">
              <w:rPr>
                <w:rFonts w:cs="Arial"/>
                <w:b/>
              </w:rPr>
              <w:t>Component 1</w:t>
            </w:r>
          </w:p>
        </w:tc>
      </w:tr>
      <w:tr w:rsidR="000A2ADF" w:rsidRPr="00986221" w14:paraId="176679B2" w14:textId="77777777" w:rsidTr="005F28E2">
        <w:tc>
          <w:tcPr>
            <w:tcW w:w="2870" w:type="dxa"/>
          </w:tcPr>
          <w:p w14:paraId="3EFBD217" w14:textId="5AB3301E" w:rsidR="000A2ADF" w:rsidRPr="00986221" w:rsidRDefault="000A2ADF" w:rsidP="000221A3">
            <w:pPr>
              <w:pStyle w:val="Table-normal-text"/>
              <w:ind w:left="426"/>
              <w:rPr>
                <w:rFonts w:cs="Arial"/>
              </w:rPr>
            </w:pPr>
            <w:r w:rsidRPr="00986221">
              <w:rPr>
                <w:rFonts w:cs="Arial"/>
              </w:rPr>
              <w:t>CIEM</w:t>
            </w:r>
          </w:p>
        </w:tc>
        <w:tc>
          <w:tcPr>
            <w:tcW w:w="1322" w:type="dxa"/>
          </w:tcPr>
          <w:p w14:paraId="5DB79EF6" w14:textId="74336BA4" w:rsidR="000A2ADF" w:rsidRPr="00986221" w:rsidRDefault="007407E1" w:rsidP="000221A3">
            <w:pPr>
              <w:pStyle w:val="Table-normal-text"/>
              <w:ind w:left="426"/>
              <w:jc w:val="right"/>
              <w:rPr>
                <w:rFonts w:cs="Arial"/>
              </w:rPr>
            </w:pPr>
            <w:r w:rsidRPr="00986221">
              <w:rPr>
                <w:rFonts w:cs="Arial"/>
              </w:rPr>
              <w:t>4</w:t>
            </w:r>
          </w:p>
        </w:tc>
        <w:tc>
          <w:tcPr>
            <w:tcW w:w="1322" w:type="dxa"/>
          </w:tcPr>
          <w:p w14:paraId="685A1EB4" w14:textId="13F2A98B" w:rsidR="000A2ADF" w:rsidRPr="00986221" w:rsidRDefault="000A2ADF" w:rsidP="007407E1">
            <w:pPr>
              <w:pStyle w:val="Table-normal-text"/>
              <w:ind w:left="426"/>
              <w:jc w:val="right"/>
              <w:rPr>
                <w:rFonts w:cs="Arial"/>
              </w:rPr>
            </w:pPr>
            <w:r w:rsidRPr="00986221">
              <w:rPr>
                <w:rFonts w:cs="Arial"/>
              </w:rPr>
              <w:t>1</w:t>
            </w:r>
            <w:r w:rsidR="007407E1" w:rsidRPr="00986221">
              <w:rPr>
                <w:rFonts w:cs="Arial"/>
              </w:rPr>
              <w:t>0</w:t>
            </w:r>
          </w:p>
        </w:tc>
        <w:tc>
          <w:tcPr>
            <w:tcW w:w="1322" w:type="dxa"/>
          </w:tcPr>
          <w:p w14:paraId="6458C956" w14:textId="5890544D" w:rsidR="000A2ADF" w:rsidRPr="00986221" w:rsidRDefault="007407E1" w:rsidP="000221A3">
            <w:pPr>
              <w:pStyle w:val="Table-normal-text"/>
              <w:ind w:left="426"/>
              <w:jc w:val="right"/>
              <w:rPr>
                <w:rFonts w:cs="Arial"/>
              </w:rPr>
            </w:pPr>
            <w:r w:rsidRPr="00986221">
              <w:rPr>
                <w:rFonts w:cs="Arial"/>
              </w:rPr>
              <w:t>10</w:t>
            </w:r>
          </w:p>
        </w:tc>
        <w:tc>
          <w:tcPr>
            <w:tcW w:w="1323" w:type="dxa"/>
          </w:tcPr>
          <w:p w14:paraId="3D30E24D" w14:textId="3028884D" w:rsidR="000A2ADF" w:rsidRPr="00986221" w:rsidRDefault="000A2ADF" w:rsidP="007407E1">
            <w:pPr>
              <w:pStyle w:val="Table-normal-text"/>
              <w:ind w:left="426"/>
              <w:jc w:val="right"/>
              <w:rPr>
                <w:rFonts w:cs="Arial"/>
              </w:rPr>
            </w:pPr>
            <w:r w:rsidRPr="00986221">
              <w:rPr>
                <w:rFonts w:cs="Arial"/>
              </w:rPr>
              <w:fldChar w:fldCharType="begin"/>
            </w:r>
            <w:r w:rsidRPr="00986221">
              <w:rPr>
                <w:rFonts w:cs="Arial"/>
              </w:rPr>
              <w:instrText xml:space="preserve"> =sum(left) \* MERGEFORMAT </w:instrText>
            </w:r>
            <w:r w:rsidRPr="00986221">
              <w:rPr>
                <w:rFonts w:cs="Arial"/>
              </w:rPr>
              <w:fldChar w:fldCharType="separate"/>
            </w:r>
            <w:r w:rsidR="00AB4539">
              <w:rPr>
                <w:rFonts w:cs="Arial"/>
                <w:noProof/>
              </w:rPr>
              <w:t>24</w:t>
            </w:r>
            <w:r w:rsidRPr="00986221">
              <w:rPr>
                <w:rFonts w:cs="Arial"/>
              </w:rPr>
              <w:fldChar w:fldCharType="end"/>
            </w:r>
          </w:p>
        </w:tc>
      </w:tr>
      <w:tr w:rsidR="000A2ADF" w:rsidRPr="00986221" w14:paraId="66A90910" w14:textId="77777777" w:rsidTr="005F28E2">
        <w:tc>
          <w:tcPr>
            <w:tcW w:w="2870" w:type="dxa"/>
          </w:tcPr>
          <w:p w14:paraId="51574D59" w14:textId="2F942B46" w:rsidR="000A2ADF" w:rsidRPr="00986221" w:rsidRDefault="000A2ADF" w:rsidP="000221A3">
            <w:pPr>
              <w:pStyle w:val="Table-normal-text"/>
              <w:ind w:left="426"/>
              <w:rPr>
                <w:rFonts w:cs="Arial"/>
              </w:rPr>
            </w:pPr>
            <w:r w:rsidRPr="00986221">
              <w:rPr>
                <w:rFonts w:cs="Arial"/>
              </w:rPr>
              <w:t>DFAT</w:t>
            </w:r>
          </w:p>
        </w:tc>
        <w:tc>
          <w:tcPr>
            <w:tcW w:w="1322" w:type="dxa"/>
          </w:tcPr>
          <w:p w14:paraId="1D3F2534" w14:textId="20EFAC14" w:rsidR="000A2ADF" w:rsidRPr="00986221" w:rsidRDefault="007407E1" w:rsidP="000221A3">
            <w:pPr>
              <w:pStyle w:val="Table-normal-text"/>
              <w:ind w:left="426"/>
              <w:jc w:val="right"/>
              <w:rPr>
                <w:rFonts w:cs="Arial"/>
              </w:rPr>
            </w:pPr>
            <w:r w:rsidRPr="00986221">
              <w:rPr>
                <w:rFonts w:cs="Arial"/>
              </w:rPr>
              <w:t>4</w:t>
            </w:r>
            <w:r w:rsidR="000A2ADF" w:rsidRPr="00986221">
              <w:rPr>
                <w:rFonts w:cs="Arial"/>
              </w:rPr>
              <w:t>00</w:t>
            </w:r>
          </w:p>
        </w:tc>
        <w:tc>
          <w:tcPr>
            <w:tcW w:w="1322" w:type="dxa"/>
          </w:tcPr>
          <w:p w14:paraId="1A82F583" w14:textId="68D46547" w:rsidR="000A2ADF" w:rsidRPr="00986221" w:rsidRDefault="007407E1" w:rsidP="000221A3">
            <w:pPr>
              <w:pStyle w:val="Table-normal-text"/>
              <w:ind w:left="426"/>
              <w:jc w:val="right"/>
              <w:rPr>
                <w:rFonts w:cs="Arial"/>
              </w:rPr>
            </w:pPr>
            <w:r w:rsidRPr="00986221">
              <w:rPr>
                <w:rFonts w:cs="Arial"/>
              </w:rPr>
              <w:t>3</w:t>
            </w:r>
            <w:r w:rsidR="000A2ADF" w:rsidRPr="00986221">
              <w:rPr>
                <w:rFonts w:cs="Arial"/>
              </w:rPr>
              <w:t>00</w:t>
            </w:r>
          </w:p>
        </w:tc>
        <w:tc>
          <w:tcPr>
            <w:tcW w:w="1322" w:type="dxa"/>
          </w:tcPr>
          <w:p w14:paraId="2D117038" w14:textId="373E36E0" w:rsidR="000A2ADF" w:rsidRPr="00986221" w:rsidRDefault="000A2ADF" w:rsidP="000221A3">
            <w:pPr>
              <w:pStyle w:val="Table-normal-text"/>
              <w:ind w:left="426"/>
              <w:jc w:val="right"/>
              <w:rPr>
                <w:rFonts w:cs="Arial"/>
              </w:rPr>
            </w:pPr>
          </w:p>
        </w:tc>
        <w:tc>
          <w:tcPr>
            <w:tcW w:w="1323" w:type="dxa"/>
          </w:tcPr>
          <w:p w14:paraId="110ACEB7" w14:textId="04051A4D" w:rsidR="000A2ADF" w:rsidRPr="00986221" w:rsidRDefault="000A2ADF" w:rsidP="000221A3">
            <w:pPr>
              <w:pStyle w:val="Table-normal-text"/>
              <w:ind w:left="426"/>
              <w:jc w:val="right"/>
              <w:rPr>
                <w:rFonts w:cs="Arial"/>
              </w:rPr>
            </w:pPr>
            <w:r w:rsidRPr="00986221">
              <w:rPr>
                <w:rFonts w:cs="Arial"/>
              </w:rPr>
              <w:fldChar w:fldCharType="begin"/>
            </w:r>
            <w:r w:rsidRPr="00986221">
              <w:rPr>
                <w:rFonts w:cs="Arial"/>
              </w:rPr>
              <w:instrText xml:space="preserve"> =sum(left) \* MERGEFORMAT </w:instrText>
            </w:r>
            <w:r w:rsidRPr="00986221">
              <w:rPr>
                <w:rFonts w:cs="Arial"/>
              </w:rPr>
              <w:fldChar w:fldCharType="separate"/>
            </w:r>
            <w:r w:rsidR="00AB4539">
              <w:rPr>
                <w:rFonts w:cs="Arial"/>
                <w:noProof/>
              </w:rPr>
              <w:t>700</w:t>
            </w:r>
            <w:r w:rsidRPr="00986221">
              <w:rPr>
                <w:rFonts w:cs="Arial"/>
              </w:rPr>
              <w:fldChar w:fldCharType="end"/>
            </w:r>
          </w:p>
        </w:tc>
      </w:tr>
      <w:tr w:rsidR="004D1BEE" w:rsidRPr="00986221" w14:paraId="1B753E10" w14:textId="77777777" w:rsidTr="005F28E2">
        <w:tc>
          <w:tcPr>
            <w:tcW w:w="2870" w:type="dxa"/>
          </w:tcPr>
          <w:p w14:paraId="2BC97048" w14:textId="068A92AB" w:rsidR="004D1BEE" w:rsidRPr="00986221" w:rsidRDefault="004D1BEE" w:rsidP="000221A3">
            <w:pPr>
              <w:pStyle w:val="Table-normal-text"/>
              <w:ind w:left="426"/>
              <w:rPr>
                <w:rFonts w:cs="Arial"/>
              </w:rPr>
            </w:pPr>
            <w:r w:rsidRPr="00986221">
              <w:rPr>
                <w:rFonts w:cs="Arial"/>
              </w:rPr>
              <w:t>Sub-total</w:t>
            </w:r>
          </w:p>
        </w:tc>
        <w:tc>
          <w:tcPr>
            <w:tcW w:w="1322" w:type="dxa"/>
          </w:tcPr>
          <w:p w14:paraId="69E55677" w14:textId="7534440A" w:rsidR="004D1BEE" w:rsidRPr="00986221" w:rsidRDefault="007407E1" w:rsidP="000221A3">
            <w:pPr>
              <w:pStyle w:val="Table-normal-text"/>
              <w:ind w:left="426"/>
              <w:jc w:val="right"/>
              <w:rPr>
                <w:rFonts w:cs="Arial"/>
              </w:rPr>
            </w:pPr>
            <w:r w:rsidRPr="00986221">
              <w:rPr>
                <w:rFonts w:cs="Arial"/>
              </w:rPr>
              <w:t>404</w:t>
            </w:r>
          </w:p>
        </w:tc>
        <w:tc>
          <w:tcPr>
            <w:tcW w:w="1322" w:type="dxa"/>
          </w:tcPr>
          <w:p w14:paraId="1E330B0B" w14:textId="6D3819B1" w:rsidR="004D1BEE" w:rsidRPr="00986221" w:rsidRDefault="007407E1" w:rsidP="000221A3">
            <w:pPr>
              <w:pStyle w:val="Table-normal-text"/>
              <w:ind w:left="426"/>
              <w:jc w:val="right"/>
              <w:rPr>
                <w:rFonts w:cs="Arial"/>
              </w:rPr>
            </w:pPr>
            <w:r w:rsidRPr="00986221">
              <w:rPr>
                <w:rFonts w:cs="Arial"/>
              </w:rPr>
              <w:t>310</w:t>
            </w:r>
          </w:p>
        </w:tc>
        <w:tc>
          <w:tcPr>
            <w:tcW w:w="1322" w:type="dxa"/>
          </w:tcPr>
          <w:p w14:paraId="273B697B" w14:textId="1C3E9882" w:rsidR="004D1BEE" w:rsidRPr="00986221" w:rsidRDefault="004D1BEE" w:rsidP="007407E1">
            <w:pPr>
              <w:pStyle w:val="Table-normal-text"/>
              <w:ind w:left="426"/>
              <w:jc w:val="right"/>
              <w:rPr>
                <w:rFonts w:cs="Arial"/>
              </w:rPr>
            </w:pPr>
            <w:r w:rsidRPr="00986221">
              <w:rPr>
                <w:rFonts w:cs="Arial"/>
              </w:rPr>
              <w:fldChar w:fldCharType="begin"/>
            </w:r>
            <w:r w:rsidRPr="00986221">
              <w:rPr>
                <w:rFonts w:cs="Arial"/>
              </w:rPr>
              <w:instrText xml:space="preserve"> = sum(above) \* MERGEFORMAT </w:instrText>
            </w:r>
            <w:r w:rsidRPr="00986221">
              <w:rPr>
                <w:rFonts w:cs="Arial"/>
              </w:rPr>
              <w:fldChar w:fldCharType="separate"/>
            </w:r>
            <w:r w:rsidR="00AB4539">
              <w:rPr>
                <w:rFonts w:cs="Arial"/>
                <w:noProof/>
              </w:rPr>
              <w:t>10</w:t>
            </w:r>
            <w:r w:rsidRPr="00986221">
              <w:rPr>
                <w:rFonts w:cs="Arial"/>
              </w:rPr>
              <w:fldChar w:fldCharType="end"/>
            </w:r>
          </w:p>
        </w:tc>
        <w:tc>
          <w:tcPr>
            <w:tcW w:w="1323" w:type="dxa"/>
          </w:tcPr>
          <w:p w14:paraId="2D4A6E46" w14:textId="30042DA4" w:rsidR="004D1BEE" w:rsidRPr="00986221" w:rsidRDefault="004D1BEE" w:rsidP="007407E1">
            <w:pPr>
              <w:pStyle w:val="Table-normal-text"/>
              <w:ind w:left="426"/>
              <w:jc w:val="right"/>
              <w:rPr>
                <w:rFonts w:cs="Arial"/>
              </w:rPr>
            </w:pPr>
            <w:r w:rsidRPr="00986221">
              <w:rPr>
                <w:rFonts w:cs="Arial"/>
              </w:rPr>
              <w:fldChar w:fldCharType="begin"/>
            </w:r>
            <w:r w:rsidRPr="00986221">
              <w:rPr>
                <w:rFonts w:cs="Arial"/>
              </w:rPr>
              <w:instrText xml:space="preserve"> = sum(above) \* MERGEFORMAT </w:instrText>
            </w:r>
            <w:r w:rsidRPr="00986221">
              <w:rPr>
                <w:rFonts w:cs="Arial"/>
              </w:rPr>
              <w:fldChar w:fldCharType="separate"/>
            </w:r>
            <w:r w:rsidR="00AB4539">
              <w:rPr>
                <w:rFonts w:cs="Arial"/>
                <w:noProof/>
              </w:rPr>
              <w:t>724</w:t>
            </w:r>
            <w:r w:rsidRPr="00986221">
              <w:rPr>
                <w:rFonts w:cs="Arial"/>
              </w:rPr>
              <w:fldChar w:fldCharType="end"/>
            </w:r>
          </w:p>
        </w:tc>
      </w:tr>
      <w:tr w:rsidR="00DB670A" w:rsidRPr="00986221" w14:paraId="181E8490" w14:textId="77777777" w:rsidTr="00DB670A">
        <w:tc>
          <w:tcPr>
            <w:tcW w:w="8159" w:type="dxa"/>
            <w:gridSpan w:val="5"/>
          </w:tcPr>
          <w:p w14:paraId="7BCA39F6" w14:textId="00DE863B" w:rsidR="00DB670A" w:rsidRPr="00986221" w:rsidRDefault="00DB670A" w:rsidP="000221A3">
            <w:pPr>
              <w:pStyle w:val="Table-normal-text"/>
              <w:ind w:left="426"/>
              <w:rPr>
                <w:rFonts w:cs="Arial"/>
                <w:b/>
              </w:rPr>
            </w:pPr>
            <w:r w:rsidRPr="00986221">
              <w:rPr>
                <w:rFonts w:cs="Arial"/>
                <w:b/>
              </w:rPr>
              <w:t>Component 2</w:t>
            </w:r>
          </w:p>
        </w:tc>
      </w:tr>
      <w:tr w:rsidR="000A2ADF" w:rsidRPr="00986221" w14:paraId="61E0E561" w14:textId="77777777" w:rsidTr="005F28E2">
        <w:tc>
          <w:tcPr>
            <w:tcW w:w="2870" w:type="dxa"/>
          </w:tcPr>
          <w:p w14:paraId="65D034E5" w14:textId="29EE3958" w:rsidR="000A2ADF" w:rsidRPr="00986221" w:rsidRDefault="000A2ADF" w:rsidP="000221A3">
            <w:pPr>
              <w:pStyle w:val="Table-normal-text"/>
              <w:ind w:left="426"/>
              <w:rPr>
                <w:rFonts w:cs="Arial"/>
              </w:rPr>
            </w:pPr>
            <w:r w:rsidRPr="00986221">
              <w:rPr>
                <w:rFonts w:cs="Arial"/>
              </w:rPr>
              <w:t>VCA</w:t>
            </w:r>
          </w:p>
        </w:tc>
        <w:tc>
          <w:tcPr>
            <w:tcW w:w="1322" w:type="dxa"/>
          </w:tcPr>
          <w:p w14:paraId="7F8A11F3" w14:textId="5DA0D3DE" w:rsidR="000A2ADF" w:rsidRPr="00986221" w:rsidRDefault="007407E1" w:rsidP="000221A3">
            <w:pPr>
              <w:pStyle w:val="Table-normal-text"/>
              <w:ind w:left="426"/>
              <w:jc w:val="right"/>
              <w:rPr>
                <w:rFonts w:cs="Arial"/>
              </w:rPr>
            </w:pPr>
            <w:r w:rsidRPr="00986221">
              <w:rPr>
                <w:rFonts w:cs="Arial"/>
              </w:rPr>
              <w:t>7</w:t>
            </w:r>
          </w:p>
        </w:tc>
        <w:tc>
          <w:tcPr>
            <w:tcW w:w="1322" w:type="dxa"/>
          </w:tcPr>
          <w:p w14:paraId="6EDF9288" w14:textId="7F3BBFC2" w:rsidR="000A2ADF" w:rsidRPr="00986221" w:rsidRDefault="000A2ADF" w:rsidP="007407E1">
            <w:pPr>
              <w:pStyle w:val="Table-normal-text"/>
              <w:ind w:left="426"/>
              <w:jc w:val="right"/>
              <w:rPr>
                <w:rFonts w:cs="Arial"/>
              </w:rPr>
            </w:pPr>
            <w:r w:rsidRPr="00986221">
              <w:rPr>
                <w:rFonts w:cs="Arial"/>
              </w:rPr>
              <w:t>1</w:t>
            </w:r>
            <w:r w:rsidR="007407E1" w:rsidRPr="00986221">
              <w:rPr>
                <w:rFonts w:cs="Arial"/>
              </w:rPr>
              <w:t>5</w:t>
            </w:r>
          </w:p>
        </w:tc>
        <w:tc>
          <w:tcPr>
            <w:tcW w:w="1322" w:type="dxa"/>
          </w:tcPr>
          <w:p w14:paraId="120563F8" w14:textId="3D408C5A" w:rsidR="000A2ADF" w:rsidRPr="00986221" w:rsidRDefault="007407E1" w:rsidP="000221A3">
            <w:pPr>
              <w:pStyle w:val="Table-normal-text"/>
              <w:ind w:left="426"/>
              <w:jc w:val="right"/>
              <w:rPr>
                <w:rFonts w:cs="Arial"/>
              </w:rPr>
            </w:pPr>
            <w:r w:rsidRPr="00986221">
              <w:rPr>
                <w:rFonts w:cs="Arial"/>
              </w:rPr>
              <w:t>10</w:t>
            </w:r>
          </w:p>
        </w:tc>
        <w:tc>
          <w:tcPr>
            <w:tcW w:w="1323" w:type="dxa"/>
          </w:tcPr>
          <w:p w14:paraId="73D8DE9B" w14:textId="0EEDEA0A" w:rsidR="000A2ADF" w:rsidRPr="00986221" w:rsidRDefault="007407E1" w:rsidP="000221A3">
            <w:pPr>
              <w:pStyle w:val="Table-normal-text"/>
              <w:ind w:left="426"/>
              <w:jc w:val="right"/>
              <w:rPr>
                <w:rFonts w:cs="Arial"/>
              </w:rPr>
            </w:pPr>
            <w:r w:rsidRPr="00986221">
              <w:rPr>
                <w:rFonts w:cs="Arial"/>
              </w:rPr>
              <w:t>32</w:t>
            </w:r>
          </w:p>
        </w:tc>
      </w:tr>
      <w:tr w:rsidR="000A2ADF" w:rsidRPr="00986221" w14:paraId="39872F14" w14:textId="77777777" w:rsidTr="005F28E2">
        <w:tc>
          <w:tcPr>
            <w:tcW w:w="2870" w:type="dxa"/>
          </w:tcPr>
          <w:p w14:paraId="0BCCAADC" w14:textId="6B28E4B7" w:rsidR="000A2ADF" w:rsidRPr="00986221" w:rsidRDefault="000A2ADF" w:rsidP="000221A3">
            <w:pPr>
              <w:pStyle w:val="Table-normal-text"/>
              <w:ind w:left="426"/>
              <w:rPr>
                <w:rFonts w:cs="Arial"/>
              </w:rPr>
            </w:pPr>
            <w:r w:rsidRPr="00986221">
              <w:rPr>
                <w:rFonts w:cs="Arial"/>
              </w:rPr>
              <w:t>DFAT</w:t>
            </w:r>
          </w:p>
        </w:tc>
        <w:tc>
          <w:tcPr>
            <w:tcW w:w="1322" w:type="dxa"/>
          </w:tcPr>
          <w:p w14:paraId="45C36D9F" w14:textId="020C25CF" w:rsidR="000A2ADF" w:rsidRPr="00986221" w:rsidRDefault="007407E1" w:rsidP="000221A3">
            <w:pPr>
              <w:pStyle w:val="Table-normal-text"/>
              <w:ind w:left="426"/>
              <w:jc w:val="right"/>
              <w:rPr>
                <w:rFonts w:cs="Arial"/>
              </w:rPr>
            </w:pPr>
            <w:r w:rsidRPr="00986221">
              <w:rPr>
                <w:rFonts w:cs="Arial"/>
              </w:rPr>
              <w:t>3</w:t>
            </w:r>
            <w:r w:rsidR="000A2ADF" w:rsidRPr="00986221">
              <w:rPr>
                <w:rFonts w:cs="Arial"/>
              </w:rPr>
              <w:t>00</w:t>
            </w:r>
          </w:p>
        </w:tc>
        <w:tc>
          <w:tcPr>
            <w:tcW w:w="1322" w:type="dxa"/>
          </w:tcPr>
          <w:p w14:paraId="75515356" w14:textId="591910AC" w:rsidR="000A2ADF" w:rsidRPr="00986221" w:rsidRDefault="000A2ADF" w:rsidP="000221A3">
            <w:pPr>
              <w:pStyle w:val="Table-normal-text"/>
              <w:ind w:left="426"/>
              <w:jc w:val="right"/>
              <w:rPr>
                <w:rFonts w:cs="Arial"/>
              </w:rPr>
            </w:pPr>
            <w:r w:rsidRPr="00986221">
              <w:rPr>
                <w:rFonts w:cs="Arial"/>
              </w:rPr>
              <w:t>200</w:t>
            </w:r>
          </w:p>
        </w:tc>
        <w:tc>
          <w:tcPr>
            <w:tcW w:w="1322" w:type="dxa"/>
          </w:tcPr>
          <w:p w14:paraId="4BF6FDA2" w14:textId="2713319F" w:rsidR="000A2ADF" w:rsidRPr="00986221" w:rsidRDefault="000A2ADF" w:rsidP="000221A3">
            <w:pPr>
              <w:pStyle w:val="Table-normal-text"/>
              <w:ind w:left="426"/>
              <w:jc w:val="right"/>
              <w:rPr>
                <w:rFonts w:cs="Arial"/>
              </w:rPr>
            </w:pPr>
          </w:p>
        </w:tc>
        <w:tc>
          <w:tcPr>
            <w:tcW w:w="1323" w:type="dxa"/>
          </w:tcPr>
          <w:p w14:paraId="5D6CFF33" w14:textId="5B56612B" w:rsidR="000A2ADF" w:rsidRPr="00986221" w:rsidRDefault="000A2ADF" w:rsidP="000221A3">
            <w:pPr>
              <w:pStyle w:val="Table-normal-text"/>
              <w:ind w:left="426"/>
              <w:jc w:val="right"/>
              <w:rPr>
                <w:rFonts w:cs="Arial"/>
              </w:rPr>
            </w:pPr>
            <w:r w:rsidRPr="00986221">
              <w:rPr>
                <w:rFonts w:cs="Arial"/>
              </w:rPr>
              <w:fldChar w:fldCharType="begin"/>
            </w:r>
            <w:r w:rsidRPr="00986221">
              <w:rPr>
                <w:rFonts w:cs="Arial"/>
              </w:rPr>
              <w:instrText xml:space="preserve"> =sum(left) \* MERGEFORMAT </w:instrText>
            </w:r>
            <w:r w:rsidRPr="00986221">
              <w:rPr>
                <w:rFonts w:cs="Arial"/>
              </w:rPr>
              <w:fldChar w:fldCharType="separate"/>
            </w:r>
            <w:r w:rsidR="00AB4539">
              <w:rPr>
                <w:rFonts w:cs="Arial"/>
                <w:noProof/>
              </w:rPr>
              <w:t>500</w:t>
            </w:r>
            <w:r w:rsidRPr="00986221">
              <w:rPr>
                <w:rFonts w:cs="Arial"/>
              </w:rPr>
              <w:fldChar w:fldCharType="end"/>
            </w:r>
          </w:p>
        </w:tc>
      </w:tr>
      <w:tr w:rsidR="00BA5829" w:rsidRPr="00986221" w14:paraId="0077B42A" w14:textId="77777777" w:rsidTr="002F6BD4">
        <w:tc>
          <w:tcPr>
            <w:tcW w:w="2870" w:type="dxa"/>
          </w:tcPr>
          <w:p w14:paraId="57543C21" w14:textId="77777777" w:rsidR="00BA5829" w:rsidRPr="00986221" w:rsidRDefault="00BA5829" w:rsidP="000221A3">
            <w:pPr>
              <w:pStyle w:val="Table-normal-text"/>
              <w:ind w:left="426"/>
              <w:rPr>
                <w:rFonts w:cs="Arial"/>
              </w:rPr>
            </w:pPr>
            <w:r w:rsidRPr="00986221">
              <w:rPr>
                <w:rFonts w:cs="Arial"/>
              </w:rPr>
              <w:t>Sub-total</w:t>
            </w:r>
          </w:p>
        </w:tc>
        <w:tc>
          <w:tcPr>
            <w:tcW w:w="1322" w:type="dxa"/>
          </w:tcPr>
          <w:p w14:paraId="5593A756" w14:textId="4BDFEE1E" w:rsidR="00BA5829" w:rsidRPr="00986221" w:rsidRDefault="007407E1" w:rsidP="000221A3">
            <w:pPr>
              <w:pStyle w:val="Table-normal-text"/>
              <w:ind w:left="426"/>
              <w:jc w:val="right"/>
              <w:rPr>
                <w:rFonts w:cs="Arial"/>
              </w:rPr>
            </w:pPr>
            <w:r w:rsidRPr="00986221">
              <w:rPr>
                <w:rFonts w:cs="Arial"/>
              </w:rPr>
              <w:t>307</w:t>
            </w:r>
          </w:p>
        </w:tc>
        <w:tc>
          <w:tcPr>
            <w:tcW w:w="1322" w:type="dxa"/>
          </w:tcPr>
          <w:p w14:paraId="1C8776EB" w14:textId="7DE8197B" w:rsidR="00BA5829" w:rsidRPr="00986221" w:rsidRDefault="007407E1" w:rsidP="000221A3">
            <w:pPr>
              <w:pStyle w:val="Table-normal-text"/>
              <w:ind w:left="426"/>
              <w:jc w:val="right"/>
              <w:rPr>
                <w:rFonts w:cs="Arial"/>
              </w:rPr>
            </w:pPr>
            <w:r w:rsidRPr="00986221">
              <w:rPr>
                <w:rFonts w:cs="Arial"/>
              </w:rPr>
              <w:t>215</w:t>
            </w:r>
          </w:p>
        </w:tc>
        <w:tc>
          <w:tcPr>
            <w:tcW w:w="1322" w:type="dxa"/>
          </w:tcPr>
          <w:p w14:paraId="13E9E5B2" w14:textId="4C26787F" w:rsidR="00BA5829" w:rsidRPr="00986221" w:rsidRDefault="00BA5829" w:rsidP="007407E1">
            <w:pPr>
              <w:pStyle w:val="Table-normal-text"/>
              <w:ind w:left="426"/>
              <w:jc w:val="right"/>
              <w:rPr>
                <w:rFonts w:cs="Arial"/>
              </w:rPr>
            </w:pPr>
            <w:r w:rsidRPr="00986221">
              <w:rPr>
                <w:rFonts w:cs="Arial"/>
              </w:rPr>
              <w:fldChar w:fldCharType="begin"/>
            </w:r>
            <w:r w:rsidRPr="00986221">
              <w:rPr>
                <w:rFonts w:cs="Arial"/>
              </w:rPr>
              <w:instrText xml:space="preserve"> = sum(above) \* MERGEFORMAT </w:instrText>
            </w:r>
            <w:r w:rsidRPr="00986221">
              <w:rPr>
                <w:rFonts w:cs="Arial"/>
              </w:rPr>
              <w:fldChar w:fldCharType="separate"/>
            </w:r>
            <w:r w:rsidR="00AB4539">
              <w:rPr>
                <w:rFonts w:cs="Arial"/>
                <w:noProof/>
              </w:rPr>
              <w:t>10</w:t>
            </w:r>
            <w:r w:rsidRPr="00986221">
              <w:rPr>
                <w:rFonts w:cs="Arial"/>
              </w:rPr>
              <w:fldChar w:fldCharType="end"/>
            </w:r>
          </w:p>
        </w:tc>
        <w:tc>
          <w:tcPr>
            <w:tcW w:w="1323" w:type="dxa"/>
          </w:tcPr>
          <w:p w14:paraId="0F1DACB7" w14:textId="53A19366" w:rsidR="00BA5829" w:rsidRPr="00986221" w:rsidRDefault="00BA5829" w:rsidP="007407E1">
            <w:pPr>
              <w:pStyle w:val="Table-normal-text"/>
              <w:ind w:left="426"/>
              <w:jc w:val="right"/>
              <w:rPr>
                <w:rFonts w:cs="Arial"/>
              </w:rPr>
            </w:pPr>
            <w:r w:rsidRPr="00986221">
              <w:rPr>
                <w:rFonts w:cs="Arial"/>
              </w:rPr>
              <w:fldChar w:fldCharType="begin"/>
            </w:r>
            <w:r w:rsidRPr="00986221">
              <w:rPr>
                <w:rFonts w:cs="Arial"/>
              </w:rPr>
              <w:instrText xml:space="preserve"> =sum(above) \* MERGEFORMAT </w:instrText>
            </w:r>
            <w:r w:rsidRPr="00986221">
              <w:rPr>
                <w:rFonts w:cs="Arial"/>
              </w:rPr>
              <w:fldChar w:fldCharType="separate"/>
            </w:r>
            <w:r w:rsidR="00AB4539">
              <w:rPr>
                <w:rFonts w:cs="Arial"/>
                <w:noProof/>
              </w:rPr>
              <w:t>532</w:t>
            </w:r>
            <w:r w:rsidRPr="00986221">
              <w:rPr>
                <w:rFonts w:cs="Arial"/>
              </w:rPr>
              <w:fldChar w:fldCharType="end"/>
            </w:r>
          </w:p>
        </w:tc>
      </w:tr>
      <w:tr w:rsidR="00DB670A" w:rsidRPr="00986221" w14:paraId="119E36B3" w14:textId="77777777" w:rsidTr="00DB670A">
        <w:tc>
          <w:tcPr>
            <w:tcW w:w="8159" w:type="dxa"/>
            <w:gridSpan w:val="5"/>
          </w:tcPr>
          <w:p w14:paraId="6F25A0FF" w14:textId="5CCFD13D" w:rsidR="00DB670A" w:rsidRPr="00986221" w:rsidRDefault="00DB670A" w:rsidP="000221A3">
            <w:pPr>
              <w:pStyle w:val="Table-normal-text"/>
              <w:ind w:left="426"/>
              <w:rPr>
                <w:rFonts w:cs="Arial"/>
                <w:b/>
              </w:rPr>
            </w:pPr>
            <w:r w:rsidRPr="00986221">
              <w:rPr>
                <w:rFonts w:cs="Arial"/>
                <w:b/>
              </w:rPr>
              <w:t>Component 3</w:t>
            </w:r>
          </w:p>
        </w:tc>
      </w:tr>
      <w:tr w:rsidR="000A2ADF" w:rsidRPr="00986221" w14:paraId="72230970" w14:textId="77777777" w:rsidTr="00DB670A">
        <w:tc>
          <w:tcPr>
            <w:tcW w:w="2870" w:type="dxa"/>
          </w:tcPr>
          <w:p w14:paraId="15DEB3F4" w14:textId="0DC9D9A5" w:rsidR="000A2ADF" w:rsidRPr="00986221" w:rsidRDefault="000A2ADF" w:rsidP="000221A3">
            <w:pPr>
              <w:pStyle w:val="Table-normal-text"/>
              <w:ind w:left="426"/>
              <w:rPr>
                <w:rFonts w:cs="Arial"/>
              </w:rPr>
            </w:pPr>
            <w:r w:rsidRPr="00986221">
              <w:rPr>
                <w:rFonts w:cs="Arial"/>
              </w:rPr>
              <w:t>IPSARD</w:t>
            </w:r>
          </w:p>
        </w:tc>
        <w:tc>
          <w:tcPr>
            <w:tcW w:w="1322" w:type="dxa"/>
          </w:tcPr>
          <w:p w14:paraId="1BAA498C" w14:textId="29FAE97C" w:rsidR="000A2ADF" w:rsidRPr="00986221" w:rsidRDefault="007407E1" w:rsidP="000221A3">
            <w:pPr>
              <w:pStyle w:val="Table-normal-text"/>
              <w:ind w:left="426"/>
              <w:jc w:val="right"/>
              <w:rPr>
                <w:rFonts w:cs="Arial"/>
              </w:rPr>
            </w:pPr>
            <w:r w:rsidRPr="00986221">
              <w:rPr>
                <w:rFonts w:cs="Arial"/>
              </w:rPr>
              <w:t>7</w:t>
            </w:r>
          </w:p>
        </w:tc>
        <w:tc>
          <w:tcPr>
            <w:tcW w:w="1322" w:type="dxa"/>
          </w:tcPr>
          <w:p w14:paraId="6ED43249" w14:textId="2B301A6C" w:rsidR="000A2ADF" w:rsidRPr="00986221" w:rsidRDefault="007407E1" w:rsidP="000221A3">
            <w:pPr>
              <w:pStyle w:val="Table-normal-text"/>
              <w:ind w:left="426"/>
              <w:jc w:val="right"/>
              <w:rPr>
                <w:rFonts w:cs="Arial"/>
              </w:rPr>
            </w:pPr>
            <w:r w:rsidRPr="00986221">
              <w:rPr>
                <w:rFonts w:cs="Arial"/>
              </w:rPr>
              <w:t>16</w:t>
            </w:r>
          </w:p>
        </w:tc>
        <w:tc>
          <w:tcPr>
            <w:tcW w:w="1322" w:type="dxa"/>
          </w:tcPr>
          <w:p w14:paraId="5D99FDB9" w14:textId="145E8B4B" w:rsidR="000A2ADF" w:rsidRPr="00986221" w:rsidRDefault="007407E1" w:rsidP="000221A3">
            <w:pPr>
              <w:pStyle w:val="Table-normal-text"/>
              <w:ind w:left="426"/>
              <w:jc w:val="right"/>
              <w:rPr>
                <w:rFonts w:cs="Arial"/>
              </w:rPr>
            </w:pPr>
            <w:r w:rsidRPr="00986221">
              <w:rPr>
                <w:rFonts w:cs="Arial"/>
              </w:rPr>
              <w:t>10</w:t>
            </w:r>
          </w:p>
        </w:tc>
        <w:tc>
          <w:tcPr>
            <w:tcW w:w="1323" w:type="dxa"/>
          </w:tcPr>
          <w:p w14:paraId="77A78EED" w14:textId="04656F11" w:rsidR="000A2ADF" w:rsidRPr="00986221" w:rsidRDefault="007407E1" w:rsidP="000221A3">
            <w:pPr>
              <w:pStyle w:val="Table-normal-text"/>
              <w:ind w:left="426"/>
              <w:jc w:val="right"/>
              <w:rPr>
                <w:rFonts w:cs="Arial"/>
              </w:rPr>
            </w:pPr>
            <w:r w:rsidRPr="00986221">
              <w:rPr>
                <w:rFonts w:cs="Arial"/>
              </w:rPr>
              <w:t>33</w:t>
            </w:r>
          </w:p>
        </w:tc>
      </w:tr>
      <w:tr w:rsidR="000A2ADF" w:rsidRPr="00986221" w14:paraId="46D0A432" w14:textId="77777777" w:rsidTr="00DB670A">
        <w:tc>
          <w:tcPr>
            <w:tcW w:w="2870" w:type="dxa"/>
          </w:tcPr>
          <w:p w14:paraId="452E0AE5" w14:textId="35E1CE05" w:rsidR="000A2ADF" w:rsidRPr="00986221" w:rsidRDefault="000A2ADF" w:rsidP="000221A3">
            <w:pPr>
              <w:pStyle w:val="Table-normal-text"/>
              <w:ind w:left="426"/>
              <w:rPr>
                <w:rFonts w:cs="Arial"/>
              </w:rPr>
            </w:pPr>
            <w:r w:rsidRPr="00986221">
              <w:rPr>
                <w:rFonts w:cs="Arial"/>
              </w:rPr>
              <w:t>DFAT</w:t>
            </w:r>
          </w:p>
        </w:tc>
        <w:tc>
          <w:tcPr>
            <w:tcW w:w="1322" w:type="dxa"/>
          </w:tcPr>
          <w:p w14:paraId="1264BAC0" w14:textId="5B365B9D" w:rsidR="000A2ADF" w:rsidRPr="00986221" w:rsidRDefault="007407E1" w:rsidP="000221A3">
            <w:pPr>
              <w:pStyle w:val="Table-normal-text"/>
              <w:ind w:left="426"/>
              <w:jc w:val="right"/>
              <w:rPr>
                <w:rFonts w:cs="Arial"/>
              </w:rPr>
            </w:pPr>
            <w:r w:rsidRPr="00986221">
              <w:rPr>
                <w:rFonts w:cs="Arial"/>
              </w:rPr>
              <w:t>2</w:t>
            </w:r>
            <w:r w:rsidR="000A2ADF" w:rsidRPr="00986221">
              <w:rPr>
                <w:rFonts w:cs="Arial"/>
              </w:rPr>
              <w:t>00</w:t>
            </w:r>
          </w:p>
        </w:tc>
        <w:tc>
          <w:tcPr>
            <w:tcW w:w="1322" w:type="dxa"/>
          </w:tcPr>
          <w:p w14:paraId="3D5D1D22" w14:textId="03D1DB69" w:rsidR="000A2ADF" w:rsidRPr="00986221" w:rsidRDefault="000A2ADF" w:rsidP="007407E1">
            <w:pPr>
              <w:pStyle w:val="Table-normal-text"/>
              <w:ind w:left="426"/>
              <w:jc w:val="right"/>
              <w:rPr>
                <w:rFonts w:cs="Arial"/>
              </w:rPr>
            </w:pPr>
            <w:r w:rsidRPr="00986221">
              <w:rPr>
                <w:rFonts w:cs="Arial"/>
              </w:rPr>
              <w:t>1</w:t>
            </w:r>
            <w:r w:rsidR="007407E1" w:rsidRPr="00986221">
              <w:rPr>
                <w:rFonts w:cs="Arial"/>
              </w:rPr>
              <w:t>0</w:t>
            </w:r>
            <w:r w:rsidRPr="00986221">
              <w:rPr>
                <w:rFonts w:cs="Arial"/>
              </w:rPr>
              <w:t>0</w:t>
            </w:r>
          </w:p>
        </w:tc>
        <w:tc>
          <w:tcPr>
            <w:tcW w:w="1322" w:type="dxa"/>
          </w:tcPr>
          <w:p w14:paraId="383382D6" w14:textId="24DAF93A" w:rsidR="000A2ADF" w:rsidRPr="00986221" w:rsidRDefault="000A2ADF" w:rsidP="000221A3">
            <w:pPr>
              <w:pStyle w:val="Table-normal-text"/>
              <w:ind w:left="426"/>
              <w:jc w:val="right"/>
              <w:rPr>
                <w:rFonts w:cs="Arial"/>
              </w:rPr>
            </w:pPr>
          </w:p>
        </w:tc>
        <w:tc>
          <w:tcPr>
            <w:tcW w:w="1323" w:type="dxa"/>
          </w:tcPr>
          <w:p w14:paraId="2B2F0B48" w14:textId="4693F83B" w:rsidR="000A2ADF" w:rsidRPr="00986221" w:rsidRDefault="000A2ADF" w:rsidP="000221A3">
            <w:pPr>
              <w:pStyle w:val="Table-normal-text"/>
              <w:ind w:left="426"/>
              <w:jc w:val="right"/>
              <w:rPr>
                <w:rFonts w:cs="Arial"/>
              </w:rPr>
            </w:pPr>
            <w:r w:rsidRPr="00986221">
              <w:rPr>
                <w:rFonts w:cs="Arial"/>
              </w:rPr>
              <w:fldChar w:fldCharType="begin"/>
            </w:r>
            <w:r w:rsidRPr="00986221">
              <w:rPr>
                <w:rFonts w:cs="Arial"/>
              </w:rPr>
              <w:instrText xml:space="preserve"> =sum(left) \* MERGEFORMAT </w:instrText>
            </w:r>
            <w:r w:rsidRPr="00986221">
              <w:rPr>
                <w:rFonts w:cs="Arial"/>
              </w:rPr>
              <w:fldChar w:fldCharType="separate"/>
            </w:r>
            <w:r w:rsidR="00AB4539">
              <w:rPr>
                <w:rFonts w:cs="Arial"/>
                <w:noProof/>
              </w:rPr>
              <w:t>300</w:t>
            </w:r>
            <w:r w:rsidRPr="00986221">
              <w:rPr>
                <w:rFonts w:cs="Arial"/>
              </w:rPr>
              <w:fldChar w:fldCharType="end"/>
            </w:r>
          </w:p>
        </w:tc>
      </w:tr>
      <w:tr w:rsidR="00783C68" w:rsidRPr="00986221" w14:paraId="0ABE2633" w14:textId="77777777" w:rsidTr="002F6BD4">
        <w:tc>
          <w:tcPr>
            <w:tcW w:w="2870" w:type="dxa"/>
          </w:tcPr>
          <w:p w14:paraId="50CEC08F" w14:textId="77777777" w:rsidR="00783C68" w:rsidRPr="00986221" w:rsidRDefault="00783C68" w:rsidP="000221A3">
            <w:pPr>
              <w:pStyle w:val="Table-normal-text"/>
              <w:ind w:left="426"/>
              <w:rPr>
                <w:rFonts w:cs="Arial"/>
              </w:rPr>
            </w:pPr>
            <w:r w:rsidRPr="00986221">
              <w:rPr>
                <w:rFonts w:cs="Arial"/>
              </w:rPr>
              <w:t>Sub-total</w:t>
            </w:r>
          </w:p>
        </w:tc>
        <w:tc>
          <w:tcPr>
            <w:tcW w:w="1322" w:type="dxa"/>
          </w:tcPr>
          <w:p w14:paraId="26BE1654" w14:textId="6AB179C7" w:rsidR="00783C68" w:rsidRPr="00986221" w:rsidRDefault="00783C68" w:rsidP="007407E1">
            <w:pPr>
              <w:pStyle w:val="Table-normal-text"/>
              <w:ind w:left="426"/>
              <w:jc w:val="right"/>
              <w:rPr>
                <w:rFonts w:cs="Arial"/>
              </w:rPr>
            </w:pPr>
            <w:r w:rsidRPr="00986221">
              <w:rPr>
                <w:rFonts w:cs="Arial"/>
              </w:rPr>
              <w:fldChar w:fldCharType="begin"/>
            </w:r>
            <w:r w:rsidRPr="00986221">
              <w:rPr>
                <w:rFonts w:cs="Arial"/>
              </w:rPr>
              <w:instrText xml:space="preserve"> =SUM(ABOVE) </w:instrText>
            </w:r>
            <w:r w:rsidRPr="00986221">
              <w:rPr>
                <w:rFonts w:cs="Arial"/>
              </w:rPr>
              <w:fldChar w:fldCharType="separate"/>
            </w:r>
            <w:r w:rsidR="00AB4539">
              <w:rPr>
                <w:rFonts w:cs="Arial"/>
                <w:noProof/>
              </w:rPr>
              <w:t>207</w:t>
            </w:r>
            <w:r w:rsidRPr="00986221">
              <w:rPr>
                <w:rFonts w:cs="Arial"/>
              </w:rPr>
              <w:fldChar w:fldCharType="end"/>
            </w:r>
            <w:r w:rsidRPr="00986221">
              <w:rPr>
                <w:rFonts w:cs="Arial"/>
              </w:rPr>
              <w:t xml:space="preserve"> </w:t>
            </w:r>
          </w:p>
        </w:tc>
        <w:tc>
          <w:tcPr>
            <w:tcW w:w="1322" w:type="dxa"/>
          </w:tcPr>
          <w:p w14:paraId="656B48F7" w14:textId="6946C495" w:rsidR="00783C68" w:rsidRPr="00986221" w:rsidRDefault="00783C68" w:rsidP="007407E1">
            <w:pPr>
              <w:pStyle w:val="Table-normal-text"/>
              <w:tabs>
                <w:tab w:val="center" w:pos="553"/>
                <w:tab w:val="right" w:pos="1106"/>
              </w:tabs>
              <w:ind w:left="426"/>
              <w:jc w:val="right"/>
              <w:rPr>
                <w:rFonts w:cs="Arial"/>
              </w:rPr>
            </w:pPr>
            <w:r w:rsidRPr="00986221">
              <w:rPr>
                <w:rFonts w:cs="Arial"/>
              </w:rPr>
              <w:fldChar w:fldCharType="begin"/>
            </w:r>
            <w:r w:rsidRPr="00986221">
              <w:rPr>
                <w:rFonts w:cs="Arial"/>
              </w:rPr>
              <w:instrText xml:space="preserve"> =SUM(ABOVE) </w:instrText>
            </w:r>
            <w:r w:rsidRPr="00986221">
              <w:rPr>
                <w:rFonts w:cs="Arial"/>
              </w:rPr>
              <w:fldChar w:fldCharType="separate"/>
            </w:r>
            <w:r w:rsidR="00AB4539">
              <w:rPr>
                <w:rFonts w:cs="Arial"/>
                <w:noProof/>
              </w:rPr>
              <w:t>116</w:t>
            </w:r>
            <w:r w:rsidRPr="00986221">
              <w:rPr>
                <w:rFonts w:cs="Arial"/>
              </w:rPr>
              <w:fldChar w:fldCharType="end"/>
            </w:r>
            <w:r w:rsidRPr="00986221">
              <w:rPr>
                <w:rFonts w:cs="Arial"/>
              </w:rPr>
              <w:t xml:space="preserve"> </w:t>
            </w:r>
          </w:p>
        </w:tc>
        <w:tc>
          <w:tcPr>
            <w:tcW w:w="1322" w:type="dxa"/>
          </w:tcPr>
          <w:p w14:paraId="5FDB0B43" w14:textId="5785C3BE" w:rsidR="00783C68" w:rsidRPr="00986221" w:rsidRDefault="007407E1" w:rsidP="000221A3">
            <w:pPr>
              <w:pStyle w:val="Table-normal-text"/>
              <w:ind w:left="426"/>
              <w:jc w:val="right"/>
              <w:rPr>
                <w:rFonts w:cs="Arial"/>
              </w:rPr>
            </w:pPr>
            <w:r w:rsidRPr="00986221">
              <w:rPr>
                <w:rFonts w:cs="Arial"/>
              </w:rPr>
              <w:t>10</w:t>
            </w:r>
            <w:r w:rsidR="00783C68" w:rsidRPr="00986221">
              <w:rPr>
                <w:rFonts w:cs="Arial"/>
              </w:rPr>
              <w:t xml:space="preserve"> </w:t>
            </w:r>
          </w:p>
        </w:tc>
        <w:tc>
          <w:tcPr>
            <w:tcW w:w="1323" w:type="dxa"/>
          </w:tcPr>
          <w:p w14:paraId="714BF9E1" w14:textId="01F9D8CC" w:rsidR="00783C68" w:rsidRPr="00986221" w:rsidRDefault="00783C68" w:rsidP="007407E1">
            <w:pPr>
              <w:pStyle w:val="Table-normal-text"/>
              <w:ind w:left="426"/>
              <w:jc w:val="right"/>
              <w:rPr>
                <w:rFonts w:cs="Arial"/>
              </w:rPr>
            </w:pPr>
            <w:r w:rsidRPr="00986221">
              <w:rPr>
                <w:rFonts w:cs="Arial"/>
              </w:rPr>
              <w:fldChar w:fldCharType="begin"/>
            </w:r>
            <w:r w:rsidRPr="00986221">
              <w:rPr>
                <w:rFonts w:cs="Arial"/>
              </w:rPr>
              <w:instrText xml:space="preserve"> =SUM(ABOVE) </w:instrText>
            </w:r>
            <w:r w:rsidRPr="00986221">
              <w:rPr>
                <w:rFonts w:cs="Arial"/>
              </w:rPr>
              <w:fldChar w:fldCharType="separate"/>
            </w:r>
            <w:r w:rsidR="00AB4539">
              <w:rPr>
                <w:rFonts w:cs="Arial"/>
                <w:noProof/>
              </w:rPr>
              <w:t>333</w:t>
            </w:r>
            <w:r w:rsidRPr="00986221">
              <w:rPr>
                <w:rFonts w:cs="Arial"/>
              </w:rPr>
              <w:fldChar w:fldCharType="end"/>
            </w:r>
            <w:r w:rsidRPr="00986221">
              <w:rPr>
                <w:rFonts w:cs="Arial"/>
              </w:rPr>
              <w:t xml:space="preserve"> </w:t>
            </w:r>
          </w:p>
        </w:tc>
      </w:tr>
      <w:tr w:rsidR="002F6BD4" w:rsidRPr="00986221" w14:paraId="39B36231" w14:textId="77777777" w:rsidTr="002F6BD4">
        <w:tc>
          <w:tcPr>
            <w:tcW w:w="8159" w:type="dxa"/>
            <w:gridSpan w:val="5"/>
          </w:tcPr>
          <w:p w14:paraId="5A924D7C" w14:textId="77777777" w:rsidR="002F6BD4" w:rsidRPr="00986221" w:rsidRDefault="002F6BD4" w:rsidP="000221A3">
            <w:pPr>
              <w:pStyle w:val="Table-normal-text"/>
              <w:ind w:left="426"/>
              <w:rPr>
                <w:rFonts w:cs="Arial"/>
                <w:b/>
              </w:rPr>
            </w:pPr>
            <w:r w:rsidRPr="00986221">
              <w:rPr>
                <w:rFonts w:cs="Arial"/>
                <w:b/>
              </w:rPr>
              <w:t>Flexible fund</w:t>
            </w:r>
          </w:p>
        </w:tc>
      </w:tr>
      <w:tr w:rsidR="007407E1" w:rsidRPr="00986221" w14:paraId="658691AC" w14:textId="77777777" w:rsidTr="002F6BD4">
        <w:tc>
          <w:tcPr>
            <w:tcW w:w="2870" w:type="dxa"/>
          </w:tcPr>
          <w:p w14:paraId="31CACAF7" w14:textId="77777777" w:rsidR="007407E1" w:rsidRPr="00986221" w:rsidRDefault="007407E1" w:rsidP="000221A3">
            <w:pPr>
              <w:pStyle w:val="Table-normal-text"/>
              <w:ind w:left="426"/>
              <w:rPr>
                <w:rFonts w:cs="Arial"/>
              </w:rPr>
            </w:pPr>
            <w:r w:rsidRPr="00986221">
              <w:rPr>
                <w:rFonts w:cs="Arial"/>
              </w:rPr>
              <w:t>CIEM</w:t>
            </w:r>
          </w:p>
        </w:tc>
        <w:tc>
          <w:tcPr>
            <w:tcW w:w="1322" w:type="dxa"/>
          </w:tcPr>
          <w:p w14:paraId="4BD9456A" w14:textId="649888A1" w:rsidR="007407E1" w:rsidRPr="00986221" w:rsidRDefault="007407E1" w:rsidP="000221A3">
            <w:pPr>
              <w:pStyle w:val="Table-normal-text"/>
              <w:ind w:left="426"/>
              <w:jc w:val="right"/>
              <w:rPr>
                <w:rFonts w:cs="Arial"/>
              </w:rPr>
            </w:pPr>
            <w:r w:rsidRPr="00986221">
              <w:rPr>
                <w:rFonts w:cs="Arial"/>
              </w:rPr>
              <w:t>7</w:t>
            </w:r>
          </w:p>
        </w:tc>
        <w:tc>
          <w:tcPr>
            <w:tcW w:w="1322" w:type="dxa"/>
          </w:tcPr>
          <w:p w14:paraId="6948CB9F" w14:textId="09864BE0" w:rsidR="007407E1" w:rsidRPr="00986221" w:rsidRDefault="007407E1" w:rsidP="000221A3">
            <w:pPr>
              <w:pStyle w:val="Table-normal-text"/>
              <w:ind w:left="426"/>
              <w:jc w:val="right"/>
              <w:rPr>
                <w:rFonts w:cs="Arial"/>
              </w:rPr>
            </w:pPr>
            <w:r w:rsidRPr="00986221">
              <w:rPr>
                <w:rFonts w:cs="Arial"/>
              </w:rPr>
              <w:t>16</w:t>
            </w:r>
          </w:p>
        </w:tc>
        <w:tc>
          <w:tcPr>
            <w:tcW w:w="1322" w:type="dxa"/>
          </w:tcPr>
          <w:p w14:paraId="28B883FB" w14:textId="6D265C66" w:rsidR="007407E1" w:rsidRPr="00986221" w:rsidRDefault="007407E1" w:rsidP="000221A3">
            <w:pPr>
              <w:pStyle w:val="Table-normal-text"/>
              <w:ind w:left="426"/>
              <w:jc w:val="right"/>
              <w:rPr>
                <w:rFonts w:cs="Arial"/>
              </w:rPr>
            </w:pPr>
            <w:r w:rsidRPr="00986221">
              <w:rPr>
                <w:rFonts w:cs="Arial"/>
              </w:rPr>
              <w:t>10</w:t>
            </w:r>
          </w:p>
        </w:tc>
        <w:tc>
          <w:tcPr>
            <w:tcW w:w="1323" w:type="dxa"/>
          </w:tcPr>
          <w:p w14:paraId="49ABF944" w14:textId="50B07F30" w:rsidR="007407E1" w:rsidRPr="00986221" w:rsidRDefault="007407E1" w:rsidP="000221A3">
            <w:pPr>
              <w:pStyle w:val="Table-normal-text"/>
              <w:ind w:left="426"/>
              <w:jc w:val="right"/>
              <w:rPr>
                <w:rFonts w:cs="Arial"/>
              </w:rPr>
            </w:pPr>
            <w:r w:rsidRPr="00986221">
              <w:rPr>
                <w:rFonts w:cs="Arial"/>
              </w:rPr>
              <w:t>33</w:t>
            </w:r>
          </w:p>
        </w:tc>
      </w:tr>
      <w:tr w:rsidR="007407E1" w:rsidRPr="00986221" w14:paraId="2FFDCC4B" w14:textId="77777777" w:rsidTr="002F6BD4">
        <w:tc>
          <w:tcPr>
            <w:tcW w:w="2870" w:type="dxa"/>
          </w:tcPr>
          <w:p w14:paraId="768F69DE" w14:textId="77777777" w:rsidR="007407E1" w:rsidRPr="00986221" w:rsidRDefault="007407E1" w:rsidP="000221A3">
            <w:pPr>
              <w:pStyle w:val="Table-normal-text"/>
              <w:ind w:left="426"/>
              <w:rPr>
                <w:rFonts w:cs="Arial"/>
              </w:rPr>
            </w:pPr>
            <w:r w:rsidRPr="00986221">
              <w:rPr>
                <w:rFonts w:cs="Arial"/>
              </w:rPr>
              <w:t>DFAT</w:t>
            </w:r>
          </w:p>
        </w:tc>
        <w:tc>
          <w:tcPr>
            <w:tcW w:w="1322" w:type="dxa"/>
          </w:tcPr>
          <w:p w14:paraId="76DD698C" w14:textId="02B358D1" w:rsidR="007407E1" w:rsidRPr="00986221" w:rsidRDefault="007407E1" w:rsidP="000221A3">
            <w:pPr>
              <w:pStyle w:val="Table-normal-text"/>
              <w:ind w:left="426"/>
              <w:jc w:val="right"/>
              <w:rPr>
                <w:rFonts w:cs="Arial"/>
              </w:rPr>
            </w:pPr>
            <w:r w:rsidRPr="00986221">
              <w:rPr>
                <w:rFonts w:cs="Arial"/>
              </w:rPr>
              <w:t>400</w:t>
            </w:r>
          </w:p>
        </w:tc>
        <w:tc>
          <w:tcPr>
            <w:tcW w:w="1322" w:type="dxa"/>
          </w:tcPr>
          <w:p w14:paraId="27272276" w14:textId="53F66FDC" w:rsidR="007407E1" w:rsidRPr="00986221" w:rsidRDefault="007407E1" w:rsidP="000221A3">
            <w:pPr>
              <w:pStyle w:val="Table-normal-text"/>
              <w:ind w:left="426"/>
              <w:jc w:val="right"/>
              <w:rPr>
                <w:rFonts w:cs="Arial"/>
              </w:rPr>
            </w:pPr>
            <w:r w:rsidRPr="00986221">
              <w:rPr>
                <w:rFonts w:cs="Arial"/>
              </w:rPr>
              <w:t>600</w:t>
            </w:r>
          </w:p>
        </w:tc>
        <w:tc>
          <w:tcPr>
            <w:tcW w:w="1322" w:type="dxa"/>
          </w:tcPr>
          <w:p w14:paraId="2361D36C" w14:textId="302E3D57" w:rsidR="007407E1" w:rsidRPr="00986221" w:rsidRDefault="007407E1" w:rsidP="000221A3">
            <w:pPr>
              <w:pStyle w:val="Table-normal-text"/>
              <w:ind w:left="426"/>
              <w:jc w:val="right"/>
              <w:rPr>
                <w:rFonts w:cs="Arial"/>
              </w:rPr>
            </w:pPr>
          </w:p>
        </w:tc>
        <w:tc>
          <w:tcPr>
            <w:tcW w:w="1323" w:type="dxa"/>
          </w:tcPr>
          <w:p w14:paraId="7AF8A5CE" w14:textId="630B294B" w:rsidR="007407E1" w:rsidRPr="00986221" w:rsidRDefault="007407E1" w:rsidP="000221A3">
            <w:pPr>
              <w:pStyle w:val="Table-normal-text"/>
              <w:ind w:left="426"/>
              <w:jc w:val="right"/>
              <w:rPr>
                <w:rFonts w:cs="Arial"/>
              </w:rPr>
            </w:pPr>
            <w:r w:rsidRPr="00986221">
              <w:rPr>
                <w:rFonts w:cs="Arial"/>
              </w:rPr>
              <w:fldChar w:fldCharType="begin"/>
            </w:r>
            <w:r w:rsidRPr="00986221">
              <w:rPr>
                <w:rFonts w:cs="Arial"/>
              </w:rPr>
              <w:instrText xml:space="preserve"> =sum(left) \* MERGEFORMAT </w:instrText>
            </w:r>
            <w:r w:rsidRPr="00986221">
              <w:rPr>
                <w:rFonts w:cs="Arial"/>
              </w:rPr>
              <w:fldChar w:fldCharType="separate"/>
            </w:r>
            <w:r w:rsidR="00AB4539">
              <w:rPr>
                <w:rFonts w:cs="Arial"/>
                <w:noProof/>
              </w:rPr>
              <w:t>1000</w:t>
            </w:r>
            <w:r w:rsidRPr="00986221">
              <w:rPr>
                <w:rFonts w:cs="Arial"/>
              </w:rPr>
              <w:fldChar w:fldCharType="end"/>
            </w:r>
          </w:p>
        </w:tc>
      </w:tr>
      <w:tr w:rsidR="007407E1" w:rsidRPr="00986221" w14:paraId="602F3467" w14:textId="77777777" w:rsidTr="002F6BD4">
        <w:tc>
          <w:tcPr>
            <w:tcW w:w="2870" w:type="dxa"/>
          </w:tcPr>
          <w:p w14:paraId="369327D9" w14:textId="77777777" w:rsidR="007407E1" w:rsidRPr="00986221" w:rsidRDefault="007407E1" w:rsidP="000221A3">
            <w:pPr>
              <w:pStyle w:val="Table-normal-text"/>
              <w:ind w:left="426"/>
              <w:rPr>
                <w:rFonts w:cs="Arial"/>
              </w:rPr>
            </w:pPr>
            <w:r w:rsidRPr="00986221">
              <w:rPr>
                <w:rFonts w:cs="Arial"/>
              </w:rPr>
              <w:t>Sub-total</w:t>
            </w:r>
          </w:p>
        </w:tc>
        <w:tc>
          <w:tcPr>
            <w:tcW w:w="1322" w:type="dxa"/>
          </w:tcPr>
          <w:p w14:paraId="466C7810" w14:textId="77777777" w:rsidR="007407E1" w:rsidRPr="00986221" w:rsidRDefault="007407E1" w:rsidP="000221A3">
            <w:pPr>
              <w:pStyle w:val="Table-normal-text"/>
              <w:ind w:left="426"/>
              <w:jc w:val="right"/>
              <w:rPr>
                <w:rFonts w:cs="Arial"/>
              </w:rPr>
            </w:pPr>
          </w:p>
        </w:tc>
        <w:tc>
          <w:tcPr>
            <w:tcW w:w="1322" w:type="dxa"/>
          </w:tcPr>
          <w:p w14:paraId="4A46DB8C" w14:textId="77777777" w:rsidR="007407E1" w:rsidRPr="00986221" w:rsidRDefault="007407E1" w:rsidP="000221A3">
            <w:pPr>
              <w:pStyle w:val="Table-normal-text"/>
              <w:ind w:left="426"/>
              <w:jc w:val="right"/>
              <w:rPr>
                <w:rFonts w:cs="Arial"/>
              </w:rPr>
            </w:pPr>
          </w:p>
        </w:tc>
        <w:tc>
          <w:tcPr>
            <w:tcW w:w="1322" w:type="dxa"/>
          </w:tcPr>
          <w:p w14:paraId="1B616C9E" w14:textId="77777777" w:rsidR="007407E1" w:rsidRPr="00986221" w:rsidRDefault="007407E1" w:rsidP="000221A3">
            <w:pPr>
              <w:pStyle w:val="Table-normal-text"/>
              <w:ind w:left="426"/>
              <w:jc w:val="right"/>
              <w:rPr>
                <w:rFonts w:cs="Arial"/>
              </w:rPr>
            </w:pPr>
          </w:p>
        </w:tc>
        <w:tc>
          <w:tcPr>
            <w:tcW w:w="1323" w:type="dxa"/>
          </w:tcPr>
          <w:p w14:paraId="0390AC50" w14:textId="5A47C48C" w:rsidR="007407E1" w:rsidRPr="00986221" w:rsidRDefault="007407E1" w:rsidP="007407E1">
            <w:pPr>
              <w:pStyle w:val="Table-normal-text"/>
              <w:ind w:left="426"/>
              <w:jc w:val="right"/>
              <w:rPr>
                <w:rFonts w:cs="Arial"/>
              </w:rPr>
            </w:pPr>
            <w:r w:rsidRPr="00986221">
              <w:rPr>
                <w:rFonts w:cs="Arial"/>
              </w:rPr>
              <w:t>1,0</w:t>
            </w:r>
            <w:r w:rsidRPr="00986221">
              <w:rPr>
                <w:rFonts w:cs="Arial"/>
              </w:rPr>
              <w:fldChar w:fldCharType="begin"/>
            </w:r>
            <w:r w:rsidRPr="00986221">
              <w:rPr>
                <w:rFonts w:cs="Arial"/>
              </w:rPr>
              <w:instrText xml:space="preserve"> = sum(above) \* MERGEFORMAT </w:instrText>
            </w:r>
            <w:r w:rsidRPr="00986221">
              <w:rPr>
                <w:rFonts w:cs="Arial"/>
              </w:rPr>
              <w:fldChar w:fldCharType="separate"/>
            </w:r>
            <w:r w:rsidR="00AB4539">
              <w:rPr>
                <w:rFonts w:cs="Arial"/>
                <w:noProof/>
              </w:rPr>
              <w:t>1033</w:t>
            </w:r>
            <w:r w:rsidRPr="00986221">
              <w:rPr>
                <w:rFonts w:cs="Arial"/>
              </w:rPr>
              <w:fldChar w:fldCharType="end"/>
            </w:r>
          </w:p>
        </w:tc>
      </w:tr>
      <w:tr w:rsidR="007407E1" w:rsidRPr="00986221" w14:paraId="6679487F" w14:textId="77777777" w:rsidTr="002F6BD4">
        <w:tc>
          <w:tcPr>
            <w:tcW w:w="2870" w:type="dxa"/>
          </w:tcPr>
          <w:p w14:paraId="351048D9" w14:textId="77777777" w:rsidR="007407E1" w:rsidRPr="00986221" w:rsidRDefault="007407E1" w:rsidP="000221A3">
            <w:pPr>
              <w:pStyle w:val="Table-normal-text"/>
              <w:ind w:left="426"/>
              <w:rPr>
                <w:rFonts w:cs="Arial"/>
              </w:rPr>
            </w:pPr>
          </w:p>
        </w:tc>
        <w:tc>
          <w:tcPr>
            <w:tcW w:w="1322" w:type="dxa"/>
          </w:tcPr>
          <w:p w14:paraId="4CC7882B" w14:textId="77777777" w:rsidR="007407E1" w:rsidRPr="00986221" w:rsidRDefault="007407E1" w:rsidP="000221A3">
            <w:pPr>
              <w:pStyle w:val="Table-normal-text"/>
              <w:ind w:left="426"/>
              <w:jc w:val="right"/>
              <w:rPr>
                <w:rFonts w:cs="Arial"/>
              </w:rPr>
            </w:pPr>
          </w:p>
        </w:tc>
        <w:tc>
          <w:tcPr>
            <w:tcW w:w="1322" w:type="dxa"/>
          </w:tcPr>
          <w:p w14:paraId="1DBFC392" w14:textId="77777777" w:rsidR="007407E1" w:rsidRPr="00986221" w:rsidRDefault="007407E1" w:rsidP="000221A3">
            <w:pPr>
              <w:pStyle w:val="Table-normal-text"/>
              <w:ind w:left="426"/>
              <w:jc w:val="right"/>
              <w:rPr>
                <w:rFonts w:cs="Arial"/>
              </w:rPr>
            </w:pPr>
          </w:p>
        </w:tc>
        <w:tc>
          <w:tcPr>
            <w:tcW w:w="1322" w:type="dxa"/>
          </w:tcPr>
          <w:p w14:paraId="60BE8BBB" w14:textId="77777777" w:rsidR="007407E1" w:rsidRPr="00986221" w:rsidRDefault="007407E1" w:rsidP="000221A3">
            <w:pPr>
              <w:pStyle w:val="Table-normal-text"/>
              <w:ind w:left="426"/>
              <w:jc w:val="right"/>
              <w:rPr>
                <w:rFonts w:cs="Arial"/>
              </w:rPr>
            </w:pPr>
          </w:p>
        </w:tc>
        <w:tc>
          <w:tcPr>
            <w:tcW w:w="1323" w:type="dxa"/>
          </w:tcPr>
          <w:p w14:paraId="09038105" w14:textId="77777777" w:rsidR="007407E1" w:rsidRPr="00986221" w:rsidRDefault="007407E1" w:rsidP="007407E1">
            <w:pPr>
              <w:pStyle w:val="Table-normal-text"/>
              <w:ind w:left="426"/>
              <w:jc w:val="right"/>
              <w:rPr>
                <w:rFonts w:cs="Arial"/>
              </w:rPr>
            </w:pPr>
          </w:p>
        </w:tc>
      </w:tr>
      <w:tr w:rsidR="007407E1" w:rsidRPr="00986221" w14:paraId="39749F61" w14:textId="77777777" w:rsidTr="002F6BD4">
        <w:tc>
          <w:tcPr>
            <w:tcW w:w="2870" w:type="dxa"/>
          </w:tcPr>
          <w:p w14:paraId="55DF2C5E" w14:textId="6E8C8175" w:rsidR="007407E1" w:rsidRPr="00986221" w:rsidRDefault="007407E1" w:rsidP="007407E1">
            <w:pPr>
              <w:pStyle w:val="Table-normal-text"/>
              <w:rPr>
                <w:rFonts w:cs="Arial"/>
              </w:rPr>
            </w:pPr>
            <w:r w:rsidRPr="00986221">
              <w:rPr>
                <w:rFonts w:cs="Arial"/>
                <w:b/>
              </w:rPr>
              <w:t>TECHNICAL ASSISTANCE</w:t>
            </w:r>
          </w:p>
        </w:tc>
        <w:tc>
          <w:tcPr>
            <w:tcW w:w="1322" w:type="dxa"/>
          </w:tcPr>
          <w:p w14:paraId="6DB5F221" w14:textId="04037DCD" w:rsidR="007407E1" w:rsidRPr="00986221" w:rsidRDefault="004F444D" w:rsidP="000221A3">
            <w:pPr>
              <w:pStyle w:val="Table-normal-text"/>
              <w:ind w:left="426"/>
              <w:jc w:val="right"/>
              <w:rPr>
                <w:rFonts w:cs="Arial"/>
              </w:rPr>
            </w:pPr>
            <w:r w:rsidRPr="00986221">
              <w:rPr>
                <w:rFonts w:cs="Arial"/>
              </w:rPr>
              <w:t>200</w:t>
            </w:r>
          </w:p>
        </w:tc>
        <w:tc>
          <w:tcPr>
            <w:tcW w:w="1322" w:type="dxa"/>
          </w:tcPr>
          <w:p w14:paraId="7816CFF9" w14:textId="14FDCFB5" w:rsidR="007407E1" w:rsidRPr="00986221" w:rsidRDefault="004F444D" w:rsidP="000221A3">
            <w:pPr>
              <w:pStyle w:val="Table-normal-text"/>
              <w:ind w:left="426"/>
              <w:jc w:val="right"/>
              <w:rPr>
                <w:rFonts w:cs="Arial"/>
              </w:rPr>
            </w:pPr>
            <w:r w:rsidRPr="00986221">
              <w:rPr>
                <w:rFonts w:cs="Arial"/>
              </w:rPr>
              <w:t>200</w:t>
            </w:r>
          </w:p>
        </w:tc>
        <w:tc>
          <w:tcPr>
            <w:tcW w:w="1322" w:type="dxa"/>
          </w:tcPr>
          <w:p w14:paraId="1E358A8E" w14:textId="68160900" w:rsidR="007407E1" w:rsidRPr="00986221" w:rsidRDefault="004F444D" w:rsidP="000221A3">
            <w:pPr>
              <w:pStyle w:val="Table-normal-text"/>
              <w:ind w:left="426"/>
              <w:jc w:val="right"/>
              <w:rPr>
                <w:rFonts w:cs="Arial"/>
              </w:rPr>
            </w:pPr>
            <w:r w:rsidRPr="00986221">
              <w:rPr>
                <w:rFonts w:cs="Arial"/>
              </w:rPr>
              <w:t>200</w:t>
            </w:r>
          </w:p>
        </w:tc>
        <w:tc>
          <w:tcPr>
            <w:tcW w:w="1323" w:type="dxa"/>
          </w:tcPr>
          <w:p w14:paraId="0711303F" w14:textId="30643252" w:rsidR="007407E1" w:rsidRPr="00986221" w:rsidRDefault="004F444D" w:rsidP="007407E1">
            <w:pPr>
              <w:pStyle w:val="Table-normal-text"/>
              <w:ind w:left="426"/>
              <w:jc w:val="right"/>
              <w:rPr>
                <w:rFonts w:cs="Arial"/>
              </w:rPr>
            </w:pPr>
            <w:r w:rsidRPr="00986221">
              <w:rPr>
                <w:rFonts w:cs="Arial"/>
              </w:rPr>
              <w:t>600</w:t>
            </w:r>
          </w:p>
        </w:tc>
      </w:tr>
      <w:tr w:rsidR="007407E1" w:rsidRPr="00986221" w14:paraId="5DFC6C08" w14:textId="77777777" w:rsidTr="002F6BD4">
        <w:tc>
          <w:tcPr>
            <w:tcW w:w="2870" w:type="dxa"/>
          </w:tcPr>
          <w:p w14:paraId="4A131272" w14:textId="77777777" w:rsidR="007407E1" w:rsidRPr="00986221" w:rsidRDefault="007407E1" w:rsidP="000221A3">
            <w:pPr>
              <w:pStyle w:val="Table-normal-text"/>
              <w:ind w:left="426"/>
              <w:rPr>
                <w:rFonts w:cs="Arial"/>
              </w:rPr>
            </w:pPr>
          </w:p>
        </w:tc>
        <w:tc>
          <w:tcPr>
            <w:tcW w:w="1322" w:type="dxa"/>
          </w:tcPr>
          <w:p w14:paraId="58B780D2" w14:textId="77777777" w:rsidR="007407E1" w:rsidRPr="00986221" w:rsidRDefault="007407E1" w:rsidP="000221A3">
            <w:pPr>
              <w:pStyle w:val="Table-normal-text"/>
              <w:ind w:left="426"/>
              <w:jc w:val="right"/>
              <w:rPr>
                <w:rFonts w:cs="Arial"/>
              </w:rPr>
            </w:pPr>
          </w:p>
        </w:tc>
        <w:tc>
          <w:tcPr>
            <w:tcW w:w="1322" w:type="dxa"/>
          </w:tcPr>
          <w:p w14:paraId="12D5D73A" w14:textId="77777777" w:rsidR="007407E1" w:rsidRPr="00986221" w:rsidRDefault="007407E1" w:rsidP="000221A3">
            <w:pPr>
              <w:pStyle w:val="Table-normal-text"/>
              <w:ind w:left="426"/>
              <w:jc w:val="right"/>
              <w:rPr>
                <w:rFonts w:cs="Arial"/>
              </w:rPr>
            </w:pPr>
          </w:p>
        </w:tc>
        <w:tc>
          <w:tcPr>
            <w:tcW w:w="1322" w:type="dxa"/>
          </w:tcPr>
          <w:p w14:paraId="30AE84DE" w14:textId="77777777" w:rsidR="007407E1" w:rsidRPr="00986221" w:rsidRDefault="007407E1" w:rsidP="000221A3">
            <w:pPr>
              <w:pStyle w:val="Table-normal-text"/>
              <w:ind w:left="426"/>
              <w:jc w:val="right"/>
              <w:rPr>
                <w:rFonts w:cs="Arial"/>
              </w:rPr>
            </w:pPr>
          </w:p>
        </w:tc>
        <w:tc>
          <w:tcPr>
            <w:tcW w:w="1323" w:type="dxa"/>
          </w:tcPr>
          <w:p w14:paraId="322C065A" w14:textId="77777777" w:rsidR="007407E1" w:rsidRPr="00986221" w:rsidRDefault="007407E1" w:rsidP="007407E1">
            <w:pPr>
              <w:pStyle w:val="Table-normal-text"/>
              <w:ind w:left="426"/>
              <w:jc w:val="right"/>
              <w:rPr>
                <w:rFonts w:cs="Arial"/>
              </w:rPr>
            </w:pPr>
          </w:p>
        </w:tc>
      </w:tr>
      <w:tr w:rsidR="007407E1" w:rsidRPr="00986221" w14:paraId="2E69259F" w14:textId="77777777" w:rsidTr="00DB670A">
        <w:tc>
          <w:tcPr>
            <w:tcW w:w="8159" w:type="dxa"/>
            <w:gridSpan w:val="5"/>
          </w:tcPr>
          <w:p w14:paraId="32EC4D95" w14:textId="5697D5BE" w:rsidR="007407E1" w:rsidRPr="00986221" w:rsidRDefault="007407E1" w:rsidP="000221A3">
            <w:pPr>
              <w:pStyle w:val="Table-normal-text"/>
              <w:ind w:left="426"/>
              <w:rPr>
                <w:rFonts w:cs="Arial"/>
                <w:b/>
              </w:rPr>
            </w:pPr>
            <w:r w:rsidRPr="00986221">
              <w:rPr>
                <w:rFonts w:cs="Arial"/>
                <w:b/>
              </w:rPr>
              <w:t>Total</w:t>
            </w:r>
          </w:p>
        </w:tc>
      </w:tr>
      <w:tr w:rsidR="007407E1" w:rsidRPr="00986221" w14:paraId="522A5732" w14:textId="77777777" w:rsidTr="005F28E2">
        <w:tc>
          <w:tcPr>
            <w:tcW w:w="2870" w:type="dxa"/>
          </w:tcPr>
          <w:p w14:paraId="7DA51F68" w14:textId="149DEE8C" w:rsidR="007407E1" w:rsidRPr="00986221" w:rsidRDefault="007407E1" w:rsidP="000221A3">
            <w:pPr>
              <w:pStyle w:val="Table-normal-text"/>
              <w:ind w:left="426"/>
              <w:rPr>
                <w:rFonts w:cs="Arial"/>
              </w:rPr>
            </w:pPr>
            <w:r w:rsidRPr="00986221">
              <w:rPr>
                <w:rFonts w:cs="Arial"/>
              </w:rPr>
              <w:t>GoV</w:t>
            </w:r>
          </w:p>
        </w:tc>
        <w:tc>
          <w:tcPr>
            <w:tcW w:w="1322" w:type="dxa"/>
          </w:tcPr>
          <w:p w14:paraId="42B2C354" w14:textId="28BC4631" w:rsidR="007407E1" w:rsidRPr="00986221" w:rsidRDefault="007407E1" w:rsidP="000221A3">
            <w:pPr>
              <w:pStyle w:val="Table-normal-text"/>
              <w:ind w:left="426"/>
              <w:jc w:val="right"/>
              <w:rPr>
                <w:rFonts w:cs="Arial"/>
              </w:rPr>
            </w:pPr>
            <w:r w:rsidRPr="00986221">
              <w:rPr>
                <w:rFonts w:cs="Arial"/>
              </w:rPr>
              <w:t>25</w:t>
            </w:r>
          </w:p>
        </w:tc>
        <w:tc>
          <w:tcPr>
            <w:tcW w:w="1322" w:type="dxa"/>
          </w:tcPr>
          <w:p w14:paraId="5EFC52BE" w14:textId="24D238CE" w:rsidR="007407E1" w:rsidRPr="00986221" w:rsidRDefault="007407E1" w:rsidP="007407E1">
            <w:pPr>
              <w:pStyle w:val="Table-normal-text"/>
              <w:ind w:left="426"/>
              <w:jc w:val="right"/>
              <w:rPr>
                <w:rFonts w:cs="Arial"/>
              </w:rPr>
            </w:pPr>
            <w:r w:rsidRPr="00986221">
              <w:rPr>
                <w:rFonts w:cs="Arial"/>
              </w:rPr>
              <w:t>57</w:t>
            </w:r>
          </w:p>
        </w:tc>
        <w:tc>
          <w:tcPr>
            <w:tcW w:w="1322" w:type="dxa"/>
          </w:tcPr>
          <w:p w14:paraId="10FF2C13" w14:textId="5A3D5FD9" w:rsidR="007407E1" w:rsidRPr="00986221" w:rsidRDefault="007407E1" w:rsidP="000221A3">
            <w:pPr>
              <w:pStyle w:val="Table-normal-text"/>
              <w:ind w:left="426"/>
              <w:jc w:val="right"/>
              <w:rPr>
                <w:rFonts w:cs="Arial"/>
              </w:rPr>
            </w:pPr>
            <w:r w:rsidRPr="00986221">
              <w:rPr>
                <w:rFonts w:cs="Arial"/>
              </w:rPr>
              <w:t>40</w:t>
            </w:r>
          </w:p>
        </w:tc>
        <w:tc>
          <w:tcPr>
            <w:tcW w:w="1323" w:type="dxa"/>
          </w:tcPr>
          <w:p w14:paraId="284AA1B5" w14:textId="431BBBCF" w:rsidR="007407E1" w:rsidRPr="00986221" w:rsidRDefault="007407E1" w:rsidP="007407E1">
            <w:pPr>
              <w:pStyle w:val="Table-normal-text"/>
              <w:ind w:left="426"/>
              <w:jc w:val="right"/>
              <w:rPr>
                <w:rFonts w:cs="Arial"/>
              </w:rPr>
            </w:pPr>
            <w:r w:rsidRPr="00986221">
              <w:rPr>
                <w:rFonts w:cs="Arial"/>
              </w:rPr>
              <w:t>122</w:t>
            </w:r>
          </w:p>
        </w:tc>
      </w:tr>
      <w:tr w:rsidR="007407E1" w:rsidRPr="00986221" w14:paraId="50FE257C" w14:textId="77777777" w:rsidTr="005F28E2">
        <w:tc>
          <w:tcPr>
            <w:tcW w:w="2870" w:type="dxa"/>
          </w:tcPr>
          <w:p w14:paraId="5B23D3AF" w14:textId="2812B5C4" w:rsidR="007407E1" w:rsidRPr="00986221" w:rsidRDefault="007407E1" w:rsidP="000221A3">
            <w:pPr>
              <w:pStyle w:val="Table-normal-text"/>
              <w:ind w:left="426"/>
              <w:rPr>
                <w:rFonts w:cs="Arial"/>
              </w:rPr>
            </w:pPr>
            <w:r w:rsidRPr="00986221">
              <w:rPr>
                <w:rFonts w:cs="Arial"/>
              </w:rPr>
              <w:t>DFAT</w:t>
            </w:r>
          </w:p>
        </w:tc>
        <w:tc>
          <w:tcPr>
            <w:tcW w:w="1322" w:type="dxa"/>
          </w:tcPr>
          <w:p w14:paraId="087CBF23" w14:textId="4E93265D" w:rsidR="007407E1" w:rsidRPr="00986221" w:rsidRDefault="007407E1" w:rsidP="00A73CB8">
            <w:pPr>
              <w:pStyle w:val="Table-normal-text"/>
              <w:ind w:left="426"/>
              <w:jc w:val="right"/>
              <w:rPr>
                <w:rFonts w:cs="Arial"/>
              </w:rPr>
            </w:pPr>
            <w:r w:rsidRPr="00986221">
              <w:rPr>
                <w:rFonts w:cs="Arial"/>
              </w:rPr>
              <w:t>1,</w:t>
            </w:r>
            <w:r w:rsidR="00A73CB8" w:rsidRPr="00986221">
              <w:rPr>
                <w:rFonts w:cs="Arial"/>
              </w:rPr>
              <w:t>5</w:t>
            </w:r>
            <w:r w:rsidRPr="00986221">
              <w:rPr>
                <w:rFonts w:cs="Arial"/>
              </w:rPr>
              <w:t>00</w:t>
            </w:r>
          </w:p>
        </w:tc>
        <w:tc>
          <w:tcPr>
            <w:tcW w:w="1322" w:type="dxa"/>
          </w:tcPr>
          <w:p w14:paraId="34BD5E08" w14:textId="17304A06" w:rsidR="007407E1" w:rsidRPr="00986221" w:rsidRDefault="007407E1" w:rsidP="00A73CB8">
            <w:pPr>
              <w:pStyle w:val="Table-normal-text"/>
              <w:ind w:left="426"/>
              <w:jc w:val="right"/>
              <w:rPr>
                <w:rFonts w:cs="Arial"/>
              </w:rPr>
            </w:pPr>
            <w:r w:rsidRPr="00986221">
              <w:rPr>
                <w:rFonts w:cs="Arial"/>
              </w:rPr>
              <w:t>1</w:t>
            </w:r>
            <w:r w:rsidR="00A73CB8" w:rsidRPr="00986221">
              <w:rPr>
                <w:rFonts w:cs="Arial"/>
              </w:rPr>
              <w:t>4</w:t>
            </w:r>
            <w:r w:rsidRPr="00986221">
              <w:rPr>
                <w:rFonts w:cs="Arial"/>
              </w:rPr>
              <w:t>00</w:t>
            </w:r>
          </w:p>
        </w:tc>
        <w:tc>
          <w:tcPr>
            <w:tcW w:w="1322" w:type="dxa"/>
          </w:tcPr>
          <w:p w14:paraId="5FCD3B36" w14:textId="3294804D" w:rsidR="007407E1" w:rsidRPr="00986221" w:rsidRDefault="00A73CB8" w:rsidP="000221A3">
            <w:pPr>
              <w:pStyle w:val="Table-normal-text"/>
              <w:ind w:left="426"/>
              <w:jc w:val="right"/>
              <w:rPr>
                <w:rFonts w:cs="Arial"/>
              </w:rPr>
            </w:pPr>
            <w:r w:rsidRPr="00986221">
              <w:rPr>
                <w:rFonts w:cs="Arial"/>
              </w:rPr>
              <w:t>200</w:t>
            </w:r>
          </w:p>
        </w:tc>
        <w:tc>
          <w:tcPr>
            <w:tcW w:w="1323" w:type="dxa"/>
          </w:tcPr>
          <w:p w14:paraId="5F656C71" w14:textId="4D4203E2" w:rsidR="007407E1" w:rsidRPr="00986221" w:rsidRDefault="00A73CB8" w:rsidP="00A73CB8">
            <w:pPr>
              <w:pStyle w:val="Table-normal-text"/>
              <w:ind w:left="426"/>
              <w:jc w:val="right"/>
              <w:rPr>
                <w:rFonts w:cs="Arial"/>
              </w:rPr>
            </w:pPr>
            <w:r w:rsidRPr="00986221">
              <w:rPr>
                <w:rFonts w:cs="Arial"/>
              </w:rPr>
              <w:t>3</w:t>
            </w:r>
            <w:r w:rsidR="007407E1" w:rsidRPr="00986221">
              <w:rPr>
                <w:rFonts w:cs="Arial"/>
              </w:rPr>
              <w:t>,</w:t>
            </w:r>
            <w:r w:rsidRPr="00986221">
              <w:rPr>
                <w:rFonts w:cs="Arial"/>
              </w:rPr>
              <w:t>1</w:t>
            </w:r>
            <w:r w:rsidR="007407E1" w:rsidRPr="00986221">
              <w:rPr>
                <w:rFonts w:cs="Arial"/>
              </w:rPr>
              <w:t>00</w:t>
            </w:r>
          </w:p>
        </w:tc>
      </w:tr>
      <w:tr w:rsidR="007407E1" w:rsidRPr="00986221" w14:paraId="56BA9E32" w14:textId="77777777" w:rsidTr="002F6BD4">
        <w:tc>
          <w:tcPr>
            <w:tcW w:w="2870" w:type="dxa"/>
          </w:tcPr>
          <w:p w14:paraId="147A3141" w14:textId="1584E2AF" w:rsidR="007407E1" w:rsidRPr="00986221" w:rsidRDefault="007407E1" w:rsidP="000221A3">
            <w:pPr>
              <w:pStyle w:val="Table-normal-text"/>
              <w:ind w:left="426"/>
              <w:rPr>
                <w:rFonts w:cs="Arial"/>
                <w:u w:val="single"/>
              </w:rPr>
            </w:pPr>
            <w:r w:rsidRPr="00986221">
              <w:rPr>
                <w:rFonts w:cs="Arial"/>
                <w:u w:val="single"/>
              </w:rPr>
              <w:t>Sub-total</w:t>
            </w:r>
          </w:p>
        </w:tc>
        <w:tc>
          <w:tcPr>
            <w:tcW w:w="1322" w:type="dxa"/>
          </w:tcPr>
          <w:p w14:paraId="2EC0431C" w14:textId="236E258E" w:rsidR="007407E1" w:rsidRPr="00986221" w:rsidRDefault="007407E1" w:rsidP="007407E1">
            <w:pPr>
              <w:pStyle w:val="Table-normal-text"/>
              <w:ind w:left="426"/>
              <w:jc w:val="right"/>
              <w:rPr>
                <w:rFonts w:cs="Arial"/>
                <w:u w:val="single"/>
              </w:rPr>
            </w:pPr>
            <w:r w:rsidRPr="00986221">
              <w:rPr>
                <w:rFonts w:cs="Arial"/>
                <w:u w:val="single"/>
              </w:rPr>
              <w:t>1,</w:t>
            </w:r>
            <w:r w:rsidRPr="00986221">
              <w:rPr>
                <w:rFonts w:cs="Arial"/>
                <w:u w:val="single"/>
              </w:rPr>
              <w:fldChar w:fldCharType="begin"/>
            </w:r>
            <w:r w:rsidRPr="00986221">
              <w:rPr>
                <w:rFonts w:cs="Arial"/>
                <w:u w:val="single"/>
              </w:rPr>
              <w:instrText xml:space="preserve"> =SUM(ABOVE) </w:instrText>
            </w:r>
            <w:r w:rsidRPr="00986221">
              <w:rPr>
                <w:rFonts w:cs="Arial"/>
                <w:u w:val="single"/>
              </w:rPr>
              <w:fldChar w:fldCharType="separate"/>
            </w:r>
            <w:r w:rsidR="00AB4539">
              <w:rPr>
                <w:rFonts w:cs="Arial"/>
                <w:noProof/>
                <w:u w:val="single"/>
              </w:rPr>
              <w:t>1,525</w:t>
            </w:r>
            <w:r w:rsidRPr="00986221">
              <w:rPr>
                <w:rFonts w:cs="Arial"/>
                <w:u w:val="single"/>
              </w:rPr>
              <w:fldChar w:fldCharType="end"/>
            </w:r>
          </w:p>
        </w:tc>
        <w:tc>
          <w:tcPr>
            <w:tcW w:w="1322" w:type="dxa"/>
          </w:tcPr>
          <w:p w14:paraId="20DB615D" w14:textId="56552AE1" w:rsidR="007407E1" w:rsidRPr="00986221" w:rsidRDefault="007407E1" w:rsidP="00A73CB8">
            <w:pPr>
              <w:pStyle w:val="Table-normal-text"/>
              <w:ind w:left="426"/>
              <w:jc w:val="right"/>
              <w:rPr>
                <w:rFonts w:cs="Arial"/>
                <w:u w:val="single"/>
              </w:rPr>
            </w:pPr>
            <w:r w:rsidRPr="00986221">
              <w:rPr>
                <w:rFonts w:cs="Arial"/>
                <w:u w:val="single"/>
              </w:rPr>
              <w:fldChar w:fldCharType="begin"/>
            </w:r>
            <w:r w:rsidRPr="00986221">
              <w:rPr>
                <w:rFonts w:cs="Arial"/>
                <w:u w:val="single"/>
              </w:rPr>
              <w:instrText xml:space="preserve"> =SUM(ABOVE) </w:instrText>
            </w:r>
            <w:r w:rsidRPr="00986221">
              <w:rPr>
                <w:rFonts w:cs="Arial"/>
                <w:u w:val="single"/>
              </w:rPr>
              <w:fldChar w:fldCharType="separate"/>
            </w:r>
            <w:r w:rsidR="00AB4539">
              <w:rPr>
                <w:rFonts w:cs="Arial"/>
                <w:noProof/>
                <w:u w:val="single"/>
              </w:rPr>
              <w:t>1457</w:t>
            </w:r>
            <w:r w:rsidRPr="00986221">
              <w:rPr>
                <w:rFonts w:cs="Arial"/>
                <w:u w:val="single"/>
              </w:rPr>
              <w:fldChar w:fldCharType="end"/>
            </w:r>
          </w:p>
        </w:tc>
        <w:tc>
          <w:tcPr>
            <w:tcW w:w="1322" w:type="dxa"/>
          </w:tcPr>
          <w:p w14:paraId="1B32FE9C" w14:textId="1C5AE304" w:rsidR="007407E1" w:rsidRPr="00986221" w:rsidRDefault="00A73CB8" w:rsidP="007407E1">
            <w:pPr>
              <w:pStyle w:val="Table-normal-text"/>
              <w:ind w:left="426"/>
              <w:jc w:val="right"/>
              <w:rPr>
                <w:rFonts w:cs="Arial"/>
                <w:u w:val="single"/>
              </w:rPr>
            </w:pPr>
            <w:r w:rsidRPr="00986221">
              <w:rPr>
                <w:rFonts w:cs="Arial"/>
                <w:u w:val="single"/>
              </w:rPr>
              <w:t>2</w:t>
            </w:r>
            <w:r w:rsidR="007407E1" w:rsidRPr="00986221">
              <w:rPr>
                <w:rFonts w:cs="Arial"/>
                <w:u w:val="single"/>
              </w:rPr>
              <w:fldChar w:fldCharType="begin"/>
            </w:r>
            <w:r w:rsidR="007407E1" w:rsidRPr="00986221">
              <w:rPr>
                <w:rFonts w:cs="Arial"/>
                <w:u w:val="single"/>
              </w:rPr>
              <w:instrText xml:space="preserve"> =SUM(ABOVE) </w:instrText>
            </w:r>
            <w:r w:rsidR="007407E1" w:rsidRPr="00986221">
              <w:rPr>
                <w:rFonts w:cs="Arial"/>
                <w:u w:val="single"/>
              </w:rPr>
              <w:fldChar w:fldCharType="separate"/>
            </w:r>
            <w:r w:rsidR="00AB4539">
              <w:rPr>
                <w:rFonts w:cs="Arial"/>
                <w:noProof/>
                <w:u w:val="single"/>
              </w:rPr>
              <w:t>240</w:t>
            </w:r>
            <w:r w:rsidR="007407E1" w:rsidRPr="00986221">
              <w:rPr>
                <w:rFonts w:cs="Arial"/>
                <w:u w:val="single"/>
              </w:rPr>
              <w:fldChar w:fldCharType="end"/>
            </w:r>
          </w:p>
        </w:tc>
        <w:tc>
          <w:tcPr>
            <w:tcW w:w="1323" w:type="dxa"/>
          </w:tcPr>
          <w:p w14:paraId="0E5E67A3" w14:textId="56BFC992" w:rsidR="007407E1" w:rsidRPr="00986221" w:rsidRDefault="007407E1" w:rsidP="00A73CB8">
            <w:pPr>
              <w:pStyle w:val="Table-normal-text"/>
              <w:ind w:left="426"/>
              <w:jc w:val="right"/>
              <w:rPr>
                <w:rFonts w:cs="Arial"/>
                <w:u w:val="single"/>
              </w:rPr>
            </w:pPr>
            <w:r w:rsidRPr="00986221">
              <w:rPr>
                <w:rFonts w:cs="Arial"/>
                <w:u w:val="single"/>
              </w:rPr>
              <w:fldChar w:fldCharType="begin"/>
            </w:r>
            <w:r w:rsidRPr="00986221">
              <w:rPr>
                <w:rFonts w:cs="Arial"/>
                <w:u w:val="single"/>
              </w:rPr>
              <w:instrText xml:space="preserve"> =SUM(ABOVE) </w:instrText>
            </w:r>
            <w:r w:rsidRPr="00986221">
              <w:rPr>
                <w:rFonts w:cs="Arial"/>
                <w:u w:val="single"/>
              </w:rPr>
              <w:fldChar w:fldCharType="separate"/>
            </w:r>
            <w:r w:rsidR="00AB4539">
              <w:rPr>
                <w:rFonts w:cs="Arial"/>
                <w:noProof/>
                <w:u w:val="single"/>
              </w:rPr>
              <w:t>3,222</w:t>
            </w:r>
            <w:r w:rsidRPr="00986221">
              <w:rPr>
                <w:rFonts w:cs="Arial"/>
                <w:u w:val="single"/>
              </w:rPr>
              <w:fldChar w:fldCharType="end"/>
            </w:r>
          </w:p>
        </w:tc>
      </w:tr>
    </w:tbl>
    <w:p w14:paraId="18867D27" w14:textId="77777777" w:rsidR="00933704" w:rsidRPr="00986221" w:rsidRDefault="00933704" w:rsidP="004F444D">
      <w:pPr>
        <w:rPr>
          <w:rFonts w:cs="Arial"/>
          <w:b/>
          <w:u w:val="single"/>
        </w:rPr>
        <w:sectPr w:rsidR="00933704" w:rsidRPr="00986221" w:rsidSect="00B77CD9">
          <w:headerReference w:type="default" r:id="rId18"/>
          <w:pgSz w:w="11900" w:h="16840"/>
          <w:pgMar w:top="1440" w:right="1410" w:bottom="1440" w:left="1800" w:header="708" w:footer="708" w:gutter="0"/>
          <w:cols w:space="708"/>
          <w:docGrid w:linePitch="360"/>
        </w:sectPr>
      </w:pPr>
    </w:p>
    <w:p w14:paraId="7D04CA55" w14:textId="1B1490C7" w:rsidR="00933704" w:rsidRPr="00986221" w:rsidRDefault="00933704" w:rsidP="004F444D">
      <w:pPr>
        <w:pStyle w:val="Heading1"/>
      </w:pPr>
      <w:bookmarkStart w:id="28" w:name="_Toc387322648"/>
      <w:r w:rsidRPr="00986221">
        <w:t>Implementation Arrangements</w:t>
      </w:r>
      <w:bookmarkEnd w:id="28"/>
    </w:p>
    <w:p w14:paraId="2DE0746E" w14:textId="28C046B1" w:rsidR="00933704" w:rsidRPr="00986221" w:rsidRDefault="00933704" w:rsidP="000221A3">
      <w:pPr>
        <w:pStyle w:val="Heading2"/>
        <w:ind w:left="426"/>
      </w:pPr>
      <w:bookmarkStart w:id="29" w:name="_Toc387322649"/>
      <w:r w:rsidRPr="00986221">
        <w:t>Management and Governance Arrangements and Structure</w:t>
      </w:r>
      <w:r w:rsidR="000D087C" w:rsidRPr="00986221">
        <w:rPr>
          <w:rStyle w:val="FootnoteReference"/>
        </w:rPr>
        <w:footnoteReference w:id="25"/>
      </w:r>
      <w:bookmarkEnd w:id="29"/>
    </w:p>
    <w:p w14:paraId="259F9831" w14:textId="53CFF216" w:rsidR="00A26FAA" w:rsidRPr="00986221" w:rsidRDefault="004C1231" w:rsidP="000221A3">
      <w:pPr>
        <w:pStyle w:val="Heading3"/>
        <w:ind w:left="426"/>
      </w:pPr>
      <w:bookmarkStart w:id="30" w:name="_Toc387322650"/>
      <w:r w:rsidRPr="00986221">
        <w:t>Overview of</w:t>
      </w:r>
      <w:r w:rsidR="00654686" w:rsidRPr="00986221">
        <w:t xml:space="preserve"> </w:t>
      </w:r>
      <w:r w:rsidR="00A26FAA" w:rsidRPr="00986221">
        <w:t>Program Management</w:t>
      </w:r>
      <w:bookmarkEnd w:id="30"/>
    </w:p>
    <w:p w14:paraId="3430E24E" w14:textId="77777777" w:rsidR="00A26FAA" w:rsidRPr="00986221" w:rsidRDefault="00A26FAA" w:rsidP="000221A3">
      <w:pPr>
        <w:ind w:left="426"/>
        <w:rPr>
          <w:rFonts w:cs="Arial"/>
        </w:rPr>
      </w:pPr>
    </w:p>
    <w:p w14:paraId="3ED61B7C" w14:textId="02A4D434" w:rsidR="00B0539E" w:rsidRPr="00986221" w:rsidRDefault="002F2C0C" w:rsidP="000221A3">
      <w:pPr>
        <w:pStyle w:val="ListParagraph"/>
      </w:pPr>
      <w:r w:rsidRPr="00986221">
        <w:t xml:space="preserve">CIEM </w:t>
      </w:r>
      <w:r w:rsidR="00CA660E" w:rsidRPr="00986221">
        <w:t xml:space="preserve">– a think-tank belonging to the Ministry of Planning and Investment (MPI) -- </w:t>
      </w:r>
      <w:r w:rsidRPr="00986221">
        <w:t xml:space="preserve">will have </w:t>
      </w:r>
      <w:r w:rsidR="004C1231" w:rsidRPr="00986221">
        <w:t>lead</w:t>
      </w:r>
      <w:r w:rsidRPr="00986221">
        <w:t xml:space="preserve"> responsibility for</w:t>
      </w:r>
      <w:r w:rsidR="004C1231" w:rsidRPr="00986221">
        <w:t xml:space="preserve"> overall</w:t>
      </w:r>
      <w:r w:rsidRPr="00986221">
        <w:t xml:space="preserve"> program coordination, reporting, knowledge management and dissemination</w:t>
      </w:r>
      <w:r w:rsidR="0087634A" w:rsidRPr="00986221">
        <w:t xml:space="preserve">. </w:t>
      </w:r>
      <w:r w:rsidRPr="00986221">
        <w:t xml:space="preserve">This includes managing implementation of a flexible funding to respond to priority emerging issues. </w:t>
      </w:r>
      <w:r w:rsidR="00CA660E" w:rsidRPr="00986221">
        <w:t>CIEM has a successful track record in facilitating whole-of-government and public-private dialogue and cooperation, and in working effectively with external partners.</w:t>
      </w:r>
      <w:r w:rsidR="004C1231" w:rsidRPr="00986221">
        <w:t xml:space="preserve"> </w:t>
      </w:r>
      <w:r w:rsidR="00E261ED" w:rsidRPr="00986221">
        <w:t>The Go</w:t>
      </w:r>
      <w:r w:rsidR="007A4169" w:rsidRPr="00986221">
        <w:t>V</w:t>
      </w:r>
      <w:r w:rsidR="00E261ED" w:rsidRPr="00986221">
        <w:t xml:space="preserve"> has assigned MPI to lead, coordinate and guide implementation of this overall master plan</w:t>
      </w:r>
      <w:r w:rsidR="007C0CB5" w:rsidRPr="00986221">
        <w:t xml:space="preserve">, </w:t>
      </w:r>
      <w:r w:rsidR="00B0539E" w:rsidRPr="00986221">
        <w:t>including</w:t>
      </w:r>
      <w:r w:rsidR="007C0CB5" w:rsidRPr="00986221">
        <w:t xml:space="preserve"> coordinating monitoring and reporting on implementation of the MPER</w:t>
      </w:r>
      <w:r w:rsidR="00E261ED" w:rsidRPr="00986221">
        <w:t xml:space="preserve">.  </w:t>
      </w:r>
      <w:r w:rsidR="00B0539E" w:rsidRPr="00986221">
        <w:t>CIEM also plays a key role in providing the Go</w:t>
      </w:r>
      <w:r w:rsidR="00CD14EA" w:rsidRPr="00986221">
        <w:t>V</w:t>
      </w:r>
      <w:r w:rsidR="00B0539E" w:rsidRPr="00986221">
        <w:t xml:space="preserve"> with semi-independent economic advice. MPI also has the lead on advising the Go</w:t>
      </w:r>
      <w:r w:rsidR="00B032FE" w:rsidRPr="00986221">
        <w:t>V</w:t>
      </w:r>
      <w:r w:rsidR="00B0539E" w:rsidRPr="00986221">
        <w:t xml:space="preserve"> on restructuring public investment, state owned enterprise reform, and on improving the business-enabling environment in Vietnam</w:t>
      </w:r>
      <w:r w:rsidR="00B0539E" w:rsidRPr="00986221">
        <w:rPr>
          <w:rStyle w:val="FootnoteReference"/>
        </w:rPr>
        <w:footnoteReference w:id="26"/>
      </w:r>
      <w:r w:rsidR="00B0539E" w:rsidRPr="00986221">
        <w:t xml:space="preserve">. The Minister of MPI has assigned CIEM to lead this work on behalf of MPI. </w:t>
      </w:r>
    </w:p>
    <w:p w14:paraId="43D816AF" w14:textId="77777777" w:rsidR="00790DD1" w:rsidRPr="00986221" w:rsidRDefault="00B0539E" w:rsidP="00790DD1">
      <w:pPr>
        <w:pStyle w:val="ListParagraph"/>
      </w:pPr>
      <w:r w:rsidRPr="00986221">
        <w:t xml:space="preserve">CIEM will be accountable to the Governments of Vietnam and Australia for program implementation. </w:t>
      </w:r>
      <w:r w:rsidR="00AC2C2E" w:rsidRPr="00986221">
        <w:t xml:space="preserve">The President of CIEM will act as the </w:t>
      </w:r>
      <w:r w:rsidR="00B70E56" w:rsidRPr="00986221">
        <w:t xml:space="preserve">National </w:t>
      </w:r>
      <w:r w:rsidR="00AC2C2E" w:rsidRPr="00986221">
        <w:t>Program Director (</w:t>
      </w:r>
      <w:r w:rsidR="002E4746" w:rsidRPr="00986221">
        <w:t>PD</w:t>
      </w:r>
      <w:r w:rsidR="00AC2C2E" w:rsidRPr="00986221">
        <w:t>)</w:t>
      </w:r>
      <w:r w:rsidR="00AE741A" w:rsidRPr="00986221">
        <w:t xml:space="preserve"> (see following chart)</w:t>
      </w:r>
      <w:r w:rsidR="00AC2C2E" w:rsidRPr="00986221">
        <w:t xml:space="preserve">.  </w:t>
      </w:r>
      <w:r w:rsidR="00352673" w:rsidRPr="00986221">
        <w:t xml:space="preserve">CIEM will also provide program office facilities and counterpart staff. </w:t>
      </w:r>
      <w:r w:rsidR="00790DD1" w:rsidRPr="00986221">
        <w:t>Implementing agencies will appoint a National Component Director (CD) to be responsible for each component, plus additional staff and other resources (see paras. 5</w:t>
      </w:r>
      <w:r w:rsidR="00790DD1">
        <w:t>4</w:t>
      </w:r>
      <w:r w:rsidR="00790DD1" w:rsidRPr="00986221">
        <w:t>-5</w:t>
      </w:r>
      <w:r w:rsidR="00790DD1">
        <w:t>6</w:t>
      </w:r>
      <w:r w:rsidR="00790DD1" w:rsidRPr="00986221">
        <w:t xml:space="preserve">). </w:t>
      </w:r>
    </w:p>
    <w:p w14:paraId="7515E81A" w14:textId="63F87201" w:rsidR="005B29C2" w:rsidRPr="00986221" w:rsidRDefault="005C0AF6" w:rsidP="000221A3">
      <w:pPr>
        <w:pStyle w:val="ListParagraph"/>
      </w:pPr>
      <w:r w:rsidRPr="00986221">
        <w:t xml:space="preserve">A Program Coordinating Committee (PCC) will </w:t>
      </w:r>
      <w:r w:rsidR="00583F83" w:rsidRPr="00986221">
        <w:t>be established to ensure effective coordination</w:t>
      </w:r>
      <w:r w:rsidR="00403C8D" w:rsidRPr="00986221">
        <w:t>,</w:t>
      </w:r>
      <w:r w:rsidR="00583F83" w:rsidRPr="00986221">
        <w:t xml:space="preserve"> </w:t>
      </w:r>
      <w:r w:rsidR="00403C8D" w:rsidRPr="00986221">
        <w:t xml:space="preserve">policy dialogue, </w:t>
      </w:r>
      <w:r w:rsidR="00583F83" w:rsidRPr="00986221">
        <w:t>and information sharing between program components</w:t>
      </w:r>
      <w:r w:rsidR="00403C8D" w:rsidRPr="00986221">
        <w:t xml:space="preserve"> and activities</w:t>
      </w:r>
      <w:r w:rsidRPr="00986221">
        <w:t xml:space="preserve">. </w:t>
      </w:r>
      <w:r w:rsidR="00403C8D" w:rsidRPr="00986221">
        <w:t xml:space="preserve">The PCC will have no formal decision-making role, but may </w:t>
      </w:r>
      <w:r w:rsidR="001020ED" w:rsidRPr="00986221">
        <w:t>make proposals</w:t>
      </w:r>
      <w:r w:rsidR="00403C8D" w:rsidRPr="00986221">
        <w:t xml:space="preserve"> </w:t>
      </w:r>
      <w:proofErr w:type="gramStart"/>
      <w:r w:rsidR="00403C8D" w:rsidRPr="00986221">
        <w:t>regarding</w:t>
      </w:r>
      <w:proofErr w:type="gramEnd"/>
      <w:r w:rsidR="00403C8D" w:rsidRPr="00986221">
        <w:t xml:space="preserve"> </w:t>
      </w:r>
      <w:r w:rsidR="001020ED" w:rsidRPr="00986221">
        <w:t xml:space="preserve">funding for </w:t>
      </w:r>
      <w:r w:rsidR="00403C8D" w:rsidRPr="00986221">
        <w:t xml:space="preserve">ad hoc activities. </w:t>
      </w:r>
      <w:r w:rsidRPr="00986221">
        <w:t xml:space="preserve">Membership of the PCC will comprise the </w:t>
      </w:r>
      <w:r w:rsidR="002E4746" w:rsidRPr="00986221">
        <w:t>PD</w:t>
      </w:r>
      <w:r w:rsidR="00B77CD9">
        <w:t xml:space="preserve">, the </w:t>
      </w:r>
      <w:r w:rsidR="002E4746" w:rsidRPr="00986221">
        <w:t>CD</w:t>
      </w:r>
      <w:r w:rsidR="00403C8D" w:rsidRPr="00986221">
        <w:t>s</w:t>
      </w:r>
      <w:r w:rsidR="00B77CD9">
        <w:t xml:space="preserve"> and DFAT (First Secretary of Development Cooperation and First Secretary of Trade)</w:t>
      </w:r>
      <w:r w:rsidR="00403C8D" w:rsidRPr="00986221">
        <w:t xml:space="preserve">. </w:t>
      </w:r>
      <w:r w:rsidR="00BA7F0A" w:rsidRPr="00986221">
        <w:t xml:space="preserve">The </w:t>
      </w:r>
      <w:r w:rsidR="002E4746" w:rsidRPr="00986221">
        <w:t>PD</w:t>
      </w:r>
      <w:r w:rsidR="00B77CD9">
        <w:t xml:space="preserve"> in consultation of DFAT</w:t>
      </w:r>
      <w:r w:rsidR="00BA7F0A" w:rsidRPr="00986221">
        <w:t xml:space="preserve"> may decide to invite other observers (such as representative of SAG, NA or CPV)</w:t>
      </w:r>
      <w:r w:rsidR="007A4169" w:rsidRPr="00986221">
        <w:t>.</w:t>
      </w:r>
      <w:r w:rsidR="00BA7F0A" w:rsidRPr="00986221">
        <w:t xml:space="preserve"> </w:t>
      </w:r>
      <w:r w:rsidR="00583F83" w:rsidRPr="00986221">
        <w:t>The</w:t>
      </w:r>
      <w:r w:rsidR="00AD3B92" w:rsidRPr="00986221">
        <w:t xml:space="preserve"> PCC w</w:t>
      </w:r>
      <w:r w:rsidR="00BA7F0A" w:rsidRPr="00986221">
        <w:t xml:space="preserve">ill </w:t>
      </w:r>
      <w:r w:rsidR="00AD3B92" w:rsidRPr="00986221">
        <w:t xml:space="preserve">meet </w:t>
      </w:r>
      <w:r w:rsidR="00BA7F0A" w:rsidRPr="00986221">
        <w:t xml:space="preserve">at least every six months </w:t>
      </w:r>
      <w:r w:rsidR="00AD3B92" w:rsidRPr="00986221">
        <w:t xml:space="preserve">to review progress </w:t>
      </w:r>
      <w:r w:rsidR="00BA7F0A" w:rsidRPr="00986221">
        <w:t>and implementation issues</w:t>
      </w:r>
      <w:r w:rsidR="00583F83" w:rsidRPr="00986221">
        <w:t>.</w:t>
      </w:r>
    </w:p>
    <w:p w14:paraId="156AB986" w14:textId="77777777" w:rsidR="0087634A" w:rsidRDefault="0087634A" w:rsidP="000221A3">
      <w:pPr>
        <w:ind w:left="426"/>
        <w:rPr>
          <w:rFonts w:cs="Arial"/>
          <w:b/>
          <w:sz w:val="24"/>
        </w:rPr>
      </w:pPr>
      <w:r w:rsidRPr="00986221">
        <w:rPr>
          <w:rFonts w:cs="Arial"/>
          <w:b/>
          <w:sz w:val="24"/>
        </w:rPr>
        <w:t>Chart: Program Implementation Structure</w:t>
      </w:r>
    </w:p>
    <w:p w14:paraId="5AD5D631" w14:textId="58870C09" w:rsidR="00B77CD9" w:rsidRPr="00986221" w:rsidRDefault="00B77CD9" w:rsidP="000221A3">
      <w:pPr>
        <w:ind w:left="426"/>
        <w:rPr>
          <w:rFonts w:cs="Arial"/>
          <w:b/>
          <w:sz w:val="24"/>
        </w:rPr>
      </w:pPr>
      <w:bookmarkStart w:id="31" w:name="_Toc381803591"/>
      <w:bookmarkStart w:id="32" w:name="_Toc384999571"/>
      <w:r w:rsidRPr="006F2397">
        <w:rPr>
          <w:noProof/>
          <w:lang w:eastAsia="en-AU"/>
        </w:rPr>
        <w:drawing>
          <wp:inline distT="0" distB="0" distL="0" distR="0" wp14:anchorId="4FE5A73C" wp14:editId="384D8D34">
            <wp:extent cx="5270500" cy="2743200"/>
            <wp:effectExtent l="57150" t="0" r="0" b="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bookmarkEnd w:id="31"/>
      <w:bookmarkEnd w:id="32"/>
    </w:p>
    <w:p w14:paraId="79DD8163" w14:textId="112AB464" w:rsidR="005C0C74" w:rsidRPr="00986221" w:rsidRDefault="005C0C74" w:rsidP="000221A3">
      <w:pPr>
        <w:ind w:left="426"/>
        <w:rPr>
          <w:rFonts w:cs="Arial"/>
        </w:rPr>
      </w:pPr>
    </w:p>
    <w:p w14:paraId="1591B3D6" w14:textId="731C5CF5" w:rsidR="005D60D5" w:rsidRPr="00986221" w:rsidRDefault="005D60D5" w:rsidP="000221A3">
      <w:pPr>
        <w:pStyle w:val="ListParagraph"/>
      </w:pPr>
      <w:r w:rsidRPr="00986221">
        <w:t xml:space="preserve">DFAT’s </w:t>
      </w:r>
      <w:r w:rsidR="00F7679C" w:rsidRPr="00986221">
        <w:t xml:space="preserve">responsibilities </w:t>
      </w:r>
      <w:r w:rsidR="007B1F10" w:rsidRPr="00986221">
        <w:t>will be</w:t>
      </w:r>
      <w:r w:rsidR="00F7679C" w:rsidRPr="00986221">
        <w:t xml:space="preserve"> to</w:t>
      </w:r>
      <w:r w:rsidRPr="00986221">
        <w:t>:</w:t>
      </w:r>
      <w:r w:rsidR="005B29C2" w:rsidRPr="00986221">
        <w:t xml:space="preserve"> m</w:t>
      </w:r>
      <w:r w:rsidRPr="00986221">
        <w:t xml:space="preserve">anage funding agreement with </w:t>
      </w:r>
      <w:r w:rsidR="00B77CD9">
        <w:t>GoV</w:t>
      </w:r>
      <w:r w:rsidRPr="00986221">
        <w:t>;</w:t>
      </w:r>
      <w:r w:rsidR="005B29C2" w:rsidRPr="00986221">
        <w:t xml:space="preserve"> r</w:t>
      </w:r>
      <w:r w:rsidRPr="00986221">
        <w:t xml:space="preserve">eview and decide </w:t>
      </w:r>
      <w:r w:rsidR="00CC395B" w:rsidRPr="00986221">
        <w:t>(</w:t>
      </w:r>
      <w:r w:rsidRPr="00986221">
        <w:t>jointly with the</w:t>
      </w:r>
      <w:r w:rsidR="003A7057" w:rsidRPr="00986221">
        <w:t xml:space="preserve"> </w:t>
      </w:r>
      <w:r w:rsidR="002E4746" w:rsidRPr="00986221">
        <w:t>PD</w:t>
      </w:r>
      <w:r w:rsidR="00CC395B" w:rsidRPr="00986221">
        <w:t>)</w:t>
      </w:r>
      <w:r w:rsidRPr="00986221">
        <w:t xml:space="preserve"> any substantive changes in the Program goals, strategy, planned outcomes and/or design;</w:t>
      </w:r>
      <w:r w:rsidR="005B29C2" w:rsidRPr="00986221">
        <w:t xml:space="preserve"> r</w:t>
      </w:r>
      <w:r w:rsidR="002A2025" w:rsidRPr="00986221">
        <w:t xml:space="preserve">eview and approve (on </w:t>
      </w:r>
      <w:r w:rsidR="00D631D7" w:rsidRPr="00986221">
        <w:t xml:space="preserve">a </w:t>
      </w:r>
      <w:r w:rsidR="002A2025" w:rsidRPr="00986221">
        <w:t xml:space="preserve">no-objection basis) proposals </w:t>
      </w:r>
      <w:r w:rsidR="004072C8" w:rsidRPr="00986221">
        <w:t xml:space="preserve">for funding under </w:t>
      </w:r>
      <w:r w:rsidR="00D631D7" w:rsidRPr="00986221">
        <w:t xml:space="preserve">the </w:t>
      </w:r>
      <w:r w:rsidR="004072C8" w:rsidRPr="00986221">
        <w:t>Flexible Fund; a</w:t>
      </w:r>
      <w:r w:rsidRPr="00986221">
        <w:t>pprove</w:t>
      </w:r>
      <w:r w:rsidR="00D631D7" w:rsidRPr="00986221">
        <w:t>,</w:t>
      </w:r>
      <w:r w:rsidRPr="00986221">
        <w:t xml:space="preserve"> jointly with the</w:t>
      </w:r>
      <w:r w:rsidR="003A7057" w:rsidRPr="00986221">
        <w:t xml:space="preserve"> </w:t>
      </w:r>
      <w:r w:rsidR="002E4746" w:rsidRPr="00986221">
        <w:t>PD</w:t>
      </w:r>
      <w:r w:rsidR="00D631D7" w:rsidRPr="00986221">
        <w:t>,</w:t>
      </w:r>
      <w:r w:rsidRPr="00986221">
        <w:t xml:space="preserve"> program implementation guidelines and annual budget</w:t>
      </w:r>
      <w:r w:rsidR="00D631D7" w:rsidRPr="00986221">
        <w:t>s</w:t>
      </w:r>
      <w:r w:rsidRPr="00986221">
        <w:t>;</w:t>
      </w:r>
      <w:r w:rsidR="004072C8" w:rsidRPr="00986221">
        <w:t xml:space="preserve"> w</w:t>
      </w:r>
      <w:r w:rsidRPr="00986221">
        <w:t>ork with the</w:t>
      </w:r>
      <w:r w:rsidR="003A7057" w:rsidRPr="00986221">
        <w:t xml:space="preserve"> </w:t>
      </w:r>
      <w:r w:rsidR="002E4746" w:rsidRPr="00986221">
        <w:t>PD</w:t>
      </w:r>
      <w:r w:rsidRPr="00986221">
        <w:t xml:space="preserve"> to review and endorse any changes in program support functions (including appointment of key personnel)</w:t>
      </w:r>
      <w:r w:rsidR="00D631D7" w:rsidRPr="00986221">
        <w:t>, and</w:t>
      </w:r>
      <w:r w:rsidR="004072C8" w:rsidRPr="00986221">
        <w:t>; s</w:t>
      </w:r>
      <w:r w:rsidRPr="00986221">
        <w:t>upport the dissemination of – and dialogue on -- program knowledge products (studies, reports, training ma</w:t>
      </w:r>
      <w:r w:rsidR="00CC395B" w:rsidRPr="00986221">
        <w:t>terials, policy recommendations</w:t>
      </w:r>
      <w:r w:rsidRPr="00986221">
        <w:t>).</w:t>
      </w:r>
    </w:p>
    <w:p w14:paraId="58D6B438" w14:textId="23BFE805" w:rsidR="007B1F10" w:rsidRPr="00986221" w:rsidRDefault="007B1F10" w:rsidP="000221A3">
      <w:pPr>
        <w:pStyle w:val="Heading3"/>
        <w:ind w:left="426"/>
      </w:pPr>
      <w:bookmarkStart w:id="33" w:name="_Toc387322651"/>
      <w:r w:rsidRPr="00986221">
        <w:t>Management of Program Components</w:t>
      </w:r>
      <w:bookmarkEnd w:id="33"/>
    </w:p>
    <w:p w14:paraId="795FA8F0" w14:textId="188ADA2F" w:rsidR="00CC1C93" w:rsidRPr="00986221" w:rsidRDefault="007B1F10" w:rsidP="000221A3">
      <w:pPr>
        <w:pStyle w:val="ListParagraph"/>
      </w:pPr>
      <w:r w:rsidRPr="00986221">
        <w:t>In addition to being responsible for overall program coordination</w:t>
      </w:r>
      <w:r w:rsidR="00A74E66" w:rsidRPr="00986221">
        <w:t xml:space="preserve"> as outlined above</w:t>
      </w:r>
      <w:r w:rsidRPr="00986221">
        <w:t>, CIEM will also be responsible for implementation of Component 1 and</w:t>
      </w:r>
      <w:r w:rsidR="00A74E66" w:rsidRPr="00986221">
        <w:t xml:space="preserve"> the F</w:t>
      </w:r>
      <w:r w:rsidRPr="00986221">
        <w:t xml:space="preserve">lexible </w:t>
      </w:r>
      <w:r w:rsidR="00A74E66" w:rsidRPr="00986221">
        <w:t>F</w:t>
      </w:r>
      <w:r w:rsidRPr="00986221">
        <w:t xml:space="preserve">und. VCA and IPSARD will be responsible and accountable for implementing activities under Components 2 and 3 respectively. </w:t>
      </w:r>
    </w:p>
    <w:p w14:paraId="3FE13FD9" w14:textId="790CE087" w:rsidR="007B1F10" w:rsidRDefault="00D90F77" w:rsidP="000221A3">
      <w:pPr>
        <w:pStyle w:val="ListParagraph"/>
      </w:pPr>
      <w:r w:rsidRPr="00986221">
        <w:t>The</w:t>
      </w:r>
      <w:r w:rsidR="00004899" w:rsidRPr="00986221">
        <w:t xml:space="preserve"> </w:t>
      </w:r>
      <w:r w:rsidR="002E4746" w:rsidRPr="00986221">
        <w:t>CD</w:t>
      </w:r>
      <w:r w:rsidRPr="00986221">
        <w:t xml:space="preserve"> will be responsible for preparation of annual work plans, budgets, and results reports in line with provisions of the </w:t>
      </w:r>
      <w:r w:rsidR="008D2A61" w:rsidRPr="00986221">
        <w:t>RCV</w:t>
      </w:r>
      <w:r w:rsidRPr="00986221">
        <w:t xml:space="preserve"> </w:t>
      </w:r>
      <w:r w:rsidR="00976B97" w:rsidRPr="00986221">
        <w:t xml:space="preserve">Operations Manual. </w:t>
      </w:r>
      <w:r w:rsidRPr="00986221">
        <w:t>Each component</w:t>
      </w:r>
      <w:r w:rsidR="001C6B03" w:rsidRPr="00986221">
        <w:t xml:space="preserve"> will need to ensure compliance with financial management, transparency and reporting requirement</w:t>
      </w:r>
      <w:r w:rsidR="000A532D" w:rsidRPr="00986221">
        <w:t xml:space="preserve">s of the Governments of </w:t>
      </w:r>
      <w:r w:rsidR="00640506" w:rsidRPr="00986221">
        <w:t>Vietnam</w:t>
      </w:r>
      <w:r w:rsidR="00976B97" w:rsidRPr="00986221">
        <w:t xml:space="preserve"> and Australia. Detailed responsibilities are provided in </w:t>
      </w:r>
      <w:r w:rsidR="00976B97" w:rsidRPr="00986221">
        <w:rPr>
          <w:b/>
          <w:u w:val="single"/>
        </w:rPr>
        <w:t xml:space="preserve">Appendix </w:t>
      </w:r>
      <w:r w:rsidR="004D1BEE" w:rsidRPr="00986221">
        <w:rPr>
          <w:b/>
          <w:u w:val="single"/>
        </w:rPr>
        <w:t>2</w:t>
      </w:r>
      <w:r w:rsidR="00821A87" w:rsidRPr="00986221">
        <w:rPr>
          <w:b/>
          <w:u w:val="single"/>
        </w:rPr>
        <w:t xml:space="preserve"> – </w:t>
      </w:r>
      <w:r w:rsidR="007F7A72" w:rsidRPr="00986221">
        <w:rPr>
          <w:b/>
          <w:u w:val="single"/>
        </w:rPr>
        <w:t xml:space="preserve">Program </w:t>
      </w:r>
      <w:r w:rsidR="00821A87" w:rsidRPr="00986221">
        <w:rPr>
          <w:b/>
          <w:u w:val="single"/>
        </w:rPr>
        <w:t>Management Structure</w:t>
      </w:r>
      <w:r w:rsidR="00976B97" w:rsidRPr="00986221">
        <w:t>.</w:t>
      </w:r>
    </w:p>
    <w:p w14:paraId="2A90E0B6" w14:textId="290C29C2" w:rsidR="00141C2D" w:rsidRPr="00DB1E2C" w:rsidRDefault="00141C2D" w:rsidP="00141C2D">
      <w:pPr>
        <w:pStyle w:val="ListParagraph"/>
      </w:pPr>
      <w:r w:rsidRPr="00B93071">
        <w:rPr>
          <w:highlight w:val="yellow"/>
        </w:rPr>
        <w:t xml:space="preserve">Activities to be funded out of Component 4 (the Flexible Fund) will be proposed by DFAT, the SAG, and the PCC members. The PD in consultation with DFAT will approve activity proposals based on sound appraisals of the STA and SAG against a set of key selection criteria (including relevance to SEDP and MEPR priorities, design logic, expected impacts and beneficiaries, contributions to promoting inclusive/equitable outcomes, value for money and risk). See </w:t>
      </w:r>
      <w:r w:rsidRPr="00B93071">
        <w:rPr>
          <w:b/>
          <w:highlight w:val="yellow"/>
          <w:u w:val="single"/>
        </w:rPr>
        <w:t>Appendix 3- RCV Flexible Fund</w:t>
      </w:r>
      <w:r w:rsidRPr="00B93071">
        <w:rPr>
          <w:highlight w:val="yellow"/>
        </w:rPr>
        <w:t xml:space="preserve"> for details.</w:t>
      </w:r>
    </w:p>
    <w:p w14:paraId="489EBB11" w14:textId="51472E86" w:rsidR="002F2C0C" w:rsidRPr="00986221" w:rsidRDefault="00352673" w:rsidP="000221A3">
      <w:pPr>
        <w:pStyle w:val="Heading3"/>
        <w:ind w:left="426"/>
      </w:pPr>
      <w:bookmarkStart w:id="34" w:name="_Toc387322652"/>
      <w:r w:rsidRPr="00986221">
        <w:t>Program Support</w:t>
      </w:r>
      <w:bookmarkEnd w:id="34"/>
    </w:p>
    <w:p w14:paraId="7350E26C" w14:textId="45E0BBAA" w:rsidR="002F2C0C" w:rsidRPr="00986221" w:rsidRDefault="002F2C0C" w:rsidP="000221A3">
      <w:pPr>
        <w:pStyle w:val="ListParagraph"/>
      </w:pPr>
      <w:r w:rsidRPr="00986221">
        <w:t>The</w:t>
      </w:r>
      <w:r w:rsidR="003A7057" w:rsidRPr="00986221">
        <w:t xml:space="preserve"> </w:t>
      </w:r>
      <w:r w:rsidR="002E4746" w:rsidRPr="00986221">
        <w:t>PD</w:t>
      </w:r>
      <w:r w:rsidRPr="00986221">
        <w:t xml:space="preserve"> will be supported by the </w:t>
      </w:r>
      <w:r w:rsidR="00583F83" w:rsidRPr="00986221">
        <w:t>SAG, a part-time</w:t>
      </w:r>
      <w:r w:rsidRPr="00986221">
        <w:t xml:space="preserve"> international Senior Technical Adviser (STA), a </w:t>
      </w:r>
      <w:proofErr w:type="gramStart"/>
      <w:r w:rsidRPr="00986221">
        <w:t>Senior</w:t>
      </w:r>
      <w:proofErr w:type="gramEnd"/>
      <w:r w:rsidRPr="00986221">
        <w:t xml:space="preserve"> (national) Program </w:t>
      </w:r>
      <w:r w:rsidR="00DF1CBE" w:rsidRPr="00986221">
        <w:t>Manager</w:t>
      </w:r>
      <w:r w:rsidR="00821A87" w:rsidRPr="00986221">
        <w:t>-Economist</w:t>
      </w:r>
      <w:r w:rsidR="00DF1CBE" w:rsidRPr="00986221">
        <w:t xml:space="preserve"> (</w:t>
      </w:r>
      <w:r w:rsidR="00485FC2" w:rsidRPr="00986221">
        <w:t>SPC-E</w:t>
      </w:r>
      <w:r w:rsidRPr="00986221">
        <w:t xml:space="preserve">) and </w:t>
      </w:r>
      <w:r w:rsidR="006879B7" w:rsidRPr="00986221">
        <w:t>1-2</w:t>
      </w:r>
      <w:r w:rsidRPr="00986221">
        <w:t xml:space="preserve"> </w:t>
      </w:r>
      <w:r w:rsidR="008F4F9C" w:rsidRPr="00986221">
        <w:t xml:space="preserve">national </w:t>
      </w:r>
      <w:r w:rsidRPr="00986221">
        <w:t>support staff.</w:t>
      </w:r>
      <w:r w:rsidR="00DF1CBE" w:rsidRPr="00986221">
        <w:t xml:space="preserve"> This section includes a</w:t>
      </w:r>
      <w:r w:rsidR="00B70E56" w:rsidRPr="00986221">
        <w:t xml:space="preserve"> brief description of the</w:t>
      </w:r>
      <w:r w:rsidR="00DF1CBE" w:rsidRPr="00986221">
        <w:t>ir respective</w:t>
      </w:r>
      <w:r w:rsidR="00B70E56" w:rsidRPr="00986221">
        <w:t xml:space="preserve"> roles. Detailed TORs are included in </w:t>
      </w:r>
      <w:r w:rsidR="00B70E56" w:rsidRPr="00986221">
        <w:rPr>
          <w:b/>
          <w:u w:val="single"/>
        </w:rPr>
        <w:t xml:space="preserve">Appendix </w:t>
      </w:r>
      <w:r w:rsidR="004D1BEE" w:rsidRPr="00986221">
        <w:rPr>
          <w:b/>
          <w:u w:val="single"/>
        </w:rPr>
        <w:t>2</w:t>
      </w:r>
      <w:r w:rsidR="00821A87" w:rsidRPr="00986221">
        <w:rPr>
          <w:b/>
          <w:u w:val="single"/>
        </w:rPr>
        <w:t xml:space="preserve"> – </w:t>
      </w:r>
      <w:r w:rsidR="007F7A72" w:rsidRPr="00986221">
        <w:rPr>
          <w:b/>
          <w:u w:val="single"/>
        </w:rPr>
        <w:t xml:space="preserve">Program </w:t>
      </w:r>
      <w:r w:rsidR="00821A87" w:rsidRPr="00986221">
        <w:rPr>
          <w:b/>
          <w:u w:val="single"/>
        </w:rPr>
        <w:t>Management Structure</w:t>
      </w:r>
      <w:r w:rsidR="00B70E56" w:rsidRPr="00986221">
        <w:t>.</w:t>
      </w:r>
      <w:r w:rsidRPr="00986221">
        <w:t xml:space="preserve"> </w:t>
      </w:r>
    </w:p>
    <w:p w14:paraId="67EF6057" w14:textId="77777777" w:rsidR="00DF1CBE" w:rsidRPr="00986221" w:rsidRDefault="002F2C0C" w:rsidP="000221A3">
      <w:pPr>
        <w:pStyle w:val="Heading4"/>
        <w:ind w:left="426"/>
        <w:rPr>
          <w:rFonts w:cs="Arial"/>
        </w:rPr>
      </w:pPr>
      <w:r w:rsidRPr="00986221">
        <w:rPr>
          <w:rFonts w:cs="Arial"/>
        </w:rPr>
        <w:t xml:space="preserve">The Senior Advisory Group (SAG) </w:t>
      </w:r>
    </w:p>
    <w:p w14:paraId="1CECAFA2" w14:textId="0189DB66" w:rsidR="007C47B1" w:rsidRPr="00986221" w:rsidRDefault="00DF1CBE" w:rsidP="000221A3">
      <w:pPr>
        <w:pStyle w:val="ListParagraph"/>
      </w:pPr>
      <w:r w:rsidRPr="00986221">
        <w:t xml:space="preserve">The SAG </w:t>
      </w:r>
      <w:r w:rsidR="002F2C0C" w:rsidRPr="00986221">
        <w:t xml:space="preserve">will comprise experienced, well connected experts from a range of backgrounds. </w:t>
      </w:r>
      <w:r w:rsidR="000F71C7" w:rsidRPr="00986221">
        <w:t xml:space="preserve">The SAG will be retained under periodic contracts to </w:t>
      </w:r>
      <w:r w:rsidR="002F2C0C" w:rsidRPr="00986221">
        <w:t xml:space="preserve">provide </w:t>
      </w:r>
      <w:r w:rsidR="007C47B1" w:rsidRPr="00986221">
        <w:t xml:space="preserve">the program stakeholders with </w:t>
      </w:r>
      <w:r w:rsidR="0069204F" w:rsidRPr="00986221">
        <w:t xml:space="preserve">support and </w:t>
      </w:r>
      <w:r w:rsidR="002F2C0C" w:rsidRPr="00986221">
        <w:t>advice on</w:t>
      </w:r>
      <w:r w:rsidR="007C47B1" w:rsidRPr="00986221">
        <w:t>:</w:t>
      </w:r>
      <w:r w:rsidR="002F2C0C" w:rsidRPr="00986221">
        <w:t xml:space="preserve"> </w:t>
      </w:r>
      <w:r w:rsidR="000F71C7" w:rsidRPr="00986221">
        <w:t>p</w:t>
      </w:r>
      <w:r w:rsidR="002F2C0C" w:rsidRPr="00986221">
        <w:t>olitical economy</w:t>
      </w:r>
      <w:r w:rsidR="007C47B1" w:rsidRPr="00986221">
        <w:t xml:space="preserve"> </w:t>
      </w:r>
      <w:r w:rsidR="0075509E" w:rsidRPr="00986221">
        <w:t>and policy dialogue;</w:t>
      </w:r>
      <w:r w:rsidR="000F71C7" w:rsidRPr="00986221">
        <w:t xml:space="preserve"> s</w:t>
      </w:r>
      <w:r w:rsidR="00D30EFF" w:rsidRPr="00986221">
        <w:t xml:space="preserve">ectoral policy issues and </w:t>
      </w:r>
      <w:r w:rsidR="0075509E" w:rsidRPr="00986221">
        <w:t>considerations;</w:t>
      </w:r>
      <w:r w:rsidR="000F71C7" w:rsidRPr="00986221">
        <w:t xml:space="preserve"> e</w:t>
      </w:r>
      <w:r w:rsidR="002F2C0C" w:rsidRPr="00986221">
        <w:t>merging</w:t>
      </w:r>
      <w:r w:rsidR="0075509E" w:rsidRPr="00986221">
        <w:t xml:space="preserve"> priorities;</w:t>
      </w:r>
      <w:r w:rsidR="000F71C7" w:rsidRPr="00986221">
        <w:t xml:space="preserve"> and t</w:t>
      </w:r>
      <w:r w:rsidR="002F2C0C" w:rsidRPr="00986221">
        <w:t>actics for incr</w:t>
      </w:r>
      <w:r w:rsidR="000F71C7" w:rsidRPr="00986221">
        <w:t>easing the program’s influence.</w:t>
      </w:r>
      <w:r w:rsidR="002F2C0C" w:rsidRPr="00986221">
        <w:t xml:space="preserve"> </w:t>
      </w:r>
    </w:p>
    <w:p w14:paraId="010B46D1" w14:textId="04322403" w:rsidR="002F2C0C" w:rsidRPr="00986221" w:rsidRDefault="009F4656" w:rsidP="000221A3">
      <w:pPr>
        <w:pStyle w:val="ListParagraph"/>
      </w:pPr>
      <w:r w:rsidRPr="00986221">
        <w:t xml:space="preserve">While </w:t>
      </w:r>
      <w:r w:rsidR="00D30EFF" w:rsidRPr="00986221">
        <w:t>not necessarily</w:t>
      </w:r>
      <w:r w:rsidR="002F2C0C" w:rsidRPr="00986221">
        <w:t xml:space="preserve"> independent </w:t>
      </w:r>
      <w:r w:rsidR="00D30EFF" w:rsidRPr="00986221">
        <w:t>of the</w:t>
      </w:r>
      <w:r w:rsidR="002F2C0C" w:rsidRPr="00986221">
        <w:t xml:space="preserve"> Go</w:t>
      </w:r>
      <w:r w:rsidR="00CD14EA" w:rsidRPr="00986221">
        <w:t>V</w:t>
      </w:r>
      <w:r w:rsidR="002F2C0C" w:rsidRPr="00986221">
        <w:t xml:space="preserve"> or the </w:t>
      </w:r>
      <w:r w:rsidR="00CD14EA" w:rsidRPr="00986221">
        <w:t>CPV</w:t>
      </w:r>
      <w:r w:rsidR="00D30EFF" w:rsidRPr="00986221">
        <w:t xml:space="preserve">, </w:t>
      </w:r>
      <w:r w:rsidRPr="00986221">
        <w:t xml:space="preserve">SAG members </w:t>
      </w:r>
      <w:r w:rsidR="00D30EFF" w:rsidRPr="00986221">
        <w:t xml:space="preserve">must </w:t>
      </w:r>
      <w:r w:rsidR="00827FDB" w:rsidRPr="00986221">
        <w:t xml:space="preserve">be </w:t>
      </w:r>
      <w:r w:rsidRPr="00986221">
        <w:t xml:space="preserve">respected </w:t>
      </w:r>
      <w:r w:rsidR="00827FDB" w:rsidRPr="00986221">
        <w:t>Vietnamese who have been engaged in economic reform</w:t>
      </w:r>
      <w:r w:rsidR="002F2C0C" w:rsidRPr="00986221">
        <w:t xml:space="preserve">s or </w:t>
      </w:r>
      <w:r w:rsidR="00827FDB" w:rsidRPr="00986221">
        <w:t xml:space="preserve">as </w:t>
      </w:r>
      <w:r w:rsidR="00D30EFF" w:rsidRPr="00986221">
        <w:t xml:space="preserve">advocates of </w:t>
      </w:r>
      <w:r w:rsidRPr="00986221">
        <w:t xml:space="preserve">economic </w:t>
      </w:r>
      <w:r w:rsidR="00D30EFF" w:rsidRPr="00986221">
        <w:t>reforms</w:t>
      </w:r>
      <w:r w:rsidR="00827FDB" w:rsidRPr="00986221">
        <w:t>,</w:t>
      </w:r>
      <w:r w:rsidR="002F2C0C" w:rsidRPr="00986221">
        <w:t xml:space="preserve"> with a track record of providing frank and useful advice and/or stimulati</w:t>
      </w:r>
      <w:r w:rsidR="00827FDB" w:rsidRPr="00986221">
        <w:t xml:space="preserve">ng debate in the public arena. </w:t>
      </w:r>
      <w:r w:rsidR="002F2C0C" w:rsidRPr="00986221">
        <w:t xml:space="preserve">The SAG will help </w:t>
      </w:r>
      <w:r w:rsidR="009D0FBA" w:rsidRPr="00986221">
        <w:t>build national</w:t>
      </w:r>
      <w:r w:rsidR="002F2C0C" w:rsidRPr="00986221">
        <w:t xml:space="preserve"> </w:t>
      </w:r>
      <w:r w:rsidR="009D0FBA" w:rsidRPr="00986221">
        <w:t xml:space="preserve">(including </w:t>
      </w:r>
      <w:r w:rsidR="002F2C0C" w:rsidRPr="00986221">
        <w:t>Go</w:t>
      </w:r>
      <w:r w:rsidR="00CD14EA" w:rsidRPr="00986221">
        <w:t>V</w:t>
      </w:r>
      <w:r w:rsidR="002F2C0C" w:rsidRPr="00986221">
        <w:t>/</w:t>
      </w:r>
      <w:r w:rsidR="009D0FBA" w:rsidRPr="00986221">
        <w:t xml:space="preserve"> </w:t>
      </w:r>
      <w:r w:rsidR="00CD14EA" w:rsidRPr="00986221">
        <w:t>C</w:t>
      </w:r>
      <w:r w:rsidR="002F2C0C" w:rsidRPr="00986221">
        <w:t>P</w:t>
      </w:r>
      <w:r w:rsidR="00CD14EA" w:rsidRPr="00986221">
        <w:t>V</w:t>
      </w:r>
      <w:r w:rsidR="009D3532" w:rsidRPr="00986221">
        <w:t>)</w:t>
      </w:r>
      <w:r w:rsidR="002F2C0C" w:rsidRPr="00986221">
        <w:t xml:space="preserve"> ownership of the program</w:t>
      </w:r>
      <w:r w:rsidR="009D0FBA" w:rsidRPr="00986221">
        <w:t xml:space="preserve">, </w:t>
      </w:r>
      <w:r w:rsidR="009D3532" w:rsidRPr="00986221">
        <w:t>and</w:t>
      </w:r>
      <w:r w:rsidR="009D0FBA" w:rsidRPr="00986221">
        <w:t xml:space="preserve"> build partnerships </w:t>
      </w:r>
      <w:r w:rsidR="009D3532" w:rsidRPr="00986221">
        <w:t xml:space="preserve">between </w:t>
      </w:r>
      <w:r w:rsidR="009D0FBA" w:rsidRPr="00986221">
        <w:t xml:space="preserve">key stakeholders and the </w:t>
      </w:r>
      <w:r w:rsidR="002F2C0C" w:rsidRPr="00986221">
        <w:t xml:space="preserve">Australian </w:t>
      </w:r>
      <w:r w:rsidR="009D0FBA" w:rsidRPr="00986221">
        <w:t xml:space="preserve">Embassy to improve the quality of policy dialogue and </w:t>
      </w:r>
      <w:r w:rsidR="002F2C0C" w:rsidRPr="00986221">
        <w:t>engage</w:t>
      </w:r>
      <w:r w:rsidR="008F4F9C" w:rsidRPr="00986221">
        <w:t xml:space="preserve">ment </w:t>
      </w:r>
      <w:r w:rsidR="009D0FBA" w:rsidRPr="00986221">
        <w:t>on economic issues between Australia and</w:t>
      </w:r>
      <w:r w:rsidR="008F4F9C" w:rsidRPr="00986221">
        <w:t xml:space="preserve"> </w:t>
      </w:r>
      <w:r w:rsidR="00640506" w:rsidRPr="00986221">
        <w:t>Vietnam</w:t>
      </w:r>
      <w:r w:rsidR="002F2C0C" w:rsidRPr="00986221">
        <w:t xml:space="preserve">. </w:t>
      </w:r>
      <w:r w:rsidR="00B27BBB" w:rsidRPr="00986221">
        <w:t xml:space="preserve"> </w:t>
      </w:r>
    </w:p>
    <w:p w14:paraId="28A883E3" w14:textId="77777777" w:rsidR="002F2C0C" w:rsidRPr="00986221" w:rsidRDefault="002F2C0C" w:rsidP="000221A3">
      <w:pPr>
        <w:pStyle w:val="Heading4"/>
        <w:ind w:left="426"/>
        <w:rPr>
          <w:rFonts w:cs="Arial"/>
        </w:rPr>
      </w:pPr>
      <w:r w:rsidRPr="00986221">
        <w:rPr>
          <w:rFonts w:cs="Arial"/>
        </w:rPr>
        <w:t>The Senior Technical Adviser (STA)</w:t>
      </w:r>
    </w:p>
    <w:p w14:paraId="32A51E14" w14:textId="569A7AC9" w:rsidR="0075509E" w:rsidRPr="00986221" w:rsidRDefault="00B27BBB" w:rsidP="000221A3">
      <w:pPr>
        <w:pStyle w:val="ListParagraph"/>
        <w:rPr>
          <w:i/>
        </w:rPr>
      </w:pPr>
      <w:r w:rsidRPr="00986221">
        <w:t>The STA will be recruited by DFA</w:t>
      </w:r>
      <w:r w:rsidR="00F93F03" w:rsidRPr="00986221">
        <w:t xml:space="preserve">T and will be accountable to both DFAT and the </w:t>
      </w:r>
      <w:r w:rsidR="002E4746" w:rsidRPr="00986221">
        <w:t>PD</w:t>
      </w:r>
      <w:r w:rsidR="00F93F03" w:rsidRPr="00986221">
        <w:t>.</w:t>
      </w:r>
      <w:r w:rsidR="00C50BCD" w:rsidRPr="00986221">
        <w:t xml:space="preserve"> The STA will help with RCV planning, monitoring and implementation, and will contribute to dialogue on key economic policy issues.</w:t>
      </w:r>
      <w:r w:rsidR="00F93F03" w:rsidRPr="00986221">
        <w:t xml:space="preserve"> </w:t>
      </w:r>
      <w:r w:rsidR="005C3C8C" w:rsidRPr="00986221">
        <w:t xml:space="preserve">Work plans for the STA will be jointly developed and agreed between DFAT and the </w:t>
      </w:r>
      <w:r w:rsidR="00485FC2" w:rsidRPr="00986221">
        <w:t>PCU</w:t>
      </w:r>
      <w:r w:rsidR="005C3C8C" w:rsidRPr="00986221">
        <w:t xml:space="preserve">. </w:t>
      </w:r>
      <w:r w:rsidR="002F2C0C" w:rsidRPr="00986221">
        <w:t xml:space="preserve">The STA will be an experienced international expert with </w:t>
      </w:r>
      <w:r w:rsidR="00171482" w:rsidRPr="00986221">
        <w:t xml:space="preserve">post-graduate </w:t>
      </w:r>
      <w:r w:rsidR="002F2C0C" w:rsidRPr="00986221">
        <w:t>qualifications in economics a</w:t>
      </w:r>
      <w:r w:rsidR="00F9707D" w:rsidRPr="00986221">
        <w:t xml:space="preserve">nd extensive experience </w:t>
      </w:r>
      <w:r w:rsidR="002F2C0C" w:rsidRPr="00986221">
        <w:t xml:space="preserve">in </w:t>
      </w:r>
      <w:r w:rsidR="00CF4063" w:rsidRPr="00986221">
        <w:t>providing support for</w:t>
      </w:r>
      <w:r w:rsidR="002F2C0C" w:rsidRPr="00986221">
        <w:t xml:space="preserve"> </w:t>
      </w:r>
      <w:r w:rsidR="00171482" w:rsidRPr="00986221">
        <w:t xml:space="preserve">economic </w:t>
      </w:r>
      <w:r w:rsidR="002F2C0C" w:rsidRPr="00986221">
        <w:t>policy</w:t>
      </w:r>
      <w:r w:rsidR="00AD3DA4" w:rsidRPr="00986221">
        <w:t>, business enabling environment,</w:t>
      </w:r>
      <w:r w:rsidR="002F2C0C" w:rsidRPr="00986221">
        <w:t xml:space="preserve"> and institutional change and development</w:t>
      </w:r>
      <w:r w:rsidR="00CF4063" w:rsidRPr="00986221">
        <w:t xml:space="preserve"> in </w:t>
      </w:r>
      <w:r w:rsidR="00640506" w:rsidRPr="00986221">
        <w:t>Vietnam</w:t>
      </w:r>
      <w:r w:rsidR="00CF4063" w:rsidRPr="00986221">
        <w:t xml:space="preserve"> and the region</w:t>
      </w:r>
      <w:r w:rsidRPr="00986221">
        <w:t xml:space="preserve">. </w:t>
      </w:r>
    </w:p>
    <w:p w14:paraId="272D6161" w14:textId="792966DE" w:rsidR="00ED1922" w:rsidRPr="00986221" w:rsidRDefault="00ED1922" w:rsidP="000221A3">
      <w:pPr>
        <w:pStyle w:val="Heading4"/>
        <w:ind w:left="426"/>
        <w:rPr>
          <w:rFonts w:cs="Arial"/>
          <w:color w:val="000000"/>
          <w:sz w:val="22"/>
        </w:rPr>
      </w:pPr>
      <w:r w:rsidRPr="00986221">
        <w:rPr>
          <w:rFonts w:cs="Arial"/>
        </w:rPr>
        <w:t xml:space="preserve">Program </w:t>
      </w:r>
      <w:r w:rsidR="00D545EA" w:rsidRPr="00986221">
        <w:rPr>
          <w:rFonts w:cs="Arial"/>
        </w:rPr>
        <w:t xml:space="preserve">Coordination </w:t>
      </w:r>
      <w:r w:rsidRPr="00986221">
        <w:rPr>
          <w:rFonts w:cs="Arial"/>
        </w:rPr>
        <w:t>Unit (</w:t>
      </w:r>
      <w:r w:rsidR="00485FC2" w:rsidRPr="00986221">
        <w:rPr>
          <w:rFonts w:cs="Arial"/>
        </w:rPr>
        <w:t>PCU</w:t>
      </w:r>
      <w:r w:rsidRPr="00986221">
        <w:rPr>
          <w:rFonts w:cs="Arial"/>
        </w:rPr>
        <w:t>)</w:t>
      </w:r>
      <w:r w:rsidR="00B27BBB" w:rsidRPr="00986221">
        <w:rPr>
          <w:rFonts w:cs="Arial"/>
        </w:rPr>
        <w:t xml:space="preserve"> led by</w:t>
      </w:r>
      <w:r w:rsidR="002F2C0C" w:rsidRPr="00986221">
        <w:rPr>
          <w:rFonts w:cs="Arial"/>
        </w:rPr>
        <w:t xml:space="preserve"> </w:t>
      </w:r>
      <w:r w:rsidR="00B27BBB" w:rsidRPr="00986221">
        <w:rPr>
          <w:rFonts w:cs="Arial"/>
        </w:rPr>
        <w:t xml:space="preserve">Senior Program </w:t>
      </w:r>
      <w:r w:rsidR="00D545EA" w:rsidRPr="00986221">
        <w:rPr>
          <w:rFonts w:cs="Arial"/>
        </w:rPr>
        <w:t>Coordinator-</w:t>
      </w:r>
      <w:r w:rsidR="00B27BBB" w:rsidRPr="00986221">
        <w:rPr>
          <w:rFonts w:cs="Arial"/>
        </w:rPr>
        <w:t>Economist (</w:t>
      </w:r>
      <w:r w:rsidR="00D545EA" w:rsidRPr="00986221">
        <w:rPr>
          <w:rFonts w:cs="Arial"/>
        </w:rPr>
        <w:t>SPC-</w:t>
      </w:r>
      <w:r w:rsidR="00B27BBB" w:rsidRPr="00986221">
        <w:rPr>
          <w:rFonts w:cs="Arial"/>
        </w:rPr>
        <w:t xml:space="preserve">E) </w:t>
      </w:r>
    </w:p>
    <w:p w14:paraId="335A6915" w14:textId="51C379FD" w:rsidR="00365294" w:rsidRDefault="00ED1922" w:rsidP="000221A3">
      <w:pPr>
        <w:pStyle w:val="ListParagraph"/>
      </w:pPr>
      <w:r w:rsidRPr="00986221">
        <w:t xml:space="preserve">The </w:t>
      </w:r>
      <w:r w:rsidR="00485FC2" w:rsidRPr="00986221">
        <w:t>PCU</w:t>
      </w:r>
      <w:r w:rsidRPr="00986221">
        <w:t xml:space="preserve"> will be established in the CIEM. The </w:t>
      </w:r>
      <w:r w:rsidR="00485FC2" w:rsidRPr="00986221">
        <w:t>PCU</w:t>
      </w:r>
      <w:r w:rsidRPr="00986221">
        <w:t xml:space="preserve"> will be</w:t>
      </w:r>
      <w:r w:rsidR="00821A87" w:rsidRPr="00986221">
        <w:t xml:space="preserve"> </w:t>
      </w:r>
      <w:r w:rsidRPr="00986221">
        <w:t xml:space="preserve">headed by the </w:t>
      </w:r>
      <w:r w:rsidR="00485FC2" w:rsidRPr="00986221">
        <w:t>SPC-E</w:t>
      </w:r>
      <w:r w:rsidRPr="00986221">
        <w:t xml:space="preserve"> and will be directly accountable to the </w:t>
      </w:r>
      <w:r w:rsidR="002E4746" w:rsidRPr="00986221">
        <w:t>PD</w:t>
      </w:r>
      <w:r w:rsidRPr="00986221">
        <w:t xml:space="preserve">. The </w:t>
      </w:r>
      <w:r w:rsidR="00485FC2" w:rsidRPr="00986221">
        <w:t>PCU</w:t>
      </w:r>
      <w:r w:rsidRPr="00986221">
        <w:t xml:space="preserve"> will comprise a small team of program-funded staff who will support and be accountable to the </w:t>
      </w:r>
      <w:r w:rsidR="00485FC2" w:rsidRPr="00986221">
        <w:t>SPC-E</w:t>
      </w:r>
      <w:r w:rsidRPr="00986221">
        <w:t xml:space="preserve">. CIEM will provide part-time specialist staff to support the work of the </w:t>
      </w:r>
      <w:r w:rsidR="00485FC2" w:rsidRPr="00986221">
        <w:t>PCU</w:t>
      </w:r>
      <w:r w:rsidRPr="00986221">
        <w:t xml:space="preserve">. </w:t>
      </w:r>
    </w:p>
    <w:p w14:paraId="725D391A" w14:textId="072C54A4" w:rsidR="00790DD1" w:rsidRPr="00B93071" w:rsidRDefault="00790DD1" w:rsidP="00790DD1">
      <w:pPr>
        <w:pStyle w:val="Heading3"/>
        <w:ind w:left="426"/>
        <w:rPr>
          <w:highlight w:val="yellow"/>
        </w:rPr>
      </w:pPr>
      <w:bookmarkStart w:id="35" w:name="_Toc387322653"/>
      <w:r w:rsidRPr="00B93071">
        <w:rPr>
          <w:highlight w:val="yellow"/>
        </w:rPr>
        <w:t>Funding arrangements</w:t>
      </w:r>
      <w:bookmarkEnd w:id="35"/>
      <w:r w:rsidRPr="00B93071">
        <w:rPr>
          <w:highlight w:val="yellow"/>
        </w:rPr>
        <w:t xml:space="preserve"> </w:t>
      </w:r>
    </w:p>
    <w:p w14:paraId="4B23A9C5" w14:textId="2CF04121" w:rsidR="00790DD1" w:rsidRPr="00B93071" w:rsidRDefault="00790DD1" w:rsidP="00790DD1">
      <w:pPr>
        <w:pStyle w:val="ListParagraph"/>
        <w:rPr>
          <w:highlight w:val="yellow"/>
        </w:rPr>
      </w:pPr>
      <w:r w:rsidRPr="00B93071">
        <w:rPr>
          <w:highlight w:val="yellow"/>
        </w:rPr>
        <w:t>A direct grant agreement of AUD2.5 million (</w:t>
      </w:r>
      <w:r w:rsidRPr="00B93071">
        <w:rPr>
          <w:b/>
          <w:highlight w:val="yellow"/>
          <w:u w:val="single"/>
        </w:rPr>
        <w:t>Appendix 7-Grant)</w:t>
      </w:r>
      <w:r w:rsidRPr="00B93071">
        <w:rPr>
          <w:highlight w:val="yellow"/>
        </w:rPr>
        <w:t xml:space="preserve"> will be signed between DFAT and the GoV, represented by MPI (as the partner GoV ministry with primary responsibility for implementation), MARD and MOIT. CIEM-MPI is the payee under this direct grant agreement. Payments will be made in two tranches, triggered by the AWPs approved by DFAT. </w:t>
      </w:r>
    </w:p>
    <w:p w14:paraId="249B5184" w14:textId="0836B0CC" w:rsidR="00790DD1" w:rsidRPr="00B93071" w:rsidRDefault="00141C2D" w:rsidP="00B93071">
      <w:pPr>
        <w:pStyle w:val="ListParagraph"/>
        <w:rPr>
          <w:highlight w:val="yellow"/>
        </w:rPr>
      </w:pPr>
      <w:r w:rsidRPr="00B93071">
        <w:rPr>
          <w:szCs w:val="22"/>
          <w:highlight w:val="yellow"/>
        </w:rPr>
        <w:t xml:space="preserve">DFAT will manage </w:t>
      </w:r>
      <w:r w:rsidR="00790DD1" w:rsidRPr="00B93071">
        <w:rPr>
          <w:szCs w:val="22"/>
          <w:highlight w:val="yellow"/>
        </w:rPr>
        <w:t>AUD600</w:t>
      </w:r>
      <w:proofErr w:type="gramStart"/>
      <w:r w:rsidR="00790DD1" w:rsidRPr="00B93071">
        <w:rPr>
          <w:szCs w:val="22"/>
          <w:highlight w:val="yellow"/>
        </w:rPr>
        <w:t>,000</w:t>
      </w:r>
      <w:proofErr w:type="gramEnd"/>
      <w:r w:rsidR="00790DD1" w:rsidRPr="00B93071">
        <w:rPr>
          <w:szCs w:val="22"/>
          <w:highlight w:val="yellow"/>
        </w:rPr>
        <w:t xml:space="preserve"> for technical assistance and related support for the implementation of the program and design of the new phase</w:t>
      </w:r>
      <w:r w:rsidRPr="00B93071">
        <w:rPr>
          <w:szCs w:val="22"/>
          <w:highlight w:val="yellow"/>
        </w:rPr>
        <w:t xml:space="preserve"> through a separate agreement with a contracted service provider. This includes fund for the STA position</w:t>
      </w:r>
      <w:r w:rsidR="00790DD1" w:rsidRPr="00B93071">
        <w:rPr>
          <w:szCs w:val="22"/>
          <w:highlight w:val="yellow"/>
        </w:rPr>
        <w:t>.</w:t>
      </w:r>
    </w:p>
    <w:p w14:paraId="11E1123B" w14:textId="77777777" w:rsidR="00933704" w:rsidRPr="00986221" w:rsidRDefault="00933704" w:rsidP="000221A3">
      <w:pPr>
        <w:pStyle w:val="Heading2"/>
        <w:ind w:left="426"/>
      </w:pPr>
      <w:bookmarkStart w:id="36" w:name="_Toc387322654"/>
      <w:r w:rsidRPr="00986221">
        <w:t>Implementation Plan</w:t>
      </w:r>
      <w:bookmarkEnd w:id="36"/>
    </w:p>
    <w:p w14:paraId="532B59BF" w14:textId="77777777" w:rsidR="00355A5F" w:rsidRPr="00986221" w:rsidRDefault="00355A5F" w:rsidP="000221A3">
      <w:pPr>
        <w:ind w:left="426"/>
        <w:rPr>
          <w:rFonts w:cs="Arial"/>
        </w:rPr>
      </w:pPr>
    </w:p>
    <w:p w14:paraId="1F7E8119" w14:textId="788E2901" w:rsidR="00355A5F" w:rsidRPr="00986221" w:rsidRDefault="006963AA" w:rsidP="000221A3">
      <w:pPr>
        <w:pStyle w:val="ListParagraph"/>
      </w:pPr>
      <w:r w:rsidRPr="00986221">
        <w:t>Propo</w:t>
      </w:r>
      <w:r w:rsidR="00C95F94" w:rsidRPr="00986221">
        <w:t xml:space="preserve">sed </w:t>
      </w:r>
      <w:r w:rsidR="00F362F3" w:rsidRPr="00986221">
        <w:t xml:space="preserve">summary </w:t>
      </w:r>
      <w:r w:rsidR="00C95F94" w:rsidRPr="00986221">
        <w:t>implementation schedule is:</w:t>
      </w:r>
    </w:p>
    <w:tbl>
      <w:tblPr>
        <w:tblStyle w:val="TableGrid"/>
        <w:tblW w:w="0" w:type="auto"/>
        <w:tblInd w:w="357" w:type="dxa"/>
        <w:tblLook w:val="04A0" w:firstRow="1" w:lastRow="0" w:firstColumn="1" w:lastColumn="0" w:noHBand="0" w:noVBand="1"/>
      </w:tblPr>
      <w:tblGrid>
        <w:gridCol w:w="3295"/>
        <w:gridCol w:w="3260"/>
        <w:gridCol w:w="2936"/>
      </w:tblGrid>
      <w:tr w:rsidR="00362E0B" w:rsidRPr="00986221" w14:paraId="305A6915" w14:textId="77777777" w:rsidTr="007F7A72">
        <w:tc>
          <w:tcPr>
            <w:tcW w:w="3295" w:type="dxa"/>
            <w:shd w:val="clear" w:color="auto" w:fill="00FFFF"/>
          </w:tcPr>
          <w:p w14:paraId="2841CAC2" w14:textId="518E8550" w:rsidR="00362E0B" w:rsidRPr="00986221" w:rsidRDefault="00362E0B" w:rsidP="007F7A72">
            <w:pPr>
              <w:pStyle w:val="BodyText"/>
              <w:spacing w:before="0" w:after="40"/>
              <w:ind w:left="426" w:hanging="426"/>
              <w:jc w:val="center"/>
              <w:rPr>
                <w:rFonts w:cs="Arial"/>
                <w:b/>
                <w:szCs w:val="20"/>
              </w:rPr>
            </w:pPr>
            <w:r w:rsidRPr="00986221">
              <w:rPr>
                <w:rFonts w:cs="Arial"/>
                <w:b/>
                <w:szCs w:val="20"/>
              </w:rPr>
              <w:t>Milestone</w:t>
            </w:r>
          </w:p>
        </w:tc>
        <w:tc>
          <w:tcPr>
            <w:tcW w:w="3260" w:type="dxa"/>
            <w:shd w:val="clear" w:color="auto" w:fill="00FFFF"/>
          </w:tcPr>
          <w:p w14:paraId="7F0C35F6" w14:textId="38B7F205" w:rsidR="00362E0B" w:rsidRPr="00986221" w:rsidRDefault="00362E0B" w:rsidP="000221A3">
            <w:pPr>
              <w:pStyle w:val="BodyText"/>
              <w:spacing w:before="0" w:after="40"/>
              <w:ind w:left="426"/>
              <w:jc w:val="center"/>
              <w:rPr>
                <w:rFonts w:cs="Arial"/>
                <w:b/>
                <w:szCs w:val="20"/>
              </w:rPr>
            </w:pPr>
            <w:r w:rsidRPr="00986221">
              <w:rPr>
                <w:rFonts w:cs="Arial"/>
                <w:b/>
                <w:szCs w:val="20"/>
              </w:rPr>
              <w:t>Date</w:t>
            </w:r>
          </w:p>
        </w:tc>
        <w:tc>
          <w:tcPr>
            <w:tcW w:w="2936" w:type="dxa"/>
            <w:shd w:val="clear" w:color="auto" w:fill="00FFFF"/>
          </w:tcPr>
          <w:p w14:paraId="127F1522" w14:textId="03CC6B4F" w:rsidR="00362E0B" w:rsidRPr="00986221" w:rsidRDefault="00362E0B" w:rsidP="000221A3">
            <w:pPr>
              <w:pStyle w:val="BodyText"/>
              <w:spacing w:before="0" w:after="40"/>
              <w:ind w:left="426"/>
              <w:jc w:val="center"/>
              <w:rPr>
                <w:rFonts w:cs="Arial"/>
                <w:b/>
                <w:szCs w:val="20"/>
              </w:rPr>
            </w:pPr>
            <w:r w:rsidRPr="00986221">
              <w:rPr>
                <w:rFonts w:cs="Arial"/>
                <w:b/>
                <w:szCs w:val="20"/>
              </w:rPr>
              <w:t>Responsibility</w:t>
            </w:r>
          </w:p>
        </w:tc>
      </w:tr>
      <w:tr w:rsidR="00362E0B" w:rsidRPr="00986221" w14:paraId="15066354" w14:textId="77777777" w:rsidTr="007F7A72">
        <w:tc>
          <w:tcPr>
            <w:tcW w:w="3295" w:type="dxa"/>
          </w:tcPr>
          <w:p w14:paraId="177E1928" w14:textId="639D3BFB" w:rsidR="00362E0B" w:rsidRPr="00986221" w:rsidRDefault="00362E0B" w:rsidP="007F7A72">
            <w:pPr>
              <w:pStyle w:val="BodyText"/>
              <w:spacing w:before="0" w:after="40"/>
              <w:ind w:left="426" w:hanging="426"/>
              <w:rPr>
                <w:rFonts w:cs="Arial"/>
                <w:sz w:val="18"/>
                <w:szCs w:val="18"/>
              </w:rPr>
            </w:pPr>
            <w:r w:rsidRPr="00986221">
              <w:rPr>
                <w:rFonts w:cs="Arial"/>
                <w:sz w:val="18"/>
                <w:szCs w:val="18"/>
              </w:rPr>
              <w:t>Program Design</w:t>
            </w:r>
          </w:p>
        </w:tc>
        <w:tc>
          <w:tcPr>
            <w:tcW w:w="3260" w:type="dxa"/>
          </w:tcPr>
          <w:p w14:paraId="5B97D4CB" w14:textId="3AB47174" w:rsidR="00362E0B" w:rsidRPr="00986221" w:rsidRDefault="00362E0B" w:rsidP="000221A3">
            <w:pPr>
              <w:pStyle w:val="BodyText"/>
              <w:spacing w:before="0" w:after="40"/>
              <w:ind w:left="426"/>
              <w:jc w:val="right"/>
              <w:rPr>
                <w:rFonts w:cs="Arial"/>
                <w:sz w:val="18"/>
                <w:szCs w:val="18"/>
              </w:rPr>
            </w:pPr>
            <w:r w:rsidRPr="00986221">
              <w:rPr>
                <w:rFonts w:cs="Arial"/>
                <w:sz w:val="18"/>
                <w:szCs w:val="18"/>
              </w:rPr>
              <w:t>December 2013-February 2014.</w:t>
            </w:r>
          </w:p>
        </w:tc>
        <w:tc>
          <w:tcPr>
            <w:tcW w:w="2936" w:type="dxa"/>
          </w:tcPr>
          <w:p w14:paraId="6ACB519A" w14:textId="379CC379" w:rsidR="00362E0B" w:rsidRPr="00986221" w:rsidRDefault="00B678C4" w:rsidP="000221A3">
            <w:pPr>
              <w:pStyle w:val="BodyText"/>
              <w:spacing w:before="0" w:after="40"/>
              <w:ind w:left="426"/>
              <w:jc w:val="right"/>
              <w:rPr>
                <w:rFonts w:cs="Arial"/>
                <w:sz w:val="18"/>
                <w:szCs w:val="18"/>
              </w:rPr>
            </w:pPr>
            <w:r w:rsidRPr="00986221">
              <w:rPr>
                <w:rFonts w:cs="Arial"/>
                <w:sz w:val="18"/>
                <w:szCs w:val="18"/>
              </w:rPr>
              <w:t>CIEM/VCA/IPSARD</w:t>
            </w:r>
            <w:r w:rsidR="00701037" w:rsidRPr="00986221">
              <w:rPr>
                <w:rFonts w:cs="Arial"/>
                <w:sz w:val="18"/>
                <w:szCs w:val="18"/>
              </w:rPr>
              <w:t xml:space="preserve"> </w:t>
            </w:r>
            <w:r w:rsidR="00A91A37" w:rsidRPr="00986221">
              <w:rPr>
                <w:rFonts w:cs="Arial"/>
                <w:sz w:val="18"/>
                <w:szCs w:val="18"/>
              </w:rPr>
              <w:t>&amp;</w:t>
            </w:r>
            <w:r w:rsidR="00701037" w:rsidRPr="00986221">
              <w:rPr>
                <w:rFonts w:cs="Arial"/>
                <w:sz w:val="18"/>
                <w:szCs w:val="18"/>
              </w:rPr>
              <w:t xml:space="preserve"> DFAT</w:t>
            </w:r>
          </w:p>
        </w:tc>
      </w:tr>
      <w:tr w:rsidR="00701037" w:rsidRPr="00986221" w14:paraId="0389C6D8" w14:textId="77777777" w:rsidTr="007F7A72">
        <w:tc>
          <w:tcPr>
            <w:tcW w:w="3295" w:type="dxa"/>
          </w:tcPr>
          <w:p w14:paraId="40E21B3B" w14:textId="0D10EEA2" w:rsidR="00701037" w:rsidRPr="00986221" w:rsidRDefault="001E16BD" w:rsidP="007F7A72">
            <w:pPr>
              <w:pStyle w:val="BodyText"/>
              <w:spacing w:before="0" w:after="40"/>
              <w:ind w:left="426" w:hanging="426"/>
              <w:rPr>
                <w:rFonts w:cs="Arial"/>
                <w:sz w:val="18"/>
                <w:szCs w:val="18"/>
              </w:rPr>
            </w:pPr>
            <w:r w:rsidRPr="00986221">
              <w:rPr>
                <w:rFonts w:cs="Arial"/>
                <w:sz w:val="18"/>
                <w:szCs w:val="18"/>
              </w:rPr>
              <w:t>Advance Action</w:t>
            </w:r>
            <w:r w:rsidR="00094C51" w:rsidRPr="00986221">
              <w:rPr>
                <w:rFonts w:cs="Arial"/>
                <w:sz w:val="18"/>
                <w:szCs w:val="18"/>
              </w:rPr>
              <w:t xml:space="preserve"> on Program Support</w:t>
            </w:r>
          </w:p>
        </w:tc>
        <w:tc>
          <w:tcPr>
            <w:tcW w:w="3260" w:type="dxa"/>
          </w:tcPr>
          <w:p w14:paraId="3D3B6DC4" w14:textId="129C321A" w:rsidR="00701037" w:rsidRPr="00986221" w:rsidRDefault="007926F3" w:rsidP="000221A3">
            <w:pPr>
              <w:pStyle w:val="BodyText"/>
              <w:spacing w:before="0" w:after="40"/>
              <w:ind w:left="426"/>
              <w:jc w:val="right"/>
              <w:rPr>
                <w:rFonts w:cs="Arial"/>
                <w:sz w:val="18"/>
                <w:szCs w:val="18"/>
              </w:rPr>
            </w:pPr>
            <w:r w:rsidRPr="00986221">
              <w:rPr>
                <w:rFonts w:cs="Arial"/>
                <w:sz w:val="18"/>
                <w:szCs w:val="18"/>
              </w:rPr>
              <w:t xml:space="preserve">April </w:t>
            </w:r>
            <w:r w:rsidR="001E16BD" w:rsidRPr="00986221">
              <w:rPr>
                <w:rFonts w:cs="Arial"/>
                <w:sz w:val="18"/>
                <w:szCs w:val="18"/>
              </w:rPr>
              <w:t>2014</w:t>
            </w:r>
          </w:p>
        </w:tc>
        <w:tc>
          <w:tcPr>
            <w:tcW w:w="2936" w:type="dxa"/>
          </w:tcPr>
          <w:p w14:paraId="2BEECF0C" w14:textId="08002030" w:rsidR="00701037" w:rsidRPr="00986221" w:rsidRDefault="002E4746" w:rsidP="000221A3">
            <w:pPr>
              <w:pStyle w:val="BodyText"/>
              <w:spacing w:before="0" w:after="40"/>
              <w:ind w:left="426"/>
              <w:jc w:val="right"/>
              <w:rPr>
                <w:rFonts w:cs="Arial"/>
                <w:sz w:val="18"/>
                <w:szCs w:val="18"/>
              </w:rPr>
            </w:pPr>
            <w:r w:rsidRPr="00986221">
              <w:rPr>
                <w:rFonts w:cs="Arial"/>
                <w:sz w:val="18"/>
                <w:szCs w:val="18"/>
              </w:rPr>
              <w:t>PD</w:t>
            </w:r>
            <w:r w:rsidR="001E16BD" w:rsidRPr="00986221">
              <w:rPr>
                <w:rFonts w:cs="Arial"/>
                <w:sz w:val="18"/>
                <w:szCs w:val="18"/>
              </w:rPr>
              <w:t>/DFAT</w:t>
            </w:r>
          </w:p>
        </w:tc>
      </w:tr>
      <w:tr w:rsidR="00701037" w:rsidRPr="00986221" w14:paraId="2A3408EF" w14:textId="77777777" w:rsidTr="007F7A72">
        <w:tc>
          <w:tcPr>
            <w:tcW w:w="3295" w:type="dxa"/>
          </w:tcPr>
          <w:p w14:paraId="579E0AE2" w14:textId="520E63A1" w:rsidR="00701037" w:rsidRPr="00986221" w:rsidRDefault="001E16BD" w:rsidP="007F7A72">
            <w:pPr>
              <w:pStyle w:val="BodyText"/>
              <w:spacing w:before="0" w:after="40"/>
              <w:ind w:left="426" w:hanging="426"/>
              <w:rPr>
                <w:rFonts w:cs="Arial"/>
                <w:sz w:val="18"/>
                <w:szCs w:val="18"/>
              </w:rPr>
            </w:pPr>
            <w:r w:rsidRPr="00986221">
              <w:rPr>
                <w:rFonts w:cs="Arial"/>
                <w:sz w:val="18"/>
                <w:szCs w:val="18"/>
              </w:rPr>
              <w:t xml:space="preserve">Approval: Financing Agreement </w:t>
            </w:r>
          </w:p>
        </w:tc>
        <w:tc>
          <w:tcPr>
            <w:tcW w:w="3260" w:type="dxa"/>
          </w:tcPr>
          <w:p w14:paraId="651465B4" w14:textId="7CF0D660" w:rsidR="00701037" w:rsidRPr="00986221" w:rsidRDefault="00B93071" w:rsidP="000221A3">
            <w:pPr>
              <w:pStyle w:val="BodyText"/>
              <w:spacing w:before="0" w:after="40"/>
              <w:ind w:left="426"/>
              <w:jc w:val="right"/>
              <w:rPr>
                <w:rFonts w:cs="Arial"/>
                <w:sz w:val="18"/>
                <w:szCs w:val="18"/>
              </w:rPr>
            </w:pPr>
            <w:r>
              <w:rPr>
                <w:rFonts w:cs="Arial"/>
                <w:sz w:val="18"/>
                <w:szCs w:val="18"/>
              </w:rPr>
              <w:t xml:space="preserve">May </w:t>
            </w:r>
            <w:r w:rsidR="00B678C4" w:rsidRPr="00986221">
              <w:rPr>
                <w:rFonts w:cs="Arial"/>
                <w:sz w:val="18"/>
                <w:szCs w:val="18"/>
              </w:rPr>
              <w:t>2014</w:t>
            </w:r>
          </w:p>
        </w:tc>
        <w:tc>
          <w:tcPr>
            <w:tcW w:w="2936" w:type="dxa"/>
          </w:tcPr>
          <w:p w14:paraId="5A8E8FEB" w14:textId="79CF1078" w:rsidR="00701037" w:rsidRPr="00986221" w:rsidRDefault="001E16BD" w:rsidP="000221A3">
            <w:pPr>
              <w:pStyle w:val="BodyText"/>
              <w:spacing w:before="0" w:after="40"/>
              <w:ind w:left="426"/>
              <w:jc w:val="right"/>
              <w:rPr>
                <w:rFonts w:cs="Arial"/>
                <w:sz w:val="18"/>
                <w:szCs w:val="18"/>
              </w:rPr>
            </w:pPr>
            <w:r w:rsidRPr="00986221">
              <w:rPr>
                <w:rFonts w:cs="Arial"/>
                <w:sz w:val="18"/>
                <w:szCs w:val="18"/>
              </w:rPr>
              <w:t>MPI/DFAT</w:t>
            </w:r>
          </w:p>
        </w:tc>
      </w:tr>
      <w:tr w:rsidR="00B678C4" w:rsidRPr="00986221" w14:paraId="50C8EA8B" w14:textId="77777777" w:rsidTr="007F7A72">
        <w:tc>
          <w:tcPr>
            <w:tcW w:w="3295" w:type="dxa"/>
          </w:tcPr>
          <w:p w14:paraId="37C73A81" w14:textId="6F55C819" w:rsidR="00B678C4" w:rsidRPr="00986221" w:rsidRDefault="00B678C4" w:rsidP="007F7A72">
            <w:pPr>
              <w:pStyle w:val="BodyText"/>
              <w:spacing w:before="0" w:after="40"/>
              <w:ind w:left="426" w:hanging="426"/>
              <w:rPr>
                <w:rFonts w:cs="Arial"/>
                <w:sz w:val="18"/>
                <w:szCs w:val="18"/>
              </w:rPr>
            </w:pPr>
            <w:r w:rsidRPr="00986221">
              <w:rPr>
                <w:rFonts w:cs="Arial"/>
                <w:sz w:val="18"/>
                <w:szCs w:val="18"/>
              </w:rPr>
              <w:t>Operation Manual Approved</w:t>
            </w:r>
          </w:p>
        </w:tc>
        <w:tc>
          <w:tcPr>
            <w:tcW w:w="3260" w:type="dxa"/>
          </w:tcPr>
          <w:p w14:paraId="711C48CB" w14:textId="3A00A722" w:rsidR="00B678C4" w:rsidRPr="00986221" w:rsidRDefault="00B93071" w:rsidP="000221A3">
            <w:pPr>
              <w:pStyle w:val="BodyText"/>
              <w:spacing w:before="0" w:after="40"/>
              <w:ind w:left="426"/>
              <w:jc w:val="right"/>
              <w:rPr>
                <w:rFonts w:cs="Arial"/>
                <w:sz w:val="18"/>
                <w:szCs w:val="18"/>
              </w:rPr>
            </w:pPr>
            <w:r>
              <w:rPr>
                <w:rFonts w:cs="Arial"/>
                <w:sz w:val="18"/>
                <w:szCs w:val="18"/>
              </w:rPr>
              <w:t>30 May</w:t>
            </w:r>
            <w:r w:rsidR="00821A87" w:rsidRPr="00986221">
              <w:rPr>
                <w:rFonts w:cs="Arial"/>
                <w:sz w:val="18"/>
                <w:szCs w:val="18"/>
              </w:rPr>
              <w:t xml:space="preserve"> </w:t>
            </w:r>
            <w:r w:rsidR="00B678C4" w:rsidRPr="00986221">
              <w:rPr>
                <w:rFonts w:cs="Arial"/>
                <w:sz w:val="18"/>
                <w:szCs w:val="18"/>
              </w:rPr>
              <w:t>2014</w:t>
            </w:r>
          </w:p>
        </w:tc>
        <w:tc>
          <w:tcPr>
            <w:tcW w:w="2936" w:type="dxa"/>
          </w:tcPr>
          <w:p w14:paraId="65217D18" w14:textId="244B7E92" w:rsidR="00B678C4" w:rsidRPr="00986221" w:rsidRDefault="002E4746" w:rsidP="000221A3">
            <w:pPr>
              <w:pStyle w:val="BodyText"/>
              <w:spacing w:before="0" w:after="40"/>
              <w:ind w:left="426"/>
              <w:jc w:val="right"/>
              <w:rPr>
                <w:rFonts w:cs="Arial"/>
                <w:sz w:val="18"/>
                <w:szCs w:val="18"/>
              </w:rPr>
            </w:pPr>
            <w:r w:rsidRPr="00986221">
              <w:rPr>
                <w:rFonts w:cs="Arial"/>
                <w:sz w:val="18"/>
                <w:szCs w:val="18"/>
              </w:rPr>
              <w:t>PD</w:t>
            </w:r>
            <w:r w:rsidR="00B678C4" w:rsidRPr="00986221">
              <w:rPr>
                <w:rFonts w:cs="Arial"/>
                <w:sz w:val="18"/>
                <w:szCs w:val="18"/>
              </w:rPr>
              <w:t>/DFAT</w:t>
            </w:r>
          </w:p>
        </w:tc>
      </w:tr>
      <w:tr w:rsidR="00362E0B" w:rsidRPr="00986221" w14:paraId="0EF2822D" w14:textId="77777777" w:rsidTr="007F7A72">
        <w:tc>
          <w:tcPr>
            <w:tcW w:w="3295" w:type="dxa"/>
          </w:tcPr>
          <w:p w14:paraId="00B23FCB" w14:textId="0D3ACCF7" w:rsidR="00362E0B" w:rsidRPr="00986221" w:rsidRDefault="001E16BD" w:rsidP="007F7A72">
            <w:pPr>
              <w:pStyle w:val="BodyText"/>
              <w:spacing w:before="0" w:after="40"/>
              <w:ind w:left="426" w:hanging="426"/>
              <w:rPr>
                <w:rFonts w:cs="Arial"/>
                <w:sz w:val="18"/>
                <w:szCs w:val="18"/>
              </w:rPr>
            </w:pPr>
            <w:r w:rsidRPr="00986221">
              <w:rPr>
                <w:rFonts w:cs="Arial"/>
                <w:sz w:val="18"/>
                <w:szCs w:val="18"/>
              </w:rPr>
              <w:t xml:space="preserve">Program </w:t>
            </w:r>
            <w:r w:rsidR="0035337C" w:rsidRPr="00986221">
              <w:rPr>
                <w:rFonts w:cs="Arial"/>
                <w:sz w:val="18"/>
                <w:szCs w:val="18"/>
              </w:rPr>
              <w:t>I</w:t>
            </w:r>
            <w:r w:rsidRPr="00986221">
              <w:rPr>
                <w:rFonts w:cs="Arial"/>
                <w:sz w:val="18"/>
                <w:szCs w:val="18"/>
              </w:rPr>
              <w:t>mplementation</w:t>
            </w:r>
            <w:r w:rsidR="00094C51" w:rsidRPr="00986221">
              <w:rPr>
                <w:rFonts w:cs="Arial"/>
                <w:sz w:val="18"/>
                <w:szCs w:val="18"/>
              </w:rPr>
              <w:t xml:space="preserve"> (pilot phase)</w:t>
            </w:r>
          </w:p>
        </w:tc>
        <w:tc>
          <w:tcPr>
            <w:tcW w:w="3260" w:type="dxa"/>
          </w:tcPr>
          <w:p w14:paraId="51460A63" w14:textId="5C708BB2" w:rsidR="00362E0B" w:rsidRPr="00986221" w:rsidRDefault="00B93071" w:rsidP="00B93071">
            <w:pPr>
              <w:pStyle w:val="BodyText"/>
              <w:spacing w:before="0" w:after="40"/>
              <w:ind w:left="426"/>
              <w:jc w:val="right"/>
              <w:rPr>
                <w:rFonts w:cs="Arial"/>
                <w:sz w:val="18"/>
                <w:szCs w:val="18"/>
              </w:rPr>
            </w:pPr>
            <w:r>
              <w:rPr>
                <w:rFonts w:cs="Arial"/>
                <w:sz w:val="18"/>
                <w:szCs w:val="18"/>
              </w:rPr>
              <w:t>June</w:t>
            </w:r>
            <w:r w:rsidR="007926F3" w:rsidRPr="00986221">
              <w:rPr>
                <w:rFonts w:cs="Arial"/>
                <w:sz w:val="18"/>
                <w:szCs w:val="18"/>
              </w:rPr>
              <w:t xml:space="preserve"> </w:t>
            </w:r>
            <w:r w:rsidR="001E16BD" w:rsidRPr="00986221">
              <w:rPr>
                <w:rFonts w:cs="Arial"/>
                <w:sz w:val="18"/>
                <w:szCs w:val="18"/>
              </w:rPr>
              <w:t>2014-</w:t>
            </w:r>
            <w:r>
              <w:rPr>
                <w:rFonts w:cs="Arial"/>
                <w:sz w:val="18"/>
                <w:szCs w:val="18"/>
              </w:rPr>
              <w:t>Decem</w:t>
            </w:r>
            <w:r w:rsidR="007926F3" w:rsidRPr="00986221">
              <w:rPr>
                <w:rFonts w:cs="Arial"/>
                <w:sz w:val="18"/>
                <w:szCs w:val="18"/>
              </w:rPr>
              <w:t xml:space="preserve">ber </w:t>
            </w:r>
            <w:r w:rsidR="001E16BD" w:rsidRPr="00986221">
              <w:rPr>
                <w:rFonts w:cs="Arial"/>
                <w:sz w:val="18"/>
                <w:szCs w:val="18"/>
              </w:rPr>
              <w:t>2016</w:t>
            </w:r>
          </w:p>
        </w:tc>
        <w:tc>
          <w:tcPr>
            <w:tcW w:w="2936" w:type="dxa"/>
          </w:tcPr>
          <w:p w14:paraId="0709684A" w14:textId="74C20388" w:rsidR="00362E0B" w:rsidRPr="00986221" w:rsidRDefault="00094C51" w:rsidP="000221A3">
            <w:pPr>
              <w:pStyle w:val="BodyText"/>
              <w:spacing w:before="0" w:after="40"/>
              <w:ind w:left="426"/>
              <w:jc w:val="right"/>
              <w:rPr>
                <w:rFonts w:cs="Arial"/>
                <w:sz w:val="18"/>
                <w:szCs w:val="18"/>
              </w:rPr>
            </w:pPr>
            <w:r w:rsidRPr="00986221">
              <w:rPr>
                <w:rFonts w:cs="Arial"/>
                <w:sz w:val="18"/>
                <w:szCs w:val="18"/>
              </w:rPr>
              <w:t>CIEM/VCA/</w:t>
            </w:r>
            <w:r w:rsidR="001E16BD" w:rsidRPr="00986221">
              <w:rPr>
                <w:rFonts w:cs="Arial"/>
                <w:sz w:val="18"/>
                <w:szCs w:val="18"/>
              </w:rPr>
              <w:t>IPSARD</w:t>
            </w:r>
            <w:r w:rsidRPr="00986221">
              <w:rPr>
                <w:rFonts w:cs="Arial"/>
                <w:sz w:val="18"/>
                <w:szCs w:val="18"/>
              </w:rPr>
              <w:t>/DFAT</w:t>
            </w:r>
          </w:p>
        </w:tc>
      </w:tr>
      <w:tr w:rsidR="00362E0B" w:rsidRPr="00986221" w14:paraId="6F0B181A" w14:textId="77777777" w:rsidTr="007F7A72">
        <w:tc>
          <w:tcPr>
            <w:tcW w:w="3295" w:type="dxa"/>
          </w:tcPr>
          <w:p w14:paraId="0878C108" w14:textId="73116561" w:rsidR="00362E0B" w:rsidRPr="00986221" w:rsidRDefault="0000471D" w:rsidP="007F7A72">
            <w:pPr>
              <w:pStyle w:val="BodyText"/>
              <w:spacing w:before="0" w:after="40"/>
              <w:ind w:left="426" w:hanging="426"/>
              <w:rPr>
                <w:rFonts w:cs="Arial"/>
                <w:sz w:val="18"/>
                <w:szCs w:val="18"/>
              </w:rPr>
            </w:pPr>
            <w:r w:rsidRPr="00986221">
              <w:rPr>
                <w:rFonts w:cs="Arial"/>
                <w:sz w:val="18"/>
                <w:szCs w:val="18"/>
              </w:rPr>
              <w:t>Independent Evaluation</w:t>
            </w:r>
          </w:p>
        </w:tc>
        <w:tc>
          <w:tcPr>
            <w:tcW w:w="3260" w:type="dxa"/>
          </w:tcPr>
          <w:p w14:paraId="1B920ABA" w14:textId="76DB3D63" w:rsidR="00362E0B" w:rsidRPr="00986221" w:rsidRDefault="00B93071" w:rsidP="00B93071">
            <w:pPr>
              <w:pStyle w:val="BodyText"/>
              <w:spacing w:before="0" w:after="40"/>
              <w:ind w:left="426"/>
              <w:jc w:val="right"/>
              <w:rPr>
                <w:rFonts w:cs="Arial"/>
                <w:sz w:val="18"/>
                <w:szCs w:val="18"/>
              </w:rPr>
            </w:pPr>
            <w:r>
              <w:rPr>
                <w:rFonts w:cs="Arial"/>
                <w:sz w:val="18"/>
                <w:szCs w:val="18"/>
              </w:rPr>
              <w:t xml:space="preserve">January –March </w:t>
            </w:r>
            <w:r w:rsidR="00094C51" w:rsidRPr="00986221">
              <w:rPr>
                <w:rFonts w:cs="Arial"/>
                <w:sz w:val="18"/>
                <w:szCs w:val="18"/>
              </w:rPr>
              <w:t>201</w:t>
            </w:r>
            <w:r>
              <w:rPr>
                <w:rFonts w:cs="Arial"/>
                <w:sz w:val="18"/>
                <w:szCs w:val="18"/>
              </w:rPr>
              <w:t>6</w:t>
            </w:r>
          </w:p>
        </w:tc>
        <w:tc>
          <w:tcPr>
            <w:tcW w:w="2936" w:type="dxa"/>
          </w:tcPr>
          <w:p w14:paraId="4CB24B99" w14:textId="733D6820" w:rsidR="00362E0B" w:rsidRPr="00986221" w:rsidRDefault="008D2A8E" w:rsidP="000221A3">
            <w:pPr>
              <w:pStyle w:val="BodyText"/>
              <w:spacing w:before="0" w:after="40"/>
              <w:ind w:left="426"/>
              <w:jc w:val="right"/>
              <w:rPr>
                <w:rFonts w:cs="Arial"/>
                <w:sz w:val="18"/>
                <w:szCs w:val="18"/>
              </w:rPr>
            </w:pPr>
            <w:r w:rsidRPr="00986221">
              <w:rPr>
                <w:rFonts w:cs="Arial"/>
                <w:sz w:val="18"/>
                <w:szCs w:val="18"/>
              </w:rPr>
              <w:t>DFAT/MPI</w:t>
            </w:r>
          </w:p>
        </w:tc>
      </w:tr>
      <w:tr w:rsidR="001E16BD" w:rsidRPr="00986221" w14:paraId="43F1E792" w14:textId="77777777" w:rsidTr="007F7A72">
        <w:tc>
          <w:tcPr>
            <w:tcW w:w="3295" w:type="dxa"/>
          </w:tcPr>
          <w:p w14:paraId="16EA7238" w14:textId="36989411" w:rsidR="001E16BD" w:rsidRPr="00986221" w:rsidRDefault="00094C51" w:rsidP="007F7A72">
            <w:pPr>
              <w:pStyle w:val="BodyText"/>
              <w:spacing w:before="0" w:after="40"/>
              <w:ind w:left="426" w:hanging="426"/>
              <w:rPr>
                <w:rFonts w:cs="Arial"/>
                <w:sz w:val="18"/>
                <w:szCs w:val="18"/>
              </w:rPr>
            </w:pPr>
            <w:r w:rsidRPr="00986221">
              <w:rPr>
                <w:rFonts w:cs="Arial"/>
                <w:sz w:val="18"/>
                <w:szCs w:val="18"/>
              </w:rPr>
              <w:t>Decision on any follow-up</w:t>
            </w:r>
          </w:p>
        </w:tc>
        <w:tc>
          <w:tcPr>
            <w:tcW w:w="3260" w:type="dxa"/>
          </w:tcPr>
          <w:p w14:paraId="3B2C9F6B" w14:textId="485855E5" w:rsidR="001E16BD" w:rsidRPr="00986221" w:rsidRDefault="00B93071" w:rsidP="00B93071">
            <w:pPr>
              <w:pStyle w:val="BodyText"/>
              <w:spacing w:before="0" w:after="40"/>
              <w:ind w:left="426"/>
              <w:jc w:val="right"/>
              <w:rPr>
                <w:rFonts w:cs="Arial"/>
                <w:sz w:val="18"/>
                <w:szCs w:val="18"/>
              </w:rPr>
            </w:pPr>
            <w:r>
              <w:rPr>
                <w:rFonts w:cs="Arial"/>
                <w:sz w:val="18"/>
                <w:szCs w:val="18"/>
              </w:rPr>
              <w:t>April</w:t>
            </w:r>
            <w:r w:rsidR="0035337C" w:rsidRPr="00986221">
              <w:rPr>
                <w:rFonts w:cs="Arial"/>
                <w:sz w:val="18"/>
                <w:szCs w:val="18"/>
              </w:rPr>
              <w:t xml:space="preserve"> </w:t>
            </w:r>
            <w:r w:rsidR="008D2A8E" w:rsidRPr="00986221">
              <w:rPr>
                <w:rFonts w:cs="Arial"/>
                <w:sz w:val="18"/>
                <w:szCs w:val="18"/>
              </w:rPr>
              <w:t>201</w:t>
            </w:r>
            <w:r>
              <w:rPr>
                <w:rFonts w:cs="Arial"/>
                <w:sz w:val="18"/>
                <w:szCs w:val="18"/>
              </w:rPr>
              <w:t>6</w:t>
            </w:r>
          </w:p>
        </w:tc>
        <w:tc>
          <w:tcPr>
            <w:tcW w:w="2936" w:type="dxa"/>
          </w:tcPr>
          <w:p w14:paraId="39EC93E1" w14:textId="15D0843F" w:rsidR="001E16BD" w:rsidRPr="00986221" w:rsidRDefault="008D2A8E" w:rsidP="000221A3">
            <w:pPr>
              <w:pStyle w:val="BodyText"/>
              <w:spacing w:before="0" w:after="40"/>
              <w:ind w:left="426"/>
              <w:jc w:val="right"/>
              <w:rPr>
                <w:rFonts w:cs="Arial"/>
                <w:sz w:val="18"/>
                <w:szCs w:val="18"/>
              </w:rPr>
            </w:pPr>
            <w:r w:rsidRPr="00986221">
              <w:rPr>
                <w:rFonts w:cs="Arial"/>
                <w:sz w:val="18"/>
                <w:szCs w:val="18"/>
              </w:rPr>
              <w:t>DFAT/MPI</w:t>
            </w:r>
          </w:p>
        </w:tc>
      </w:tr>
      <w:tr w:rsidR="001E16BD" w:rsidRPr="00986221" w14:paraId="4FC4D2C3" w14:textId="77777777" w:rsidTr="007F7A72">
        <w:tc>
          <w:tcPr>
            <w:tcW w:w="3295" w:type="dxa"/>
          </w:tcPr>
          <w:p w14:paraId="324D94CC" w14:textId="403A5DF8" w:rsidR="001E16BD" w:rsidRPr="00986221" w:rsidRDefault="008D2A8E" w:rsidP="007F7A72">
            <w:pPr>
              <w:pStyle w:val="BodyText"/>
              <w:spacing w:before="0" w:after="40"/>
              <w:ind w:left="426" w:hanging="426"/>
              <w:rPr>
                <w:rFonts w:cs="Arial"/>
                <w:sz w:val="18"/>
                <w:szCs w:val="18"/>
              </w:rPr>
            </w:pPr>
            <w:r w:rsidRPr="00986221">
              <w:rPr>
                <w:rFonts w:cs="Arial"/>
                <w:sz w:val="18"/>
                <w:szCs w:val="18"/>
              </w:rPr>
              <w:t>Design of follow-up</w:t>
            </w:r>
          </w:p>
        </w:tc>
        <w:tc>
          <w:tcPr>
            <w:tcW w:w="3260" w:type="dxa"/>
          </w:tcPr>
          <w:p w14:paraId="655217E5" w14:textId="45B5CE70" w:rsidR="001E16BD" w:rsidRPr="00986221" w:rsidRDefault="00B93071" w:rsidP="00B93071">
            <w:pPr>
              <w:pStyle w:val="BodyText"/>
              <w:spacing w:before="0" w:after="40"/>
              <w:ind w:left="426"/>
              <w:jc w:val="right"/>
              <w:rPr>
                <w:rFonts w:cs="Arial"/>
                <w:sz w:val="18"/>
                <w:szCs w:val="18"/>
              </w:rPr>
            </w:pPr>
            <w:r>
              <w:rPr>
                <w:rFonts w:cs="Arial"/>
                <w:sz w:val="18"/>
                <w:szCs w:val="18"/>
              </w:rPr>
              <w:t>May-July</w:t>
            </w:r>
            <w:r w:rsidR="0035337C" w:rsidRPr="00986221">
              <w:rPr>
                <w:rFonts w:cs="Arial"/>
                <w:sz w:val="18"/>
                <w:szCs w:val="18"/>
              </w:rPr>
              <w:t xml:space="preserve"> </w:t>
            </w:r>
            <w:r w:rsidR="008D2A8E" w:rsidRPr="00986221">
              <w:rPr>
                <w:rFonts w:cs="Arial"/>
                <w:sz w:val="18"/>
                <w:szCs w:val="18"/>
              </w:rPr>
              <w:t>2016</w:t>
            </w:r>
          </w:p>
        </w:tc>
        <w:tc>
          <w:tcPr>
            <w:tcW w:w="2936" w:type="dxa"/>
          </w:tcPr>
          <w:p w14:paraId="196B9877" w14:textId="7ECC0088" w:rsidR="001E16BD" w:rsidRPr="00986221" w:rsidRDefault="008D2A8E" w:rsidP="000221A3">
            <w:pPr>
              <w:pStyle w:val="BodyText"/>
              <w:spacing w:before="0" w:after="40"/>
              <w:ind w:left="426"/>
              <w:jc w:val="right"/>
              <w:rPr>
                <w:rFonts w:cs="Arial"/>
                <w:sz w:val="18"/>
                <w:szCs w:val="18"/>
              </w:rPr>
            </w:pPr>
            <w:r w:rsidRPr="00986221">
              <w:rPr>
                <w:rFonts w:cs="Arial"/>
                <w:sz w:val="18"/>
                <w:szCs w:val="18"/>
              </w:rPr>
              <w:t>CIEM/DFAT</w:t>
            </w:r>
          </w:p>
        </w:tc>
      </w:tr>
      <w:tr w:rsidR="00094C51" w:rsidRPr="00986221" w14:paraId="4DA640A8" w14:textId="77777777" w:rsidTr="007F7A72">
        <w:tc>
          <w:tcPr>
            <w:tcW w:w="3295" w:type="dxa"/>
          </w:tcPr>
          <w:p w14:paraId="4B014112" w14:textId="4408198A" w:rsidR="00094C51" w:rsidRPr="00986221" w:rsidRDefault="008D2A8E" w:rsidP="007F7A72">
            <w:pPr>
              <w:pStyle w:val="BodyText"/>
              <w:spacing w:before="0" w:after="40"/>
              <w:ind w:left="426" w:hanging="426"/>
              <w:rPr>
                <w:rFonts w:cs="Arial"/>
                <w:sz w:val="18"/>
                <w:szCs w:val="18"/>
              </w:rPr>
            </w:pPr>
            <w:r w:rsidRPr="00986221">
              <w:rPr>
                <w:rFonts w:cs="Arial"/>
                <w:sz w:val="18"/>
                <w:szCs w:val="18"/>
              </w:rPr>
              <w:t>Possible follow-up support</w:t>
            </w:r>
          </w:p>
        </w:tc>
        <w:tc>
          <w:tcPr>
            <w:tcW w:w="3260" w:type="dxa"/>
          </w:tcPr>
          <w:p w14:paraId="0A2A22CA" w14:textId="7D52E850" w:rsidR="00094C51" w:rsidRPr="00986221" w:rsidRDefault="00B93071" w:rsidP="00B93071">
            <w:pPr>
              <w:pStyle w:val="BodyText"/>
              <w:spacing w:before="0" w:after="40"/>
              <w:ind w:left="426"/>
              <w:jc w:val="right"/>
              <w:rPr>
                <w:rFonts w:cs="Arial"/>
                <w:sz w:val="18"/>
                <w:szCs w:val="18"/>
              </w:rPr>
            </w:pPr>
            <w:r>
              <w:rPr>
                <w:rFonts w:cs="Arial"/>
                <w:sz w:val="18"/>
                <w:szCs w:val="18"/>
              </w:rPr>
              <w:t xml:space="preserve">January </w:t>
            </w:r>
            <w:r w:rsidR="008D2A8E" w:rsidRPr="00986221">
              <w:rPr>
                <w:rFonts w:cs="Arial"/>
                <w:sz w:val="18"/>
                <w:szCs w:val="18"/>
              </w:rPr>
              <w:t>201</w:t>
            </w:r>
            <w:r>
              <w:rPr>
                <w:rFonts w:cs="Arial"/>
                <w:sz w:val="18"/>
                <w:szCs w:val="18"/>
              </w:rPr>
              <w:t>7</w:t>
            </w:r>
            <w:r w:rsidR="008D2A8E" w:rsidRPr="00986221">
              <w:rPr>
                <w:rFonts w:cs="Arial"/>
                <w:sz w:val="18"/>
                <w:szCs w:val="18"/>
              </w:rPr>
              <w:t>-</w:t>
            </w:r>
            <w:r w:rsidR="0035337C" w:rsidRPr="00986221">
              <w:rPr>
                <w:rFonts w:cs="Arial"/>
                <w:sz w:val="18"/>
                <w:szCs w:val="18"/>
              </w:rPr>
              <w:t xml:space="preserve">December </w:t>
            </w:r>
            <w:r w:rsidR="008D2A8E" w:rsidRPr="00986221">
              <w:rPr>
                <w:rFonts w:cs="Arial"/>
                <w:sz w:val="18"/>
                <w:szCs w:val="18"/>
              </w:rPr>
              <w:t>2020</w:t>
            </w:r>
          </w:p>
        </w:tc>
        <w:tc>
          <w:tcPr>
            <w:tcW w:w="2936" w:type="dxa"/>
          </w:tcPr>
          <w:p w14:paraId="0D854B4B" w14:textId="1197FCE6" w:rsidR="00094C51" w:rsidRPr="00986221" w:rsidRDefault="008D2A8E" w:rsidP="000221A3">
            <w:pPr>
              <w:pStyle w:val="BodyText"/>
              <w:spacing w:before="0" w:after="40"/>
              <w:ind w:left="426"/>
              <w:jc w:val="right"/>
              <w:rPr>
                <w:rFonts w:cs="Arial"/>
                <w:sz w:val="18"/>
                <w:szCs w:val="18"/>
              </w:rPr>
            </w:pPr>
            <w:r w:rsidRPr="00986221">
              <w:rPr>
                <w:rFonts w:cs="Arial"/>
                <w:sz w:val="18"/>
                <w:szCs w:val="18"/>
              </w:rPr>
              <w:t>CIEM/DFA</w:t>
            </w:r>
            <w:r w:rsidR="00A91A37" w:rsidRPr="00986221">
              <w:rPr>
                <w:rFonts w:cs="Arial"/>
                <w:sz w:val="18"/>
                <w:szCs w:val="18"/>
              </w:rPr>
              <w:t>T</w:t>
            </w:r>
          </w:p>
        </w:tc>
      </w:tr>
    </w:tbl>
    <w:p w14:paraId="7D212E84" w14:textId="77777777" w:rsidR="00F362F3" w:rsidRPr="00986221" w:rsidRDefault="00F362F3" w:rsidP="000221A3">
      <w:pPr>
        <w:ind w:left="426"/>
        <w:rPr>
          <w:rFonts w:cs="Arial"/>
        </w:rPr>
      </w:pPr>
    </w:p>
    <w:p w14:paraId="54647CD9" w14:textId="42AC5891" w:rsidR="00A851CA" w:rsidRPr="00986221" w:rsidRDefault="0003713B" w:rsidP="000221A3">
      <w:pPr>
        <w:pStyle w:val="ListParagraph"/>
      </w:pPr>
      <w:r w:rsidRPr="00986221">
        <w:t xml:space="preserve">Many of the proposed activities </w:t>
      </w:r>
      <w:r w:rsidR="00A851CA" w:rsidRPr="00986221">
        <w:t>are supporting Go</w:t>
      </w:r>
      <w:r w:rsidR="00CD14EA" w:rsidRPr="00986221">
        <w:t>V</w:t>
      </w:r>
      <w:r w:rsidR="00A851CA" w:rsidRPr="00986221">
        <w:t xml:space="preserve"> led reforms initiatives to be implemented within a tight time frame. Thus, it is important</w:t>
      </w:r>
      <w:r w:rsidR="00CE4A2A" w:rsidRPr="00986221">
        <w:t xml:space="preserve"> that</w:t>
      </w:r>
      <w:r w:rsidR="00A851CA" w:rsidRPr="00986221">
        <w:t xml:space="preserve"> program support be approved </w:t>
      </w:r>
      <w:r w:rsidRPr="00986221">
        <w:t xml:space="preserve">implemented as scheduled in order to have maximum impact. </w:t>
      </w:r>
    </w:p>
    <w:p w14:paraId="2C2F83DB" w14:textId="73F6DC43" w:rsidR="00A851CA" w:rsidRPr="00986221" w:rsidRDefault="00E1445B" w:rsidP="000221A3">
      <w:pPr>
        <w:pStyle w:val="ListParagraph"/>
      </w:pPr>
      <w:r w:rsidRPr="00986221">
        <w:t xml:space="preserve">The program has been designed with a view to a possible follow-up stage to coincide with the Government’s next five year National Socio-economic Development Plan 2016-2010. It is important that the program generates tangible results and proves that the effectiveness of this model by the </w:t>
      </w:r>
      <w:r w:rsidR="00A65D88">
        <w:t xml:space="preserve">first quarter </w:t>
      </w:r>
      <w:r w:rsidRPr="00986221">
        <w:t>of 201</w:t>
      </w:r>
      <w:r w:rsidR="00A65D88">
        <w:t>6</w:t>
      </w:r>
      <w:r w:rsidRPr="00986221">
        <w:t xml:space="preserve">, in order to increase the prospects of </w:t>
      </w:r>
      <w:r w:rsidR="00F9362C" w:rsidRPr="00986221">
        <w:t>follow-up support.</w:t>
      </w:r>
    </w:p>
    <w:p w14:paraId="3435502E" w14:textId="7FEAA218" w:rsidR="00C95F94" w:rsidRPr="00986221" w:rsidRDefault="0003713B" w:rsidP="000221A3">
      <w:pPr>
        <w:pStyle w:val="ListParagraph"/>
      </w:pPr>
      <w:r w:rsidRPr="00986221">
        <w:t xml:space="preserve">Detailed component level implementation schedule are attached as </w:t>
      </w:r>
      <w:r w:rsidRPr="00986221">
        <w:rPr>
          <w:b/>
          <w:u w:val="single"/>
        </w:rPr>
        <w:t>A</w:t>
      </w:r>
      <w:r w:rsidR="00452FDA" w:rsidRPr="00986221">
        <w:rPr>
          <w:b/>
          <w:u w:val="single"/>
        </w:rPr>
        <w:t xml:space="preserve">ppendix </w:t>
      </w:r>
      <w:r w:rsidR="00A65D88">
        <w:rPr>
          <w:b/>
          <w:u w:val="single"/>
        </w:rPr>
        <w:t>7</w:t>
      </w:r>
      <w:r w:rsidR="00452FDA" w:rsidRPr="00986221">
        <w:rPr>
          <w:b/>
          <w:u w:val="single"/>
        </w:rPr>
        <w:t>- Component schedule</w:t>
      </w:r>
      <w:r w:rsidRPr="00986221">
        <w:t xml:space="preserve">. </w:t>
      </w:r>
    </w:p>
    <w:p w14:paraId="74EE4E68" w14:textId="77777777" w:rsidR="00355A5F" w:rsidRPr="00986221" w:rsidRDefault="00355A5F" w:rsidP="000221A3">
      <w:pPr>
        <w:ind w:left="426"/>
        <w:rPr>
          <w:rFonts w:cs="Arial"/>
        </w:rPr>
      </w:pPr>
    </w:p>
    <w:p w14:paraId="48EA0483" w14:textId="77777777" w:rsidR="00933704" w:rsidRPr="00986221" w:rsidRDefault="00933704" w:rsidP="000221A3">
      <w:pPr>
        <w:pStyle w:val="Heading2"/>
        <w:ind w:left="426"/>
      </w:pPr>
      <w:bookmarkStart w:id="37" w:name="_Toc387322655"/>
      <w:r w:rsidRPr="00986221">
        <w:t>Procurement Arrangements</w:t>
      </w:r>
      <w:bookmarkEnd w:id="37"/>
    </w:p>
    <w:p w14:paraId="57F7105C" w14:textId="3C3B86BE" w:rsidR="00720F0E" w:rsidRPr="00986221" w:rsidRDefault="00720F0E" w:rsidP="005A6DE3">
      <w:pPr>
        <w:pStyle w:val="ListParagraph"/>
      </w:pPr>
      <w:r w:rsidRPr="00986221">
        <w:t>DFAT will directly procure the services of the Senior Technical Adviser (STA).</w:t>
      </w:r>
    </w:p>
    <w:p w14:paraId="1B8F8744" w14:textId="12318AE4" w:rsidR="00720F0E" w:rsidRPr="00986221" w:rsidRDefault="00720F0E" w:rsidP="005A6DE3">
      <w:pPr>
        <w:pStyle w:val="ListParagraph"/>
      </w:pPr>
      <w:r w:rsidRPr="00986221">
        <w:t xml:space="preserve">GoV will be responsible for all other procurement in accordance with its established rules, procedures and legislation as may be amended by the </w:t>
      </w:r>
      <w:r w:rsidR="00CD14EA" w:rsidRPr="00986221">
        <w:t>GoV</w:t>
      </w:r>
      <w:r w:rsidRPr="00986221">
        <w:t xml:space="preserve"> from time to time.</w:t>
      </w:r>
    </w:p>
    <w:p w14:paraId="2B247217" w14:textId="76473082" w:rsidR="00720F0E" w:rsidRPr="00986221" w:rsidRDefault="00720F0E" w:rsidP="005A6DE3">
      <w:pPr>
        <w:pStyle w:val="ListParagraph"/>
      </w:pPr>
      <w:r w:rsidRPr="00986221">
        <w:t xml:space="preserve">Both parties agree that a sample of major procurements may be </w:t>
      </w:r>
      <w:r w:rsidR="00AC521A" w:rsidRPr="00986221">
        <w:t xml:space="preserve">independently </w:t>
      </w:r>
      <w:r w:rsidRPr="00986221">
        <w:t>audited periodically.</w:t>
      </w:r>
    </w:p>
    <w:p w14:paraId="3039B020" w14:textId="6B4A50A0" w:rsidR="00720F0E" w:rsidRPr="00986221" w:rsidRDefault="00720F0E" w:rsidP="005A6DE3">
      <w:pPr>
        <w:pStyle w:val="ListParagraph"/>
      </w:pPr>
      <w:r w:rsidRPr="00986221">
        <w:t xml:space="preserve">The </w:t>
      </w:r>
      <w:r w:rsidR="00AC521A" w:rsidRPr="00986221">
        <w:t>GoV</w:t>
      </w:r>
      <w:r w:rsidRPr="00986221">
        <w:t xml:space="preserve"> may request the GOA to undertake specific procurement action on behalf of the program.</w:t>
      </w:r>
    </w:p>
    <w:p w14:paraId="53AE02FD" w14:textId="5964DC56" w:rsidR="00720F0E" w:rsidRPr="00986221" w:rsidRDefault="00AC521A" w:rsidP="005A6DE3">
      <w:pPr>
        <w:pStyle w:val="ListParagraph"/>
      </w:pPr>
      <w:r w:rsidRPr="00986221">
        <w:t xml:space="preserve">The </w:t>
      </w:r>
      <w:r w:rsidR="00D545EA" w:rsidRPr="00986221">
        <w:t>PCU</w:t>
      </w:r>
      <w:r w:rsidR="00720F0E" w:rsidRPr="00986221">
        <w:t xml:space="preserve"> shall be responsible for:</w:t>
      </w:r>
    </w:p>
    <w:p w14:paraId="2E1C06A2" w14:textId="32D60B3E" w:rsidR="00720F0E" w:rsidRPr="00986221" w:rsidRDefault="00720F0E" w:rsidP="005A6DE3">
      <w:pPr>
        <w:pStyle w:val="ListParagraphindent"/>
      </w:pPr>
      <w:r w:rsidRPr="00986221">
        <w:t xml:space="preserve">Provide procurement advice to the </w:t>
      </w:r>
      <w:r w:rsidR="00DC7055" w:rsidRPr="00986221">
        <w:t>staff of program beneficiary agencies</w:t>
      </w:r>
    </w:p>
    <w:p w14:paraId="78EFD6BC" w14:textId="5C83E84E" w:rsidR="00720F0E" w:rsidRPr="00986221" w:rsidRDefault="00720F0E" w:rsidP="005A6DE3">
      <w:pPr>
        <w:pStyle w:val="ListParagraphindent"/>
      </w:pPr>
      <w:r w:rsidRPr="00986221">
        <w:t>Review</w:t>
      </w:r>
      <w:r w:rsidR="00DC7055" w:rsidRPr="00986221">
        <w:t>ing</w:t>
      </w:r>
      <w:r w:rsidRPr="00986221">
        <w:t xml:space="preserve"> procurement practices and provide advice for improvement as required;</w:t>
      </w:r>
    </w:p>
    <w:p w14:paraId="4B73EE59" w14:textId="591087CD" w:rsidR="00DC7055" w:rsidRPr="00986221" w:rsidRDefault="00DC7055" w:rsidP="005A6DE3">
      <w:pPr>
        <w:pStyle w:val="ListParagraphindent"/>
      </w:pPr>
      <w:r w:rsidRPr="00986221">
        <w:t xml:space="preserve">Advising the </w:t>
      </w:r>
      <w:r w:rsidR="002E4746" w:rsidRPr="00986221">
        <w:t>PD</w:t>
      </w:r>
      <w:r w:rsidRPr="00986221">
        <w:t xml:space="preserve"> and DFAT of any concerns regarding procurement practices.</w:t>
      </w:r>
    </w:p>
    <w:p w14:paraId="599C9A07" w14:textId="77777777" w:rsidR="00933704" w:rsidRPr="00986221" w:rsidRDefault="00933704" w:rsidP="000221A3">
      <w:pPr>
        <w:pStyle w:val="Heading2"/>
        <w:ind w:left="426"/>
      </w:pPr>
      <w:bookmarkStart w:id="38" w:name="_Toc387322656"/>
      <w:r w:rsidRPr="00986221">
        <w:t>Monitoring and Evaluation (M&amp;E)</w:t>
      </w:r>
      <w:bookmarkEnd w:id="38"/>
    </w:p>
    <w:p w14:paraId="56DB35D6" w14:textId="77777777" w:rsidR="00A73CB8" w:rsidRPr="00986221" w:rsidRDefault="00A73CB8" w:rsidP="00A73CB8">
      <w:pPr>
        <w:rPr>
          <w:lang w:eastAsia="en-AU"/>
        </w:rPr>
      </w:pPr>
    </w:p>
    <w:p w14:paraId="571517A3" w14:textId="0F092B8A" w:rsidR="00070FEE" w:rsidRPr="00986221" w:rsidRDefault="00AB21D7" w:rsidP="000221A3">
      <w:pPr>
        <w:pStyle w:val="ListParagraph"/>
      </w:pPr>
      <w:r w:rsidRPr="00986221">
        <w:t>T</w:t>
      </w:r>
      <w:r w:rsidR="00070FEE" w:rsidRPr="00986221">
        <w:t xml:space="preserve">he M&amp;E framework serves as an important learning and accountability tool to DFAT and its partners, </w:t>
      </w:r>
      <w:r w:rsidRPr="00986221">
        <w:t>and the data</w:t>
      </w:r>
      <w:r w:rsidR="00070FEE" w:rsidRPr="00986221">
        <w:t xml:space="preserve"> collect and </w:t>
      </w:r>
      <w:proofErr w:type="spellStart"/>
      <w:r w:rsidR="00FD33ED" w:rsidRPr="00986221">
        <w:t>analyze</w:t>
      </w:r>
      <w:r w:rsidRPr="00986221">
        <w:t>d</w:t>
      </w:r>
      <w:proofErr w:type="spellEnd"/>
      <w:r w:rsidR="00070FEE" w:rsidRPr="00986221">
        <w:t xml:space="preserve"> data will be </w:t>
      </w:r>
      <w:r w:rsidR="003F3CDE" w:rsidRPr="00986221">
        <w:t>contribute to</w:t>
      </w:r>
      <w:r w:rsidRPr="00986221">
        <w:t xml:space="preserve"> the evidence-based decision </w:t>
      </w:r>
      <w:r w:rsidR="00070FEE" w:rsidRPr="00986221">
        <w:t xml:space="preserve">making process to improve </w:t>
      </w:r>
      <w:r w:rsidR="00FD33ED" w:rsidRPr="00986221">
        <w:t>program</w:t>
      </w:r>
      <w:r w:rsidR="00070FEE" w:rsidRPr="00986221">
        <w:t xml:space="preserve"> perfor</w:t>
      </w:r>
      <w:r w:rsidR="00FD33ED" w:rsidRPr="00986221">
        <w:t xml:space="preserve">mance and to </w:t>
      </w:r>
      <w:r w:rsidRPr="00986221">
        <w:t>further strengthen the</w:t>
      </w:r>
      <w:r w:rsidR="00070FEE" w:rsidRPr="00986221">
        <w:t xml:space="preserve"> basis for evidence-based policy advocacy and dialogue with relevant stakeholders at central and local level. The M&amp;E framework will also help with testing the program theory of change and </w:t>
      </w:r>
      <w:r w:rsidR="003F3CDE" w:rsidRPr="00986221">
        <w:t>verifying key</w:t>
      </w:r>
      <w:r w:rsidR="00070FEE" w:rsidRPr="00986221">
        <w:t xml:space="preserve"> assumptions. This will require an on-going effort in data collection, management, analysis and effective use of that analysis.</w:t>
      </w:r>
    </w:p>
    <w:p w14:paraId="3EF5E645" w14:textId="08CED71D" w:rsidR="000A3A60" w:rsidRPr="00986221" w:rsidRDefault="00070FEE" w:rsidP="007904CA">
      <w:pPr>
        <w:ind w:left="426"/>
        <w:rPr>
          <w:b/>
        </w:rPr>
      </w:pPr>
      <w:r w:rsidRPr="00986221">
        <w:rPr>
          <w:b/>
        </w:rPr>
        <w:t>What to be monitored and evaluated?</w:t>
      </w:r>
    </w:p>
    <w:p w14:paraId="7214AED2" w14:textId="77777777" w:rsidR="0007137C" w:rsidRPr="00986221" w:rsidRDefault="0007137C" w:rsidP="007904CA">
      <w:pPr>
        <w:ind w:left="426"/>
        <w:rPr>
          <w:b/>
        </w:rPr>
      </w:pPr>
    </w:p>
    <w:p w14:paraId="2495D753" w14:textId="32ACA158" w:rsidR="00070FEE" w:rsidRPr="00986221" w:rsidRDefault="00070FEE" w:rsidP="000221A3">
      <w:pPr>
        <w:pStyle w:val="ListParagraph"/>
      </w:pPr>
      <w:r w:rsidRPr="00986221">
        <w:t xml:space="preserve">The program </w:t>
      </w:r>
      <w:r w:rsidR="004B3730" w:rsidRPr="00986221">
        <w:t xml:space="preserve">plans to </w:t>
      </w:r>
      <w:r w:rsidRPr="00986221">
        <w:t>deliver 10 outputs under 3 components</w:t>
      </w:r>
      <w:r w:rsidR="004B3730" w:rsidRPr="00986221">
        <w:t xml:space="preserve"> implemented by</w:t>
      </w:r>
      <w:r w:rsidRPr="00986221">
        <w:t xml:space="preserve"> CIEM, VCA and IPSARD. </w:t>
      </w:r>
      <w:r w:rsidR="007904CA" w:rsidRPr="00986221">
        <w:t>T</w:t>
      </w:r>
      <w:r w:rsidRPr="00986221">
        <w:t xml:space="preserve">hose outputs would contribute to the end of program outcomes </w:t>
      </w:r>
      <w:r w:rsidR="004B3730" w:rsidRPr="00986221">
        <w:t>by</w:t>
      </w:r>
      <w:r w:rsidRPr="00986221">
        <w:t xml:space="preserve"> stimulat</w:t>
      </w:r>
      <w:r w:rsidR="004B3730" w:rsidRPr="00986221">
        <w:t>ing</w:t>
      </w:r>
      <w:r w:rsidRPr="00986221">
        <w:t xml:space="preserve"> behavioural changes in Go</w:t>
      </w:r>
      <w:r w:rsidR="00CD14EA" w:rsidRPr="00986221">
        <w:t>V</w:t>
      </w:r>
      <w:r w:rsidRPr="00986221">
        <w:t xml:space="preserve"> </w:t>
      </w:r>
      <w:r w:rsidR="004B3730" w:rsidRPr="00986221">
        <w:t xml:space="preserve">and other </w:t>
      </w:r>
      <w:r w:rsidRPr="00986221">
        <w:t>institutions. Expected outputs, end of program outcomes will be monitored and evaluated under agreed timeline</w:t>
      </w:r>
      <w:r w:rsidR="007904CA" w:rsidRPr="00986221">
        <w:t>s</w:t>
      </w:r>
      <w:r w:rsidRPr="00986221">
        <w:t xml:space="preserve"> with the support of a set of relevant indicators as detailed in the </w:t>
      </w:r>
      <w:r w:rsidR="000A3A60" w:rsidRPr="00986221">
        <w:t>program logical</w:t>
      </w:r>
      <w:r w:rsidRPr="00986221">
        <w:t xml:space="preserve"> framework </w:t>
      </w:r>
      <w:r w:rsidR="000A3A60" w:rsidRPr="00986221">
        <w:t xml:space="preserve">matrix </w:t>
      </w:r>
      <w:r w:rsidRPr="00986221">
        <w:t xml:space="preserve">under </w:t>
      </w:r>
      <w:r w:rsidRPr="00986221">
        <w:rPr>
          <w:b/>
          <w:u w:val="single"/>
        </w:rPr>
        <w:t>Appendix 1-M&amp;E framework</w:t>
      </w:r>
      <w:r w:rsidRPr="00986221">
        <w:t>.</w:t>
      </w:r>
    </w:p>
    <w:p w14:paraId="2372424D" w14:textId="281FF5C2" w:rsidR="00070FEE" w:rsidRPr="00986221" w:rsidRDefault="000A3A60" w:rsidP="000221A3">
      <w:pPr>
        <w:pStyle w:val="ListParagraph"/>
      </w:pPr>
      <w:r w:rsidRPr="00986221">
        <w:t>The program and program components will be required to report on progress towards relevant outputs and outcomes indicators on a</w:t>
      </w:r>
      <w:r w:rsidR="00070FEE" w:rsidRPr="00986221">
        <w:t xml:space="preserve"> quarterly, six monthly</w:t>
      </w:r>
      <w:r w:rsidRPr="00986221">
        <w:t xml:space="preserve">, </w:t>
      </w:r>
      <w:r w:rsidR="00070FEE" w:rsidRPr="00986221">
        <w:t>annual</w:t>
      </w:r>
      <w:r w:rsidRPr="00986221">
        <w:t xml:space="preserve"> </w:t>
      </w:r>
      <w:proofErr w:type="gramStart"/>
      <w:r w:rsidRPr="00986221">
        <w:t>basis</w:t>
      </w:r>
      <w:proofErr w:type="gramEnd"/>
      <w:r w:rsidRPr="00986221">
        <w:t xml:space="preserve"> and at program completion.</w:t>
      </w:r>
      <w:r w:rsidR="00070FEE" w:rsidRPr="00986221">
        <w:t xml:space="preserve"> </w:t>
      </w:r>
      <w:r w:rsidR="0000471D" w:rsidRPr="00986221">
        <w:t>An i</w:t>
      </w:r>
      <w:r w:rsidR="00070FEE" w:rsidRPr="00986221">
        <w:t>ndependent evaluation of the program is scheduled for late 2015.</w:t>
      </w:r>
    </w:p>
    <w:p w14:paraId="716651D2" w14:textId="77777777" w:rsidR="00070FEE" w:rsidRPr="00986221" w:rsidRDefault="00070FEE" w:rsidP="000221A3">
      <w:pPr>
        <w:ind w:left="426"/>
        <w:rPr>
          <w:b/>
        </w:rPr>
      </w:pPr>
      <w:r w:rsidRPr="00986221">
        <w:rPr>
          <w:b/>
        </w:rPr>
        <w:t xml:space="preserve">M&amp;E’s roles and responsibilities </w:t>
      </w:r>
    </w:p>
    <w:p w14:paraId="1AEED12C" w14:textId="77777777" w:rsidR="00A73CB8" w:rsidRPr="00986221" w:rsidRDefault="00A73CB8" w:rsidP="000221A3">
      <w:pPr>
        <w:ind w:left="426"/>
        <w:rPr>
          <w:b/>
        </w:rPr>
      </w:pPr>
    </w:p>
    <w:p w14:paraId="7D5DDAEC" w14:textId="13FE2900" w:rsidR="00070FEE" w:rsidRPr="00986221" w:rsidRDefault="00C8584C" w:rsidP="000221A3">
      <w:pPr>
        <w:pStyle w:val="ListParagraph"/>
      </w:pPr>
      <w:r w:rsidRPr="00986221">
        <w:t>M</w:t>
      </w:r>
      <w:r w:rsidR="000A3A60" w:rsidRPr="00986221">
        <w:t xml:space="preserve">onitoring </w:t>
      </w:r>
      <w:r w:rsidR="00070FEE" w:rsidRPr="00986221">
        <w:t xml:space="preserve">arrangements are broken down by program and component level. </w:t>
      </w:r>
    </w:p>
    <w:p w14:paraId="14A496D5" w14:textId="5B7668DC" w:rsidR="00070FEE" w:rsidRPr="00986221" w:rsidRDefault="00070FEE" w:rsidP="001F3BBE">
      <w:pPr>
        <w:pStyle w:val="ListParagraphindent"/>
      </w:pPr>
      <w:r w:rsidRPr="00986221">
        <w:t xml:space="preserve">At component level: </w:t>
      </w:r>
      <w:r w:rsidR="00DC0585" w:rsidRPr="00986221">
        <w:t>I</w:t>
      </w:r>
      <w:r w:rsidRPr="00986221">
        <w:t xml:space="preserve">mplementing agencies will be responsible for the collection, quality assurance and analysis of monitoring data for their respective components. </w:t>
      </w:r>
      <w:r w:rsidR="008675F1" w:rsidRPr="00986221">
        <w:t>The following</w:t>
      </w:r>
      <w:r w:rsidRPr="00986221">
        <w:t xml:space="preserve"> monitoring reports will be provided to the </w:t>
      </w:r>
      <w:r w:rsidR="00485FC2" w:rsidRPr="00986221">
        <w:t>PCU</w:t>
      </w:r>
      <w:r w:rsidRPr="00986221">
        <w:t xml:space="preserve"> </w:t>
      </w:r>
      <w:r w:rsidR="008675F1" w:rsidRPr="00986221">
        <w:t>each year</w:t>
      </w:r>
      <w:r w:rsidRPr="00986221">
        <w:t xml:space="preserve">: </w:t>
      </w:r>
    </w:p>
    <w:p w14:paraId="7515EE80" w14:textId="594E5F16" w:rsidR="008675F1" w:rsidRPr="00986221" w:rsidRDefault="008675F1" w:rsidP="001F3BBE">
      <w:pPr>
        <w:pStyle w:val="ListParagraphindent2"/>
      </w:pPr>
      <w:r w:rsidRPr="00986221">
        <w:t>Monthly financial reports</w:t>
      </w:r>
    </w:p>
    <w:p w14:paraId="093B300A" w14:textId="24BAB382" w:rsidR="00070FEE" w:rsidRPr="00986221" w:rsidRDefault="00070FEE" w:rsidP="001F3BBE">
      <w:pPr>
        <w:pStyle w:val="ListParagraphindent2"/>
      </w:pPr>
      <w:r w:rsidRPr="00986221">
        <w:t>Two quarterly reports for the first and the third quarter</w:t>
      </w:r>
      <w:r w:rsidR="001F3BBE" w:rsidRPr="00986221">
        <w:t>.</w:t>
      </w:r>
    </w:p>
    <w:p w14:paraId="3EAEAE20" w14:textId="647CB707" w:rsidR="00070FEE" w:rsidRPr="00986221" w:rsidRDefault="00070FEE" w:rsidP="001F3BBE">
      <w:pPr>
        <w:pStyle w:val="ListParagraphindent2"/>
      </w:pPr>
      <w:r w:rsidRPr="00986221">
        <w:t>One six monthly r</w:t>
      </w:r>
      <w:r w:rsidR="001F3BBE" w:rsidRPr="00986221">
        <w:t>eport.</w:t>
      </w:r>
    </w:p>
    <w:p w14:paraId="4E5AC7D5" w14:textId="1F867A1C" w:rsidR="00070FEE" w:rsidRPr="00986221" w:rsidRDefault="00070FEE" w:rsidP="001F3BBE">
      <w:pPr>
        <w:pStyle w:val="ListParagraphindent2"/>
      </w:pPr>
      <w:r w:rsidRPr="00986221">
        <w:t>One annual report</w:t>
      </w:r>
      <w:r w:rsidR="001F3BBE" w:rsidRPr="00986221">
        <w:t>.</w:t>
      </w:r>
    </w:p>
    <w:p w14:paraId="0BB117CA" w14:textId="42758483" w:rsidR="00070FEE" w:rsidRPr="00986221" w:rsidRDefault="00070FEE" w:rsidP="000221A3">
      <w:pPr>
        <w:pStyle w:val="ListParagraph"/>
        <w:numPr>
          <w:ilvl w:val="0"/>
          <w:numId w:val="0"/>
        </w:numPr>
        <w:ind w:left="1080"/>
      </w:pPr>
      <w:r w:rsidRPr="00986221">
        <w:t xml:space="preserve">The </w:t>
      </w:r>
      <w:r w:rsidR="008675F1" w:rsidRPr="00986221">
        <w:t>implementing agencies</w:t>
      </w:r>
      <w:r w:rsidRPr="00986221">
        <w:t xml:space="preserve"> will be responsible for timely submission of </w:t>
      </w:r>
      <w:r w:rsidR="008675F1" w:rsidRPr="00986221">
        <w:t xml:space="preserve">financial </w:t>
      </w:r>
      <w:r w:rsidRPr="00986221">
        <w:t xml:space="preserve">reports, overseeing the effective implementation of the M&amp;E, </w:t>
      </w:r>
      <w:r w:rsidR="00275CE7" w:rsidRPr="00986221">
        <w:t xml:space="preserve">and </w:t>
      </w:r>
      <w:r w:rsidRPr="00986221">
        <w:t xml:space="preserve">undertaking quality checks on the monitoring reports by each agency. Each agency will submit to the </w:t>
      </w:r>
      <w:r w:rsidR="00485FC2" w:rsidRPr="00986221">
        <w:t>PCU</w:t>
      </w:r>
      <w:r w:rsidRPr="00986221">
        <w:t xml:space="preserve"> a fina</w:t>
      </w:r>
      <w:r w:rsidR="001F3BBE" w:rsidRPr="00986221">
        <w:t>l component completion report prior to</w:t>
      </w:r>
      <w:r w:rsidRPr="00986221">
        <w:t xml:space="preserve"> </w:t>
      </w:r>
      <w:r w:rsidR="001F3BBE" w:rsidRPr="00986221">
        <w:t>program completion</w:t>
      </w:r>
      <w:r w:rsidRPr="00986221">
        <w:t xml:space="preserve">. </w:t>
      </w:r>
    </w:p>
    <w:p w14:paraId="23EA58F5" w14:textId="31697BF1" w:rsidR="00070FEE" w:rsidRPr="00986221" w:rsidRDefault="00070FEE" w:rsidP="001F3BBE">
      <w:pPr>
        <w:pStyle w:val="ListParagraphindent"/>
      </w:pPr>
      <w:r w:rsidRPr="00986221">
        <w:t>At</w:t>
      </w:r>
      <w:r w:rsidR="00275CE7" w:rsidRPr="00986221">
        <w:t xml:space="preserve"> the</w:t>
      </w:r>
      <w:r w:rsidRPr="00986221">
        <w:t xml:space="preserve"> program level: </w:t>
      </w:r>
      <w:r w:rsidR="00974262" w:rsidRPr="00986221">
        <w:t xml:space="preserve">the </w:t>
      </w:r>
      <w:r w:rsidR="00485FC2" w:rsidRPr="00986221">
        <w:t>PCU</w:t>
      </w:r>
      <w:r w:rsidR="00974262" w:rsidRPr="00986221">
        <w:t xml:space="preserve"> will be responsible for preparation and quality assurance of </w:t>
      </w:r>
      <w:r w:rsidRPr="00986221">
        <w:t>RCV’s consolidated</w:t>
      </w:r>
      <w:r w:rsidR="003021E4" w:rsidRPr="00986221">
        <w:rPr>
          <w:rStyle w:val="FootnoteReference"/>
        </w:rPr>
        <w:footnoteReference w:id="27"/>
      </w:r>
      <w:r w:rsidRPr="00986221">
        <w:t xml:space="preserve"> quarterly, six-monthly, annual monitoring report and final program completion report </w:t>
      </w:r>
      <w:r w:rsidR="003021E4" w:rsidRPr="00986221">
        <w:t xml:space="preserve">and </w:t>
      </w:r>
      <w:r w:rsidR="00485FC2" w:rsidRPr="00986221">
        <w:t>PCU</w:t>
      </w:r>
      <w:r w:rsidR="00E07157">
        <w:t xml:space="preserve"> </w:t>
      </w:r>
      <w:r w:rsidRPr="00986221">
        <w:t>submitt</w:t>
      </w:r>
      <w:r w:rsidR="003021E4" w:rsidRPr="00986221">
        <w:t>ing these reports</w:t>
      </w:r>
      <w:r w:rsidRPr="00986221">
        <w:t xml:space="preserve"> to </w:t>
      </w:r>
      <w:r w:rsidR="00275CE7" w:rsidRPr="00986221">
        <w:t xml:space="preserve">the </w:t>
      </w:r>
      <w:r w:rsidR="002E4746" w:rsidRPr="00986221">
        <w:t>PD</w:t>
      </w:r>
      <w:r w:rsidRPr="00986221">
        <w:t xml:space="preserve"> and DFAT. </w:t>
      </w:r>
    </w:p>
    <w:p w14:paraId="3091F12D" w14:textId="36C4AB09" w:rsidR="00070FEE" w:rsidRPr="00986221" w:rsidRDefault="003021E4" w:rsidP="000221A3">
      <w:pPr>
        <w:pStyle w:val="ListParagraph"/>
      </w:pPr>
      <w:r w:rsidRPr="00986221">
        <w:t>T</w:t>
      </w:r>
      <w:r w:rsidR="00275CE7" w:rsidRPr="00986221">
        <w:t xml:space="preserve">he </w:t>
      </w:r>
      <w:r w:rsidR="00485FC2" w:rsidRPr="00986221">
        <w:t>PCU</w:t>
      </w:r>
      <w:r w:rsidRPr="00986221">
        <w:t xml:space="preserve"> will manage the </w:t>
      </w:r>
      <w:r w:rsidR="00275CE7" w:rsidRPr="00986221">
        <w:t>i</w:t>
      </w:r>
      <w:r w:rsidR="00461777" w:rsidRPr="00986221">
        <w:t>n</w:t>
      </w:r>
      <w:r w:rsidR="00070FEE" w:rsidRPr="00986221">
        <w:t xml:space="preserve">dependent evaluation </w:t>
      </w:r>
      <w:r w:rsidR="00485FC2" w:rsidRPr="00986221">
        <w:t>PCU</w:t>
      </w:r>
      <w:r w:rsidR="00E07157">
        <w:t xml:space="preserve"> </w:t>
      </w:r>
      <w:r w:rsidR="00070FEE" w:rsidRPr="00986221">
        <w:t>with technical and financial support from DFAT</w:t>
      </w:r>
      <w:proofErr w:type="gramStart"/>
      <w:r w:rsidR="00D82455" w:rsidRPr="00986221">
        <w:t>.</w:t>
      </w:r>
      <w:r w:rsidR="00070FEE" w:rsidRPr="00986221">
        <w:t>.</w:t>
      </w:r>
      <w:proofErr w:type="gramEnd"/>
    </w:p>
    <w:p w14:paraId="5A1D1C3E" w14:textId="544ADF66" w:rsidR="000A3A60" w:rsidRPr="00986221" w:rsidRDefault="00D82455" w:rsidP="000221A3">
      <w:pPr>
        <w:pStyle w:val="ListParagraph"/>
      </w:pPr>
      <w:r w:rsidRPr="00986221">
        <w:t xml:space="preserve">Quarterly and annual </w:t>
      </w:r>
      <w:r w:rsidR="000A3A60" w:rsidRPr="00986221">
        <w:t>report</w:t>
      </w:r>
      <w:r w:rsidRPr="00986221">
        <w:t>ing format</w:t>
      </w:r>
      <w:r w:rsidR="000A3A60" w:rsidRPr="00986221">
        <w:t xml:space="preserve">s will be </w:t>
      </w:r>
      <w:r w:rsidRPr="00986221">
        <w:t xml:space="preserve">specified </w:t>
      </w:r>
      <w:r w:rsidR="000A3A60" w:rsidRPr="00986221">
        <w:t xml:space="preserve">in the Program Operational Manual and updated from time to time as requested </w:t>
      </w:r>
      <w:r w:rsidR="006E2133" w:rsidRPr="00986221">
        <w:t>under</w:t>
      </w:r>
      <w:r w:rsidR="000A3A60" w:rsidRPr="00986221">
        <w:t xml:space="preserve"> </w:t>
      </w:r>
      <w:r w:rsidR="006E2133" w:rsidRPr="00986221">
        <w:t xml:space="preserve">GoV ODA, and DFAT, </w:t>
      </w:r>
      <w:r w:rsidR="000A3A60" w:rsidRPr="00986221">
        <w:t>regulation</w:t>
      </w:r>
      <w:r w:rsidR="006E2133" w:rsidRPr="00986221">
        <w:t>s</w:t>
      </w:r>
      <w:r w:rsidR="000A3A60" w:rsidRPr="00986221">
        <w:t xml:space="preserve">. </w:t>
      </w:r>
    </w:p>
    <w:p w14:paraId="4519AAD9" w14:textId="28922036" w:rsidR="005A2E04" w:rsidRPr="00986221" w:rsidRDefault="00461777" w:rsidP="000221A3">
      <w:pPr>
        <w:pStyle w:val="ListParagraph"/>
      </w:pPr>
      <w:r w:rsidRPr="00986221">
        <w:t>Implementing agencies will submit i</w:t>
      </w:r>
      <w:r w:rsidR="005A2E04" w:rsidRPr="00986221">
        <w:t xml:space="preserve">nterim and final versions of all RCV supported studies, reports, training material, training evaluation reports, and other </w:t>
      </w:r>
      <w:r w:rsidR="00EE6F8F" w:rsidRPr="00986221">
        <w:t xml:space="preserve">relevant </w:t>
      </w:r>
      <w:r w:rsidR="005A2E04" w:rsidRPr="00986221">
        <w:t xml:space="preserve">outputs to the </w:t>
      </w:r>
      <w:r w:rsidR="00485FC2" w:rsidRPr="00986221">
        <w:t>PCU</w:t>
      </w:r>
      <w:r w:rsidR="005A2E04" w:rsidRPr="00986221">
        <w:t xml:space="preserve"> in a timely manner to facilitate knowledge </w:t>
      </w:r>
      <w:r w:rsidRPr="00986221">
        <w:t>management and dissemination</w:t>
      </w:r>
      <w:r w:rsidR="005A2E04" w:rsidRPr="00986221">
        <w:t>.</w:t>
      </w:r>
    </w:p>
    <w:p w14:paraId="69DE0CC2" w14:textId="77777777" w:rsidR="00070FEE" w:rsidRPr="00986221" w:rsidRDefault="00070FEE" w:rsidP="000221A3">
      <w:pPr>
        <w:ind w:left="426"/>
        <w:rPr>
          <w:b/>
        </w:rPr>
      </w:pPr>
      <w:r w:rsidRPr="00986221">
        <w:rPr>
          <w:b/>
        </w:rPr>
        <w:t xml:space="preserve">M&amp;E resources </w:t>
      </w:r>
    </w:p>
    <w:p w14:paraId="3BE2E6B8" w14:textId="77777777" w:rsidR="000A3A60" w:rsidRPr="00986221" w:rsidRDefault="000A3A60" w:rsidP="00F42E86">
      <w:pPr>
        <w:rPr>
          <w:b/>
        </w:rPr>
      </w:pPr>
    </w:p>
    <w:p w14:paraId="069C5E46" w14:textId="072DC2BF" w:rsidR="00070FEE" w:rsidRPr="00986221" w:rsidRDefault="00070FEE" w:rsidP="000221A3">
      <w:pPr>
        <w:pStyle w:val="ListParagraph"/>
      </w:pPr>
      <w:r w:rsidRPr="00986221">
        <w:t xml:space="preserve">The </w:t>
      </w:r>
      <w:r w:rsidR="00F42E86" w:rsidRPr="00986221">
        <w:t>lack</w:t>
      </w:r>
      <w:r w:rsidRPr="00986221">
        <w:t xml:space="preserve"> of permanent M&amp;E staff is a challenge for effective M&amp;E. </w:t>
      </w:r>
      <w:r w:rsidR="00485FC2" w:rsidRPr="00986221">
        <w:t>SPC-</w:t>
      </w:r>
      <w:proofErr w:type="spellStart"/>
      <w:r w:rsidR="00485FC2" w:rsidRPr="00986221">
        <w:t>EPCU</w:t>
      </w:r>
      <w:r w:rsidR="00EB2724" w:rsidRPr="00986221">
        <w:t>I</w:t>
      </w:r>
      <w:r w:rsidRPr="00986221">
        <w:t>mplementing</w:t>
      </w:r>
      <w:proofErr w:type="spellEnd"/>
      <w:r w:rsidRPr="00986221">
        <w:t xml:space="preserve"> agencies will draw on their in-house M&amp;E expertise</w:t>
      </w:r>
      <w:r w:rsidR="00F42E86" w:rsidRPr="00986221">
        <w:t>,</w:t>
      </w:r>
      <w:r w:rsidRPr="00986221">
        <w:t xml:space="preserve"> with pos</w:t>
      </w:r>
      <w:r w:rsidR="00F42E86" w:rsidRPr="00986221">
        <w:t>sible capacity building support</w:t>
      </w:r>
      <w:r w:rsidRPr="00986221">
        <w:t xml:space="preserve"> from </w:t>
      </w:r>
      <w:r w:rsidR="00F42E86" w:rsidRPr="00986221">
        <w:t xml:space="preserve">the </w:t>
      </w:r>
      <w:r w:rsidR="000A3A60" w:rsidRPr="00986221">
        <w:t xml:space="preserve">DFAT </w:t>
      </w:r>
      <w:r w:rsidRPr="00986221">
        <w:t>Aid Effectiveness team.</w:t>
      </w:r>
      <w:r w:rsidR="00EB2724" w:rsidRPr="00986221">
        <w:t xml:space="preserve"> Overall program level responsibility for M&amp;E rests with the </w:t>
      </w:r>
      <w:r w:rsidR="00485FC2" w:rsidRPr="00986221">
        <w:t>PCU</w:t>
      </w:r>
      <w:r w:rsidR="00EB2724" w:rsidRPr="00986221">
        <w:t>.</w:t>
      </w:r>
    </w:p>
    <w:p w14:paraId="37D95735" w14:textId="77777777" w:rsidR="00070FEE" w:rsidRPr="00986221" w:rsidRDefault="00070FEE" w:rsidP="000221A3">
      <w:pPr>
        <w:pStyle w:val="ListParagraph"/>
      </w:pPr>
      <w:r w:rsidRPr="00986221">
        <w:t>Specific tool will be used to support the monitoring task including:</w:t>
      </w:r>
    </w:p>
    <w:p w14:paraId="27F35370" w14:textId="333557AE" w:rsidR="00070FEE" w:rsidRPr="00986221" w:rsidRDefault="00070FEE" w:rsidP="001F3BBE">
      <w:pPr>
        <w:pStyle w:val="ListParagraphindent"/>
      </w:pPr>
      <w:r w:rsidRPr="00986221">
        <w:t>Peer review process</w:t>
      </w:r>
      <w:r w:rsidR="00E00D5A" w:rsidRPr="00986221">
        <w:t>.</w:t>
      </w:r>
    </w:p>
    <w:p w14:paraId="3CD4B898" w14:textId="52CD90B5" w:rsidR="00070FEE" w:rsidRPr="00986221" w:rsidRDefault="00070FEE" w:rsidP="001F3BBE">
      <w:pPr>
        <w:pStyle w:val="ListParagraphindent"/>
      </w:pPr>
      <w:r w:rsidRPr="00986221">
        <w:t>Feedback mechanism to assess the qualit</w:t>
      </w:r>
      <w:r w:rsidR="00E00D5A" w:rsidRPr="00986221">
        <w:t>y and relevance of investments.</w:t>
      </w:r>
    </w:p>
    <w:p w14:paraId="47BA6EF1" w14:textId="66B4DE16" w:rsidR="00070FEE" w:rsidRPr="00986221" w:rsidRDefault="00E00D5A" w:rsidP="001F3BBE">
      <w:pPr>
        <w:pStyle w:val="ListParagraphindent"/>
      </w:pPr>
      <w:r w:rsidRPr="00986221">
        <w:t>Beneficiary feedback processes following the delivery of all outputs.</w:t>
      </w:r>
    </w:p>
    <w:p w14:paraId="563EF794" w14:textId="43B8E814" w:rsidR="00070FEE" w:rsidRPr="00986221" w:rsidRDefault="00890412" w:rsidP="001F3BBE">
      <w:pPr>
        <w:pStyle w:val="ListParagraphindent"/>
      </w:pPr>
      <w:r w:rsidRPr="00986221">
        <w:t>M</w:t>
      </w:r>
      <w:r w:rsidR="00070FEE" w:rsidRPr="00986221">
        <w:t>edia clipping</w:t>
      </w:r>
      <w:r w:rsidRPr="00986221">
        <w:t xml:space="preserve"> and analysis</w:t>
      </w:r>
      <w:r w:rsidR="00E00D5A" w:rsidRPr="00986221">
        <w:t>.</w:t>
      </w:r>
    </w:p>
    <w:p w14:paraId="62AE608A" w14:textId="0194D230" w:rsidR="000A3A60" w:rsidRPr="00986221" w:rsidRDefault="00070FEE" w:rsidP="00852F6F">
      <w:pPr>
        <w:ind w:left="426"/>
        <w:rPr>
          <w:b/>
        </w:rPr>
      </w:pPr>
      <w:r w:rsidRPr="00986221">
        <w:rPr>
          <w:b/>
        </w:rPr>
        <w:t>Knowledge and communication management</w:t>
      </w:r>
    </w:p>
    <w:p w14:paraId="11B40E0D" w14:textId="5FF8BB34" w:rsidR="000A3A60" w:rsidRPr="00986221" w:rsidRDefault="00890412" w:rsidP="000221A3">
      <w:pPr>
        <w:pStyle w:val="ListParagraph"/>
      </w:pPr>
      <w:r w:rsidRPr="00986221">
        <w:t>A greater emphasis on communication and knowledge sharing will help increasing pressure and incentives to strengthen</w:t>
      </w:r>
      <w:r w:rsidR="00E00D5A" w:rsidRPr="00986221">
        <w:t xml:space="preserve"> the</w:t>
      </w:r>
      <w:r w:rsidRPr="00986221">
        <w:t xml:space="preserve"> measurement </w:t>
      </w:r>
      <w:r w:rsidR="00E00D5A" w:rsidRPr="00986221">
        <w:t xml:space="preserve">and reporting </w:t>
      </w:r>
      <w:r w:rsidRPr="00986221">
        <w:t>of results.</w:t>
      </w:r>
    </w:p>
    <w:p w14:paraId="29840585" w14:textId="6F913713" w:rsidR="00070FEE" w:rsidRPr="00986221" w:rsidRDefault="00070FEE" w:rsidP="000221A3">
      <w:pPr>
        <w:pStyle w:val="ListParagraph"/>
      </w:pPr>
      <w:r w:rsidRPr="00986221">
        <w:t xml:space="preserve">DFAT, </w:t>
      </w:r>
      <w:r w:rsidR="00485FC2" w:rsidRPr="00986221">
        <w:t>PCU</w:t>
      </w:r>
      <w:r w:rsidRPr="00986221">
        <w:t xml:space="preserve">, PCC and implementing partners </w:t>
      </w:r>
      <w:r w:rsidR="0031037F" w:rsidRPr="00986221">
        <w:t>will be able to</w:t>
      </w:r>
      <w:r w:rsidRPr="00986221">
        <w:t xml:space="preserve"> readily access the RCV’s performance information through </w:t>
      </w:r>
      <w:r w:rsidR="0031037F" w:rsidRPr="00986221">
        <w:t xml:space="preserve">both </w:t>
      </w:r>
      <w:r w:rsidRPr="00986221">
        <w:t xml:space="preserve">the </w:t>
      </w:r>
      <w:r w:rsidR="00485FC2" w:rsidRPr="00986221">
        <w:t>PCU</w:t>
      </w:r>
      <w:r w:rsidR="0031037F" w:rsidRPr="00986221">
        <w:t xml:space="preserve"> </w:t>
      </w:r>
      <w:r w:rsidRPr="00986221">
        <w:t xml:space="preserve">M&amp;E system </w:t>
      </w:r>
      <w:r w:rsidR="0031037F" w:rsidRPr="00986221">
        <w:t>and</w:t>
      </w:r>
      <w:r w:rsidRPr="00986221">
        <w:t xml:space="preserve"> the RCV website, which </w:t>
      </w:r>
      <w:r w:rsidR="0031037F" w:rsidRPr="00986221">
        <w:t>will be</w:t>
      </w:r>
      <w:r w:rsidRPr="00986221">
        <w:t xml:space="preserve"> integrated into the CIEM website and </w:t>
      </w:r>
      <w:r w:rsidR="0031037F" w:rsidRPr="00986221">
        <w:t>the websites of implementing partners</w:t>
      </w:r>
      <w:r w:rsidRPr="00986221">
        <w:t>.</w:t>
      </w:r>
    </w:p>
    <w:p w14:paraId="7FAF7539" w14:textId="455022C6" w:rsidR="000A3A60" w:rsidRPr="00986221" w:rsidRDefault="00D255FA" w:rsidP="00852F6F">
      <w:pPr>
        <w:ind w:left="426"/>
        <w:rPr>
          <w:b/>
        </w:rPr>
      </w:pPr>
      <w:r w:rsidRPr="00986221">
        <w:rPr>
          <w:b/>
        </w:rPr>
        <w:t>Inclusiveness</w:t>
      </w:r>
    </w:p>
    <w:p w14:paraId="1F29C386" w14:textId="2E52EDA2" w:rsidR="00070FEE" w:rsidRPr="00986221" w:rsidRDefault="00070FEE" w:rsidP="000221A3">
      <w:pPr>
        <w:pStyle w:val="ListParagraph"/>
      </w:pPr>
      <w:r w:rsidRPr="00986221">
        <w:t xml:space="preserve">The investment is not </w:t>
      </w:r>
      <w:r w:rsidR="00852F6F" w:rsidRPr="00986221">
        <w:t xml:space="preserve">a </w:t>
      </w:r>
      <w:r w:rsidRPr="00986221">
        <w:t>gender</w:t>
      </w:r>
      <w:r w:rsidR="00AB21E2" w:rsidRPr="00986221">
        <w:t>-</w:t>
      </w:r>
      <w:r w:rsidRPr="00986221">
        <w:t>focused intervention. However, whenever relevant and possible, monitoring data will be disaggregated by sex especially for training and capacity building.</w:t>
      </w:r>
      <w:r w:rsidR="00D255FA" w:rsidRPr="00986221">
        <w:t xml:space="preserve"> W</w:t>
      </w:r>
      <w:r w:rsidRPr="00986221">
        <w:t>henever</w:t>
      </w:r>
      <w:r w:rsidR="00D255FA" w:rsidRPr="00986221">
        <w:t xml:space="preserve"> relevant and available, </w:t>
      </w:r>
      <w:r w:rsidR="006052CD" w:rsidRPr="00986221">
        <w:t xml:space="preserve">analysis </w:t>
      </w:r>
      <w:r w:rsidR="00C73E0C" w:rsidRPr="00986221">
        <w:t xml:space="preserve">and reporting </w:t>
      </w:r>
      <w:r w:rsidR="006052CD" w:rsidRPr="00986221">
        <w:t xml:space="preserve">by </w:t>
      </w:r>
      <w:r w:rsidR="00D255FA" w:rsidRPr="00986221">
        <w:t>gender, ethnic minorities and rural</w:t>
      </w:r>
      <w:r w:rsidR="00C73E0C" w:rsidRPr="00986221">
        <w:t>/urban</w:t>
      </w:r>
      <w:r w:rsidR="00D255FA" w:rsidRPr="00986221">
        <w:t xml:space="preserve"> populations </w:t>
      </w:r>
      <w:r w:rsidRPr="00986221">
        <w:t xml:space="preserve">will be </w:t>
      </w:r>
      <w:r w:rsidR="006052CD" w:rsidRPr="00986221">
        <w:t>included in</w:t>
      </w:r>
      <w:r w:rsidRPr="00986221">
        <w:t xml:space="preserve"> </w:t>
      </w:r>
      <w:r w:rsidR="006052CD" w:rsidRPr="00986221">
        <w:t>studies aimed at developing</w:t>
      </w:r>
      <w:r w:rsidRPr="00986221">
        <w:t xml:space="preserve"> evidence-based policy </w:t>
      </w:r>
      <w:r w:rsidR="00D255FA" w:rsidRPr="00986221">
        <w:t>recommendation</w:t>
      </w:r>
      <w:r w:rsidR="00C73E0C" w:rsidRPr="00986221">
        <w:t>s, and i</w:t>
      </w:r>
      <w:r w:rsidR="006052CD" w:rsidRPr="00986221">
        <w:t>n</w:t>
      </w:r>
      <w:r w:rsidR="00D255FA" w:rsidRPr="00986221">
        <w:t xml:space="preserve"> </w:t>
      </w:r>
      <w:r w:rsidRPr="00986221">
        <w:t>advocacy</w:t>
      </w:r>
      <w:r w:rsidR="00C73E0C" w:rsidRPr="00986221">
        <w:t xml:space="preserve"> and M&amp;E activities</w:t>
      </w:r>
      <w:r w:rsidRPr="00986221">
        <w:t>.</w:t>
      </w:r>
      <w:r w:rsidR="00D255FA" w:rsidRPr="00986221">
        <w:t xml:space="preserve"> </w:t>
      </w:r>
    </w:p>
    <w:p w14:paraId="62DB4C44" w14:textId="77777777" w:rsidR="00933704" w:rsidRPr="00986221" w:rsidRDefault="00933704" w:rsidP="000221A3">
      <w:pPr>
        <w:pStyle w:val="Heading2"/>
        <w:ind w:left="426"/>
      </w:pPr>
      <w:bookmarkStart w:id="39" w:name="_Toc387322657"/>
      <w:r w:rsidRPr="00986221">
        <w:t>Sustainability</w:t>
      </w:r>
      <w:bookmarkEnd w:id="39"/>
    </w:p>
    <w:p w14:paraId="03672BAC" w14:textId="23CC2762" w:rsidR="00355A5F" w:rsidRPr="00986221" w:rsidRDefault="00287AC0" w:rsidP="000221A3">
      <w:pPr>
        <w:pStyle w:val="ListParagraph"/>
      </w:pPr>
      <w:r w:rsidRPr="00986221">
        <w:t xml:space="preserve">The key risk to both implementation and sustainability are: (a) the Government’s continuing commitment to implementing the economic reform program; and (b) </w:t>
      </w:r>
      <w:r w:rsidR="00394361" w:rsidRPr="00986221">
        <w:t xml:space="preserve">sustained progress in building national institutions needed to effectively implement reform and a market economic. </w:t>
      </w:r>
    </w:p>
    <w:p w14:paraId="1AC20C14" w14:textId="77777777" w:rsidR="00933704" w:rsidRPr="00986221" w:rsidRDefault="00933704" w:rsidP="000221A3">
      <w:pPr>
        <w:pStyle w:val="Heading2"/>
        <w:ind w:left="426"/>
      </w:pPr>
      <w:bookmarkStart w:id="40" w:name="_Toc387322658"/>
      <w:r w:rsidRPr="00986221">
        <w:t>Inclusiveness</w:t>
      </w:r>
      <w:bookmarkEnd w:id="40"/>
    </w:p>
    <w:p w14:paraId="0D83C285" w14:textId="3E732DC7" w:rsidR="001F5093" w:rsidRPr="00986221" w:rsidRDefault="00E73024" w:rsidP="000221A3">
      <w:pPr>
        <w:pStyle w:val="ListParagraph"/>
      </w:pPr>
      <w:r w:rsidRPr="00986221">
        <w:t>The program is designed to make the economic development process more inclusive. This is to be achieved by: (</w:t>
      </w:r>
      <w:proofErr w:type="spellStart"/>
      <w:r w:rsidRPr="00986221">
        <w:t>i</w:t>
      </w:r>
      <w:proofErr w:type="spellEnd"/>
      <w:r w:rsidRPr="00986221">
        <w:t>) reducing bureaucratic impediments to b</w:t>
      </w:r>
      <w:r w:rsidR="001F5093" w:rsidRPr="00986221">
        <w:t>usiness entry and development (such impediments particularly impact on those less connected to power structures</w:t>
      </w:r>
      <w:r w:rsidR="00AB21E2" w:rsidRPr="00986221">
        <w:t>)</w:t>
      </w:r>
      <w:r w:rsidR="001F5093" w:rsidRPr="00986221">
        <w:t>; (ii) reducing opportunities for corruption</w:t>
      </w:r>
      <w:r w:rsidR="00AB21E2" w:rsidRPr="00986221">
        <w:t xml:space="preserve"> (again, the less connected are more adversely affected by corruption)</w:t>
      </w:r>
      <w:r w:rsidR="001F5093" w:rsidRPr="00986221">
        <w:t>; and (iii) directly targeting impediments to investments in higher productivity business opportunities in rural areas (where most of the poor households live).</w:t>
      </w:r>
    </w:p>
    <w:p w14:paraId="327989DD" w14:textId="63B00189" w:rsidR="00355A5F" w:rsidRPr="00986221" w:rsidRDefault="00BB5C5B" w:rsidP="000221A3">
      <w:pPr>
        <w:pStyle w:val="ListParagraph"/>
      </w:pPr>
      <w:r w:rsidRPr="00986221">
        <w:t xml:space="preserve">All studies and analysis will be required to consider impacts of findings and recommendations on key stakeholders including women and (where appropriate) ethnic minorities and rural populations. Participation in consultations, surveys, and training programs will be monitored to ensure </w:t>
      </w:r>
      <w:r w:rsidR="00991C73" w:rsidRPr="00986221">
        <w:t>balanced representation of women.</w:t>
      </w:r>
      <w:r w:rsidR="001F5093" w:rsidRPr="00986221">
        <w:t xml:space="preserve"> </w:t>
      </w:r>
    </w:p>
    <w:p w14:paraId="41A08E11" w14:textId="372F8943" w:rsidR="00991C73" w:rsidRPr="00986221" w:rsidRDefault="00991C73" w:rsidP="000221A3">
      <w:pPr>
        <w:pStyle w:val="ListParagraph"/>
      </w:pPr>
      <w:r w:rsidRPr="00986221">
        <w:t>Environmental costs and benefits will be reflected in e</w:t>
      </w:r>
      <w:r w:rsidR="00DE3F55" w:rsidRPr="00986221">
        <w:t>conomic analysis and recommendations to the extent possible. It will be particularly important for the component on rural restructuring to take account environment and climate change considerations.</w:t>
      </w:r>
    </w:p>
    <w:p w14:paraId="7A713413" w14:textId="77777777" w:rsidR="0007137C" w:rsidRPr="00986221" w:rsidRDefault="00DE3F55" w:rsidP="0007137C">
      <w:pPr>
        <w:pStyle w:val="ListParagraph"/>
      </w:pPr>
      <w:r w:rsidRPr="00986221">
        <w:t xml:space="preserve">While the program will not directly contribute to any displacement or resettlement, program </w:t>
      </w:r>
      <w:r w:rsidR="002139D2" w:rsidRPr="00986221">
        <w:t xml:space="preserve">recommendations are likely to impact on the pace and nature of rural-urban transitions. Program </w:t>
      </w:r>
      <w:r w:rsidRPr="00986221">
        <w:t xml:space="preserve">supported studies </w:t>
      </w:r>
      <w:r w:rsidR="002139D2" w:rsidRPr="00986221">
        <w:t xml:space="preserve">should evaluate </w:t>
      </w:r>
      <w:r w:rsidRPr="00986221">
        <w:t xml:space="preserve">the </w:t>
      </w:r>
      <w:r w:rsidR="002139D2" w:rsidRPr="00986221">
        <w:t>socio-economic implications</w:t>
      </w:r>
      <w:r w:rsidRPr="00986221">
        <w:t xml:space="preserve"> of economic restructuring on </w:t>
      </w:r>
      <w:r w:rsidR="002139D2" w:rsidRPr="00986221">
        <w:t>the urbanization</w:t>
      </w:r>
      <w:r w:rsidR="00995B68" w:rsidRPr="00986221">
        <w:t>, and include recommendations to address any social costs</w:t>
      </w:r>
      <w:r w:rsidR="002139D2" w:rsidRPr="00986221">
        <w:t>.</w:t>
      </w:r>
      <w:r w:rsidR="00995B68" w:rsidRPr="00986221">
        <w:t xml:space="preserve"> The planned economic restructuring should result in a broader range of economic and employment opp</w:t>
      </w:r>
      <w:r w:rsidR="00184649" w:rsidRPr="00986221">
        <w:t>ortunities that may provide more opportunities for disabled workers.</w:t>
      </w:r>
      <w:r w:rsidR="00995B68" w:rsidRPr="00986221">
        <w:t xml:space="preserve"> </w:t>
      </w:r>
    </w:p>
    <w:p w14:paraId="79AF02CF" w14:textId="63E7BC21" w:rsidR="00932F49" w:rsidRPr="00986221" w:rsidRDefault="0007137C" w:rsidP="0007137C">
      <w:pPr>
        <w:rPr>
          <w:rFonts w:cs="Arial"/>
          <w:b/>
          <w:iCs/>
          <w:sz w:val="24"/>
          <w:szCs w:val="22"/>
          <w:lang w:eastAsia="en-AU"/>
        </w:rPr>
      </w:pPr>
      <w:r w:rsidRPr="00986221">
        <w:rPr>
          <w:rFonts w:cs="Arial"/>
          <w:b/>
          <w:iCs/>
          <w:sz w:val="24"/>
          <w:szCs w:val="22"/>
          <w:lang w:eastAsia="en-AU"/>
        </w:rPr>
        <w:t>R</w:t>
      </w:r>
      <w:r w:rsidR="00933704" w:rsidRPr="00986221">
        <w:rPr>
          <w:rFonts w:cs="Arial"/>
          <w:b/>
          <w:iCs/>
          <w:sz w:val="24"/>
          <w:szCs w:val="22"/>
          <w:lang w:eastAsia="en-AU"/>
        </w:rPr>
        <w:t xml:space="preserve">isk Assessment and Management </w:t>
      </w:r>
    </w:p>
    <w:p w14:paraId="4A30BBA7" w14:textId="77777777" w:rsidR="0007137C" w:rsidRPr="00986221" w:rsidRDefault="0007137C" w:rsidP="0007137C">
      <w:pPr>
        <w:pStyle w:val="Heading3"/>
        <w:ind w:left="426"/>
      </w:pPr>
      <w:bookmarkStart w:id="41" w:name="_Toc387322659"/>
      <w:r w:rsidRPr="00986221">
        <w:t>Risk assessment and management response</w:t>
      </w:r>
      <w:bookmarkEnd w:id="41"/>
    </w:p>
    <w:p w14:paraId="590905CF" w14:textId="77777777" w:rsidR="0007137C" w:rsidRPr="00986221" w:rsidRDefault="0007137C" w:rsidP="0007137C">
      <w:pPr>
        <w:rPr>
          <w:rFonts w:cs="Arial"/>
          <w:b/>
          <w:iCs/>
          <w:sz w:val="24"/>
          <w:szCs w:val="22"/>
          <w:lang w:eastAsia="en-AU"/>
        </w:rPr>
      </w:pPr>
    </w:p>
    <w:p w14:paraId="37100C38" w14:textId="6A648ECE" w:rsidR="00A73CB8" w:rsidRPr="00986221" w:rsidRDefault="00941E1E" w:rsidP="000221A3">
      <w:pPr>
        <w:pStyle w:val="ListParagraph"/>
      </w:pPr>
      <w:r w:rsidRPr="00986221">
        <w:t xml:space="preserve">RCV </w:t>
      </w:r>
      <w:r w:rsidR="00544D3C" w:rsidRPr="00986221">
        <w:t>is designed to operate</w:t>
      </w:r>
      <w:r w:rsidR="0055406F" w:rsidRPr="00986221">
        <w:t xml:space="preserve"> and support</w:t>
      </w:r>
      <w:r w:rsidRPr="00986221">
        <w:t xml:space="preserve"> its partner agencies </w:t>
      </w:r>
      <w:r w:rsidR="00544D3C" w:rsidRPr="00986221">
        <w:t xml:space="preserve">to </w:t>
      </w:r>
      <w:r w:rsidRPr="00986221">
        <w:t xml:space="preserve">deliver outputs </w:t>
      </w:r>
      <w:r w:rsidR="00544D3C" w:rsidRPr="00986221">
        <w:t xml:space="preserve">and outcomes </w:t>
      </w:r>
      <w:r w:rsidRPr="00986221">
        <w:t>in a highly unpredictable policy and operating environment</w:t>
      </w:r>
      <w:r w:rsidR="00544D3C" w:rsidRPr="00986221">
        <w:t>. This</w:t>
      </w:r>
      <w:r w:rsidR="00800CC1" w:rsidRPr="00986221">
        <w:t xml:space="preserve"> requires</w:t>
      </w:r>
      <w:r w:rsidRPr="00986221">
        <w:t xml:space="preserve"> robust risk management</w:t>
      </w:r>
      <w:r w:rsidR="00800CC1" w:rsidRPr="00986221">
        <w:rPr>
          <w:rStyle w:val="FootnoteReference"/>
        </w:rPr>
        <w:footnoteReference w:id="28"/>
      </w:r>
      <w:r w:rsidR="00800CC1" w:rsidRPr="00986221">
        <w:t xml:space="preserve">. </w:t>
      </w:r>
      <w:r w:rsidR="00D5585F" w:rsidRPr="00986221">
        <w:t>The key risks and actions to address these risks are summarized in the following table.</w:t>
      </w:r>
    </w:p>
    <w:tbl>
      <w:tblPr>
        <w:tblStyle w:val="TableGrid"/>
        <w:tblW w:w="0" w:type="auto"/>
        <w:tblLook w:val="04A0" w:firstRow="1" w:lastRow="0" w:firstColumn="1" w:lastColumn="0" w:noHBand="0" w:noVBand="1"/>
      </w:tblPr>
      <w:tblGrid>
        <w:gridCol w:w="4503"/>
        <w:gridCol w:w="5345"/>
      </w:tblGrid>
      <w:tr w:rsidR="00D5585F" w:rsidRPr="00986221" w14:paraId="2BCF2FF3" w14:textId="77777777" w:rsidTr="006133C7">
        <w:trPr>
          <w:tblHeader/>
        </w:trPr>
        <w:tc>
          <w:tcPr>
            <w:tcW w:w="4503" w:type="dxa"/>
            <w:shd w:val="clear" w:color="auto" w:fill="00FFFF"/>
          </w:tcPr>
          <w:p w14:paraId="0BF3CF2E" w14:textId="68D9C883" w:rsidR="00D5585F" w:rsidRPr="00986221" w:rsidRDefault="00796E3A" w:rsidP="0049469E">
            <w:pPr>
              <w:ind w:left="142"/>
            </w:pPr>
            <w:r w:rsidRPr="00986221">
              <w:t>Risk</w:t>
            </w:r>
          </w:p>
        </w:tc>
        <w:tc>
          <w:tcPr>
            <w:tcW w:w="5345" w:type="dxa"/>
            <w:shd w:val="clear" w:color="auto" w:fill="00FFFF"/>
          </w:tcPr>
          <w:p w14:paraId="235FC32C" w14:textId="05EE2A1A" w:rsidR="00D5585F" w:rsidRPr="00986221" w:rsidRDefault="00796E3A" w:rsidP="0049469E">
            <w:pPr>
              <w:ind w:left="175"/>
            </w:pPr>
            <w:r w:rsidRPr="00986221">
              <w:t>Strategy for Managing Risk</w:t>
            </w:r>
          </w:p>
        </w:tc>
      </w:tr>
      <w:tr w:rsidR="00D5585F" w:rsidRPr="00986221" w14:paraId="450F7C67" w14:textId="77777777" w:rsidTr="006133C7">
        <w:tc>
          <w:tcPr>
            <w:tcW w:w="4503" w:type="dxa"/>
          </w:tcPr>
          <w:p w14:paraId="466F4343" w14:textId="7237C13A" w:rsidR="00D5585F" w:rsidRPr="00986221" w:rsidRDefault="00796E3A" w:rsidP="0049469E">
            <w:pPr>
              <w:ind w:left="142"/>
            </w:pPr>
            <w:r w:rsidRPr="00986221">
              <w:t>Changes</w:t>
            </w:r>
            <w:r w:rsidR="000E4311" w:rsidRPr="00986221">
              <w:t xml:space="preserve"> in the domestic policy agenda </w:t>
            </w:r>
            <w:r w:rsidRPr="00986221">
              <w:t xml:space="preserve">will influence </w:t>
            </w:r>
            <w:r w:rsidR="000E4311" w:rsidRPr="00986221">
              <w:t>the level of</w:t>
            </w:r>
            <w:r w:rsidRPr="00986221">
              <w:t xml:space="preserve"> commitment to economic restructuring. Changes may</w:t>
            </w:r>
            <w:r w:rsidR="000E4311" w:rsidRPr="00986221">
              <w:t xml:space="preserve"> stifle restructuring and/or</w:t>
            </w:r>
            <w:r w:rsidRPr="00986221">
              <w:t xml:space="preserve"> create new opportunities for restructuring.</w:t>
            </w:r>
          </w:p>
        </w:tc>
        <w:tc>
          <w:tcPr>
            <w:tcW w:w="5345" w:type="dxa"/>
          </w:tcPr>
          <w:p w14:paraId="35742DD8" w14:textId="0156DB9C" w:rsidR="00D5585F" w:rsidRPr="00986221" w:rsidRDefault="000A6497" w:rsidP="0049469E">
            <w:pPr>
              <w:ind w:left="175"/>
              <w:rPr>
                <w:lang w:val="en-US"/>
              </w:rPr>
            </w:pPr>
            <w:r w:rsidRPr="00986221">
              <w:rPr>
                <w:lang w:val="en-US"/>
              </w:rPr>
              <w:t xml:space="preserve">The program design includes the SAG and STA to provide ongoing advice to the </w:t>
            </w:r>
            <w:r w:rsidR="00485FC2" w:rsidRPr="00986221">
              <w:rPr>
                <w:lang w:val="en-US"/>
              </w:rPr>
              <w:t>PCU</w:t>
            </w:r>
            <w:r w:rsidRPr="00986221">
              <w:rPr>
                <w:lang w:val="en-US"/>
              </w:rPr>
              <w:t xml:space="preserve"> and DFAT on changing circumstances that are likely to impact the program. The inclusion of the Flexible Fund allows for flexible responses to changing circumstances. </w:t>
            </w:r>
          </w:p>
        </w:tc>
      </w:tr>
      <w:tr w:rsidR="00D5585F" w:rsidRPr="00986221" w14:paraId="46B094E4" w14:textId="77777777" w:rsidTr="006133C7">
        <w:tc>
          <w:tcPr>
            <w:tcW w:w="4503" w:type="dxa"/>
          </w:tcPr>
          <w:p w14:paraId="527636CE" w14:textId="55F4F4BA" w:rsidR="00D5585F" w:rsidRPr="00986221" w:rsidRDefault="00B75460" w:rsidP="0049469E">
            <w:pPr>
              <w:ind w:left="142"/>
            </w:pPr>
            <w:r w:rsidRPr="00986221">
              <w:t xml:space="preserve">Delays in implementation </w:t>
            </w:r>
            <w:r w:rsidR="00450B22" w:rsidRPr="00986221">
              <w:t xml:space="preserve">could </w:t>
            </w:r>
            <w:r w:rsidRPr="00986221">
              <w:t xml:space="preserve">reduce opportunities for </w:t>
            </w:r>
            <w:r w:rsidR="00450B22" w:rsidRPr="00986221">
              <w:t xml:space="preserve">study </w:t>
            </w:r>
            <w:r w:rsidRPr="00986221">
              <w:t>recommendations to influence strategic policy decisions.</w:t>
            </w:r>
          </w:p>
        </w:tc>
        <w:tc>
          <w:tcPr>
            <w:tcW w:w="5345" w:type="dxa"/>
          </w:tcPr>
          <w:p w14:paraId="1C215B19" w14:textId="17585B14" w:rsidR="00D5585F" w:rsidRPr="00986221" w:rsidRDefault="00450B22" w:rsidP="0049469E">
            <w:pPr>
              <w:ind w:left="175"/>
              <w:rPr>
                <w:lang w:val="en-US"/>
              </w:rPr>
            </w:pPr>
            <w:r w:rsidRPr="00986221">
              <w:rPr>
                <w:lang w:val="en-US"/>
              </w:rPr>
              <w:t>Support for high priority reforms, detailed guidance on periodic</w:t>
            </w:r>
            <w:r w:rsidR="00B75460" w:rsidRPr="00986221">
              <w:rPr>
                <w:lang w:val="en-US"/>
              </w:rPr>
              <w:t xml:space="preserve"> work planning, close monitoring of </w:t>
            </w:r>
            <w:proofErr w:type="gramStart"/>
            <w:r w:rsidR="00B75460" w:rsidRPr="00986221">
              <w:rPr>
                <w:lang w:val="en-US"/>
              </w:rPr>
              <w:t>work-plans,</w:t>
            </w:r>
            <w:proofErr w:type="gramEnd"/>
            <w:r w:rsidR="00B75460" w:rsidRPr="00986221">
              <w:rPr>
                <w:lang w:val="en-US"/>
              </w:rPr>
              <w:t xml:space="preserve"> and quick management responses </w:t>
            </w:r>
            <w:r w:rsidRPr="00986221">
              <w:rPr>
                <w:lang w:val="en-US"/>
              </w:rPr>
              <w:t>will</w:t>
            </w:r>
            <w:r w:rsidR="00B75460" w:rsidRPr="00986221">
              <w:rPr>
                <w:lang w:val="en-US"/>
              </w:rPr>
              <w:t xml:space="preserve"> minimize this risk. </w:t>
            </w:r>
          </w:p>
        </w:tc>
      </w:tr>
      <w:tr w:rsidR="005B5985" w:rsidRPr="00986221" w14:paraId="76060A9C" w14:textId="77777777" w:rsidTr="005B5985">
        <w:tc>
          <w:tcPr>
            <w:tcW w:w="4503" w:type="dxa"/>
          </w:tcPr>
          <w:p w14:paraId="460EE25E" w14:textId="77777777" w:rsidR="005B5985" w:rsidRPr="00986221" w:rsidRDefault="005B5985" w:rsidP="005B5985">
            <w:pPr>
              <w:ind w:left="142"/>
            </w:pPr>
            <w:r w:rsidRPr="00986221">
              <w:t>Participating agencies may tend to “work in silos” (not cooperate effectively with outside stakeholders) undermining the coherence and strength of advice the program provides to Vietnam’s senior leadership.</w:t>
            </w:r>
          </w:p>
          <w:p w14:paraId="440F093D" w14:textId="77777777" w:rsidR="005B5985" w:rsidRPr="00986221" w:rsidRDefault="005B5985" w:rsidP="005B5985">
            <w:pPr>
              <w:ind w:left="142"/>
            </w:pPr>
          </w:p>
        </w:tc>
        <w:tc>
          <w:tcPr>
            <w:tcW w:w="5345" w:type="dxa"/>
          </w:tcPr>
          <w:p w14:paraId="0FE241E1" w14:textId="77777777" w:rsidR="005B5985" w:rsidRPr="00986221" w:rsidRDefault="005B5985" w:rsidP="005B5985">
            <w:pPr>
              <w:ind w:left="175"/>
            </w:pPr>
            <w:r w:rsidRPr="00986221">
              <w:t>The project coordinating committee and the SAG will mitigate this risk. Moreover CIEM has an established track record of working with a broad range of public and private stakeholders. The design includes funding for workshops and roundtables to encourage regular inter-agency dialogue and knowledge sharing.</w:t>
            </w:r>
          </w:p>
        </w:tc>
      </w:tr>
      <w:tr w:rsidR="00D5585F" w:rsidRPr="00986221" w14:paraId="6C9D4FC8" w14:textId="77777777" w:rsidTr="006133C7">
        <w:tc>
          <w:tcPr>
            <w:tcW w:w="4503" w:type="dxa"/>
          </w:tcPr>
          <w:p w14:paraId="7F4CBB40" w14:textId="7B65D1FC" w:rsidR="00D5585F" w:rsidRPr="00986221" w:rsidRDefault="00450B22" w:rsidP="0049469E">
            <w:pPr>
              <w:ind w:left="142"/>
            </w:pPr>
            <w:r w:rsidRPr="00986221">
              <w:t>Australia may also be seen as supporting unpopular reforms.</w:t>
            </w:r>
            <w:r w:rsidR="00F9700A" w:rsidRPr="00986221">
              <w:t xml:space="preserve"> Some industries that are exposed to global competition may suffer and cause disruptions to some people’s livelihoods.</w:t>
            </w:r>
          </w:p>
        </w:tc>
        <w:tc>
          <w:tcPr>
            <w:tcW w:w="5345" w:type="dxa"/>
          </w:tcPr>
          <w:p w14:paraId="3DB890F1" w14:textId="4C5493AE" w:rsidR="00D5585F" w:rsidRPr="00986221" w:rsidRDefault="00450B22" w:rsidP="0049469E">
            <w:pPr>
              <w:ind w:left="175"/>
            </w:pPr>
            <w:r w:rsidRPr="00986221">
              <w:t xml:space="preserve">The </w:t>
            </w:r>
            <w:r w:rsidR="00F9700A" w:rsidRPr="00986221">
              <w:t>program</w:t>
            </w:r>
            <w:r w:rsidRPr="00986221">
              <w:t xml:space="preserve"> </w:t>
            </w:r>
            <w:r w:rsidR="00325A2B" w:rsidRPr="00986221">
              <w:t xml:space="preserve">design </w:t>
            </w:r>
            <w:r w:rsidRPr="00986221">
              <w:t>support</w:t>
            </w:r>
            <w:r w:rsidR="00F9700A" w:rsidRPr="00986221">
              <w:t>s</w:t>
            </w:r>
            <w:r w:rsidRPr="00986221">
              <w:t xml:space="preserve"> </w:t>
            </w:r>
            <w:r w:rsidR="00733188" w:rsidRPr="00986221">
              <w:t xml:space="preserve">consultations to help determine reform priorities and </w:t>
            </w:r>
            <w:r w:rsidRPr="00986221">
              <w:t>rigorous analysis of the overall and distrib</w:t>
            </w:r>
            <w:r w:rsidR="00325A2B" w:rsidRPr="00986221">
              <w:t xml:space="preserve">utional impacts of key reforms and </w:t>
            </w:r>
            <w:r w:rsidRPr="00986221">
              <w:t>the dissemination of this information to help build consensus on the reform agenda.</w:t>
            </w:r>
          </w:p>
        </w:tc>
      </w:tr>
      <w:tr w:rsidR="00D5585F" w:rsidRPr="00986221" w14:paraId="3E7A010C" w14:textId="77777777" w:rsidTr="006133C7">
        <w:tc>
          <w:tcPr>
            <w:tcW w:w="4503" w:type="dxa"/>
          </w:tcPr>
          <w:p w14:paraId="55DFE072" w14:textId="57AAB031" w:rsidR="00D5585F" w:rsidRPr="00986221" w:rsidRDefault="00452960" w:rsidP="0049469E">
            <w:pPr>
              <w:ind w:left="142"/>
            </w:pPr>
            <w:r w:rsidRPr="00986221">
              <w:t>Fraud, misuse of funding, overlap and/or duplication of resources and efforts.</w:t>
            </w:r>
          </w:p>
        </w:tc>
        <w:tc>
          <w:tcPr>
            <w:tcW w:w="5345" w:type="dxa"/>
          </w:tcPr>
          <w:p w14:paraId="08B26283" w14:textId="5676DA1D" w:rsidR="00D5585F" w:rsidRPr="00986221" w:rsidRDefault="00452960" w:rsidP="0049469E">
            <w:pPr>
              <w:ind w:left="175"/>
              <w:rPr>
                <w:lang w:val="en-US"/>
              </w:rPr>
            </w:pPr>
            <w:r w:rsidRPr="00986221">
              <w:rPr>
                <w:lang w:val="en-US"/>
              </w:rPr>
              <w:t>DFAT and the SMP will meet periodically with other donors to avoid overlap of funding and explore the potential for joint funding. Independent audit reports will be prepared and disclosed to relevant stakeholders.</w:t>
            </w:r>
          </w:p>
        </w:tc>
      </w:tr>
      <w:tr w:rsidR="00D5585F" w:rsidRPr="00986221" w14:paraId="3FE25F99" w14:textId="77777777" w:rsidTr="006133C7">
        <w:tc>
          <w:tcPr>
            <w:tcW w:w="4503" w:type="dxa"/>
          </w:tcPr>
          <w:p w14:paraId="698711CF" w14:textId="7BA78511" w:rsidR="00D5585F" w:rsidRPr="00986221" w:rsidRDefault="00452960" w:rsidP="0049469E">
            <w:pPr>
              <w:ind w:left="142"/>
            </w:pPr>
            <w:r w:rsidRPr="00986221">
              <w:t>Flexible Fund activities may be too fragmented, and thus be less efficient and effective in contributing to targeted program outcomes</w:t>
            </w:r>
          </w:p>
        </w:tc>
        <w:tc>
          <w:tcPr>
            <w:tcW w:w="5345" w:type="dxa"/>
          </w:tcPr>
          <w:p w14:paraId="7DC313FA" w14:textId="08DA6680" w:rsidR="00D5585F" w:rsidRPr="00986221" w:rsidRDefault="00A83BE2" w:rsidP="0049469E">
            <w:pPr>
              <w:ind w:left="175"/>
            </w:pPr>
            <w:r w:rsidRPr="00986221">
              <w:t xml:space="preserve">Clear criteria and process for selecting of activities to be funded under the Flexible Fund are included in </w:t>
            </w:r>
            <w:r w:rsidRPr="00986221">
              <w:rPr>
                <w:b/>
              </w:rPr>
              <w:t>Appendix</w:t>
            </w:r>
            <w:r w:rsidR="00321C44" w:rsidRPr="00986221">
              <w:t xml:space="preserve"> </w:t>
            </w:r>
            <w:r w:rsidR="00321C44" w:rsidRPr="00986221">
              <w:rPr>
                <w:b/>
                <w:u w:val="single"/>
              </w:rPr>
              <w:t>3- Flexible Fund</w:t>
            </w:r>
            <w:r w:rsidRPr="00986221">
              <w:t xml:space="preserve">. The </w:t>
            </w:r>
            <w:r w:rsidR="002E4746" w:rsidRPr="00986221">
              <w:t>PD</w:t>
            </w:r>
            <w:r w:rsidRPr="00986221">
              <w:t>, DFAT and SAG/STA will all be involved in the appraisal process to ensure that activities supported by the Flexible Fund are aligned with agreed criteria.</w:t>
            </w:r>
          </w:p>
        </w:tc>
      </w:tr>
    </w:tbl>
    <w:p w14:paraId="03040C29" w14:textId="77777777" w:rsidR="006133C7" w:rsidRPr="00986221" w:rsidRDefault="006133C7" w:rsidP="000221A3">
      <w:pPr>
        <w:ind w:left="426"/>
      </w:pPr>
    </w:p>
    <w:p w14:paraId="66C78174" w14:textId="49EC33AE" w:rsidR="00E93203" w:rsidRPr="00986221" w:rsidRDefault="0055406F" w:rsidP="000221A3">
      <w:pPr>
        <w:pStyle w:val="Heading3"/>
        <w:ind w:left="426"/>
      </w:pPr>
      <w:bookmarkStart w:id="42" w:name="_Toc387322660"/>
      <w:r w:rsidRPr="00986221">
        <w:t>Risk management approach and r</w:t>
      </w:r>
      <w:r w:rsidR="009E52EE" w:rsidRPr="00986221">
        <w:t>esponsibilities</w:t>
      </w:r>
      <w:bookmarkEnd w:id="42"/>
    </w:p>
    <w:p w14:paraId="7AC370EB" w14:textId="1A5B2056" w:rsidR="00E93203" w:rsidRPr="00986221" w:rsidRDefault="00621211" w:rsidP="000221A3">
      <w:pPr>
        <w:pStyle w:val="ListParagraph"/>
      </w:pPr>
      <w:r w:rsidRPr="00986221">
        <w:t>Risk management is buil</w:t>
      </w:r>
      <w:r w:rsidR="005B5985" w:rsidRPr="00986221">
        <w:t>t</w:t>
      </w:r>
      <w:r w:rsidRPr="00986221">
        <w:t xml:space="preserve"> into all areas of the program design, with key risks summarized in the program LFM (Appendix 1)</w:t>
      </w:r>
      <w:r w:rsidR="00A83BE2" w:rsidRPr="00986221">
        <w:t xml:space="preserve">, and detailed risk management strategies included as </w:t>
      </w:r>
      <w:r w:rsidR="00A83BE2" w:rsidRPr="00986221">
        <w:rPr>
          <w:b/>
          <w:u w:val="single"/>
        </w:rPr>
        <w:t xml:space="preserve">Appendix </w:t>
      </w:r>
      <w:r w:rsidR="00321C44" w:rsidRPr="00986221">
        <w:rPr>
          <w:b/>
          <w:u w:val="single"/>
        </w:rPr>
        <w:t xml:space="preserve">6- Risk </w:t>
      </w:r>
      <w:r w:rsidR="00D545EA" w:rsidRPr="00986221">
        <w:rPr>
          <w:b/>
          <w:u w:val="single"/>
        </w:rPr>
        <w:t>Management Plan</w:t>
      </w:r>
      <w:r w:rsidR="00A83BE2" w:rsidRPr="00986221">
        <w:t>.</w:t>
      </w:r>
      <w:r w:rsidRPr="00986221">
        <w:t xml:space="preserve"> </w:t>
      </w:r>
      <w:r w:rsidR="0063392F" w:rsidRPr="00986221">
        <w:t>All program’s m</w:t>
      </w:r>
      <w:r w:rsidR="00E93203" w:rsidRPr="00986221">
        <w:t xml:space="preserve">anagers and staff are responsible for </w:t>
      </w:r>
      <w:r w:rsidR="002B3536" w:rsidRPr="00986221">
        <w:t>effective implementation of risk management st</w:t>
      </w:r>
      <w:r w:rsidR="00903BB8" w:rsidRPr="00986221">
        <w:t>rategies.</w:t>
      </w:r>
      <w:r w:rsidR="002B3536" w:rsidRPr="00986221">
        <w:t xml:space="preserve"> The </w:t>
      </w:r>
      <w:r w:rsidR="002E4746" w:rsidRPr="00986221">
        <w:t>PD</w:t>
      </w:r>
      <w:r w:rsidR="002B3536" w:rsidRPr="00986221">
        <w:t>, CPD</w:t>
      </w:r>
      <w:r w:rsidR="00E93203" w:rsidRPr="00986221">
        <w:t xml:space="preserve"> and DFAT’s Senior Program Manager</w:t>
      </w:r>
      <w:r w:rsidR="002B3536" w:rsidRPr="00986221">
        <w:t xml:space="preserve"> </w:t>
      </w:r>
      <w:r w:rsidR="0060559B" w:rsidRPr="00986221">
        <w:t xml:space="preserve">(DFAT’s SPM) </w:t>
      </w:r>
      <w:r w:rsidR="002B3536" w:rsidRPr="00986221">
        <w:t>are</w:t>
      </w:r>
      <w:r w:rsidR="00E93203" w:rsidRPr="00986221">
        <w:t>:</w:t>
      </w:r>
    </w:p>
    <w:p w14:paraId="36CFDD9C" w14:textId="07073A43" w:rsidR="00E93203" w:rsidRPr="00986221" w:rsidRDefault="00E93203" w:rsidP="001F3BBE">
      <w:pPr>
        <w:pStyle w:val="ListParagraphindent"/>
      </w:pPr>
      <w:r w:rsidRPr="00986221">
        <w:t xml:space="preserve">Accountable to </w:t>
      </w:r>
      <w:r w:rsidR="002B3536" w:rsidRPr="00986221">
        <w:t xml:space="preserve">the GoV (via their respective line agencies) and to </w:t>
      </w:r>
      <w:r w:rsidRPr="00986221">
        <w:t xml:space="preserve">DFAT </w:t>
      </w:r>
      <w:r w:rsidR="002B3536" w:rsidRPr="00986221">
        <w:t>for effective</w:t>
      </w:r>
      <w:r w:rsidRPr="00986221">
        <w:t xml:space="preserve"> </w:t>
      </w:r>
      <w:r w:rsidR="002B3536" w:rsidRPr="00986221">
        <w:t xml:space="preserve">RCV governance, </w:t>
      </w:r>
      <w:r w:rsidRPr="00986221">
        <w:t xml:space="preserve">including </w:t>
      </w:r>
      <w:r w:rsidR="0063392F" w:rsidRPr="00986221">
        <w:t>managing all program related risks</w:t>
      </w:r>
      <w:r w:rsidRPr="00986221">
        <w:t>.</w:t>
      </w:r>
    </w:p>
    <w:p w14:paraId="5F75756C" w14:textId="20E19995" w:rsidR="00E93203" w:rsidRPr="00986221" w:rsidRDefault="00396303" w:rsidP="001F3BBE">
      <w:pPr>
        <w:pStyle w:val="ListParagraphindent"/>
      </w:pPr>
      <w:r w:rsidRPr="00986221">
        <w:t>Responsible for overse</w:t>
      </w:r>
      <w:r w:rsidR="0063392F" w:rsidRPr="00986221">
        <w:t>eing</w:t>
      </w:r>
      <w:r w:rsidR="00E93203" w:rsidRPr="00986221">
        <w:t xml:space="preserve"> the</w:t>
      </w:r>
      <w:r w:rsidRPr="00986221">
        <w:t xml:space="preserve"> highest-</w:t>
      </w:r>
      <w:r w:rsidR="00E93203" w:rsidRPr="00986221">
        <w:t xml:space="preserve">level risks and for </w:t>
      </w:r>
      <w:r w:rsidRPr="00986221">
        <w:t>implementing mitigation strategies.</w:t>
      </w:r>
    </w:p>
    <w:p w14:paraId="39953E8E" w14:textId="2D8DB30A" w:rsidR="009D1858" w:rsidRPr="00986221" w:rsidRDefault="009D1858" w:rsidP="000221A3">
      <w:pPr>
        <w:ind w:left="426"/>
        <w:rPr>
          <w:rFonts w:cs="Arial"/>
        </w:rPr>
      </w:pPr>
    </w:p>
    <w:p w14:paraId="0E92E3F8" w14:textId="77777777" w:rsidR="00A26FAA" w:rsidRPr="00986221" w:rsidRDefault="00A26FAA" w:rsidP="000221A3">
      <w:pPr>
        <w:ind w:left="426"/>
        <w:rPr>
          <w:rFonts w:cs="Arial"/>
        </w:rPr>
      </w:pPr>
    </w:p>
    <w:p w14:paraId="34406641" w14:textId="77777777" w:rsidR="00A26FAA" w:rsidRPr="00986221" w:rsidRDefault="00A26FAA" w:rsidP="00933704">
      <w:pPr>
        <w:rPr>
          <w:rFonts w:cs="Arial"/>
          <w:lang w:eastAsia="en-AU"/>
        </w:rPr>
        <w:sectPr w:rsidR="00A26FAA" w:rsidRPr="00986221" w:rsidSect="00790DD1">
          <w:headerReference w:type="default" r:id="rId24"/>
          <w:pgSz w:w="11900" w:h="16840"/>
          <w:pgMar w:top="1276" w:right="1134" w:bottom="1265" w:left="1134" w:header="568" w:footer="430" w:gutter="0"/>
          <w:cols w:space="708"/>
          <w:docGrid w:linePitch="360"/>
        </w:sectPr>
      </w:pPr>
    </w:p>
    <w:p w14:paraId="1B6CF72B" w14:textId="77777777" w:rsidR="00933704" w:rsidRPr="00986221" w:rsidRDefault="00933704" w:rsidP="00933704">
      <w:pPr>
        <w:rPr>
          <w:rFonts w:cs="Arial"/>
          <w:lang w:eastAsia="en-AU"/>
        </w:rPr>
      </w:pPr>
    </w:p>
    <w:p w14:paraId="1C137844" w14:textId="7176B55A" w:rsidR="00452FDA" w:rsidRPr="00986221" w:rsidRDefault="00452FDA" w:rsidP="004339B9">
      <w:pPr>
        <w:pStyle w:val="Heading1"/>
        <w:numPr>
          <w:ilvl w:val="0"/>
          <w:numId w:val="0"/>
        </w:numPr>
        <w:ind w:left="720"/>
        <w:rPr>
          <w:rFonts w:ascii="Arial" w:hAnsi="Arial" w:cs="Arial"/>
        </w:rPr>
      </w:pPr>
      <w:bookmarkStart w:id="43" w:name="_Toc387322661"/>
      <w:proofErr w:type="gramStart"/>
      <w:r w:rsidRPr="00986221">
        <w:rPr>
          <w:rFonts w:ascii="Arial" w:hAnsi="Arial" w:cs="Arial"/>
        </w:rPr>
        <w:t xml:space="preserve">APPENDIX </w:t>
      </w:r>
      <w:r w:rsidR="007E3CFD" w:rsidRPr="00986221">
        <w:rPr>
          <w:rFonts w:ascii="Arial" w:hAnsi="Arial" w:cs="Arial"/>
        </w:rPr>
        <w:t>1.</w:t>
      </w:r>
      <w:proofErr w:type="gramEnd"/>
      <w:r w:rsidR="007E3CFD" w:rsidRPr="00986221">
        <w:rPr>
          <w:rFonts w:ascii="Arial" w:hAnsi="Arial" w:cs="Arial"/>
        </w:rPr>
        <w:t xml:space="preserve"> </w:t>
      </w:r>
      <w:r w:rsidR="007E6283" w:rsidRPr="00986221">
        <w:rPr>
          <w:rFonts w:ascii="Arial" w:hAnsi="Arial" w:cs="Arial"/>
        </w:rPr>
        <w:t xml:space="preserve">RCV: </w:t>
      </w:r>
      <w:r w:rsidRPr="00986221">
        <w:rPr>
          <w:rFonts w:ascii="Arial" w:hAnsi="Arial" w:cs="Arial"/>
        </w:rPr>
        <w:t>M&amp;E F</w:t>
      </w:r>
      <w:r w:rsidR="0049469E" w:rsidRPr="00986221">
        <w:rPr>
          <w:rFonts w:ascii="Arial" w:hAnsi="Arial" w:cs="Arial"/>
        </w:rPr>
        <w:t>rame</w:t>
      </w:r>
      <w:r w:rsidRPr="00986221">
        <w:rPr>
          <w:rFonts w:ascii="Arial" w:hAnsi="Arial" w:cs="Arial"/>
        </w:rPr>
        <w:t>work</w:t>
      </w:r>
      <w:bookmarkEnd w:id="43"/>
    </w:p>
    <w:p w14:paraId="59319A14" w14:textId="72BA9932" w:rsidR="00321C44" w:rsidRPr="00986221" w:rsidRDefault="00321C44" w:rsidP="00B312FB">
      <w:pPr>
        <w:pStyle w:val="Heading2"/>
        <w:rPr>
          <w:lang w:val="en-GB"/>
        </w:rPr>
      </w:pPr>
      <w:bookmarkStart w:id="44" w:name="_Toc387322662"/>
      <w:r w:rsidRPr="00986221">
        <w:rPr>
          <w:lang w:val="en-GB"/>
        </w:rPr>
        <w:t>The RCV Theory of Change</w:t>
      </w:r>
      <w:bookmarkEnd w:id="44"/>
    </w:p>
    <w:p w14:paraId="37FBCEF2" w14:textId="77777777" w:rsidR="00334109" w:rsidRPr="00986221" w:rsidRDefault="00334109" w:rsidP="00334109"/>
    <w:p w14:paraId="5EF0CF26" w14:textId="12DDC1BD" w:rsidR="00321C44" w:rsidRPr="00986221" w:rsidRDefault="00CC04D1" w:rsidP="00154C7D">
      <w:pPr>
        <w:pStyle w:val="ListParagraph"/>
        <w:numPr>
          <w:ilvl w:val="0"/>
          <w:numId w:val="19"/>
        </w:numPr>
        <w:ind w:left="426" w:hanging="426"/>
        <w:rPr>
          <w:rFonts w:asciiTheme="minorHAnsi" w:hAnsiTheme="minorHAnsi"/>
        </w:rPr>
      </w:pPr>
      <w:r w:rsidRPr="00986221">
        <w:t>T</w:t>
      </w:r>
      <w:r w:rsidR="00321C44" w:rsidRPr="00986221">
        <w:t xml:space="preserve">he Program’s </w:t>
      </w:r>
      <w:r w:rsidR="00321C44" w:rsidRPr="00986221">
        <w:rPr>
          <w:i/>
        </w:rPr>
        <w:t>change theory</w:t>
      </w:r>
      <w:r w:rsidR="00321C44" w:rsidRPr="00986221">
        <w:t xml:space="preserve"> rests on the assumptions or pre-conditions that, if the program provides adequate support in building the capacity of the VCA, IPSARD and CIEM to </w:t>
      </w:r>
      <w:r w:rsidR="0028700A" w:rsidRPr="00986221">
        <w:t xml:space="preserve">improve the evidence base for </w:t>
      </w:r>
      <w:r w:rsidR="00321C44" w:rsidRPr="00986221">
        <w:t>recommend</w:t>
      </w:r>
      <w:r w:rsidR="0028700A" w:rsidRPr="00986221">
        <w:t>ing</w:t>
      </w:r>
      <w:r w:rsidR="00321C44" w:rsidRPr="00986221">
        <w:t xml:space="preserve"> </w:t>
      </w:r>
      <w:r w:rsidR="0028700A" w:rsidRPr="00986221">
        <w:t xml:space="preserve">policy and institutional reforms in line with </w:t>
      </w:r>
      <w:r w:rsidR="00321C44" w:rsidRPr="00986221">
        <w:t>the Government’s Master Plan for Economic Re-structuring (MPER</w:t>
      </w:r>
      <w:proofErr w:type="gramStart"/>
      <w:r w:rsidR="00321C44" w:rsidRPr="00986221">
        <w:t xml:space="preserve">)  </w:t>
      </w:r>
      <w:r w:rsidR="0028700A" w:rsidRPr="00986221">
        <w:t>(</w:t>
      </w:r>
      <w:proofErr w:type="gramEnd"/>
      <w:r w:rsidR="00321C44" w:rsidRPr="00986221">
        <w:t>i</w:t>
      </w:r>
      <w:r w:rsidR="0028700A" w:rsidRPr="00986221">
        <w:t>.</w:t>
      </w:r>
      <w:r w:rsidR="00321C44" w:rsidRPr="00986221">
        <w:t>e</w:t>
      </w:r>
      <w:r w:rsidR="0028700A" w:rsidRPr="00986221">
        <w:t>.</w:t>
      </w:r>
      <w:r w:rsidR="00321C44" w:rsidRPr="00986221">
        <w:t>, Output</w:t>
      </w:r>
      <w:r w:rsidR="0028700A" w:rsidRPr="00986221">
        <w:t>s)</w:t>
      </w:r>
      <w:r w:rsidR="00321C44" w:rsidRPr="00986221">
        <w:t xml:space="preserve"> and these are approved and communicated then </w:t>
      </w:r>
      <w:r w:rsidR="00CD14EA" w:rsidRPr="00986221">
        <w:t>G</w:t>
      </w:r>
      <w:r w:rsidR="00321C44" w:rsidRPr="00986221">
        <w:t>o</w:t>
      </w:r>
      <w:r w:rsidR="00CD14EA" w:rsidRPr="00986221">
        <w:t>V</w:t>
      </w:r>
      <w:r w:rsidR="00321C44" w:rsidRPr="00986221">
        <w:t xml:space="preserve"> will execute these by 2016 </w:t>
      </w:r>
      <w:r w:rsidR="00B410CF" w:rsidRPr="00986221">
        <w:t>(</w:t>
      </w:r>
      <w:r w:rsidR="00321C44" w:rsidRPr="00986221">
        <w:t>i</w:t>
      </w:r>
      <w:r w:rsidR="00B410CF" w:rsidRPr="00986221">
        <w:t>.</w:t>
      </w:r>
      <w:r w:rsidR="00321C44" w:rsidRPr="00986221">
        <w:t>e</w:t>
      </w:r>
      <w:r w:rsidR="00B410CF" w:rsidRPr="00986221">
        <w:t>.</w:t>
      </w:r>
      <w:r w:rsidR="00321C44" w:rsidRPr="00986221">
        <w:t>, Outcomes or behavioural changes</w:t>
      </w:r>
      <w:r w:rsidR="00B410CF" w:rsidRPr="00986221">
        <w:t>)</w:t>
      </w:r>
      <w:r w:rsidR="00321C44" w:rsidRPr="00986221">
        <w:t xml:space="preserve">. The consequences of continuing to do so beyond the </w:t>
      </w:r>
      <w:r w:rsidR="00B410CF" w:rsidRPr="00986221">
        <w:t>P</w:t>
      </w:r>
      <w:r w:rsidR="00321C44" w:rsidRPr="00986221">
        <w:t>rogram’s investment period will contribut</w:t>
      </w:r>
      <w:r w:rsidR="00B410CF" w:rsidRPr="00986221">
        <w:t>e</w:t>
      </w:r>
      <w:r w:rsidR="00321C44" w:rsidRPr="00986221">
        <w:t xml:space="preserve"> to the targets defined in the MPER by 2020 </w:t>
      </w:r>
      <w:r w:rsidR="00B410CF" w:rsidRPr="00986221">
        <w:t>(</w:t>
      </w:r>
      <w:r w:rsidR="00321C44" w:rsidRPr="00986221">
        <w:t>i</w:t>
      </w:r>
      <w:r w:rsidR="00B410CF" w:rsidRPr="00986221">
        <w:t>.</w:t>
      </w:r>
      <w:r w:rsidR="00321C44" w:rsidRPr="00986221">
        <w:t>e</w:t>
      </w:r>
      <w:r w:rsidR="00B410CF" w:rsidRPr="00986221">
        <w:t>.</w:t>
      </w:r>
      <w:r w:rsidR="00321C44" w:rsidRPr="00986221">
        <w:t>, the Impact</w:t>
      </w:r>
      <w:r w:rsidR="00B410CF" w:rsidRPr="00986221">
        <w:t>)</w:t>
      </w:r>
      <w:r w:rsidR="00321C44" w:rsidRPr="00986221">
        <w:t xml:space="preserve">.   </w:t>
      </w:r>
    </w:p>
    <w:p w14:paraId="5747D57F" w14:textId="283934D8" w:rsidR="00321C44" w:rsidRPr="00986221" w:rsidRDefault="00321C44" w:rsidP="005F2B68">
      <w:pPr>
        <w:pStyle w:val="ListParagraph"/>
      </w:pPr>
      <w:r w:rsidRPr="00986221">
        <w:t xml:space="preserve">The features of the causal mechanism or </w:t>
      </w:r>
      <w:r w:rsidRPr="00986221">
        <w:rPr>
          <w:i/>
        </w:rPr>
        <w:t>action theory</w:t>
      </w:r>
      <w:r w:rsidRPr="00986221">
        <w:t xml:space="preserve"> is based on the appraisal, disbursement and monitoring of accountable grants. The nature of what these grants support aim to be fully aligned to supporting the three client agencies carry out activities in their work</w:t>
      </w:r>
      <w:r w:rsidR="00CD14EA" w:rsidRPr="00986221">
        <w:t xml:space="preserve"> </w:t>
      </w:r>
      <w:r w:rsidRPr="00986221">
        <w:t>plans that are based on priorities defined in the MPER. Such support is to be provided by Technical Assistance</w:t>
      </w:r>
      <w:r w:rsidR="00E02DA0" w:rsidRPr="00986221">
        <w:t xml:space="preserve">, ranging from </w:t>
      </w:r>
      <w:r w:rsidRPr="00986221">
        <w:t>formal training and exchange visits</w:t>
      </w:r>
      <w:r w:rsidR="00E02DA0" w:rsidRPr="00986221">
        <w:t>,</w:t>
      </w:r>
      <w:r w:rsidRPr="00986221">
        <w:t xml:space="preserve"> to more hands-on support in develo</w:t>
      </w:r>
      <w:r w:rsidR="00E02DA0" w:rsidRPr="00986221">
        <w:t>ping</w:t>
      </w:r>
      <w:r w:rsidRPr="00986221">
        <w:t xml:space="preserve"> methodologies and analytical w</w:t>
      </w:r>
      <w:r w:rsidR="00CC04D1" w:rsidRPr="00986221">
        <w:t>ork. The outputs, reinforced</w:t>
      </w:r>
      <w:r w:rsidRPr="00986221">
        <w:t xml:space="preserve"> by this support, will be bolstered in two ways: a) a peer review function </w:t>
      </w:r>
      <w:r w:rsidR="00E02DA0" w:rsidRPr="00986221">
        <w:t xml:space="preserve">(e.g. </w:t>
      </w:r>
      <w:r w:rsidRPr="00986221">
        <w:t xml:space="preserve">provided by the </w:t>
      </w:r>
      <w:r w:rsidR="00E02DA0" w:rsidRPr="00986221">
        <w:t>SAG, STA and international experts)</w:t>
      </w:r>
      <w:r w:rsidRPr="00986221">
        <w:t>; and b) a beneficiary feedback process that gauges the quality of the support provided and c) an explicit testing of the assumptions every six months. This testing of the assumptions will take the form of the agency’s clients (</w:t>
      </w:r>
      <w:r w:rsidR="00CC04D1" w:rsidRPr="00986221">
        <w:t>i.e.</w:t>
      </w:r>
      <w:r w:rsidRPr="00986221">
        <w:t xml:space="preserve">, those in </w:t>
      </w:r>
      <w:r w:rsidR="00CD14EA" w:rsidRPr="00986221">
        <w:t>G</w:t>
      </w:r>
      <w:r w:rsidRPr="00986221">
        <w:t>o</w:t>
      </w:r>
      <w:r w:rsidR="00CD14EA" w:rsidRPr="00986221">
        <w:t>V</w:t>
      </w:r>
      <w:r w:rsidRPr="00986221">
        <w:t xml:space="preserve"> and the N</w:t>
      </w:r>
      <w:r w:rsidR="00CD14EA" w:rsidRPr="00986221">
        <w:t>A</w:t>
      </w:r>
      <w:r w:rsidRPr="00986221">
        <w:t xml:space="preserve"> who make decisions) feeding back on the relevance and adequacy of the agencies outputs. </w:t>
      </w:r>
    </w:p>
    <w:p w14:paraId="79D64A2A" w14:textId="6902EAA2" w:rsidR="00321C44" w:rsidRPr="00986221" w:rsidRDefault="00321C44" w:rsidP="005F2B68">
      <w:pPr>
        <w:pStyle w:val="ListParagraph"/>
      </w:pPr>
      <w:r w:rsidRPr="00986221">
        <w:t xml:space="preserve">The action and change theories described above are implicit in the vertical logic described in the logical framework at heading 5 of this Appendix. Figure 1, on the following page, provides a schematic overview of the RCV’s action and change theories. </w:t>
      </w:r>
    </w:p>
    <w:p w14:paraId="2CE83614" w14:textId="1EB9A3DA" w:rsidR="00321C44" w:rsidRPr="00986221" w:rsidRDefault="00321C44" w:rsidP="005F2B68">
      <w:pPr>
        <w:pStyle w:val="ListParagraph"/>
      </w:pPr>
      <w:r w:rsidRPr="00986221">
        <w:t xml:space="preserve">The program’s work structure is broken down by three components, with three beneficiary agencies –CIEM, VCA and IPSARD. </w:t>
      </w:r>
      <w:r w:rsidR="00523129" w:rsidRPr="00986221">
        <w:t>T</w:t>
      </w:r>
      <w:r w:rsidRPr="00986221">
        <w:t>he</w:t>
      </w:r>
      <w:r w:rsidR="00523129" w:rsidRPr="00986221">
        <w:t xml:space="preserve"> program will support </w:t>
      </w:r>
      <w:r w:rsidRPr="00986221">
        <w:t xml:space="preserve">10 outputs. The </w:t>
      </w:r>
      <w:r w:rsidR="0094619F" w:rsidRPr="00986221">
        <w:t xml:space="preserve">intended </w:t>
      </w:r>
      <w:r w:rsidRPr="00986221">
        <w:t xml:space="preserve">consequences </w:t>
      </w:r>
      <w:r w:rsidR="0094619F" w:rsidRPr="00986221">
        <w:t xml:space="preserve">of </w:t>
      </w:r>
      <w:r w:rsidRPr="00986221">
        <w:t>these</w:t>
      </w:r>
      <w:r w:rsidR="0094619F" w:rsidRPr="00986221">
        <w:t xml:space="preserve"> outputs are --</w:t>
      </w:r>
      <w:r w:rsidRPr="00986221">
        <w:t xml:space="preserve"> in different ways and among different </w:t>
      </w:r>
      <w:r w:rsidR="00CD14EA" w:rsidRPr="00986221">
        <w:t>G</w:t>
      </w:r>
      <w:r w:rsidRPr="00986221">
        <w:t>o</w:t>
      </w:r>
      <w:r w:rsidR="00CD14EA" w:rsidRPr="00986221">
        <w:t xml:space="preserve">V </w:t>
      </w:r>
      <w:r w:rsidRPr="00986221">
        <w:t>departments at different times</w:t>
      </w:r>
      <w:r w:rsidR="0094619F" w:rsidRPr="00986221">
        <w:t xml:space="preserve"> --</w:t>
      </w:r>
      <w:r w:rsidRPr="00986221">
        <w:t xml:space="preserve"> to stimulate behavioural changes in </w:t>
      </w:r>
      <w:r w:rsidR="00CD14EA" w:rsidRPr="00986221">
        <w:t>G</w:t>
      </w:r>
      <w:r w:rsidRPr="00986221">
        <w:t>o</w:t>
      </w:r>
      <w:r w:rsidR="00CD14EA" w:rsidRPr="00986221">
        <w:t>V</w:t>
      </w:r>
      <w:r w:rsidRPr="00986221">
        <w:t xml:space="preserve"> institutions. These are collectively defined as the program’s outcome: “</w:t>
      </w:r>
      <w:r w:rsidRPr="00986221">
        <w:rPr>
          <w:i/>
        </w:rPr>
        <w:t>Improve the execution of selected elements of national Master Plan for Economic Restructuring in line with economic cooperation agreements.</w:t>
      </w:r>
      <w:r w:rsidRPr="00986221">
        <w:t xml:space="preserve">” This change, it is assumed, will have a lasting effect beyond the RCV’s two year investment program. These improvements in government’s performance in delivering the MPER  - as defined by the outcome’s indicators - will help </w:t>
      </w:r>
      <w:r w:rsidR="0094619F" w:rsidRPr="00986221">
        <w:t xml:space="preserve">the GoV </w:t>
      </w:r>
      <w:r w:rsidRPr="00986221">
        <w:t>and its citizens realise benefits as judged by the MPER’s overall objective (the Program’s Impact) and specific targets (the Impact’s suite of indicators).</w:t>
      </w:r>
    </w:p>
    <w:p w14:paraId="636F6AD1" w14:textId="059E8042" w:rsidR="00321C44" w:rsidRPr="00986221" w:rsidRDefault="00321C44" w:rsidP="005F2B68">
      <w:pPr>
        <w:pStyle w:val="ListParagraph"/>
      </w:pPr>
      <w:r w:rsidRPr="00986221">
        <w:t xml:space="preserve">As with any program theory the assumptions, particularly those on which the outputs depend in order to stimulate behavioural changes, matter as much as the indicators. The people and institutions in </w:t>
      </w:r>
      <w:r w:rsidR="00CD14EA" w:rsidRPr="00986221">
        <w:t>G</w:t>
      </w:r>
      <w:r w:rsidRPr="00986221">
        <w:t>o</w:t>
      </w:r>
      <w:r w:rsidR="00CD14EA" w:rsidRPr="00986221">
        <w:t>V</w:t>
      </w:r>
      <w:r w:rsidRPr="00986221">
        <w:t xml:space="preserve"> the program supports display behaviours which, whilst having certain regularities, defy prediction. Flexibility is therefore important. </w:t>
      </w:r>
      <w:r w:rsidR="00D558DA" w:rsidRPr="00986221">
        <w:t>T</w:t>
      </w:r>
      <w:r w:rsidRPr="00986221">
        <w:t xml:space="preserve">his, and the implications it has for monitoring, </w:t>
      </w:r>
      <w:r w:rsidR="00D558DA" w:rsidRPr="00986221">
        <w:t xml:space="preserve">are discussed </w:t>
      </w:r>
      <w:r w:rsidRPr="00986221">
        <w:t xml:space="preserve">further in the section on Monitoring. </w:t>
      </w:r>
    </w:p>
    <w:p w14:paraId="4461ADB1" w14:textId="77777777" w:rsidR="00321C44" w:rsidRPr="00986221" w:rsidRDefault="00321C44" w:rsidP="005F2B68">
      <w:pPr>
        <w:pStyle w:val="ListParagraph"/>
        <w:sectPr w:rsidR="00321C44" w:rsidRPr="00986221" w:rsidSect="00201D17">
          <w:pgSz w:w="11900" w:h="16840"/>
          <w:pgMar w:top="1440" w:right="1440" w:bottom="993" w:left="1440" w:header="708" w:footer="708" w:gutter="0"/>
          <w:cols w:space="720"/>
        </w:sectPr>
      </w:pPr>
    </w:p>
    <w:p w14:paraId="72512A00" w14:textId="48EBFC9C" w:rsidR="00321C44" w:rsidRPr="00986221" w:rsidRDefault="00A02522" w:rsidP="00321C44">
      <w:pPr>
        <w:spacing w:before="100" w:beforeAutospacing="1" w:after="100" w:afterAutospacing="1" w:line="240" w:lineRule="atLeast"/>
        <w:ind w:left="357"/>
        <w:jc w:val="both"/>
        <w:rPr>
          <w:rFonts w:cs="Arial"/>
          <w:color w:val="333333"/>
          <w:lang w:eastAsia="en-AU"/>
        </w:rPr>
      </w:pPr>
      <w:r w:rsidRPr="00986221">
        <w:rPr>
          <w:rFonts w:eastAsiaTheme="minorHAnsi" w:cstheme="minorBidi"/>
          <w:noProof/>
          <w:sz w:val="22"/>
          <w:szCs w:val="22"/>
          <w:lang w:eastAsia="en-AU"/>
        </w:rPr>
        <mc:AlternateContent>
          <mc:Choice Requires="wps">
            <w:drawing>
              <wp:anchor distT="0" distB="0" distL="114300" distR="114300" simplePos="0" relativeHeight="251675648" behindDoc="0" locked="0" layoutInCell="1" allowOverlap="1" wp14:anchorId="25E98C90" wp14:editId="1FF65DDA">
                <wp:simplePos x="0" y="0"/>
                <wp:positionH relativeFrom="column">
                  <wp:posOffset>6086639</wp:posOffset>
                </wp:positionH>
                <wp:positionV relativeFrom="paragraph">
                  <wp:posOffset>-2300606</wp:posOffset>
                </wp:positionV>
                <wp:extent cx="417195" cy="5172075"/>
                <wp:effectExtent l="3810" t="0" r="24765" b="24765"/>
                <wp:wrapNone/>
                <wp:docPr id="51" name="Right Brac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H="1">
                          <a:off x="0" y="0"/>
                          <a:ext cx="417195" cy="5172075"/>
                        </a:xfrm>
                        <a:prstGeom prst="rightBrace">
                          <a:avLst>
                            <a:gd name="adj1" fmla="val 103311"/>
                            <a:gd name="adj2" fmla="val 445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1" o:spid="_x0000_s1026" type="#_x0000_t88" style="position:absolute;margin-left:479.25pt;margin-top:-181.15pt;width:32.85pt;height:407.25pt;rotation:9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" adj=",9630"/>
            </w:pict>
          </mc:Fallback>
        </mc:AlternateContent>
      </w:r>
    </w:p>
    <w:p w14:paraId="2EC545E0" w14:textId="3866913D" w:rsidR="00321C44" w:rsidRPr="00986221" w:rsidRDefault="00321C44" w:rsidP="00321C44">
      <w:pPr>
        <w:ind w:left="1069"/>
        <w:jc w:val="both"/>
        <w:rPr>
          <w:rFonts w:eastAsia="Calibri" w:cs="Arial"/>
          <w:b/>
          <w:sz w:val="36"/>
          <w:szCs w:val="36"/>
          <w:lang w:val="en-GB"/>
        </w:rPr>
      </w:pPr>
      <w:r w:rsidRPr="00986221">
        <w:rPr>
          <w:rFonts w:eastAsiaTheme="minorHAnsi" w:cstheme="minorBidi"/>
          <w:noProof/>
          <w:lang w:eastAsia="en-AU"/>
        </w:rPr>
        <mc:AlternateContent>
          <mc:Choice Requires="wps">
            <w:drawing>
              <wp:anchor distT="0" distB="0" distL="114300" distR="114300" simplePos="0" relativeHeight="251674624" behindDoc="0" locked="0" layoutInCell="1" allowOverlap="1" wp14:anchorId="798AD19E" wp14:editId="56E71090">
                <wp:simplePos x="0" y="0"/>
                <wp:positionH relativeFrom="column">
                  <wp:posOffset>5334000</wp:posOffset>
                </wp:positionH>
                <wp:positionV relativeFrom="paragraph">
                  <wp:posOffset>40005</wp:posOffset>
                </wp:positionV>
                <wp:extent cx="2639695" cy="410210"/>
                <wp:effectExtent l="0" t="0" r="27305" b="2794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95" cy="41021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E57EB1D" w14:textId="77777777" w:rsidR="00AB4539" w:rsidRDefault="00AB4539" w:rsidP="00321C44">
                            <w:pPr>
                              <w:jc w:val="center"/>
                              <w:rPr>
                                <w:rFonts w:cs="Arial"/>
                                <w:color w:val="FF0000"/>
                                <w:sz w:val="32"/>
                                <w:szCs w:val="32"/>
                              </w:rPr>
                            </w:pPr>
                            <w:r>
                              <w:rPr>
                                <w:rFonts w:cs="Arial"/>
                                <w:color w:val="FF0000"/>
                                <w:sz w:val="32"/>
                                <w:szCs w:val="32"/>
                              </w:rPr>
                              <w:t>The Change Theory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1" o:spid="_x0000_s1026" type="#_x0000_t202" style="position:absolute;left:0;text-align:left;margin-left:420pt;margin-top:3.15pt;width:207.85pt;height:32.3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" filled="f" strokecolor="white">
                <v:textbox style="mso-fit-shape-to-text:t">
                  <w:txbxContent>
                    <w:p w14:paraId="3E57EB1D" w14:textId="77777777" w:rsidR="00AB4539" w:rsidRDefault="00AB4539" w:rsidP="00321C44">
                      <w:pPr>
                        <w:jc w:val="center"/>
                        <w:rPr>
                          <w:rFonts w:cs="Arial"/>
                          <w:color w:val="FF0000"/>
                          <w:sz w:val="32"/>
                          <w:szCs w:val="32"/>
                        </w:rPr>
                      </w:pPr>
                      <w:r>
                        <w:rPr>
                          <w:rFonts w:cs="Arial"/>
                          <w:color w:val="FF0000"/>
                          <w:sz w:val="32"/>
                          <w:szCs w:val="32"/>
                        </w:rPr>
                        <w:t>The Change Theory</w:t>
                      </w:r>
                    </w:p>
                  </w:txbxContent>
                </v:textbox>
              </v:shape>
            </w:pict>
          </mc:Fallback>
        </mc:AlternateContent>
      </w:r>
      <w:r w:rsidRPr="00986221">
        <w:rPr>
          <w:rFonts w:eastAsiaTheme="minorHAnsi" w:cstheme="minorBidi"/>
          <w:noProof/>
          <w:lang w:eastAsia="en-AU"/>
        </w:rPr>
        <mc:AlternateContent>
          <mc:Choice Requires="wps">
            <w:drawing>
              <wp:anchor distT="0" distB="0" distL="114300" distR="114300" simplePos="0" relativeHeight="251672576" behindDoc="0" locked="0" layoutInCell="1" allowOverlap="1" wp14:anchorId="5D98A1A4" wp14:editId="3C3F5B06">
                <wp:simplePos x="0" y="0"/>
                <wp:positionH relativeFrom="column">
                  <wp:posOffset>481330</wp:posOffset>
                </wp:positionH>
                <wp:positionV relativeFrom="paragraph">
                  <wp:posOffset>304800</wp:posOffset>
                </wp:positionV>
                <wp:extent cx="2639695" cy="410210"/>
                <wp:effectExtent l="0" t="0" r="27305" b="2794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95" cy="41021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DE3847C" w14:textId="77777777" w:rsidR="00AB4539" w:rsidRDefault="00AB4539" w:rsidP="00321C44">
                            <w:pPr>
                              <w:jc w:val="center"/>
                              <w:rPr>
                                <w:rFonts w:cs="Arial"/>
                                <w:color w:val="00B0F0"/>
                                <w:sz w:val="32"/>
                                <w:szCs w:val="32"/>
                              </w:rPr>
                            </w:pPr>
                            <w:r>
                              <w:rPr>
                                <w:rFonts w:cs="Arial"/>
                                <w:color w:val="00B0F0"/>
                                <w:sz w:val="32"/>
                                <w:szCs w:val="32"/>
                              </w:rPr>
                              <w:t>The Action Theory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0" o:spid="_x0000_s1027" type="#_x0000_t202" style="position:absolute;left:0;text-align:left;margin-left:37.9pt;margin-top:24pt;width:207.85pt;height:32.3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" filled="f" strokecolor="white">
                <v:textbox style="mso-fit-shape-to-text:t">
                  <w:txbxContent>
                    <w:p w14:paraId="4DE3847C" w14:textId="77777777" w:rsidR="00AB4539" w:rsidRDefault="00AB4539" w:rsidP="00321C44">
                      <w:pPr>
                        <w:jc w:val="center"/>
                        <w:rPr>
                          <w:rFonts w:cs="Arial"/>
                          <w:color w:val="00B0F0"/>
                          <w:sz w:val="32"/>
                          <w:szCs w:val="32"/>
                        </w:rPr>
                      </w:pPr>
                      <w:r>
                        <w:rPr>
                          <w:rFonts w:cs="Arial"/>
                          <w:color w:val="00B0F0"/>
                          <w:sz w:val="32"/>
                          <w:szCs w:val="32"/>
                        </w:rPr>
                        <w:t>The Action Theory</w:t>
                      </w:r>
                    </w:p>
                  </w:txbxContent>
                </v:textbox>
              </v:shape>
            </w:pict>
          </mc:Fallback>
        </mc:AlternateContent>
      </w:r>
      <w:r w:rsidRPr="00986221">
        <w:rPr>
          <w:rFonts w:eastAsia="Calibri" w:cs="Arial"/>
          <w:b/>
          <w:sz w:val="36"/>
          <w:szCs w:val="36"/>
          <w:lang w:val="en-GB"/>
        </w:rPr>
        <w:t>Figure 1:</w:t>
      </w:r>
      <w:r w:rsidRPr="00986221">
        <w:rPr>
          <w:rFonts w:eastAsia="Calibri" w:cs="Arial"/>
          <w:b/>
          <w:sz w:val="36"/>
          <w:szCs w:val="36"/>
          <w:lang w:val="en-GB"/>
        </w:rPr>
        <w:tab/>
        <w:t>The Theory of Change</w:t>
      </w:r>
    </w:p>
    <w:p w14:paraId="61167039" w14:textId="679CE9F8" w:rsidR="00321C44" w:rsidRPr="00986221" w:rsidRDefault="005B07E8" w:rsidP="00321C44">
      <w:pPr>
        <w:jc w:val="both"/>
        <w:rPr>
          <w:rFonts w:eastAsia="Calibri" w:cs="Arial"/>
          <w:sz w:val="22"/>
          <w:szCs w:val="22"/>
          <w:lang w:val="en-GB"/>
        </w:rPr>
      </w:pPr>
      <w:r w:rsidRPr="00986221">
        <w:rPr>
          <w:rFonts w:eastAsiaTheme="minorHAnsi" w:cstheme="minorBidi"/>
          <w:noProof/>
          <w:sz w:val="22"/>
          <w:szCs w:val="22"/>
          <w:lang w:eastAsia="en-AU"/>
        </w:rPr>
        <mc:AlternateContent>
          <mc:Choice Requires="wps">
            <w:drawing>
              <wp:anchor distT="0" distB="0" distL="114300" distR="114300" simplePos="0" relativeHeight="251678720" behindDoc="0" locked="0" layoutInCell="1" allowOverlap="1" wp14:anchorId="2C749C34" wp14:editId="38705977">
                <wp:simplePos x="0" y="0"/>
                <wp:positionH relativeFrom="column">
                  <wp:posOffset>6205261</wp:posOffset>
                </wp:positionH>
                <wp:positionV relativeFrom="paragraph">
                  <wp:posOffset>182880</wp:posOffset>
                </wp:positionV>
                <wp:extent cx="2667000" cy="1664335"/>
                <wp:effectExtent l="38100" t="38100" r="57150" b="869315"/>
                <wp:wrapNone/>
                <wp:docPr id="48" name="Oval Callout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1664335"/>
                        </a:xfrm>
                        <a:prstGeom prst="wedgeEllipseCallout">
                          <a:avLst>
                            <a:gd name="adj1" fmla="val -23380"/>
                            <a:gd name="adj2" fmla="val 95523"/>
                          </a:avLst>
                        </a:prstGeom>
                        <a:solidFill>
                          <a:srgbClr val="FFFFFF"/>
                        </a:solidFill>
                        <a:ln w="63500" cmpd="thickThin" algn="ctr">
                          <a:solidFill>
                            <a:srgbClr val="92D05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47ABD83" w14:textId="325241FE" w:rsidR="00AB4539" w:rsidRDefault="00AB4539" w:rsidP="00321C44">
                            <w:pPr>
                              <w:rPr>
                                <w:rFonts w:cs="Arial"/>
                                <w:szCs w:val="20"/>
                              </w:rPr>
                            </w:pPr>
                            <w:r>
                              <w:rPr>
                                <w:b/>
                              </w:rPr>
                              <w:t xml:space="preserve">Assumption: </w:t>
                            </w:r>
                            <w:r>
                              <w:rPr>
                                <w:rFonts w:cs="Arial"/>
                                <w:szCs w:val="20"/>
                              </w:rPr>
                              <w:t>GoV and NA remains committed to taking action to facilitate private sector 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48" o:spid="_x0000_s1028" type="#_x0000_t63" style="position:absolute;left:0;text-align:left;margin-left:488.6pt;margin-top:14.4pt;width:210pt;height:13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" adj="5750,31433" strokecolor="#92d050" strokeweight="5pt">
                <v:stroke linestyle="thickThin"/>
                <v:shadow color="#868686"/>
                <v:textbox>
                  <w:txbxContent>
                    <w:p w14:paraId="347ABD83" w14:textId="325241FE" w:rsidR="00AB4539" w:rsidRDefault="00AB4539" w:rsidP="00321C44">
                      <w:pPr>
                        <w:rPr>
                          <w:rFonts w:cs="Arial"/>
                          <w:szCs w:val="20"/>
                        </w:rPr>
                      </w:pPr>
                      <w:r>
                        <w:rPr>
                          <w:b/>
                        </w:rPr>
                        <w:t xml:space="preserve">Assumption: </w:t>
                      </w:r>
                      <w:proofErr w:type="spellStart"/>
                      <w:r>
                        <w:rPr>
                          <w:rFonts w:cs="Arial"/>
                          <w:szCs w:val="20"/>
                        </w:rPr>
                        <w:t>GoV</w:t>
                      </w:r>
                      <w:proofErr w:type="spellEnd"/>
                      <w:r>
                        <w:rPr>
                          <w:rFonts w:cs="Arial"/>
                          <w:szCs w:val="20"/>
                        </w:rPr>
                        <w:t xml:space="preserve"> and NA remains committed to taking action to facilitate private sector development.</w:t>
                      </w:r>
                    </w:p>
                  </w:txbxContent>
                </v:textbox>
              </v:shape>
            </w:pict>
          </mc:Fallback>
        </mc:AlternateContent>
      </w:r>
      <w:r w:rsidR="00321C44" w:rsidRPr="00986221">
        <w:rPr>
          <w:rFonts w:eastAsiaTheme="minorHAnsi" w:cstheme="minorBidi"/>
          <w:noProof/>
          <w:sz w:val="22"/>
          <w:szCs w:val="22"/>
          <w:lang w:eastAsia="en-AU"/>
        </w:rPr>
        <mc:AlternateContent>
          <mc:Choice Requires="wps">
            <w:drawing>
              <wp:anchor distT="0" distB="0" distL="114300" distR="114300" simplePos="0" relativeHeight="251667456" behindDoc="0" locked="0" layoutInCell="1" allowOverlap="1" wp14:anchorId="72B9E14F" wp14:editId="765E1872">
                <wp:simplePos x="0" y="0"/>
                <wp:positionH relativeFrom="column">
                  <wp:posOffset>4150995</wp:posOffset>
                </wp:positionH>
                <wp:positionV relativeFrom="paragraph">
                  <wp:posOffset>2433320</wp:posOffset>
                </wp:positionV>
                <wp:extent cx="2886075" cy="1944370"/>
                <wp:effectExtent l="19050" t="19050" r="47625" b="55880"/>
                <wp:wrapNone/>
                <wp:docPr id="56" name="Rounded 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1944370"/>
                        </a:xfrm>
                        <a:prstGeom prst="roundRect">
                          <a:avLst>
                            <a:gd name="adj" fmla="val 16667"/>
                          </a:avLst>
                        </a:prstGeom>
                        <a:solidFill>
                          <a:srgbClr val="604A7B"/>
                        </a:solidFill>
                        <a:ln w="38100">
                          <a:solidFill>
                            <a:srgbClr val="F2F2F2"/>
                          </a:solidFill>
                          <a:round/>
                          <a:headEnd/>
                          <a:tailEnd/>
                        </a:ln>
                        <a:effectLst>
                          <a:outerShdw dist="28398" dir="3806097" algn="ctr" rotWithShape="0">
                            <a:srgbClr val="205867">
                              <a:alpha val="50000"/>
                            </a:srgbClr>
                          </a:outerShdw>
                        </a:effectLst>
                      </wps:spPr>
                      <wps:txbx>
                        <w:txbxContent>
                          <w:p w14:paraId="225716F9" w14:textId="77777777" w:rsidR="00AB4539" w:rsidRDefault="00AB4539" w:rsidP="00321C44">
                            <w:pPr>
                              <w:pStyle w:val="NormalWeb"/>
                              <w:spacing w:after="0"/>
                              <w:jc w:val="center"/>
                              <w:rPr>
                                <w:rFonts w:ascii="Arial" w:eastAsia="Calibri" w:hAnsi="Arial"/>
                                <w:b/>
                                <w:bCs/>
                                <w:color w:val="FFFFFF"/>
                                <w:kern w:val="24"/>
                                <w:sz w:val="32"/>
                                <w:szCs w:val="32"/>
                              </w:rPr>
                            </w:pPr>
                          </w:p>
                          <w:p w14:paraId="0219200F" w14:textId="77777777" w:rsidR="00AB4539" w:rsidRDefault="00AB4539" w:rsidP="00321C44">
                            <w:pPr>
                              <w:pStyle w:val="NormalWeb"/>
                              <w:spacing w:after="0"/>
                              <w:jc w:val="center"/>
                            </w:pPr>
                            <w:r>
                              <w:rPr>
                                <w:rFonts w:ascii="Arial" w:eastAsia="Calibri" w:hAnsi="Arial"/>
                                <w:b/>
                                <w:bCs/>
                                <w:color w:val="FFFFFF"/>
                                <w:kern w:val="24"/>
                                <w:sz w:val="32"/>
                                <w:szCs w:val="32"/>
                              </w:rPr>
                              <w:t>Outcome</w:t>
                            </w:r>
                            <w:r>
                              <w:rPr>
                                <w:rFonts w:ascii="Arial" w:eastAsia="Calibri" w:hAnsi="Arial"/>
                                <w:b/>
                                <w:bCs/>
                                <w:color w:val="FFFFFF"/>
                                <w:kern w:val="24"/>
                                <w:sz w:val="28"/>
                                <w:szCs w:val="28"/>
                              </w:rPr>
                              <w:t xml:space="preserve"> </w:t>
                            </w:r>
                          </w:p>
                          <w:p w14:paraId="18EF8B83" w14:textId="77777777" w:rsidR="00AB4539" w:rsidRDefault="00AB4539" w:rsidP="00321C44">
                            <w:pPr>
                              <w:pStyle w:val="NormalWeb"/>
                              <w:spacing w:after="0" w:line="240" w:lineRule="auto"/>
                              <w:jc w:val="center"/>
                              <w:rPr>
                                <w:rFonts w:ascii="Arial" w:eastAsia="Calibri" w:hAnsi="Arial"/>
                                <w:b/>
                                <w:bCs/>
                                <w:color w:val="FFFFFF"/>
                                <w:kern w:val="24"/>
                                <w:sz w:val="20"/>
                                <w:szCs w:val="20"/>
                              </w:rPr>
                            </w:pPr>
                            <w:r>
                              <w:rPr>
                                <w:rFonts w:ascii="Arial" w:eastAsia="Calibri" w:hAnsi="Arial"/>
                                <w:b/>
                                <w:bCs/>
                                <w:color w:val="FFFFFF"/>
                                <w:kern w:val="24"/>
                              </w:rPr>
                              <w:t xml:space="preserve"> </w:t>
                            </w:r>
                            <w:r>
                              <w:rPr>
                                <w:rFonts w:ascii="Arial" w:eastAsia="Calibri" w:hAnsi="Arial"/>
                                <w:b/>
                                <w:bCs/>
                                <w:color w:val="FFFFFF"/>
                                <w:kern w:val="24"/>
                                <w:sz w:val="20"/>
                                <w:szCs w:val="20"/>
                              </w:rPr>
                              <w:t>Improved the execution of selected elements of national Master Plan for Economic Restructuring in line with economic cooperation agreements</w:t>
                            </w:r>
                          </w:p>
                          <w:p w14:paraId="38C7CC93" w14:textId="77777777" w:rsidR="00AB4539" w:rsidRDefault="00AB4539" w:rsidP="00321C44">
                            <w:pPr>
                              <w:pStyle w:val="NormalWeb"/>
                              <w:spacing w:after="0" w:line="360" w:lineRule="auto"/>
                              <w:jc w:val="center"/>
                              <w:rPr>
                                <w:rFonts w:ascii="Arial" w:eastAsia="Calibri" w:hAnsi="Arial"/>
                                <w:b/>
                                <w:bCs/>
                                <w:color w:val="FFFFFF"/>
                                <w:kern w:val="24"/>
                                <w:sz w:val="20"/>
                                <w:szCs w:val="20"/>
                              </w:rPr>
                            </w:pPr>
                          </w:p>
                          <w:p w14:paraId="640005C8" w14:textId="77777777" w:rsidR="00AB4539" w:rsidRDefault="00AB4539" w:rsidP="00321C44">
                            <w:pPr>
                              <w:pStyle w:val="NormalWeb"/>
                              <w:spacing w:after="0" w:line="360" w:lineRule="auto"/>
                              <w:jc w:val="center"/>
                            </w:pPr>
                            <w:r>
                              <w:rPr>
                                <w:rFonts w:ascii="Arial" w:eastAsia="Calibri" w:hAnsi="Arial"/>
                                <w:b/>
                                <w:bCs/>
                                <w:color w:val="FFFFFF"/>
                                <w:kern w:val="24"/>
                                <w:sz w:val="20"/>
                                <w:szCs w:val="20"/>
                              </w:rPr>
                              <w:t> </w:t>
                            </w:r>
                          </w:p>
                          <w:p w14:paraId="6FEAB673" w14:textId="77777777" w:rsidR="00AB4539" w:rsidRDefault="00AB4539" w:rsidP="00321C44">
                            <w:pPr>
                              <w:pStyle w:val="NormalWeb"/>
                              <w:spacing w:after="0" w:line="360" w:lineRule="auto"/>
                              <w:jc w:val="center"/>
                            </w:pPr>
                            <w:r>
                              <w:rPr>
                                <w:rFonts w:ascii="Arial" w:eastAsia="Calibri" w:hAnsi="Arial"/>
                                <w:b/>
                                <w:bCs/>
                                <w:color w:val="FFFFFF"/>
                                <w:kern w:val="24"/>
                                <w:sz w:val="20"/>
                                <w:szCs w:val="20"/>
                              </w:rPr>
                              <w:t> </w:t>
                            </w:r>
                          </w:p>
                          <w:p w14:paraId="1A665017" w14:textId="77777777" w:rsidR="00AB4539" w:rsidRDefault="00AB4539" w:rsidP="00321C44">
                            <w:pPr>
                              <w:pStyle w:val="NormalWeb"/>
                              <w:spacing w:after="0" w:line="360" w:lineRule="auto"/>
                              <w:jc w:val="center"/>
                            </w:pPr>
                            <w:r>
                              <w:rPr>
                                <w:rFonts w:ascii="Arial" w:eastAsia="Calibri" w:hAnsi="Arial"/>
                                <w:b/>
                                <w:bCs/>
                                <w:color w:val="FFFFFF"/>
                                <w:kern w:val="24"/>
                                <w:sz w:val="20"/>
                                <w:szCs w:val="20"/>
                              </w:rPr>
                              <w:t> </w:t>
                            </w:r>
                          </w:p>
                          <w:p w14:paraId="621B5500" w14:textId="77777777" w:rsidR="00AB4539" w:rsidRDefault="00AB4539" w:rsidP="00321C44">
                            <w:pPr>
                              <w:pStyle w:val="NormalWeb"/>
                              <w:spacing w:after="0" w:line="360" w:lineRule="auto"/>
                              <w:jc w:val="center"/>
                            </w:pPr>
                            <w:r>
                              <w:rPr>
                                <w:rFonts w:ascii="Arial" w:eastAsia="Calibri" w:hAnsi="Arial"/>
                                <w:b/>
                                <w:bCs/>
                                <w:color w:val="FFFFFF"/>
                                <w:kern w:val="24"/>
                                <w:sz w:val="20"/>
                                <w:szCs w:val="20"/>
                              </w:rPr>
                              <w:t> </w:t>
                            </w:r>
                          </w:p>
                          <w:p w14:paraId="4D98C840" w14:textId="77777777" w:rsidR="00AB4539" w:rsidRDefault="00AB4539" w:rsidP="00321C44">
                            <w:pPr>
                              <w:pStyle w:val="NormalWeb"/>
                              <w:spacing w:after="0" w:line="360" w:lineRule="auto"/>
                              <w:jc w:val="center"/>
                            </w:pPr>
                            <w:r>
                              <w:rPr>
                                <w:rFonts w:ascii="Arial" w:eastAsia="Calibri" w:hAnsi="Arial"/>
                                <w:b/>
                                <w:bCs/>
                                <w:color w:val="FFFFFF"/>
                                <w:kern w:val="24"/>
                                <w:sz w:val="20"/>
                                <w:szCs w:val="20"/>
                              </w:rPr>
                              <w:t> </w:t>
                            </w:r>
                          </w:p>
                          <w:p w14:paraId="794724A0" w14:textId="77777777" w:rsidR="00AB4539" w:rsidRDefault="00AB4539" w:rsidP="00321C44">
                            <w:pPr>
                              <w:pStyle w:val="NormalWeb"/>
                              <w:spacing w:after="0" w:line="360" w:lineRule="auto"/>
                              <w:jc w:val="center"/>
                            </w:pPr>
                            <w:r>
                              <w:rPr>
                                <w:rFonts w:ascii="Arial" w:eastAsia="Calibri" w:hAnsi="Arial"/>
                                <w:b/>
                                <w:bCs/>
                                <w:color w:val="FFFFFF"/>
                                <w:kern w:val="24"/>
                                <w:sz w:val="20"/>
                                <w:szCs w:val="20"/>
                              </w:rPr>
                              <w:t> </w:t>
                            </w:r>
                          </w:p>
                          <w:p w14:paraId="3955051D" w14:textId="77777777" w:rsidR="00AB4539" w:rsidRDefault="00AB4539" w:rsidP="00321C44">
                            <w:pPr>
                              <w:pStyle w:val="NormalWeb"/>
                              <w:spacing w:after="0" w:line="360" w:lineRule="auto"/>
                              <w:jc w:val="center"/>
                            </w:pPr>
                            <w:r>
                              <w:rPr>
                                <w:rFonts w:ascii="Arial" w:eastAsia="Calibri" w:hAnsi="Arial"/>
                                <w:b/>
                                <w:bCs/>
                                <w:color w:val="FFFFFF"/>
                                <w:kern w:val="24"/>
                                <w:sz w:val="20"/>
                                <w:szCs w:val="20"/>
                              </w:rPr>
                              <w:t> </w:t>
                            </w:r>
                          </w:p>
                          <w:p w14:paraId="0DB1EE19" w14:textId="77777777" w:rsidR="00AB4539" w:rsidRDefault="00AB4539" w:rsidP="00321C44">
                            <w:pPr>
                              <w:pStyle w:val="NormalWeb"/>
                              <w:spacing w:after="0" w:line="360" w:lineRule="auto"/>
                              <w:jc w:val="center"/>
                            </w:pPr>
                            <w:r>
                              <w:rPr>
                                <w:rFonts w:ascii="Arial" w:eastAsia="Calibri" w:hAnsi="Arial"/>
                                <w:b/>
                                <w:bCs/>
                                <w:color w:val="FFFFFF"/>
                                <w:kern w:val="24"/>
                                <w:sz w:val="20"/>
                                <w:szCs w:val="20"/>
                              </w:rPr>
                              <w:t> </w:t>
                            </w:r>
                          </w:p>
                          <w:p w14:paraId="7E07F046" w14:textId="77777777" w:rsidR="00AB4539" w:rsidRDefault="00AB4539" w:rsidP="00321C44">
                            <w:pPr>
                              <w:pStyle w:val="NormalWeb"/>
                              <w:spacing w:after="0" w:line="360" w:lineRule="auto"/>
                              <w:jc w:val="center"/>
                            </w:pPr>
                            <w:r>
                              <w:rPr>
                                <w:rFonts w:ascii="Arial" w:eastAsia="Calibri" w:hAnsi="Arial"/>
                                <w:b/>
                                <w:bCs/>
                                <w:color w:val="FFFFFF"/>
                                <w:kern w:val="24"/>
                                <w:sz w:val="20"/>
                                <w:szCs w:val="20"/>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6" o:spid="_x0000_s1029" style="position:absolute;left:0;text-align:left;margin-left:326.85pt;margin-top:191.6pt;width:227.25pt;height:15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" fillcolor="#604a7b" strokecolor="#f2f2f2" strokeweight="3pt">
                <v:shadow on="t" color="#205867" opacity=".5" offset="1pt"/>
                <v:textbox>
                  <w:txbxContent>
                    <w:p w14:paraId="225716F9" w14:textId="77777777" w:rsidR="00AB4539" w:rsidRDefault="00AB4539" w:rsidP="00321C44">
                      <w:pPr>
                        <w:pStyle w:val="NormalWeb"/>
                        <w:spacing w:after="0"/>
                        <w:jc w:val="center"/>
                        <w:rPr>
                          <w:rFonts w:ascii="Arial" w:eastAsia="Calibri" w:hAnsi="Arial"/>
                          <w:b/>
                          <w:bCs/>
                          <w:color w:val="FFFFFF"/>
                          <w:kern w:val="24"/>
                          <w:sz w:val="32"/>
                          <w:szCs w:val="32"/>
                        </w:rPr>
                      </w:pPr>
                    </w:p>
                    <w:p w14:paraId="0219200F" w14:textId="77777777" w:rsidR="00AB4539" w:rsidRDefault="00AB4539" w:rsidP="00321C44">
                      <w:pPr>
                        <w:pStyle w:val="NormalWeb"/>
                        <w:spacing w:after="0"/>
                        <w:jc w:val="center"/>
                      </w:pPr>
                      <w:r>
                        <w:rPr>
                          <w:rFonts w:ascii="Arial" w:eastAsia="Calibri" w:hAnsi="Arial"/>
                          <w:b/>
                          <w:bCs/>
                          <w:color w:val="FFFFFF"/>
                          <w:kern w:val="24"/>
                          <w:sz w:val="32"/>
                          <w:szCs w:val="32"/>
                        </w:rPr>
                        <w:t>Outcome</w:t>
                      </w:r>
                      <w:r>
                        <w:rPr>
                          <w:rFonts w:ascii="Arial" w:eastAsia="Calibri" w:hAnsi="Arial"/>
                          <w:b/>
                          <w:bCs/>
                          <w:color w:val="FFFFFF"/>
                          <w:kern w:val="24"/>
                          <w:sz w:val="28"/>
                          <w:szCs w:val="28"/>
                        </w:rPr>
                        <w:t xml:space="preserve"> </w:t>
                      </w:r>
                    </w:p>
                    <w:p w14:paraId="18EF8B83" w14:textId="77777777" w:rsidR="00AB4539" w:rsidRDefault="00AB4539" w:rsidP="00321C44">
                      <w:pPr>
                        <w:pStyle w:val="NormalWeb"/>
                        <w:spacing w:after="0" w:line="240" w:lineRule="auto"/>
                        <w:jc w:val="center"/>
                        <w:rPr>
                          <w:rFonts w:ascii="Arial" w:eastAsia="Calibri" w:hAnsi="Arial"/>
                          <w:b/>
                          <w:bCs/>
                          <w:color w:val="FFFFFF"/>
                          <w:kern w:val="24"/>
                          <w:sz w:val="20"/>
                          <w:szCs w:val="20"/>
                        </w:rPr>
                      </w:pPr>
                      <w:r>
                        <w:rPr>
                          <w:rFonts w:ascii="Arial" w:eastAsia="Calibri" w:hAnsi="Arial"/>
                          <w:b/>
                          <w:bCs/>
                          <w:color w:val="FFFFFF"/>
                          <w:kern w:val="24"/>
                        </w:rPr>
                        <w:t xml:space="preserve"> </w:t>
                      </w:r>
                      <w:r>
                        <w:rPr>
                          <w:rFonts w:ascii="Arial" w:eastAsia="Calibri" w:hAnsi="Arial"/>
                          <w:b/>
                          <w:bCs/>
                          <w:color w:val="FFFFFF"/>
                          <w:kern w:val="24"/>
                          <w:sz w:val="20"/>
                          <w:szCs w:val="20"/>
                        </w:rPr>
                        <w:t>Improved the execution of selected elements of national Master Plan for Economic Restructuring in line with economic cooperation agreements</w:t>
                      </w:r>
                    </w:p>
                    <w:p w14:paraId="38C7CC93" w14:textId="77777777" w:rsidR="00AB4539" w:rsidRDefault="00AB4539" w:rsidP="00321C44">
                      <w:pPr>
                        <w:pStyle w:val="NormalWeb"/>
                        <w:spacing w:after="0" w:line="360" w:lineRule="auto"/>
                        <w:jc w:val="center"/>
                        <w:rPr>
                          <w:rFonts w:ascii="Arial" w:eastAsia="Calibri" w:hAnsi="Arial"/>
                          <w:b/>
                          <w:bCs/>
                          <w:color w:val="FFFFFF"/>
                          <w:kern w:val="24"/>
                          <w:sz w:val="20"/>
                          <w:szCs w:val="20"/>
                        </w:rPr>
                      </w:pPr>
                    </w:p>
                    <w:p w14:paraId="640005C8" w14:textId="77777777" w:rsidR="00AB4539" w:rsidRDefault="00AB4539" w:rsidP="00321C44">
                      <w:pPr>
                        <w:pStyle w:val="NormalWeb"/>
                        <w:spacing w:after="0" w:line="360" w:lineRule="auto"/>
                        <w:jc w:val="center"/>
                      </w:pPr>
                      <w:r>
                        <w:rPr>
                          <w:rFonts w:ascii="Arial" w:eastAsia="Calibri" w:hAnsi="Arial"/>
                          <w:b/>
                          <w:bCs/>
                          <w:color w:val="FFFFFF"/>
                          <w:kern w:val="24"/>
                          <w:sz w:val="20"/>
                          <w:szCs w:val="20"/>
                        </w:rPr>
                        <w:t> </w:t>
                      </w:r>
                    </w:p>
                    <w:p w14:paraId="6FEAB673" w14:textId="77777777" w:rsidR="00AB4539" w:rsidRDefault="00AB4539" w:rsidP="00321C44">
                      <w:pPr>
                        <w:pStyle w:val="NormalWeb"/>
                        <w:spacing w:after="0" w:line="360" w:lineRule="auto"/>
                        <w:jc w:val="center"/>
                      </w:pPr>
                      <w:r>
                        <w:rPr>
                          <w:rFonts w:ascii="Arial" w:eastAsia="Calibri" w:hAnsi="Arial"/>
                          <w:b/>
                          <w:bCs/>
                          <w:color w:val="FFFFFF"/>
                          <w:kern w:val="24"/>
                          <w:sz w:val="20"/>
                          <w:szCs w:val="20"/>
                        </w:rPr>
                        <w:t> </w:t>
                      </w:r>
                    </w:p>
                    <w:p w14:paraId="1A665017" w14:textId="77777777" w:rsidR="00AB4539" w:rsidRDefault="00AB4539" w:rsidP="00321C44">
                      <w:pPr>
                        <w:pStyle w:val="NormalWeb"/>
                        <w:spacing w:after="0" w:line="360" w:lineRule="auto"/>
                        <w:jc w:val="center"/>
                      </w:pPr>
                      <w:r>
                        <w:rPr>
                          <w:rFonts w:ascii="Arial" w:eastAsia="Calibri" w:hAnsi="Arial"/>
                          <w:b/>
                          <w:bCs/>
                          <w:color w:val="FFFFFF"/>
                          <w:kern w:val="24"/>
                          <w:sz w:val="20"/>
                          <w:szCs w:val="20"/>
                        </w:rPr>
                        <w:t> </w:t>
                      </w:r>
                    </w:p>
                    <w:p w14:paraId="621B5500" w14:textId="77777777" w:rsidR="00AB4539" w:rsidRDefault="00AB4539" w:rsidP="00321C44">
                      <w:pPr>
                        <w:pStyle w:val="NormalWeb"/>
                        <w:spacing w:after="0" w:line="360" w:lineRule="auto"/>
                        <w:jc w:val="center"/>
                      </w:pPr>
                      <w:r>
                        <w:rPr>
                          <w:rFonts w:ascii="Arial" w:eastAsia="Calibri" w:hAnsi="Arial"/>
                          <w:b/>
                          <w:bCs/>
                          <w:color w:val="FFFFFF"/>
                          <w:kern w:val="24"/>
                          <w:sz w:val="20"/>
                          <w:szCs w:val="20"/>
                        </w:rPr>
                        <w:t> </w:t>
                      </w:r>
                    </w:p>
                    <w:p w14:paraId="4D98C840" w14:textId="77777777" w:rsidR="00AB4539" w:rsidRDefault="00AB4539" w:rsidP="00321C44">
                      <w:pPr>
                        <w:pStyle w:val="NormalWeb"/>
                        <w:spacing w:after="0" w:line="360" w:lineRule="auto"/>
                        <w:jc w:val="center"/>
                      </w:pPr>
                      <w:r>
                        <w:rPr>
                          <w:rFonts w:ascii="Arial" w:eastAsia="Calibri" w:hAnsi="Arial"/>
                          <w:b/>
                          <w:bCs/>
                          <w:color w:val="FFFFFF"/>
                          <w:kern w:val="24"/>
                          <w:sz w:val="20"/>
                          <w:szCs w:val="20"/>
                        </w:rPr>
                        <w:t> </w:t>
                      </w:r>
                    </w:p>
                    <w:p w14:paraId="794724A0" w14:textId="77777777" w:rsidR="00AB4539" w:rsidRDefault="00AB4539" w:rsidP="00321C44">
                      <w:pPr>
                        <w:pStyle w:val="NormalWeb"/>
                        <w:spacing w:after="0" w:line="360" w:lineRule="auto"/>
                        <w:jc w:val="center"/>
                      </w:pPr>
                      <w:r>
                        <w:rPr>
                          <w:rFonts w:ascii="Arial" w:eastAsia="Calibri" w:hAnsi="Arial"/>
                          <w:b/>
                          <w:bCs/>
                          <w:color w:val="FFFFFF"/>
                          <w:kern w:val="24"/>
                          <w:sz w:val="20"/>
                          <w:szCs w:val="20"/>
                        </w:rPr>
                        <w:t> </w:t>
                      </w:r>
                    </w:p>
                    <w:p w14:paraId="3955051D" w14:textId="77777777" w:rsidR="00AB4539" w:rsidRDefault="00AB4539" w:rsidP="00321C44">
                      <w:pPr>
                        <w:pStyle w:val="NormalWeb"/>
                        <w:spacing w:after="0" w:line="360" w:lineRule="auto"/>
                        <w:jc w:val="center"/>
                      </w:pPr>
                      <w:r>
                        <w:rPr>
                          <w:rFonts w:ascii="Arial" w:eastAsia="Calibri" w:hAnsi="Arial"/>
                          <w:b/>
                          <w:bCs/>
                          <w:color w:val="FFFFFF"/>
                          <w:kern w:val="24"/>
                          <w:sz w:val="20"/>
                          <w:szCs w:val="20"/>
                        </w:rPr>
                        <w:t> </w:t>
                      </w:r>
                    </w:p>
                    <w:p w14:paraId="0DB1EE19" w14:textId="77777777" w:rsidR="00AB4539" w:rsidRDefault="00AB4539" w:rsidP="00321C44">
                      <w:pPr>
                        <w:pStyle w:val="NormalWeb"/>
                        <w:spacing w:after="0" w:line="360" w:lineRule="auto"/>
                        <w:jc w:val="center"/>
                      </w:pPr>
                      <w:r>
                        <w:rPr>
                          <w:rFonts w:ascii="Arial" w:eastAsia="Calibri" w:hAnsi="Arial"/>
                          <w:b/>
                          <w:bCs/>
                          <w:color w:val="FFFFFF"/>
                          <w:kern w:val="24"/>
                          <w:sz w:val="20"/>
                          <w:szCs w:val="20"/>
                        </w:rPr>
                        <w:t> </w:t>
                      </w:r>
                    </w:p>
                    <w:p w14:paraId="7E07F046" w14:textId="77777777" w:rsidR="00AB4539" w:rsidRDefault="00AB4539" w:rsidP="00321C44">
                      <w:pPr>
                        <w:pStyle w:val="NormalWeb"/>
                        <w:spacing w:after="0" w:line="360" w:lineRule="auto"/>
                        <w:jc w:val="center"/>
                      </w:pPr>
                      <w:r>
                        <w:rPr>
                          <w:rFonts w:ascii="Arial" w:eastAsia="Calibri" w:hAnsi="Arial"/>
                          <w:b/>
                          <w:bCs/>
                          <w:color w:val="FFFFFF"/>
                          <w:kern w:val="24"/>
                          <w:sz w:val="20"/>
                          <w:szCs w:val="20"/>
                        </w:rPr>
                        <w:t> </w:t>
                      </w:r>
                    </w:p>
                  </w:txbxContent>
                </v:textbox>
              </v:roundrect>
            </w:pict>
          </mc:Fallback>
        </mc:AlternateContent>
      </w:r>
      <w:r w:rsidR="00321C44" w:rsidRPr="00986221">
        <w:rPr>
          <w:rFonts w:eastAsiaTheme="minorHAnsi" w:cstheme="minorBidi"/>
          <w:noProof/>
          <w:sz w:val="22"/>
          <w:szCs w:val="22"/>
          <w:lang w:eastAsia="en-AU"/>
        </w:rPr>
        <mc:AlternateContent>
          <mc:Choice Requires="wps">
            <w:drawing>
              <wp:anchor distT="0" distB="0" distL="114300" distR="114300" simplePos="0" relativeHeight="251669504" behindDoc="0" locked="0" layoutInCell="1" allowOverlap="1" wp14:anchorId="515E12C9" wp14:editId="49E38D28">
                <wp:simplePos x="0" y="0"/>
                <wp:positionH relativeFrom="column">
                  <wp:posOffset>4893945</wp:posOffset>
                </wp:positionH>
                <wp:positionV relativeFrom="paragraph">
                  <wp:posOffset>2187575</wp:posOffset>
                </wp:positionV>
                <wp:extent cx="1512570" cy="412115"/>
                <wp:effectExtent l="0" t="0" r="0" b="698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570" cy="41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152F7" w14:textId="77777777" w:rsidR="00AB4539" w:rsidRDefault="00AB4539" w:rsidP="00321C44">
                            <w:pPr>
                              <w:pStyle w:val="NormalWeb"/>
                              <w:spacing w:after="0"/>
                            </w:pPr>
                            <w:r>
                              <w:rPr>
                                <w:rFonts w:ascii="Calibri" w:hAnsi="Calibri"/>
                                <w:color w:val="000000"/>
                                <w:kern w:val="24"/>
                                <w:sz w:val="36"/>
                                <w:szCs w:val="36"/>
                              </w:rPr>
                              <w:t xml:space="preserve">Assumptions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4" o:spid="_x0000_s1030" type="#_x0000_t202" style="position:absolute;left:0;text-align:left;margin-left:385.35pt;margin-top:172.25pt;width:119.1pt;height:32.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" filled="f" stroked="f">
                <v:textbox style="mso-fit-shape-to-text:t">
                  <w:txbxContent>
                    <w:p w14:paraId="4CC152F7" w14:textId="77777777" w:rsidR="00AB4539" w:rsidRDefault="00AB4539" w:rsidP="00321C44">
                      <w:pPr>
                        <w:pStyle w:val="NormalWeb"/>
                        <w:spacing w:after="0"/>
                      </w:pPr>
                      <w:r>
                        <w:rPr>
                          <w:rFonts w:ascii="Calibri" w:hAnsi="Calibri"/>
                          <w:color w:val="000000"/>
                          <w:kern w:val="24"/>
                          <w:sz w:val="36"/>
                          <w:szCs w:val="36"/>
                        </w:rPr>
                        <w:t xml:space="preserve">Assumptions </w:t>
                      </w:r>
                    </w:p>
                  </w:txbxContent>
                </v:textbox>
              </v:shape>
            </w:pict>
          </mc:Fallback>
        </mc:AlternateContent>
      </w:r>
      <w:r w:rsidR="00321C44" w:rsidRPr="00986221">
        <w:rPr>
          <w:rFonts w:eastAsiaTheme="minorHAnsi" w:cstheme="minorBidi"/>
          <w:noProof/>
          <w:sz w:val="22"/>
          <w:szCs w:val="22"/>
          <w:lang w:eastAsia="en-AU"/>
        </w:rPr>
        <mc:AlternateContent>
          <mc:Choice Requires="wps">
            <w:drawing>
              <wp:anchor distT="0" distB="0" distL="114300" distR="114300" simplePos="0" relativeHeight="251673600" behindDoc="0" locked="0" layoutInCell="1" allowOverlap="1" wp14:anchorId="1E726716" wp14:editId="5040F12B">
                <wp:simplePos x="0" y="0"/>
                <wp:positionH relativeFrom="column">
                  <wp:posOffset>1627505</wp:posOffset>
                </wp:positionH>
                <wp:positionV relativeFrom="paragraph">
                  <wp:posOffset>-1876425</wp:posOffset>
                </wp:positionV>
                <wp:extent cx="417195" cy="4191000"/>
                <wp:effectExtent l="0" t="952" r="20002" b="20003"/>
                <wp:wrapNone/>
                <wp:docPr id="52" name="Right Brac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417195" cy="4191000"/>
                        </a:xfrm>
                        <a:prstGeom prst="rightBrace">
                          <a:avLst>
                            <a:gd name="adj1" fmla="val 8371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Right Brace 52" o:spid="_x0000_s1026" type="#_x0000_t88" style="position:absolute;margin-left:128.15pt;margin-top:-147.75pt;width:32.85pt;height:330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"/>
            </w:pict>
          </mc:Fallback>
        </mc:AlternateContent>
      </w:r>
    </w:p>
    <w:p w14:paraId="34DC3058" w14:textId="36E8EEF0" w:rsidR="00321C44" w:rsidRPr="00986221" w:rsidRDefault="005B07E8" w:rsidP="00321C44">
      <w:pPr>
        <w:jc w:val="both"/>
        <w:rPr>
          <w:rFonts w:eastAsia="Calibri" w:cs="Arial"/>
          <w:lang w:val="en-GB"/>
        </w:rPr>
      </w:pPr>
      <w:r w:rsidRPr="00986221">
        <w:rPr>
          <w:rFonts w:eastAsiaTheme="minorHAnsi" w:cstheme="minorBidi"/>
          <w:noProof/>
          <w:sz w:val="22"/>
          <w:szCs w:val="22"/>
          <w:lang w:eastAsia="en-AU"/>
        </w:rPr>
        <mc:AlternateContent>
          <mc:Choice Requires="wps">
            <w:drawing>
              <wp:anchor distT="0" distB="0" distL="114300" distR="114300" simplePos="0" relativeHeight="251686912" behindDoc="0" locked="0" layoutInCell="1" allowOverlap="1" wp14:anchorId="5ACD4943" wp14:editId="21234648">
                <wp:simplePos x="0" y="0"/>
                <wp:positionH relativeFrom="column">
                  <wp:posOffset>2900680</wp:posOffset>
                </wp:positionH>
                <wp:positionV relativeFrom="paragraph">
                  <wp:posOffset>90170</wp:posOffset>
                </wp:positionV>
                <wp:extent cx="3543935" cy="1225550"/>
                <wp:effectExtent l="19050" t="19050" r="37465" b="584200"/>
                <wp:wrapNone/>
                <wp:docPr id="44" name="Oval Callout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935" cy="1225550"/>
                        </a:xfrm>
                        <a:prstGeom prst="wedgeEllipseCallout">
                          <a:avLst>
                            <a:gd name="adj1" fmla="val 19398"/>
                            <a:gd name="adj2" fmla="val 92796"/>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3C51A16" w14:textId="6C4FF52B" w:rsidR="00AB4539" w:rsidRDefault="00AB4539" w:rsidP="00321C44">
                            <w:pPr>
                              <w:jc w:val="both"/>
                              <w:rPr>
                                <w:rFonts w:cs="Arial"/>
                                <w:szCs w:val="20"/>
                              </w:rPr>
                            </w:pPr>
                            <w:r>
                              <w:rPr>
                                <w:b/>
                              </w:rPr>
                              <w:t xml:space="preserve">Assumption: </w:t>
                            </w:r>
                            <w:r>
                              <w:rPr>
                                <w:rFonts w:cs="Arial"/>
                                <w:szCs w:val="20"/>
                              </w:rPr>
                              <w:t xml:space="preserve">Implementation of MPER remains a high GoV and CPV priority, and received continued support from the broader community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val Callout 44" o:spid="_x0000_s1031" type="#_x0000_t63" style="position:absolute;left:0;text-align:left;margin-left:228.4pt;margin-top:7.1pt;width:279.05pt;height:9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" adj="14990,30844" strokecolor="#4f81bd" strokeweight="5pt">
                <v:stroke linestyle="thickThin"/>
                <v:shadow color="#868686"/>
                <v:textbox>
                  <w:txbxContent>
                    <w:p w14:paraId="63C51A16" w14:textId="6C4FF52B" w:rsidR="00AB4539" w:rsidRDefault="00AB4539" w:rsidP="00321C44">
                      <w:pPr>
                        <w:jc w:val="both"/>
                        <w:rPr>
                          <w:rFonts w:cs="Arial"/>
                          <w:szCs w:val="20"/>
                        </w:rPr>
                      </w:pPr>
                      <w:r>
                        <w:rPr>
                          <w:b/>
                        </w:rPr>
                        <w:t xml:space="preserve">Assumption: </w:t>
                      </w:r>
                      <w:r>
                        <w:rPr>
                          <w:rFonts w:cs="Arial"/>
                          <w:szCs w:val="20"/>
                        </w:rPr>
                        <w:t xml:space="preserve">Implementation of MPER remains a high </w:t>
                      </w:r>
                      <w:proofErr w:type="spellStart"/>
                      <w:r>
                        <w:rPr>
                          <w:rFonts w:cs="Arial"/>
                          <w:szCs w:val="20"/>
                        </w:rPr>
                        <w:t>GoV</w:t>
                      </w:r>
                      <w:proofErr w:type="spellEnd"/>
                      <w:r>
                        <w:rPr>
                          <w:rFonts w:cs="Arial"/>
                          <w:szCs w:val="20"/>
                        </w:rPr>
                        <w:t xml:space="preserve"> and CPV priority, and received continued support from the broader community </w:t>
                      </w:r>
                    </w:p>
                  </w:txbxContent>
                </v:textbox>
              </v:shape>
            </w:pict>
          </mc:Fallback>
        </mc:AlternateContent>
      </w:r>
    </w:p>
    <w:p w14:paraId="7E37808C" w14:textId="78FC6D16" w:rsidR="00321C44" w:rsidRPr="00986221" w:rsidRDefault="005B07E8" w:rsidP="00321C44">
      <w:pPr>
        <w:jc w:val="both"/>
        <w:rPr>
          <w:rFonts w:eastAsia="Calibri" w:cs="Arial"/>
          <w:lang w:val="en-GB"/>
        </w:rPr>
      </w:pPr>
      <w:r w:rsidRPr="00986221">
        <w:rPr>
          <w:rFonts w:eastAsiaTheme="minorHAnsi" w:cstheme="minorBidi"/>
          <w:noProof/>
          <w:sz w:val="22"/>
          <w:szCs w:val="22"/>
          <w:lang w:eastAsia="en-AU"/>
        </w:rPr>
        <mc:AlternateContent>
          <mc:Choice Requires="wps">
            <w:drawing>
              <wp:anchor distT="0" distB="0" distL="114300" distR="114300" simplePos="0" relativeHeight="251664384" behindDoc="0" locked="0" layoutInCell="1" allowOverlap="1" wp14:anchorId="437E0B89" wp14:editId="06B95A85">
                <wp:simplePos x="0" y="0"/>
                <wp:positionH relativeFrom="column">
                  <wp:posOffset>987425</wp:posOffset>
                </wp:positionH>
                <wp:positionV relativeFrom="paragraph">
                  <wp:posOffset>106045</wp:posOffset>
                </wp:positionV>
                <wp:extent cx="1944370" cy="1762125"/>
                <wp:effectExtent l="19050" t="19050" r="36830" b="66675"/>
                <wp:wrapNone/>
                <wp:docPr id="59" name="Rounded 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4370" cy="1762125"/>
                        </a:xfrm>
                        <a:prstGeom prst="roundRect">
                          <a:avLst>
                            <a:gd name="adj" fmla="val 16667"/>
                          </a:avLst>
                        </a:prstGeom>
                        <a:solidFill>
                          <a:srgbClr val="00B0F0"/>
                        </a:solidFill>
                        <a:ln w="38100">
                          <a:solidFill>
                            <a:srgbClr val="FFFFFF"/>
                          </a:solidFill>
                          <a:round/>
                          <a:headEnd/>
                          <a:tailEnd/>
                        </a:ln>
                        <a:effectLst>
                          <a:outerShdw dist="28398" dir="3806097" algn="ctr" rotWithShape="0">
                            <a:srgbClr val="F2F2F2">
                              <a:alpha val="50000"/>
                            </a:srgbClr>
                          </a:outerShdw>
                        </a:effectLst>
                      </wps:spPr>
                      <wps:txbx>
                        <w:txbxContent>
                          <w:p w14:paraId="2C5E77CB" w14:textId="77777777" w:rsidR="00AB4539" w:rsidRDefault="00AB4539" w:rsidP="00321C44">
                            <w:pPr>
                              <w:pStyle w:val="NormalWeb"/>
                              <w:spacing w:after="240"/>
                              <w:jc w:val="center"/>
                            </w:pPr>
                            <w:r>
                              <w:rPr>
                                <w:rFonts w:ascii="Arial" w:eastAsia="Calibri" w:hAnsi="Arial"/>
                                <w:b/>
                                <w:bCs/>
                                <w:color w:val="FFFFFF"/>
                                <w:kern w:val="24"/>
                                <w:sz w:val="28"/>
                                <w:szCs w:val="28"/>
                              </w:rPr>
                              <w:t>Component 1</w:t>
                            </w:r>
                          </w:p>
                          <w:p w14:paraId="3F266C0E" w14:textId="0179C806" w:rsidR="00AB4539" w:rsidRDefault="00AB4539" w:rsidP="00321C44">
                            <w:pPr>
                              <w:pStyle w:val="NormalWeb"/>
                              <w:jc w:val="center"/>
                              <w:rPr>
                                <w:sz w:val="22"/>
                                <w:szCs w:val="22"/>
                              </w:rPr>
                            </w:pPr>
                            <w:r>
                              <w:rPr>
                                <w:rFonts w:ascii="Arial" w:eastAsia="Calibri" w:hAnsi="Arial"/>
                                <w:b/>
                                <w:bCs/>
                                <w:color w:val="FFFFFF"/>
                                <w:kern w:val="24"/>
                                <w:sz w:val="22"/>
                                <w:szCs w:val="22"/>
                              </w:rPr>
                              <w:t xml:space="preserve">Enhanced regulatory environment for businesses and corporate governance of </w:t>
                            </w:r>
                            <w:proofErr w:type="spellStart"/>
                            <w:r>
                              <w:rPr>
                                <w:rFonts w:ascii="Arial" w:eastAsia="Calibri" w:hAnsi="Arial"/>
                                <w:b/>
                                <w:bCs/>
                                <w:color w:val="FFFFFF"/>
                                <w:kern w:val="24"/>
                                <w:sz w:val="22"/>
                                <w:szCs w:val="22"/>
                              </w:rPr>
                              <w:t>SoE</w:t>
                            </w:r>
                            <w:proofErr w:type="spellEnd"/>
                            <w:r>
                              <w:rPr>
                                <w:rFonts w:ascii="Arial" w:eastAsia="Calibri" w:hAnsi="Arial"/>
                                <w:b/>
                                <w:bCs/>
                                <w:color w:val="FFFFFF"/>
                                <w:kern w:val="24"/>
                                <w:sz w:val="22"/>
                                <w:szCs w:val="22"/>
                              </w:rPr>
                              <w:t xml:space="preserve"> promoted by CIEM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9" o:spid="_x0000_s1032" style="position:absolute;left:0;text-align:left;margin-left:77.75pt;margin-top:8.35pt;width:153.1pt;height:13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" fillcolor="#00b0f0" strokecolor="white" strokeweight="3pt">
                <v:shadow on="t" color="#f2f2f2" opacity=".5" offset="1pt"/>
                <v:textbox>
                  <w:txbxContent>
                    <w:p w14:paraId="2C5E77CB" w14:textId="77777777" w:rsidR="00AB4539" w:rsidRDefault="00AB4539" w:rsidP="00321C44">
                      <w:pPr>
                        <w:pStyle w:val="NormalWeb"/>
                        <w:spacing w:after="240"/>
                        <w:jc w:val="center"/>
                      </w:pPr>
                      <w:r>
                        <w:rPr>
                          <w:rFonts w:ascii="Arial" w:eastAsia="Calibri" w:hAnsi="Arial"/>
                          <w:b/>
                          <w:bCs/>
                          <w:color w:val="FFFFFF"/>
                          <w:kern w:val="24"/>
                          <w:sz w:val="28"/>
                          <w:szCs w:val="28"/>
                        </w:rPr>
                        <w:t>Component 1</w:t>
                      </w:r>
                    </w:p>
                    <w:p w14:paraId="3F266C0E" w14:textId="0179C806" w:rsidR="00AB4539" w:rsidRDefault="00AB4539" w:rsidP="00321C44">
                      <w:pPr>
                        <w:pStyle w:val="NormalWeb"/>
                        <w:jc w:val="center"/>
                        <w:rPr>
                          <w:sz w:val="22"/>
                          <w:szCs w:val="22"/>
                        </w:rPr>
                      </w:pPr>
                      <w:r>
                        <w:rPr>
                          <w:rFonts w:ascii="Arial" w:eastAsia="Calibri" w:hAnsi="Arial"/>
                          <w:b/>
                          <w:bCs/>
                          <w:color w:val="FFFFFF"/>
                          <w:kern w:val="24"/>
                          <w:sz w:val="22"/>
                          <w:szCs w:val="22"/>
                        </w:rPr>
                        <w:t xml:space="preserve">Enhanced regulatory environment for businesses and corporate governance of </w:t>
                      </w:r>
                      <w:proofErr w:type="spellStart"/>
                      <w:r>
                        <w:rPr>
                          <w:rFonts w:ascii="Arial" w:eastAsia="Calibri" w:hAnsi="Arial"/>
                          <w:b/>
                          <w:bCs/>
                          <w:color w:val="FFFFFF"/>
                          <w:kern w:val="24"/>
                          <w:sz w:val="22"/>
                          <w:szCs w:val="22"/>
                        </w:rPr>
                        <w:t>SoE</w:t>
                      </w:r>
                      <w:proofErr w:type="spellEnd"/>
                      <w:r>
                        <w:rPr>
                          <w:rFonts w:ascii="Arial" w:eastAsia="Calibri" w:hAnsi="Arial"/>
                          <w:b/>
                          <w:bCs/>
                          <w:color w:val="FFFFFF"/>
                          <w:kern w:val="24"/>
                          <w:sz w:val="22"/>
                          <w:szCs w:val="22"/>
                        </w:rPr>
                        <w:t xml:space="preserve"> promoted by CIEM</w:t>
                      </w:r>
                    </w:p>
                  </w:txbxContent>
                </v:textbox>
              </v:roundrect>
            </w:pict>
          </mc:Fallback>
        </mc:AlternateContent>
      </w:r>
      <w:r w:rsidRPr="00986221">
        <w:rPr>
          <w:rFonts w:eastAsiaTheme="minorHAnsi" w:cstheme="minorBidi"/>
          <w:noProof/>
          <w:sz w:val="22"/>
          <w:szCs w:val="22"/>
          <w:lang w:eastAsia="en-AU"/>
        </w:rPr>
        <mc:AlternateContent>
          <mc:Choice Requires="wps">
            <w:drawing>
              <wp:anchor distT="0" distB="0" distL="114300" distR="114300" simplePos="0" relativeHeight="251677696" behindDoc="0" locked="0" layoutInCell="1" allowOverlap="1" wp14:anchorId="3461F158" wp14:editId="6151BC12">
                <wp:simplePos x="0" y="0"/>
                <wp:positionH relativeFrom="column">
                  <wp:posOffset>-764540</wp:posOffset>
                </wp:positionH>
                <wp:positionV relativeFrom="paragraph">
                  <wp:posOffset>208280</wp:posOffset>
                </wp:positionV>
                <wp:extent cx="1552575" cy="4972050"/>
                <wp:effectExtent l="0" t="0" r="28575" b="1905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972050"/>
                        </a:xfrm>
                        <a:prstGeom prst="rect">
                          <a:avLst/>
                        </a:prstGeom>
                        <a:solidFill>
                          <a:srgbClr val="FFFFFF"/>
                        </a:solidFill>
                        <a:ln w="9525">
                          <a:solidFill>
                            <a:srgbClr val="000000"/>
                          </a:solidFill>
                          <a:miter lim="800000"/>
                          <a:headEnd/>
                          <a:tailEnd/>
                        </a:ln>
                      </wps:spPr>
                      <wps:txbx>
                        <w:txbxContent>
                          <w:p w14:paraId="3B8F1FEB" w14:textId="77777777" w:rsidR="00AB4539" w:rsidRDefault="00AB4539" w:rsidP="00321C44">
                            <w:pPr>
                              <w:jc w:val="center"/>
                              <w:rPr>
                                <w:rFonts w:cs="Arial"/>
                                <w:b/>
                                <w:color w:val="00B0F0"/>
                                <w:sz w:val="24"/>
                              </w:rPr>
                            </w:pPr>
                            <w:r>
                              <w:rPr>
                                <w:rFonts w:cs="Arial"/>
                                <w:b/>
                                <w:color w:val="00B0F0"/>
                                <w:sz w:val="24"/>
                              </w:rPr>
                              <w:t>Processes:</w:t>
                            </w:r>
                          </w:p>
                          <w:p w14:paraId="7CC8612B" w14:textId="77777777" w:rsidR="00AB4539" w:rsidRDefault="00AB4539" w:rsidP="00321C44">
                            <w:pPr>
                              <w:rPr>
                                <w:rFonts w:cs="Arial"/>
                                <w:szCs w:val="20"/>
                              </w:rPr>
                            </w:pPr>
                            <w:r>
                              <w:rPr>
                                <w:rFonts w:cs="Arial"/>
                                <w:szCs w:val="20"/>
                              </w:rPr>
                              <w:t>A mixed package of Technical Assistance and Grants that supports VCA, CIEM and IPSARD, for example to:</w:t>
                            </w:r>
                          </w:p>
                          <w:p w14:paraId="2E44B6EB" w14:textId="77777777" w:rsidR="00AB4539" w:rsidRDefault="00AB4539" w:rsidP="00154C7D">
                            <w:pPr>
                              <w:numPr>
                                <w:ilvl w:val="0"/>
                                <w:numId w:val="15"/>
                              </w:numPr>
                              <w:spacing w:before="0" w:after="200" w:line="276" w:lineRule="auto"/>
                              <w:rPr>
                                <w:rFonts w:cs="Arial"/>
                                <w:szCs w:val="20"/>
                              </w:rPr>
                            </w:pPr>
                            <w:r>
                              <w:rPr>
                                <w:rFonts w:cs="Arial"/>
                                <w:szCs w:val="20"/>
                              </w:rPr>
                              <w:t xml:space="preserve">Diagnose opportunities to amend the competition, investment and enterprise laws </w:t>
                            </w:r>
                          </w:p>
                          <w:p w14:paraId="1D2A186F" w14:textId="77777777" w:rsidR="00AB4539" w:rsidRDefault="00AB4539" w:rsidP="00154C7D">
                            <w:pPr>
                              <w:numPr>
                                <w:ilvl w:val="0"/>
                                <w:numId w:val="15"/>
                              </w:numPr>
                              <w:spacing w:before="0" w:after="200" w:line="276" w:lineRule="auto"/>
                              <w:rPr>
                                <w:rFonts w:cs="Arial"/>
                                <w:szCs w:val="20"/>
                              </w:rPr>
                            </w:pPr>
                            <w:r>
                              <w:rPr>
                                <w:rFonts w:cs="Arial"/>
                                <w:szCs w:val="20"/>
                              </w:rPr>
                              <w:t xml:space="preserve">Analyse opportunities with which to improve the business and investment climates; and </w:t>
                            </w:r>
                          </w:p>
                          <w:p w14:paraId="72F8239A" w14:textId="77777777" w:rsidR="00AB4539" w:rsidRDefault="00AB4539" w:rsidP="00154C7D">
                            <w:pPr>
                              <w:numPr>
                                <w:ilvl w:val="0"/>
                                <w:numId w:val="15"/>
                              </w:numPr>
                              <w:spacing w:before="0" w:after="200" w:line="276" w:lineRule="auto"/>
                              <w:rPr>
                                <w:rFonts w:asciiTheme="minorHAnsi" w:hAnsiTheme="minorHAnsi" w:cstheme="minorBidi"/>
                                <w:szCs w:val="20"/>
                              </w:rPr>
                            </w:pPr>
                            <w:r>
                              <w:rPr>
                                <w:rFonts w:cs="Arial"/>
                                <w:szCs w:val="20"/>
                              </w:rPr>
                              <w:t>Prepare proposals and action plans to stimulate a more</w:t>
                            </w:r>
                            <w:r>
                              <w:rPr>
                                <w:rFonts w:cs="Arial"/>
                              </w:rPr>
                              <w:t xml:space="preserve"> </w:t>
                            </w:r>
                            <w:r>
                              <w:rPr>
                                <w:rFonts w:cs="Arial"/>
                                <w:szCs w:val="20"/>
                              </w:rPr>
                              <w:t>competitive paddy sub-sector in Dong Thap Province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9" o:spid="_x0000_s1033" type="#_x0000_t202" style="position:absolute;left:0;text-align:left;margin-left:-60.2pt;margin-top:16.4pt;width:122.25pt;height:39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">
                <v:textbox>
                  <w:txbxContent>
                    <w:p w14:paraId="3B8F1FEB" w14:textId="77777777" w:rsidR="00AB4539" w:rsidRDefault="00AB4539" w:rsidP="00321C44">
                      <w:pPr>
                        <w:jc w:val="center"/>
                        <w:rPr>
                          <w:rFonts w:cs="Arial"/>
                          <w:b/>
                          <w:color w:val="00B0F0"/>
                          <w:sz w:val="24"/>
                        </w:rPr>
                      </w:pPr>
                      <w:r>
                        <w:rPr>
                          <w:rFonts w:cs="Arial"/>
                          <w:b/>
                          <w:color w:val="00B0F0"/>
                          <w:sz w:val="24"/>
                        </w:rPr>
                        <w:t>Processes:</w:t>
                      </w:r>
                    </w:p>
                    <w:p w14:paraId="7CC8612B" w14:textId="77777777" w:rsidR="00AB4539" w:rsidRDefault="00AB4539" w:rsidP="00321C44">
                      <w:pPr>
                        <w:rPr>
                          <w:rFonts w:cs="Arial"/>
                          <w:szCs w:val="20"/>
                        </w:rPr>
                      </w:pPr>
                      <w:r>
                        <w:rPr>
                          <w:rFonts w:cs="Arial"/>
                          <w:szCs w:val="20"/>
                        </w:rPr>
                        <w:t>A mixed package of Technical Assistance and Grants that supports VCA, CIEM and IPSARD, for example to:</w:t>
                      </w:r>
                    </w:p>
                    <w:p w14:paraId="2E44B6EB" w14:textId="77777777" w:rsidR="00AB4539" w:rsidRDefault="00AB4539" w:rsidP="00154C7D">
                      <w:pPr>
                        <w:numPr>
                          <w:ilvl w:val="0"/>
                          <w:numId w:val="15"/>
                        </w:numPr>
                        <w:spacing w:before="0" w:after="200" w:line="276" w:lineRule="auto"/>
                        <w:rPr>
                          <w:rFonts w:cs="Arial"/>
                          <w:szCs w:val="20"/>
                        </w:rPr>
                      </w:pPr>
                      <w:r>
                        <w:rPr>
                          <w:rFonts w:cs="Arial"/>
                          <w:szCs w:val="20"/>
                        </w:rPr>
                        <w:t xml:space="preserve">Diagnose opportunities to amend the competition, investment and enterprise laws </w:t>
                      </w:r>
                    </w:p>
                    <w:p w14:paraId="1D2A186F" w14:textId="77777777" w:rsidR="00AB4539" w:rsidRDefault="00AB4539" w:rsidP="00154C7D">
                      <w:pPr>
                        <w:numPr>
                          <w:ilvl w:val="0"/>
                          <w:numId w:val="15"/>
                        </w:numPr>
                        <w:spacing w:before="0" w:after="200" w:line="276" w:lineRule="auto"/>
                        <w:rPr>
                          <w:rFonts w:cs="Arial"/>
                          <w:szCs w:val="20"/>
                        </w:rPr>
                      </w:pPr>
                      <w:r>
                        <w:rPr>
                          <w:rFonts w:cs="Arial"/>
                          <w:szCs w:val="20"/>
                        </w:rPr>
                        <w:t xml:space="preserve">Analyse opportunities with which to improve the business and investment climates; and </w:t>
                      </w:r>
                    </w:p>
                    <w:p w14:paraId="72F8239A" w14:textId="77777777" w:rsidR="00AB4539" w:rsidRDefault="00AB4539" w:rsidP="00154C7D">
                      <w:pPr>
                        <w:numPr>
                          <w:ilvl w:val="0"/>
                          <w:numId w:val="15"/>
                        </w:numPr>
                        <w:spacing w:before="0" w:after="200" w:line="276" w:lineRule="auto"/>
                        <w:rPr>
                          <w:rFonts w:asciiTheme="minorHAnsi" w:hAnsiTheme="minorHAnsi" w:cstheme="minorBidi"/>
                          <w:szCs w:val="20"/>
                        </w:rPr>
                      </w:pPr>
                      <w:r>
                        <w:rPr>
                          <w:rFonts w:cs="Arial"/>
                          <w:szCs w:val="20"/>
                        </w:rPr>
                        <w:t>Prepare proposals and action plans to stimulate a more</w:t>
                      </w:r>
                      <w:r>
                        <w:rPr>
                          <w:rFonts w:cs="Arial"/>
                        </w:rPr>
                        <w:t xml:space="preserve"> </w:t>
                      </w:r>
                      <w:r>
                        <w:rPr>
                          <w:rFonts w:cs="Arial"/>
                          <w:szCs w:val="20"/>
                        </w:rPr>
                        <w:t xml:space="preserve">competitive paddy sub-sector in Dong </w:t>
                      </w:r>
                      <w:proofErr w:type="spellStart"/>
                      <w:r>
                        <w:rPr>
                          <w:rFonts w:cs="Arial"/>
                          <w:szCs w:val="20"/>
                        </w:rPr>
                        <w:t>Thap</w:t>
                      </w:r>
                      <w:proofErr w:type="spellEnd"/>
                      <w:r>
                        <w:rPr>
                          <w:rFonts w:cs="Arial"/>
                          <w:szCs w:val="20"/>
                        </w:rPr>
                        <w:t xml:space="preserve"> Province</w:t>
                      </w:r>
                    </w:p>
                  </w:txbxContent>
                </v:textbox>
              </v:shape>
            </w:pict>
          </mc:Fallback>
        </mc:AlternateContent>
      </w:r>
    </w:p>
    <w:p w14:paraId="324B803C" w14:textId="77777777" w:rsidR="00321C44" w:rsidRPr="00986221" w:rsidRDefault="00321C44" w:rsidP="00321C44">
      <w:pPr>
        <w:jc w:val="both"/>
        <w:rPr>
          <w:rFonts w:eastAsia="Calibri" w:cs="Arial"/>
          <w:lang w:val="en-GB"/>
        </w:rPr>
      </w:pPr>
    </w:p>
    <w:p w14:paraId="15833D90" w14:textId="77777777" w:rsidR="00321C44" w:rsidRPr="00986221" w:rsidRDefault="00321C44" w:rsidP="00321C44">
      <w:pPr>
        <w:jc w:val="both"/>
        <w:rPr>
          <w:rFonts w:eastAsia="Calibri" w:cs="Arial"/>
          <w:lang w:val="en-GB"/>
        </w:rPr>
      </w:pPr>
    </w:p>
    <w:p w14:paraId="66DD86E4" w14:textId="253DD5D4" w:rsidR="00321C44" w:rsidRPr="00986221" w:rsidRDefault="005B07E8" w:rsidP="00321C44">
      <w:pPr>
        <w:jc w:val="both"/>
        <w:rPr>
          <w:rFonts w:eastAsia="Calibri" w:cs="Arial"/>
          <w:lang w:val="en-GB"/>
        </w:rPr>
      </w:pPr>
      <w:r w:rsidRPr="00986221">
        <w:rPr>
          <w:rFonts w:eastAsiaTheme="minorHAnsi" w:cstheme="minorBidi"/>
          <w:noProof/>
          <w:sz w:val="22"/>
          <w:szCs w:val="22"/>
          <w:lang w:eastAsia="en-AU"/>
        </w:rPr>
        <mc:AlternateContent>
          <mc:Choice Requires="wps">
            <w:drawing>
              <wp:anchor distT="0" distB="0" distL="114300" distR="114300" simplePos="0" relativeHeight="251671552" behindDoc="0" locked="0" layoutInCell="1" allowOverlap="1" wp14:anchorId="210380D6" wp14:editId="6670DF94">
                <wp:simplePos x="0" y="0"/>
                <wp:positionH relativeFrom="column">
                  <wp:posOffset>791845</wp:posOffset>
                </wp:positionH>
                <wp:positionV relativeFrom="paragraph">
                  <wp:posOffset>205740</wp:posOffset>
                </wp:positionV>
                <wp:extent cx="305435" cy="3779520"/>
                <wp:effectExtent l="0" t="0" r="18415" b="11430"/>
                <wp:wrapNone/>
                <wp:docPr id="53" name="Left Brac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305435" cy="3779520"/>
                        </a:xfrm>
                        <a:prstGeom prst="leftBrace">
                          <a:avLst>
                            <a:gd name="adj1" fmla="val 103119"/>
                            <a:gd name="adj2" fmla="val 494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53" o:spid="_x0000_s1026" type="#_x0000_t87" style="position:absolute;margin-left:62.35pt;margin-top:16.2pt;width:24.05pt;height:297.6pt;rotation:18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" adj=",10684"/>
            </w:pict>
          </mc:Fallback>
        </mc:AlternateContent>
      </w:r>
    </w:p>
    <w:p w14:paraId="5B8CC0E7" w14:textId="77777777" w:rsidR="00321C44" w:rsidRPr="00986221" w:rsidRDefault="00321C44" w:rsidP="00321C44">
      <w:pPr>
        <w:tabs>
          <w:tab w:val="left" w:pos="5529"/>
        </w:tabs>
        <w:jc w:val="both"/>
        <w:rPr>
          <w:rFonts w:eastAsia="Calibri" w:cs="Arial"/>
          <w:lang w:val="en-GB"/>
        </w:rPr>
      </w:pPr>
    </w:p>
    <w:p w14:paraId="41D14339" w14:textId="3EEC0264" w:rsidR="00321C44" w:rsidRPr="00986221" w:rsidRDefault="005B07E8" w:rsidP="00321C44">
      <w:pPr>
        <w:jc w:val="both"/>
        <w:rPr>
          <w:rFonts w:eastAsia="Calibri" w:cs="Arial"/>
          <w:lang w:val="en-GB"/>
        </w:rPr>
      </w:pPr>
      <w:r w:rsidRPr="00986221">
        <w:rPr>
          <w:rFonts w:eastAsiaTheme="minorHAnsi" w:cstheme="minorBidi"/>
          <w:noProof/>
          <w:sz w:val="22"/>
          <w:szCs w:val="22"/>
          <w:lang w:eastAsia="en-AU"/>
        </w:rPr>
        <mc:AlternateContent>
          <mc:Choice Requires="wps">
            <w:drawing>
              <wp:anchor distT="0" distB="0" distL="114300" distR="114300" simplePos="0" relativeHeight="251682816" behindDoc="0" locked="0" layoutInCell="1" allowOverlap="1" wp14:anchorId="63F49087" wp14:editId="35D5F4A9">
                <wp:simplePos x="0" y="0"/>
                <wp:positionH relativeFrom="column">
                  <wp:posOffset>4449445</wp:posOffset>
                </wp:positionH>
                <wp:positionV relativeFrom="paragraph">
                  <wp:posOffset>152400</wp:posOffset>
                </wp:positionV>
                <wp:extent cx="0" cy="381000"/>
                <wp:effectExtent l="76200" t="0" r="76200" b="3810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38100">
                          <a:solidFill>
                            <a:srgbClr val="943634"/>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l21600,21600e" filled="f">
                <v:path arrowok="t" fillok="f" o:connecttype="none"/>
                <o:lock v:ext="edit" shapetype="t"/>
              </v:shapetype>
              <v:shape id="Straight Arrow Connector 46" o:spid="_x0000_s1026" type="#_x0000_t32" style="position:absolute;margin-left:350.35pt;margin-top:12pt;width:0;height:3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" strokecolor="#943634" strokeweight="3pt">
                <v:stroke endarrow="block"/>
                <v:shadow color="#3f3151" opacity=".5" offset="1pt"/>
              </v:shape>
            </w:pict>
          </mc:Fallback>
        </mc:AlternateContent>
      </w:r>
      <w:r w:rsidRPr="00986221">
        <w:rPr>
          <w:rFonts w:eastAsiaTheme="minorHAnsi" w:cstheme="minorBidi"/>
          <w:noProof/>
          <w:sz w:val="22"/>
          <w:szCs w:val="22"/>
          <w:lang w:eastAsia="en-AU"/>
        </w:rPr>
        <mc:AlternateContent>
          <mc:Choice Requires="wps">
            <w:drawing>
              <wp:anchor distT="0" distB="0" distL="114300" distR="114300" simplePos="0" relativeHeight="251681792" behindDoc="0" locked="0" layoutInCell="1" allowOverlap="1" wp14:anchorId="10994B90" wp14:editId="1DEEDF58">
                <wp:simplePos x="0" y="0"/>
                <wp:positionH relativeFrom="column">
                  <wp:posOffset>2802255</wp:posOffset>
                </wp:positionH>
                <wp:positionV relativeFrom="paragraph">
                  <wp:posOffset>152400</wp:posOffset>
                </wp:positionV>
                <wp:extent cx="1642110" cy="0"/>
                <wp:effectExtent l="0" t="19050" r="15240" b="1905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2110" cy="0"/>
                        </a:xfrm>
                        <a:prstGeom prst="straightConnector1">
                          <a:avLst/>
                        </a:prstGeom>
                        <a:noFill/>
                        <a:ln w="38100">
                          <a:solidFill>
                            <a:srgbClr val="94363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Straight Arrow Connector 47" o:spid="_x0000_s1026" type="#_x0000_t32" style="position:absolute;margin-left:220.65pt;margin-top:12pt;width:129.3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" strokecolor="#943634" strokeweight="3pt">
                <v:shadow color="#3f3151" opacity=".5" offset="1pt"/>
              </v:shape>
            </w:pict>
          </mc:Fallback>
        </mc:AlternateContent>
      </w:r>
    </w:p>
    <w:p w14:paraId="140CAB5D" w14:textId="787A711A" w:rsidR="00321C44" w:rsidRPr="00986221" w:rsidRDefault="005B07E8" w:rsidP="00321C44">
      <w:pPr>
        <w:ind w:left="-567"/>
        <w:jc w:val="both"/>
        <w:rPr>
          <w:rFonts w:eastAsia="Calibri" w:cs="Arial"/>
          <w:lang w:val="en-GB"/>
        </w:rPr>
      </w:pPr>
      <w:r w:rsidRPr="00986221">
        <w:rPr>
          <w:rFonts w:eastAsiaTheme="minorHAnsi" w:cstheme="minorBidi"/>
          <w:noProof/>
          <w:sz w:val="22"/>
          <w:szCs w:val="22"/>
          <w:lang w:eastAsia="en-AU"/>
        </w:rPr>
        <mc:AlternateContent>
          <mc:Choice Requires="wps">
            <w:drawing>
              <wp:anchor distT="0" distB="0" distL="114300" distR="114300" simplePos="0" relativeHeight="251676672" behindDoc="0" locked="0" layoutInCell="1" allowOverlap="1" wp14:anchorId="0BC2346D" wp14:editId="616D957E">
                <wp:simplePos x="0" y="0"/>
                <wp:positionH relativeFrom="column">
                  <wp:posOffset>7477432</wp:posOffset>
                </wp:positionH>
                <wp:positionV relativeFrom="paragraph">
                  <wp:posOffset>56022</wp:posOffset>
                </wp:positionV>
                <wp:extent cx="1575435" cy="2519557"/>
                <wp:effectExtent l="19050" t="19050" r="43815" b="52705"/>
                <wp:wrapNone/>
                <wp:docPr id="50" name="Rounded 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5435" cy="2519557"/>
                        </a:xfrm>
                        <a:prstGeom prst="roundRect">
                          <a:avLst>
                            <a:gd name="adj" fmla="val 16667"/>
                          </a:avLst>
                        </a:prstGeom>
                        <a:solidFill>
                          <a:srgbClr val="00B050"/>
                        </a:solidFill>
                        <a:ln w="38100">
                          <a:solidFill>
                            <a:srgbClr val="FFFFFF"/>
                          </a:solidFill>
                          <a:round/>
                          <a:headEnd/>
                          <a:tailEnd/>
                        </a:ln>
                        <a:effectLst>
                          <a:outerShdw dist="28398" dir="3806097" algn="ctr" rotWithShape="0">
                            <a:srgbClr val="F2F2F2">
                              <a:alpha val="50000"/>
                            </a:srgbClr>
                          </a:outerShdw>
                        </a:effectLst>
                      </wps:spPr>
                      <wps:txbx>
                        <w:txbxContent>
                          <w:p w14:paraId="2F98A326" w14:textId="77777777" w:rsidR="00AB4539" w:rsidRDefault="00AB4539" w:rsidP="00321C44">
                            <w:pPr>
                              <w:pStyle w:val="NormalWeb"/>
                              <w:spacing w:after="120"/>
                              <w:jc w:val="center"/>
                              <w:rPr>
                                <w:rFonts w:ascii="Arial" w:eastAsia="Calibri" w:hAnsi="Arial"/>
                                <w:b/>
                                <w:bCs/>
                                <w:color w:val="FFFFFF"/>
                                <w:kern w:val="24"/>
                                <w:sz w:val="28"/>
                                <w:szCs w:val="28"/>
                              </w:rPr>
                            </w:pPr>
                            <w:r>
                              <w:rPr>
                                <w:rFonts w:ascii="Arial" w:eastAsia="Calibri" w:hAnsi="Arial"/>
                                <w:b/>
                                <w:bCs/>
                                <w:color w:val="FFFFFF"/>
                                <w:kern w:val="24"/>
                                <w:sz w:val="28"/>
                                <w:szCs w:val="28"/>
                              </w:rPr>
                              <w:t>Impact</w:t>
                            </w:r>
                          </w:p>
                          <w:p w14:paraId="0DB7C558" w14:textId="77777777" w:rsidR="00AB4539" w:rsidRPr="005B07E8" w:rsidRDefault="00AB4539" w:rsidP="00321C44">
                            <w:pPr>
                              <w:pStyle w:val="NormalWeb"/>
                              <w:spacing w:after="120" w:line="240" w:lineRule="auto"/>
                              <w:jc w:val="center"/>
                              <w:rPr>
                                <w:rFonts w:ascii="Arial" w:eastAsia="Calibri" w:hAnsi="Arial"/>
                                <w:b/>
                                <w:bCs/>
                                <w:color w:val="FFFFFF"/>
                                <w:kern w:val="24"/>
                              </w:rPr>
                            </w:pPr>
                            <w:proofErr w:type="gramStart"/>
                            <w:r w:rsidRPr="005B07E8">
                              <w:rPr>
                                <w:rFonts w:ascii="Arial" w:eastAsia="Calibri" w:hAnsi="Arial"/>
                                <w:b/>
                                <w:bCs/>
                                <w:color w:val="FFFFFF"/>
                                <w:kern w:val="24"/>
                              </w:rPr>
                              <w:t>More transparent and internationally competitive economy with increased productivity, and accelerated growth in employment and income.</w:t>
                            </w:r>
                            <w:proofErr w:type="gramEnd"/>
                            <w:r w:rsidRPr="005B07E8">
                              <w:rPr>
                                <w:rFonts w:ascii="Arial" w:eastAsia="Calibri" w:hAnsi="Arial"/>
                                <w:b/>
                                <w:bCs/>
                                <w:color w:val="FFFFFF"/>
                                <w:kern w:val="24"/>
                              </w:rPr>
                              <w:t xml:space="preserve"> </w:t>
                            </w:r>
                          </w:p>
                          <w:p w14:paraId="5E1A80F5" w14:textId="77777777" w:rsidR="00AB4539" w:rsidRPr="005B07E8" w:rsidRDefault="00AB4539" w:rsidP="00321C44">
                            <w:pPr>
                              <w:pStyle w:val="NormalWeb"/>
                              <w:spacing w:after="120" w:line="240" w:lineRule="auto"/>
                              <w:jc w:val="center"/>
                              <w:rPr>
                                <w:rFonts w:ascii="Arial" w:eastAsia="Calibri" w:hAnsi="Arial"/>
                                <w:b/>
                                <w:bCs/>
                                <w:color w:val="FFFFFF"/>
                                <w:kern w:val="24"/>
                              </w:rPr>
                            </w:pPr>
                          </w:p>
                          <w:p w14:paraId="39D2157D" w14:textId="77777777" w:rsidR="00AB4539" w:rsidRDefault="00AB4539" w:rsidP="00321C44">
                            <w:pPr>
                              <w:pStyle w:val="NormalWeb"/>
                              <w:spacing w:after="120" w:line="240" w:lineRule="auto"/>
                              <w:jc w:val="center"/>
                              <w:rPr>
                                <w:rFonts w:ascii="Arial" w:eastAsia="Calibri" w:hAnsi="Arial"/>
                                <w:b/>
                                <w:bCs/>
                                <w:color w:val="FFFFFF"/>
                                <w:kern w:val="24"/>
                                <w:sz w:val="20"/>
                                <w:szCs w:val="20"/>
                              </w:rPr>
                            </w:pPr>
                          </w:p>
                          <w:p w14:paraId="4B8F381F" w14:textId="77777777" w:rsidR="00AB4539" w:rsidRDefault="00AB4539" w:rsidP="00321C44">
                            <w:pPr>
                              <w:pStyle w:val="NormalWeb"/>
                              <w:spacing w:after="120" w:line="240" w:lineRule="auto"/>
                              <w:jc w:val="center"/>
                              <w:rPr>
                                <w:rFonts w:ascii="Arial" w:eastAsia="Calibri" w:hAnsi="Arial"/>
                                <w:b/>
                                <w:bCs/>
                                <w:color w:val="FFFFFF"/>
                                <w:kern w:val="24"/>
                                <w:sz w:val="20"/>
                                <w:szCs w:val="20"/>
                              </w:rPr>
                            </w:pPr>
                          </w:p>
                          <w:p w14:paraId="5068E3B0" w14:textId="77777777" w:rsidR="00AB4539" w:rsidRDefault="00AB4539" w:rsidP="00321C44">
                            <w:pPr>
                              <w:pStyle w:val="NormalWeb"/>
                              <w:spacing w:after="120"/>
                              <w:jc w:val="center"/>
                              <w:rPr>
                                <w:rFonts w:ascii="Arial" w:eastAsia="Calibri" w:hAnsi="Arial"/>
                                <w:b/>
                                <w:bCs/>
                                <w:color w:val="FFFFFF"/>
                                <w:kern w:val="24"/>
                                <w:sz w:val="20"/>
                                <w:szCs w:val="20"/>
                              </w:rPr>
                            </w:pPr>
                          </w:p>
                          <w:p w14:paraId="62F3BC63" w14:textId="77777777" w:rsidR="00AB4539" w:rsidRDefault="00AB4539" w:rsidP="00321C44">
                            <w:pPr>
                              <w:pStyle w:val="NormalWeb"/>
                              <w:spacing w:after="120"/>
                              <w:jc w:val="center"/>
                              <w:rPr>
                                <w:rFonts w:ascii="Arial" w:eastAsia="Calibri" w:hAnsi="Arial"/>
                                <w:b/>
                                <w:bCs/>
                                <w:color w:val="FFFFFF"/>
                                <w:kern w:val="24"/>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0" o:spid="_x0000_s1034" style="position:absolute;left:0;text-align:left;margin-left:588.75pt;margin-top:4.4pt;width:124.05pt;height:198.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" fillcolor="#00b050" strokecolor="white" strokeweight="3pt">
                <v:shadow on="t" color="#f2f2f2" opacity=".5" offset="1pt"/>
                <v:textbox>
                  <w:txbxContent>
                    <w:p w14:paraId="2F98A326" w14:textId="77777777" w:rsidR="00AB4539" w:rsidRDefault="00AB4539" w:rsidP="00321C44">
                      <w:pPr>
                        <w:pStyle w:val="NormalWeb"/>
                        <w:spacing w:after="120"/>
                        <w:jc w:val="center"/>
                        <w:rPr>
                          <w:rFonts w:ascii="Arial" w:eastAsia="Calibri" w:hAnsi="Arial"/>
                          <w:b/>
                          <w:bCs/>
                          <w:color w:val="FFFFFF"/>
                          <w:kern w:val="24"/>
                          <w:sz w:val="28"/>
                          <w:szCs w:val="28"/>
                        </w:rPr>
                      </w:pPr>
                      <w:r>
                        <w:rPr>
                          <w:rFonts w:ascii="Arial" w:eastAsia="Calibri" w:hAnsi="Arial"/>
                          <w:b/>
                          <w:bCs/>
                          <w:color w:val="FFFFFF"/>
                          <w:kern w:val="24"/>
                          <w:sz w:val="28"/>
                          <w:szCs w:val="28"/>
                        </w:rPr>
                        <w:t>Impact</w:t>
                      </w:r>
                    </w:p>
                    <w:p w14:paraId="0DB7C558" w14:textId="77777777" w:rsidR="00AB4539" w:rsidRPr="005B07E8" w:rsidRDefault="00AB4539" w:rsidP="00321C44">
                      <w:pPr>
                        <w:pStyle w:val="NormalWeb"/>
                        <w:spacing w:after="120" w:line="240" w:lineRule="auto"/>
                        <w:jc w:val="center"/>
                        <w:rPr>
                          <w:rFonts w:ascii="Arial" w:eastAsia="Calibri" w:hAnsi="Arial"/>
                          <w:b/>
                          <w:bCs/>
                          <w:color w:val="FFFFFF"/>
                          <w:kern w:val="24"/>
                        </w:rPr>
                      </w:pPr>
                      <w:proofErr w:type="gramStart"/>
                      <w:r w:rsidRPr="005B07E8">
                        <w:rPr>
                          <w:rFonts w:ascii="Arial" w:eastAsia="Calibri" w:hAnsi="Arial"/>
                          <w:b/>
                          <w:bCs/>
                          <w:color w:val="FFFFFF"/>
                          <w:kern w:val="24"/>
                        </w:rPr>
                        <w:t>More transparent and internationally competitive economy with increased productivity, and accelerated growth in employment and income.</w:t>
                      </w:r>
                      <w:proofErr w:type="gramEnd"/>
                      <w:r w:rsidRPr="005B07E8">
                        <w:rPr>
                          <w:rFonts w:ascii="Arial" w:eastAsia="Calibri" w:hAnsi="Arial"/>
                          <w:b/>
                          <w:bCs/>
                          <w:color w:val="FFFFFF"/>
                          <w:kern w:val="24"/>
                        </w:rPr>
                        <w:t xml:space="preserve"> </w:t>
                      </w:r>
                    </w:p>
                    <w:p w14:paraId="5E1A80F5" w14:textId="77777777" w:rsidR="00AB4539" w:rsidRPr="005B07E8" w:rsidRDefault="00AB4539" w:rsidP="00321C44">
                      <w:pPr>
                        <w:pStyle w:val="NormalWeb"/>
                        <w:spacing w:after="120" w:line="240" w:lineRule="auto"/>
                        <w:jc w:val="center"/>
                        <w:rPr>
                          <w:rFonts w:ascii="Arial" w:eastAsia="Calibri" w:hAnsi="Arial"/>
                          <w:b/>
                          <w:bCs/>
                          <w:color w:val="FFFFFF"/>
                          <w:kern w:val="24"/>
                        </w:rPr>
                      </w:pPr>
                    </w:p>
                    <w:p w14:paraId="39D2157D" w14:textId="77777777" w:rsidR="00AB4539" w:rsidRDefault="00AB4539" w:rsidP="00321C44">
                      <w:pPr>
                        <w:pStyle w:val="NormalWeb"/>
                        <w:spacing w:after="120" w:line="240" w:lineRule="auto"/>
                        <w:jc w:val="center"/>
                        <w:rPr>
                          <w:rFonts w:ascii="Arial" w:eastAsia="Calibri" w:hAnsi="Arial"/>
                          <w:b/>
                          <w:bCs/>
                          <w:color w:val="FFFFFF"/>
                          <w:kern w:val="24"/>
                          <w:sz w:val="20"/>
                          <w:szCs w:val="20"/>
                        </w:rPr>
                      </w:pPr>
                    </w:p>
                    <w:p w14:paraId="4B8F381F" w14:textId="77777777" w:rsidR="00AB4539" w:rsidRDefault="00AB4539" w:rsidP="00321C44">
                      <w:pPr>
                        <w:pStyle w:val="NormalWeb"/>
                        <w:spacing w:after="120" w:line="240" w:lineRule="auto"/>
                        <w:jc w:val="center"/>
                        <w:rPr>
                          <w:rFonts w:ascii="Arial" w:eastAsia="Calibri" w:hAnsi="Arial"/>
                          <w:b/>
                          <w:bCs/>
                          <w:color w:val="FFFFFF"/>
                          <w:kern w:val="24"/>
                          <w:sz w:val="20"/>
                          <w:szCs w:val="20"/>
                        </w:rPr>
                      </w:pPr>
                    </w:p>
                    <w:p w14:paraId="5068E3B0" w14:textId="77777777" w:rsidR="00AB4539" w:rsidRDefault="00AB4539" w:rsidP="00321C44">
                      <w:pPr>
                        <w:pStyle w:val="NormalWeb"/>
                        <w:spacing w:after="120"/>
                        <w:jc w:val="center"/>
                        <w:rPr>
                          <w:rFonts w:ascii="Arial" w:eastAsia="Calibri" w:hAnsi="Arial"/>
                          <w:b/>
                          <w:bCs/>
                          <w:color w:val="FFFFFF"/>
                          <w:kern w:val="24"/>
                          <w:sz w:val="20"/>
                          <w:szCs w:val="20"/>
                        </w:rPr>
                      </w:pPr>
                    </w:p>
                    <w:p w14:paraId="62F3BC63" w14:textId="77777777" w:rsidR="00AB4539" w:rsidRDefault="00AB4539" w:rsidP="00321C44">
                      <w:pPr>
                        <w:pStyle w:val="NormalWeb"/>
                        <w:spacing w:after="120"/>
                        <w:jc w:val="center"/>
                        <w:rPr>
                          <w:rFonts w:ascii="Arial" w:eastAsia="Calibri" w:hAnsi="Arial"/>
                          <w:b/>
                          <w:bCs/>
                          <w:color w:val="FFFFFF"/>
                          <w:kern w:val="24"/>
                          <w:sz w:val="28"/>
                          <w:szCs w:val="28"/>
                        </w:rPr>
                      </w:pPr>
                    </w:p>
                  </w:txbxContent>
                </v:textbox>
              </v:roundrect>
            </w:pict>
          </mc:Fallback>
        </mc:AlternateContent>
      </w:r>
      <w:r w:rsidRPr="00986221">
        <w:rPr>
          <w:rFonts w:eastAsiaTheme="minorHAnsi" w:cstheme="minorBidi"/>
          <w:noProof/>
          <w:sz w:val="22"/>
          <w:szCs w:val="22"/>
          <w:lang w:eastAsia="en-AU"/>
        </w:rPr>
        <mc:AlternateContent>
          <mc:Choice Requires="wps">
            <w:drawing>
              <wp:anchor distT="0" distB="0" distL="114300" distR="114300" simplePos="0" relativeHeight="251668480" behindDoc="0" locked="0" layoutInCell="1" allowOverlap="1" wp14:anchorId="60059626" wp14:editId="3550447A">
                <wp:simplePos x="0" y="0"/>
                <wp:positionH relativeFrom="column">
                  <wp:posOffset>3258820</wp:posOffset>
                </wp:positionH>
                <wp:positionV relativeFrom="paragraph">
                  <wp:posOffset>127000</wp:posOffset>
                </wp:positionV>
                <wp:extent cx="3764280" cy="2878455"/>
                <wp:effectExtent l="0" t="0" r="26670" b="17145"/>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64280" cy="2878455"/>
                        </a:xfrm>
                        <a:custGeom>
                          <a:avLst/>
                          <a:gdLst>
                            <a:gd name="T0" fmla="*/ 3816374 w 3816424"/>
                            <a:gd name="T1" fmla="*/ 1169068 h 2321256"/>
                            <a:gd name="T2" fmla="*/ 1909497 w 3816424"/>
                            <a:gd name="T3" fmla="*/ 2321256 h 2321256"/>
                            <a:gd name="T4" fmla="*/ 114 w 3816424"/>
                            <a:gd name="T5" fmla="*/ 1173291 h 2321256"/>
                            <a:gd name="T6" fmla="*/ 1894092 w 3816424"/>
                            <a:gd name="T7" fmla="*/ 32 h 2321256"/>
                            <a:gd name="T8" fmla="*/ 3815617 w 3816424"/>
                            <a:gd name="T9" fmla="*/ 1126873 h 2321256"/>
                            <a:gd name="T10" fmla="*/ 3323022 w 3816424"/>
                            <a:gd name="T11" fmla="*/ 1135589 h 2321256"/>
                            <a:gd name="T12" fmla="*/ 1900082 w 3816424"/>
                            <a:gd name="T13" fmla="*/ 492419 h 2321256"/>
                            <a:gd name="T14" fmla="*/ 492548 w 3816424"/>
                            <a:gd name="T15" fmla="*/ 1170023 h 2321256"/>
                            <a:gd name="T16" fmla="*/ 1908952 w 3816424"/>
                            <a:gd name="T17" fmla="*/ 1828848 h 2321256"/>
                            <a:gd name="T18" fmla="*/ 3323954 w 3816424"/>
                            <a:gd name="T19" fmla="*/ 1166889 h 2321256"/>
                            <a:gd name="T20" fmla="*/ 3816374 w 3816424"/>
                            <a:gd name="T21" fmla="*/ 1169068 h 232125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816424"/>
                            <a:gd name="T34" fmla="*/ 0 h 2321256"/>
                            <a:gd name="T35" fmla="*/ 3816424 w 3816424"/>
                            <a:gd name="T36" fmla="*/ 2321256 h 232125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816424" h="2321256">
                              <a:moveTo>
                                <a:pt x="3816374" y="1169068"/>
                              </a:moveTo>
                              <a:cubicBezTo>
                                <a:pt x="3808754" y="1806450"/>
                                <a:pt x="2957457" y="2320827"/>
                                <a:pt x="1909497" y="2321256"/>
                              </a:cubicBezTo>
                              <a:cubicBezTo>
                                <a:pt x="863242" y="2321684"/>
                                <a:pt x="11529" y="1809615"/>
                                <a:pt x="114" y="1173291"/>
                              </a:cubicBezTo>
                              <a:cubicBezTo>
                                <a:pt x="-11413" y="530740"/>
                                <a:pt x="837627" y="4787"/>
                                <a:pt x="1894092" y="32"/>
                              </a:cubicBezTo>
                              <a:cubicBezTo>
                                <a:pt x="2931814" y="-4639"/>
                                <a:pt x="3785435" y="495951"/>
                                <a:pt x="3815617" y="1126873"/>
                              </a:cubicBezTo>
                              <a:lnTo>
                                <a:pt x="3323022" y="1135589"/>
                              </a:lnTo>
                              <a:cubicBezTo>
                                <a:pt x="3294378" y="775050"/>
                                <a:pt x="2664506" y="490347"/>
                                <a:pt x="1900082" y="492419"/>
                              </a:cubicBezTo>
                              <a:cubicBezTo>
                                <a:pt x="1113565" y="494551"/>
                                <a:pt x="481489" y="798840"/>
                                <a:pt x="492548" y="1170023"/>
                              </a:cubicBezTo>
                              <a:cubicBezTo>
                                <a:pt x="503437" y="1535507"/>
                                <a:pt x="1134499" y="1829039"/>
                                <a:pt x="1908952" y="1828848"/>
                              </a:cubicBezTo>
                              <a:cubicBezTo>
                                <a:pt x="2685415" y="1828657"/>
                                <a:pt x="3316679" y="1533342"/>
                                <a:pt x="3323954" y="1166889"/>
                              </a:cubicBezTo>
                              <a:lnTo>
                                <a:pt x="3816374" y="1169068"/>
                              </a:lnTo>
                              <a:close/>
                            </a:path>
                          </a:pathLst>
                        </a:custGeom>
                        <a:solidFill>
                          <a:srgbClr val="4F81BD"/>
                        </a:solidFill>
                        <a:ln w="25400" algn="ctr">
                          <a:solidFill>
                            <a:srgbClr val="385D8A"/>
                          </a:solidFill>
                          <a:miter lim="800000"/>
                          <a:headEnd/>
                          <a:tailEnd/>
                        </a:ln>
                      </wps:spPr>
                      <wps:txbx>
                        <w:txbxContent>
                          <w:p w14:paraId="11999A4E" w14:textId="77777777" w:rsidR="00AB4539" w:rsidRDefault="00AB4539" w:rsidP="00321C44"/>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reeform 1" o:spid="_x0000_s1035" style="position:absolute;left:0;text-align:left;margin-left:256.6pt;margin-top:10pt;width:296.4pt;height:226.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816424,232125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" adj="-11796480,,5400" path="m3816374,1169068v-7620,637382,-858917,1151759,-1906877,1152188c863242,2321684,11529,1809615,114,1173291,-11413,530740,837627,4787,1894092,32,2931814,-4639,3785435,495951,3815617,1126873r-492595,8716c3294378,775050,2664506,490347,1900082,492419,1113565,494551,481489,798840,492548,1170023v10889,365484,641951,659016,1416404,658825c2685415,1828657,3316679,1533342,3323954,1166889r492420,2179xe" fillcolor="#4f81bd" strokecolor="#385d8a" strokeweight="2pt">
                <v:stroke joinstyle="miter"/>
                <v:formulas/>
                <v:path arrowok="t" o:connecttype="custom" o:connectlocs="3764231,1449693;1883407,2878455;112,1454930;1868213,40;3763484,1397370;3277619,1408178;1874121,610620;485818,1450878;1882870,2267848;3278539,1446991;3764231,1449693" o:connectangles="0,0,0,0,0,0,0,0,0,0,0" textboxrect="0,0,3816424,2321256"/>
                <v:textbox>
                  <w:txbxContent>
                    <w:p w14:paraId="11999A4E" w14:textId="77777777" w:rsidR="00AB4539" w:rsidRDefault="00AB4539" w:rsidP="00321C44"/>
                  </w:txbxContent>
                </v:textbox>
              </v:shape>
            </w:pict>
          </mc:Fallback>
        </mc:AlternateContent>
      </w:r>
    </w:p>
    <w:p w14:paraId="4516D777" w14:textId="7B8D581E" w:rsidR="00321C44" w:rsidRPr="00986221" w:rsidRDefault="00321C44" w:rsidP="00321C44">
      <w:pPr>
        <w:jc w:val="both"/>
        <w:rPr>
          <w:rFonts w:eastAsia="Calibri" w:cs="Arial"/>
          <w:lang w:val="en-GB"/>
        </w:rPr>
      </w:pPr>
    </w:p>
    <w:p w14:paraId="1854D16A" w14:textId="77777777" w:rsidR="00321C44" w:rsidRPr="00986221" w:rsidRDefault="00321C44" w:rsidP="00321C44">
      <w:pPr>
        <w:jc w:val="both"/>
        <w:rPr>
          <w:rFonts w:eastAsia="Calibri" w:cs="Arial"/>
          <w:lang w:val="en-GB"/>
        </w:rPr>
      </w:pPr>
    </w:p>
    <w:p w14:paraId="08F2998A" w14:textId="1843EC99" w:rsidR="00321C44" w:rsidRPr="00986221" w:rsidRDefault="00A02522" w:rsidP="00321C44">
      <w:pPr>
        <w:jc w:val="both"/>
        <w:rPr>
          <w:rFonts w:eastAsia="Calibri" w:cs="Arial"/>
          <w:lang w:val="en-GB"/>
        </w:rPr>
      </w:pPr>
      <w:r w:rsidRPr="00986221">
        <w:rPr>
          <w:rFonts w:eastAsiaTheme="minorHAnsi" w:cstheme="minorBidi"/>
          <w:noProof/>
          <w:sz w:val="22"/>
          <w:szCs w:val="22"/>
          <w:lang w:eastAsia="en-AU"/>
        </w:rPr>
        <mc:AlternateContent>
          <mc:Choice Requires="wps">
            <w:drawing>
              <wp:anchor distT="0" distB="0" distL="114300" distR="114300" simplePos="0" relativeHeight="251665408" behindDoc="0" locked="0" layoutInCell="1" allowOverlap="1" wp14:anchorId="558D6361" wp14:editId="156C2753">
                <wp:simplePos x="0" y="0"/>
                <wp:positionH relativeFrom="column">
                  <wp:posOffset>991256</wp:posOffset>
                </wp:positionH>
                <wp:positionV relativeFrom="paragraph">
                  <wp:posOffset>7620</wp:posOffset>
                </wp:positionV>
                <wp:extent cx="2003425" cy="1390650"/>
                <wp:effectExtent l="19050" t="19050" r="34925" b="57150"/>
                <wp:wrapNone/>
                <wp:docPr id="58" name="Rounded 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3425" cy="1390650"/>
                        </a:xfrm>
                        <a:prstGeom prst="roundRect">
                          <a:avLst>
                            <a:gd name="adj" fmla="val 16667"/>
                          </a:avLst>
                        </a:prstGeom>
                        <a:solidFill>
                          <a:srgbClr val="FF0000"/>
                        </a:solidFill>
                        <a:ln w="38100">
                          <a:solidFill>
                            <a:srgbClr val="FFFFFF"/>
                          </a:solidFill>
                          <a:round/>
                          <a:headEnd/>
                          <a:tailEnd/>
                        </a:ln>
                        <a:effectLst>
                          <a:outerShdw dist="28398" dir="3806097" algn="ctr" rotWithShape="0">
                            <a:srgbClr val="F2F2F2">
                              <a:alpha val="50000"/>
                            </a:srgbClr>
                          </a:outerShdw>
                        </a:effectLst>
                      </wps:spPr>
                      <wps:txbx>
                        <w:txbxContent>
                          <w:p w14:paraId="400C2F9A" w14:textId="77777777" w:rsidR="00AB4539" w:rsidRDefault="00AB4539" w:rsidP="00321C44">
                            <w:pPr>
                              <w:pStyle w:val="NormalWeb"/>
                              <w:spacing w:after="120"/>
                              <w:jc w:val="center"/>
                            </w:pPr>
                            <w:r>
                              <w:rPr>
                                <w:rFonts w:ascii="Arial" w:eastAsia="Calibri" w:hAnsi="Arial"/>
                                <w:b/>
                                <w:bCs/>
                                <w:color w:val="FFFFFF"/>
                                <w:kern w:val="24"/>
                                <w:sz w:val="28"/>
                                <w:szCs w:val="28"/>
                              </w:rPr>
                              <w:t>Component 2</w:t>
                            </w:r>
                          </w:p>
                          <w:p w14:paraId="2E8AEA9B" w14:textId="77777777" w:rsidR="00AB4539" w:rsidRDefault="00AB4539" w:rsidP="00321C44">
                            <w:pPr>
                              <w:pStyle w:val="NormalWeb"/>
                              <w:spacing w:after="120"/>
                              <w:jc w:val="center"/>
                              <w:rPr>
                                <w:sz w:val="22"/>
                                <w:szCs w:val="22"/>
                              </w:rPr>
                            </w:pPr>
                            <w:r>
                              <w:rPr>
                                <w:rFonts w:ascii="Arial" w:eastAsia="Calibri" w:hAnsi="Arial"/>
                                <w:b/>
                                <w:bCs/>
                                <w:color w:val="FFFFFF"/>
                                <w:kern w:val="24"/>
                                <w:sz w:val="22"/>
                                <w:szCs w:val="22"/>
                              </w:rPr>
                              <w:t>Strengthened capacity to enforce competition policy and application of trade remedies by VCA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8" o:spid="_x0000_s1036" style="position:absolute;left:0;text-align:left;margin-left:78.05pt;margin-top:.6pt;width:157.75pt;height:1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" fillcolor="red" strokecolor="white" strokeweight="3pt">
                <v:shadow on="t" color="#f2f2f2" opacity=".5" offset="1pt"/>
                <v:textbox>
                  <w:txbxContent>
                    <w:p w14:paraId="400C2F9A" w14:textId="77777777" w:rsidR="00AB4539" w:rsidRDefault="00AB4539" w:rsidP="00321C44">
                      <w:pPr>
                        <w:pStyle w:val="NormalWeb"/>
                        <w:spacing w:after="120"/>
                        <w:jc w:val="center"/>
                      </w:pPr>
                      <w:r>
                        <w:rPr>
                          <w:rFonts w:ascii="Arial" w:eastAsia="Calibri" w:hAnsi="Arial"/>
                          <w:b/>
                          <w:bCs/>
                          <w:color w:val="FFFFFF"/>
                          <w:kern w:val="24"/>
                          <w:sz w:val="28"/>
                          <w:szCs w:val="28"/>
                        </w:rPr>
                        <w:t>Component 2</w:t>
                      </w:r>
                    </w:p>
                    <w:p w14:paraId="2E8AEA9B" w14:textId="77777777" w:rsidR="00AB4539" w:rsidRDefault="00AB4539" w:rsidP="00321C44">
                      <w:pPr>
                        <w:pStyle w:val="NormalWeb"/>
                        <w:spacing w:after="120"/>
                        <w:jc w:val="center"/>
                        <w:rPr>
                          <w:sz w:val="22"/>
                          <w:szCs w:val="22"/>
                        </w:rPr>
                      </w:pPr>
                      <w:r>
                        <w:rPr>
                          <w:rFonts w:ascii="Arial" w:eastAsia="Calibri" w:hAnsi="Arial"/>
                          <w:b/>
                          <w:bCs/>
                          <w:color w:val="FFFFFF"/>
                          <w:kern w:val="24"/>
                          <w:sz w:val="22"/>
                          <w:szCs w:val="22"/>
                        </w:rPr>
                        <w:t>Strengthened capacity to enforce competition policy and application of trade remedies by VCA</w:t>
                      </w:r>
                    </w:p>
                  </w:txbxContent>
                </v:textbox>
              </v:roundrect>
            </w:pict>
          </mc:Fallback>
        </mc:AlternateContent>
      </w:r>
    </w:p>
    <w:p w14:paraId="5DF9084A" w14:textId="77777777" w:rsidR="00321C44" w:rsidRPr="00986221" w:rsidRDefault="00321C44" w:rsidP="00321C44">
      <w:pPr>
        <w:spacing w:line="360" w:lineRule="auto"/>
        <w:jc w:val="both"/>
        <w:rPr>
          <w:sz w:val="24"/>
          <w:lang w:val="en-GB" w:eastAsia="en-GB"/>
        </w:rPr>
      </w:pPr>
      <w:r w:rsidRPr="00986221">
        <w:rPr>
          <w:rFonts w:eastAsia="Calibri"/>
          <w:b/>
          <w:bCs/>
          <w:color w:val="FFFFFF"/>
          <w:kern w:val="24"/>
          <w:szCs w:val="20"/>
          <w:lang w:val="en-GB" w:eastAsia="en-GB"/>
        </w:rPr>
        <w:t> </w:t>
      </w:r>
    </w:p>
    <w:p w14:paraId="35BFF1D3" w14:textId="34275785" w:rsidR="00321C44" w:rsidRPr="00986221" w:rsidRDefault="00321C44" w:rsidP="003E6C5B">
      <w:pPr>
        <w:ind w:right="-359"/>
        <w:jc w:val="both"/>
        <w:rPr>
          <w:rFonts w:eastAsia="Calibri" w:cs="Arial"/>
          <w:sz w:val="22"/>
          <w:szCs w:val="22"/>
          <w:lang w:val="en-GB"/>
        </w:rPr>
      </w:pPr>
    </w:p>
    <w:p w14:paraId="1FACF78F" w14:textId="09C8C5EF" w:rsidR="00321C44" w:rsidRPr="00986221" w:rsidRDefault="005B07E8" w:rsidP="00321C44">
      <w:pPr>
        <w:jc w:val="both"/>
        <w:rPr>
          <w:rFonts w:eastAsia="Calibri" w:cs="Arial"/>
          <w:lang w:val="en-GB"/>
        </w:rPr>
      </w:pPr>
      <w:r w:rsidRPr="00986221">
        <w:rPr>
          <w:rFonts w:eastAsiaTheme="minorHAnsi" w:cstheme="minorBidi"/>
          <w:noProof/>
          <w:sz w:val="22"/>
          <w:szCs w:val="22"/>
          <w:lang w:eastAsia="en-AU"/>
        </w:rPr>
        <mc:AlternateContent>
          <mc:Choice Requires="wps">
            <w:drawing>
              <wp:anchor distT="0" distB="0" distL="114300" distR="114300" simplePos="0" relativeHeight="251666432" behindDoc="0" locked="0" layoutInCell="1" allowOverlap="1" wp14:anchorId="2C2A6D8F" wp14:editId="3C39030F">
                <wp:simplePos x="0" y="0"/>
                <wp:positionH relativeFrom="column">
                  <wp:posOffset>6754495</wp:posOffset>
                </wp:positionH>
                <wp:positionV relativeFrom="paragraph">
                  <wp:posOffset>153670</wp:posOffset>
                </wp:positionV>
                <wp:extent cx="648335" cy="43815"/>
                <wp:effectExtent l="0" t="152400" r="0" b="165735"/>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335" cy="43815"/>
                        </a:xfrm>
                        <a:prstGeom prst="straightConnector1">
                          <a:avLst/>
                        </a:prstGeom>
                        <a:noFill/>
                        <a:ln w="47625" algn="ctr">
                          <a:solidFill>
                            <a:srgbClr val="00B050"/>
                          </a:solidFill>
                          <a:prstDash val="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Straight Arrow Connector 57" o:spid="_x0000_s1026" type="#_x0000_t32" style="position:absolute;margin-left:531.85pt;margin-top:12.1pt;width:51.05pt;height:3.4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" strokecolor="#00b050" strokeweight="3.75pt">
                <v:stroke dashstyle="dash" endarrow="open"/>
              </v:shape>
            </w:pict>
          </mc:Fallback>
        </mc:AlternateContent>
      </w:r>
      <w:r w:rsidRPr="00986221">
        <w:rPr>
          <w:rFonts w:eastAsiaTheme="minorHAnsi" w:cstheme="minorBidi"/>
          <w:noProof/>
          <w:sz w:val="22"/>
          <w:szCs w:val="22"/>
          <w:lang w:eastAsia="en-AU"/>
        </w:rPr>
        <mc:AlternateContent>
          <mc:Choice Requires="wps">
            <w:drawing>
              <wp:anchor distT="0" distB="0" distL="114300" distR="114300" simplePos="0" relativeHeight="251685888" behindDoc="0" locked="0" layoutInCell="1" allowOverlap="1" wp14:anchorId="3859743E" wp14:editId="39531E1F">
                <wp:simplePos x="0" y="0"/>
                <wp:positionH relativeFrom="column">
                  <wp:posOffset>2983230</wp:posOffset>
                </wp:positionH>
                <wp:positionV relativeFrom="paragraph">
                  <wp:posOffset>123190</wp:posOffset>
                </wp:positionV>
                <wp:extent cx="335280" cy="0"/>
                <wp:effectExtent l="0" t="95250" r="0" b="9525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 cy="0"/>
                        </a:xfrm>
                        <a:prstGeom prst="straightConnector1">
                          <a:avLst/>
                        </a:prstGeom>
                        <a:noFill/>
                        <a:ln w="38100">
                          <a:solidFill>
                            <a:srgbClr val="943634"/>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Straight Arrow Connector 45" o:spid="_x0000_s1026" type="#_x0000_t32" style="position:absolute;margin-left:234.9pt;margin-top:9.7pt;width:26.4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" strokecolor="#943634" strokeweight="3pt">
                <v:stroke endarrow="block"/>
                <v:shadow color="#3f3151" opacity=".5" offset="1pt"/>
              </v:shape>
            </w:pict>
          </mc:Fallback>
        </mc:AlternateContent>
      </w:r>
    </w:p>
    <w:p w14:paraId="49A1DC80" w14:textId="54BACAAF" w:rsidR="00321C44" w:rsidRPr="00986221" w:rsidRDefault="00321C44" w:rsidP="00321C44">
      <w:pPr>
        <w:spacing w:line="360" w:lineRule="auto"/>
        <w:jc w:val="both"/>
        <w:rPr>
          <w:rFonts w:eastAsia="Calibri" w:cs="Arial"/>
          <w:b/>
          <w:lang w:val="en-GB"/>
        </w:rPr>
      </w:pPr>
    </w:p>
    <w:p w14:paraId="6194F323" w14:textId="64FEAE86" w:rsidR="00321C44" w:rsidRPr="00986221" w:rsidRDefault="00321C44" w:rsidP="00321C44">
      <w:pPr>
        <w:spacing w:line="360" w:lineRule="auto"/>
        <w:jc w:val="both"/>
        <w:rPr>
          <w:rFonts w:eastAsia="Calibri" w:cs="Arial"/>
          <w:b/>
          <w:lang w:val="en-GB"/>
        </w:rPr>
      </w:pPr>
    </w:p>
    <w:p w14:paraId="2A408159" w14:textId="1CFE86A6" w:rsidR="00321C44" w:rsidRPr="00986221" w:rsidRDefault="005B07E8" w:rsidP="00321C44">
      <w:pPr>
        <w:spacing w:line="360" w:lineRule="auto"/>
        <w:jc w:val="both"/>
        <w:rPr>
          <w:rFonts w:eastAsia="Calibri" w:cs="Arial"/>
          <w:b/>
          <w:lang w:val="en-GB"/>
        </w:rPr>
      </w:pPr>
      <w:r w:rsidRPr="00986221">
        <w:rPr>
          <w:rFonts w:eastAsiaTheme="minorHAnsi" w:cstheme="minorBidi"/>
          <w:noProof/>
          <w:sz w:val="22"/>
          <w:szCs w:val="22"/>
          <w:lang w:eastAsia="en-AU"/>
        </w:rPr>
        <mc:AlternateContent>
          <mc:Choice Requires="wps">
            <w:drawing>
              <wp:anchor distT="0" distB="0" distL="114300" distR="114300" simplePos="0" relativeHeight="251684864" behindDoc="0" locked="0" layoutInCell="1" allowOverlap="1" wp14:anchorId="5F8D61FA" wp14:editId="6B80576F">
                <wp:simplePos x="0" y="0"/>
                <wp:positionH relativeFrom="column">
                  <wp:posOffset>3623310</wp:posOffset>
                </wp:positionH>
                <wp:positionV relativeFrom="paragraph">
                  <wp:posOffset>228600</wp:posOffset>
                </wp:positionV>
                <wp:extent cx="635" cy="390525"/>
                <wp:effectExtent l="57150" t="38100" r="75565" b="9525"/>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90525"/>
                        </a:xfrm>
                        <a:prstGeom prst="straightConnector1">
                          <a:avLst/>
                        </a:prstGeom>
                        <a:noFill/>
                        <a:ln w="38100">
                          <a:solidFill>
                            <a:srgbClr val="943634"/>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Straight Arrow Connector 39" o:spid="_x0000_s1026" type="#_x0000_t32" style="position:absolute;margin-left:285.3pt;margin-top:18pt;width:.05pt;height:30.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" strokecolor="#943634" strokeweight="3pt">
                <v:stroke endarrow="block"/>
                <v:shadow color="#3f3151" opacity=".5" offset="1pt"/>
              </v:shape>
            </w:pict>
          </mc:Fallback>
        </mc:AlternateContent>
      </w:r>
      <w:r w:rsidRPr="00986221">
        <w:rPr>
          <w:rFonts w:eastAsiaTheme="minorHAnsi" w:cstheme="minorBidi"/>
          <w:noProof/>
          <w:sz w:val="22"/>
          <w:szCs w:val="22"/>
          <w:lang w:eastAsia="en-AU"/>
        </w:rPr>
        <mc:AlternateContent>
          <mc:Choice Requires="wps">
            <w:drawing>
              <wp:anchor distT="0" distB="0" distL="114300" distR="114300" simplePos="0" relativeHeight="251680768" behindDoc="0" locked="0" layoutInCell="1" allowOverlap="1" wp14:anchorId="24F30FDA" wp14:editId="2C2D108F">
                <wp:simplePos x="0" y="0"/>
                <wp:positionH relativeFrom="column">
                  <wp:posOffset>999490</wp:posOffset>
                </wp:positionH>
                <wp:positionV relativeFrom="paragraph">
                  <wp:posOffset>-1270</wp:posOffset>
                </wp:positionV>
                <wp:extent cx="2003425" cy="1685925"/>
                <wp:effectExtent l="19050" t="19050" r="34925" b="66675"/>
                <wp:wrapNone/>
                <wp:docPr id="41" name="Rounded 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3425" cy="1685925"/>
                        </a:xfrm>
                        <a:prstGeom prst="roundRect">
                          <a:avLst>
                            <a:gd name="adj" fmla="val 16667"/>
                          </a:avLst>
                        </a:prstGeom>
                        <a:solidFill>
                          <a:srgbClr val="E36C0A"/>
                        </a:solidFill>
                        <a:ln w="38100">
                          <a:solidFill>
                            <a:srgbClr val="FFFFFF"/>
                          </a:solidFill>
                          <a:round/>
                          <a:headEnd/>
                          <a:tailEnd/>
                        </a:ln>
                        <a:effectLst>
                          <a:outerShdw dist="28398" dir="3806097" algn="ctr" rotWithShape="0">
                            <a:srgbClr val="F2F2F2">
                              <a:alpha val="50000"/>
                            </a:srgbClr>
                          </a:outerShdw>
                        </a:effectLst>
                      </wps:spPr>
                      <wps:txbx>
                        <w:txbxContent>
                          <w:p w14:paraId="2B4365C1" w14:textId="77777777" w:rsidR="00AB4539" w:rsidRDefault="00AB4539" w:rsidP="00321C44">
                            <w:pPr>
                              <w:pStyle w:val="NormalWeb"/>
                              <w:spacing w:after="120"/>
                              <w:jc w:val="center"/>
                            </w:pPr>
                            <w:r>
                              <w:rPr>
                                <w:rFonts w:ascii="Arial" w:eastAsia="Calibri" w:hAnsi="Arial"/>
                                <w:b/>
                                <w:bCs/>
                                <w:color w:val="FFFFFF"/>
                                <w:kern w:val="24"/>
                                <w:sz w:val="28"/>
                                <w:szCs w:val="28"/>
                              </w:rPr>
                              <w:t>Component 3</w:t>
                            </w:r>
                          </w:p>
                          <w:p w14:paraId="53A361AC" w14:textId="77777777" w:rsidR="00AB4539" w:rsidRDefault="00AB4539" w:rsidP="00321C44">
                            <w:pPr>
                              <w:pStyle w:val="NormalWeb"/>
                              <w:spacing w:after="120"/>
                              <w:jc w:val="center"/>
                            </w:pPr>
                            <w:r>
                              <w:rPr>
                                <w:rFonts w:ascii="Arial" w:eastAsia="Calibri" w:hAnsi="Arial"/>
                                <w:b/>
                                <w:bCs/>
                                <w:color w:val="FFFFFF"/>
                                <w:kern w:val="24"/>
                                <w:sz w:val="22"/>
                                <w:szCs w:val="22"/>
                              </w:rPr>
                              <w:t>Improved strategies to increase competitiveness of Vietnam’s paddy value chains endorsed by MARD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1" o:spid="_x0000_s1037" style="position:absolute;left:0;text-align:left;margin-left:78.7pt;margin-top:-.1pt;width:157.75pt;height:13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" fillcolor="#e36c0a" strokecolor="white" strokeweight="3pt">
                <v:shadow on="t" color="#f2f2f2" opacity=".5" offset="1pt"/>
                <v:textbox>
                  <w:txbxContent>
                    <w:p w14:paraId="2B4365C1" w14:textId="77777777" w:rsidR="00AB4539" w:rsidRDefault="00AB4539" w:rsidP="00321C44">
                      <w:pPr>
                        <w:pStyle w:val="NormalWeb"/>
                        <w:spacing w:after="120"/>
                        <w:jc w:val="center"/>
                      </w:pPr>
                      <w:r>
                        <w:rPr>
                          <w:rFonts w:ascii="Arial" w:eastAsia="Calibri" w:hAnsi="Arial"/>
                          <w:b/>
                          <w:bCs/>
                          <w:color w:val="FFFFFF"/>
                          <w:kern w:val="24"/>
                          <w:sz w:val="28"/>
                          <w:szCs w:val="28"/>
                        </w:rPr>
                        <w:t>Component 3</w:t>
                      </w:r>
                    </w:p>
                    <w:p w14:paraId="53A361AC" w14:textId="77777777" w:rsidR="00AB4539" w:rsidRDefault="00AB4539" w:rsidP="00321C44">
                      <w:pPr>
                        <w:pStyle w:val="NormalWeb"/>
                        <w:spacing w:after="120"/>
                        <w:jc w:val="center"/>
                      </w:pPr>
                      <w:r>
                        <w:rPr>
                          <w:rFonts w:ascii="Arial" w:eastAsia="Calibri" w:hAnsi="Arial"/>
                          <w:b/>
                          <w:bCs/>
                          <w:color w:val="FFFFFF"/>
                          <w:kern w:val="24"/>
                          <w:sz w:val="22"/>
                          <w:szCs w:val="22"/>
                        </w:rPr>
                        <w:t>Improved strategies to increase competitiveness of Vietnam’s paddy value chains endorsed by MARD</w:t>
                      </w:r>
                    </w:p>
                  </w:txbxContent>
                </v:textbox>
              </v:roundrect>
            </w:pict>
          </mc:Fallback>
        </mc:AlternateContent>
      </w:r>
    </w:p>
    <w:p w14:paraId="07AF01F0" w14:textId="1DCB7F06" w:rsidR="00321C44" w:rsidRPr="00986221" w:rsidRDefault="005B07E8" w:rsidP="00321C44">
      <w:pPr>
        <w:spacing w:before="100" w:beforeAutospacing="1" w:after="100" w:afterAutospacing="1" w:line="240" w:lineRule="atLeast"/>
        <w:ind w:left="357"/>
        <w:jc w:val="both"/>
        <w:rPr>
          <w:rFonts w:cs="Arial"/>
          <w:color w:val="333333"/>
          <w:lang w:eastAsia="en-AU"/>
        </w:rPr>
      </w:pPr>
      <w:r w:rsidRPr="00986221">
        <w:rPr>
          <w:rFonts w:eastAsiaTheme="minorHAnsi" w:cstheme="minorBidi"/>
          <w:noProof/>
          <w:sz w:val="22"/>
          <w:szCs w:val="22"/>
          <w:lang w:eastAsia="en-AU"/>
        </w:rPr>
        <mc:AlternateContent>
          <mc:Choice Requires="wps">
            <w:drawing>
              <wp:anchor distT="0" distB="0" distL="114300" distR="114300" simplePos="0" relativeHeight="251679744" behindDoc="0" locked="0" layoutInCell="1" allowOverlap="1" wp14:anchorId="291EFD95" wp14:editId="05B299DF">
                <wp:simplePos x="0" y="0"/>
                <wp:positionH relativeFrom="column">
                  <wp:posOffset>5917668</wp:posOffset>
                </wp:positionH>
                <wp:positionV relativeFrom="paragraph">
                  <wp:posOffset>78473</wp:posOffset>
                </wp:positionV>
                <wp:extent cx="2777490" cy="1298575"/>
                <wp:effectExtent l="666750" t="38100" r="41910" b="34925"/>
                <wp:wrapNone/>
                <wp:docPr id="42" name="Oval Callout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7490" cy="1298575"/>
                        </a:xfrm>
                        <a:prstGeom prst="wedgeEllipseCallout">
                          <a:avLst>
                            <a:gd name="adj1" fmla="val -68199"/>
                            <a:gd name="adj2" fmla="val -48630"/>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9A04855" w14:textId="4FF04D8F" w:rsidR="00AB4539" w:rsidRDefault="00AB4539" w:rsidP="00321C44">
                            <w:pPr>
                              <w:rPr>
                                <w:rFonts w:cs="Arial"/>
                                <w:szCs w:val="20"/>
                              </w:rPr>
                            </w:pPr>
                            <w:r>
                              <w:rPr>
                                <w:rFonts w:cs="Arial"/>
                                <w:b/>
                                <w:szCs w:val="20"/>
                              </w:rPr>
                              <w:t xml:space="preserve">Assumption: </w:t>
                            </w:r>
                            <w:r>
                              <w:rPr>
                                <w:rFonts w:cs="Arial"/>
                                <w:szCs w:val="20"/>
                              </w:rPr>
                              <w:t xml:space="preserve">VCA gets high level supports to handle competition issues in targeted sectors… </w:t>
                            </w:r>
                          </w:p>
                          <w:p w14:paraId="3503A5C5" w14:textId="77777777" w:rsidR="00AB4539" w:rsidRDefault="00AB4539" w:rsidP="00321C44">
                            <w:pPr>
                              <w:rPr>
                                <w:rFonts w:asciiTheme="minorHAnsi" w:hAnsiTheme="minorHAnsi" w:cstheme="minorBidi"/>
                                <w:szCs w:val="20"/>
                              </w:rPr>
                            </w:pPr>
                          </w:p>
                          <w:p w14:paraId="67FB3594" w14:textId="77777777" w:rsidR="00AB4539" w:rsidRDefault="00AB4539" w:rsidP="00321C44">
                            <w:pPr>
                              <w:rPr>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val Callout 42" o:spid="_x0000_s1038" type="#_x0000_t63" style="position:absolute;left:0;text-align:left;margin-left:465.95pt;margin-top:6.2pt;width:218.7pt;height:10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" adj="-3931,296" strokecolor="#4f81bd" strokeweight="5pt">
                <v:stroke linestyle="thickThin"/>
                <v:shadow color="#868686"/>
                <v:textbox>
                  <w:txbxContent>
                    <w:p w14:paraId="19A04855" w14:textId="4FF04D8F" w:rsidR="00AB4539" w:rsidRDefault="00AB4539" w:rsidP="00321C44">
                      <w:pPr>
                        <w:rPr>
                          <w:rFonts w:cs="Arial"/>
                          <w:szCs w:val="20"/>
                        </w:rPr>
                      </w:pPr>
                      <w:r>
                        <w:rPr>
                          <w:rFonts w:cs="Arial"/>
                          <w:b/>
                          <w:szCs w:val="20"/>
                        </w:rPr>
                        <w:t xml:space="preserve">Assumption: </w:t>
                      </w:r>
                      <w:r>
                        <w:rPr>
                          <w:rFonts w:cs="Arial"/>
                          <w:szCs w:val="20"/>
                        </w:rPr>
                        <w:t xml:space="preserve">VCA gets high level supports to handle competition issues in targeted sectors… </w:t>
                      </w:r>
                    </w:p>
                    <w:p w14:paraId="3503A5C5" w14:textId="77777777" w:rsidR="00AB4539" w:rsidRDefault="00AB4539" w:rsidP="00321C44">
                      <w:pPr>
                        <w:rPr>
                          <w:rFonts w:asciiTheme="minorHAnsi" w:hAnsiTheme="minorHAnsi" w:cstheme="minorBidi"/>
                          <w:szCs w:val="20"/>
                        </w:rPr>
                      </w:pPr>
                    </w:p>
                    <w:p w14:paraId="67FB3594" w14:textId="77777777" w:rsidR="00AB4539" w:rsidRDefault="00AB4539" w:rsidP="00321C44">
                      <w:pPr>
                        <w:rPr>
                          <w:b/>
                          <w:sz w:val="22"/>
                          <w:szCs w:val="22"/>
                        </w:rPr>
                      </w:pPr>
                    </w:p>
                  </w:txbxContent>
                </v:textbox>
              </v:shape>
            </w:pict>
          </mc:Fallback>
        </mc:AlternateContent>
      </w:r>
      <w:r w:rsidRPr="00986221">
        <w:rPr>
          <w:rFonts w:eastAsiaTheme="minorHAnsi" w:cstheme="minorBidi"/>
          <w:noProof/>
          <w:sz w:val="22"/>
          <w:szCs w:val="22"/>
          <w:lang w:eastAsia="en-AU"/>
        </w:rPr>
        <mc:AlternateContent>
          <mc:Choice Requires="wps">
            <w:drawing>
              <wp:anchor distT="0" distB="0" distL="114300" distR="114300" simplePos="0" relativeHeight="251687936" behindDoc="0" locked="0" layoutInCell="1" allowOverlap="1" wp14:anchorId="4DF4AB2E" wp14:editId="6BEB4693">
                <wp:simplePos x="0" y="0"/>
                <wp:positionH relativeFrom="column">
                  <wp:posOffset>3126740</wp:posOffset>
                </wp:positionH>
                <wp:positionV relativeFrom="paragraph">
                  <wp:posOffset>339725</wp:posOffset>
                </wp:positionV>
                <wp:extent cx="2777490" cy="1298575"/>
                <wp:effectExtent l="38100" t="533400" r="60960" b="53975"/>
                <wp:wrapNone/>
                <wp:docPr id="38" name="Oval Callout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7490" cy="1298575"/>
                        </a:xfrm>
                        <a:prstGeom prst="wedgeEllipseCallout">
                          <a:avLst>
                            <a:gd name="adj1" fmla="val 31939"/>
                            <a:gd name="adj2" fmla="val -86038"/>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DE6E50B" w14:textId="1DD8B5BB" w:rsidR="00AB4539" w:rsidRDefault="00AB4539" w:rsidP="00321C44">
                            <w:pPr>
                              <w:rPr>
                                <w:rFonts w:cs="Arial"/>
                                <w:szCs w:val="20"/>
                              </w:rPr>
                            </w:pPr>
                            <w:r>
                              <w:rPr>
                                <w:rFonts w:cs="Arial"/>
                                <w:b/>
                                <w:szCs w:val="20"/>
                              </w:rPr>
                              <w:t xml:space="preserve">Assumption: </w:t>
                            </w:r>
                            <w:r>
                              <w:rPr>
                                <w:rFonts w:cs="Arial"/>
                                <w:szCs w:val="20"/>
                              </w:rPr>
                              <w:t>Dong Thap remains committed to take action to restructure the institution for rice production</w:t>
                            </w:r>
                            <w:proofErr w:type="gramStart"/>
                            <w:r>
                              <w:rPr>
                                <w:rFonts w:cs="Arial"/>
                                <w:szCs w:val="20"/>
                              </w:rPr>
                              <w:t>…</w:t>
                            </w:r>
                            <w:r>
                              <w:rPr>
                                <w:rFonts w:cs="Arial"/>
                                <w:b/>
                                <w:szCs w:val="20"/>
                              </w:rPr>
                              <w:t xml:space="preserve"> </w:t>
                            </w:r>
                            <w:r>
                              <w:rPr>
                                <w:rFonts w:cs="Arial"/>
                                <w:szCs w:val="20"/>
                              </w:rPr>
                              <w:t xml:space="preserve"> .</w:t>
                            </w:r>
                            <w:proofErr w:type="gramEnd"/>
                          </w:p>
                          <w:p w14:paraId="5DED9D81" w14:textId="77777777" w:rsidR="00AB4539" w:rsidRDefault="00AB4539" w:rsidP="00321C44">
                            <w:pPr>
                              <w:rPr>
                                <w:rFonts w:asciiTheme="minorHAnsi" w:hAnsiTheme="minorHAnsi" w:cstheme="minorBidi"/>
                                <w:szCs w:val="20"/>
                              </w:rPr>
                            </w:pPr>
                          </w:p>
                          <w:p w14:paraId="7FC034C7" w14:textId="77777777" w:rsidR="00AB4539" w:rsidRDefault="00AB4539" w:rsidP="00321C44">
                            <w:pPr>
                              <w:rPr>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val Callout 38" o:spid="_x0000_s1039" type="#_x0000_t63" style="position:absolute;left:0;text-align:left;margin-left:246.2pt;margin-top:26.75pt;width:218.7pt;height:10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" adj="17699,-7784" strokecolor="#4f81bd" strokeweight="5pt">
                <v:stroke linestyle="thickThin"/>
                <v:shadow color="#868686"/>
                <v:textbox>
                  <w:txbxContent>
                    <w:p w14:paraId="3DE6E50B" w14:textId="1DD8B5BB" w:rsidR="00AB4539" w:rsidRDefault="00AB4539" w:rsidP="00321C44">
                      <w:pPr>
                        <w:rPr>
                          <w:rFonts w:cs="Arial"/>
                          <w:szCs w:val="20"/>
                        </w:rPr>
                      </w:pPr>
                      <w:r>
                        <w:rPr>
                          <w:rFonts w:cs="Arial"/>
                          <w:b/>
                          <w:szCs w:val="20"/>
                        </w:rPr>
                        <w:t xml:space="preserve">Assumption: </w:t>
                      </w:r>
                      <w:r>
                        <w:rPr>
                          <w:rFonts w:cs="Arial"/>
                          <w:szCs w:val="20"/>
                        </w:rPr>
                        <w:t xml:space="preserve">Dong </w:t>
                      </w:r>
                      <w:proofErr w:type="spellStart"/>
                      <w:r>
                        <w:rPr>
                          <w:rFonts w:cs="Arial"/>
                          <w:szCs w:val="20"/>
                        </w:rPr>
                        <w:t>Thap</w:t>
                      </w:r>
                      <w:proofErr w:type="spellEnd"/>
                      <w:r>
                        <w:rPr>
                          <w:rFonts w:cs="Arial"/>
                          <w:szCs w:val="20"/>
                        </w:rPr>
                        <w:t xml:space="preserve"> remains committed to take action to restructure the institution for rice production</w:t>
                      </w:r>
                      <w:proofErr w:type="gramStart"/>
                      <w:r>
                        <w:rPr>
                          <w:rFonts w:cs="Arial"/>
                          <w:szCs w:val="20"/>
                        </w:rPr>
                        <w:t>…</w:t>
                      </w:r>
                      <w:r>
                        <w:rPr>
                          <w:rFonts w:cs="Arial"/>
                          <w:b/>
                          <w:szCs w:val="20"/>
                        </w:rPr>
                        <w:t xml:space="preserve"> </w:t>
                      </w:r>
                      <w:r>
                        <w:rPr>
                          <w:rFonts w:cs="Arial"/>
                          <w:szCs w:val="20"/>
                        </w:rPr>
                        <w:t xml:space="preserve"> .</w:t>
                      </w:r>
                      <w:proofErr w:type="gramEnd"/>
                    </w:p>
                    <w:p w14:paraId="5DED9D81" w14:textId="77777777" w:rsidR="00AB4539" w:rsidRDefault="00AB4539" w:rsidP="00321C44">
                      <w:pPr>
                        <w:rPr>
                          <w:rFonts w:asciiTheme="minorHAnsi" w:hAnsiTheme="minorHAnsi" w:cstheme="minorBidi"/>
                          <w:szCs w:val="20"/>
                        </w:rPr>
                      </w:pPr>
                    </w:p>
                    <w:p w14:paraId="7FC034C7" w14:textId="77777777" w:rsidR="00AB4539" w:rsidRDefault="00AB4539" w:rsidP="00321C44">
                      <w:pPr>
                        <w:rPr>
                          <w:b/>
                          <w:sz w:val="22"/>
                          <w:szCs w:val="22"/>
                        </w:rPr>
                      </w:pPr>
                    </w:p>
                  </w:txbxContent>
                </v:textbox>
              </v:shape>
            </w:pict>
          </mc:Fallback>
        </mc:AlternateContent>
      </w:r>
      <w:r w:rsidRPr="00986221">
        <w:rPr>
          <w:rFonts w:eastAsiaTheme="minorHAnsi" w:cstheme="minorBidi"/>
          <w:noProof/>
          <w:sz w:val="22"/>
          <w:szCs w:val="22"/>
          <w:lang w:eastAsia="en-AU"/>
        </w:rPr>
        <mc:AlternateContent>
          <mc:Choice Requires="wps">
            <w:drawing>
              <wp:anchor distT="0" distB="0" distL="114300" distR="114300" simplePos="0" relativeHeight="251683840" behindDoc="0" locked="0" layoutInCell="1" allowOverlap="1" wp14:anchorId="1BB3E60E" wp14:editId="22D4BC48">
                <wp:simplePos x="0" y="0"/>
                <wp:positionH relativeFrom="column">
                  <wp:posOffset>2919874</wp:posOffset>
                </wp:positionH>
                <wp:positionV relativeFrom="paragraph">
                  <wp:posOffset>358263</wp:posOffset>
                </wp:positionV>
                <wp:extent cx="722671" cy="29497"/>
                <wp:effectExtent l="19050" t="19050" r="1270" b="2794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2671" cy="29497"/>
                        </a:xfrm>
                        <a:prstGeom prst="straightConnector1">
                          <a:avLst/>
                        </a:prstGeom>
                        <a:noFill/>
                        <a:ln w="38100">
                          <a:solidFill>
                            <a:srgbClr val="94363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Straight Arrow Connector 40" o:spid="_x0000_s1026" type="#_x0000_t32" style="position:absolute;margin-left:229.9pt;margin-top:28.2pt;width:56.9pt;height:2.3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" strokecolor="#943634" strokeweight="3pt">
                <v:shadow color="#3f3151" opacity=".5" offset="1pt"/>
              </v:shape>
            </w:pict>
          </mc:Fallback>
        </mc:AlternateContent>
      </w:r>
    </w:p>
    <w:p w14:paraId="5FE9F60E" w14:textId="77777777" w:rsidR="00321C44" w:rsidRPr="00986221" w:rsidRDefault="00321C44" w:rsidP="00321C44">
      <w:pPr>
        <w:spacing w:before="100" w:beforeAutospacing="1" w:after="100" w:afterAutospacing="1" w:line="240" w:lineRule="atLeast"/>
        <w:ind w:left="357"/>
        <w:jc w:val="both"/>
        <w:rPr>
          <w:rFonts w:cs="Arial"/>
          <w:color w:val="333333"/>
          <w:lang w:eastAsia="en-AU"/>
        </w:rPr>
      </w:pPr>
    </w:p>
    <w:p w14:paraId="2D9154D3" w14:textId="77777777" w:rsidR="00321C44" w:rsidRPr="00986221" w:rsidRDefault="00321C44" w:rsidP="00321C44">
      <w:pPr>
        <w:rPr>
          <w:rFonts w:cs="Arial"/>
          <w:color w:val="333333"/>
          <w:lang w:eastAsia="en-AU"/>
        </w:rPr>
        <w:sectPr w:rsidR="00321C44" w:rsidRPr="00986221" w:rsidSect="00DE3774">
          <w:pgSz w:w="16840" w:h="11900" w:orient="landscape"/>
          <w:pgMar w:top="568" w:right="1103" w:bottom="567" w:left="1440" w:header="708" w:footer="708" w:gutter="0"/>
          <w:cols w:space="720"/>
        </w:sectPr>
      </w:pPr>
    </w:p>
    <w:p w14:paraId="3B6FDF0C" w14:textId="768F03E7" w:rsidR="00321C44" w:rsidRPr="00986221" w:rsidRDefault="00321C44" w:rsidP="00B312FB">
      <w:pPr>
        <w:pStyle w:val="Heading2"/>
      </w:pPr>
      <w:bookmarkStart w:id="45" w:name="_Toc387322663"/>
      <w:r w:rsidRPr="00986221">
        <w:t>Overview of M&amp;E</w:t>
      </w:r>
      <w:bookmarkEnd w:id="45"/>
      <w:r w:rsidR="00A02522" w:rsidRPr="00986221">
        <w:t xml:space="preserve"> </w:t>
      </w:r>
    </w:p>
    <w:p w14:paraId="15162313" w14:textId="77777777" w:rsidR="00CC04D1" w:rsidRPr="00986221" w:rsidRDefault="00CC04D1" w:rsidP="00CC04D1"/>
    <w:p w14:paraId="0B2DFBED" w14:textId="088A52F4" w:rsidR="00A02522" w:rsidRPr="00986221" w:rsidRDefault="00A02522" w:rsidP="00CC04D1">
      <w:pPr>
        <w:pStyle w:val="ListParagraph"/>
      </w:pPr>
      <w:r w:rsidRPr="00986221">
        <w:t xml:space="preserve">Some key principles of M&amp;E: </w:t>
      </w:r>
    </w:p>
    <w:p w14:paraId="7E266DB0" w14:textId="77777777" w:rsidR="00A02522" w:rsidRPr="00986221" w:rsidRDefault="00A02522" w:rsidP="004C42CC">
      <w:pPr>
        <w:pStyle w:val="ListParagraph"/>
        <w:numPr>
          <w:ilvl w:val="0"/>
          <w:numId w:val="0"/>
        </w:numPr>
        <w:ind w:left="426"/>
      </w:pPr>
      <w:r w:rsidRPr="00986221">
        <w:rPr>
          <w:u w:val="single"/>
        </w:rPr>
        <w:t>Alignment</w:t>
      </w:r>
      <w:r w:rsidRPr="00986221">
        <w:t xml:space="preserve"> between M&amp;E system of the investment and the in-country performance frameworks: The main purpose of the investment is to support the improved execution of selected elements of national MPER in line with international economic cooperation agreements. MPER has itself the M&amp;E system therefore, whenever relevant and possible, the RCV’s M&amp;E system will provides quality information to feed into the MPER’s M&amp;E system and vice versa. RCV’s M&amp;E will also help with conveying key analytical works supported by the investment to some crucial review and planning events like annual review of MPER’s execution, 30 years Reform (</w:t>
      </w:r>
      <w:proofErr w:type="spellStart"/>
      <w:r w:rsidRPr="00986221">
        <w:t>Doi</w:t>
      </w:r>
      <w:proofErr w:type="spellEnd"/>
      <w:r w:rsidRPr="00986221">
        <w:t xml:space="preserve"> </w:t>
      </w:r>
      <w:proofErr w:type="spellStart"/>
      <w:r w:rsidRPr="00986221">
        <w:t>Moi</w:t>
      </w:r>
      <w:proofErr w:type="spellEnd"/>
      <w:r w:rsidRPr="00986221">
        <w:t>) review, 5 years SEDP (2015-2020) formulation.</w:t>
      </w:r>
    </w:p>
    <w:p w14:paraId="234AFACA" w14:textId="132AF68C" w:rsidR="00A02522" w:rsidRPr="00986221" w:rsidRDefault="00A02522" w:rsidP="004C42CC">
      <w:pPr>
        <w:pStyle w:val="ListParagraph"/>
        <w:numPr>
          <w:ilvl w:val="0"/>
          <w:numId w:val="0"/>
        </w:numPr>
        <w:ind w:left="426"/>
      </w:pPr>
      <w:r w:rsidRPr="00986221">
        <w:rPr>
          <w:u w:val="single"/>
        </w:rPr>
        <w:t>Evidence based</w:t>
      </w:r>
      <w:r w:rsidRPr="00986221">
        <w:t>: The data collection through the M&amp;E system and its dissemination are arranged to support evidence-based decisions within the program but also evidence-based policy advocacy in related areas. Widely disseminating the investment’s outputs and analytical works to relevant stakeholders (mass media, researchers and think tank, Go</w:t>
      </w:r>
      <w:r w:rsidR="00CD14EA" w:rsidRPr="00986221">
        <w:t>V</w:t>
      </w:r>
      <w:r w:rsidRPr="00986221">
        <w:t xml:space="preserve"> institutions, decision makers, development partners…) would help to advocate for expected behavioural and institutional changes.</w:t>
      </w:r>
    </w:p>
    <w:p w14:paraId="4E6788DD" w14:textId="77777777" w:rsidR="004C42CC" w:rsidRPr="00986221" w:rsidRDefault="00A02522" w:rsidP="004C42CC">
      <w:pPr>
        <w:pStyle w:val="ListParagraph"/>
        <w:numPr>
          <w:ilvl w:val="0"/>
          <w:numId w:val="0"/>
        </w:numPr>
        <w:ind w:left="426"/>
      </w:pPr>
      <w:r w:rsidRPr="00986221">
        <w:rPr>
          <w:u w:val="single"/>
        </w:rPr>
        <w:t>Flexibility</w:t>
      </w:r>
      <w:r w:rsidRPr="00986221">
        <w:t xml:space="preserve">: As with any programs theory, the assumptions, particularly those on which the outputs depend in order to stimulate behavioural changes, matter as much as indicators. The people and institutions in </w:t>
      </w:r>
      <w:r w:rsidR="00CD14EA" w:rsidRPr="00986221">
        <w:t>G</w:t>
      </w:r>
      <w:r w:rsidRPr="00986221">
        <w:t>o</w:t>
      </w:r>
      <w:r w:rsidR="00CD14EA" w:rsidRPr="00986221">
        <w:t>V</w:t>
      </w:r>
      <w:r w:rsidRPr="00986221">
        <w:t xml:space="preserve"> the program supports display behaviours which, whilst having certain regularities, defy prediction. Flexibility is therefore important.</w:t>
      </w:r>
      <w:r w:rsidR="00CD14EA" w:rsidRPr="00986221">
        <w:t xml:space="preserve"> </w:t>
      </w:r>
    </w:p>
    <w:p w14:paraId="4DCC9245" w14:textId="31C9D6F4" w:rsidR="00321C44" w:rsidRPr="00986221" w:rsidRDefault="00321C44" w:rsidP="004C42CC">
      <w:pPr>
        <w:pStyle w:val="ListParagraph"/>
        <w:rPr>
          <w:rFonts w:eastAsiaTheme="minorHAnsi"/>
        </w:rPr>
      </w:pPr>
      <w:r w:rsidRPr="00986221">
        <w:t xml:space="preserve">The contents of the </w:t>
      </w:r>
      <w:proofErr w:type="spellStart"/>
      <w:r w:rsidRPr="00986221">
        <w:t>logframe</w:t>
      </w:r>
      <w:proofErr w:type="spellEnd"/>
      <w:r w:rsidRPr="00986221">
        <w:t xml:space="preserve"> presented in </w:t>
      </w:r>
      <w:r w:rsidR="00A02522" w:rsidRPr="00986221">
        <w:t>heading 5 of this Appendix</w:t>
      </w:r>
      <w:r w:rsidRPr="00986221">
        <w:t xml:space="preserve"> define the primary design factors for the M&amp;E framework.  One central feature of the M&amp;E framework is to </w:t>
      </w:r>
      <w:proofErr w:type="spellStart"/>
      <w:r w:rsidR="004C42CC" w:rsidRPr="00986221">
        <w:t>instill</w:t>
      </w:r>
      <w:proofErr w:type="spellEnd"/>
      <w:r w:rsidRPr="00986221">
        <w:t xml:space="preserve"> a discipline that treats Monitoring and Evaluation as different, albeit related, functions distinguished by their respective: objectives; primary users and responsibilities; and requirements for comparative analysis. In the context of the RCV, t</w:t>
      </w:r>
      <w:r w:rsidR="00C2346A" w:rsidRPr="00986221">
        <w:t>hese are shown in Table 1 below.</w:t>
      </w:r>
    </w:p>
    <w:p w14:paraId="2D516FC1" w14:textId="77777777" w:rsidR="00C2346A" w:rsidRPr="00986221" w:rsidRDefault="00C2346A" w:rsidP="00C2346A">
      <w:pPr>
        <w:pStyle w:val="ListParagraph"/>
        <w:numPr>
          <w:ilvl w:val="0"/>
          <w:numId w:val="0"/>
        </w:numPr>
        <w:ind w:left="426"/>
        <w:rPr>
          <w:rFonts w:eastAsiaTheme="minorHAnsi"/>
        </w:rPr>
      </w:pPr>
    </w:p>
    <w:tbl>
      <w:tblPr>
        <w:tblW w:w="9691" w:type="dxa"/>
        <w:tblInd w:w="198" w:type="dxa"/>
        <w:tblBorders>
          <w:top w:val="single" w:sz="18" w:space="0" w:color="00B0F0"/>
          <w:left w:val="single" w:sz="18" w:space="0" w:color="00B0F0"/>
          <w:bottom w:val="single" w:sz="18" w:space="0" w:color="00B0F0"/>
          <w:right w:val="single" w:sz="18" w:space="0" w:color="00B0F0"/>
          <w:insideH w:val="single" w:sz="6" w:space="0" w:color="00B0F0"/>
          <w:insideV w:val="single" w:sz="6" w:space="0" w:color="00B0F0"/>
        </w:tblBorders>
        <w:tblLook w:val="04A0" w:firstRow="1" w:lastRow="0" w:firstColumn="1" w:lastColumn="0" w:noHBand="0" w:noVBand="1"/>
      </w:tblPr>
      <w:tblGrid>
        <w:gridCol w:w="2178"/>
        <w:gridCol w:w="3736"/>
        <w:gridCol w:w="3777"/>
      </w:tblGrid>
      <w:tr w:rsidR="00321C44" w:rsidRPr="00986221" w14:paraId="764CB986" w14:textId="77777777" w:rsidTr="00CC04D1">
        <w:trPr>
          <w:trHeight w:val="417"/>
          <w:tblHeader/>
        </w:trPr>
        <w:tc>
          <w:tcPr>
            <w:tcW w:w="2178" w:type="dxa"/>
            <w:tcBorders>
              <w:top w:val="single" w:sz="18" w:space="0" w:color="00B0F0"/>
              <w:left w:val="single" w:sz="18" w:space="0" w:color="00B0F0"/>
              <w:bottom w:val="single" w:sz="6" w:space="0" w:color="00B0F0"/>
              <w:right w:val="single" w:sz="6" w:space="0" w:color="00B0F0"/>
            </w:tcBorders>
            <w:shd w:val="clear" w:color="auto" w:fill="00B0F0"/>
          </w:tcPr>
          <w:p w14:paraId="70527A5F" w14:textId="77777777" w:rsidR="00321C44" w:rsidRPr="00986221" w:rsidRDefault="00321C44" w:rsidP="00C2346A">
            <w:pPr>
              <w:spacing w:after="60"/>
              <w:jc w:val="both"/>
              <w:rPr>
                <w:rFonts w:cs="Arial"/>
                <w:b/>
                <w:bCs/>
                <w:sz w:val="22"/>
                <w:szCs w:val="22"/>
                <w:lang w:val="en-GB" w:eastAsia="en-AU"/>
              </w:rPr>
            </w:pPr>
            <w:r w:rsidRPr="00986221">
              <w:rPr>
                <w:rFonts w:cs="Arial"/>
                <w:b/>
                <w:bCs/>
                <w:lang w:val="en-GB" w:eastAsia="en-AU"/>
              </w:rPr>
              <w:t>Source of Difference</w:t>
            </w:r>
          </w:p>
        </w:tc>
        <w:tc>
          <w:tcPr>
            <w:tcW w:w="3736" w:type="dxa"/>
            <w:tcBorders>
              <w:top w:val="single" w:sz="18" w:space="0" w:color="00B0F0"/>
              <w:left w:val="single" w:sz="6" w:space="0" w:color="00B0F0"/>
              <w:bottom w:val="single" w:sz="6" w:space="0" w:color="00B0F0"/>
              <w:right w:val="single" w:sz="6" w:space="0" w:color="00B0F0"/>
            </w:tcBorders>
            <w:shd w:val="clear" w:color="auto" w:fill="00B0F0"/>
          </w:tcPr>
          <w:p w14:paraId="181C8793" w14:textId="77777777" w:rsidR="00321C44" w:rsidRPr="00986221" w:rsidRDefault="00321C44" w:rsidP="00C2346A">
            <w:pPr>
              <w:spacing w:after="60"/>
              <w:jc w:val="both"/>
              <w:rPr>
                <w:rFonts w:cs="Arial"/>
                <w:b/>
                <w:bCs/>
                <w:sz w:val="22"/>
                <w:szCs w:val="22"/>
                <w:lang w:val="en-GB" w:eastAsia="en-AU"/>
              </w:rPr>
            </w:pPr>
            <w:r w:rsidRPr="00986221">
              <w:rPr>
                <w:rFonts w:cs="Arial"/>
                <w:b/>
                <w:bCs/>
                <w:lang w:val="en-GB" w:eastAsia="en-AU"/>
              </w:rPr>
              <w:t>Monitoring</w:t>
            </w:r>
          </w:p>
        </w:tc>
        <w:tc>
          <w:tcPr>
            <w:tcW w:w="3777" w:type="dxa"/>
            <w:tcBorders>
              <w:top w:val="single" w:sz="18" w:space="0" w:color="00B0F0"/>
              <w:left w:val="single" w:sz="6" w:space="0" w:color="00B0F0"/>
              <w:bottom w:val="single" w:sz="6" w:space="0" w:color="00B0F0"/>
              <w:right w:val="single" w:sz="18" w:space="0" w:color="00B0F0"/>
            </w:tcBorders>
            <w:shd w:val="clear" w:color="auto" w:fill="00B0F0"/>
          </w:tcPr>
          <w:p w14:paraId="578722BE" w14:textId="77777777" w:rsidR="00321C44" w:rsidRPr="00986221" w:rsidRDefault="00321C44" w:rsidP="00C2346A">
            <w:pPr>
              <w:spacing w:after="60"/>
              <w:jc w:val="both"/>
              <w:rPr>
                <w:rFonts w:cs="Arial"/>
                <w:b/>
                <w:bCs/>
                <w:sz w:val="22"/>
                <w:szCs w:val="22"/>
                <w:lang w:val="en-GB" w:eastAsia="en-AU"/>
              </w:rPr>
            </w:pPr>
            <w:r w:rsidRPr="00986221">
              <w:rPr>
                <w:rFonts w:cs="Arial"/>
                <w:b/>
                <w:bCs/>
                <w:lang w:val="en-GB" w:eastAsia="en-AU"/>
              </w:rPr>
              <w:t>Evaluation</w:t>
            </w:r>
          </w:p>
        </w:tc>
      </w:tr>
      <w:tr w:rsidR="00321C44" w:rsidRPr="00986221" w14:paraId="09952EE3" w14:textId="77777777" w:rsidTr="00CC04D1">
        <w:tc>
          <w:tcPr>
            <w:tcW w:w="2178" w:type="dxa"/>
            <w:tcBorders>
              <w:top w:val="single" w:sz="6" w:space="0" w:color="00B0F0"/>
              <w:left w:val="single" w:sz="18" w:space="0" w:color="00B0F0"/>
              <w:bottom w:val="single" w:sz="6" w:space="0" w:color="00B0F0"/>
              <w:right w:val="single" w:sz="6" w:space="0" w:color="00B0F0"/>
            </w:tcBorders>
            <w:hideMark/>
          </w:tcPr>
          <w:p w14:paraId="78763619" w14:textId="77777777" w:rsidR="00321C44" w:rsidRPr="00986221" w:rsidRDefault="00321C44" w:rsidP="00C2346A">
            <w:pPr>
              <w:spacing w:after="60"/>
              <w:jc w:val="both"/>
              <w:rPr>
                <w:rFonts w:cs="Arial"/>
                <w:b/>
                <w:bCs/>
                <w:szCs w:val="20"/>
                <w:lang w:val="en-GB" w:eastAsia="en-AU"/>
              </w:rPr>
            </w:pPr>
            <w:r w:rsidRPr="00986221">
              <w:rPr>
                <w:rFonts w:cs="Arial"/>
                <w:b/>
                <w:bCs/>
                <w:szCs w:val="20"/>
                <w:lang w:val="en-GB" w:eastAsia="en-AU"/>
              </w:rPr>
              <w:t xml:space="preserve">Responsibility and </w:t>
            </w:r>
            <w:r w:rsidRPr="00986221">
              <w:rPr>
                <w:rFonts w:cs="Arial"/>
                <w:b/>
                <w:bCs/>
                <w:szCs w:val="20"/>
                <w:u w:val="single"/>
                <w:lang w:val="en-GB" w:eastAsia="en-AU"/>
              </w:rPr>
              <w:t>primary</w:t>
            </w:r>
            <w:r w:rsidRPr="00986221">
              <w:rPr>
                <w:rFonts w:cs="Arial"/>
                <w:b/>
                <w:bCs/>
                <w:szCs w:val="20"/>
                <w:lang w:val="en-GB" w:eastAsia="en-AU"/>
              </w:rPr>
              <w:t xml:space="preserve"> users</w:t>
            </w:r>
          </w:p>
        </w:tc>
        <w:tc>
          <w:tcPr>
            <w:tcW w:w="3736" w:type="dxa"/>
            <w:tcBorders>
              <w:top w:val="single" w:sz="6" w:space="0" w:color="00B0F0"/>
              <w:left w:val="single" w:sz="6" w:space="0" w:color="00B0F0"/>
              <w:bottom w:val="single" w:sz="6" w:space="0" w:color="00B0F0"/>
              <w:right w:val="single" w:sz="6" w:space="0" w:color="00B0F0"/>
            </w:tcBorders>
            <w:hideMark/>
          </w:tcPr>
          <w:p w14:paraId="6A0656FD" w14:textId="733EA9B3" w:rsidR="00321C44" w:rsidRPr="00986221" w:rsidRDefault="00321C44" w:rsidP="00C2346A">
            <w:pPr>
              <w:spacing w:after="60"/>
              <w:jc w:val="both"/>
              <w:rPr>
                <w:rFonts w:cs="Arial"/>
                <w:szCs w:val="20"/>
                <w:lang w:val="en-GB" w:eastAsia="en-AU"/>
              </w:rPr>
            </w:pPr>
            <w:r w:rsidRPr="00986221">
              <w:rPr>
                <w:rFonts w:cs="Arial"/>
                <w:szCs w:val="20"/>
                <w:lang w:val="en-GB" w:eastAsia="en-AU"/>
              </w:rPr>
              <w:t xml:space="preserve">At Component level: The agencies are responsible. This is </w:t>
            </w:r>
            <w:r w:rsidR="00543809" w:rsidRPr="00986221">
              <w:rPr>
                <w:rFonts w:cs="Arial"/>
                <w:szCs w:val="20"/>
                <w:lang w:val="en-GB" w:eastAsia="en-AU"/>
              </w:rPr>
              <w:t>a collaborative</w:t>
            </w:r>
            <w:r w:rsidRPr="00986221">
              <w:rPr>
                <w:rFonts w:cs="Arial"/>
                <w:szCs w:val="20"/>
                <w:lang w:val="en-GB" w:eastAsia="en-AU"/>
              </w:rPr>
              <w:t xml:space="preserve"> effort between the finance and delivery teams within the three agencies across the three parts of a monitoring system. (See Section 3).</w:t>
            </w:r>
          </w:p>
          <w:p w14:paraId="10441622" w14:textId="42A3C9B9" w:rsidR="00321C44" w:rsidRPr="00986221" w:rsidRDefault="00321C44" w:rsidP="00C2346A">
            <w:pPr>
              <w:spacing w:after="60"/>
              <w:jc w:val="both"/>
              <w:rPr>
                <w:rFonts w:cs="Arial"/>
                <w:szCs w:val="20"/>
                <w:lang w:val="en-GB" w:eastAsia="en-AU"/>
              </w:rPr>
            </w:pPr>
            <w:r w:rsidRPr="00986221">
              <w:rPr>
                <w:rFonts w:cs="Arial"/>
                <w:szCs w:val="20"/>
                <w:lang w:val="en-GB" w:eastAsia="en-AU"/>
              </w:rPr>
              <w:t xml:space="preserve">At Program level: for the </w:t>
            </w:r>
            <w:r w:rsidR="00485FC2" w:rsidRPr="00986221">
              <w:rPr>
                <w:rFonts w:cs="Arial"/>
                <w:szCs w:val="20"/>
                <w:lang w:val="en-GB" w:eastAsia="en-AU"/>
              </w:rPr>
              <w:t>PCU</w:t>
            </w:r>
            <w:r w:rsidRPr="00986221">
              <w:rPr>
                <w:rFonts w:cs="Arial"/>
                <w:szCs w:val="20"/>
                <w:lang w:val="en-GB" w:eastAsia="en-AU"/>
              </w:rPr>
              <w:t xml:space="preserve"> to synthesise the three agency’s periodic performance </w:t>
            </w:r>
            <w:r w:rsidR="00543809" w:rsidRPr="00986221">
              <w:rPr>
                <w:rFonts w:cs="Arial"/>
                <w:szCs w:val="20"/>
                <w:lang w:val="en-GB" w:eastAsia="en-AU"/>
              </w:rPr>
              <w:t>reports for</w:t>
            </w:r>
            <w:r w:rsidRPr="00986221">
              <w:rPr>
                <w:rFonts w:cs="Arial"/>
                <w:szCs w:val="20"/>
                <w:lang w:val="en-GB" w:eastAsia="en-AU"/>
              </w:rPr>
              <w:t xml:space="preserve"> presentation to the PCC</w:t>
            </w:r>
          </w:p>
        </w:tc>
        <w:tc>
          <w:tcPr>
            <w:tcW w:w="3777" w:type="dxa"/>
            <w:tcBorders>
              <w:top w:val="single" w:sz="6" w:space="0" w:color="00B0F0"/>
              <w:left w:val="single" w:sz="6" w:space="0" w:color="00B0F0"/>
              <w:bottom w:val="single" w:sz="6" w:space="0" w:color="00B0F0"/>
              <w:right w:val="single" w:sz="18" w:space="0" w:color="00B0F0"/>
            </w:tcBorders>
            <w:hideMark/>
          </w:tcPr>
          <w:p w14:paraId="1F11D13F" w14:textId="77777777" w:rsidR="00321C44" w:rsidRPr="00986221" w:rsidRDefault="00321C44" w:rsidP="00C2346A">
            <w:pPr>
              <w:spacing w:after="60"/>
              <w:jc w:val="both"/>
              <w:rPr>
                <w:rFonts w:cs="Arial"/>
                <w:szCs w:val="20"/>
                <w:lang w:val="en-GB" w:eastAsia="en-AU"/>
              </w:rPr>
            </w:pPr>
            <w:r w:rsidRPr="00986221">
              <w:rPr>
                <w:rFonts w:cs="Arial"/>
                <w:szCs w:val="20"/>
                <w:lang w:val="en-GB" w:eastAsia="en-AU"/>
              </w:rPr>
              <w:t xml:space="preserve">Usually done by an independent team. DFAT, in collaboration with the PCC, will define the </w:t>
            </w:r>
            <w:proofErr w:type="spellStart"/>
            <w:r w:rsidRPr="00986221">
              <w:rPr>
                <w:rFonts w:cs="Arial"/>
                <w:szCs w:val="20"/>
                <w:lang w:val="en-GB" w:eastAsia="en-AU"/>
              </w:rPr>
              <w:t>ToR</w:t>
            </w:r>
            <w:proofErr w:type="spellEnd"/>
            <w:r w:rsidRPr="00986221">
              <w:rPr>
                <w:rFonts w:cs="Arial"/>
                <w:szCs w:val="20"/>
                <w:lang w:val="en-GB" w:eastAsia="en-AU"/>
              </w:rPr>
              <w:t xml:space="preserve"> and recruit and manage the evaluation team. The scope of work is defined by questions nested among the OECD/DAC criteria the evaluation needs to answer (See Section 4)</w:t>
            </w:r>
          </w:p>
        </w:tc>
      </w:tr>
      <w:tr w:rsidR="00321C44" w:rsidRPr="00986221" w14:paraId="0CB64D3E" w14:textId="77777777" w:rsidTr="00CC04D1">
        <w:tc>
          <w:tcPr>
            <w:tcW w:w="2178" w:type="dxa"/>
            <w:tcBorders>
              <w:top w:val="single" w:sz="6" w:space="0" w:color="00B0F0"/>
              <w:left w:val="single" w:sz="18" w:space="0" w:color="00B0F0"/>
              <w:bottom w:val="single" w:sz="6" w:space="0" w:color="00B0F0"/>
              <w:right w:val="single" w:sz="6" w:space="0" w:color="00B0F0"/>
            </w:tcBorders>
            <w:hideMark/>
          </w:tcPr>
          <w:p w14:paraId="3B347B81" w14:textId="77777777" w:rsidR="00321C44" w:rsidRPr="00986221" w:rsidRDefault="00321C44" w:rsidP="00C2346A">
            <w:pPr>
              <w:spacing w:after="60"/>
              <w:jc w:val="both"/>
              <w:rPr>
                <w:rFonts w:cs="Arial"/>
                <w:b/>
                <w:bCs/>
                <w:szCs w:val="20"/>
                <w:lang w:val="en-GB" w:eastAsia="en-AU"/>
              </w:rPr>
            </w:pPr>
            <w:r w:rsidRPr="00986221">
              <w:rPr>
                <w:rFonts w:cs="Arial"/>
                <w:b/>
                <w:bCs/>
                <w:szCs w:val="20"/>
                <w:lang w:val="en-GB" w:eastAsia="en-AU"/>
              </w:rPr>
              <w:t>Objective</w:t>
            </w:r>
          </w:p>
        </w:tc>
        <w:tc>
          <w:tcPr>
            <w:tcW w:w="3736" w:type="dxa"/>
            <w:tcBorders>
              <w:top w:val="single" w:sz="6" w:space="0" w:color="00B0F0"/>
              <w:left w:val="single" w:sz="6" w:space="0" w:color="00B0F0"/>
              <w:bottom w:val="single" w:sz="6" w:space="0" w:color="00B0F0"/>
              <w:right w:val="single" w:sz="6" w:space="0" w:color="00B0F0"/>
            </w:tcBorders>
            <w:hideMark/>
          </w:tcPr>
          <w:p w14:paraId="6772D0D0" w14:textId="77777777" w:rsidR="00321C44" w:rsidRPr="00986221" w:rsidRDefault="00321C44" w:rsidP="00C2346A">
            <w:pPr>
              <w:spacing w:after="60"/>
              <w:jc w:val="both"/>
              <w:rPr>
                <w:rFonts w:cs="Arial"/>
                <w:szCs w:val="20"/>
                <w:lang w:val="en-GB" w:eastAsia="en-AU"/>
              </w:rPr>
            </w:pPr>
            <w:r w:rsidRPr="00986221">
              <w:rPr>
                <w:rFonts w:cs="Arial"/>
                <w:szCs w:val="20"/>
                <w:lang w:val="en-GB" w:eastAsia="en-AU"/>
              </w:rPr>
              <w:t xml:space="preserve">To improve performance </w:t>
            </w:r>
            <w:proofErr w:type="gramStart"/>
            <w:r w:rsidRPr="00986221">
              <w:rPr>
                <w:rFonts w:cs="Arial"/>
                <w:szCs w:val="20"/>
                <w:lang w:val="en-GB" w:eastAsia="en-AU"/>
              </w:rPr>
              <w:t>between 2014-2016 based on analysing information about financial control,</w:t>
            </w:r>
            <w:proofErr w:type="gramEnd"/>
            <w:r w:rsidRPr="00986221">
              <w:rPr>
                <w:rFonts w:cs="Arial"/>
                <w:szCs w:val="20"/>
                <w:lang w:val="en-GB" w:eastAsia="en-AU"/>
              </w:rPr>
              <w:t xml:space="preserve"> output tracking and beneficiary assessments at component and program levels.</w:t>
            </w:r>
          </w:p>
          <w:p w14:paraId="19C7CDCE" w14:textId="77777777" w:rsidR="00321C44" w:rsidRPr="00986221" w:rsidRDefault="00321C44" w:rsidP="00C2346A">
            <w:pPr>
              <w:spacing w:after="60"/>
              <w:jc w:val="both"/>
              <w:rPr>
                <w:color w:val="333333"/>
              </w:rPr>
            </w:pPr>
            <w:r w:rsidRPr="00986221">
              <w:rPr>
                <w:color w:val="333333"/>
              </w:rPr>
              <w:t>To serve as basis for evidence-based policy advocacy and dialogue with relevant stakeholders at central and local level in the areas the program is supporting</w:t>
            </w:r>
            <w:r w:rsidR="00CB6654" w:rsidRPr="00986221">
              <w:rPr>
                <w:color w:val="333333"/>
              </w:rPr>
              <w:t>.</w:t>
            </w:r>
          </w:p>
          <w:p w14:paraId="3AC1AA4F" w14:textId="77777777" w:rsidR="00CB6654" w:rsidRPr="00986221" w:rsidRDefault="00CB6654" w:rsidP="00C2346A">
            <w:pPr>
              <w:spacing w:after="60"/>
              <w:jc w:val="both"/>
              <w:rPr>
                <w:rFonts w:cs="Arial"/>
                <w:szCs w:val="20"/>
                <w:lang w:val="en-GB" w:eastAsia="en-AU"/>
              </w:rPr>
            </w:pPr>
          </w:p>
        </w:tc>
        <w:tc>
          <w:tcPr>
            <w:tcW w:w="3777" w:type="dxa"/>
            <w:tcBorders>
              <w:top w:val="single" w:sz="6" w:space="0" w:color="00B0F0"/>
              <w:left w:val="single" w:sz="6" w:space="0" w:color="00B0F0"/>
              <w:bottom w:val="single" w:sz="6" w:space="0" w:color="00B0F0"/>
              <w:right w:val="single" w:sz="18" w:space="0" w:color="00B0F0"/>
            </w:tcBorders>
            <w:hideMark/>
          </w:tcPr>
          <w:p w14:paraId="32AF5E02" w14:textId="77777777" w:rsidR="00321C44" w:rsidRPr="00986221" w:rsidRDefault="00321C44" w:rsidP="00C2346A">
            <w:pPr>
              <w:spacing w:after="60"/>
              <w:jc w:val="both"/>
              <w:rPr>
                <w:rFonts w:cs="Arial"/>
                <w:szCs w:val="20"/>
                <w:lang w:val="en-GB" w:eastAsia="en-AU"/>
              </w:rPr>
            </w:pPr>
            <w:r w:rsidRPr="00986221">
              <w:rPr>
                <w:rFonts w:cs="Arial"/>
                <w:szCs w:val="20"/>
                <w:lang w:val="en-GB" w:eastAsia="en-AU"/>
              </w:rPr>
              <w:t>To determine the case for further DFAT support to the MPER beyond March 2016</w:t>
            </w:r>
          </w:p>
        </w:tc>
      </w:tr>
      <w:tr w:rsidR="00321C44" w:rsidRPr="00986221" w14:paraId="6981AD66" w14:textId="77777777" w:rsidTr="00CC04D1">
        <w:tc>
          <w:tcPr>
            <w:tcW w:w="2178" w:type="dxa"/>
            <w:tcBorders>
              <w:top w:val="single" w:sz="6" w:space="0" w:color="00B0F0"/>
              <w:left w:val="single" w:sz="18" w:space="0" w:color="00B0F0"/>
              <w:bottom w:val="single" w:sz="6" w:space="0" w:color="00B0F0"/>
              <w:right w:val="single" w:sz="6" w:space="0" w:color="00B0F0"/>
            </w:tcBorders>
            <w:hideMark/>
          </w:tcPr>
          <w:p w14:paraId="48BE072F" w14:textId="212F2012" w:rsidR="00321C44" w:rsidRPr="00986221" w:rsidRDefault="00321C44" w:rsidP="00C2346A">
            <w:pPr>
              <w:spacing w:after="60"/>
              <w:jc w:val="both"/>
              <w:rPr>
                <w:rFonts w:cs="Arial"/>
                <w:b/>
                <w:bCs/>
                <w:szCs w:val="20"/>
                <w:lang w:val="en-GB" w:eastAsia="en-AU"/>
              </w:rPr>
            </w:pPr>
            <w:r w:rsidRPr="00986221">
              <w:rPr>
                <w:rFonts w:cs="Arial"/>
                <w:b/>
                <w:bCs/>
                <w:szCs w:val="20"/>
                <w:lang w:val="en-GB" w:eastAsia="en-AU"/>
              </w:rPr>
              <w:t>Requirements for comparative analysis</w:t>
            </w:r>
          </w:p>
        </w:tc>
        <w:tc>
          <w:tcPr>
            <w:tcW w:w="3736" w:type="dxa"/>
            <w:tcBorders>
              <w:top w:val="single" w:sz="6" w:space="0" w:color="00B0F0"/>
              <w:left w:val="single" w:sz="6" w:space="0" w:color="00B0F0"/>
              <w:bottom w:val="single" w:sz="6" w:space="0" w:color="00B0F0"/>
              <w:right w:val="single" w:sz="6" w:space="0" w:color="00B0F0"/>
            </w:tcBorders>
            <w:hideMark/>
          </w:tcPr>
          <w:p w14:paraId="3D2670BD" w14:textId="77777777" w:rsidR="00321C44" w:rsidRPr="00986221" w:rsidRDefault="00321C44" w:rsidP="00C2346A">
            <w:pPr>
              <w:spacing w:after="60"/>
              <w:jc w:val="both"/>
              <w:rPr>
                <w:rFonts w:cs="Arial"/>
                <w:szCs w:val="20"/>
                <w:lang w:val="en-GB" w:eastAsia="en-AU"/>
              </w:rPr>
            </w:pPr>
            <w:r w:rsidRPr="00986221">
              <w:rPr>
                <w:rFonts w:cs="Arial"/>
                <w:szCs w:val="20"/>
                <w:lang w:val="en-GB" w:eastAsia="en-AU"/>
              </w:rPr>
              <w:t xml:space="preserve">At component level: Expenditure in relation to activity based budgets; the reach and quality of outputs among beneficiary groups based on their assessments and associated changes in their behaviours. </w:t>
            </w:r>
          </w:p>
          <w:p w14:paraId="06BFD443" w14:textId="77777777" w:rsidR="00321C44" w:rsidRPr="00986221" w:rsidRDefault="00321C44" w:rsidP="00C2346A">
            <w:pPr>
              <w:spacing w:after="60"/>
              <w:jc w:val="both"/>
              <w:rPr>
                <w:rFonts w:cs="Arial"/>
                <w:szCs w:val="20"/>
                <w:lang w:val="en-GB" w:eastAsia="en-AU"/>
              </w:rPr>
            </w:pPr>
            <w:r w:rsidRPr="00986221">
              <w:rPr>
                <w:rFonts w:cs="Arial"/>
                <w:szCs w:val="20"/>
                <w:lang w:val="en-GB" w:eastAsia="en-AU"/>
              </w:rPr>
              <w:t>At program level, the analysis will focus on comparing performance across the agencies, including how they work together</w:t>
            </w:r>
          </w:p>
        </w:tc>
        <w:tc>
          <w:tcPr>
            <w:tcW w:w="3777" w:type="dxa"/>
            <w:tcBorders>
              <w:top w:val="single" w:sz="6" w:space="0" w:color="00B0F0"/>
              <w:left w:val="single" w:sz="6" w:space="0" w:color="00B0F0"/>
              <w:bottom w:val="single" w:sz="6" w:space="0" w:color="00B0F0"/>
              <w:right w:val="single" w:sz="18" w:space="0" w:color="00B0F0"/>
            </w:tcBorders>
            <w:hideMark/>
          </w:tcPr>
          <w:p w14:paraId="083EBA67" w14:textId="77777777" w:rsidR="00321C44" w:rsidRPr="00986221" w:rsidRDefault="00321C44" w:rsidP="00C2346A">
            <w:pPr>
              <w:spacing w:after="60"/>
              <w:jc w:val="both"/>
              <w:rPr>
                <w:rFonts w:cs="Arial"/>
                <w:szCs w:val="20"/>
                <w:lang w:val="en-GB" w:eastAsia="en-AU"/>
              </w:rPr>
            </w:pPr>
            <w:r w:rsidRPr="00986221">
              <w:rPr>
                <w:rFonts w:cs="Arial"/>
                <w:szCs w:val="20"/>
                <w:lang w:val="en-GB" w:eastAsia="en-AU"/>
              </w:rPr>
              <w:t xml:space="preserve">The main requirement will be to assess the relative values of program level outcome indicators between 2014 and 2016. Doing this will involve: a) a comparative analysis between the three component’s effectiveness and efficiency by analysing their respective outputs; and b) a rigorous testing of the assumptions on which the components’ outputs’ contribution to the program’s outcome rests, and how this varies among the components.  </w:t>
            </w:r>
          </w:p>
        </w:tc>
      </w:tr>
      <w:tr w:rsidR="00321C44" w:rsidRPr="00986221" w14:paraId="634CFFC1" w14:textId="77777777" w:rsidTr="00CC04D1">
        <w:tc>
          <w:tcPr>
            <w:tcW w:w="2178" w:type="dxa"/>
            <w:tcBorders>
              <w:top w:val="single" w:sz="6" w:space="0" w:color="00B0F0"/>
              <w:left w:val="single" w:sz="18" w:space="0" w:color="00B0F0"/>
              <w:bottom w:val="single" w:sz="18" w:space="0" w:color="00B0F0"/>
              <w:right w:val="single" w:sz="6" w:space="0" w:color="00B0F0"/>
            </w:tcBorders>
            <w:hideMark/>
          </w:tcPr>
          <w:p w14:paraId="2EE613CC" w14:textId="77777777" w:rsidR="00321C44" w:rsidRPr="00986221" w:rsidRDefault="00321C44" w:rsidP="00C2346A">
            <w:pPr>
              <w:spacing w:after="60"/>
              <w:jc w:val="both"/>
              <w:rPr>
                <w:rFonts w:cs="Arial"/>
                <w:b/>
                <w:bCs/>
                <w:szCs w:val="20"/>
                <w:lang w:val="en-GB" w:eastAsia="en-AU"/>
              </w:rPr>
            </w:pPr>
            <w:r w:rsidRPr="00986221">
              <w:rPr>
                <w:rFonts w:cs="Arial"/>
                <w:b/>
                <w:bCs/>
                <w:szCs w:val="20"/>
                <w:lang w:val="en-GB" w:eastAsia="en-AU"/>
              </w:rPr>
              <w:t>Reference Period</w:t>
            </w:r>
          </w:p>
        </w:tc>
        <w:tc>
          <w:tcPr>
            <w:tcW w:w="3736" w:type="dxa"/>
            <w:tcBorders>
              <w:top w:val="single" w:sz="6" w:space="0" w:color="00B0F0"/>
              <w:left w:val="single" w:sz="6" w:space="0" w:color="00B0F0"/>
              <w:bottom w:val="single" w:sz="18" w:space="0" w:color="00B0F0"/>
              <w:right w:val="single" w:sz="6" w:space="0" w:color="00B0F0"/>
            </w:tcBorders>
            <w:hideMark/>
          </w:tcPr>
          <w:p w14:paraId="4B92489C" w14:textId="77777777" w:rsidR="00321C44" w:rsidRPr="00986221" w:rsidRDefault="00321C44" w:rsidP="00C2346A">
            <w:pPr>
              <w:spacing w:after="60"/>
              <w:jc w:val="both"/>
              <w:rPr>
                <w:rFonts w:cs="Arial"/>
                <w:szCs w:val="20"/>
                <w:lang w:val="en-GB" w:eastAsia="en-AU"/>
              </w:rPr>
            </w:pPr>
            <w:r w:rsidRPr="00986221">
              <w:rPr>
                <w:rFonts w:cs="Arial"/>
                <w:szCs w:val="20"/>
                <w:lang w:val="en-GB" w:eastAsia="en-AU"/>
              </w:rPr>
              <w:t>Varies: for expenditure it is a matter of monthly comparisons; for outputs it is likely to be quarterly; for the assessments of quality and relevance of outputs by beneficiaries and analysis of the assumptions and context every six months.</w:t>
            </w:r>
          </w:p>
        </w:tc>
        <w:tc>
          <w:tcPr>
            <w:tcW w:w="3777" w:type="dxa"/>
            <w:tcBorders>
              <w:top w:val="single" w:sz="6" w:space="0" w:color="00B0F0"/>
              <w:left w:val="single" w:sz="6" w:space="0" w:color="00B0F0"/>
              <w:bottom w:val="single" w:sz="18" w:space="0" w:color="00B0F0"/>
              <w:right w:val="single" w:sz="18" w:space="0" w:color="00B0F0"/>
            </w:tcBorders>
            <w:hideMark/>
          </w:tcPr>
          <w:p w14:paraId="45F857CC" w14:textId="77777777" w:rsidR="00321C44" w:rsidRPr="00986221" w:rsidRDefault="00321C44" w:rsidP="00C2346A">
            <w:pPr>
              <w:spacing w:after="60"/>
              <w:jc w:val="both"/>
              <w:rPr>
                <w:rFonts w:cs="Arial"/>
                <w:szCs w:val="20"/>
                <w:lang w:val="en-GB" w:eastAsia="en-AU"/>
              </w:rPr>
            </w:pPr>
            <w:r w:rsidRPr="00986221">
              <w:rPr>
                <w:rFonts w:cs="Arial"/>
                <w:szCs w:val="20"/>
                <w:lang w:val="en-GB" w:eastAsia="en-AU"/>
              </w:rPr>
              <w:t xml:space="preserve">Two years. </w:t>
            </w:r>
          </w:p>
        </w:tc>
      </w:tr>
    </w:tbl>
    <w:p w14:paraId="2748099C" w14:textId="77777777" w:rsidR="00C2346A" w:rsidRPr="00986221" w:rsidRDefault="00C2346A" w:rsidP="00A02522">
      <w:pPr>
        <w:jc w:val="both"/>
        <w:rPr>
          <w:rFonts w:cs="Arial"/>
          <w:lang w:eastAsia="en-AU"/>
        </w:rPr>
      </w:pPr>
    </w:p>
    <w:p w14:paraId="4D5C8C4D" w14:textId="77777777" w:rsidR="001853BC" w:rsidRPr="00986221" w:rsidRDefault="001853BC" w:rsidP="00A02522">
      <w:pPr>
        <w:jc w:val="both"/>
        <w:rPr>
          <w:rFonts w:cs="Arial"/>
          <w:lang w:eastAsia="en-AU"/>
        </w:rPr>
      </w:pPr>
    </w:p>
    <w:p w14:paraId="06565EA6" w14:textId="2CAB0CD0" w:rsidR="001853BC" w:rsidRPr="00986221" w:rsidRDefault="00A02522" w:rsidP="00A02522">
      <w:pPr>
        <w:jc w:val="both"/>
        <w:rPr>
          <w:rFonts w:cs="Arial"/>
          <w:b/>
        </w:rPr>
      </w:pPr>
      <w:r w:rsidRPr="00986221">
        <w:rPr>
          <w:rFonts w:cs="Arial"/>
          <w:b/>
        </w:rPr>
        <w:t xml:space="preserve">3. </w:t>
      </w:r>
      <w:r w:rsidR="00321C44" w:rsidRPr="00986221">
        <w:rPr>
          <w:rFonts w:cs="Arial"/>
          <w:b/>
        </w:rPr>
        <w:t>Monitoring</w:t>
      </w:r>
    </w:p>
    <w:p w14:paraId="14D1B97F" w14:textId="77777777" w:rsidR="00C2346A" w:rsidRPr="00986221" w:rsidRDefault="00C2346A" w:rsidP="00A02522">
      <w:pPr>
        <w:jc w:val="both"/>
        <w:rPr>
          <w:rFonts w:cs="Arial"/>
          <w:b/>
        </w:rPr>
      </w:pPr>
    </w:p>
    <w:p w14:paraId="55C722E1" w14:textId="6139A9C9" w:rsidR="00321C44" w:rsidRPr="00986221" w:rsidRDefault="00321C44" w:rsidP="00C2346A">
      <w:pPr>
        <w:pStyle w:val="ListParagraph"/>
        <w:rPr>
          <w:rFonts w:asciiTheme="minorHAnsi" w:eastAsiaTheme="minorHAnsi" w:hAnsiTheme="minorHAnsi"/>
        </w:rPr>
      </w:pPr>
      <w:r w:rsidRPr="00986221">
        <w:t xml:space="preserve">Monitoring needs to be an integral part of the learning process managed by the VCA, CIEM and IPSARD over the course of the program. </w:t>
      </w:r>
      <w:r w:rsidR="00622F0E" w:rsidRPr="00986221">
        <w:t xml:space="preserve">Some </w:t>
      </w:r>
      <w:r w:rsidRPr="00986221">
        <w:t xml:space="preserve">RCV </w:t>
      </w:r>
      <w:r w:rsidR="00622F0E" w:rsidRPr="00986221">
        <w:t xml:space="preserve">successes </w:t>
      </w:r>
      <w:r w:rsidRPr="00986221">
        <w:t xml:space="preserve">will </w:t>
      </w:r>
      <w:r w:rsidR="00A26B45" w:rsidRPr="00986221">
        <w:rPr>
          <w:lang w:val="en"/>
        </w:rPr>
        <w:t xml:space="preserve">result </w:t>
      </w:r>
      <w:r w:rsidRPr="00986221">
        <w:rPr>
          <w:lang w:val="en"/>
        </w:rPr>
        <w:t xml:space="preserve">from a process of trial and error. </w:t>
      </w:r>
      <w:r w:rsidR="00EC478A" w:rsidRPr="00986221">
        <w:rPr>
          <w:lang w:val="en"/>
        </w:rPr>
        <w:t>Thus,</w:t>
      </w:r>
      <w:r w:rsidRPr="00986221">
        <w:rPr>
          <w:lang w:val="en"/>
        </w:rPr>
        <w:t xml:space="preserve"> </w:t>
      </w:r>
      <w:proofErr w:type="spellStart"/>
      <w:r w:rsidR="00EC478A" w:rsidRPr="00986221">
        <w:rPr>
          <w:lang w:val="en"/>
        </w:rPr>
        <w:t>desing</w:t>
      </w:r>
      <w:proofErr w:type="spellEnd"/>
      <w:r w:rsidR="00EC478A" w:rsidRPr="00986221">
        <w:rPr>
          <w:lang w:val="en"/>
        </w:rPr>
        <w:t xml:space="preserve"> of the </w:t>
      </w:r>
      <w:r w:rsidRPr="00986221">
        <w:rPr>
          <w:lang w:val="en"/>
        </w:rPr>
        <w:t xml:space="preserve">monitoring </w:t>
      </w:r>
      <w:r w:rsidR="00937C42" w:rsidRPr="00986221">
        <w:rPr>
          <w:lang w:val="en"/>
        </w:rPr>
        <w:t xml:space="preserve">framework needs </w:t>
      </w:r>
      <w:r w:rsidRPr="00986221">
        <w:rPr>
          <w:lang w:val="en"/>
        </w:rPr>
        <w:t xml:space="preserve">to </w:t>
      </w:r>
      <w:r w:rsidR="00937C42" w:rsidRPr="00986221">
        <w:rPr>
          <w:lang w:val="en"/>
        </w:rPr>
        <w:t xml:space="preserve">include </w:t>
      </w:r>
      <w:r w:rsidRPr="00986221">
        <w:rPr>
          <w:lang w:val="en"/>
        </w:rPr>
        <w:t xml:space="preserve">discretion, space and voice to those intended to benefit from the support. In this way, monitoring is a practical antidote to the complex system or institutional context in which the program will be implemented. Success will not result from simply reporting on a fixed intention, nailed down by the </w:t>
      </w:r>
      <w:proofErr w:type="spellStart"/>
      <w:r w:rsidRPr="00986221">
        <w:rPr>
          <w:lang w:val="en"/>
        </w:rPr>
        <w:t>Logframe</w:t>
      </w:r>
      <w:proofErr w:type="spellEnd"/>
      <w:r w:rsidRPr="00986221">
        <w:rPr>
          <w:lang w:val="en"/>
        </w:rPr>
        <w:t xml:space="preserve">. Good </w:t>
      </w:r>
      <w:r w:rsidR="00937C42" w:rsidRPr="00986221">
        <w:rPr>
          <w:lang w:val="en"/>
        </w:rPr>
        <w:t>program m</w:t>
      </w:r>
      <w:r w:rsidRPr="00986221">
        <w:rPr>
          <w:lang w:val="en"/>
        </w:rPr>
        <w:t xml:space="preserve">onitoring will be </w:t>
      </w:r>
      <w:proofErr w:type="spellStart"/>
      <w:r w:rsidRPr="00986221">
        <w:rPr>
          <w:lang w:val="en"/>
        </w:rPr>
        <w:t>realised</w:t>
      </w:r>
      <w:proofErr w:type="spellEnd"/>
      <w:r w:rsidRPr="00986221">
        <w:rPr>
          <w:lang w:val="en"/>
        </w:rPr>
        <w:t xml:space="preserve"> by developing communication processes that help understand how the agencies respond to the support made available and how, in turn, their clients react to them. This learning process helps make Australian Aid more accountable</w:t>
      </w:r>
      <w:r w:rsidR="00937C42" w:rsidRPr="00986221">
        <w:rPr>
          <w:lang w:val="en"/>
        </w:rPr>
        <w:t xml:space="preserve"> </w:t>
      </w:r>
      <w:r w:rsidRPr="00986221">
        <w:rPr>
          <w:lang w:val="en"/>
        </w:rPr>
        <w:t>and, by so doing, re-enforces mutual accountability</w:t>
      </w:r>
      <w:r w:rsidR="00DD6DCF" w:rsidRPr="00986221">
        <w:rPr>
          <w:lang w:val="en"/>
        </w:rPr>
        <w:t>.</w:t>
      </w:r>
      <w:r w:rsidRPr="00986221">
        <w:rPr>
          <w:lang w:val="en"/>
        </w:rPr>
        <w:t xml:space="preserve"> </w:t>
      </w:r>
    </w:p>
    <w:p w14:paraId="5391FCA9" w14:textId="77777777" w:rsidR="00321C44" w:rsidRPr="00986221" w:rsidRDefault="00321C44" w:rsidP="00C2346A">
      <w:pPr>
        <w:pStyle w:val="ListParagraph"/>
      </w:pPr>
      <w:r w:rsidRPr="00986221">
        <w:t>The purpose of monitoring lies in being able to improve, not just comment and report on, performance. In doing so, the three agencies need to set in motion processes that answer three questions:</w:t>
      </w:r>
    </w:p>
    <w:p w14:paraId="2296C0F4" w14:textId="7C33760F" w:rsidR="00321C44" w:rsidRPr="00986221" w:rsidRDefault="00321C44" w:rsidP="008A2099">
      <w:pPr>
        <w:pStyle w:val="ListParagraphindent"/>
      </w:pPr>
      <w:r w:rsidRPr="00986221">
        <w:t>On Effort</w:t>
      </w:r>
      <w:r w:rsidR="001853BC" w:rsidRPr="00986221">
        <w:t>:</w:t>
      </w:r>
      <w:r w:rsidRPr="00986221">
        <w:t xml:space="preserve"> What are they spending money and effort on broken down by what they make available (</w:t>
      </w:r>
      <w:proofErr w:type="spellStart"/>
      <w:r w:rsidRPr="00986221">
        <w:t>ie</w:t>
      </w:r>
      <w:proofErr w:type="spellEnd"/>
      <w:r w:rsidRPr="00986221">
        <w:t>, their outputs) to their clients and what is the quality of the support offer</w:t>
      </w:r>
      <w:r w:rsidR="00F62975" w:rsidRPr="00986221">
        <w:t>ed through the program to this?</w:t>
      </w:r>
    </w:p>
    <w:p w14:paraId="0C751727" w14:textId="3C70455E" w:rsidR="00321C44" w:rsidRPr="00986221" w:rsidRDefault="00321C44" w:rsidP="008A2099">
      <w:pPr>
        <w:pStyle w:val="ListParagraphindent"/>
      </w:pPr>
      <w:r w:rsidRPr="00986221">
        <w:t>On Outreach</w:t>
      </w:r>
      <w:r w:rsidR="001853BC" w:rsidRPr="00986221">
        <w:t xml:space="preserve">: </w:t>
      </w:r>
      <w:r w:rsidRPr="00986221">
        <w:t xml:space="preserve">How </w:t>
      </w:r>
      <w:r w:rsidR="00DD6DCF" w:rsidRPr="00986221">
        <w:t xml:space="preserve">useful </w:t>
      </w:r>
      <w:r w:rsidRPr="00986221">
        <w:t>is their support (what and how well do they make the outputs available)</w:t>
      </w:r>
      <w:r w:rsidR="00F62975" w:rsidRPr="00986221">
        <w:t>,</w:t>
      </w:r>
      <w:r w:rsidRPr="00986221">
        <w:t xml:space="preserve"> and how and why does this vary by place and people broken down by their outputs?; and</w:t>
      </w:r>
    </w:p>
    <w:p w14:paraId="0305E3BA" w14:textId="3A220243" w:rsidR="00321C44" w:rsidRPr="00986221" w:rsidRDefault="00321C44" w:rsidP="008A2099">
      <w:pPr>
        <w:pStyle w:val="ListParagraphindent"/>
      </w:pPr>
      <w:r w:rsidRPr="00986221">
        <w:t>On Change</w:t>
      </w:r>
      <w:r w:rsidR="001853BC" w:rsidRPr="00986221">
        <w:t>:</w:t>
      </w:r>
      <w:r w:rsidRPr="00986221">
        <w:t xml:space="preserve"> How and in what ways are their ‘beneficiaries’ – and others - responding to their support (are they accepting or rejecting it), and again how and why does this vary by the type of support and among places and people?</w:t>
      </w:r>
    </w:p>
    <w:p w14:paraId="121F53B2" w14:textId="582434B2" w:rsidR="00321C44" w:rsidRPr="00986221" w:rsidRDefault="00321C44" w:rsidP="00C2346A">
      <w:pPr>
        <w:pStyle w:val="ListParagraph"/>
      </w:pPr>
      <w:r w:rsidRPr="00986221">
        <w:t xml:space="preserve">There are three tools to be used in answering these questions: </w:t>
      </w:r>
      <w:proofErr w:type="spellStart"/>
      <w:r w:rsidRPr="00986221">
        <w:t>i</w:t>
      </w:r>
      <w:proofErr w:type="spellEnd"/>
      <w:r w:rsidRPr="00986221">
        <w:t xml:space="preserve">) an integrated quality assurance mechanism defined by a peer review process that, for example, will be applied to review the method and output developed by IPSARD for its analysis of the institutional environment for the rice value chain in Dong Thap province; ii) a systematic feedback mechanism used to assess the quality and relevance of technical assistance for example in training VCA staff to better investigate and handle/resolve competition cases; and iii) a beneficiary feedback process adopted in relation to all outputs following their delivery, for example in gauging the perceptions and behaviours of how and to what extent the </w:t>
      </w:r>
      <w:r w:rsidR="00B8726E" w:rsidRPr="00986221">
        <w:t>GoV responds to</w:t>
      </w:r>
      <w:r w:rsidRPr="00986221">
        <w:t xml:space="preserve"> CIEM’s recommendations </w:t>
      </w:r>
      <w:r w:rsidR="00B8726E" w:rsidRPr="00986221">
        <w:t>to address</w:t>
      </w:r>
      <w:r w:rsidRPr="00986221">
        <w:t xml:space="preserve"> constraints to private sector development. </w:t>
      </w:r>
    </w:p>
    <w:p w14:paraId="56DA83EB" w14:textId="77777777" w:rsidR="00321C44" w:rsidRPr="00986221" w:rsidRDefault="00321C44" w:rsidP="00C2346A">
      <w:pPr>
        <w:pStyle w:val="ListParagraph"/>
      </w:pPr>
      <w:r w:rsidRPr="00986221">
        <w:t>The arrangements for monitoring the RCV are broken down by two inter-related levels: program and component level. Each level will have its own specific set of responsibilities and reporting process and format. At component level, the budget holder for each agency will be responsible for:</w:t>
      </w:r>
    </w:p>
    <w:p w14:paraId="1803A750" w14:textId="18CC5F37" w:rsidR="00321C44" w:rsidRPr="00986221" w:rsidRDefault="008A2099" w:rsidP="008A2099">
      <w:pPr>
        <w:pStyle w:val="ListParagraphindent"/>
      </w:pPr>
      <w:r w:rsidRPr="00986221">
        <w:t>Preparing</w:t>
      </w:r>
      <w:r w:rsidR="00321C44" w:rsidRPr="00986221">
        <w:t xml:space="preserve"> </w:t>
      </w:r>
      <w:r w:rsidR="00321C44" w:rsidRPr="00986221">
        <w:rPr>
          <w:i/>
        </w:rPr>
        <w:t>monthly financial statements</w:t>
      </w:r>
      <w:r w:rsidR="00321C44" w:rsidRPr="00986221">
        <w:t xml:space="preserve"> broken down by each of the activities defined among the outputs;</w:t>
      </w:r>
    </w:p>
    <w:p w14:paraId="5F3672D7" w14:textId="4C949616" w:rsidR="00321C44" w:rsidRPr="00986221" w:rsidRDefault="008A2099" w:rsidP="008A2099">
      <w:pPr>
        <w:pStyle w:val="ListParagraphindent"/>
      </w:pPr>
      <w:r w:rsidRPr="00986221">
        <w:t>Analysing</w:t>
      </w:r>
      <w:r w:rsidR="00321C44" w:rsidRPr="00986221">
        <w:t xml:space="preserve">, for the </w:t>
      </w:r>
      <w:r w:rsidR="00321C44" w:rsidRPr="00986221">
        <w:rPr>
          <w:i/>
        </w:rPr>
        <w:t>first and third quarters</w:t>
      </w:r>
      <w:r w:rsidR="00321C44" w:rsidRPr="00986221">
        <w:t xml:space="preserve"> of each year, the main achievements to date defined by progress made in relation to the outputs’ indicators along with a summary of the expenditure to date for each output. These reports will include a summary of the performance of the support delivered to the agency as judged by those it targeted; and</w:t>
      </w:r>
    </w:p>
    <w:p w14:paraId="46E08696" w14:textId="112408BF" w:rsidR="00321C44" w:rsidRPr="00986221" w:rsidRDefault="008A2099" w:rsidP="008A2099">
      <w:pPr>
        <w:pStyle w:val="ListParagraphindent"/>
      </w:pPr>
      <w:r w:rsidRPr="00986221">
        <w:t>Reviewing</w:t>
      </w:r>
      <w:r w:rsidR="00321C44" w:rsidRPr="00986221">
        <w:t xml:space="preserve"> their performance every six months (</w:t>
      </w:r>
      <w:proofErr w:type="spellStart"/>
      <w:r w:rsidR="00321C44" w:rsidRPr="00986221">
        <w:t>ie</w:t>
      </w:r>
      <w:proofErr w:type="spellEnd"/>
      <w:r w:rsidR="00321C44" w:rsidRPr="00986221">
        <w:t xml:space="preserve">, </w:t>
      </w:r>
      <w:r w:rsidR="00321C44" w:rsidRPr="00986221">
        <w:rPr>
          <w:i/>
        </w:rPr>
        <w:t>second and fourth quarters</w:t>
      </w:r>
      <w:r w:rsidR="00321C44" w:rsidRPr="00986221">
        <w:t xml:space="preserve">) that includes an analysis of each of the output to outcome assumptions defined in their </w:t>
      </w:r>
      <w:proofErr w:type="spellStart"/>
      <w:r w:rsidR="00321C44" w:rsidRPr="00986221">
        <w:t>logframes</w:t>
      </w:r>
      <w:proofErr w:type="spellEnd"/>
      <w:r w:rsidR="00321C44" w:rsidRPr="00986221">
        <w:t xml:space="preserve">. This will also include, probably not until 2015, the degree to which their outputs are contributing to the relevant program level outcome indicators based on an assessment of how and to what extent the outputs are being used by those in </w:t>
      </w:r>
      <w:r w:rsidR="00CD14EA" w:rsidRPr="00986221">
        <w:t>G</w:t>
      </w:r>
      <w:r w:rsidR="00321C44" w:rsidRPr="00986221">
        <w:t>o</w:t>
      </w:r>
      <w:r w:rsidR="00CD14EA" w:rsidRPr="00986221">
        <w:t>V</w:t>
      </w:r>
      <w:r w:rsidR="00321C44" w:rsidRPr="00986221">
        <w:t xml:space="preserve"> the agency has targeted.</w:t>
      </w:r>
    </w:p>
    <w:p w14:paraId="2E97F239" w14:textId="77777777" w:rsidR="00321C44" w:rsidRPr="00986221" w:rsidRDefault="00321C44" w:rsidP="00C2346A">
      <w:pPr>
        <w:pStyle w:val="ListParagraph"/>
      </w:pPr>
      <w:r w:rsidRPr="00986221">
        <w:t xml:space="preserve">Given the purpose of monitoring, all quarterly and six monthly reports should include, based on lessons learnt, a </w:t>
      </w:r>
      <w:proofErr w:type="spellStart"/>
      <w:r w:rsidRPr="00986221">
        <w:t>workplan</w:t>
      </w:r>
      <w:proofErr w:type="spellEnd"/>
      <w:r w:rsidRPr="00986221">
        <w:t xml:space="preserve"> and budget for the next reporting period. </w:t>
      </w:r>
    </w:p>
    <w:p w14:paraId="1634445C" w14:textId="755AB32F" w:rsidR="00321C44" w:rsidRPr="00986221" w:rsidRDefault="00321C44" w:rsidP="00C2346A">
      <w:pPr>
        <w:pStyle w:val="ListParagraph"/>
      </w:pPr>
      <w:r w:rsidRPr="00986221">
        <w:t xml:space="preserve">Given how the support to the three agencies is aligned to the specific priorities set for the MPER defined in their respective </w:t>
      </w:r>
      <w:proofErr w:type="spellStart"/>
      <w:r w:rsidRPr="00986221">
        <w:t>workplans</w:t>
      </w:r>
      <w:proofErr w:type="spellEnd"/>
      <w:r w:rsidRPr="00986221">
        <w:t xml:space="preserve"> and budgets, it follows that </w:t>
      </w:r>
      <w:r w:rsidR="00F24870" w:rsidRPr="00986221">
        <w:t xml:space="preserve">monitoring </w:t>
      </w:r>
      <w:r w:rsidRPr="00986221">
        <w:t xml:space="preserve">arrangements need to be harmonised with </w:t>
      </w:r>
      <w:r w:rsidR="002C4E57" w:rsidRPr="00986221">
        <w:t xml:space="preserve">broader MPER monitoring </w:t>
      </w:r>
      <w:r w:rsidRPr="00986221">
        <w:t xml:space="preserve">being coordinated by the CIEM. </w:t>
      </w:r>
      <w:r w:rsidR="002C4E57" w:rsidRPr="00986221">
        <w:t>A</w:t>
      </w:r>
      <w:r w:rsidRPr="00986221">
        <w:t xml:space="preserve">rrangements for monitoring </w:t>
      </w:r>
      <w:r w:rsidR="002C4E57" w:rsidRPr="00986221">
        <w:t xml:space="preserve">MPER </w:t>
      </w:r>
      <w:r w:rsidRPr="00986221">
        <w:t xml:space="preserve">implementation </w:t>
      </w:r>
      <w:r w:rsidR="002C4E57" w:rsidRPr="00986221">
        <w:t xml:space="preserve">could </w:t>
      </w:r>
      <w:r w:rsidRPr="00986221">
        <w:t xml:space="preserve">be explored during the inception period. </w:t>
      </w:r>
      <w:r w:rsidR="004E5DC9" w:rsidRPr="00986221">
        <w:t>This could</w:t>
      </w:r>
      <w:r w:rsidRPr="00986221">
        <w:t xml:space="preserve"> help ensure that </w:t>
      </w:r>
      <w:r w:rsidR="004E5DC9" w:rsidRPr="00986221">
        <w:t xml:space="preserve">program M&amp;E </w:t>
      </w:r>
      <w:r w:rsidRPr="00986221">
        <w:t>arrangements are harmonised with</w:t>
      </w:r>
      <w:r w:rsidR="004E5DC9" w:rsidRPr="00986221">
        <w:t xml:space="preserve"> </w:t>
      </w:r>
      <w:r w:rsidRPr="00986221">
        <w:t>implementing MPER</w:t>
      </w:r>
      <w:r w:rsidR="004E5DC9" w:rsidRPr="00986221">
        <w:t xml:space="preserve"> reporting needs</w:t>
      </w:r>
      <w:r w:rsidRPr="00986221">
        <w:t xml:space="preserve">. </w:t>
      </w:r>
    </w:p>
    <w:p w14:paraId="6E2F341E" w14:textId="347EEBD1" w:rsidR="00321C44" w:rsidRPr="00986221" w:rsidRDefault="00321C44" w:rsidP="00C2346A">
      <w:pPr>
        <w:pStyle w:val="ListParagraph"/>
      </w:pPr>
      <w:r w:rsidRPr="00986221">
        <w:t xml:space="preserve">The </w:t>
      </w:r>
      <w:proofErr w:type="gramStart"/>
      <w:r w:rsidRPr="00986221">
        <w:t>formats,</w:t>
      </w:r>
      <w:proofErr w:type="gramEnd"/>
      <w:r w:rsidRPr="00986221">
        <w:t xml:space="preserve"> and associated guidelines for these reports</w:t>
      </w:r>
      <w:r w:rsidR="00A02522" w:rsidRPr="00986221">
        <w:t xml:space="preserve"> will be provided at the detailed Operational Manual</w:t>
      </w:r>
      <w:r w:rsidRPr="00986221">
        <w:t>,</w:t>
      </w:r>
      <w:r w:rsidR="00A02522" w:rsidRPr="00986221">
        <w:t xml:space="preserve"> an outline of which is</w:t>
      </w:r>
      <w:r w:rsidRPr="00986221">
        <w:t xml:space="preserve"> presented in </w:t>
      </w:r>
      <w:r w:rsidRPr="00986221">
        <w:rPr>
          <w:b/>
          <w:u w:val="single"/>
        </w:rPr>
        <w:t>A</w:t>
      </w:r>
      <w:r w:rsidR="005B07E8" w:rsidRPr="00986221">
        <w:rPr>
          <w:b/>
          <w:u w:val="single"/>
        </w:rPr>
        <w:t>ppendix 5- Operational Manual Outline</w:t>
      </w:r>
      <w:r w:rsidRPr="00986221">
        <w:t xml:space="preserve">. At program level, the </w:t>
      </w:r>
      <w:r w:rsidR="00485FC2" w:rsidRPr="00986221">
        <w:t>PCU</w:t>
      </w:r>
      <w:r w:rsidRPr="00986221">
        <w:t xml:space="preserve">’s coordinator will be responsible for analysing these reports submitted by the three agencies and synthesising them into a consolidated report for presentation, not just submission, to the PCC.  The agenda for the PCC’s meetings across the year will mirror the scope and nature of the above reports accordingly. </w:t>
      </w:r>
    </w:p>
    <w:p w14:paraId="23EF53AB" w14:textId="50DC364C" w:rsidR="00321C44" w:rsidRPr="00986221" w:rsidRDefault="00321C44" w:rsidP="00321C44">
      <w:pPr>
        <w:jc w:val="both"/>
        <w:rPr>
          <w:rFonts w:cstheme="minorBidi"/>
          <w:lang w:eastAsia="en-AU"/>
        </w:rPr>
      </w:pPr>
    </w:p>
    <w:p w14:paraId="2F6988D6" w14:textId="4E390BD2" w:rsidR="00321C44" w:rsidRPr="00986221" w:rsidRDefault="005B07E8" w:rsidP="005B07E8">
      <w:pPr>
        <w:ind w:left="360" w:hanging="360"/>
        <w:rPr>
          <w:rFonts w:cs="Arial"/>
          <w:b/>
        </w:rPr>
      </w:pPr>
      <w:r w:rsidRPr="00986221">
        <w:rPr>
          <w:rFonts w:cs="Arial"/>
          <w:b/>
        </w:rPr>
        <w:t xml:space="preserve">4. </w:t>
      </w:r>
      <w:r w:rsidR="00321C44" w:rsidRPr="00986221">
        <w:rPr>
          <w:rFonts w:cs="Arial"/>
          <w:b/>
        </w:rPr>
        <w:t>Evaluation</w:t>
      </w:r>
    </w:p>
    <w:p w14:paraId="324CFAAA" w14:textId="77777777" w:rsidR="001853BC" w:rsidRPr="00986221" w:rsidRDefault="001853BC" w:rsidP="005B07E8">
      <w:pPr>
        <w:ind w:left="360" w:hanging="360"/>
        <w:rPr>
          <w:rFonts w:cs="Arial"/>
          <w:b/>
        </w:rPr>
      </w:pPr>
    </w:p>
    <w:p w14:paraId="7EB338AE" w14:textId="4BBC4B44" w:rsidR="00321C44" w:rsidRPr="00986221" w:rsidRDefault="00321C44" w:rsidP="00C2346A">
      <w:pPr>
        <w:pStyle w:val="ListParagraph"/>
        <w:rPr>
          <w:rFonts w:asciiTheme="minorHAnsi" w:eastAsiaTheme="minorHAnsi" w:hAnsiTheme="minorHAnsi"/>
        </w:rPr>
      </w:pPr>
      <w:r w:rsidRPr="00986221">
        <w:t xml:space="preserve">There will be an independent evaluation of the program scheduled for late 2015/early 2016. Its overall objective is to recommend whether and, if so, in what form future support from the Australian Government should take in supporting the Government deliver the MPER up to 2020. This evaluation should be managed by the PCC with technical and financial support from </w:t>
      </w:r>
      <w:r w:rsidR="005B07E8" w:rsidRPr="00986221">
        <w:t>DFAT</w:t>
      </w:r>
      <w:r w:rsidRPr="00986221">
        <w:t xml:space="preserve">, specifically the Aid Effectiveness team. </w:t>
      </w:r>
    </w:p>
    <w:p w14:paraId="3C925B3B" w14:textId="33991AE5" w:rsidR="00321C44" w:rsidRPr="00986221" w:rsidRDefault="00321C44" w:rsidP="00C2346A">
      <w:pPr>
        <w:pStyle w:val="ListParagraph"/>
      </w:pPr>
      <w:r w:rsidRPr="00986221">
        <w:t xml:space="preserve">The main questions this evaluation should seek answers to, broken down by the OECD/DAC Criteria are defined in </w:t>
      </w:r>
      <w:r w:rsidR="007E31B7" w:rsidRPr="00986221">
        <w:t xml:space="preserve">the </w:t>
      </w:r>
      <w:r w:rsidRPr="00986221">
        <w:t xml:space="preserve">table below. </w:t>
      </w:r>
    </w:p>
    <w:p w14:paraId="11EEC835" w14:textId="77777777" w:rsidR="001853BC" w:rsidRPr="00986221" w:rsidRDefault="001853BC" w:rsidP="00384E34"/>
    <w:p w14:paraId="59384131" w14:textId="77777777" w:rsidR="001853BC" w:rsidRPr="00986221" w:rsidRDefault="001853BC" w:rsidP="00384E34"/>
    <w:p w14:paraId="5E29E74A" w14:textId="77777777" w:rsidR="001853BC" w:rsidRPr="00986221" w:rsidRDefault="001853BC" w:rsidP="00384E34"/>
    <w:p w14:paraId="15762013" w14:textId="77777777" w:rsidR="007E31B7" w:rsidRPr="00986221" w:rsidRDefault="007E31B7" w:rsidP="00384E34"/>
    <w:p w14:paraId="089AF0B5" w14:textId="77777777" w:rsidR="001853BC" w:rsidRPr="00986221" w:rsidRDefault="001853BC" w:rsidP="00384E34"/>
    <w:p w14:paraId="3B10F5AB" w14:textId="77777777" w:rsidR="001853BC" w:rsidRPr="00986221" w:rsidRDefault="001853BC" w:rsidP="00384E34"/>
    <w:p w14:paraId="55C2AF30" w14:textId="77777777" w:rsidR="00321C44" w:rsidRPr="00986221" w:rsidRDefault="00321C44" w:rsidP="00321C44">
      <w:pPr>
        <w:jc w:val="both"/>
        <w:rPr>
          <w:rFonts w:cs="Arial"/>
          <w:b/>
          <w:lang w:eastAsia="en-AU"/>
        </w:rPr>
      </w:pPr>
      <w:r w:rsidRPr="00986221">
        <w:rPr>
          <w:rFonts w:cs="Arial"/>
          <w:b/>
          <w:lang w:eastAsia="en-AU"/>
        </w:rPr>
        <w:t>Table 1</w:t>
      </w:r>
      <w:r w:rsidRPr="00986221">
        <w:rPr>
          <w:rFonts w:cs="Arial"/>
          <w:b/>
          <w:lang w:eastAsia="en-AU"/>
        </w:rPr>
        <w:tab/>
        <w:t>Evaluation Questions</w:t>
      </w:r>
    </w:p>
    <w:tbl>
      <w:tblPr>
        <w:tblStyle w:val="TableGrid"/>
        <w:tblW w:w="0" w:type="auto"/>
        <w:tblLook w:val="04A0" w:firstRow="1" w:lastRow="0" w:firstColumn="1" w:lastColumn="0" w:noHBand="0" w:noVBand="1"/>
      </w:tblPr>
      <w:tblGrid>
        <w:gridCol w:w="2093"/>
        <w:gridCol w:w="7654"/>
      </w:tblGrid>
      <w:tr w:rsidR="00321C44" w:rsidRPr="00986221" w14:paraId="7AEC3EBC" w14:textId="77777777" w:rsidTr="008A2099">
        <w:tc>
          <w:tcPr>
            <w:tcW w:w="2093" w:type="dxa"/>
            <w:tcBorders>
              <w:top w:val="single" w:sz="4" w:space="0" w:color="auto"/>
              <w:left w:val="single" w:sz="4" w:space="0" w:color="auto"/>
              <w:bottom w:val="single" w:sz="4" w:space="0" w:color="auto"/>
              <w:right w:val="single" w:sz="4" w:space="0" w:color="auto"/>
            </w:tcBorders>
            <w:shd w:val="clear" w:color="auto" w:fill="00FFFF"/>
            <w:hideMark/>
          </w:tcPr>
          <w:p w14:paraId="28C7AC97" w14:textId="77777777" w:rsidR="00321C44" w:rsidRPr="00986221" w:rsidRDefault="00321C44" w:rsidP="00C2346A">
            <w:pPr>
              <w:spacing w:before="60" w:after="60"/>
              <w:jc w:val="both"/>
              <w:rPr>
                <w:rFonts w:cs="Arial"/>
                <w:b/>
                <w:sz w:val="22"/>
                <w:szCs w:val="22"/>
                <w:lang w:eastAsia="en-AU"/>
              </w:rPr>
            </w:pPr>
            <w:r w:rsidRPr="00986221">
              <w:rPr>
                <w:rFonts w:cs="Arial"/>
                <w:b/>
                <w:lang w:eastAsia="en-AU"/>
              </w:rPr>
              <w:t>OECD/DAC Criteria</w:t>
            </w:r>
          </w:p>
        </w:tc>
        <w:tc>
          <w:tcPr>
            <w:tcW w:w="7654" w:type="dxa"/>
            <w:tcBorders>
              <w:top w:val="single" w:sz="4" w:space="0" w:color="auto"/>
              <w:left w:val="single" w:sz="4" w:space="0" w:color="auto"/>
              <w:bottom w:val="single" w:sz="4" w:space="0" w:color="auto"/>
              <w:right w:val="single" w:sz="4" w:space="0" w:color="auto"/>
            </w:tcBorders>
            <w:shd w:val="clear" w:color="auto" w:fill="00FFFF"/>
            <w:hideMark/>
          </w:tcPr>
          <w:p w14:paraId="0F34E2C4" w14:textId="77777777" w:rsidR="00321C44" w:rsidRPr="00986221" w:rsidRDefault="00321C44" w:rsidP="00C2346A">
            <w:pPr>
              <w:spacing w:before="60" w:after="60"/>
              <w:jc w:val="both"/>
              <w:rPr>
                <w:rFonts w:cs="Arial"/>
                <w:b/>
                <w:sz w:val="22"/>
                <w:szCs w:val="22"/>
                <w:lang w:eastAsia="en-AU"/>
              </w:rPr>
            </w:pPr>
            <w:r w:rsidRPr="00986221">
              <w:rPr>
                <w:rFonts w:cs="Arial"/>
                <w:b/>
                <w:lang w:eastAsia="en-AU"/>
              </w:rPr>
              <w:t>Question</w:t>
            </w:r>
          </w:p>
        </w:tc>
      </w:tr>
      <w:tr w:rsidR="00321C44" w:rsidRPr="00986221" w14:paraId="54C081D4" w14:textId="77777777" w:rsidTr="005F2B68">
        <w:tc>
          <w:tcPr>
            <w:tcW w:w="2093" w:type="dxa"/>
            <w:tcBorders>
              <w:top w:val="single" w:sz="4" w:space="0" w:color="auto"/>
              <w:left w:val="single" w:sz="4" w:space="0" w:color="auto"/>
              <w:bottom w:val="single" w:sz="4" w:space="0" w:color="auto"/>
              <w:right w:val="single" w:sz="4" w:space="0" w:color="auto"/>
            </w:tcBorders>
            <w:hideMark/>
          </w:tcPr>
          <w:p w14:paraId="542FA1B7" w14:textId="77777777" w:rsidR="00321C44" w:rsidRPr="00986221" w:rsidRDefault="00321C44" w:rsidP="00C2346A">
            <w:pPr>
              <w:spacing w:before="60" w:after="60"/>
              <w:jc w:val="both"/>
              <w:rPr>
                <w:rFonts w:cs="Arial"/>
                <w:szCs w:val="20"/>
                <w:lang w:eastAsia="en-AU"/>
              </w:rPr>
            </w:pPr>
            <w:r w:rsidRPr="00986221">
              <w:rPr>
                <w:rFonts w:cs="Arial"/>
                <w:szCs w:val="20"/>
                <w:lang w:eastAsia="en-AU"/>
              </w:rPr>
              <w:t>Relevance</w:t>
            </w:r>
          </w:p>
        </w:tc>
        <w:tc>
          <w:tcPr>
            <w:tcW w:w="7654" w:type="dxa"/>
            <w:tcBorders>
              <w:top w:val="single" w:sz="4" w:space="0" w:color="auto"/>
              <w:left w:val="single" w:sz="4" w:space="0" w:color="auto"/>
              <w:bottom w:val="single" w:sz="4" w:space="0" w:color="auto"/>
              <w:right w:val="single" w:sz="4" w:space="0" w:color="auto"/>
            </w:tcBorders>
          </w:tcPr>
          <w:p w14:paraId="425BC737" w14:textId="2ACBEA17" w:rsidR="00321C44" w:rsidRPr="00986221" w:rsidRDefault="00321C44" w:rsidP="00C2346A">
            <w:pPr>
              <w:spacing w:before="60" w:after="60"/>
              <w:jc w:val="both"/>
              <w:rPr>
                <w:rFonts w:cs="Arial"/>
                <w:szCs w:val="20"/>
                <w:lang w:eastAsia="en-AU"/>
              </w:rPr>
            </w:pPr>
            <w:r w:rsidRPr="00986221">
              <w:rPr>
                <w:rFonts w:cs="Arial"/>
                <w:szCs w:val="20"/>
                <w:lang w:eastAsia="en-AU"/>
              </w:rPr>
              <w:t>To what extent do Go</w:t>
            </w:r>
            <w:r w:rsidR="00790556" w:rsidRPr="00986221">
              <w:rPr>
                <w:rFonts w:cs="Arial"/>
                <w:szCs w:val="20"/>
                <w:lang w:eastAsia="en-AU"/>
              </w:rPr>
              <w:t>V</w:t>
            </w:r>
            <w:r w:rsidRPr="00986221">
              <w:rPr>
                <w:rFonts w:cs="Arial"/>
                <w:szCs w:val="20"/>
                <w:lang w:eastAsia="en-AU"/>
              </w:rPr>
              <w:t xml:space="preserve"> and the N</w:t>
            </w:r>
            <w:r w:rsidR="00790556" w:rsidRPr="00986221">
              <w:rPr>
                <w:rFonts w:cs="Arial"/>
                <w:szCs w:val="20"/>
                <w:lang w:eastAsia="en-AU"/>
              </w:rPr>
              <w:t>A</w:t>
            </w:r>
            <w:r w:rsidRPr="00986221">
              <w:rPr>
                <w:rFonts w:cs="Arial"/>
                <w:szCs w:val="20"/>
                <w:lang w:eastAsia="en-AU"/>
              </w:rPr>
              <w:t xml:space="preserve"> judge the program support </w:t>
            </w:r>
            <w:r w:rsidR="001853BC" w:rsidRPr="00986221">
              <w:rPr>
                <w:rFonts w:cs="Arial"/>
                <w:szCs w:val="20"/>
                <w:lang w:eastAsia="en-AU"/>
              </w:rPr>
              <w:t xml:space="preserve">to </w:t>
            </w:r>
            <w:r w:rsidRPr="00986221">
              <w:rPr>
                <w:rFonts w:cs="Arial"/>
                <w:szCs w:val="20"/>
                <w:lang w:eastAsia="en-AU"/>
              </w:rPr>
              <w:t>the three agencies as being priorities for the MPER?</w:t>
            </w:r>
          </w:p>
          <w:p w14:paraId="52A666BF" w14:textId="40F916DC" w:rsidR="00321C44" w:rsidRPr="00986221" w:rsidRDefault="00321C44" w:rsidP="00C2346A">
            <w:pPr>
              <w:spacing w:before="60" w:after="60"/>
              <w:jc w:val="both"/>
              <w:rPr>
                <w:rFonts w:cs="Arial"/>
                <w:szCs w:val="20"/>
                <w:lang w:eastAsia="en-AU"/>
              </w:rPr>
            </w:pPr>
            <w:r w:rsidRPr="00986221">
              <w:rPr>
                <w:rFonts w:cs="Arial"/>
                <w:szCs w:val="20"/>
                <w:lang w:eastAsia="en-AU"/>
              </w:rPr>
              <w:t>How does this vary both within agencies and between them as defined by the 1</w:t>
            </w:r>
            <w:r w:rsidR="00CD14EA" w:rsidRPr="00986221">
              <w:rPr>
                <w:rFonts w:cs="Arial"/>
                <w:szCs w:val="20"/>
                <w:lang w:eastAsia="en-AU"/>
              </w:rPr>
              <w:t>0</w:t>
            </w:r>
            <w:r w:rsidRPr="00986221">
              <w:rPr>
                <w:rFonts w:cs="Arial"/>
                <w:szCs w:val="20"/>
                <w:lang w:eastAsia="en-AU"/>
              </w:rPr>
              <w:t xml:space="preserve"> outputs?</w:t>
            </w:r>
          </w:p>
        </w:tc>
      </w:tr>
      <w:tr w:rsidR="00321C44" w:rsidRPr="00986221" w14:paraId="08AE6039" w14:textId="77777777" w:rsidTr="005F2B68">
        <w:tc>
          <w:tcPr>
            <w:tcW w:w="2093" w:type="dxa"/>
            <w:tcBorders>
              <w:top w:val="single" w:sz="4" w:space="0" w:color="auto"/>
              <w:left w:val="single" w:sz="4" w:space="0" w:color="auto"/>
              <w:bottom w:val="single" w:sz="4" w:space="0" w:color="auto"/>
              <w:right w:val="single" w:sz="4" w:space="0" w:color="auto"/>
            </w:tcBorders>
            <w:hideMark/>
          </w:tcPr>
          <w:p w14:paraId="7841970D" w14:textId="77777777" w:rsidR="00321C44" w:rsidRPr="00986221" w:rsidRDefault="00321C44" w:rsidP="00C2346A">
            <w:pPr>
              <w:spacing w:before="60" w:after="60"/>
              <w:jc w:val="both"/>
              <w:rPr>
                <w:rFonts w:cs="Arial"/>
                <w:szCs w:val="20"/>
                <w:lang w:eastAsia="en-AU"/>
              </w:rPr>
            </w:pPr>
            <w:r w:rsidRPr="00986221">
              <w:rPr>
                <w:rFonts w:cs="Arial"/>
                <w:szCs w:val="20"/>
                <w:lang w:eastAsia="en-AU"/>
              </w:rPr>
              <w:t>Efficiency</w:t>
            </w:r>
          </w:p>
        </w:tc>
        <w:tc>
          <w:tcPr>
            <w:tcW w:w="7654" w:type="dxa"/>
            <w:tcBorders>
              <w:top w:val="single" w:sz="4" w:space="0" w:color="auto"/>
              <w:left w:val="single" w:sz="4" w:space="0" w:color="auto"/>
              <w:bottom w:val="single" w:sz="4" w:space="0" w:color="auto"/>
              <w:right w:val="single" w:sz="4" w:space="0" w:color="auto"/>
            </w:tcBorders>
          </w:tcPr>
          <w:p w14:paraId="074CC34A" w14:textId="3C26F5CF" w:rsidR="00321C44" w:rsidRPr="00986221" w:rsidRDefault="00321C44" w:rsidP="00C2346A">
            <w:pPr>
              <w:spacing w:before="60" w:after="60"/>
              <w:jc w:val="both"/>
              <w:rPr>
                <w:rFonts w:cs="Arial"/>
                <w:szCs w:val="20"/>
                <w:lang w:eastAsia="en-AU"/>
              </w:rPr>
            </w:pPr>
            <w:r w:rsidRPr="00986221">
              <w:rPr>
                <w:rFonts w:cs="Arial"/>
                <w:szCs w:val="20"/>
                <w:lang w:eastAsia="en-AU"/>
              </w:rPr>
              <w:t>Based on the resources allocated among the three agencies and the 1</w:t>
            </w:r>
            <w:r w:rsidR="00CD14EA" w:rsidRPr="00986221">
              <w:rPr>
                <w:rFonts w:cs="Arial"/>
                <w:szCs w:val="20"/>
                <w:lang w:eastAsia="en-AU"/>
              </w:rPr>
              <w:t>0</w:t>
            </w:r>
            <w:r w:rsidRPr="00986221">
              <w:rPr>
                <w:rFonts w:cs="Arial"/>
                <w:szCs w:val="20"/>
                <w:lang w:eastAsia="en-AU"/>
              </w:rPr>
              <w:t xml:space="preserve"> outputs, to what extent do they vary in terms of coverage among the three agencies?</w:t>
            </w:r>
          </w:p>
          <w:p w14:paraId="3F17A1FE" w14:textId="68CCA4C8" w:rsidR="00321C44" w:rsidRPr="00986221" w:rsidRDefault="00321C44" w:rsidP="00C2346A">
            <w:pPr>
              <w:spacing w:before="60" w:after="60"/>
              <w:jc w:val="both"/>
              <w:rPr>
                <w:rFonts w:cs="Arial"/>
                <w:szCs w:val="20"/>
                <w:lang w:eastAsia="en-AU"/>
              </w:rPr>
            </w:pPr>
            <w:r w:rsidRPr="00986221">
              <w:rPr>
                <w:rFonts w:cs="Arial"/>
                <w:szCs w:val="20"/>
                <w:lang w:eastAsia="en-AU"/>
              </w:rPr>
              <w:t>How and how well have opportunities being pursued in learning lessons across the components in pursuit of ensuring their outputs can make a difference?</w:t>
            </w:r>
          </w:p>
        </w:tc>
      </w:tr>
      <w:tr w:rsidR="00321C44" w:rsidRPr="00986221" w14:paraId="6880AB88" w14:textId="77777777" w:rsidTr="005F2B68">
        <w:tc>
          <w:tcPr>
            <w:tcW w:w="2093" w:type="dxa"/>
            <w:tcBorders>
              <w:top w:val="single" w:sz="4" w:space="0" w:color="auto"/>
              <w:left w:val="single" w:sz="4" w:space="0" w:color="auto"/>
              <w:bottom w:val="single" w:sz="4" w:space="0" w:color="auto"/>
              <w:right w:val="single" w:sz="4" w:space="0" w:color="auto"/>
            </w:tcBorders>
            <w:hideMark/>
          </w:tcPr>
          <w:p w14:paraId="24AE211B" w14:textId="77777777" w:rsidR="00321C44" w:rsidRPr="00986221" w:rsidRDefault="00321C44" w:rsidP="00C2346A">
            <w:pPr>
              <w:spacing w:before="60" w:after="60"/>
              <w:jc w:val="both"/>
              <w:rPr>
                <w:rFonts w:cs="Arial"/>
                <w:szCs w:val="20"/>
                <w:lang w:eastAsia="en-AU"/>
              </w:rPr>
            </w:pPr>
            <w:r w:rsidRPr="00986221">
              <w:rPr>
                <w:rFonts w:cs="Arial"/>
                <w:szCs w:val="20"/>
                <w:lang w:eastAsia="en-AU"/>
              </w:rPr>
              <w:t>Coherence</w:t>
            </w:r>
          </w:p>
        </w:tc>
        <w:tc>
          <w:tcPr>
            <w:tcW w:w="7654" w:type="dxa"/>
            <w:tcBorders>
              <w:top w:val="single" w:sz="4" w:space="0" w:color="auto"/>
              <w:left w:val="single" w:sz="4" w:space="0" w:color="auto"/>
              <w:bottom w:val="single" w:sz="4" w:space="0" w:color="auto"/>
              <w:right w:val="single" w:sz="4" w:space="0" w:color="auto"/>
            </w:tcBorders>
          </w:tcPr>
          <w:p w14:paraId="2A85C26D" w14:textId="2F067BE5" w:rsidR="00321C44" w:rsidRPr="00986221" w:rsidRDefault="00321C44" w:rsidP="00C2346A">
            <w:pPr>
              <w:spacing w:before="60" w:after="60"/>
              <w:jc w:val="both"/>
              <w:rPr>
                <w:rFonts w:cs="Arial"/>
                <w:szCs w:val="20"/>
                <w:lang w:eastAsia="en-AU"/>
              </w:rPr>
            </w:pPr>
            <w:r w:rsidRPr="00986221">
              <w:rPr>
                <w:rFonts w:cs="Arial"/>
                <w:szCs w:val="20"/>
                <w:lang w:eastAsia="en-AU"/>
              </w:rPr>
              <w:t>How and how well have opportunities been acted on in developing synergies between the three agencies by the PCC in delivering their respective outputs?</w:t>
            </w:r>
          </w:p>
        </w:tc>
      </w:tr>
      <w:tr w:rsidR="00321C44" w:rsidRPr="00986221" w14:paraId="1E366313" w14:textId="77777777" w:rsidTr="005F2B68">
        <w:tc>
          <w:tcPr>
            <w:tcW w:w="2093" w:type="dxa"/>
            <w:tcBorders>
              <w:top w:val="single" w:sz="4" w:space="0" w:color="auto"/>
              <w:left w:val="single" w:sz="4" w:space="0" w:color="auto"/>
              <w:bottom w:val="single" w:sz="4" w:space="0" w:color="auto"/>
              <w:right w:val="single" w:sz="4" w:space="0" w:color="auto"/>
            </w:tcBorders>
            <w:hideMark/>
          </w:tcPr>
          <w:p w14:paraId="2B417BBD" w14:textId="77777777" w:rsidR="00321C44" w:rsidRPr="00986221" w:rsidRDefault="00321C44" w:rsidP="00C2346A">
            <w:pPr>
              <w:spacing w:before="60" w:after="60"/>
              <w:jc w:val="both"/>
              <w:rPr>
                <w:rFonts w:cs="Arial"/>
                <w:szCs w:val="20"/>
                <w:lang w:eastAsia="en-AU"/>
              </w:rPr>
            </w:pPr>
            <w:r w:rsidRPr="00986221">
              <w:rPr>
                <w:rFonts w:cs="Arial"/>
                <w:szCs w:val="20"/>
                <w:lang w:eastAsia="en-AU"/>
              </w:rPr>
              <w:t>Effectiveness</w:t>
            </w:r>
          </w:p>
        </w:tc>
        <w:tc>
          <w:tcPr>
            <w:tcW w:w="7654" w:type="dxa"/>
            <w:tcBorders>
              <w:top w:val="single" w:sz="4" w:space="0" w:color="auto"/>
              <w:left w:val="single" w:sz="4" w:space="0" w:color="auto"/>
              <w:bottom w:val="single" w:sz="4" w:space="0" w:color="auto"/>
              <w:right w:val="single" w:sz="4" w:space="0" w:color="auto"/>
            </w:tcBorders>
          </w:tcPr>
          <w:p w14:paraId="0A34DAC1" w14:textId="77777777" w:rsidR="00321C44" w:rsidRPr="00986221" w:rsidRDefault="00321C44" w:rsidP="00C2346A">
            <w:pPr>
              <w:spacing w:before="60" w:after="60"/>
              <w:jc w:val="both"/>
              <w:rPr>
                <w:rFonts w:cs="Arial"/>
                <w:szCs w:val="20"/>
                <w:lang w:eastAsia="en-AU"/>
              </w:rPr>
            </w:pPr>
            <w:r w:rsidRPr="00986221">
              <w:rPr>
                <w:rFonts w:cs="Arial"/>
                <w:szCs w:val="20"/>
                <w:lang w:eastAsia="en-AU"/>
              </w:rPr>
              <w:t>To what extent has the support made available through the program resulted in improved internal capacity among the three agencies, and how has this varied?</w:t>
            </w:r>
          </w:p>
          <w:p w14:paraId="55224177" w14:textId="77777777" w:rsidR="00321C44" w:rsidRPr="00986221" w:rsidRDefault="00321C44" w:rsidP="00C2346A">
            <w:pPr>
              <w:spacing w:before="60" w:after="60"/>
              <w:jc w:val="both"/>
              <w:rPr>
                <w:rFonts w:cs="Arial"/>
                <w:szCs w:val="20"/>
                <w:lang w:eastAsia="en-AU"/>
              </w:rPr>
            </w:pPr>
            <w:r w:rsidRPr="00986221">
              <w:rPr>
                <w:rFonts w:cs="Arial"/>
                <w:szCs w:val="20"/>
                <w:lang w:eastAsia="en-AU"/>
              </w:rPr>
              <w:t>How and to what extent have the outputs made available among the three agencies stimulated the anticipated changes as defined among the outcome’s indicators</w:t>
            </w:r>
          </w:p>
        </w:tc>
      </w:tr>
      <w:tr w:rsidR="00321C44" w:rsidRPr="00986221" w14:paraId="4E5EB5D1" w14:textId="77777777" w:rsidTr="005F2B68">
        <w:tc>
          <w:tcPr>
            <w:tcW w:w="2093" w:type="dxa"/>
            <w:tcBorders>
              <w:top w:val="single" w:sz="4" w:space="0" w:color="auto"/>
              <w:left w:val="single" w:sz="4" w:space="0" w:color="auto"/>
              <w:bottom w:val="single" w:sz="4" w:space="0" w:color="auto"/>
              <w:right w:val="single" w:sz="4" w:space="0" w:color="auto"/>
            </w:tcBorders>
            <w:hideMark/>
          </w:tcPr>
          <w:p w14:paraId="27839882" w14:textId="77777777" w:rsidR="00321C44" w:rsidRPr="00986221" w:rsidRDefault="00321C44" w:rsidP="00C2346A">
            <w:pPr>
              <w:spacing w:before="60" w:after="60"/>
              <w:jc w:val="both"/>
              <w:rPr>
                <w:rFonts w:cs="Arial"/>
                <w:szCs w:val="20"/>
                <w:lang w:eastAsia="en-AU"/>
              </w:rPr>
            </w:pPr>
            <w:r w:rsidRPr="00986221">
              <w:rPr>
                <w:rFonts w:cs="Arial"/>
                <w:szCs w:val="20"/>
                <w:lang w:eastAsia="en-AU"/>
              </w:rPr>
              <w:t>Sustainability</w:t>
            </w:r>
          </w:p>
        </w:tc>
        <w:tc>
          <w:tcPr>
            <w:tcW w:w="7654" w:type="dxa"/>
            <w:tcBorders>
              <w:top w:val="single" w:sz="4" w:space="0" w:color="auto"/>
              <w:left w:val="single" w:sz="4" w:space="0" w:color="auto"/>
              <w:bottom w:val="single" w:sz="4" w:space="0" w:color="auto"/>
              <w:right w:val="single" w:sz="4" w:space="0" w:color="auto"/>
            </w:tcBorders>
          </w:tcPr>
          <w:p w14:paraId="7E7E8D70" w14:textId="77777777" w:rsidR="00321C44" w:rsidRPr="00986221" w:rsidRDefault="00321C44" w:rsidP="00C2346A">
            <w:pPr>
              <w:spacing w:before="60" w:after="60"/>
              <w:jc w:val="both"/>
              <w:rPr>
                <w:rFonts w:cs="Arial"/>
                <w:szCs w:val="20"/>
                <w:lang w:eastAsia="en-AU"/>
              </w:rPr>
            </w:pPr>
            <w:r w:rsidRPr="00986221">
              <w:rPr>
                <w:rFonts w:cs="Arial"/>
                <w:szCs w:val="20"/>
                <w:lang w:eastAsia="en-AU"/>
              </w:rPr>
              <w:t>What are the prospects for the assumptions defined at the output to outcome level to hold?</w:t>
            </w:r>
          </w:p>
          <w:p w14:paraId="5165EDC0" w14:textId="77777777" w:rsidR="00321C44" w:rsidRPr="00986221" w:rsidRDefault="00321C44" w:rsidP="00C2346A">
            <w:pPr>
              <w:spacing w:before="60" w:after="60"/>
              <w:jc w:val="both"/>
              <w:rPr>
                <w:rFonts w:cs="Arial"/>
                <w:szCs w:val="20"/>
                <w:lang w:eastAsia="en-AU"/>
              </w:rPr>
            </w:pPr>
            <w:r w:rsidRPr="00986221">
              <w:rPr>
                <w:rFonts w:cs="Arial"/>
                <w:szCs w:val="20"/>
                <w:lang w:eastAsia="en-AU"/>
              </w:rPr>
              <w:t xml:space="preserve">What evidence is there to support the argument that the three agencies have adequate capacity to implement </w:t>
            </w:r>
            <w:proofErr w:type="spellStart"/>
            <w:r w:rsidRPr="00986221">
              <w:rPr>
                <w:rFonts w:cs="Arial"/>
                <w:szCs w:val="20"/>
                <w:lang w:eastAsia="en-AU"/>
              </w:rPr>
              <w:t>workplans</w:t>
            </w:r>
            <w:proofErr w:type="spellEnd"/>
            <w:r w:rsidRPr="00986221">
              <w:rPr>
                <w:rFonts w:cs="Arial"/>
                <w:szCs w:val="20"/>
                <w:lang w:eastAsia="en-AU"/>
              </w:rPr>
              <w:t xml:space="preserve"> without further support from 2016?</w:t>
            </w:r>
          </w:p>
        </w:tc>
      </w:tr>
      <w:tr w:rsidR="00321C44" w:rsidRPr="00986221" w14:paraId="1CAA370D" w14:textId="77777777" w:rsidTr="005F2B68">
        <w:tc>
          <w:tcPr>
            <w:tcW w:w="2093" w:type="dxa"/>
            <w:tcBorders>
              <w:top w:val="single" w:sz="4" w:space="0" w:color="auto"/>
              <w:left w:val="single" w:sz="4" w:space="0" w:color="auto"/>
              <w:bottom w:val="single" w:sz="4" w:space="0" w:color="auto"/>
              <w:right w:val="single" w:sz="4" w:space="0" w:color="auto"/>
            </w:tcBorders>
            <w:hideMark/>
          </w:tcPr>
          <w:p w14:paraId="2271EF51" w14:textId="77777777" w:rsidR="00321C44" w:rsidRPr="00986221" w:rsidRDefault="00321C44" w:rsidP="00C2346A">
            <w:pPr>
              <w:spacing w:before="60" w:after="60"/>
              <w:jc w:val="both"/>
              <w:rPr>
                <w:rFonts w:cs="Arial"/>
                <w:szCs w:val="20"/>
                <w:lang w:eastAsia="en-AU"/>
              </w:rPr>
            </w:pPr>
            <w:r w:rsidRPr="00986221">
              <w:rPr>
                <w:rFonts w:cs="Arial"/>
                <w:szCs w:val="20"/>
                <w:lang w:eastAsia="en-AU"/>
              </w:rPr>
              <w:t>Impact</w:t>
            </w:r>
          </w:p>
        </w:tc>
        <w:tc>
          <w:tcPr>
            <w:tcW w:w="7654" w:type="dxa"/>
            <w:tcBorders>
              <w:top w:val="single" w:sz="4" w:space="0" w:color="auto"/>
              <w:left w:val="single" w:sz="4" w:space="0" w:color="auto"/>
              <w:bottom w:val="single" w:sz="4" w:space="0" w:color="auto"/>
              <w:right w:val="single" w:sz="4" w:space="0" w:color="auto"/>
            </w:tcBorders>
            <w:hideMark/>
          </w:tcPr>
          <w:p w14:paraId="07F6A87B" w14:textId="77777777" w:rsidR="00321C44" w:rsidRPr="00986221" w:rsidRDefault="00321C44" w:rsidP="00C2346A">
            <w:pPr>
              <w:spacing w:before="60" w:after="60"/>
              <w:jc w:val="both"/>
              <w:rPr>
                <w:rFonts w:cs="Arial"/>
                <w:szCs w:val="20"/>
                <w:lang w:eastAsia="en-AU"/>
              </w:rPr>
            </w:pPr>
            <w:r w:rsidRPr="00986221">
              <w:rPr>
                <w:rFonts w:cs="Arial"/>
                <w:szCs w:val="20"/>
                <w:lang w:eastAsia="en-AU"/>
              </w:rPr>
              <w:t xml:space="preserve">What are the prospects for the outcome to impact assumptions to hold? </w:t>
            </w:r>
          </w:p>
        </w:tc>
      </w:tr>
    </w:tbl>
    <w:p w14:paraId="4D53102A" w14:textId="77777777" w:rsidR="00321D2C" w:rsidRPr="00986221" w:rsidRDefault="00321D2C" w:rsidP="004339B9">
      <w:pPr>
        <w:pStyle w:val="Heading1"/>
        <w:numPr>
          <w:ilvl w:val="0"/>
          <w:numId w:val="0"/>
        </w:numPr>
        <w:ind w:left="720"/>
        <w:rPr>
          <w:rFonts w:ascii="Arial" w:hAnsi="Arial" w:cs="Arial"/>
        </w:rPr>
        <w:sectPr w:rsidR="00321D2C" w:rsidRPr="00986221" w:rsidSect="00201D17">
          <w:pgSz w:w="11900" w:h="16840"/>
          <w:pgMar w:top="1265" w:right="1134" w:bottom="961" w:left="1134" w:header="568" w:footer="430" w:gutter="0"/>
          <w:cols w:space="708"/>
          <w:docGrid w:linePitch="360"/>
        </w:sectPr>
      </w:pPr>
    </w:p>
    <w:p w14:paraId="3ADFD1E3" w14:textId="1172DD86" w:rsidR="007E6283" w:rsidRPr="00986221" w:rsidRDefault="00863DD8" w:rsidP="00B312FB">
      <w:pPr>
        <w:pStyle w:val="Heading2"/>
      </w:pPr>
      <w:bookmarkStart w:id="46" w:name="_Toc387322664"/>
      <w:r w:rsidRPr="00986221">
        <w:t>Logical Framework Matrix</w:t>
      </w:r>
      <w:bookmarkEnd w:id="46"/>
    </w:p>
    <w:p w14:paraId="17A0A544" w14:textId="77777777" w:rsidR="00F10395" w:rsidRPr="00986221" w:rsidRDefault="00F10395" w:rsidP="00384E34"/>
    <w:tbl>
      <w:tblPr>
        <w:tblStyle w:val="TableGrid"/>
        <w:tblW w:w="15310" w:type="dxa"/>
        <w:tblInd w:w="-318" w:type="dxa"/>
        <w:tblLook w:val="04A0" w:firstRow="1" w:lastRow="0" w:firstColumn="1" w:lastColumn="0" w:noHBand="0" w:noVBand="1"/>
      </w:tblPr>
      <w:tblGrid>
        <w:gridCol w:w="3227"/>
        <w:gridCol w:w="4810"/>
        <w:gridCol w:w="3729"/>
        <w:gridCol w:w="3544"/>
      </w:tblGrid>
      <w:tr w:rsidR="00F10395" w:rsidRPr="00986221" w14:paraId="035440B2" w14:textId="77777777" w:rsidTr="00F10395">
        <w:trPr>
          <w:tblHeader/>
        </w:trPr>
        <w:tc>
          <w:tcPr>
            <w:tcW w:w="3227" w:type="dxa"/>
            <w:shd w:val="clear" w:color="auto" w:fill="00FFFF"/>
          </w:tcPr>
          <w:p w14:paraId="24062753" w14:textId="77777777" w:rsidR="00F10395" w:rsidRPr="00986221" w:rsidRDefault="00F10395" w:rsidP="00F10395">
            <w:pPr>
              <w:rPr>
                <w:rFonts w:cs="Arial"/>
                <w:b/>
                <w:sz w:val="24"/>
              </w:rPr>
            </w:pPr>
            <w:r w:rsidRPr="00986221">
              <w:rPr>
                <w:rFonts w:cs="Arial"/>
                <w:b/>
                <w:bCs/>
                <w:color w:val="000000"/>
                <w:sz w:val="24"/>
              </w:rPr>
              <w:t>Hierarchy of Objectives</w:t>
            </w:r>
          </w:p>
        </w:tc>
        <w:tc>
          <w:tcPr>
            <w:tcW w:w="4810" w:type="dxa"/>
            <w:shd w:val="clear" w:color="auto" w:fill="00FFFF"/>
          </w:tcPr>
          <w:p w14:paraId="1B1F6DA7" w14:textId="77777777" w:rsidR="00F10395" w:rsidRPr="00986221" w:rsidRDefault="00F10395" w:rsidP="00F10395">
            <w:pPr>
              <w:rPr>
                <w:rFonts w:cs="Arial"/>
                <w:b/>
                <w:sz w:val="24"/>
              </w:rPr>
            </w:pPr>
            <w:r w:rsidRPr="00986221">
              <w:rPr>
                <w:rFonts w:cs="Arial"/>
                <w:b/>
                <w:bCs/>
                <w:color w:val="000000"/>
                <w:sz w:val="24"/>
              </w:rPr>
              <w:t>Indicators</w:t>
            </w:r>
            <w:r w:rsidRPr="00986221">
              <w:rPr>
                <w:rFonts w:cs="Arial"/>
                <w:b/>
                <w:color w:val="000000"/>
                <w:sz w:val="24"/>
              </w:rPr>
              <w:t> </w:t>
            </w:r>
          </w:p>
        </w:tc>
        <w:tc>
          <w:tcPr>
            <w:tcW w:w="3729" w:type="dxa"/>
            <w:shd w:val="clear" w:color="auto" w:fill="00FFFF"/>
          </w:tcPr>
          <w:p w14:paraId="1FBE529F" w14:textId="77777777" w:rsidR="00F10395" w:rsidRPr="00986221" w:rsidRDefault="00F10395" w:rsidP="00F10395">
            <w:pPr>
              <w:rPr>
                <w:rFonts w:cs="Arial"/>
                <w:b/>
                <w:sz w:val="24"/>
              </w:rPr>
            </w:pPr>
            <w:r w:rsidRPr="00986221">
              <w:rPr>
                <w:rFonts w:cs="Arial"/>
                <w:b/>
                <w:bCs/>
                <w:color w:val="000000"/>
                <w:sz w:val="24"/>
              </w:rPr>
              <w:t>Means of Verification</w:t>
            </w:r>
          </w:p>
        </w:tc>
        <w:tc>
          <w:tcPr>
            <w:tcW w:w="3544" w:type="dxa"/>
            <w:shd w:val="clear" w:color="auto" w:fill="00FFFF"/>
          </w:tcPr>
          <w:p w14:paraId="63746504" w14:textId="77777777" w:rsidR="00F10395" w:rsidRPr="00986221" w:rsidRDefault="00F10395" w:rsidP="00F10395">
            <w:pPr>
              <w:rPr>
                <w:rFonts w:cs="Arial"/>
                <w:b/>
                <w:sz w:val="24"/>
              </w:rPr>
            </w:pPr>
            <w:r w:rsidRPr="00986221">
              <w:rPr>
                <w:rFonts w:cs="Arial"/>
                <w:b/>
                <w:sz w:val="24"/>
              </w:rPr>
              <w:t>Assumptions</w:t>
            </w:r>
          </w:p>
        </w:tc>
      </w:tr>
      <w:tr w:rsidR="00F10395" w:rsidRPr="00986221" w14:paraId="40E7FE96" w14:textId="77777777" w:rsidTr="00F10395">
        <w:tc>
          <w:tcPr>
            <w:tcW w:w="3227" w:type="dxa"/>
            <w:vMerge w:val="restart"/>
          </w:tcPr>
          <w:p w14:paraId="524291E7" w14:textId="77777777" w:rsidR="00F10395" w:rsidRPr="00986221" w:rsidRDefault="00F10395" w:rsidP="00F10395">
            <w:pPr>
              <w:spacing w:before="0"/>
              <w:rPr>
                <w:rFonts w:cs="Arial"/>
                <w:b/>
                <w:bCs/>
                <w:color w:val="000000"/>
                <w:sz w:val="22"/>
                <w:szCs w:val="22"/>
              </w:rPr>
            </w:pPr>
            <w:r w:rsidRPr="00986221">
              <w:rPr>
                <w:rFonts w:cs="Arial"/>
                <w:b/>
                <w:bCs/>
                <w:color w:val="000000"/>
                <w:sz w:val="22"/>
                <w:szCs w:val="22"/>
              </w:rPr>
              <w:t>Impact (by 2020)</w:t>
            </w:r>
          </w:p>
          <w:p w14:paraId="5EE42F53" w14:textId="77777777" w:rsidR="00F10395" w:rsidRPr="00986221" w:rsidRDefault="00F10395" w:rsidP="00F10395">
            <w:pPr>
              <w:rPr>
                <w:rFonts w:cs="Arial"/>
                <w:szCs w:val="20"/>
              </w:rPr>
            </w:pPr>
            <w:r w:rsidRPr="00986221">
              <w:rPr>
                <w:rFonts w:cs="Arial"/>
                <w:color w:val="000000"/>
                <w:szCs w:val="20"/>
              </w:rPr>
              <w:t xml:space="preserve">More internationally competitive economy with increased </w:t>
            </w:r>
            <w:proofErr w:type="gramStart"/>
            <w:r w:rsidRPr="00986221">
              <w:rPr>
                <w:rFonts w:cs="Arial"/>
                <w:color w:val="000000"/>
                <w:szCs w:val="20"/>
              </w:rPr>
              <w:t>productivity,</w:t>
            </w:r>
            <w:proofErr w:type="gramEnd"/>
            <w:r w:rsidRPr="00986221">
              <w:rPr>
                <w:rFonts w:cs="Arial"/>
                <w:color w:val="000000"/>
                <w:szCs w:val="20"/>
              </w:rPr>
              <w:t xml:space="preserve"> reduced corruption and accelerated growth in employment and income.</w:t>
            </w:r>
          </w:p>
        </w:tc>
        <w:tc>
          <w:tcPr>
            <w:tcW w:w="4810" w:type="dxa"/>
            <w:vAlign w:val="center"/>
          </w:tcPr>
          <w:p w14:paraId="72F85CEA" w14:textId="77777777" w:rsidR="00F10395" w:rsidRPr="00986221" w:rsidRDefault="00F10395" w:rsidP="00F10395">
            <w:pPr>
              <w:spacing w:before="0"/>
              <w:rPr>
                <w:rFonts w:cs="Arial"/>
                <w:szCs w:val="20"/>
              </w:rPr>
            </w:pPr>
            <w:r w:rsidRPr="00986221">
              <w:rPr>
                <w:rFonts w:cs="Arial"/>
                <w:color w:val="000000"/>
                <w:szCs w:val="20"/>
              </w:rPr>
              <w:t>Improvements in Viet Nam's Global Competitiveness Index score</w:t>
            </w:r>
            <w:r w:rsidRPr="00986221">
              <w:rPr>
                <w:rFonts w:cs="Arial"/>
                <w:szCs w:val="20"/>
              </w:rPr>
              <w:t xml:space="preserve"> (up from 4.18 in 2013-14)</w:t>
            </w:r>
          </w:p>
        </w:tc>
        <w:tc>
          <w:tcPr>
            <w:tcW w:w="3729" w:type="dxa"/>
            <w:vAlign w:val="center"/>
          </w:tcPr>
          <w:p w14:paraId="3D116E13" w14:textId="77777777" w:rsidR="00F10395" w:rsidRPr="00986221" w:rsidRDefault="00F10395" w:rsidP="00F10395">
            <w:pPr>
              <w:rPr>
                <w:rFonts w:cs="Arial"/>
                <w:szCs w:val="20"/>
              </w:rPr>
            </w:pPr>
            <w:r w:rsidRPr="00986221">
              <w:rPr>
                <w:rFonts w:cs="Arial"/>
                <w:color w:val="000000"/>
                <w:szCs w:val="20"/>
              </w:rPr>
              <w:t xml:space="preserve">Improvements in Viet Nam's Global Competitiveness Index score </w:t>
            </w:r>
          </w:p>
        </w:tc>
        <w:tc>
          <w:tcPr>
            <w:tcW w:w="3544" w:type="dxa"/>
            <w:vMerge w:val="restart"/>
          </w:tcPr>
          <w:p w14:paraId="60B8AC7C" w14:textId="77777777" w:rsidR="00F10395" w:rsidRPr="00986221" w:rsidRDefault="00F10395" w:rsidP="00F10395">
            <w:pPr>
              <w:rPr>
                <w:rFonts w:cs="Arial"/>
                <w:szCs w:val="20"/>
              </w:rPr>
            </w:pPr>
            <w:r w:rsidRPr="00986221">
              <w:rPr>
                <w:rFonts w:cs="Arial"/>
                <w:szCs w:val="20"/>
              </w:rPr>
              <w:t>N.A</w:t>
            </w:r>
          </w:p>
          <w:p w14:paraId="27BE0C3B" w14:textId="77777777" w:rsidR="00F10395" w:rsidRPr="00986221" w:rsidRDefault="00F10395" w:rsidP="00F10395">
            <w:pPr>
              <w:rPr>
                <w:rFonts w:cs="Arial"/>
                <w:szCs w:val="20"/>
              </w:rPr>
            </w:pPr>
          </w:p>
        </w:tc>
      </w:tr>
      <w:tr w:rsidR="00F10395" w:rsidRPr="00986221" w14:paraId="3B386D26" w14:textId="77777777" w:rsidTr="00F10395">
        <w:tc>
          <w:tcPr>
            <w:tcW w:w="3227" w:type="dxa"/>
            <w:vMerge/>
          </w:tcPr>
          <w:p w14:paraId="1F1EA174" w14:textId="77777777" w:rsidR="00F10395" w:rsidRPr="00986221" w:rsidRDefault="00F10395" w:rsidP="00F10395">
            <w:pPr>
              <w:rPr>
                <w:rFonts w:cs="Arial"/>
                <w:szCs w:val="20"/>
              </w:rPr>
            </w:pPr>
          </w:p>
        </w:tc>
        <w:tc>
          <w:tcPr>
            <w:tcW w:w="4810" w:type="dxa"/>
            <w:vAlign w:val="center"/>
          </w:tcPr>
          <w:p w14:paraId="75249443" w14:textId="77777777" w:rsidR="00F10395" w:rsidRPr="00986221" w:rsidRDefault="00F10395" w:rsidP="00F10395">
            <w:pPr>
              <w:rPr>
                <w:rFonts w:cs="Arial"/>
                <w:szCs w:val="20"/>
              </w:rPr>
            </w:pPr>
            <w:r w:rsidRPr="00986221">
              <w:rPr>
                <w:rFonts w:cs="Arial"/>
                <w:szCs w:val="20"/>
              </w:rPr>
              <w:t>A recovery in the annual rate of growth in labour productivity, from 3.2% in 2005-11, to &gt; 4.8%.</w:t>
            </w:r>
          </w:p>
        </w:tc>
        <w:tc>
          <w:tcPr>
            <w:tcW w:w="3729" w:type="dxa"/>
            <w:vAlign w:val="center"/>
          </w:tcPr>
          <w:p w14:paraId="1758C63A" w14:textId="77777777" w:rsidR="00F10395" w:rsidRPr="00986221" w:rsidRDefault="00F10395" w:rsidP="00F10395">
            <w:pPr>
              <w:rPr>
                <w:rFonts w:cs="Arial"/>
                <w:szCs w:val="20"/>
              </w:rPr>
            </w:pPr>
            <w:r w:rsidRPr="00986221">
              <w:rPr>
                <w:rFonts w:cs="Arial"/>
                <w:color w:val="000000"/>
                <w:szCs w:val="20"/>
              </w:rPr>
              <w:t>Accelerated growth in labour productivity (General Statistics Office Data)</w:t>
            </w:r>
          </w:p>
        </w:tc>
        <w:tc>
          <w:tcPr>
            <w:tcW w:w="3544" w:type="dxa"/>
            <w:vMerge/>
          </w:tcPr>
          <w:p w14:paraId="43B96A86" w14:textId="77777777" w:rsidR="00F10395" w:rsidRPr="00986221" w:rsidRDefault="00F10395" w:rsidP="00F10395">
            <w:pPr>
              <w:rPr>
                <w:rFonts w:cs="Arial"/>
                <w:szCs w:val="20"/>
              </w:rPr>
            </w:pPr>
          </w:p>
        </w:tc>
      </w:tr>
      <w:tr w:rsidR="00F10395" w:rsidRPr="00986221" w14:paraId="28AA097F" w14:textId="77777777" w:rsidTr="00F10395">
        <w:tc>
          <w:tcPr>
            <w:tcW w:w="3227" w:type="dxa"/>
            <w:vMerge/>
          </w:tcPr>
          <w:p w14:paraId="7EC015CE" w14:textId="77777777" w:rsidR="00F10395" w:rsidRPr="00986221" w:rsidRDefault="00F10395" w:rsidP="00F10395">
            <w:pPr>
              <w:rPr>
                <w:rFonts w:cs="Arial"/>
                <w:szCs w:val="20"/>
              </w:rPr>
            </w:pPr>
          </w:p>
        </w:tc>
        <w:tc>
          <w:tcPr>
            <w:tcW w:w="4810" w:type="dxa"/>
            <w:vAlign w:val="center"/>
          </w:tcPr>
          <w:p w14:paraId="2A117939" w14:textId="77777777" w:rsidR="00F10395" w:rsidRPr="00986221" w:rsidRDefault="00F10395" w:rsidP="00F10395">
            <w:pPr>
              <w:rPr>
                <w:rFonts w:cs="Arial"/>
                <w:szCs w:val="20"/>
              </w:rPr>
            </w:pPr>
            <w:r w:rsidRPr="00986221">
              <w:rPr>
                <w:rFonts w:cs="Arial"/>
                <w:color w:val="000000"/>
                <w:szCs w:val="20"/>
              </w:rPr>
              <w:t xml:space="preserve">Improvements in Vietnam's Corruption Perception Index score </w:t>
            </w:r>
            <w:r w:rsidRPr="00986221">
              <w:rPr>
                <w:rFonts w:cs="Arial"/>
                <w:szCs w:val="20"/>
              </w:rPr>
              <w:t xml:space="preserve">(up from a score of 31 in 2013) </w:t>
            </w:r>
          </w:p>
        </w:tc>
        <w:tc>
          <w:tcPr>
            <w:tcW w:w="3729" w:type="dxa"/>
            <w:vAlign w:val="center"/>
          </w:tcPr>
          <w:p w14:paraId="7B643D12" w14:textId="77777777" w:rsidR="00F10395" w:rsidRPr="00986221" w:rsidRDefault="00F10395" w:rsidP="00F10395">
            <w:pPr>
              <w:spacing w:before="0"/>
              <w:rPr>
                <w:rFonts w:cs="Arial"/>
                <w:color w:val="000000"/>
                <w:szCs w:val="20"/>
              </w:rPr>
            </w:pPr>
            <w:r w:rsidRPr="00986221">
              <w:rPr>
                <w:rFonts w:cs="Arial"/>
                <w:color w:val="000000"/>
                <w:szCs w:val="20"/>
              </w:rPr>
              <w:t>Improvements in Vietnam's Global Corruption Index score</w:t>
            </w:r>
          </w:p>
        </w:tc>
        <w:tc>
          <w:tcPr>
            <w:tcW w:w="3544" w:type="dxa"/>
            <w:vMerge/>
          </w:tcPr>
          <w:p w14:paraId="4F87D2AD" w14:textId="77777777" w:rsidR="00F10395" w:rsidRPr="00986221" w:rsidRDefault="00F10395" w:rsidP="00F10395">
            <w:pPr>
              <w:rPr>
                <w:rFonts w:cs="Arial"/>
                <w:szCs w:val="20"/>
              </w:rPr>
            </w:pPr>
          </w:p>
        </w:tc>
      </w:tr>
      <w:tr w:rsidR="00F10395" w:rsidRPr="00986221" w14:paraId="0D29033B" w14:textId="77777777" w:rsidTr="00F10395">
        <w:tc>
          <w:tcPr>
            <w:tcW w:w="3227" w:type="dxa"/>
            <w:vMerge w:val="restart"/>
          </w:tcPr>
          <w:p w14:paraId="1E3B0E07" w14:textId="77777777" w:rsidR="00F10395" w:rsidRPr="00986221" w:rsidRDefault="00F10395" w:rsidP="00F10395">
            <w:pPr>
              <w:rPr>
                <w:rFonts w:cs="Arial"/>
                <w:b/>
                <w:color w:val="000000"/>
                <w:sz w:val="22"/>
                <w:szCs w:val="22"/>
              </w:rPr>
            </w:pPr>
            <w:r w:rsidRPr="00986221">
              <w:rPr>
                <w:rFonts w:cs="Arial"/>
                <w:b/>
                <w:color w:val="000000"/>
                <w:sz w:val="22"/>
                <w:szCs w:val="22"/>
              </w:rPr>
              <w:t>Outcome (by December 2016):</w:t>
            </w:r>
          </w:p>
          <w:p w14:paraId="5A95E18E" w14:textId="77777777" w:rsidR="00F10395" w:rsidRPr="00986221" w:rsidRDefault="00F10395" w:rsidP="00F10395">
            <w:pPr>
              <w:rPr>
                <w:rFonts w:cs="Arial"/>
                <w:szCs w:val="20"/>
              </w:rPr>
            </w:pPr>
            <w:r w:rsidRPr="00986221">
              <w:rPr>
                <w:rFonts w:cs="Arial"/>
                <w:color w:val="000000"/>
                <w:szCs w:val="20"/>
              </w:rPr>
              <w:t>Improved implementation of selected elements of the Master Plan for Economic Restructuring in line with economic cooperation agreements</w:t>
            </w:r>
          </w:p>
        </w:tc>
        <w:tc>
          <w:tcPr>
            <w:tcW w:w="4810" w:type="dxa"/>
            <w:vAlign w:val="center"/>
          </w:tcPr>
          <w:p w14:paraId="42FAFB92" w14:textId="77777777" w:rsidR="00F10395" w:rsidRPr="00986221" w:rsidRDefault="00F10395" w:rsidP="00F10395">
            <w:pPr>
              <w:rPr>
                <w:rFonts w:cs="Arial"/>
                <w:color w:val="000000"/>
                <w:szCs w:val="20"/>
              </w:rPr>
            </w:pPr>
            <w:r w:rsidRPr="00986221">
              <w:rPr>
                <w:rFonts w:cs="Arial"/>
                <w:color w:val="000000"/>
                <w:szCs w:val="20"/>
              </w:rPr>
              <w:t xml:space="preserve">Policy recommendations resulted in GoV, CPV’s strategic documents dealing with economic restructuring including restructuring of the rural economy (e.g., CPV 30 years </w:t>
            </w:r>
            <w:proofErr w:type="spellStart"/>
            <w:r w:rsidRPr="00986221">
              <w:rPr>
                <w:rFonts w:cs="Arial"/>
                <w:color w:val="000000"/>
                <w:szCs w:val="20"/>
              </w:rPr>
              <w:t>Doi</w:t>
            </w:r>
            <w:proofErr w:type="spellEnd"/>
            <w:r w:rsidRPr="00986221">
              <w:rPr>
                <w:rFonts w:cs="Arial"/>
                <w:color w:val="000000"/>
                <w:szCs w:val="20"/>
              </w:rPr>
              <w:t xml:space="preserve"> </w:t>
            </w:r>
            <w:proofErr w:type="spellStart"/>
            <w:r w:rsidRPr="00986221">
              <w:rPr>
                <w:rFonts w:cs="Arial"/>
                <w:color w:val="000000"/>
                <w:szCs w:val="20"/>
              </w:rPr>
              <w:t>Moi</w:t>
            </w:r>
            <w:proofErr w:type="spellEnd"/>
            <w:r w:rsidRPr="00986221">
              <w:rPr>
                <w:rFonts w:cs="Arial"/>
                <w:color w:val="000000"/>
                <w:szCs w:val="20"/>
              </w:rPr>
              <w:t xml:space="preserve"> review, CPV Plenum doc, SEDP 2016-2020) </w:t>
            </w:r>
          </w:p>
        </w:tc>
        <w:tc>
          <w:tcPr>
            <w:tcW w:w="3729" w:type="dxa"/>
            <w:vAlign w:val="center"/>
          </w:tcPr>
          <w:p w14:paraId="3191FAF7" w14:textId="77777777" w:rsidR="00F10395" w:rsidRPr="00986221" w:rsidRDefault="00F10395" w:rsidP="00F10395">
            <w:pPr>
              <w:rPr>
                <w:rFonts w:cs="Arial"/>
                <w:color w:val="000000"/>
                <w:szCs w:val="20"/>
              </w:rPr>
            </w:pPr>
            <w:r w:rsidRPr="00986221">
              <w:rPr>
                <w:rFonts w:cs="Arial"/>
                <w:color w:val="000000"/>
                <w:szCs w:val="20"/>
              </w:rPr>
              <w:t xml:space="preserve">End of RCV Completion Report in December 2016; </w:t>
            </w:r>
          </w:p>
          <w:p w14:paraId="485590EC" w14:textId="77777777" w:rsidR="00F10395" w:rsidRPr="00986221" w:rsidRDefault="00F10395" w:rsidP="00F10395">
            <w:pPr>
              <w:rPr>
                <w:rFonts w:cs="Arial"/>
                <w:color w:val="000000"/>
                <w:szCs w:val="20"/>
              </w:rPr>
            </w:pPr>
            <w:r w:rsidRPr="00986221">
              <w:rPr>
                <w:rFonts w:cs="Arial"/>
                <w:color w:val="000000"/>
                <w:szCs w:val="20"/>
              </w:rPr>
              <w:t>Annual RCV reports</w:t>
            </w:r>
          </w:p>
        </w:tc>
        <w:tc>
          <w:tcPr>
            <w:tcW w:w="3544" w:type="dxa"/>
            <w:vAlign w:val="center"/>
          </w:tcPr>
          <w:p w14:paraId="15A59A9C" w14:textId="77777777" w:rsidR="00F10395" w:rsidRPr="00986221" w:rsidRDefault="00F10395" w:rsidP="00F10395">
            <w:pPr>
              <w:rPr>
                <w:rFonts w:cs="Arial"/>
                <w:szCs w:val="20"/>
              </w:rPr>
            </w:pPr>
          </w:p>
        </w:tc>
      </w:tr>
      <w:tr w:rsidR="00F10395" w:rsidRPr="00986221" w14:paraId="784A2619" w14:textId="77777777" w:rsidTr="00F10395">
        <w:tc>
          <w:tcPr>
            <w:tcW w:w="3227" w:type="dxa"/>
            <w:vMerge/>
          </w:tcPr>
          <w:p w14:paraId="796D9684" w14:textId="77777777" w:rsidR="00F10395" w:rsidRPr="00986221" w:rsidRDefault="00F10395" w:rsidP="00F10395">
            <w:pPr>
              <w:rPr>
                <w:rFonts w:cs="Arial"/>
                <w:szCs w:val="20"/>
              </w:rPr>
            </w:pPr>
          </w:p>
        </w:tc>
        <w:tc>
          <w:tcPr>
            <w:tcW w:w="4810" w:type="dxa"/>
          </w:tcPr>
          <w:p w14:paraId="7C344CF8" w14:textId="77777777" w:rsidR="00F10395" w:rsidRPr="00986221" w:rsidRDefault="00F10395" w:rsidP="00F10395">
            <w:pPr>
              <w:rPr>
                <w:rFonts w:cs="Arial"/>
                <w:color w:val="000000"/>
                <w:szCs w:val="20"/>
              </w:rPr>
            </w:pPr>
            <w:r w:rsidRPr="00986221">
              <w:rPr>
                <w:rFonts w:cs="Arial"/>
                <w:color w:val="000000"/>
                <w:szCs w:val="20"/>
              </w:rPr>
              <w:t>Reduced business compliance costs and time</w:t>
            </w:r>
          </w:p>
        </w:tc>
        <w:tc>
          <w:tcPr>
            <w:tcW w:w="3729" w:type="dxa"/>
          </w:tcPr>
          <w:p w14:paraId="7D79D295" w14:textId="77777777" w:rsidR="00F10395" w:rsidRPr="00986221" w:rsidRDefault="00F10395" w:rsidP="00F10395">
            <w:pPr>
              <w:rPr>
                <w:rFonts w:cs="Arial"/>
                <w:color w:val="000000"/>
                <w:szCs w:val="20"/>
              </w:rPr>
            </w:pPr>
            <w:r w:rsidRPr="00986221">
              <w:rPr>
                <w:rFonts w:cs="Arial"/>
                <w:color w:val="000000"/>
                <w:szCs w:val="20"/>
              </w:rPr>
              <w:t xml:space="preserve">End of RCV Completion Report in December 2016; </w:t>
            </w:r>
          </w:p>
          <w:p w14:paraId="45908E26" w14:textId="77777777" w:rsidR="00F10395" w:rsidRPr="00986221" w:rsidRDefault="00F10395" w:rsidP="00F10395">
            <w:pPr>
              <w:rPr>
                <w:rFonts w:cs="Arial"/>
                <w:color w:val="000000"/>
                <w:szCs w:val="20"/>
              </w:rPr>
            </w:pPr>
            <w:r w:rsidRPr="00986221">
              <w:rPr>
                <w:rFonts w:cs="Arial"/>
                <w:color w:val="000000"/>
                <w:szCs w:val="20"/>
              </w:rPr>
              <w:t>Annual RCV reports that include: WB Doing Business report, and CIEM analysis of change in compliance costs following revised laws</w:t>
            </w:r>
          </w:p>
        </w:tc>
        <w:tc>
          <w:tcPr>
            <w:tcW w:w="3544" w:type="dxa"/>
          </w:tcPr>
          <w:p w14:paraId="55AA108F" w14:textId="514C00C2" w:rsidR="00F10395" w:rsidRPr="00986221" w:rsidRDefault="00F10395" w:rsidP="00F10395">
            <w:pPr>
              <w:rPr>
                <w:rFonts w:cs="Arial"/>
                <w:color w:val="000000"/>
                <w:szCs w:val="20"/>
              </w:rPr>
            </w:pPr>
            <w:r w:rsidRPr="00986221">
              <w:rPr>
                <w:rFonts w:cs="Arial"/>
                <w:color w:val="000000"/>
                <w:szCs w:val="20"/>
              </w:rPr>
              <w:t>GoV and N</w:t>
            </w:r>
            <w:r w:rsidR="00986221" w:rsidRPr="00986221">
              <w:rPr>
                <w:rFonts w:cs="Arial"/>
                <w:color w:val="000000"/>
                <w:szCs w:val="20"/>
              </w:rPr>
              <w:t xml:space="preserve">ational </w:t>
            </w:r>
            <w:r w:rsidRPr="00986221">
              <w:rPr>
                <w:rFonts w:cs="Arial"/>
                <w:color w:val="000000"/>
                <w:szCs w:val="20"/>
              </w:rPr>
              <w:t>A</w:t>
            </w:r>
            <w:r w:rsidR="00986221" w:rsidRPr="00986221">
              <w:rPr>
                <w:rFonts w:cs="Arial"/>
                <w:color w:val="000000"/>
                <w:szCs w:val="20"/>
              </w:rPr>
              <w:t>ssembly</w:t>
            </w:r>
            <w:r w:rsidRPr="00986221">
              <w:rPr>
                <w:rFonts w:cs="Arial"/>
                <w:color w:val="000000"/>
                <w:szCs w:val="20"/>
              </w:rPr>
              <w:t xml:space="preserve"> remains committed to taking action to facilitate private sector development.</w:t>
            </w:r>
          </w:p>
        </w:tc>
      </w:tr>
      <w:tr w:rsidR="00F10395" w:rsidRPr="00986221" w14:paraId="4D71AFD8" w14:textId="77777777" w:rsidTr="00F10395">
        <w:tc>
          <w:tcPr>
            <w:tcW w:w="3227" w:type="dxa"/>
            <w:vMerge/>
          </w:tcPr>
          <w:p w14:paraId="4FA4795A" w14:textId="77777777" w:rsidR="00F10395" w:rsidRPr="00986221" w:rsidRDefault="00F10395" w:rsidP="00F10395">
            <w:pPr>
              <w:rPr>
                <w:rFonts w:cs="Arial"/>
                <w:szCs w:val="20"/>
              </w:rPr>
            </w:pPr>
          </w:p>
        </w:tc>
        <w:tc>
          <w:tcPr>
            <w:tcW w:w="4810" w:type="dxa"/>
          </w:tcPr>
          <w:p w14:paraId="73D05DAA" w14:textId="77777777" w:rsidR="00F10395" w:rsidRPr="00986221" w:rsidRDefault="00F10395" w:rsidP="00F10395">
            <w:pPr>
              <w:rPr>
                <w:rFonts w:cs="Arial"/>
                <w:szCs w:val="20"/>
              </w:rPr>
            </w:pPr>
            <w:r w:rsidRPr="00986221">
              <w:rPr>
                <w:rFonts w:cs="Arial"/>
                <w:color w:val="000000"/>
                <w:szCs w:val="20"/>
              </w:rPr>
              <w:t>Concrete actions taken by Dong Thap to restructure the institution for rice production and attract interest from local and central stakeholders</w:t>
            </w:r>
          </w:p>
        </w:tc>
        <w:tc>
          <w:tcPr>
            <w:tcW w:w="3729" w:type="dxa"/>
          </w:tcPr>
          <w:p w14:paraId="1BA63926" w14:textId="77777777" w:rsidR="00F10395" w:rsidRPr="00986221" w:rsidRDefault="00F10395" w:rsidP="00F10395">
            <w:pPr>
              <w:rPr>
                <w:rFonts w:cs="Arial"/>
                <w:color w:val="000000"/>
                <w:szCs w:val="20"/>
              </w:rPr>
            </w:pPr>
            <w:r w:rsidRPr="00986221">
              <w:rPr>
                <w:rFonts w:cs="Arial"/>
                <w:color w:val="000000"/>
                <w:szCs w:val="20"/>
              </w:rPr>
              <w:t xml:space="preserve">End of RCV Completion Report in December 2016; </w:t>
            </w:r>
          </w:p>
          <w:p w14:paraId="52EB19FB" w14:textId="77777777" w:rsidR="00F10395" w:rsidRPr="00986221" w:rsidRDefault="00F10395" w:rsidP="00F10395">
            <w:pPr>
              <w:rPr>
                <w:rFonts w:cs="Arial"/>
                <w:color w:val="000000"/>
                <w:szCs w:val="20"/>
              </w:rPr>
            </w:pPr>
            <w:r w:rsidRPr="00986221">
              <w:rPr>
                <w:rFonts w:cs="Arial"/>
                <w:color w:val="000000"/>
                <w:szCs w:val="20"/>
              </w:rPr>
              <w:t xml:space="preserve">Annual RCV reports that include Dong Thap province decisions on institution for rice production that address identified impediments. </w:t>
            </w:r>
          </w:p>
        </w:tc>
        <w:tc>
          <w:tcPr>
            <w:tcW w:w="3544" w:type="dxa"/>
          </w:tcPr>
          <w:p w14:paraId="20508E59" w14:textId="77777777" w:rsidR="00F10395" w:rsidRPr="00986221" w:rsidRDefault="00F10395" w:rsidP="00F10395">
            <w:pPr>
              <w:rPr>
                <w:rFonts w:cs="Arial"/>
                <w:szCs w:val="20"/>
              </w:rPr>
            </w:pPr>
            <w:r w:rsidRPr="00986221">
              <w:rPr>
                <w:rFonts w:cs="Arial"/>
                <w:color w:val="000000"/>
                <w:szCs w:val="20"/>
              </w:rPr>
              <w:t xml:space="preserve">Dong Thap province authorities remains committed to take action to restructure the institution for rice production </w:t>
            </w:r>
          </w:p>
        </w:tc>
      </w:tr>
      <w:tr w:rsidR="00F10395" w:rsidRPr="00986221" w14:paraId="4834484C" w14:textId="77777777" w:rsidTr="00F10395">
        <w:tc>
          <w:tcPr>
            <w:tcW w:w="3227" w:type="dxa"/>
            <w:vMerge/>
          </w:tcPr>
          <w:p w14:paraId="1D73BE33" w14:textId="77777777" w:rsidR="00F10395" w:rsidRPr="00986221" w:rsidRDefault="00F10395" w:rsidP="00F10395">
            <w:pPr>
              <w:rPr>
                <w:rFonts w:cs="Arial"/>
                <w:szCs w:val="20"/>
              </w:rPr>
            </w:pPr>
          </w:p>
        </w:tc>
        <w:tc>
          <w:tcPr>
            <w:tcW w:w="4810" w:type="dxa"/>
          </w:tcPr>
          <w:p w14:paraId="7C545E00" w14:textId="2401C5D9" w:rsidR="00F10395" w:rsidRPr="00986221" w:rsidRDefault="00F10395" w:rsidP="00986221">
            <w:pPr>
              <w:rPr>
                <w:rFonts w:cs="Arial"/>
                <w:szCs w:val="20"/>
              </w:rPr>
            </w:pPr>
            <w:r w:rsidRPr="00986221">
              <w:rPr>
                <w:rFonts w:cs="Arial"/>
                <w:color w:val="000000"/>
                <w:szCs w:val="20"/>
              </w:rPr>
              <w:t>N</w:t>
            </w:r>
            <w:r w:rsidR="00986221" w:rsidRPr="00986221">
              <w:rPr>
                <w:rFonts w:cs="Arial"/>
                <w:color w:val="000000"/>
                <w:szCs w:val="20"/>
              </w:rPr>
              <w:t>umber</w:t>
            </w:r>
            <w:r w:rsidRPr="00986221">
              <w:rPr>
                <w:rFonts w:cs="Arial"/>
                <w:color w:val="000000"/>
                <w:szCs w:val="20"/>
              </w:rPr>
              <w:t xml:space="preserve"> and quality of successful competition and trade remedy cases handled by VCA improves from those reported in 2013</w:t>
            </w:r>
          </w:p>
        </w:tc>
        <w:tc>
          <w:tcPr>
            <w:tcW w:w="3729" w:type="dxa"/>
          </w:tcPr>
          <w:p w14:paraId="4BA71E09" w14:textId="77777777" w:rsidR="00F10395" w:rsidRPr="00986221" w:rsidRDefault="00F10395" w:rsidP="00F10395">
            <w:pPr>
              <w:rPr>
                <w:rFonts w:cs="Arial"/>
                <w:color w:val="000000"/>
                <w:szCs w:val="20"/>
              </w:rPr>
            </w:pPr>
            <w:r w:rsidRPr="00986221">
              <w:rPr>
                <w:rFonts w:cs="Arial"/>
                <w:color w:val="000000"/>
                <w:szCs w:val="20"/>
              </w:rPr>
              <w:t xml:space="preserve">End of RCV Completion Report in December 2016; </w:t>
            </w:r>
          </w:p>
          <w:p w14:paraId="653818CF" w14:textId="77777777" w:rsidR="00F10395" w:rsidRPr="00986221" w:rsidRDefault="00F10395" w:rsidP="00F10395">
            <w:pPr>
              <w:rPr>
                <w:rFonts w:cs="Arial"/>
                <w:szCs w:val="20"/>
              </w:rPr>
            </w:pPr>
            <w:r w:rsidRPr="00986221">
              <w:rPr>
                <w:rFonts w:cs="Arial"/>
                <w:color w:val="000000"/>
                <w:szCs w:val="20"/>
              </w:rPr>
              <w:t xml:space="preserve">Annual RCV reports that include: VCA annual reports; reference to VCA role in breaking up cartels in media </w:t>
            </w:r>
          </w:p>
        </w:tc>
        <w:tc>
          <w:tcPr>
            <w:tcW w:w="3544" w:type="dxa"/>
          </w:tcPr>
          <w:p w14:paraId="341C995D" w14:textId="77777777" w:rsidR="00F10395" w:rsidRPr="00986221" w:rsidRDefault="00F10395" w:rsidP="00F10395">
            <w:pPr>
              <w:rPr>
                <w:rFonts w:cs="Arial"/>
                <w:szCs w:val="20"/>
              </w:rPr>
            </w:pPr>
            <w:r w:rsidRPr="00986221">
              <w:rPr>
                <w:rFonts w:cs="Arial"/>
                <w:color w:val="000000"/>
                <w:szCs w:val="20"/>
              </w:rPr>
              <w:t xml:space="preserve">VCA gets high-level support to handle competition issues in targeted sectors. </w:t>
            </w:r>
          </w:p>
        </w:tc>
      </w:tr>
    </w:tbl>
    <w:p w14:paraId="18C65857" w14:textId="77777777" w:rsidR="00F10395" w:rsidRPr="00986221" w:rsidRDefault="00F10395" w:rsidP="00F10395"/>
    <w:tbl>
      <w:tblPr>
        <w:tblStyle w:val="TableGrid"/>
        <w:tblW w:w="14992" w:type="dxa"/>
        <w:tblInd w:w="-318" w:type="dxa"/>
        <w:tblLook w:val="04A0" w:firstRow="1" w:lastRow="0" w:firstColumn="1" w:lastColumn="0" w:noHBand="0" w:noVBand="1"/>
      </w:tblPr>
      <w:tblGrid>
        <w:gridCol w:w="3227"/>
        <w:gridCol w:w="4810"/>
        <w:gridCol w:w="3411"/>
        <w:gridCol w:w="3544"/>
      </w:tblGrid>
      <w:tr w:rsidR="00F10395" w:rsidRPr="00986221" w14:paraId="28CA97D8" w14:textId="77777777" w:rsidTr="00F10395">
        <w:trPr>
          <w:tblHeader/>
        </w:trPr>
        <w:tc>
          <w:tcPr>
            <w:tcW w:w="3227" w:type="dxa"/>
            <w:shd w:val="clear" w:color="auto" w:fill="00FFFF"/>
          </w:tcPr>
          <w:p w14:paraId="0C37B516" w14:textId="77777777" w:rsidR="00F10395" w:rsidRPr="00986221" w:rsidRDefault="00F10395" w:rsidP="00F10395">
            <w:pPr>
              <w:rPr>
                <w:rFonts w:cs="Arial"/>
                <w:b/>
                <w:sz w:val="24"/>
              </w:rPr>
            </w:pPr>
            <w:r w:rsidRPr="00986221">
              <w:br w:type="page"/>
            </w:r>
            <w:r w:rsidRPr="00986221">
              <w:rPr>
                <w:rFonts w:cs="Arial"/>
                <w:b/>
                <w:bCs/>
                <w:color w:val="000000"/>
                <w:sz w:val="24"/>
              </w:rPr>
              <w:t>Hierarchy of Objectives</w:t>
            </w:r>
          </w:p>
        </w:tc>
        <w:tc>
          <w:tcPr>
            <w:tcW w:w="4810" w:type="dxa"/>
            <w:shd w:val="clear" w:color="auto" w:fill="00FFFF"/>
          </w:tcPr>
          <w:p w14:paraId="502AB84D" w14:textId="77777777" w:rsidR="00F10395" w:rsidRPr="00986221" w:rsidRDefault="00F10395" w:rsidP="00F10395">
            <w:pPr>
              <w:rPr>
                <w:rFonts w:cs="Arial"/>
                <w:b/>
                <w:sz w:val="24"/>
              </w:rPr>
            </w:pPr>
            <w:r w:rsidRPr="00986221">
              <w:rPr>
                <w:rFonts w:cs="Arial"/>
                <w:b/>
                <w:bCs/>
                <w:color w:val="000000"/>
                <w:sz w:val="24"/>
              </w:rPr>
              <w:t>Indicators</w:t>
            </w:r>
            <w:r w:rsidRPr="00986221">
              <w:rPr>
                <w:rFonts w:cs="Arial"/>
                <w:b/>
                <w:color w:val="000000"/>
                <w:sz w:val="24"/>
              </w:rPr>
              <w:t> </w:t>
            </w:r>
          </w:p>
        </w:tc>
        <w:tc>
          <w:tcPr>
            <w:tcW w:w="3411" w:type="dxa"/>
            <w:shd w:val="clear" w:color="auto" w:fill="00FFFF"/>
          </w:tcPr>
          <w:p w14:paraId="11ED3B5E" w14:textId="77777777" w:rsidR="00F10395" w:rsidRPr="00986221" w:rsidRDefault="00F10395" w:rsidP="00F10395">
            <w:pPr>
              <w:rPr>
                <w:rFonts w:cs="Arial"/>
                <w:b/>
                <w:sz w:val="24"/>
              </w:rPr>
            </w:pPr>
            <w:r w:rsidRPr="00986221">
              <w:rPr>
                <w:rFonts w:cs="Arial"/>
                <w:b/>
                <w:bCs/>
                <w:color w:val="000000"/>
                <w:sz w:val="24"/>
              </w:rPr>
              <w:t>Means of Verification</w:t>
            </w:r>
          </w:p>
        </w:tc>
        <w:tc>
          <w:tcPr>
            <w:tcW w:w="3544" w:type="dxa"/>
            <w:shd w:val="clear" w:color="auto" w:fill="00FFFF"/>
          </w:tcPr>
          <w:p w14:paraId="550B2D02" w14:textId="77777777" w:rsidR="00F10395" w:rsidRPr="00986221" w:rsidRDefault="00F10395" w:rsidP="00F10395">
            <w:pPr>
              <w:rPr>
                <w:rFonts w:cs="Arial"/>
                <w:b/>
                <w:sz w:val="24"/>
              </w:rPr>
            </w:pPr>
            <w:r w:rsidRPr="00986221">
              <w:rPr>
                <w:rFonts w:cs="Arial"/>
                <w:b/>
                <w:sz w:val="24"/>
              </w:rPr>
              <w:t>Assumptions</w:t>
            </w:r>
          </w:p>
        </w:tc>
      </w:tr>
      <w:tr w:rsidR="00F10395" w:rsidRPr="00986221" w14:paraId="704DC74B" w14:textId="77777777" w:rsidTr="00F10395">
        <w:tc>
          <w:tcPr>
            <w:tcW w:w="14992" w:type="dxa"/>
            <w:gridSpan w:val="4"/>
            <w:shd w:val="clear" w:color="auto" w:fill="00CCFF"/>
          </w:tcPr>
          <w:p w14:paraId="7F300571" w14:textId="77777777" w:rsidR="00F10395" w:rsidRPr="00986221" w:rsidRDefault="00F10395" w:rsidP="00F10395">
            <w:pPr>
              <w:rPr>
                <w:rFonts w:cs="Arial"/>
                <w:b/>
                <w:color w:val="000000"/>
                <w:szCs w:val="20"/>
              </w:rPr>
            </w:pPr>
            <w:r w:rsidRPr="00986221">
              <w:rPr>
                <w:rFonts w:cs="Arial"/>
                <w:b/>
                <w:color w:val="000000"/>
                <w:szCs w:val="20"/>
              </w:rPr>
              <w:t>Component 1: Enhanced Business Competitiveness and Transparency</w:t>
            </w:r>
          </w:p>
        </w:tc>
      </w:tr>
      <w:tr w:rsidR="00F10395" w:rsidRPr="00986221" w14:paraId="2974CFDA" w14:textId="77777777" w:rsidTr="00F10395">
        <w:tc>
          <w:tcPr>
            <w:tcW w:w="3227" w:type="dxa"/>
            <w:vMerge w:val="restart"/>
          </w:tcPr>
          <w:p w14:paraId="72E38333" w14:textId="77777777" w:rsidR="00F10395" w:rsidRPr="00986221" w:rsidRDefault="00F10395" w:rsidP="00F10395">
            <w:pPr>
              <w:rPr>
                <w:rFonts w:cs="Arial"/>
                <w:color w:val="000000"/>
                <w:szCs w:val="20"/>
              </w:rPr>
            </w:pPr>
            <w:r w:rsidRPr="00986221">
              <w:rPr>
                <w:rFonts w:cs="Arial"/>
                <w:b/>
                <w:color w:val="000000"/>
                <w:szCs w:val="20"/>
              </w:rPr>
              <w:t>Output 1.1:</w:t>
            </w:r>
            <w:r w:rsidRPr="00986221">
              <w:rPr>
                <w:rFonts w:cs="Arial"/>
                <w:color w:val="000000"/>
                <w:szCs w:val="20"/>
              </w:rPr>
              <w:t xml:space="preserve"> Improved Enterprise and Investment Legislation</w:t>
            </w:r>
          </w:p>
        </w:tc>
        <w:tc>
          <w:tcPr>
            <w:tcW w:w="4810" w:type="dxa"/>
          </w:tcPr>
          <w:p w14:paraId="1D2D3E94" w14:textId="77777777" w:rsidR="00F10395" w:rsidRPr="00986221" w:rsidRDefault="00F10395" w:rsidP="00F10395">
            <w:pPr>
              <w:rPr>
                <w:rFonts w:cs="Arial"/>
                <w:szCs w:val="20"/>
              </w:rPr>
            </w:pPr>
            <w:r w:rsidRPr="00986221">
              <w:rPr>
                <w:rFonts w:cs="Arial"/>
                <w:color w:val="000000"/>
                <w:szCs w:val="20"/>
              </w:rPr>
              <w:t>Enterprise and Investment Laws approved by NA by 2014-15, and in effect by 2015-16.</w:t>
            </w:r>
          </w:p>
        </w:tc>
        <w:tc>
          <w:tcPr>
            <w:tcW w:w="3411" w:type="dxa"/>
          </w:tcPr>
          <w:p w14:paraId="6BC681C3" w14:textId="6EB893EE" w:rsidR="00F10395" w:rsidRPr="00986221" w:rsidRDefault="00F10395" w:rsidP="00F10395">
            <w:pPr>
              <w:rPr>
                <w:rFonts w:cs="Arial"/>
                <w:szCs w:val="20"/>
              </w:rPr>
            </w:pPr>
            <w:r w:rsidRPr="00986221">
              <w:rPr>
                <w:rFonts w:cs="Arial"/>
                <w:color w:val="000000"/>
                <w:szCs w:val="20"/>
              </w:rPr>
              <w:t xml:space="preserve">Law approved by </w:t>
            </w:r>
            <w:r w:rsidR="00986221" w:rsidRPr="00986221">
              <w:rPr>
                <w:rFonts w:cs="Arial"/>
                <w:color w:val="000000"/>
                <w:szCs w:val="20"/>
              </w:rPr>
              <w:t>National Assembly</w:t>
            </w:r>
            <w:r w:rsidRPr="00986221">
              <w:rPr>
                <w:rFonts w:cs="Arial"/>
                <w:color w:val="000000"/>
                <w:szCs w:val="20"/>
              </w:rPr>
              <w:t xml:space="preserve"> and issued by appropriate authority</w:t>
            </w:r>
          </w:p>
        </w:tc>
        <w:tc>
          <w:tcPr>
            <w:tcW w:w="3544" w:type="dxa"/>
          </w:tcPr>
          <w:p w14:paraId="396D196A" w14:textId="2EEC10F7" w:rsidR="00F10395" w:rsidRPr="00986221" w:rsidRDefault="00F10395" w:rsidP="00986221">
            <w:pPr>
              <w:rPr>
                <w:rFonts w:cs="Arial"/>
                <w:szCs w:val="20"/>
              </w:rPr>
            </w:pPr>
            <w:r w:rsidRPr="00986221">
              <w:rPr>
                <w:rFonts w:cs="Arial"/>
                <w:color w:val="000000"/>
                <w:szCs w:val="20"/>
              </w:rPr>
              <w:t>P</w:t>
            </w:r>
            <w:r w:rsidR="00986221" w:rsidRPr="00986221">
              <w:rPr>
                <w:rFonts w:cs="Arial"/>
                <w:color w:val="000000"/>
                <w:szCs w:val="20"/>
              </w:rPr>
              <w:t xml:space="preserve">rime Minister </w:t>
            </w:r>
            <w:r w:rsidRPr="00986221">
              <w:rPr>
                <w:rFonts w:cs="Arial"/>
                <w:color w:val="000000"/>
                <w:szCs w:val="20"/>
              </w:rPr>
              <w:t>endorses recommendations on alleviating constraints to Private Sector Development</w:t>
            </w:r>
          </w:p>
        </w:tc>
      </w:tr>
      <w:tr w:rsidR="00F10395" w:rsidRPr="00986221" w14:paraId="457A925B" w14:textId="77777777" w:rsidTr="00F10395">
        <w:tc>
          <w:tcPr>
            <w:tcW w:w="3227" w:type="dxa"/>
            <w:vMerge/>
          </w:tcPr>
          <w:p w14:paraId="01569798" w14:textId="77777777" w:rsidR="00F10395" w:rsidRPr="00986221" w:rsidRDefault="00F10395" w:rsidP="00F10395">
            <w:pPr>
              <w:rPr>
                <w:rFonts w:cs="Arial"/>
                <w:szCs w:val="20"/>
              </w:rPr>
            </w:pPr>
          </w:p>
        </w:tc>
        <w:tc>
          <w:tcPr>
            <w:tcW w:w="4810" w:type="dxa"/>
          </w:tcPr>
          <w:p w14:paraId="72025AF0" w14:textId="77777777" w:rsidR="00F10395" w:rsidRPr="00986221" w:rsidRDefault="00F10395" w:rsidP="00F10395">
            <w:pPr>
              <w:rPr>
                <w:rFonts w:cs="Arial"/>
                <w:color w:val="000000"/>
                <w:szCs w:val="20"/>
              </w:rPr>
            </w:pPr>
            <w:r w:rsidRPr="00986221">
              <w:rPr>
                <w:rFonts w:cs="Arial"/>
                <w:color w:val="000000"/>
                <w:szCs w:val="20"/>
              </w:rPr>
              <w:t>Key implementing regulations that help reduce business compliance costs; and improve compliance of SOEs on corporate governance that are in line with OECD principles issued by 2015-16</w:t>
            </w:r>
          </w:p>
        </w:tc>
        <w:tc>
          <w:tcPr>
            <w:tcW w:w="3411" w:type="dxa"/>
          </w:tcPr>
          <w:p w14:paraId="5F679648" w14:textId="77777777" w:rsidR="00F10395" w:rsidRPr="00986221" w:rsidRDefault="00F10395" w:rsidP="00F10395">
            <w:pPr>
              <w:rPr>
                <w:rFonts w:cs="Arial"/>
                <w:szCs w:val="20"/>
              </w:rPr>
            </w:pPr>
            <w:r w:rsidRPr="00986221">
              <w:rPr>
                <w:rFonts w:cs="Arial"/>
                <w:color w:val="000000"/>
                <w:szCs w:val="20"/>
              </w:rPr>
              <w:t>Decree issued by Prime Minister</w:t>
            </w:r>
          </w:p>
        </w:tc>
        <w:tc>
          <w:tcPr>
            <w:tcW w:w="3544" w:type="dxa"/>
          </w:tcPr>
          <w:p w14:paraId="23FD3F85" w14:textId="388E6ED2" w:rsidR="00F10395" w:rsidRPr="00986221" w:rsidRDefault="00F10395" w:rsidP="00F10395">
            <w:pPr>
              <w:rPr>
                <w:rFonts w:cs="Arial"/>
                <w:szCs w:val="20"/>
              </w:rPr>
            </w:pPr>
            <w:r w:rsidRPr="00986221">
              <w:rPr>
                <w:rFonts w:cs="Arial"/>
                <w:color w:val="000000"/>
                <w:szCs w:val="20"/>
              </w:rPr>
              <w:t xml:space="preserve">The </w:t>
            </w:r>
            <w:r w:rsidR="00986221" w:rsidRPr="00986221">
              <w:rPr>
                <w:rFonts w:cs="Arial"/>
                <w:color w:val="000000"/>
                <w:szCs w:val="20"/>
              </w:rPr>
              <w:t>National Assembly</w:t>
            </w:r>
            <w:r w:rsidRPr="00986221">
              <w:rPr>
                <w:rFonts w:cs="Arial"/>
                <w:color w:val="000000"/>
                <w:szCs w:val="20"/>
              </w:rPr>
              <w:t xml:space="preserve"> endorses revisions to the Enterprise and Investment Laws</w:t>
            </w:r>
          </w:p>
        </w:tc>
      </w:tr>
      <w:tr w:rsidR="00F10395" w:rsidRPr="00986221" w14:paraId="26954702" w14:textId="77777777" w:rsidTr="00F10395">
        <w:trPr>
          <w:trHeight w:val="1385"/>
        </w:trPr>
        <w:tc>
          <w:tcPr>
            <w:tcW w:w="3227" w:type="dxa"/>
          </w:tcPr>
          <w:p w14:paraId="0A4D7A03" w14:textId="77777777" w:rsidR="00F10395" w:rsidRPr="00986221" w:rsidRDefault="00F10395" w:rsidP="00F10395">
            <w:pPr>
              <w:rPr>
                <w:rFonts w:cs="Arial"/>
                <w:szCs w:val="20"/>
              </w:rPr>
            </w:pPr>
            <w:r w:rsidRPr="00986221">
              <w:rPr>
                <w:rFonts w:cs="Arial"/>
                <w:b/>
                <w:color w:val="000000"/>
                <w:szCs w:val="20"/>
              </w:rPr>
              <w:t>Output 1.2:</w:t>
            </w:r>
            <w:r w:rsidRPr="00986221">
              <w:rPr>
                <w:rFonts w:cs="Arial"/>
                <w:color w:val="000000"/>
                <w:szCs w:val="20"/>
              </w:rPr>
              <w:t xml:space="preserve"> Removed impediments to competitive business environment</w:t>
            </w:r>
          </w:p>
        </w:tc>
        <w:tc>
          <w:tcPr>
            <w:tcW w:w="4810" w:type="dxa"/>
          </w:tcPr>
          <w:p w14:paraId="594E8D78" w14:textId="77777777" w:rsidR="00F10395" w:rsidRPr="00986221" w:rsidRDefault="00F10395" w:rsidP="00F10395">
            <w:pPr>
              <w:rPr>
                <w:rFonts w:cs="Arial"/>
                <w:szCs w:val="20"/>
              </w:rPr>
            </w:pPr>
            <w:r w:rsidRPr="00986221">
              <w:rPr>
                <w:rFonts w:cs="Arial"/>
                <w:szCs w:val="20"/>
              </w:rPr>
              <w:t>Diagnostic reports on: impediments to business (e.g. border trade procedures, market entry conditions, market distortion caused by SOEs); and additional reforms needed to comply with international economic cooperation agreements, submitted to PM by 2015-16</w:t>
            </w:r>
          </w:p>
        </w:tc>
        <w:tc>
          <w:tcPr>
            <w:tcW w:w="3411" w:type="dxa"/>
          </w:tcPr>
          <w:p w14:paraId="35962044" w14:textId="77777777" w:rsidR="00F10395" w:rsidRPr="00986221" w:rsidRDefault="00F10395" w:rsidP="00F10395">
            <w:pPr>
              <w:rPr>
                <w:rFonts w:cs="Arial"/>
                <w:szCs w:val="20"/>
              </w:rPr>
            </w:pPr>
            <w:r w:rsidRPr="00986221">
              <w:rPr>
                <w:rFonts w:cs="Arial"/>
                <w:color w:val="000000"/>
                <w:szCs w:val="20"/>
              </w:rPr>
              <w:t>Letter submitting report to the Prime Minister</w:t>
            </w:r>
          </w:p>
        </w:tc>
        <w:tc>
          <w:tcPr>
            <w:tcW w:w="3544" w:type="dxa"/>
          </w:tcPr>
          <w:p w14:paraId="5B60AB37" w14:textId="77777777" w:rsidR="00F10395" w:rsidRPr="00986221" w:rsidRDefault="00F10395" w:rsidP="00F10395">
            <w:pPr>
              <w:rPr>
                <w:rFonts w:cs="Arial"/>
                <w:szCs w:val="20"/>
              </w:rPr>
            </w:pPr>
            <w:r w:rsidRPr="00986221">
              <w:rPr>
                <w:rFonts w:cs="Arial"/>
                <w:color w:val="000000"/>
                <w:szCs w:val="20"/>
              </w:rPr>
              <w:t>MPI and GoV as relevant endorse proposed changes</w:t>
            </w:r>
          </w:p>
        </w:tc>
      </w:tr>
      <w:tr w:rsidR="00F10395" w:rsidRPr="00986221" w14:paraId="598F03FC" w14:textId="77777777" w:rsidTr="00F10395">
        <w:tc>
          <w:tcPr>
            <w:tcW w:w="3227" w:type="dxa"/>
            <w:vMerge w:val="restart"/>
          </w:tcPr>
          <w:p w14:paraId="47D1CC07" w14:textId="77777777" w:rsidR="00F10395" w:rsidRPr="00986221" w:rsidRDefault="00F10395" w:rsidP="00F10395">
            <w:pPr>
              <w:rPr>
                <w:rFonts w:cs="Arial"/>
                <w:szCs w:val="20"/>
              </w:rPr>
            </w:pPr>
            <w:r w:rsidRPr="00986221">
              <w:rPr>
                <w:rFonts w:cs="Arial"/>
                <w:b/>
                <w:color w:val="000000"/>
                <w:szCs w:val="20"/>
              </w:rPr>
              <w:t>Output 1.3:</w:t>
            </w:r>
            <w:r w:rsidRPr="00986221">
              <w:rPr>
                <w:rFonts w:cs="Arial"/>
                <w:color w:val="000000"/>
                <w:szCs w:val="20"/>
              </w:rPr>
              <w:t xml:space="preserve"> Improved evidence based analysis and dialogue on MPER implementation performance and emerging issues</w:t>
            </w:r>
          </w:p>
        </w:tc>
        <w:tc>
          <w:tcPr>
            <w:tcW w:w="4810" w:type="dxa"/>
          </w:tcPr>
          <w:p w14:paraId="568CFA24" w14:textId="77777777" w:rsidR="00F10395" w:rsidRPr="00986221" w:rsidRDefault="00F10395" w:rsidP="00F10395">
            <w:pPr>
              <w:rPr>
                <w:rFonts w:cs="Arial"/>
                <w:szCs w:val="20"/>
              </w:rPr>
            </w:pPr>
            <w:r w:rsidRPr="00986221">
              <w:rPr>
                <w:rFonts w:cs="Arial"/>
                <w:szCs w:val="20"/>
              </w:rPr>
              <w:t>Improved feedback on MPER dialogue and MPER progress reports</w:t>
            </w:r>
          </w:p>
        </w:tc>
        <w:tc>
          <w:tcPr>
            <w:tcW w:w="3411" w:type="dxa"/>
            <w:vMerge w:val="restart"/>
          </w:tcPr>
          <w:p w14:paraId="7965097F" w14:textId="77777777" w:rsidR="00F10395" w:rsidRPr="00986221" w:rsidRDefault="00F10395" w:rsidP="00F10395">
            <w:pPr>
              <w:rPr>
                <w:rFonts w:cs="Arial"/>
                <w:color w:val="000000"/>
                <w:szCs w:val="20"/>
              </w:rPr>
            </w:pPr>
            <w:r w:rsidRPr="00986221">
              <w:rPr>
                <w:rFonts w:cs="Arial"/>
                <w:color w:val="000000"/>
                <w:szCs w:val="20"/>
              </w:rPr>
              <w:t>CIEM Quarterly and Annual RCV reports;</w:t>
            </w:r>
          </w:p>
          <w:p w14:paraId="342A45D9" w14:textId="77777777" w:rsidR="00F10395" w:rsidRPr="00986221" w:rsidRDefault="00F10395" w:rsidP="00F10395">
            <w:pPr>
              <w:rPr>
                <w:rFonts w:cs="Arial"/>
                <w:szCs w:val="20"/>
              </w:rPr>
            </w:pPr>
            <w:r w:rsidRPr="00986221">
              <w:rPr>
                <w:rFonts w:cs="Arial"/>
                <w:color w:val="000000"/>
                <w:szCs w:val="20"/>
              </w:rPr>
              <w:t>Media tracking</w:t>
            </w:r>
          </w:p>
        </w:tc>
        <w:tc>
          <w:tcPr>
            <w:tcW w:w="3544" w:type="dxa"/>
            <w:vMerge w:val="restart"/>
          </w:tcPr>
          <w:p w14:paraId="54C66149" w14:textId="77777777" w:rsidR="00F10395" w:rsidRPr="00986221" w:rsidRDefault="00F10395" w:rsidP="00F10395">
            <w:pPr>
              <w:rPr>
                <w:rFonts w:cs="Arial"/>
                <w:szCs w:val="20"/>
              </w:rPr>
            </w:pPr>
            <w:r w:rsidRPr="00986221">
              <w:rPr>
                <w:rFonts w:cs="Arial"/>
                <w:szCs w:val="20"/>
              </w:rPr>
              <w:t>National leaders continue to prioritise implementation of MPER and retain confidence in CIEM reporting on implementation.</w:t>
            </w:r>
          </w:p>
        </w:tc>
      </w:tr>
      <w:tr w:rsidR="00F10395" w:rsidRPr="00986221" w14:paraId="72BB9262" w14:textId="77777777" w:rsidTr="00F10395">
        <w:tc>
          <w:tcPr>
            <w:tcW w:w="3227" w:type="dxa"/>
            <w:vMerge/>
          </w:tcPr>
          <w:p w14:paraId="5E98CBE9" w14:textId="77777777" w:rsidR="00F10395" w:rsidRPr="00986221" w:rsidRDefault="00F10395" w:rsidP="00F10395">
            <w:pPr>
              <w:rPr>
                <w:rFonts w:cs="Arial"/>
                <w:szCs w:val="20"/>
              </w:rPr>
            </w:pPr>
          </w:p>
        </w:tc>
        <w:tc>
          <w:tcPr>
            <w:tcW w:w="4810" w:type="dxa"/>
          </w:tcPr>
          <w:p w14:paraId="26D3A308" w14:textId="77777777" w:rsidR="00F10395" w:rsidRPr="00986221" w:rsidRDefault="00F10395" w:rsidP="00F10395">
            <w:pPr>
              <w:rPr>
                <w:rFonts w:cs="Arial"/>
                <w:szCs w:val="20"/>
              </w:rPr>
            </w:pPr>
            <w:r w:rsidRPr="00986221">
              <w:rPr>
                <w:rFonts w:cs="Arial"/>
                <w:szCs w:val="20"/>
              </w:rPr>
              <w:t>Evidence that MPER reports were discussed in national and sub-national level GoV meetings and the media.</w:t>
            </w:r>
          </w:p>
        </w:tc>
        <w:tc>
          <w:tcPr>
            <w:tcW w:w="3411" w:type="dxa"/>
            <w:vMerge/>
            <w:vAlign w:val="center"/>
          </w:tcPr>
          <w:p w14:paraId="20222746" w14:textId="77777777" w:rsidR="00F10395" w:rsidRPr="00986221" w:rsidRDefault="00F10395" w:rsidP="00F10395">
            <w:pPr>
              <w:rPr>
                <w:rFonts w:cs="Arial"/>
                <w:szCs w:val="20"/>
              </w:rPr>
            </w:pPr>
          </w:p>
        </w:tc>
        <w:tc>
          <w:tcPr>
            <w:tcW w:w="3544" w:type="dxa"/>
            <w:vMerge/>
          </w:tcPr>
          <w:p w14:paraId="59497933" w14:textId="77777777" w:rsidR="00F10395" w:rsidRPr="00986221" w:rsidRDefault="00F10395" w:rsidP="00F10395">
            <w:pPr>
              <w:rPr>
                <w:rFonts w:cs="Arial"/>
                <w:szCs w:val="20"/>
              </w:rPr>
            </w:pPr>
          </w:p>
        </w:tc>
      </w:tr>
      <w:tr w:rsidR="00F10395" w:rsidRPr="00986221" w14:paraId="3C444C48" w14:textId="77777777" w:rsidTr="00F10395">
        <w:tc>
          <w:tcPr>
            <w:tcW w:w="3227" w:type="dxa"/>
            <w:tcBorders>
              <w:bottom w:val="single" w:sz="4" w:space="0" w:color="auto"/>
            </w:tcBorders>
          </w:tcPr>
          <w:p w14:paraId="20EBB948" w14:textId="77777777" w:rsidR="00F10395" w:rsidRPr="00986221" w:rsidRDefault="00F10395" w:rsidP="00F10395">
            <w:pPr>
              <w:rPr>
                <w:rFonts w:cs="Arial"/>
                <w:szCs w:val="20"/>
              </w:rPr>
            </w:pPr>
            <w:r w:rsidRPr="00986221">
              <w:rPr>
                <w:rFonts w:cs="Arial"/>
                <w:b/>
                <w:color w:val="000000"/>
                <w:szCs w:val="20"/>
              </w:rPr>
              <w:t>Output 1.4:</w:t>
            </w:r>
            <w:r w:rsidRPr="00986221">
              <w:rPr>
                <w:rFonts w:cs="Arial"/>
                <w:color w:val="000000"/>
                <w:szCs w:val="20"/>
              </w:rPr>
              <w:t xml:space="preserve"> Enhanced policy dialogue (taking account of international experience) on macro-economic and economic development issues.</w:t>
            </w:r>
          </w:p>
        </w:tc>
        <w:tc>
          <w:tcPr>
            <w:tcW w:w="4810" w:type="dxa"/>
            <w:tcBorders>
              <w:bottom w:val="single" w:sz="4" w:space="0" w:color="auto"/>
            </w:tcBorders>
          </w:tcPr>
          <w:p w14:paraId="0E2FC66B" w14:textId="77777777" w:rsidR="00F10395" w:rsidRPr="00986221" w:rsidRDefault="00F10395" w:rsidP="00F10395">
            <w:pPr>
              <w:rPr>
                <w:rFonts w:cs="Arial"/>
                <w:szCs w:val="20"/>
              </w:rPr>
            </w:pPr>
            <w:r w:rsidRPr="00986221">
              <w:rPr>
                <w:rFonts w:cs="Arial"/>
                <w:szCs w:val="20"/>
              </w:rPr>
              <w:t xml:space="preserve">At least 2 quality analytical reports submitted by CIEM to national leadership and widely discussed in GoV meetings and mass media by December 2016 </w:t>
            </w:r>
          </w:p>
        </w:tc>
        <w:tc>
          <w:tcPr>
            <w:tcW w:w="3411" w:type="dxa"/>
            <w:tcBorders>
              <w:bottom w:val="single" w:sz="4" w:space="0" w:color="auto"/>
            </w:tcBorders>
          </w:tcPr>
          <w:p w14:paraId="59DBA061" w14:textId="77777777" w:rsidR="00F10395" w:rsidRPr="00986221" w:rsidRDefault="00F10395" w:rsidP="00F10395">
            <w:pPr>
              <w:rPr>
                <w:rFonts w:cs="Arial"/>
                <w:color w:val="000000"/>
                <w:szCs w:val="20"/>
              </w:rPr>
            </w:pPr>
            <w:r w:rsidRPr="00986221">
              <w:rPr>
                <w:rFonts w:cs="Arial"/>
                <w:color w:val="000000"/>
                <w:szCs w:val="20"/>
              </w:rPr>
              <w:t>CIEM Quarterly and Annual RCV reports;</w:t>
            </w:r>
          </w:p>
          <w:p w14:paraId="59A49B34" w14:textId="77777777" w:rsidR="00F10395" w:rsidRPr="00986221" w:rsidRDefault="00F10395" w:rsidP="00F10395">
            <w:pPr>
              <w:rPr>
                <w:rFonts w:cs="Arial"/>
                <w:szCs w:val="20"/>
              </w:rPr>
            </w:pPr>
            <w:r w:rsidRPr="00986221">
              <w:rPr>
                <w:rFonts w:cs="Arial"/>
                <w:color w:val="000000"/>
                <w:szCs w:val="20"/>
              </w:rPr>
              <w:t>Media tracking</w:t>
            </w:r>
          </w:p>
        </w:tc>
        <w:tc>
          <w:tcPr>
            <w:tcW w:w="3544" w:type="dxa"/>
            <w:tcBorders>
              <w:bottom w:val="single" w:sz="4" w:space="0" w:color="auto"/>
            </w:tcBorders>
          </w:tcPr>
          <w:p w14:paraId="1AE2FE4C" w14:textId="77777777" w:rsidR="00F10395" w:rsidRPr="00986221" w:rsidRDefault="00F10395" w:rsidP="00F10395">
            <w:pPr>
              <w:rPr>
                <w:rFonts w:cs="Arial"/>
                <w:color w:val="000000"/>
                <w:szCs w:val="20"/>
              </w:rPr>
            </w:pPr>
            <w:r w:rsidRPr="00986221">
              <w:rPr>
                <w:rFonts w:cs="Arial"/>
                <w:color w:val="000000"/>
                <w:szCs w:val="20"/>
              </w:rPr>
              <w:t>A strong consensus on policy actions to address macro-economic issues is built among policy makers.</w:t>
            </w:r>
          </w:p>
          <w:p w14:paraId="11426C60" w14:textId="77777777" w:rsidR="00F10395" w:rsidRPr="00986221" w:rsidRDefault="00F10395" w:rsidP="00F10395">
            <w:pPr>
              <w:rPr>
                <w:rFonts w:cs="Arial"/>
                <w:szCs w:val="20"/>
              </w:rPr>
            </w:pPr>
          </w:p>
        </w:tc>
      </w:tr>
    </w:tbl>
    <w:p w14:paraId="232F42D8" w14:textId="4C0FEDCC" w:rsidR="00C337E0" w:rsidRPr="00986221" w:rsidRDefault="00C337E0" w:rsidP="00F10395"/>
    <w:p w14:paraId="1A2280C1" w14:textId="77777777" w:rsidR="00C337E0" w:rsidRPr="00986221" w:rsidRDefault="00C337E0">
      <w:pPr>
        <w:spacing w:before="0"/>
      </w:pPr>
      <w:r w:rsidRPr="00986221">
        <w:br w:type="page"/>
      </w:r>
    </w:p>
    <w:p w14:paraId="38B23731" w14:textId="77777777" w:rsidR="00C337E0" w:rsidRPr="00986221" w:rsidRDefault="00C337E0" w:rsidP="00C337E0"/>
    <w:tbl>
      <w:tblPr>
        <w:tblStyle w:val="TableGrid"/>
        <w:tblW w:w="14992" w:type="dxa"/>
        <w:tblInd w:w="-318" w:type="dxa"/>
        <w:tblLook w:val="04A0" w:firstRow="1" w:lastRow="0" w:firstColumn="1" w:lastColumn="0" w:noHBand="0" w:noVBand="1"/>
      </w:tblPr>
      <w:tblGrid>
        <w:gridCol w:w="3227"/>
        <w:gridCol w:w="4810"/>
        <w:gridCol w:w="3411"/>
        <w:gridCol w:w="3544"/>
      </w:tblGrid>
      <w:tr w:rsidR="00C337E0" w:rsidRPr="00986221" w14:paraId="0EEC6B54" w14:textId="77777777" w:rsidTr="00C337E0">
        <w:trPr>
          <w:tblHeader/>
        </w:trPr>
        <w:tc>
          <w:tcPr>
            <w:tcW w:w="3227" w:type="dxa"/>
            <w:shd w:val="clear" w:color="auto" w:fill="00FFFF"/>
          </w:tcPr>
          <w:p w14:paraId="27FC2CCB" w14:textId="77777777" w:rsidR="00C337E0" w:rsidRPr="00986221" w:rsidRDefault="00C337E0" w:rsidP="00C337E0">
            <w:pPr>
              <w:rPr>
                <w:rFonts w:cs="Arial"/>
                <w:b/>
                <w:sz w:val="24"/>
              </w:rPr>
            </w:pPr>
            <w:r w:rsidRPr="00986221">
              <w:rPr>
                <w:rFonts w:cs="Arial"/>
                <w:b/>
                <w:bCs/>
                <w:color w:val="000000"/>
                <w:sz w:val="24"/>
              </w:rPr>
              <w:t>Hierarchy of Objectives</w:t>
            </w:r>
          </w:p>
        </w:tc>
        <w:tc>
          <w:tcPr>
            <w:tcW w:w="4810" w:type="dxa"/>
            <w:shd w:val="clear" w:color="auto" w:fill="00FFFF"/>
          </w:tcPr>
          <w:p w14:paraId="104F20FF" w14:textId="77777777" w:rsidR="00C337E0" w:rsidRPr="00986221" w:rsidRDefault="00C337E0" w:rsidP="00C337E0">
            <w:pPr>
              <w:rPr>
                <w:rFonts w:cs="Arial"/>
                <w:b/>
                <w:sz w:val="24"/>
              </w:rPr>
            </w:pPr>
            <w:r w:rsidRPr="00986221">
              <w:rPr>
                <w:rFonts w:cs="Arial"/>
                <w:b/>
                <w:bCs/>
                <w:color w:val="000000"/>
                <w:sz w:val="24"/>
              </w:rPr>
              <w:t>Indicators</w:t>
            </w:r>
            <w:r w:rsidRPr="00986221">
              <w:rPr>
                <w:rFonts w:cs="Arial"/>
                <w:b/>
                <w:color w:val="000000"/>
                <w:sz w:val="24"/>
              </w:rPr>
              <w:t> </w:t>
            </w:r>
          </w:p>
        </w:tc>
        <w:tc>
          <w:tcPr>
            <w:tcW w:w="3411" w:type="dxa"/>
            <w:shd w:val="clear" w:color="auto" w:fill="00FFFF"/>
          </w:tcPr>
          <w:p w14:paraId="46B1816C" w14:textId="77777777" w:rsidR="00C337E0" w:rsidRPr="00986221" w:rsidRDefault="00C337E0" w:rsidP="00C337E0">
            <w:pPr>
              <w:rPr>
                <w:rFonts w:cs="Arial"/>
                <w:b/>
                <w:sz w:val="24"/>
              </w:rPr>
            </w:pPr>
            <w:r w:rsidRPr="00986221">
              <w:rPr>
                <w:rFonts w:cs="Arial"/>
                <w:b/>
                <w:bCs/>
                <w:color w:val="000000"/>
                <w:sz w:val="24"/>
              </w:rPr>
              <w:t>Means of Verification</w:t>
            </w:r>
          </w:p>
        </w:tc>
        <w:tc>
          <w:tcPr>
            <w:tcW w:w="3544" w:type="dxa"/>
            <w:shd w:val="clear" w:color="auto" w:fill="00FFFF"/>
          </w:tcPr>
          <w:p w14:paraId="22BEDB36" w14:textId="77777777" w:rsidR="00C337E0" w:rsidRPr="00986221" w:rsidRDefault="00C337E0" w:rsidP="00C337E0">
            <w:pPr>
              <w:rPr>
                <w:rFonts w:cs="Arial"/>
                <w:b/>
                <w:sz w:val="24"/>
              </w:rPr>
            </w:pPr>
            <w:r w:rsidRPr="00986221">
              <w:rPr>
                <w:rFonts w:cs="Arial"/>
                <w:b/>
                <w:sz w:val="24"/>
              </w:rPr>
              <w:t>Assumptions</w:t>
            </w:r>
          </w:p>
        </w:tc>
      </w:tr>
      <w:tr w:rsidR="00C337E0" w:rsidRPr="00986221" w14:paraId="4F162492" w14:textId="77777777" w:rsidTr="00C337E0">
        <w:tc>
          <w:tcPr>
            <w:tcW w:w="14992" w:type="dxa"/>
            <w:gridSpan w:val="4"/>
            <w:shd w:val="clear" w:color="auto" w:fill="00CCFF"/>
          </w:tcPr>
          <w:p w14:paraId="1EDE3EA6" w14:textId="67806C97" w:rsidR="00C337E0" w:rsidRPr="00986221" w:rsidRDefault="00C337E0" w:rsidP="00C337E0">
            <w:pPr>
              <w:rPr>
                <w:rFonts w:cs="Arial"/>
                <w:b/>
                <w:szCs w:val="20"/>
              </w:rPr>
            </w:pPr>
            <w:r w:rsidRPr="00986221">
              <w:rPr>
                <w:rFonts w:cs="Arial"/>
                <w:b/>
                <w:color w:val="000000"/>
                <w:szCs w:val="20"/>
              </w:rPr>
              <w:t>Component 2: Restructuring competition institutions</w:t>
            </w:r>
          </w:p>
        </w:tc>
      </w:tr>
      <w:tr w:rsidR="00C337E0" w:rsidRPr="00986221" w14:paraId="5A822304" w14:textId="77777777" w:rsidTr="00C337E0">
        <w:tc>
          <w:tcPr>
            <w:tcW w:w="3227" w:type="dxa"/>
            <w:vMerge w:val="restart"/>
          </w:tcPr>
          <w:p w14:paraId="1F85CCB5" w14:textId="65FC16B3" w:rsidR="00C337E0" w:rsidRPr="00986221" w:rsidRDefault="00C337E0" w:rsidP="00C337E0">
            <w:pPr>
              <w:rPr>
                <w:rFonts w:cs="Arial"/>
                <w:szCs w:val="20"/>
              </w:rPr>
            </w:pPr>
            <w:r w:rsidRPr="00986221">
              <w:rPr>
                <w:rFonts w:cs="Arial"/>
                <w:b/>
                <w:color w:val="000000"/>
                <w:szCs w:val="20"/>
              </w:rPr>
              <w:t>Output 2.1</w:t>
            </w:r>
            <w:r w:rsidRPr="00986221">
              <w:rPr>
                <w:rFonts w:cs="Arial"/>
                <w:color w:val="000000"/>
                <w:szCs w:val="20"/>
              </w:rPr>
              <w:t>:Enhanced evidence base, information systems and skills to enforce competition policy</w:t>
            </w:r>
          </w:p>
        </w:tc>
        <w:tc>
          <w:tcPr>
            <w:tcW w:w="4810" w:type="dxa"/>
          </w:tcPr>
          <w:p w14:paraId="6B0B0329" w14:textId="77777777" w:rsidR="00C337E0" w:rsidRPr="00986221" w:rsidRDefault="00C337E0" w:rsidP="00C337E0">
            <w:pPr>
              <w:rPr>
                <w:rFonts w:cs="Arial"/>
                <w:szCs w:val="20"/>
              </w:rPr>
            </w:pPr>
            <w:r w:rsidRPr="00986221">
              <w:rPr>
                <w:rFonts w:cs="Arial"/>
                <w:color w:val="000000"/>
                <w:szCs w:val="20"/>
              </w:rPr>
              <w:t xml:space="preserve">Sector analysis </w:t>
            </w:r>
            <w:proofErr w:type="gramStart"/>
            <w:r w:rsidRPr="00986221">
              <w:rPr>
                <w:rFonts w:cs="Arial"/>
                <w:color w:val="000000"/>
                <w:szCs w:val="20"/>
              </w:rPr>
              <w:t>completed,</w:t>
            </w:r>
            <w:proofErr w:type="gramEnd"/>
            <w:r w:rsidRPr="00986221">
              <w:rPr>
                <w:rFonts w:cs="Arial"/>
                <w:color w:val="000000"/>
                <w:szCs w:val="20"/>
              </w:rPr>
              <w:t xml:space="preserve"> information accessible from VCA information systems, and actively disseminated.</w:t>
            </w:r>
          </w:p>
        </w:tc>
        <w:tc>
          <w:tcPr>
            <w:tcW w:w="3411" w:type="dxa"/>
            <w:vMerge w:val="restart"/>
          </w:tcPr>
          <w:p w14:paraId="208519B5" w14:textId="77777777" w:rsidR="00C337E0" w:rsidRPr="00986221" w:rsidRDefault="00C337E0" w:rsidP="00C337E0">
            <w:pPr>
              <w:rPr>
                <w:rFonts w:cs="Arial"/>
                <w:szCs w:val="20"/>
              </w:rPr>
            </w:pPr>
            <w:r w:rsidRPr="00986221">
              <w:rPr>
                <w:rFonts w:cs="Arial"/>
                <w:color w:val="000000"/>
                <w:szCs w:val="20"/>
              </w:rPr>
              <w:t>VCA Quarterly and Annual RCV reports</w:t>
            </w:r>
          </w:p>
          <w:p w14:paraId="2D37F81E" w14:textId="77777777" w:rsidR="00C337E0" w:rsidRPr="00986221" w:rsidRDefault="00C337E0" w:rsidP="00C337E0">
            <w:pPr>
              <w:rPr>
                <w:rFonts w:cs="Arial"/>
                <w:szCs w:val="20"/>
              </w:rPr>
            </w:pPr>
            <w:r w:rsidRPr="00986221">
              <w:rPr>
                <w:rFonts w:cs="Arial"/>
                <w:color w:val="000000"/>
                <w:szCs w:val="20"/>
              </w:rPr>
              <w:t> </w:t>
            </w:r>
          </w:p>
        </w:tc>
        <w:tc>
          <w:tcPr>
            <w:tcW w:w="3544" w:type="dxa"/>
            <w:vMerge w:val="restart"/>
          </w:tcPr>
          <w:p w14:paraId="573655B0" w14:textId="7F42CBDF" w:rsidR="00C337E0" w:rsidRPr="00986221" w:rsidRDefault="00C337E0" w:rsidP="00986221">
            <w:pPr>
              <w:rPr>
                <w:rFonts w:cs="Arial"/>
                <w:szCs w:val="20"/>
              </w:rPr>
            </w:pPr>
            <w:r w:rsidRPr="00986221">
              <w:rPr>
                <w:rFonts w:cs="Arial"/>
                <w:color w:val="000000"/>
                <w:szCs w:val="20"/>
              </w:rPr>
              <w:t xml:space="preserve"> The GoV remains committed to revising the Competition Law, and the </w:t>
            </w:r>
            <w:r w:rsidR="00986221" w:rsidRPr="00986221">
              <w:rPr>
                <w:rFonts w:cs="Arial"/>
                <w:color w:val="000000"/>
                <w:szCs w:val="20"/>
              </w:rPr>
              <w:t>National Assembly</w:t>
            </w:r>
            <w:r w:rsidRPr="00986221">
              <w:rPr>
                <w:rFonts w:cs="Arial"/>
                <w:color w:val="000000"/>
                <w:szCs w:val="20"/>
              </w:rPr>
              <w:t xml:space="preserve"> includes revisions to the Competition Law on the drafting agenda of the </w:t>
            </w:r>
            <w:r w:rsidR="00986221" w:rsidRPr="00986221">
              <w:rPr>
                <w:rFonts w:cs="Arial"/>
                <w:color w:val="000000"/>
                <w:szCs w:val="20"/>
              </w:rPr>
              <w:t>National Assembly</w:t>
            </w:r>
          </w:p>
        </w:tc>
      </w:tr>
      <w:tr w:rsidR="00C337E0" w:rsidRPr="00986221" w14:paraId="09ABA2F2" w14:textId="77777777" w:rsidTr="00C337E0">
        <w:tc>
          <w:tcPr>
            <w:tcW w:w="3227" w:type="dxa"/>
            <w:vMerge/>
          </w:tcPr>
          <w:p w14:paraId="4D8647BD" w14:textId="77777777" w:rsidR="00C337E0" w:rsidRPr="00986221" w:rsidRDefault="00C337E0" w:rsidP="00C337E0">
            <w:pPr>
              <w:rPr>
                <w:rFonts w:cs="Arial"/>
                <w:szCs w:val="20"/>
              </w:rPr>
            </w:pPr>
          </w:p>
        </w:tc>
        <w:tc>
          <w:tcPr>
            <w:tcW w:w="4810" w:type="dxa"/>
          </w:tcPr>
          <w:p w14:paraId="337AFE18" w14:textId="77777777" w:rsidR="00C337E0" w:rsidRPr="00986221" w:rsidRDefault="00C337E0" w:rsidP="00C337E0">
            <w:pPr>
              <w:rPr>
                <w:rFonts w:cs="Arial"/>
                <w:szCs w:val="20"/>
              </w:rPr>
            </w:pPr>
            <w:r w:rsidRPr="00986221">
              <w:rPr>
                <w:rFonts w:cs="Arial"/>
                <w:color w:val="000000"/>
                <w:szCs w:val="20"/>
              </w:rPr>
              <w:t>Number of staff trained in skills needed to effectively investigate and enforce competition policy</w:t>
            </w:r>
          </w:p>
        </w:tc>
        <w:tc>
          <w:tcPr>
            <w:tcW w:w="3411" w:type="dxa"/>
            <w:vMerge/>
          </w:tcPr>
          <w:p w14:paraId="1072AFCB" w14:textId="77777777" w:rsidR="00C337E0" w:rsidRPr="00986221" w:rsidRDefault="00C337E0" w:rsidP="00C337E0">
            <w:pPr>
              <w:rPr>
                <w:rFonts w:cs="Arial"/>
                <w:szCs w:val="20"/>
              </w:rPr>
            </w:pPr>
          </w:p>
        </w:tc>
        <w:tc>
          <w:tcPr>
            <w:tcW w:w="3544" w:type="dxa"/>
            <w:vMerge/>
          </w:tcPr>
          <w:p w14:paraId="1ACEC6C1" w14:textId="77777777" w:rsidR="00C337E0" w:rsidRPr="00986221" w:rsidRDefault="00C337E0" w:rsidP="00C337E0">
            <w:pPr>
              <w:rPr>
                <w:rFonts w:cs="Arial"/>
                <w:szCs w:val="20"/>
              </w:rPr>
            </w:pPr>
          </w:p>
        </w:tc>
      </w:tr>
      <w:tr w:rsidR="00C337E0" w:rsidRPr="00986221" w14:paraId="7AA64A00" w14:textId="77777777" w:rsidTr="00C337E0">
        <w:tc>
          <w:tcPr>
            <w:tcW w:w="3227" w:type="dxa"/>
            <w:vMerge/>
          </w:tcPr>
          <w:p w14:paraId="1896E6AC" w14:textId="77777777" w:rsidR="00C337E0" w:rsidRPr="00986221" w:rsidRDefault="00C337E0" w:rsidP="00C337E0">
            <w:pPr>
              <w:rPr>
                <w:rFonts w:cs="Arial"/>
                <w:szCs w:val="20"/>
              </w:rPr>
            </w:pPr>
          </w:p>
        </w:tc>
        <w:tc>
          <w:tcPr>
            <w:tcW w:w="4810" w:type="dxa"/>
          </w:tcPr>
          <w:p w14:paraId="701C1645" w14:textId="77777777" w:rsidR="00C337E0" w:rsidRPr="00986221" w:rsidRDefault="00C337E0" w:rsidP="00C337E0">
            <w:pPr>
              <w:rPr>
                <w:rFonts w:cs="Arial"/>
                <w:szCs w:val="20"/>
              </w:rPr>
            </w:pPr>
            <w:r w:rsidRPr="00986221">
              <w:rPr>
                <w:rFonts w:cs="Arial"/>
                <w:color w:val="000000"/>
                <w:szCs w:val="20"/>
              </w:rPr>
              <w:t xml:space="preserve">Proposed revision to strengthen the Competition Law (e.g. to provide immunity for “whistle-blowers”) submitted to the GoV </w:t>
            </w:r>
          </w:p>
        </w:tc>
        <w:tc>
          <w:tcPr>
            <w:tcW w:w="3411" w:type="dxa"/>
            <w:vMerge/>
          </w:tcPr>
          <w:p w14:paraId="008F4158" w14:textId="77777777" w:rsidR="00C337E0" w:rsidRPr="00986221" w:rsidRDefault="00C337E0" w:rsidP="00C337E0">
            <w:pPr>
              <w:rPr>
                <w:rFonts w:cs="Arial"/>
                <w:szCs w:val="20"/>
              </w:rPr>
            </w:pPr>
          </w:p>
        </w:tc>
        <w:tc>
          <w:tcPr>
            <w:tcW w:w="3544" w:type="dxa"/>
            <w:vMerge/>
          </w:tcPr>
          <w:p w14:paraId="12CA6C38" w14:textId="77777777" w:rsidR="00C337E0" w:rsidRPr="00986221" w:rsidRDefault="00C337E0" w:rsidP="00C337E0">
            <w:pPr>
              <w:rPr>
                <w:rFonts w:cs="Arial"/>
                <w:szCs w:val="20"/>
              </w:rPr>
            </w:pPr>
          </w:p>
        </w:tc>
      </w:tr>
      <w:tr w:rsidR="00C337E0" w:rsidRPr="00986221" w14:paraId="25E9E4B7" w14:textId="77777777" w:rsidTr="00C337E0">
        <w:tc>
          <w:tcPr>
            <w:tcW w:w="3227" w:type="dxa"/>
            <w:vMerge w:val="restart"/>
          </w:tcPr>
          <w:p w14:paraId="5871ED67" w14:textId="797B0814" w:rsidR="00C337E0" w:rsidRPr="00986221" w:rsidRDefault="00C337E0" w:rsidP="00C337E0">
            <w:pPr>
              <w:rPr>
                <w:rFonts w:cs="Arial"/>
                <w:szCs w:val="20"/>
              </w:rPr>
            </w:pPr>
            <w:r w:rsidRPr="00986221">
              <w:rPr>
                <w:rFonts w:cs="Arial"/>
                <w:b/>
                <w:color w:val="000000"/>
                <w:szCs w:val="20"/>
              </w:rPr>
              <w:t xml:space="preserve">Output 2.2: </w:t>
            </w:r>
            <w:r w:rsidRPr="00986221">
              <w:rPr>
                <w:rFonts w:cs="Arial"/>
                <w:color w:val="000000"/>
                <w:szCs w:val="20"/>
              </w:rPr>
              <w:t>Strengthened institutions needed for effective application of trade remedies</w:t>
            </w:r>
          </w:p>
        </w:tc>
        <w:tc>
          <w:tcPr>
            <w:tcW w:w="4810" w:type="dxa"/>
          </w:tcPr>
          <w:p w14:paraId="25AD7358" w14:textId="77777777" w:rsidR="00C337E0" w:rsidRPr="00986221" w:rsidRDefault="00C337E0" w:rsidP="00C337E0">
            <w:pPr>
              <w:rPr>
                <w:rFonts w:cs="Arial"/>
                <w:szCs w:val="20"/>
              </w:rPr>
            </w:pPr>
            <w:r w:rsidRPr="00986221">
              <w:rPr>
                <w:rFonts w:cs="Arial"/>
                <w:color w:val="000000"/>
                <w:szCs w:val="20"/>
              </w:rPr>
              <w:t>A report analysing the Ordinances on Anti-Dumping, Anti-subsidy and Safeguards, with recommended changes is presented to state agencies, and businesses by December 2016</w:t>
            </w:r>
          </w:p>
        </w:tc>
        <w:tc>
          <w:tcPr>
            <w:tcW w:w="3411" w:type="dxa"/>
            <w:vMerge w:val="restart"/>
          </w:tcPr>
          <w:p w14:paraId="0A2EB22A" w14:textId="77777777" w:rsidR="00C337E0" w:rsidRPr="00986221" w:rsidRDefault="00C337E0" w:rsidP="00C337E0">
            <w:pPr>
              <w:rPr>
                <w:rFonts w:cs="Arial"/>
                <w:szCs w:val="20"/>
              </w:rPr>
            </w:pPr>
            <w:r w:rsidRPr="00986221">
              <w:rPr>
                <w:rFonts w:cs="Arial"/>
                <w:color w:val="000000"/>
                <w:szCs w:val="20"/>
              </w:rPr>
              <w:t>VCA Quarterly and Annual RCV reports</w:t>
            </w:r>
          </w:p>
          <w:p w14:paraId="3C75BBC4" w14:textId="77777777" w:rsidR="00C337E0" w:rsidRPr="00986221" w:rsidRDefault="00C337E0" w:rsidP="00C337E0">
            <w:pPr>
              <w:rPr>
                <w:rFonts w:cs="Arial"/>
                <w:szCs w:val="20"/>
              </w:rPr>
            </w:pPr>
          </w:p>
        </w:tc>
        <w:tc>
          <w:tcPr>
            <w:tcW w:w="3544" w:type="dxa"/>
          </w:tcPr>
          <w:p w14:paraId="0BB12520" w14:textId="77777777" w:rsidR="00C337E0" w:rsidRPr="00986221" w:rsidRDefault="00C337E0" w:rsidP="00C337E0">
            <w:pPr>
              <w:rPr>
                <w:rFonts w:cs="Arial"/>
                <w:szCs w:val="20"/>
              </w:rPr>
            </w:pPr>
            <w:r w:rsidRPr="00986221">
              <w:rPr>
                <w:rFonts w:cs="Arial"/>
                <w:color w:val="000000"/>
                <w:szCs w:val="20"/>
              </w:rPr>
              <w:t>GoV continues to support reforms to trade policy and institutions in line with international commitments</w:t>
            </w:r>
          </w:p>
        </w:tc>
      </w:tr>
      <w:tr w:rsidR="00C337E0" w:rsidRPr="00986221" w14:paraId="12369B60" w14:textId="77777777" w:rsidTr="00C337E0">
        <w:tc>
          <w:tcPr>
            <w:tcW w:w="3227" w:type="dxa"/>
            <w:vMerge/>
          </w:tcPr>
          <w:p w14:paraId="18F7FAC7" w14:textId="77777777" w:rsidR="00C337E0" w:rsidRPr="00986221" w:rsidRDefault="00C337E0" w:rsidP="00C337E0">
            <w:pPr>
              <w:rPr>
                <w:rFonts w:cs="Arial"/>
                <w:szCs w:val="20"/>
              </w:rPr>
            </w:pPr>
          </w:p>
        </w:tc>
        <w:tc>
          <w:tcPr>
            <w:tcW w:w="4810" w:type="dxa"/>
          </w:tcPr>
          <w:p w14:paraId="7C5C63E7" w14:textId="77777777" w:rsidR="00C337E0" w:rsidRPr="00986221" w:rsidRDefault="00C337E0" w:rsidP="00C337E0">
            <w:pPr>
              <w:rPr>
                <w:rFonts w:cs="Arial"/>
                <w:szCs w:val="20"/>
              </w:rPr>
            </w:pPr>
            <w:r w:rsidRPr="00986221">
              <w:rPr>
                <w:rFonts w:cs="Arial"/>
                <w:color w:val="000000"/>
                <w:szCs w:val="20"/>
              </w:rPr>
              <w:t xml:space="preserve">A Handbook with guidelines on dealing with trade remedies, and software to calculate dumping margins in accordance with WTO rules -- are available by 2015-16 </w:t>
            </w:r>
          </w:p>
        </w:tc>
        <w:tc>
          <w:tcPr>
            <w:tcW w:w="3411" w:type="dxa"/>
            <w:vMerge/>
          </w:tcPr>
          <w:p w14:paraId="7F719D49" w14:textId="77777777" w:rsidR="00C337E0" w:rsidRPr="00986221" w:rsidRDefault="00C337E0" w:rsidP="00C337E0">
            <w:pPr>
              <w:rPr>
                <w:rFonts w:cs="Arial"/>
                <w:szCs w:val="20"/>
              </w:rPr>
            </w:pPr>
          </w:p>
        </w:tc>
        <w:tc>
          <w:tcPr>
            <w:tcW w:w="3544" w:type="dxa"/>
            <w:vMerge w:val="restart"/>
          </w:tcPr>
          <w:p w14:paraId="44ABE9D6" w14:textId="77777777" w:rsidR="00C337E0" w:rsidRPr="00986221" w:rsidRDefault="00C337E0" w:rsidP="00C337E0">
            <w:pPr>
              <w:rPr>
                <w:rFonts w:cs="Arial"/>
                <w:szCs w:val="20"/>
              </w:rPr>
            </w:pPr>
            <w:r w:rsidRPr="00986221">
              <w:rPr>
                <w:rFonts w:cs="Arial"/>
                <w:color w:val="000000"/>
                <w:szCs w:val="20"/>
              </w:rPr>
              <w:t>VCA staff have adequate resources to support remedy trade cases</w:t>
            </w:r>
          </w:p>
        </w:tc>
      </w:tr>
      <w:tr w:rsidR="00C337E0" w:rsidRPr="00986221" w14:paraId="1FD8DD7A" w14:textId="77777777" w:rsidTr="00C337E0">
        <w:tc>
          <w:tcPr>
            <w:tcW w:w="3227" w:type="dxa"/>
            <w:vMerge/>
          </w:tcPr>
          <w:p w14:paraId="53F3632D" w14:textId="77777777" w:rsidR="00C337E0" w:rsidRPr="00986221" w:rsidRDefault="00C337E0" w:rsidP="00C337E0">
            <w:pPr>
              <w:rPr>
                <w:rFonts w:cs="Arial"/>
                <w:szCs w:val="20"/>
              </w:rPr>
            </w:pPr>
          </w:p>
        </w:tc>
        <w:tc>
          <w:tcPr>
            <w:tcW w:w="4810" w:type="dxa"/>
          </w:tcPr>
          <w:p w14:paraId="3B30A31E" w14:textId="77777777" w:rsidR="00C337E0" w:rsidRPr="00986221" w:rsidRDefault="00C337E0" w:rsidP="00C337E0">
            <w:pPr>
              <w:rPr>
                <w:rFonts w:cs="Arial"/>
                <w:color w:val="000000"/>
                <w:szCs w:val="20"/>
              </w:rPr>
            </w:pPr>
            <w:r w:rsidRPr="00986221">
              <w:rPr>
                <w:rFonts w:cs="Arial"/>
                <w:color w:val="000000"/>
                <w:szCs w:val="20"/>
              </w:rPr>
              <w:t>Recommendations to GoV on reforms to subsidy policies that do not comply with international commitments.</w:t>
            </w:r>
          </w:p>
        </w:tc>
        <w:tc>
          <w:tcPr>
            <w:tcW w:w="3411" w:type="dxa"/>
            <w:vMerge/>
          </w:tcPr>
          <w:p w14:paraId="53EE93B5" w14:textId="77777777" w:rsidR="00C337E0" w:rsidRPr="00986221" w:rsidRDefault="00C337E0" w:rsidP="00C337E0">
            <w:pPr>
              <w:rPr>
                <w:rFonts w:cs="Arial"/>
                <w:szCs w:val="20"/>
              </w:rPr>
            </w:pPr>
          </w:p>
        </w:tc>
        <w:tc>
          <w:tcPr>
            <w:tcW w:w="3544" w:type="dxa"/>
            <w:vMerge/>
          </w:tcPr>
          <w:p w14:paraId="02A5707B" w14:textId="77777777" w:rsidR="00C337E0" w:rsidRPr="00986221" w:rsidRDefault="00C337E0" w:rsidP="00C337E0">
            <w:pPr>
              <w:rPr>
                <w:rFonts w:cs="Arial"/>
                <w:szCs w:val="20"/>
              </w:rPr>
            </w:pPr>
          </w:p>
        </w:tc>
      </w:tr>
      <w:tr w:rsidR="00C337E0" w:rsidRPr="00986221" w14:paraId="5A305BB9" w14:textId="77777777" w:rsidTr="00C337E0">
        <w:tc>
          <w:tcPr>
            <w:tcW w:w="3227" w:type="dxa"/>
            <w:vMerge w:val="restart"/>
          </w:tcPr>
          <w:p w14:paraId="5DB54D0A" w14:textId="7DD3DDB7" w:rsidR="00C337E0" w:rsidRPr="00986221" w:rsidRDefault="00C337E0" w:rsidP="00C337E0">
            <w:pPr>
              <w:rPr>
                <w:rFonts w:cs="Arial"/>
                <w:szCs w:val="20"/>
              </w:rPr>
            </w:pPr>
            <w:r w:rsidRPr="00986221">
              <w:rPr>
                <w:rFonts w:cs="Arial"/>
                <w:b/>
                <w:color w:val="000000"/>
                <w:szCs w:val="20"/>
              </w:rPr>
              <w:t>Output 2.3:</w:t>
            </w:r>
            <w:r w:rsidRPr="00986221">
              <w:rPr>
                <w:rFonts w:cs="Arial"/>
                <w:color w:val="000000"/>
                <w:szCs w:val="20"/>
              </w:rPr>
              <w:t xml:space="preserve"> Enhanced early warning system for trade </w:t>
            </w:r>
            <w:proofErr w:type="spellStart"/>
            <w:r w:rsidRPr="00986221">
              <w:rPr>
                <w:rFonts w:cs="Arial"/>
                <w:color w:val="000000"/>
                <w:szCs w:val="20"/>
              </w:rPr>
              <w:t>defense</w:t>
            </w:r>
            <w:proofErr w:type="spellEnd"/>
            <w:r w:rsidRPr="00986221">
              <w:rPr>
                <w:rFonts w:cs="Arial"/>
                <w:color w:val="000000"/>
                <w:szCs w:val="20"/>
              </w:rPr>
              <w:t xml:space="preserve"> cases</w:t>
            </w:r>
          </w:p>
        </w:tc>
        <w:tc>
          <w:tcPr>
            <w:tcW w:w="4810" w:type="dxa"/>
          </w:tcPr>
          <w:p w14:paraId="0F596090" w14:textId="77777777" w:rsidR="00C337E0" w:rsidRPr="00986221" w:rsidRDefault="00C337E0" w:rsidP="00C337E0">
            <w:pPr>
              <w:rPr>
                <w:rFonts w:cs="Arial"/>
                <w:szCs w:val="20"/>
              </w:rPr>
            </w:pPr>
            <w:r w:rsidRPr="00986221">
              <w:rPr>
                <w:rFonts w:cs="Arial"/>
                <w:color w:val="000000"/>
                <w:szCs w:val="20"/>
              </w:rPr>
              <w:t xml:space="preserve">Additional markets and products added to early warning system.  </w:t>
            </w:r>
          </w:p>
        </w:tc>
        <w:tc>
          <w:tcPr>
            <w:tcW w:w="3411" w:type="dxa"/>
            <w:vMerge w:val="restart"/>
          </w:tcPr>
          <w:p w14:paraId="72DA2550" w14:textId="77777777" w:rsidR="00C337E0" w:rsidRPr="00986221" w:rsidRDefault="00C337E0" w:rsidP="00C337E0">
            <w:pPr>
              <w:rPr>
                <w:rFonts w:cs="Arial"/>
                <w:szCs w:val="20"/>
              </w:rPr>
            </w:pPr>
            <w:r w:rsidRPr="00986221">
              <w:rPr>
                <w:rFonts w:cs="Arial"/>
                <w:color w:val="000000"/>
                <w:szCs w:val="20"/>
              </w:rPr>
              <w:t>VCA Quarterly and Annual RCV reports</w:t>
            </w:r>
          </w:p>
          <w:p w14:paraId="35D66653" w14:textId="77777777" w:rsidR="00C337E0" w:rsidRPr="00986221" w:rsidRDefault="00C337E0" w:rsidP="00C337E0">
            <w:pPr>
              <w:rPr>
                <w:rFonts w:cs="Arial"/>
                <w:szCs w:val="20"/>
              </w:rPr>
            </w:pPr>
          </w:p>
        </w:tc>
        <w:tc>
          <w:tcPr>
            <w:tcW w:w="3544" w:type="dxa"/>
            <w:vMerge w:val="restart"/>
          </w:tcPr>
          <w:p w14:paraId="7D204628" w14:textId="77777777" w:rsidR="00C337E0" w:rsidRPr="00986221" w:rsidRDefault="00C337E0" w:rsidP="00C337E0">
            <w:pPr>
              <w:rPr>
                <w:rFonts w:cs="Arial"/>
                <w:szCs w:val="20"/>
              </w:rPr>
            </w:pPr>
            <w:r w:rsidRPr="00986221">
              <w:rPr>
                <w:rFonts w:cs="Arial"/>
                <w:color w:val="000000"/>
                <w:szCs w:val="20"/>
              </w:rPr>
              <w:t>Economic integration environment provides incentives for businesses to use early warning system</w:t>
            </w:r>
          </w:p>
        </w:tc>
      </w:tr>
      <w:tr w:rsidR="00C337E0" w:rsidRPr="00986221" w14:paraId="5D255B4A" w14:textId="77777777" w:rsidTr="00C337E0">
        <w:tc>
          <w:tcPr>
            <w:tcW w:w="3227" w:type="dxa"/>
            <w:vMerge/>
            <w:tcBorders>
              <w:bottom w:val="single" w:sz="4" w:space="0" w:color="auto"/>
            </w:tcBorders>
          </w:tcPr>
          <w:p w14:paraId="0C3BB754" w14:textId="77777777" w:rsidR="00C337E0" w:rsidRPr="00986221" w:rsidRDefault="00C337E0" w:rsidP="00C337E0">
            <w:pPr>
              <w:rPr>
                <w:rFonts w:cs="Arial"/>
                <w:szCs w:val="20"/>
              </w:rPr>
            </w:pPr>
          </w:p>
        </w:tc>
        <w:tc>
          <w:tcPr>
            <w:tcW w:w="4810" w:type="dxa"/>
            <w:tcBorders>
              <w:bottom w:val="single" w:sz="4" w:space="0" w:color="auto"/>
            </w:tcBorders>
            <w:vAlign w:val="center"/>
          </w:tcPr>
          <w:p w14:paraId="69F4D34D" w14:textId="77777777" w:rsidR="00C337E0" w:rsidRPr="00986221" w:rsidRDefault="00C337E0" w:rsidP="00C337E0">
            <w:pPr>
              <w:rPr>
                <w:rFonts w:cs="Arial"/>
                <w:color w:val="000000"/>
                <w:szCs w:val="20"/>
              </w:rPr>
            </w:pPr>
            <w:r w:rsidRPr="00986221">
              <w:rPr>
                <w:rFonts w:cs="Arial"/>
                <w:color w:val="000000"/>
                <w:szCs w:val="20"/>
              </w:rPr>
              <w:t>Number of external users of early warning system</w:t>
            </w:r>
          </w:p>
        </w:tc>
        <w:tc>
          <w:tcPr>
            <w:tcW w:w="3411" w:type="dxa"/>
            <w:vMerge/>
            <w:tcBorders>
              <w:bottom w:val="single" w:sz="4" w:space="0" w:color="auto"/>
            </w:tcBorders>
          </w:tcPr>
          <w:p w14:paraId="705B1D3E" w14:textId="77777777" w:rsidR="00C337E0" w:rsidRPr="00986221" w:rsidRDefault="00C337E0" w:rsidP="00C337E0">
            <w:pPr>
              <w:rPr>
                <w:rFonts w:cs="Arial"/>
                <w:szCs w:val="20"/>
              </w:rPr>
            </w:pPr>
          </w:p>
        </w:tc>
        <w:tc>
          <w:tcPr>
            <w:tcW w:w="3544" w:type="dxa"/>
            <w:vMerge/>
            <w:tcBorders>
              <w:bottom w:val="single" w:sz="4" w:space="0" w:color="auto"/>
            </w:tcBorders>
          </w:tcPr>
          <w:p w14:paraId="727DBF6B" w14:textId="77777777" w:rsidR="00C337E0" w:rsidRPr="00986221" w:rsidRDefault="00C337E0" w:rsidP="00C337E0">
            <w:pPr>
              <w:rPr>
                <w:rFonts w:cs="Arial"/>
                <w:szCs w:val="20"/>
              </w:rPr>
            </w:pPr>
          </w:p>
        </w:tc>
      </w:tr>
    </w:tbl>
    <w:p w14:paraId="7D2C039D" w14:textId="77777777" w:rsidR="00C337E0" w:rsidRPr="00986221" w:rsidRDefault="00C337E0" w:rsidP="00C337E0"/>
    <w:p w14:paraId="51307BF3" w14:textId="77777777" w:rsidR="00F10395" w:rsidRPr="00986221" w:rsidRDefault="00F10395" w:rsidP="00F10395"/>
    <w:p w14:paraId="67242664" w14:textId="77777777" w:rsidR="00F10395" w:rsidRPr="00986221" w:rsidRDefault="00F10395" w:rsidP="00F10395">
      <w:pPr>
        <w:spacing w:before="0" w:after="200" w:line="276" w:lineRule="auto"/>
      </w:pPr>
      <w:r w:rsidRPr="00986221">
        <w:br w:type="page"/>
      </w:r>
    </w:p>
    <w:tbl>
      <w:tblPr>
        <w:tblStyle w:val="TableGrid"/>
        <w:tblW w:w="14992" w:type="dxa"/>
        <w:tblInd w:w="-318" w:type="dxa"/>
        <w:tblLook w:val="04A0" w:firstRow="1" w:lastRow="0" w:firstColumn="1" w:lastColumn="0" w:noHBand="0" w:noVBand="1"/>
      </w:tblPr>
      <w:tblGrid>
        <w:gridCol w:w="3227"/>
        <w:gridCol w:w="4810"/>
        <w:gridCol w:w="3411"/>
        <w:gridCol w:w="3544"/>
      </w:tblGrid>
      <w:tr w:rsidR="00F10395" w:rsidRPr="00986221" w14:paraId="148BD1CD" w14:textId="77777777" w:rsidTr="00F10395">
        <w:trPr>
          <w:tblHeader/>
        </w:trPr>
        <w:tc>
          <w:tcPr>
            <w:tcW w:w="3227" w:type="dxa"/>
            <w:shd w:val="clear" w:color="auto" w:fill="00FFFF"/>
          </w:tcPr>
          <w:p w14:paraId="70E1C6EE" w14:textId="77777777" w:rsidR="00F10395" w:rsidRPr="00986221" w:rsidRDefault="00F10395" w:rsidP="00F10395">
            <w:pPr>
              <w:rPr>
                <w:rFonts w:cs="Arial"/>
                <w:b/>
                <w:sz w:val="24"/>
              </w:rPr>
            </w:pPr>
            <w:r w:rsidRPr="00986221">
              <w:rPr>
                <w:rFonts w:cs="Arial"/>
                <w:b/>
                <w:bCs/>
                <w:color w:val="000000"/>
                <w:sz w:val="24"/>
              </w:rPr>
              <w:t>Hierarchy of Objectives</w:t>
            </w:r>
          </w:p>
        </w:tc>
        <w:tc>
          <w:tcPr>
            <w:tcW w:w="4810" w:type="dxa"/>
            <w:shd w:val="clear" w:color="auto" w:fill="00FFFF"/>
          </w:tcPr>
          <w:p w14:paraId="20999B4A" w14:textId="77777777" w:rsidR="00F10395" w:rsidRPr="00986221" w:rsidRDefault="00F10395" w:rsidP="00F10395">
            <w:pPr>
              <w:rPr>
                <w:rFonts w:cs="Arial"/>
                <w:b/>
                <w:sz w:val="24"/>
              </w:rPr>
            </w:pPr>
            <w:r w:rsidRPr="00986221">
              <w:rPr>
                <w:rFonts w:cs="Arial"/>
                <w:b/>
                <w:bCs/>
                <w:color w:val="000000"/>
                <w:sz w:val="24"/>
              </w:rPr>
              <w:t>Indicators</w:t>
            </w:r>
            <w:r w:rsidRPr="00986221">
              <w:rPr>
                <w:rFonts w:cs="Arial"/>
                <w:b/>
                <w:color w:val="000000"/>
                <w:sz w:val="24"/>
              </w:rPr>
              <w:t> </w:t>
            </w:r>
          </w:p>
        </w:tc>
        <w:tc>
          <w:tcPr>
            <w:tcW w:w="3411" w:type="dxa"/>
            <w:shd w:val="clear" w:color="auto" w:fill="00FFFF"/>
          </w:tcPr>
          <w:p w14:paraId="3FE71F0E" w14:textId="77777777" w:rsidR="00F10395" w:rsidRPr="00986221" w:rsidRDefault="00F10395" w:rsidP="00F10395">
            <w:pPr>
              <w:rPr>
                <w:rFonts w:cs="Arial"/>
                <w:b/>
                <w:sz w:val="24"/>
              </w:rPr>
            </w:pPr>
            <w:r w:rsidRPr="00986221">
              <w:rPr>
                <w:rFonts w:cs="Arial"/>
                <w:b/>
                <w:bCs/>
                <w:color w:val="000000"/>
                <w:sz w:val="24"/>
              </w:rPr>
              <w:t>Means of Verification</w:t>
            </w:r>
          </w:p>
        </w:tc>
        <w:tc>
          <w:tcPr>
            <w:tcW w:w="3544" w:type="dxa"/>
            <w:shd w:val="clear" w:color="auto" w:fill="00FFFF"/>
          </w:tcPr>
          <w:p w14:paraId="209F2644" w14:textId="77777777" w:rsidR="00F10395" w:rsidRPr="00986221" w:rsidRDefault="00F10395" w:rsidP="00F10395">
            <w:pPr>
              <w:rPr>
                <w:rFonts w:cs="Arial"/>
                <w:b/>
                <w:sz w:val="24"/>
              </w:rPr>
            </w:pPr>
            <w:r w:rsidRPr="00986221">
              <w:rPr>
                <w:rFonts w:cs="Arial"/>
                <w:b/>
                <w:sz w:val="24"/>
              </w:rPr>
              <w:t>Assumptions</w:t>
            </w:r>
          </w:p>
        </w:tc>
      </w:tr>
      <w:tr w:rsidR="00F10395" w:rsidRPr="00986221" w14:paraId="3873F6DA" w14:textId="77777777" w:rsidTr="00F10395">
        <w:tc>
          <w:tcPr>
            <w:tcW w:w="14992" w:type="dxa"/>
            <w:gridSpan w:val="4"/>
            <w:shd w:val="clear" w:color="auto" w:fill="00CCFF"/>
          </w:tcPr>
          <w:p w14:paraId="52FC69CE" w14:textId="0FFB5C5C" w:rsidR="00F10395" w:rsidRPr="00986221" w:rsidRDefault="00F10395" w:rsidP="00C337E0">
            <w:pPr>
              <w:rPr>
                <w:rFonts w:cs="Arial"/>
                <w:b/>
                <w:szCs w:val="20"/>
              </w:rPr>
            </w:pPr>
            <w:r w:rsidRPr="00986221">
              <w:rPr>
                <w:rFonts w:cs="Arial"/>
                <w:b/>
                <w:color w:val="000000"/>
                <w:szCs w:val="20"/>
              </w:rPr>
              <w:t xml:space="preserve">Component </w:t>
            </w:r>
            <w:r w:rsidR="00C337E0" w:rsidRPr="00986221">
              <w:rPr>
                <w:rFonts w:cs="Arial"/>
                <w:b/>
                <w:color w:val="000000"/>
                <w:szCs w:val="20"/>
              </w:rPr>
              <w:t>3</w:t>
            </w:r>
            <w:r w:rsidRPr="00986221">
              <w:rPr>
                <w:rFonts w:cs="Arial"/>
                <w:b/>
                <w:color w:val="000000"/>
                <w:szCs w:val="20"/>
              </w:rPr>
              <w:t>: Restructuring of Rural Economy Focusing on Rice Value Chains</w:t>
            </w:r>
          </w:p>
        </w:tc>
      </w:tr>
      <w:tr w:rsidR="00F10395" w:rsidRPr="00986221" w14:paraId="3005C24C" w14:textId="77777777" w:rsidTr="00F10395">
        <w:tc>
          <w:tcPr>
            <w:tcW w:w="3227" w:type="dxa"/>
          </w:tcPr>
          <w:p w14:paraId="53D1DC11" w14:textId="284F10C4" w:rsidR="00F10395" w:rsidRPr="00986221" w:rsidRDefault="00F10395" w:rsidP="00C337E0">
            <w:pPr>
              <w:keepNext/>
              <w:keepLines/>
              <w:outlineLvl w:val="5"/>
              <w:rPr>
                <w:rFonts w:cs="Arial"/>
                <w:color w:val="000000"/>
                <w:szCs w:val="20"/>
              </w:rPr>
            </w:pPr>
            <w:r w:rsidRPr="00986221">
              <w:rPr>
                <w:rFonts w:cs="Arial"/>
                <w:color w:val="000000"/>
                <w:szCs w:val="20"/>
              </w:rPr>
              <w:t xml:space="preserve">Output </w:t>
            </w:r>
            <w:r w:rsidR="00C337E0" w:rsidRPr="00986221">
              <w:rPr>
                <w:rFonts w:cs="Arial"/>
                <w:color w:val="000000"/>
                <w:szCs w:val="20"/>
              </w:rPr>
              <w:t>3</w:t>
            </w:r>
            <w:r w:rsidRPr="00986221">
              <w:rPr>
                <w:rFonts w:cs="Arial"/>
                <w:color w:val="000000"/>
                <w:szCs w:val="20"/>
              </w:rPr>
              <w:t>.1: Proposed changes to institutional structure for rice production value chain in Dong Thap province</w:t>
            </w:r>
          </w:p>
        </w:tc>
        <w:tc>
          <w:tcPr>
            <w:tcW w:w="4810" w:type="dxa"/>
          </w:tcPr>
          <w:p w14:paraId="34F44DF8" w14:textId="77777777" w:rsidR="00F10395" w:rsidRPr="00986221" w:rsidRDefault="00F10395" w:rsidP="00F10395">
            <w:pPr>
              <w:keepNext/>
              <w:keepLines/>
              <w:outlineLvl w:val="5"/>
              <w:rPr>
                <w:rFonts w:cs="Arial"/>
                <w:color w:val="000000"/>
                <w:szCs w:val="20"/>
              </w:rPr>
            </w:pPr>
            <w:r w:rsidRPr="00986221">
              <w:rPr>
                <w:rFonts w:cs="Arial"/>
                <w:color w:val="000000"/>
                <w:szCs w:val="20"/>
              </w:rPr>
              <w:t>Report submitted to Dong Thap authorities by 2015-16.</w:t>
            </w:r>
          </w:p>
          <w:p w14:paraId="1B5FFC1C" w14:textId="77777777" w:rsidR="00F10395" w:rsidRPr="00986221" w:rsidRDefault="00F10395" w:rsidP="00F10395">
            <w:pPr>
              <w:keepNext/>
              <w:keepLines/>
              <w:outlineLvl w:val="5"/>
              <w:rPr>
                <w:rFonts w:cs="Arial"/>
                <w:color w:val="000000"/>
                <w:szCs w:val="20"/>
              </w:rPr>
            </w:pPr>
            <w:r w:rsidRPr="00986221">
              <w:rPr>
                <w:rFonts w:cs="Arial"/>
                <w:color w:val="000000"/>
                <w:szCs w:val="20"/>
              </w:rPr>
              <w:t xml:space="preserve">Stakeholder commitment to recommendations.            </w:t>
            </w:r>
          </w:p>
          <w:p w14:paraId="4C578FEB" w14:textId="77777777" w:rsidR="00F10395" w:rsidRPr="00986221" w:rsidRDefault="00F10395" w:rsidP="00F10395">
            <w:pPr>
              <w:keepNext/>
              <w:keepLines/>
              <w:outlineLvl w:val="5"/>
              <w:rPr>
                <w:rFonts w:cs="Arial"/>
                <w:color w:val="000000"/>
                <w:szCs w:val="20"/>
              </w:rPr>
            </w:pPr>
            <w:r w:rsidRPr="00986221">
              <w:rPr>
                <w:rFonts w:cs="Arial"/>
                <w:color w:val="000000"/>
                <w:szCs w:val="20"/>
              </w:rPr>
              <w:t>Action to implement recommendations, by December 2016, including institutional reform</w:t>
            </w:r>
          </w:p>
        </w:tc>
        <w:tc>
          <w:tcPr>
            <w:tcW w:w="3411" w:type="dxa"/>
          </w:tcPr>
          <w:p w14:paraId="56390ABA" w14:textId="77777777" w:rsidR="00F10395" w:rsidRPr="00986221" w:rsidRDefault="00F10395" w:rsidP="00F10395">
            <w:pPr>
              <w:keepNext/>
              <w:keepLines/>
              <w:outlineLvl w:val="5"/>
              <w:rPr>
                <w:rFonts w:cs="Arial"/>
                <w:color w:val="000000"/>
                <w:szCs w:val="20"/>
              </w:rPr>
            </w:pPr>
            <w:r w:rsidRPr="00986221">
              <w:rPr>
                <w:rFonts w:cs="Arial"/>
                <w:color w:val="000000"/>
                <w:szCs w:val="20"/>
              </w:rPr>
              <w:t xml:space="preserve">Feedback from stakeholders in the value chain on recommendations; </w:t>
            </w:r>
          </w:p>
          <w:p w14:paraId="655D7209" w14:textId="77777777" w:rsidR="00F10395" w:rsidRPr="00986221" w:rsidRDefault="00F10395" w:rsidP="00F10395">
            <w:pPr>
              <w:keepNext/>
              <w:keepLines/>
              <w:outlineLvl w:val="5"/>
              <w:rPr>
                <w:rFonts w:cs="Arial"/>
                <w:color w:val="000000"/>
                <w:szCs w:val="20"/>
              </w:rPr>
            </w:pPr>
            <w:r w:rsidRPr="00986221">
              <w:rPr>
                <w:rFonts w:cs="Arial"/>
                <w:color w:val="000000"/>
                <w:szCs w:val="20"/>
              </w:rPr>
              <w:t>IPSARD Quarterly and Annual RCV Reports</w:t>
            </w:r>
          </w:p>
        </w:tc>
        <w:tc>
          <w:tcPr>
            <w:tcW w:w="3544" w:type="dxa"/>
          </w:tcPr>
          <w:p w14:paraId="4CECB5C2" w14:textId="77777777" w:rsidR="00F10395" w:rsidRPr="00986221" w:rsidRDefault="00F10395" w:rsidP="00F10395">
            <w:pPr>
              <w:keepNext/>
              <w:keepLines/>
              <w:outlineLvl w:val="5"/>
              <w:rPr>
                <w:rFonts w:cs="Arial"/>
                <w:color w:val="000000"/>
                <w:szCs w:val="20"/>
              </w:rPr>
            </w:pPr>
            <w:r w:rsidRPr="00986221">
              <w:rPr>
                <w:rFonts w:cs="Arial"/>
                <w:color w:val="000000"/>
                <w:szCs w:val="20"/>
              </w:rPr>
              <w:t>Dong Thap PPC and private stakeholders support rice value chain restructuring scheme; Market opportunities provide incentives for different stakeholders of the value chain to collaborate with each other.</w:t>
            </w:r>
          </w:p>
        </w:tc>
      </w:tr>
      <w:tr w:rsidR="00F10395" w:rsidRPr="00986221" w14:paraId="2EFCD047" w14:textId="77777777" w:rsidTr="00F10395">
        <w:tc>
          <w:tcPr>
            <w:tcW w:w="3227" w:type="dxa"/>
          </w:tcPr>
          <w:p w14:paraId="67FBA9E2" w14:textId="32E41AFD" w:rsidR="00F10395" w:rsidRPr="00986221" w:rsidRDefault="00F10395" w:rsidP="00C337E0">
            <w:pPr>
              <w:keepNext/>
              <w:keepLines/>
              <w:outlineLvl w:val="5"/>
              <w:rPr>
                <w:rFonts w:cs="Arial"/>
                <w:color w:val="000000"/>
                <w:szCs w:val="20"/>
              </w:rPr>
            </w:pPr>
            <w:r w:rsidRPr="00986221">
              <w:rPr>
                <w:rFonts w:cs="Arial"/>
                <w:color w:val="000000"/>
                <w:szCs w:val="20"/>
              </w:rPr>
              <w:t xml:space="preserve">Output </w:t>
            </w:r>
            <w:r w:rsidR="00C337E0" w:rsidRPr="00986221">
              <w:rPr>
                <w:rFonts w:cs="Arial"/>
                <w:color w:val="000000"/>
                <w:szCs w:val="20"/>
              </w:rPr>
              <w:t>3</w:t>
            </w:r>
            <w:r w:rsidRPr="00986221">
              <w:rPr>
                <w:rFonts w:cs="Arial"/>
                <w:color w:val="000000"/>
                <w:szCs w:val="20"/>
              </w:rPr>
              <w:t xml:space="preserve">.2: Improved </w:t>
            </w:r>
            <w:proofErr w:type="spellStart"/>
            <w:r w:rsidRPr="00986221">
              <w:rPr>
                <w:rFonts w:cs="Arial"/>
                <w:color w:val="000000"/>
                <w:szCs w:val="20"/>
              </w:rPr>
              <w:t>modeling</w:t>
            </w:r>
            <w:proofErr w:type="spellEnd"/>
            <w:r w:rsidRPr="00986221">
              <w:rPr>
                <w:rFonts w:cs="Arial"/>
                <w:color w:val="000000"/>
                <w:szCs w:val="20"/>
              </w:rPr>
              <w:t xml:space="preserve"> &amp; analysis of impacts of constraints to rice value chain (e.g. paddy land reservation and impacts to international commitments).  </w:t>
            </w:r>
          </w:p>
        </w:tc>
        <w:tc>
          <w:tcPr>
            <w:tcW w:w="4810" w:type="dxa"/>
          </w:tcPr>
          <w:p w14:paraId="3CB13FDC" w14:textId="77777777" w:rsidR="00F10395" w:rsidRPr="00986221" w:rsidRDefault="00F10395" w:rsidP="00F10395">
            <w:pPr>
              <w:keepNext/>
              <w:keepLines/>
              <w:outlineLvl w:val="5"/>
              <w:rPr>
                <w:rFonts w:cs="Arial"/>
                <w:color w:val="000000"/>
                <w:szCs w:val="20"/>
              </w:rPr>
            </w:pPr>
            <w:r w:rsidRPr="00986221">
              <w:rPr>
                <w:rFonts w:cs="Arial"/>
                <w:color w:val="000000"/>
                <w:szCs w:val="20"/>
              </w:rPr>
              <w:t>Reports submitted to Minister of MARD on key policy issues with recommended actions to address bottlenecks to increase value-added in the rice value chain.</w:t>
            </w:r>
          </w:p>
        </w:tc>
        <w:tc>
          <w:tcPr>
            <w:tcW w:w="3411" w:type="dxa"/>
          </w:tcPr>
          <w:p w14:paraId="76EB9EF4" w14:textId="77777777" w:rsidR="00F10395" w:rsidRPr="00986221" w:rsidRDefault="00F10395" w:rsidP="00F10395">
            <w:pPr>
              <w:keepNext/>
              <w:keepLines/>
              <w:outlineLvl w:val="5"/>
              <w:rPr>
                <w:rFonts w:cs="Arial"/>
                <w:color w:val="000000"/>
                <w:szCs w:val="20"/>
              </w:rPr>
            </w:pPr>
            <w:r w:rsidRPr="00986221">
              <w:rPr>
                <w:rFonts w:cs="Arial"/>
                <w:color w:val="000000"/>
                <w:szCs w:val="20"/>
              </w:rPr>
              <w:t>International peer reviews of methodology and analysis;</w:t>
            </w:r>
          </w:p>
          <w:p w14:paraId="483DF425" w14:textId="77777777" w:rsidR="00F10395" w:rsidRPr="00986221" w:rsidRDefault="00F10395" w:rsidP="00F10395">
            <w:pPr>
              <w:keepNext/>
              <w:keepLines/>
              <w:outlineLvl w:val="5"/>
              <w:rPr>
                <w:rFonts w:cs="Arial"/>
                <w:color w:val="000000"/>
                <w:szCs w:val="20"/>
              </w:rPr>
            </w:pPr>
            <w:r w:rsidRPr="00986221">
              <w:rPr>
                <w:rFonts w:cs="Arial"/>
                <w:color w:val="000000"/>
                <w:szCs w:val="20"/>
              </w:rPr>
              <w:t>Feedback from rice value chain stakeholders on draft report.</w:t>
            </w:r>
          </w:p>
        </w:tc>
        <w:tc>
          <w:tcPr>
            <w:tcW w:w="3544" w:type="dxa"/>
          </w:tcPr>
          <w:p w14:paraId="0BCC12E0" w14:textId="77777777" w:rsidR="00F10395" w:rsidRPr="00986221" w:rsidRDefault="00F10395" w:rsidP="00F10395">
            <w:pPr>
              <w:keepNext/>
              <w:keepLines/>
              <w:outlineLvl w:val="5"/>
              <w:rPr>
                <w:rFonts w:cs="Arial"/>
                <w:color w:val="000000"/>
                <w:szCs w:val="20"/>
              </w:rPr>
            </w:pPr>
            <w:r w:rsidRPr="00986221">
              <w:rPr>
                <w:rFonts w:cs="Arial"/>
                <w:color w:val="000000"/>
                <w:szCs w:val="20"/>
              </w:rPr>
              <w:t>There is support from different stakeholders in communicating the  report's recommendations</w:t>
            </w:r>
          </w:p>
        </w:tc>
      </w:tr>
      <w:tr w:rsidR="00F10395" w:rsidRPr="00986221" w14:paraId="21AC40D4" w14:textId="77777777" w:rsidTr="00F10395">
        <w:trPr>
          <w:trHeight w:val="1620"/>
        </w:trPr>
        <w:tc>
          <w:tcPr>
            <w:tcW w:w="3227" w:type="dxa"/>
          </w:tcPr>
          <w:p w14:paraId="33CEF069" w14:textId="4580F352" w:rsidR="00F10395" w:rsidRPr="00986221" w:rsidRDefault="00F10395" w:rsidP="00C337E0">
            <w:pPr>
              <w:rPr>
                <w:rFonts w:cs="Arial"/>
                <w:color w:val="000000"/>
                <w:szCs w:val="20"/>
              </w:rPr>
            </w:pPr>
            <w:r w:rsidRPr="00986221">
              <w:rPr>
                <w:rFonts w:cs="Arial"/>
                <w:color w:val="000000"/>
                <w:szCs w:val="20"/>
              </w:rPr>
              <w:t xml:space="preserve">Output </w:t>
            </w:r>
            <w:r w:rsidR="00C337E0" w:rsidRPr="00986221">
              <w:rPr>
                <w:rFonts w:cs="Arial"/>
                <w:color w:val="000000"/>
                <w:szCs w:val="20"/>
              </w:rPr>
              <w:t>3</w:t>
            </w:r>
            <w:r w:rsidRPr="00986221">
              <w:rPr>
                <w:rFonts w:cs="Arial"/>
                <w:color w:val="000000"/>
                <w:szCs w:val="20"/>
              </w:rPr>
              <w:t>.3:  Improved awareness of opportunities for increasing competitiveness through re-structuring of rice value chains</w:t>
            </w:r>
          </w:p>
        </w:tc>
        <w:tc>
          <w:tcPr>
            <w:tcW w:w="4810" w:type="dxa"/>
          </w:tcPr>
          <w:p w14:paraId="24E9C3F6" w14:textId="77777777" w:rsidR="00F10395" w:rsidRPr="00986221" w:rsidRDefault="00F10395" w:rsidP="00F10395">
            <w:pPr>
              <w:keepNext/>
              <w:keepLines/>
              <w:outlineLvl w:val="5"/>
              <w:rPr>
                <w:rFonts w:cs="Arial"/>
                <w:color w:val="000000"/>
                <w:szCs w:val="20"/>
              </w:rPr>
            </w:pPr>
            <w:r w:rsidRPr="00986221">
              <w:rPr>
                <w:rFonts w:cs="Arial"/>
                <w:color w:val="000000"/>
                <w:szCs w:val="20"/>
              </w:rPr>
              <w:t xml:space="preserve">Study reports are communicated through provincial and national media and a policy brief. </w:t>
            </w:r>
          </w:p>
        </w:tc>
        <w:tc>
          <w:tcPr>
            <w:tcW w:w="3411" w:type="dxa"/>
          </w:tcPr>
          <w:p w14:paraId="370F89B6" w14:textId="77777777" w:rsidR="00F10395" w:rsidRPr="00986221" w:rsidRDefault="00F10395" w:rsidP="00F10395">
            <w:pPr>
              <w:keepNext/>
              <w:keepLines/>
              <w:outlineLvl w:val="5"/>
              <w:rPr>
                <w:rFonts w:cs="Arial"/>
                <w:color w:val="000000"/>
                <w:szCs w:val="20"/>
              </w:rPr>
            </w:pPr>
            <w:r w:rsidRPr="00986221">
              <w:rPr>
                <w:rFonts w:cs="Arial"/>
                <w:color w:val="000000"/>
                <w:szCs w:val="20"/>
              </w:rPr>
              <w:t>International peer reviews of methodology and analysis;</w:t>
            </w:r>
          </w:p>
          <w:p w14:paraId="6A22E0AF" w14:textId="77777777" w:rsidR="00F10395" w:rsidRPr="00986221" w:rsidRDefault="00F10395" w:rsidP="00F10395">
            <w:pPr>
              <w:keepNext/>
              <w:keepLines/>
              <w:outlineLvl w:val="5"/>
              <w:rPr>
                <w:rFonts w:cs="Arial"/>
                <w:color w:val="000000"/>
                <w:szCs w:val="20"/>
              </w:rPr>
            </w:pPr>
            <w:r w:rsidRPr="00986221">
              <w:rPr>
                <w:rFonts w:cs="Arial"/>
                <w:color w:val="000000"/>
                <w:szCs w:val="20"/>
              </w:rPr>
              <w:t>Feedback from rice value chain stakeholders on draft report.</w:t>
            </w:r>
          </w:p>
        </w:tc>
        <w:tc>
          <w:tcPr>
            <w:tcW w:w="3544" w:type="dxa"/>
          </w:tcPr>
          <w:p w14:paraId="5712840C" w14:textId="77777777" w:rsidR="00F10395" w:rsidRPr="00986221" w:rsidRDefault="00F10395" w:rsidP="00F10395">
            <w:pPr>
              <w:rPr>
                <w:rFonts w:cs="Arial"/>
                <w:color w:val="000000"/>
                <w:szCs w:val="20"/>
              </w:rPr>
            </w:pPr>
            <w:r w:rsidRPr="00986221">
              <w:rPr>
                <w:rFonts w:cs="Arial"/>
                <w:color w:val="000000"/>
                <w:szCs w:val="20"/>
              </w:rPr>
              <w:t>IPSARD has a voice in formulating the SEDP 2016-20 and prioritizing rice sector restructuring using RCV supported analysis.</w:t>
            </w:r>
          </w:p>
          <w:p w14:paraId="7C609E77" w14:textId="77777777" w:rsidR="00F10395" w:rsidRPr="00986221" w:rsidRDefault="00F10395" w:rsidP="00F10395">
            <w:pPr>
              <w:keepNext/>
              <w:keepLines/>
              <w:outlineLvl w:val="5"/>
              <w:rPr>
                <w:rFonts w:cs="Arial"/>
                <w:color w:val="000000"/>
                <w:szCs w:val="20"/>
              </w:rPr>
            </w:pPr>
            <w:r w:rsidRPr="00986221">
              <w:rPr>
                <w:rFonts w:cs="Arial"/>
                <w:color w:val="000000"/>
                <w:szCs w:val="20"/>
              </w:rPr>
              <w:t xml:space="preserve">Consensus reached on policy actions to address priority issues </w:t>
            </w:r>
          </w:p>
        </w:tc>
      </w:tr>
    </w:tbl>
    <w:p w14:paraId="47F022DE" w14:textId="77777777" w:rsidR="0054347D" w:rsidRPr="00986221" w:rsidRDefault="0054347D" w:rsidP="00597846">
      <w:pPr>
        <w:pStyle w:val="Heading2"/>
        <w:sectPr w:rsidR="0054347D" w:rsidRPr="00986221" w:rsidSect="00B312FB">
          <w:pgSz w:w="16840" w:h="11900" w:orient="landscape"/>
          <w:pgMar w:top="1134" w:right="1265" w:bottom="1134" w:left="961" w:header="568" w:footer="430" w:gutter="0"/>
          <w:cols w:space="708"/>
          <w:docGrid w:linePitch="360"/>
        </w:sectPr>
      </w:pPr>
    </w:p>
    <w:p w14:paraId="6ECED1A7" w14:textId="7966969D" w:rsidR="000E7250" w:rsidRPr="00986221" w:rsidRDefault="000E7250" w:rsidP="00890412">
      <w:pPr>
        <w:pStyle w:val="Heading1"/>
        <w:numPr>
          <w:ilvl w:val="0"/>
          <w:numId w:val="0"/>
        </w:numPr>
        <w:jc w:val="center"/>
        <w:rPr>
          <w:rFonts w:ascii="Arial" w:hAnsi="Arial" w:cs="Arial"/>
        </w:rPr>
      </w:pPr>
      <w:bookmarkStart w:id="47" w:name="_Toc387322665"/>
      <w:r w:rsidRPr="00986221">
        <w:rPr>
          <w:rFonts w:ascii="Arial" w:hAnsi="Arial" w:cs="Arial"/>
        </w:rPr>
        <w:t>Appendix</w:t>
      </w:r>
      <w:r w:rsidR="00301E99" w:rsidRPr="00986221">
        <w:rPr>
          <w:rFonts w:ascii="Arial" w:hAnsi="Arial" w:cs="Arial"/>
        </w:rPr>
        <w:t xml:space="preserve"> 2</w:t>
      </w:r>
      <w:r w:rsidRPr="00986221">
        <w:rPr>
          <w:rFonts w:ascii="Arial" w:hAnsi="Arial" w:cs="Arial"/>
        </w:rPr>
        <w:t>: Program Management Structure and Terms of Reference for Key Stakeholders and Personnel</w:t>
      </w:r>
      <w:bookmarkEnd w:id="47"/>
    </w:p>
    <w:p w14:paraId="0F4DF1ED" w14:textId="77777777" w:rsidR="000E7250" w:rsidRPr="00986221" w:rsidRDefault="000E7250" w:rsidP="000E7250">
      <w:pPr>
        <w:rPr>
          <w:rFonts w:cs="Arial"/>
        </w:rPr>
      </w:pPr>
    </w:p>
    <w:p w14:paraId="4CD56F5B" w14:textId="77777777" w:rsidR="00F929F8" w:rsidRPr="00986221" w:rsidRDefault="00F929F8" w:rsidP="000E7250">
      <w:pPr>
        <w:rPr>
          <w:rFonts w:cs="Arial"/>
        </w:rPr>
      </w:pPr>
    </w:p>
    <w:p w14:paraId="3C46C71F" w14:textId="77777777" w:rsidR="000E7250" w:rsidRPr="00986221" w:rsidRDefault="000E7250" w:rsidP="00890412">
      <w:pPr>
        <w:pStyle w:val="Heading2"/>
        <w:ind w:left="426"/>
      </w:pPr>
      <w:bookmarkStart w:id="48" w:name="_Toc387322666"/>
      <w:bookmarkStart w:id="49" w:name="_Toc250645483"/>
      <w:r w:rsidRPr="00986221">
        <w:t>Overview</w:t>
      </w:r>
      <w:bookmarkEnd w:id="48"/>
      <w:r w:rsidRPr="00986221">
        <w:t xml:space="preserve"> </w:t>
      </w:r>
      <w:bookmarkEnd w:id="49"/>
    </w:p>
    <w:p w14:paraId="0251C8AE" w14:textId="5BB8168E" w:rsidR="000E7250" w:rsidRPr="00986221" w:rsidRDefault="000E7250" w:rsidP="00154C7D">
      <w:pPr>
        <w:pStyle w:val="ListParagraph"/>
        <w:numPr>
          <w:ilvl w:val="0"/>
          <w:numId w:val="16"/>
        </w:numPr>
        <w:spacing w:after="120"/>
        <w:ind w:left="426" w:hanging="426"/>
      </w:pPr>
      <w:r w:rsidRPr="00986221">
        <w:t>The Go</w:t>
      </w:r>
      <w:r w:rsidR="00790556" w:rsidRPr="00986221">
        <w:t>V</w:t>
      </w:r>
      <w:r w:rsidRPr="00986221">
        <w:t xml:space="preserve"> has assigned MPI to lead, coordinate and guide implementation of the MPER, including monitoring and reporting on implementation. MPI has assigned CIEM – a think-tank belonging to MPI -- to lead this work on behalf of MPI. CIEM also plays a key role in providing the Go</w:t>
      </w:r>
      <w:r w:rsidR="00790556" w:rsidRPr="00986221">
        <w:t>V</w:t>
      </w:r>
      <w:r w:rsidRPr="00986221">
        <w:t xml:space="preserve"> with semi-independent economic advice and in supporting business relate reforms</w:t>
      </w:r>
      <w:r w:rsidRPr="00986221">
        <w:rPr>
          <w:rStyle w:val="FootnoteReference"/>
        </w:rPr>
        <w:footnoteReference w:id="29"/>
      </w:r>
      <w:r w:rsidRPr="00986221">
        <w:t xml:space="preserve">. </w:t>
      </w:r>
    </w:p>
    <w:p w14:paraId="168C7B94" w14:textId="0D2E9B0F" w:rsidR="000E7250" w:rsidRPr="00986221" w:rsidRDefault="000E7250" w:rsidP="00536FBE">
      <w:pPr>
        <w:pStyle w:val="ListParagraph"/>
      </w:pPr>
      <w:r w:rsidRPr="00986221">
        <w:t>CIEM will be responsible for overall program coordination, reporting, knowledge management and dissemination. This includes managing implementation of a Flexible Fund to respond to priority emerging issues. CIEM has a successful track record in facilitating whole-of-government and public-private dialogue and cooperation, and in working effectively with external partners. CIEM has an established track record of successfully advising the Go</w:t>
      </w:r>
      <w:r w:rsidR="00790556" w:rsidRPr="00986221">
        <w:t>V</w:t>
      </w:r>
      <w:r w:rsidRPr="00986221">
        <w:t xml:space="preserve"> on restructuring public investment, state owned enterprise reform, and on improving the business-enabling environment in Vietnam.</w:t>
      </w:r>
    </w:p>
    <w:p w14:paraId="266D915F" w14:textId="45E053DA" w:rsidR="000E7250" w:rsidRPr="00986221" w:rsidRDefault="000E7250" w:rsidP="00C24E43">
      <w:pPr>
        <w:pStyle w:val="ListParagraph"/>
      </w:pPr>
      <w:r w:rsidRPr="00986221">
        <w:t>CIEM will be accountable to the Governments of Vietnam and Australia for program implementation. The President of CIEM will act as the National Program Director (</w:t>
      </w:r>
      <w:r w:rsidR="002E4746" w:rsidRPr="00986221">
        <w:t>PD</w:t>
      </w:r>
      <w:r w:rsidRPr="00986221">
        <w:t>).  CIEM will provide office facilities and counterpart staff for the Program Support Unit (</w:t>
      </w:r>
      <w:r w:rsidR="00485FC2" w:rsidRPr="00986221">
        <w:t>PCU</w:t>
      </w:r>
      <w:r w:rsidRPr="00986221">
        <w:t xml:space="preserve">). </w:t>
      </w:r>
    </w:p>
    <w:p w14:paraId="546EA142" w14:textId="0D9AFD59" w:rsidR="000E7250" w:rsidRPr="00986221" w:rsidRDefault="000E7250" w:rsidP="00C24E43">
      <w:pPr>
        <w:pStyle w:val="ListParagraph"/>
      </w:pPr>
      <w:r w:rsidRPr="00986221">
        <w:t>National Component Directors (</w:t>
      </w:r>
      <w:r w:rsidR="002E4746" w:rsidRPr="00986221">
        <w:t>CD</w:t>
      </w:r>
      <w:r w:rsidRPr="00986221">
        <w:t xml:space="preserve">s) will be responsible and accountable for the implementation of each component. </w:t>
      </w:r>
    </w:p>
    <w:p w14:paraId="332D4036" w14:textId="77777777" w:rsidR="000E7250" w:rsidRPr="00986221" w:rsidRDefault="000E7250" w:rsidP="00C24E43">
      <w:pPr>
        <w:pStyle w:val="ListParagraph"/>
      </w:pPr>
      <w:r w:rsidRPr="00986221">
        <w:t xml:space="preserve">A Program Coordinating Committee (PCC) will be established to ensure effective coordination, policy dialogue, and information sharing between various program components and activities. </w:t>
      </w:r>
    </w:p>
    <w:p w14:paraId="6A052C49" w14:textId="77777777" w:rsidR="000E7250" w:rsidRPr="00986221" w:rsidRDefault="000E7250" w:rsidP="00C24E43">
      <w:pPr>
        <w:pStyle w:val="Heading2"/>
        <w:ind w:left="426"/>
      </w:pPr>
      <w:bookmarkStart w:id="50" w:name="_Toc387322667"/>
      <w:r w:rsidRPr="00986221">
        <w:t>Decision Making Principles</w:t>
      </w:r>
      <w:bookmarkEnd w:id="50"/>
    </w:p>
    <w:p w14:paraId="6380D019" w14:textId="77777777" w:rsidR="000E7250" w:rsidRPr="00986221" w:rsidRDefault="000E7250" w:rsidP="00C24E43">
      <w:pPr>
        <w:pStyle w:val="ListParagraph"/>
      </w:pPr>
      <w:r w:rsidRPr="00986221">
        <w:t xml:space="preserve">The aim of the program structure is to ensure that decisions are made by people at the level best placed to make them. </w:t>
      </w:r>
    </w:p>
    <w:p w14:paraId="5FBC3848" w14:textId="77777777" w:rsidR="000E7250" w:rsidRPr="00986221" w:rsidRDefault="000E7250" w:rsidP="00C24E43">
      <w:pPr>
        <w:pStyle w:val="ListParagraph"/>
      </w:pPr>
      <w:r w:rsidRPr="00986221">
        <w:t xml:space="preserve">Decisions on </w:t>
      </w:r>
      <w:proofErr w:type="gramStart"/>
      <w:r w:rsidRPr="00986221">
        <w:t>strategy,</w:t>
      </w:r>
      <w:proofErr w:type="gramEnd"/>
      <w:r w:rsidRPr="00986221">
        <w:t xml:space="preserve"> focus and activity approval will be made by the National Program Director with the concurrence of DFAT. The Senior Advisory Group and an international Senior Technical Adviser (see TORs below) will provide advisory support.</w:t>
      </w:r>
    </w:p>
    <w:p w14:paraId="52C7FCE5" w14:textId="3233E10F" w:rsidR="000E7250" w:rsidRPr="00986221" w:rsidRDefault="000E7250" w:rsidP="00C24E43">
      <w:pPr>
        <w:pStyle w:val="ListParagraph"/>
      </w:pPr>
      <w:r w:rsidRPr="00986221">
        <w:t xml:space="preserve">Once annual work plans have been approved (by the </w:t>
      </w:r>
      <w:r w:rsidR="002E4746" w:rsidRPr="00986221">
        <w:t>PD</w:t>
      </w:r>
      <w:r w:rsidRPr="00986221">
        <w:t xml:space="preserve"> and DFAT), the </w:t>
      </w:r>
      <w:r w:rsidR="002E4746" w:rsidRPr="00986221">
        <w:t>CD</w:t>
      </w:r>
      <w:r w:rsidRPr="00986221">
        <w:t>s will make operational decisions on activity implementation in order to implement the agreed work-plans.</w:t>
      </w:r>
    </w:p>
    <w:p w14:paraId="5D3DB5C1" w14:textId="4BF0C4CA" w:rsidR="000E7250" w:rsidRPr="00986221" w:rsidRDefault="000E7250" w:rsidP="00C24E43">
      <w:pPr>
        <w:pStyle w:val="ListParagraph"/>
      </w:pPr>
      <w:r w:rsidRPr="00986221">
        <w:t>The Senior Program Manager-Economist (</w:t>
      </w:r>
      <w:r w:rsidR="00485FC2" w:rsidRPr="00986221">
        <w:t>SPC-E</w:t>
      </w:r>
      <w:r w:rsidRPr="00986221">
        <w:t>) will manage the day-to-day operations of the Program Support Unit (</w:t>
      </w:r>
      <w:r w:rsidR="00485FC2" w:rsidRPr="00986221">
        <w:t>PCU</w:t>
      </w:r>
      <w:r w:rsidRPr="00986221">
        <w:t xml:space="preserve">). The </w:t>
      </w:r>
      <w:r w:rsidR="00485FC2" w:rsidRPr="00986221">
        <w:t>PCU</w:t>
      </w:r>
      <w:r w:rsidRPr="00986221">
        <w:t xml:space="preserve"> will provide support services to </w:t>
      </w:r>
      <w:proofErr w:type="gramStart"/>
      <w:r w:rsidRPr="00986221">
        <w:t>both the</w:t>
      </w:r>
      <w:proofErr w:type="gramEnd"/>
      <w:r w:rsidRPr="00986221">
        <w:t xml:space="preserve"> </w:t>
      </w:r>
      <w:r w:rsidR="002E4746" w:rsidRPr="00986221">
        <w:t>PD</w:t>
      </w:r>
      <w:r w:rsidRPr="00986221">
        <w:t xml:space="preserve"> (first priority), the Senior Advisory Group (SAG), Senior Technical Advisor (STA) and the </w:t>
      </w:r>
      <w:r w:rsidR="002E4746" w:rsidRPr="00986221">
        <w:t>CD</w:t>
      </w:r>
      <w:r w:rsidRPr="00986221">
        <w:t>s (as needed).</w:t>
      </w:r>
    </w:p>
    <w:p w14:paraId="2372A1C7" w14:textId="77777777" w:rsidR="000E7250" w:rsidRPr="00986221" w:rsidRDefault="000E7250" w:rsidP="00C24E43">
      <w:pPr>
        <w:pStyle w:val="ListParagraph"/>
      </w:pPr>
      <w:r w:rsidRPr="00986221">
        <w:t>Detailed tasks and responsibilities of key stakeholders -- and Terms of Reference (TORs) of Program supported personnel -- are provided below.</w:t>
      </w:r>
    </w:p>
    <w:p w14:paraId="6DAE8C3A" w14:textId="5C466CAD" w:rsidR="009F1932" w:rsidRPr="00986221" w:rsidRDefault="009F1932" w:rsidP="009F1932">
      <w:pPr>
        <w:pStyle w:val="ListParagraph"/>
        <w:numPr>
          <w:ilvl w:val="0"/>
          <w:numId w:val="0"/>
        </w:numPr>
        <w:ind w:left="426"/>
      </w:pPr>
      <w:r w:rsidRPr="00986221">
        <w:rPr>
          <w:noProof/>
        </w:rPr>
        <w:drawing>
          <wp:inline distT="0" distB="0" distL="0" distR="0" wp14:anchorId="14C4205C" wp14:editId="431A3865">
            <wp:extent cx="5270500" cy="2743200"/>
            <wp:effectExtent l="57150" t="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249E0F4B" w14:textId="30886A51" w:rsidR="000E7250" w:rsidRPr="00986221" w:rsidRDefault="000E7250" w:rsidP="00301E99">
      <w:pPr>
        <w:pStyle w:val="Heading2"/>
        <w:ind w:left="0" w:firstLine="0"/>
      </w:pPr>
      <w:bookmarkStart w:id="51" w:name="_Toc387322668"/>
      <w:r w:rsidRPr="00986221">
        <w:t>Tasks and Responsibilities of Key Stakeholders</w:t>
      </w:r>
      <w:bookmarkEnd w:id="51"/>
    </w:p>
    <w:p w14:paraId="5EBD7D92" w14:textId="05B47805" w:rsidR="000E7250" w:rsidRPr="00986221" w:rsidRDefault="000E7250" w:rsidP="000E7250">
      <w:pPr>
        <w:pStyle w:val="Heading3"/>
      </w:pPr>
      <w:bookmarkStart w:id="52" w:name="_Toc387322669"/>
      <w:r w:rsidRPr="00986221">
        <w:t>Pro</w:t>
      </w:r>
      <w:r w:rsidR="009F1932" w:rsidRPr="00986221">
        <w:t>gram</w:t>
      </w:r>
      <w:r w:rsidRPr="00986221">
        <w:t xml:space="preserve"> Director</w:t>
      </w:r>
      <w:bookmarkEnd w:id="52"/>
    </w:p>
    <w:p w14:paraId="26873543" w14:textId="7838D3B4" w:rsidR="000E7250" w:rsidRPr="00986221" w:rsidRDefault="000E7250" w:rsidP="00C24E43">
      <w:pPr>
        <w:pStyle w:val="ListParagraph"/>
      </w:pPr>
      <w:r w:rsidRPr="00986221">
        <w:t xml:space="preserve">The </w:t>
      </w:r>
      <w:r w:rsidR="002E4746" w:rsidRPr="00986221">
        <w:t>PD</w:t>
      </w:r>
      <w:r w:rsidRPr="00986221">
        <w:t xml:space="preserve"> is accountable to the Go</w:t>
      </w:r>
      <w:r w:rsidR="00790556" w:rsidRPr="00986221">
        <w:t>V</w:t>
      </w:r>
      <w:r w:rsidRPr="00986221">
        <w:t xml:space="preserve"> via the M</w:t>
      </w:r>
      <w:r w:rsidR="00790556" w:rsidRPr="00986221">
        <w:t>PI</w:t>
      </w:r>
      <w:r w:rsidRPr="00986221">
        <w:t xml:space="preserve"> for Program performance. The </w:t>
      </w:r>
      <w:r w:rsidR="002E4746" w:rsidRPr="00986221">
        <w:t>PD</w:t>
      </w:r>
      <w:r w:rsidRPr="00986221">
        <w:t xml:space="preserve"> must:</w:t>
      </w:r>
    </w:p>
    <w:p w14:paraId="2C132268" w14:textId="07792D94" w:rsidR="000E7250" w:rsidRPr="00986221" w:rsidRDefault="000E7250" w:rsidP="008A2099">
      <w:pPr>
        <w:pStyle w:val="ListParagraphindent"/>
      </w:pPr>
      <w:r w:rsidRPr="00986221">
        <w:t>Be a senior Go</w:t>
      </w:r>
      <w:r w:rsidR="00790556" w:rsidRPr="00986221">
        <w:t>V</w:t>
      </w:r>
      <w:r w:rsidRPr="00986221">
        <w:t xml:space="preserve"> official with core responsibilities for overseeing the Go</w:t>
      </w:r>
      <w:r w:rsidR="00790556" w:rsidRPr="00986221">
        <w:t>V</w:t>
      </w:r>
      <w:r w:rsidRPr="00986221">
        <w:t xml:space="preserve"> </w:t>
      </w:r>
      <w:r w:rsidR="00790556" w:rsidRPr="00986221">
        <w:t>MPER</w:t>
      </w:r>
      <w:r w:rsidRPr="00986221">
        <w:t xml:space="preserve"> and annual SEDP implementation.</w:t>
      </w:r>
    </w:p>
    <w:p w14:paraId="751BCC2A" w14:textId="0FF7678D" w:rsidR="000E7250" w:rsidRPr="00986221" w:rsidRDefault="000E7250" w:rsidP="008A2099">
      <w:pPr>
        <w:pStyle w:val="ListParagraphindent"/>
      </w:pPr>
      <w:r w:rsidRPr="00986221">
        <w:t>Have access to high-level economic policy makers in the Go</w:t>
      </w:r>
      <w:r w:rsidR="00790556" w:rsidRPr="00986221">
        <w:t>V</w:t>
      </w:r>
      <w:r w:rsidRPr="00986221">
        <w:t>, N</w:t>
      </w:r>
      <w:r w:rsidR="00790556" w:rsidRPr="00986221">
        <w:t>A</w:t>
      </w:r>
      <w:r w:rsidRPr="00986221">
        <w:t xml:space="preserve"> and C</w:t>
      </w:r>
      <w:r w:rsidR="00790556" w:rsidRPr="00986221">
        <w:t>PV</w:t>
      </w:r>
      <w:r w:rsidRPr="00986221">
        <w:t>.</w:t>
      </w:r>
    </w:p>
    <w:p w14:paraId="46746609" w14:textId="77777777" w:rsidR="000E7250" w:rsidRPr="00986221" w:rsidRDefault="000E7250" w:rsidP="008A2099">
      <w:pPr>
        <w:pStyle w:val="ListParagraphindent"/>
      </w:pPr>
      <w:r w:rsidRPr="00986221">
        <w:t>Be enthusiastic in engaging with the mass media, and planning and participating in high profile policy dialogue events.</w:t>
      </w:r>
    </w:p>
    <w:p w14:paraId="7A7B4DFE" w14:textId="77777777" w:rsidR="000E7250" w:rsidRPr="00986221" w:rsidRDefault="000E7250" w:rsidP="008A2099">
      <w:pPr>
        <w:pStyle w:val="ListParagraphindent"/>
      </w:pPr>
      <w:r w:rsidRPr="00986221">
        <w:t>Be experienced in managing successful external cooperation programs that address economic reform issues, and well-developed international networks (e.g. with economic think-tanks) that can be used to access international expertise.</w:t>
      </w:r>
    </w:p>
    <w:p w14:paraId="676C0A99" w14:textId="29D35DB2" w:rsidR="000E7250" w:rsidRPr="00986221" w:rsidRDefault="000E7250" w:rsidP="00C24E43">
      <w:pPr>
        <w:pStyle w:val="ListParagraph"/>
      </w:pPr>
      <w:r w:rsidRPr="00986221">
        <w:t xml:space="preserve">The </w:t>
      </w:r>
      <w:r w:rsidR="002E4746" w:rsidRPr="00986221">
        <w:t>PD</w:t>
      </w:r>
      <w:r w:rsidRPr="00986221">
        <w:t xml:space="preserve"> responsibilities include: </w:t>
      </w:r>
    </w:p>
    <w:p w14:paraId="36DF7D34" w14:textId="77777777" w:rsidR="000E7250" w:rsidRPr="00986221" w:rsidRDefault="000E7250" w:rsidP="008A2099">
      <w:pPr>
        <w:pStyle w:val="ListParagraphindent"/>
      </w:pPr>
      <w:r w:rsidRPr="00986221">
        <w:t>Ensuring that program supported activities are consistent with national economic restructuring and annual SEDP priorities.</w:t>
      </w:r>
    </w:p>
    <w:p w14:paraId="36D303C4" w14:textId="77777777" w:rsidR="000E7250" w:rsidRPr="00986221" w:rsidRDefault="000E7250" w:rsidP="008A2099">
      <w:pPr>
        <w:pStyle w:val="ListParagraphindent"/>
      </w:pPr>
      <w:r w:rsidRPr="00986221">
        <w:t>Taking the lead in organizing regular policy dialogue on priority cross-cutting economic restructuring and macroeconomic development issues.</w:t>
      </w:r>
    </w:p>
    <w:p w14:paraId="584441CE" w14:textId="12540DA1" w:rsidR="000E7250" w:rsidRPr="00986221" w:rsidRDefault="000E7250" w:rsidP="008A2099">
      <w:pPr>
        <w:pStyle w:val="ListParagraphindent"/>
      </w:pPr>
      <w:r w:rsidRPr="00986221">
        <w:t>Developing and approving (in consultation with DFAT and the National Component Directors (</w:t>
      </w:r>
      <w:r w:rsidR="002E4746" w:rsidRPr="00986221">
        <w:t>CD</w:t>
      </w:r>
      <w:r w:rsidRPr="00986221">
        <w:t xml:space="preserve">s)) of consolidated annual Program work plans. </w:t>
      </w:r>
    </w:p>
    <w:p w14:paraId="4D9D603D" w14:textId="77777777" w:rsidR="000E7250" w:rsidRPr="00986221" w:rsidRDefault="000E7250" w:rsidP="008A2099">
      <w:pPr>
        <w:pStyle w:val="ListParagraphindent"/>
      </w:pPr>
      <w:r w:rsidRPr="00986221">
        <w:t>Consolidation and submission of consolidated quarterly progress reports in line with GoV and development partner requirements.</w:t>
      </w:r>
    </w:p>
    <w:p w14:paraId="2981ED49" w14:textId="77777777" w:rsidR="000E7250" w:rsidRPr="00986221" w:rsidRDefault="000E7250" w:rsidP="008A2099">
      <w:pPr>
        <w:pStyle w:val="ListParagraphindent"/>
      </w:pPr>
      <w:r w:rsidRPr="00986221">
        <w:t>Monitoring and evaluating program implementation and results performance, including preparation and submission of an annual progress and results monitoring report.</w:t>
      </w:r>
    </w:p>
    <w:p w14:paraId="7878DD49" w14:textId="77777777" w:rsidR="000E7250" w:rsidRPr="00986221" w:rsidRDefault="000E7250" w:rsidP="008A2099">
      <w:pPr>
        <w:pStyle w:val="ListParagraphindent"/>
      </w:pPr>
      <w:r w:rsidRPr="00986221">
        <w:t>Implementation of a Flexible Fund mechanism, including approval (in consultation with DFAT) of new initiatives (see separate Appendix for details of the operation of the Flexible Fund).</w:t>
      </w:r>
    </w:p>
    <w:p w14:paraId="4FCE3C92" w14:textId="149B3B7A" w:rsidR="000E7250" w:rsidRPr="00986221" w:rsidRDefault="000E7250" w:rsidP="008A2099">
      <w:pPr>
        <w:pStyle w:val="ListParagraphindent"/>
      </w:pPr>
      <w:r w:rsidRPr="00986221">
        <w:t xml:space="preserve">Approving (with DFAT concurrence) any </w:t>
      </w:r>
      <w:r w:rsidR="002E4746" w:rsidRPr="00986221">
        <w:t>CD</w:t>
      </w:r>
      <w:r w:rsidRPr="00986221">
        <w:t xml:space="preserve"> requests for substantive revisions to annual work plans.</w:t>
      </w:r>
    </w:p>
    <w:p w14:paraId="35F67B0A" w14:textId="77777777" w:rsidR="000E7250" w:rsidRPr="00986221" w:rsidRDefault="000E7250" w:rsidP="008A2099">
      <w:pPr>
        <w:pStyle w:val="ListParagraphindent"/>
      </w:pPr>
      <w:r w:rsidRPr="00986221">
        <w:t>Developing and approving (with DFAT concurrence) the Program Operating Manual (OM).</w:t>
      </w:r>
    </w:p>
    <w:p w14:paraId="584BA19E" w14:textId="77777777" w:rsidR="006F2397" w:rsidRPr="00986221" w:rsidRDefault="006F2397" w:rsidP="006F2397">
      <w:pPr>
        <w:pStyle w:val="ListParagraphindent"/>
        <w:numPr>
          <w:ilvl w:val="0"/>
          <w:numId w:val="0"/>
        </w:numPr>
        <w:ind w:left="987"/>
      </w:pPr>
    </w:p>
    <w:p w14:paraId="4BDB0BD8" w14:textId="62E994E2" w:rsidR="000E7250" w:rsidRPr="00986221" w:rsidRDefault="000E7250" w:rsidP="000E7250">
      <w:pPr>
        <w:pStyle w:val="Heading3"/>
      </w:pPr>
      <w:bookmarkStart w:id="53" w:name="_Toc387322670"/>
      <w:r w:rsidRPr="00986221">
        <w:t>Component Directors</w:t>
      </w:r>
      <w:bookmarkEnd w:id="53"/>
    </w:p>
    <w:p w14:paraId="2D6235D0" w14:textId="360181A3" w:rsidR="000E7250" w:rsidRPr="00986221" w:rsidRDefault="000E7250" w:rsidP="00C24E43">
      <w:pPr>
        <w:pStyle w:val="ListParagraph"/>
      </w:pPr>
      <w:r w:rsidRPr="00986221">
        <w:t>Component complementing agencies will appoint a Component Director (</w:t>
      </w:r>
      <w:r w:rsidR="002E4746" w:rsidRPr="00986221">
        <w:t>CD</w:t>
      </w:r>
      <w:r w:rsidRPr="00986221">
        <w:t>) to be responsible for each component, plus additional staff and other resources</w:t>
      </w:r>
      <w:r w:rsidRPr="00986221">
        <w:rPr>
          <w:rStyle w:val="FootnoteReference"/>
        </w:rPr>
        <w:footnoteReference w:id="30"/>
      </w:r>
      <w:r w:rsidRPr="00986221">
        <w:t xml:space="preserve">.  The </w:t>
      </w:r>
      <w:r w:rsidR="002E4746" w:rsidRPr="00986221">
        <w:t>CD</w:t>
      </w:r>
      <w:r w:rsidRPr="00986221">
        <w:t xml:space="preserve"> must:</w:t>
      </w:r>
    </w:p>
    <w:p w14:paraId="2BB725F6" w14:textId="77777777" w:rsidR="000E7250" w:rsidRPr="00986221" w:rsidRDefault="000E7250" w:rsidP="008A2099">
      <w:pPr>
        <w:pStyle w:val="ListParagraphindent"/>
      </w:pPr>
      <w:r w:rsidRPr="00986221">
        <w:t>Have leading responsible for economic restructuring within the implementing agency.</w:t>
      </w:r>
    </w:p>
    <w:p w14:paraId="2C380717" w14:textId="77777777" w:rsidR="000E7250" w:rsidRPr="00986221" w:rsidRDefault="000E7250" w:rsidP="008A2099">
      <w:pPr>
        <w:pStyle w:val="ListParagraphindent"/>
      </w:pPr>
      <w:r w:rsidRPr="00986221">
        <w:t>Have access to high-level economic policy makers in the Government, National Assembly and Communist Party.</w:t>
      </w:r>
    </w:p>
    <w:p w14:paraId="7C74C416" w14:textId="77777777" w:rsidR="000E7250" w:rsidRPr="00986221" w:rsidRDefault="000E7250" w:rsidP="008A2099">
      <w:pPr>
        <w:pStyle w:val="ListParagraphindent"/>
      </w:pPr>
      <w:r w:rsidRPr="00986221">
        <w:t>Be enthusiastic in engaging with the mass media, and planning and participating in high profile policy dialogue events.</w:t>
      </w:r>
    </w:p>
    <w:p w14:paraId="26936BD1" w14:textId="5EB4F265" w:rsidR="000E7250" w:rsidRPr="00986221" w:rsidRDefault="000E7250" w:rsidP="00C24E43">
      <w:pPr>
        <w:pStyle w:val="ListParagraph"/>
      </w:pPr>
      <w:r w:rsidRPr="00986221">
        <w:t xml:space="preserve">The </w:t>
      </w:r>
      <w:r w:rsidR="002E4746" w:rsidRPr="00986221">
        <w:t>CD</w:t>
      </w:r>
      <w:r w:rsidRPr="00986221">
        <w:t xml:space="preserve"> will be responsible for:</w:t>
      </w:r>
    </w:p>
    <w:p w14:paraId="009BF317" w14:textId="77777777" w:rsidR="000E7250" w:rsidRPr="00986221" w:rsidRDefault="000E7250" w:rsidP="008A2099">
      <w:pPr>
        <w:pStyle w:val="ListParagraphindent"/>
      </w:pPr>
      <w:r w:rsidRPr="00986221">
        <w:t xml:space="preserve">Development of draft annual component work plans and budgets (and proposed revisions to these plans if needed). </w:t>
      </w:r>
    </w:p>
    <w:p w14:paraId="79C97BBD" w14:textId="77777777" w:rsidR="000E7250" w:rsidRPr="00986221" w:rsidRDefault="000E7250" w:rsidP="008A2099">
      <w:pPr>
        <w:pStyle w:val="ListParagraphindent"/>
      </w:pPr>
      <w:r w:rsidRPr="00986221">
        <w:t xml:space="preserve">Ensuring that program supported activities </w:t>
      </w:r>
      <w:proofErr w:type="gramStart"/>
      <w:r w:rsidRPr="00986221">
        <w:t>are</w:t>
      </w:r>
      <w:proofErr w:type="gramEnd"/>
      <w:r w:rsidRPr="00986221">
        <w:t xml:space="preserve"> consistent with established priorities.</w:t>
      </w:r>
    </w:p>
    <w:p w14:paraId="419CFF51" w14:textId="77777777" w:rsidR="000E7250" w:rsidRPr="00986221" w:rsidRDefault="000E7250" w:rsidP="008A2099">
      <w:pPr>
        <w:pStyle w:val="ListParagraphindent"/>
      </w:pPr>
      <w:r w:rsidRPr="00986221">
        <w:t>Monitoring and evaluating component implementation and results performance, including preparation and submission of an annual component progress and results monitoring report (as specified in M&amp;E chapter of OM).</w:t>
      </w:r>
    </w:p>
    <w:p w14:paraId="3EFB9CF8" w14:textId="77777777" w:rsidR="000E7250" w:rsidRPr="00986221" w:rsidRDefault="000E7250" w:rsidP="008A2099">
      <w:pPr>
        <w:pStyle w:val="ListParagraphindent"/>
      </w:pPr>
      <w:r w:rsidRPr="00986221">
        <w:t xml:space="preserve">Ensure compliance with financial management, transparency and reporting requirements of the Governments of Vietnam and Australia (details to be provided in the OM), </w:t>
      </w:r>
    </w:p>
    <w:p w14:paraId="55C1A810" w14:textId="77777777" w:rsidR="000E7250" w:rsidRPr="00986221" w:rsidRDefault="000E7250" w:rsidP="008A2099">
      <w:pPr>
        <w:pStyle w:val="ListParagraphindent"/>
      </w:pPr>
      <w:r w:rsidRPr="00986221">
        <w:t>Actively explore opportunities to ensure project activities are inclusive, and are targeted towards inclusive outcomes.</w:t>
      </w:r>
    </w:p>
    <w:p w14:paraId="01596314" w14:textId="77777777" w:rsidR="000E7250" w:rsidRPr="00986221" w:rsidRDefault="000E7250" w:rsidP="008A2099">
      <w:pPr>
        <w:pStyle w:val="ListParagraphindent"/>
      </w:pPr>
      <w:r w:rsidRPr="00986221">
        <w:t>Preparation and submission of consolidated quarterly progress reports.</w:t>
      </w:r>
    </w:p>
    <w:p w14:paraId="5D3AB401" w14:textId="1A228EE0" w:rsidR="000E7250" w:rsidRPr="00986221" w:rsidRDefault="000E7250" w:rsidP="008A2099">
      <w:pPr>
        <w:pStyle w:val="ListParagraphindent"/>
      </w:pPr>
      <w:r w:rsidRPr="00986221">
        <w:t xml:space="preserve">Develop and implement a communications, policy dialogue, and knowledge management strategy in cooperation with the </w:t>
      </w:r>
      <w:r w:rsidR="002E4746" w:rsidRPr="00986221">
        <w:t>PD</w:t>
      </w:r>
      <w:r w:rsidRPr="00986221">
        <w:t>.</w:t>
      </w:r>
    </w:p>
    <w:p w14:paraId="30187DFB" w14:textId="77777777" w:rsidR="000E7250" w:rsidRPr="00986221" w:rsidRDefault="000E7250" w:rsidP="008A2099">
      <w:pPr>
        <w:pStyle w:val="ListParagraphindent"/>
      </w:pPr>
      <w:r w:rsidRPr="00986221">
        <w:t>Participating in quarterly program coordination committee (PCC) meetings and other Program related consultations.</w:t>
      </w:r>
    </w:p>
    <w:p w14:paraId="1217B44E" w14:textId="5724DFAA" w:rsidR="000E7250" w:rsidRPr="00986221" w:rsidRDefault="000E7250" w:rsidP="008A2099">
      <w:pPr>
        <w:pStyle w:val="ListParagraphindent"/>
      </w:pPr>
      <w:r w:rsidRPr="00986221">
        <w:t xml:space="preserve">Support the </w:t>
      </w:r>
      <w:r w:rsidR="002E4746" w:rsidRPr="00986221">
        <w:t>PD</w:t>
      </w:r>
      <w:r w:rsidRPr="00986221">
        <w:t xml:space="preserve"> in organizing ad hoc policy dialogue on priority economic restructuring issues.</w:t>
      </w:r>
    </w:p>
    <w:p w14:paraId="326CDFA4" w14:textId="77777777" w:rsidR="000E7250" w:rsidRPr="00986221" w:rsidRDefault="000E7250" w:rsidP="000E7250">
      <w:pPr>
        <w:pStyle w:val="Heading3"/>
      </w:pPr>
      <w:bookmarkStart w:id="54" w:name="_Toc387322671"/>
      <w:r w:rsidRPr="00986221">
        <w:t>Program Coordinating Committee (PCC)</w:t>
      </w:r>
      <w:bookmarkEnd w:id="54"/>
    </w:p>
    <w:p w14:paraId="15CC5F1D" w14:textId="1E16E4B4" w:rsidR="000E7250" w:rsidRPr="00986221" w:rsidRDefault="000E7250" w:rsidP="00C24E43">
      <w:pPr>
        <w:pStyle w:val="ListParagraph"/>
      </w:pPr>
      <w:r w:rsidRPr="00986221">
        <w:t xml:space="preserve">The PCC will comprise the </w:t>
      </w:r>
      <w:r w:rsidR="002E4746" w:rsidRPr="00986221">
        <w:t>PD</w:t>
      </w:r>
      <w:r w:rsidRPr="00986221">
        <w:t xml:space="preserve"> (as its Chair)</w:t>
      </w:r>
      <w:r w:rsidR="00D545EA" w:rsidRPr="00986221">
        <w:t xml:space="preserve">, </w:t>
      </w:r>
      <w:r w:rsidRPr="00986221">
        <w:t xml:space="preserve">the </w:t>
      </w:r>
      <w:r w:rsidR="002E4746" w:rsidRPr="00986221">
        <w:t>CD</w:t>
      </w:r>
      <w:r w:rsidRPr="00986221">
        <w:t>s</w:t>
      </w:r>
      <w:r w:rsidR="00D545EA" w:rsidRPr="00986221">
        <w:t xml:space="preserve"> and </w:t>
      </w:r>
      <w:r w:rsidRPr="00986221">
        <w:t xml:space="preserve">DFAT </w:t>
      </w:r>
      <w:r w:rsidR="00D545EA" w:rsidRPr="00986221">
        <w:t>(First Secretary of Development Cooperation and First Secretary of Trade/Economics)</w:t>
      </w:r>
      <w:r w:rsidRPr="00986221">
        <w:t xml:space="preserve">. The </w:t>
      </w:r>
      <w:r w:rsidR="002E4746" w:rsidRPr="00986221">
        <w:t>PD</w:t>
      </w:r>
      <w:r w:rsidRPr="00986221">
        <w:t xml:space="preserve"> may decide to invite other key stakeholders as observers </w:t>
      </w:r>
      <w:r w:rsidR="001312D8" w:rsidRPr="00986221">
        <w:t>such as representative of the SAG, NA or CPV</w:t>
      </w:r>
      <w:r w:rsidRPr="00986221">
        <w:t xml:space="preserve"> in order to advance the reform agenda. </w:t>
      </w:r>
    </w:p>
    <w:p w14:paraId="5C69886A" w14:textId="77777777" w:rsidR="000E7250" w:rsidRPr="00986221" w:rsidRDefault="000E7250" w:rsidP="00C24E43">
      <w:pPr>
        <w:pStyle w:val="ListParagraph"/>
      </w:pPr>
      <w:r w:rsidRPr="00986221">
        <w:t>The purpose of the PCC is to ensure effective program coordination, performance and results monitoring, policy dialogue, and information sharing between various program components and activities. The PCC will facilitate the use of “whole of government” approaches to supporting economic restructuring and development.</w:t>
      </w:r>
    </w:p>
    <w:p w14:paraId="57A34324" w14:textId="707B98A9" w:rsidR="000E7250" w:rsidRPr="00986221" w:rsidRDefault="000E7250" w:rsidP="00C24E43">
      <w:pPr>
        <w:pStyle w:val="ListParagraph"/>
      </w:pPr>
      <w:r w:rsidRPr="00986221">
        <w:t xml:space="preserve">As PCC members the </w:t>
      </w:r>
      <w:r w:rsidR="002E4746" w:rsidRPr="00986221">
        <w:t>CD</w:t>
      </w:r>
      <w:r w:rsidRPr="00986221">
        <w:t>s are expected to:</w:t>
      </w:r>
    </w:p>
    <w:p w14:paraId="2D53A6DA" w14:textId="2DE2D418" w:rsidR="000E7250" w:rsidRPr="00986221" w:rsidRDefault="000E7250" w:rsidP="008A2099">
      <w:pPr>
        <w:pStyle w:val="ListParagraphindent"/>
      </w:pPr>
      <w:r w:rsidRPr="00986221">
        <w:t xml:space="preserve">Meet to review program performance, plans, priorities and any implementation issues at least twice a year, with additional meetings (if needed) as requested by the </w:t>
      </w:r>
      <w:r w:rsidR="002E4746" w:rsidRPr="00986221">
        <w:t>PD</w:t>
      </w:r>
      <w:r w:rsidRPr="00986221">
        <w:t>.</w:t>
      </w:r>
    </w:p>
    <w:p w14:paraId="7D34CCD0" w14:textId="081A7ADA" w:rsidR="000E7250" w:rsidRPr="00986221" w:rsidRDefault="000E7250" w:rsidP="008A2099">
      <w:pPr>
        <w:pStyle w:val="ListParagraphindent"/>
      </w:pPr>
      <w:r w:rsidRPr="00986221">
        <w:t xml:space="preserve">Review and provide comments to the </w:t>
      </w:r>
      <w:r w:rsidR="002E4746" w:rsidRPr="00986221">
        <w:t>PD</w:t>
      </w:r>
      <w:r w:rsidRPr="00986221">
        <w:t xml:space="preserve"> on the draft Program OM and other core program documents when requested.</w:t>
      </w:r>
    </w:p>
    <w:p w14:paraId="6DA23CAC" w14:textId="77777777" w:rsidR="000E7250" w:rsidRPr="00986221" w:rsidRDefault="000E7250" w:rsidP="008A2099">
      <w:pPr>
        <w:pStyle w:val="ListParagraphindent"/>
      </w:pPr>
      <w:r w:rsidRPr="00986221">
        <w:t>Discuss implementation issues with DFAT and other PCC members as the need arises.</w:t>
      </w:r>
    </w:p>
    <w:p w14:paraId="03FE8F18" w14:textId="77777777" w:rsidR="000E7250" w:rsidRPr="00986221" w:rsidRDefault="000E7250" w:rsidP="008A2099">
      <w:pPr>
        <w:pStyle w:val="ListParagraphindent"/>
      </w:pPr>
      <w:r w:rsidRPr="00986221">
        <w:t>Share knowledge and experiences with program implementation and on implementation of the MPER.</w:t>
      </w:r>
    </w:p>
    <w:p w14:paraId="57C441E4" w14:textId="77777777" w:rsidR="000E7250" w:rsidRPr="00986221" w:rsidRDefault="000E7250" w:rsidP="008A2099">
      <w:pPr>
        <w:pStyle w:val="ListParagraphindent"/>
      </w:pPr>
      <w:r w:rsidRPr="00986221">
        <w:t>Suggest priorities for policy dialogue and for the use of Flexible Fund.</w:t>
      </w:r>
    </w:p>
    <w:p w14:paraId="1F20AE2F" w14:textId="77777777" w:rsidR="000E7250" w:rsidRPr="00986221" w:rsidRDefault="000E7250" w:rsidP="008A2099">
      <w:pPr>
        <w:pStyle w:val="ListParagraphindent"/>
      </w:pPr>
      <w:r w:rsidRPr="00986221">
        <w:t>Help organize and implement major policy dialogue events.</w:t>
      </w:r>
    </w:p>
    <w:p w14:paraId="43C6F932" w14:textId="77777777" w:rsidR="000E7250" w:rsidRPr="00986221" w:rsidRDefault="000E7250" w:rsidP="000E7250">
      <w:pPr>
        <w:pStyle w:val="Heading3"/>
      </w:pPr>
      <w:bookmarkStart w:id="55" w:name="_Toc387322672"/>
      <w:r w:rsidRPr="00986221">
        <w:t>DFAT</w:t>
      </w:r>
      <w:bookmarkEnd w:id="55"/>
    </w:p>
    <w:p w14:paraId="4352CEE0" w14:textId="77777777" w:rsidR="000E7250" w:rsidRPr="00986221" w:rsidRDefault="000E7250" w:rsidP="00C24E43">
      <w:pPr>
        <w:pStyle w:val="ListParagraph"/>
      </w:pPr>
      <w:r w:rsidRPr="00986221">
        <w:t>DFAT’s responsibilities will be to:</w:t>
      </w:r>
    </w:p>
    <w:p w14:paraId="5AD74DCD" w14:textId="77777777" w:rsidR="000E7250" w:rsidRPr="00986221" w:rsidRDefault="000E7250" w:rsidP="008A2099">
      <w:pPr>
        <w:pStyle w:val="ListParagraphindent"/>
      </w:pPr>
      <w:r w:rsidRPr="00986221">
        <w:t>Manage funding agreements with each of the component agencies;</w:t>
      </w:r>
    </w:p>
    <w:p w14:paraId="10D096EE" w14:textId="26F87692" w:rsidR="000E7250" w:rsidRPr="00986221" w:rsidRDefault="000E7250" w:rsidP="008A2099">
      <w:pPr>
        <w:pStyle w:val="ListParagraphindent"/>
      </w:pPr>
      <w:r w:rsidRPr="00986221">
        <w:t xml:space="preserve">Review and decide (jointly with the </w:t>
      </w:r>
      <w:r w:rsidR="002E4746" w:rsidRPr="00986221">
        <w:t>PD</w:t>
      </w:r>
      <w:r w:rsidRPr="00986221">
        <w:t>) any substantive changes in the Program goals, strategy, planned outcomes and/or design;</w:t>
      </w:r>
    </w:p>
    <w:p w14:paraId="2D3AD9B1" w14:textId="77777777" w:rsidR="000E7250" w:rsidRPr="00986221" w:rsidRDefault="000E7250" w:rsidP="008A2099">
      <w:pPr>
        <w:pStyle w:val="ListParagraphindent"/>
      </w:pPr>
      <w:r w:rsidRPr="00986221">
        <w:t>Review and approve (on no-objection basis) proposals for funding under Flexible Fund.</w:t>
      </w:r>
    </w:p>
    <w:p w14:paraId="45BE1BBD" w14:textId="2D0E6A47" w:rsidR="000E7250" w:rsidRPr="00986221" w:rsidRDefault="000E7250" w:rsidP="008A2099">
      <w:pPr>
        <w:pStyle w:val="ListParagraphindent"/>
      </w:pPr>
      <w:r w:rsidRPr="00986221">
        <w:t xml:space="preserve">Approve jointly with the </w:t>
      </w:r>
      <w:r w:rsidR="002E4746" w:rsidRPr="00986221">
        <w:t>PD</w:t>
      </w:r>
      <w:r w:rsidRPr="00986221">
        <w:t xml:space="preserve"> program implementation guidelines and annual budget;</w:t>
      </w:r>
    </w:p>
    <w:p w14:paraId="293B0398" w14:textId="6BE02B93" w:rsidR="000E7250" w:rsidRPr="00986221" w:rsidRDefault="000E7250" w:rsidP="008A2099">
      <w:pPr>
        <w:pStyle w:val="ListParagraphindent"/>
      </w:pPr>
      <w:r w:rsidRPr="00986221">
        <w:t xml:space="preserve">Work with the </w:t>
      </w:r>
      <w:r w:rsidR="002E4746" w:rsidRPr="00986221">
        <w:t>PD</w:t>
      </w:r>
      <w:r w:rsidRPr="00986221">
        <w:t xml:space="preserve"> to review and endorse any changes in program </w:t>
      </w:r>
      <w:proofErr w:type="spellStart"/>
      <w:r w:rsidRPr="00986221">
        <w:t>supportfunctions</w:t>
      </w:r>
      <w:proofErr w:type="spellEnd"/>
      <w:r w:rsidRPr="00986221">
        <w:t xml:space="preserve"> (including appointment of key personnel).</w:t>
      </w:r>
    </w:p>
    <w:p w14:paraId="5805A134" w14:textId="7BFE9A19" w:rsidR="000E7250" w:rsidRPr="00986221" w:rsidRDefault="000E7250" w:rsidP="008A2099">
      <w:pPr>
        <w:pStyle w:val="ListParagraphindent"/>
      </w:pPr>
      <w:r w:rsidRPr="00986221">
        <w:t>Support the dissemination of – and dialogue on -- program knowledge products (studies, reports, training materials, policy recommendations).</w:t>
      </w:r>
    </w:p>
    <w:p w14:paraId="1DBB5718" w14:textId="77777777" w:rsidR="00BD4C93" w:rsidRPr="00986221" w:rsidRDefault="00BD4C93" w:rsidP="00384E34">
      <w:pPr>
        <w:pStyle w:val="ListParagraphindent"/>
        <w:numPr>
          <w:ilvl w:val="0"/>
          <w:numId w:val="0"/>
        </w:numPr>
        <w:ind w:left="87"/>
      </w:pPr>
    </w:p>
    <w:p w14:paraId="149715AF" w14:textId="70E7C2A5" w:rsidR="00D0405A" w:rsidRPr="00986221" w:rsidRDefault="00BD4C93" w:rsidP="00384E34">
      <w:pPr>
        <w:pStyle w:val="Heading2"/>
      </w:pPr>
      <w:r w:rsidRPr="00986221">
        <w:t xml:space="preserve"> </w:t>
      </w:r>
      <w:bookmarkStart w:id="56" w:name="_Toc387322673"/>
      <w:r w:rsidR="000E7250" w:rsidRPr="00986221">
        <w:t>Terms of Reference for Program Supported Personnel</w:t>
      </w:r>
      <w:bookmarkEnd w:id="56"/>
    </w:p>
    <w:p w14:paraId="0086FE0E" w14:textId="77777777" w:rsidR="000E7250" w:rsidRPr="00986221" w:rsidRDefault="000E7250" w:rsidP="000E7250">
      <w:pPr>
        <w:pStyle w:val="Heading3"/>
      </w:pPr>
      <w:bookmarkStart w:id="57" w:name="_Toc387322674"/>
      <w:r w:rsidRPr="00986221">
        <w:t>Senior Advisory Group (SAG)</w:t>
      </w:r>
      <w:bookmarkEnd w:id="57"/>
    </w:p>
    <w:p w14:paraId="55CD0466" w14:textId="131DB70F" w:rsidR="000E7250" w:rsidRPr="00986221" w:rsidRDefault="000E7250" w:rsidP="00C24E43">
      <w:pPr>
        <w:pStyle w:val="ListParagraph"/>
      </w:pPr>
      <w:r w:rsidRPr="00986221">
        <w:t>Drawing on B-WTO experiences, the SAG is expected to play a critical role in policy dialogue, and facilitating “whole of-government” approaches to delivering external support for economic restructuring. The SAG will help to achieve strategic Go</w:t>
      </w:r>
      <w:r w:rsidR="00790556" w:rsidRPr="00986221">
        <w:t>V</w:t>
      </w:r>
      <w:r w:rsidRPr="00986221">
        <w:t>/</w:t>
      </w:r>
      <w:r w:rsidR="00790556" w:rsidRPr="00986221">
        <w:t>C</w:t>
      </w:r>
      <w:r w:rsidRPr="00986221">
        <w:t>P</w:t>
      </w:r>
      <w:r w:rsidR="00790556" w:rsidRPr="00986221">
        <w:t>V</w:t>
      </w:r>
      <w:r w:rsidRPr="00986221">
        <w:t xml:space="preserve"> ownership of the project. </w:t>
      </w:r>
    </w:p>
    <w:p w14:paraId="352EA86E" w14:textId="58ED0E35" w:rsidR="000E7250" w:rsidRPr="00986221" w:rsidRDefault="000E7250" w:rsidP="00C24E43">
      <w:pPr>
        <w:pStyle w:val="ListParagraph"/>
      </w:pPr>
      <w:r w:rsidRPr="00986221">
        <w:t>While not necessarily independent of the Go</w:t>
      </w:r>
      <w:r w:rsidR="00790556" w:rsidRPr="00986221">
        <w:t>V</w:t>
      </w:r>
      <w:r w:rsidRPr="00986221">
        <w:t xml:space="preserve"> or the </w:t>
      </w:r>
      <w:r w:rsidR="00790556" w:rsidRPr="00986221">
        <w:t>CPV</w:t>
      </w:r>
      <w:r w:rsidRPr="00986221">
        <w:t xml:space="preserve">, SAG members must be: </w:t>
      </w:r>
    </w:p>
    <w:p w14:paraId="5A004E10" w14:textId="77777777" w:rsidR="000E7250" w:rsidRPr="00986221" w:rsidRDefault="000E7250" w:rsidP="00F929F8">
      <w:pPr>
        <w:pStyle w:val="ListParagraphindent"/>
      </w:pPr>
      <w:r w:rsidRPr="00986221">
        <w:t xml:space="preserve">Respected Vietnamese who have successfully engaged in economic reforms or as advocates of economic reforms, </w:t>
      </w:r>
    </w:p>
    <w:p w14:paraId="58BFAE4D" w14:textId="77777777" w:rsidR="000E7250" w:rsidRPr="00986221" w:rsidRDefault="000E7250" w:rsidP="00F929F8">
      <w:pPr>
        <w:pStyle w:val="ListParagraphindent"/>
      </w:pPr>
      <w:r w:rsidRPr="00986221">
        <w:t xml:space="preserve">Have a track record of providing frank and useful advice and/or stimulating debate in the public arena. </w:t>
      </w:r>
    </w:p>
    <w:p w14:paraId="4C8EAECB" w14:textId="77777777" w:rsidR="000E7250" w:rsidRPr="00986221" w:rsidRDefault="000E7250" w:rsidP="00F929F8">
      <w:pPr>
        <w:pStyle w:val="ListParagraphindent"/>
      </w:pPr>
      <w:r w:rsidRPr="00986221">
        <w:t>Enthusiastic about helping to build strategic national (including Government/ Party) ownership of the program.</w:t>
      </w:r>
    </w:p>
    <w:p w14:paraId="18D46E07" w14:textId="77777777" w:rsidR="000E7250" w:rsidRPr="00986221" w:rsidRDefault="000E7250" w:rsidP="00F929F8">
      <w:pPr>
        <w:pStyle w:val="ListParagraphindent"/>
      </w:pPr>
      <w:r w:rsidRPr="00986221">
        <w:t>Interested in building partnerships with other key stakeholders and in engaging with the Australian Embassy to improve the quality of policy dialogue and engagement on economic issues.</w:t>
      </w:r>
    </w:p>
    <w:p w14:paraId="288DB293" w14:textId="048DCC19" w:rsidR="000E7250" w:rsidRPr="00986221" w:rsidRDefault="000E7250" w:rsidP="00C24E43">
      <w:pPr>
        <w:pStyle w:val="ListParagraph"/>
      </w:pPr>
      <w:r w:rsidRPr="00986221">
        <w:t xml:space="preserve">Members of the SAG will be recruited by </w:t>
      </w:r>
      <w:r w:rsidR="00485FC2" w:rsidRPr="00986221">
        <w:t>PCU</w:t>
      </w:r>
      <w:r w:rsidRPr="00986221">
        <w:t xml:space="preserve"> under periodic contracts to provide periodic advice and support to DFAT and the </w:t>
      </w:r>
      <w:r w:rsidR="002E4746" w:rsidRPr="00986221">
        <w:t>PD</w:t>
      </w:r>
      <w:r w:rsidRPr="00986221">
        <w:t xml:space="preserve"> on:</w:t>
      </w:r>
    </w:p>
    <w:p w14:paraId="5F087570" w14:textId="77777777" w:rsidR="000E7250" w:rsidRPr="00986221" w:rsidRDefault="000E7250" w:rsidP="00F929F8">
      <w:pPr>
        <w:pStyle w:val="ListParagraphindent"/>
      </w:pPr>
      <w:r w:rsidRPr="00986221">
        <w:t>Political economy and sector developments that impact on program performance.</w:t>
      </w:r>
    </w:p>
    <w:p w14:paraId="628E20D4" w14:textId="77777777" w:rsidR="000E7250" w:rsidRPr="00986221" w:rsidRDefault="000E7250" w:rsidP="00F929F8">
      <w:pPr>
        <w:pStyle w:val="ListParagraphindent"/>
      </w:pPr>
      <w:r w:rsidRPr="00986221">
        <w:t>Emerging priorities and implications for program activities and work planning. Provide briefings on the impacts of major policy decisions (e.g. National Assembly or Party Policy Resolutions) on Program implementation and priorities.</w:t>
      </w:r>
    </w:p>
    <w:p w14:paraId="018E4860" w14:textId="77777777" w:rsidR="000E7250" w:rsidRPr="00986221" w:rsidRDefault="000E7250" w:rsidP="00F929F8">
      <w:pPr>
        <w:pStyle w:val="ListParagraphindent"/>
      </w:pPr>
      <w:r w:rsidRPr="00986221">
        <w:t>What will work, what won’t work (or isn’t working) and who the program should engage with to resolve particular issues.</w:t>
      </w:r>
    </w:p>
    <w:p w14:paraId="4A7B38CE" w14:textId="77777777" w:rsidR="000E7250" w:rsidRPr="00986221" w:rsidRDefault="000E7250" w:rsidP="00F929F8">
      <w:pPr>
        <w:pStyle w:val="ListParagraphindent"/>
      </w:pPr>
      <w:r w:rsidRPr="00986221">
        <w:t>Program performance, results and other strategic issues, including direct feedback on the references to program findings in high-level policy debate (e.g. in National Assembly or other high level dialogue)</w:t>
      </w:r>
    </w:p>
    <w:p w14:paraId="743F1DF0" w14:textId="77777777" w:rsidR="000E7250" w:rsidRPr="00986221" w:rsidRDefault="000E7250" w:rsidP="00F929F8">
      <w:pPr>
        <w:pStyle w:val="ListParagraphindent"/>
      </w:pPr>
      <w:r w:rsidRPr="00986221">
        <w:t xml:space="preserve">Priorities and strategies for economic policy dialogue between </w:t>
      </w:r>
      <w:proofErr w:type="spellStart"/>
      <w:r w:rsidRPr="00986221">
        <w:t>GoV</w:t>
      </w:r>
      <w:proofErr w:type="spellEnd"/>
      <w:r w:rsidRPr="00986221">
        <w:t xml:space="preserve"> and </w:t>
      </w:r>
      <w:proofErr w:type="spellStart"/>
      <w:r w:rsidRPr="00986221">
        <w:t>GoA</w:t>
      </w:r>
      <w:proofErr w:type="spellEnd"/>
      <w:r w:rsidRPr="00986221">
        <w:t>.</w:t>
      </w:r>
    </w:p>
    <w:p w14:paraId="346C6318" w14:textId="5646E024" w:rsidR="000E7250" w:rsidRPr="00986221" w:rsidRDefault="000E7250" w:rsidP="00C24E43">
      <w:pPr>
        <w:pStyle w:val="ListParagraph"/>
      </w:pPr>
      <w:r w:rsidRPr="00986221">
        <w:t xml:space="preserve">The SAG will also directly support the </w:t>
      </w:r>
      <w:r w:rsidR="002E4746" w:rsidRPr="00986221">
        <w:t>PD</w:t>
      </w:r>
      <w:r w:rsidRPr="00986221">
        <w:t xml:space="preserve"> and </w:t>
      </w:r>
      <w:r w:rsidR="00485FC2" w:rsidRPr="00986221">
        <w:t>PCU</w:t>
      </w:r>
      <w:r w:rsidRPr="00986221">
        <w:t xml:space="preserve"> in implementing the following activities:</w:t>
      </w:r>
    </w:p>
    <w:p w14:paraId="3D226091" w14:textId="5A578905" w:rsidR="000E7250" w:rsidRPr="00986221" w:rsidRDefault="000E7250" w:rsidP="00F929F8">
      <w:pPr>
        <w:pStyle w:val="ListParagraphindent"/>
      </w:pPr>
      <w:r w:rsidRPr="00986221">
        <w:t xml:space="preserve">Provide ongoing advice and support to the </w:t>
      </w:r>
      <w:r w:rsidR="002E4746" w:rsidRPr="00986221">
        <w:t>PD</w:t>
      </w:r>
      <w:r w:rsidRPr="00986221">
        <w:t xml:space="preserve"> and </w:t>
      </w:r>
      <w:r w:rsidR="00485FC2" w:rsidRPr="00986221">
        <w:t>PCU</w:t>
      </w:r>
      <w:r w:rsidRPr="00986221">
        <w:t xml:space="preserve"> in areas such as: </w:t>
      </w:r>
    </w:p>
    <w:p w14:paraId="6ADF7423" w14:textId="77777777" w:rsidR="000E7250" w:rsidRPr="00986221" w:rsidRDefault="000E7250" w:rsidP="00F929F8">
      <w:pPr>
        <w:pStyle w:val="ListParagraphindent2"/>
      </w:pPr>
      <w:r w:rsidRPr="00986221">
        <w:t>Program priorities, political economy, macro-economic and sectoral policy issues.</w:t>
      </w:r>
    </w:p>
    <w:p w14:paraId="19775E46" w14:textId="77777777" w:rsidR="000E7250" w:rsidRPr="00986221" w:rsidRDefault="000E7250" w:rsidP="00F929F8">
      <w:pPr>
        <w:pStyle w:val="ListParagraphindent2"/>
      </w:pPr>
      <w:r w:rsidRPr="00986221">
        <w:t xml:space="preserve">Tactical options for increasing the program’s influence (media, high level dialogue, </w:t>
      </w:r>
      <w:proofErr w:type="spellStart"/>
      <w:r w:rsidRPr="00986221">
        <w:t>etc</w:t>
      </w:r>
      <w:proofErr w:type="spellEnd"/>
      <w:r w:rsidRPr="00986221">
        <w:t xml:space="preserve">). </w:t>
      </w:r>
    </w:p>
    <w:p w14:paraId="13686B24" w14:textId="77777777" w:rsidR="000E7250" w:rsidRPr="00986221" w:rsidRDefault="000E7250" w:rsidP="00F929F8">
      <w:pPr>
        <w:pStyle w:val="ListParagraphindent2"/>
      </w:pPr>
      <w:r w:rsidRPr="00986221">
        <w:t>Appraise proposals for funding under the Flexible Fund.</w:t>
      </w:r>
    </w:p>
    <w:p w14:paraId="27E2F109" w14:textId="77777777" w:rsidR="000E7250" w:rsidRPr="00986221" w:rsidRDefault="000E7250" w:rsidP="00F929F8">
      <w:pPr>
        <w:pStyle w:val="ListParagraphindent2"/>
      </w:pPr>
      <w:r w:rsidRPr="00986221">
        <w:t>Peer reviews of policy studies and policy recommendations.</w:t>
      </w:r>
    </w:p>
    <w:p w14:paraId="4845BF82" w14:textId="77777777" w:rsidR="000E7250" w:rsidRPr="00986221" w:rsidRDefault="000E7250" w:rsidP="00F929F8">
      <w:pPr>
        <w:pStyle w:val="ListParagraphindent"/>
      </w:pPr>
      <w:r w:rsidRPr="00986221">
        <w:t>High-profile engagement in policy dialogue (e.g. in mass media and workshops) to raise awareness of program findings and recommendations.</w:t>
      </w:r>
    </w:p>
    <w:p w14:paraId="36D0C4E1" w14:textId="77777777" w:rsidR="000E7250" w:rsidRPr="00986221" w:rsidRDefault="000E7250" w:rsidP="00F929F8">
      <w:pPr>
        <w:pStyle w:val="ListParagraphindent"/>
      </w:pPr>
      <w:r w:rsidRPr="00986221">
        <w:t xml:space="preserve">Providing feedback on Program findings and recommendations to high level of national leadership. </w:t>
      </w:r>
    </w:p>
    <w:p w14:paraId="021DBFBD" w14:textId="0AE59732" w:rsidR="000E7250" w:rsidRPr="00986221" w:rsidRDefault="000E7250" w:rsidP="00C24E43">
      <w:pPr>
        <w:pStyle w:val="ListParagraph"/>
      </w:pPr>
      <w:r w:rsidRPr="00986221">
        <w:t xml:space="preserve">The composition of the SAG will be agreed between DFAT and the </w:t>
      </w:r>
      <w:r w:rsidR="002E4746" w:rsidRPr="00986221">
        <w:t>PD</w:t>
      </w:r>
      <w:r w:rsidRPr="00986221">
        <w:t xml:space="preserve">, and can be changed as policy issues and advisory support needs changes. The list of initial </w:t>
      </w:r>
      <w:r w:rsidR="0061717E" w:rsidRPr="00986221">
        <w:t xml:space="preserve">potential </w:t>
      </w:r>
      <w:r w:rsidRPr="00986221">
        <w:t xml:space="preserve">SAG members is </w:t>
      </w:r>
      <w:r w:rsidR="00BD4C93" w:rsidRPr="00986221">
        <w:t xml:space="preserve">available </w:t>
      </w:r>
      <w:r w:rsidRPr="00986221">
        <w:t xml:space="preserve">with a brief biography. Additional members can be added from time to time as jointly agreed by DFAT and </w:t>
      </w:r>
      <w:r w:rsidR="002E4746" w:rsidRPr="00986221">
        <w:t>PD</w:t>
      </w:r>
      <w:r w:rsidRPr="00986221">
        <w:t xml:space="preserve">. The Program will build on and learn from the expertise successful experience with the SAG utilized under the B-WTO program. </w:t>
      </w:r>
      <w:r w:rsidR="007E31B7" w:rsidRPr="00986221">
        <w:t>In particular, the program will aim for a better gender balance in the RCV SAG.</w:t>
      </w:r>
      <w:r w:rsidRPr="00986221">
        <w:t xml:space="preserve"> </w:t>
      </w:r>
    </w:p>
    <w:p w14:paraId="03279AB8" w14:textId="24E61243" w:rsidR="00D0405A" w:rsidRPr="00986221" w:rsidRDefault="000E7250" w:rsidP="00384E34">
      <w:pPr>
        <w:pStyle w:val="ListParagraph"/>
        <w:numPr>
          <w:ilvl w:val="0"/>
          <w:numId w:val="0"/>
        </w:numPr>
        <w:ind w:left="426"/>
      </w:pPr>
      <w:r w:rsidRPr="00986221">
        <w:t xml:space="preserve">The </w:t>
      </w:r>
      <w:r w:rsidR="00485FC2" w:rsidRPr="00986221">
        <w:t>PCU</w:t>
      </w:r>
      <w:r w:rsidRPr="00986221">
        <w:t xml:space="preserve">, in consultation with the </w:t>
      </w:r>
      <w:r w:rsidR="002E4746" w:rsidRPr="00986221">
        <w:t>PD</w:t>
      </w:r>
      <w:r w:rsidRPr="00986221">
        <w:t xml:space="preserve">, SAG and DFAT will be responsible for preparing quarterly work plans that identify needs for SAG inputs, and will be responsible for preparing tasking notes for specific inputs. DFAT and </w:t>
      </w:r>
      <w:r w:rsidR="002E4746" w:rsidRPr="00986221">
        <w:t>PD</w:t>
      </w:r>
      <w:r w:rsidRPr="00986221">
        <w:t xml:space="preserve"> will be responsible for approving the</w:t>
      </w:r>
      <w:r w:rsidR="001312D8" w:rsidRPr="00986221">
        <w:t>se work plans and tasking notes.</w:t>
      </w:r>
    </w:p>
    <w:p w14:paraId="4F3E43CF" w14:textId="77777777" w:rsidR="001312D8" w:rsidRPr="00986221" w:rsidRDefault="001312D8" w:rsidP="00C24E43">
      <w:pPr>
        <w:pStyle w:val="Heading3"/>
        <w:ind w:left="426"/>
      </w:pPr>
      <w:bookmarkStart w:id="58" w:name="_Toc387322675"/>
      <w:r w:rsidRPr="00986221">
        <w:t>The Senior Technical Adviser (STA)</w:t>
      </w:r>
      <w:bookmarkEnd w:id="58"/>
    </w:p>
    <w:p w14:paraId="22BC4194" w14:textId="77777777" w:rsidR="001312D8" w:rsidRPr="00986221" w:rsidRDefault="001312D8" w:rsidP="00C24E43">
      <w:pPr>
        <w:pStyle w:val="ListParagraph"/>
      </w:pPr>
      <w:r w:rsidRPr="00986221">
        <w:t>The STA must have:</w:t>
      </w:r>
    </w:p>
    <w:p w14:paraId="2B2C9B64" w14:textId="77777777" w:rsidR="001312D8" w:rsidRPr="00986221" w:rsidRDefault="001312D8" w:rsidP="00F929F8">
      <w:pPr>
        <w:pStyle w:val="ListParagraphindent"/>
      </w:pPr>
      <w:r w:rsidRPr="00986221">
        <w:t xml:space="preserve">Extensive experience (&gt; 15 years) in supporting economic policy and institutional change and development in Vietnam and South-east Asia. </w:t>
      </w:r>
    </w:p>
    <w:p w14:paraId="69520FE3" w14:textId="77777777" w:rsidR="001312D8" w:rsidRPr="00986221" w:rsidRDefault="001312D8" w:rsidP="00F929F8">
      <w:pPr>
        <w:pStyle w:val="ListParagraphindent"/>
      </w:pPr>
      <w:r w:rsidRPr="00986221">
        <w:t>Past experience in supporting international funded, nationally executed programs supporting economic reform.</w:t>
      </w:r>
    </w:p>
    <w:p w14:paraId="0C385906" w14:textId="77777777" w:rsidR="001312D8" w:rsidRPr="00986221" w:rsidRDefault="001312D8" w:rsidP="00F929F8">
      <w:pPr>
        <w:pStyle w:val="ListParagraphindent"/>
      </w:pPr>
      <w:r w:rsidRPr="00986221">
        <w:t>Proven track record of engaging with senior level policy makers, and with the broader community, on economic development issues.</w:t>
      </w:r>
    </w:p>
    <w:p w14:paraId="68BC01AF" w14:textId="77777777" w:rsidR="001312D8" w:rsidRPr="00986221" w:rsidRDefault="001312D8" w:rsidP="00F929F8">
      <w:pPr>
        <w:pStyle w:val="ListParagraphindent"/>
      </w:pPr>
      <w:r w:rsidRPr="00986221">
        <w:t>An awareness of regional economic cooperation initiatives such as ASEAN, AEC, TPP and RCEP.</w:t>
      </w:r>
    </w:p>
    <w:p w14:paraId="0F9993DC" w14:textId="77777777" w:rsidR="001312D8" w:rsidRPr="00986221" w:rsidRDefault="001312D8" w:rsidP="00F929F8">
      <w:pPr>
        <w:pStyle w:val="ListParagraphindent"/>
      </w:pPr>
      <w:r w:rsidRPr="00986221">
        <w:t>Post-graduate qualifications in economics or economic development.</w:t>
      </w:r>
    </w:p>
    <w:p w14:paraId="11CA0703" w14:textId="77777777" w:rsidR="001312D8" w:rsidRPr="00986221" w:rsidRDefault="001312D8" w:rsidP="00F929F8">
      <w:pPr>
        <w:pStyle w:val="ListParagraphindent"/>
      </w:pPr>
      <w:r w:rsidRPr="00986221">
        <w:t>Have established networks of contacts with leading Vietnamese, regional and international experts working on economic development.</w:t>
      </w:r>
    </w:p>
    <w:p w14:paraId="3A15E4EA" w14:textId="23768348" w:rsidR="001312D8" w:rsidRPr="00986221" w:rsidRDefault="001312D8" w:rsidP="001312D8">
      <w:pPr>
        <w:pStyle w:val="ListParagraphindent"/>
      </w:pPr>
      <w:r w:rsidRPr="00986221">
        <w:t>Have high level report-writing and communications skills.</w:t>
      </w:r>
    </w:p>
    <w:p w14:paraId="0A41A8C7" w14:textId="4D46F929" w:rsidR="001312D8" w:rsidRPr="00986221" w:rsidRDefault="001312D8" w:rsidP="00D0405A">
      <w:pPr>
        <w:pStyle w:val="ListParagraph"/>
      </w:pPr>
      <w:r w:rsidRPr="00986221">
        <w:t xml:space="preserve">DFAT will recruit the STA under a periodic contract. The STA will be jointly accountable to DFAT and the </w:t>
      </w:r>
      <w:r w:rsidR="002E4746" w:rsidRPr="00986221">
        <w:t>PD</w:t>
      </w:r>
      <w:r w:rsidRPr="00986221">
        <w:t>, and will work closely with the SAG.</w:t>
      </w:r>
    </w:p>
    <w:p w14:paraId="5B167837" w14:textId="77777777" w:rsidR="001312D8" w:rsidRPr="00986221" w:rsidRDefault="001312D8" w:rsidP="00C24E43">
      <w:pPr>
        <w:pStyle w:val="ListParagraph"/>
      </w:pPr>
      <w:r w:rsidRPr="00986221">
        <w:t>STA responsibilities will be to provide periodic advice and support, including:</w:t>
      </w:r>
    </w:p>
    <w:p w14:paraId="080ECFBE" w14:textId="1F234483" w:rsidR="001312D8" w:rsidRPr="00986221" w:rsidRDefault="001312D8" w:rsidP="00D0405A">
      <w:pPr>
        <w:pStyle w:val="ListParagraphindent"/>
        <w:rPr>
          <w:i/>
        </w:rPr>
      </w:pPr>
      <w:r w:rsidRPr="00986221">
        <w:t xml:space="preserve">Ongoing support to the </w:t>
      </w:r>
      <w:r w:rsidR="002E4746" w:rsidRPr="00986221">
        <w:t>PD</w:t>
      </w:r>
      <w:r w:rsidRPr="00986221">
        <w:t xml:space="preserve"> and PCC, including</w:t>
      </w:r>
    </w:p>
    <w:p w14:paraId="2F0EFF94" w14:textId="77777777" w:rsidR="004A5455" w:rsidRPr="00986221" w:rsidRDefault="001312D8" w:rsidP="004A5455">
      <w:pPr>
        <w:pStyle w:val="ListParagraphindent2"/>
        <w:rPr>
          <w:i/>
        </w:rPr>
      </w:pPr>
      <w:r w:rsidRPr="00986221">
        <w:t>Ongoing advice and support for program planning, implementation and monitoring including inputs to the preparation of annual results reporting and annual and quarterly work plans.</w:t>
      </w:r>
    </w:p>
    <w:p w14:paraId="3CE2EBB6" w14:textId="77777777" w:rsidR="000E7250" w:rsidRPr="00986221" w:rsidRDefault="000E7250" w:rsidP="004A5455">
      <w:pPr>
        <w:pStyle w:val="ListParagraphindent2"/>
        <w:rPr>
          <w:i/>
        </w:rPr>
      </w:pPr>
      <w:r w:rsidRPr="00986221">
        <w:t>Contribute to policy dialogue on economic restructuring issues.</w:t>
      </w:r>
    </w:p>
    <w:p w14:paraId="68798117" w14:textId="7A76012A" w:rsidR="000E7250" w:rsidRPr="00986221" w:rsidRDefault="000E7250" w:rsidP="00D0405A">
      <w:pPr>
        <w:pStyle w:val="ListParagraphindent2"/>
        <w:rPr>
          <w:i/>
        </w:rPr>
      </w:pPr>
      <w:r w:rsidRPr="00986221">
        <w:t xml:space="preserve">Monitor and inform the </w:t>
      </w:r>
      <w:r w:rsidR="002E4746" w:rsidRPr="00986221">
        <w:t>PD</w:t>
      </w:r>
      <w:r w:rsidRPr="00986221">
        <w:t>, PCC and DFAT of political economy developments that are likely to impact on program performance.</w:t>
      </w:r>
    </w:p>
    <w:p w14:paraId="185A3AF5" w14:textId="77777777" w:rsidR="000E7250" w:rsidRPr="00986221" w:rsidRDefault="000E7250" w:rsidP="00D0405A">
      <w:pPr>
        <w:pStyle w:val="ListParagraphindent"/>
      </w:pPr>
      <w:r w:rsidRPr="00986221">
        <w:t xml:space="preserve">Prepare independent reports as needed (e.g. as input to PCC meetings) on emerging economic restructuring priorities and implications for program activities and work planning. </w:t>
      </w:r>
    </w:p>
    <w:p w14:paraId="5894762F" w14:textId="77777777" w:rsidR="000E7250" w:rsidRPr="00986221" w:rsidRDefault="000E7250" w:rsidP="00D0405A">
      <w:pPr>
        <w:pStyle w:val="ListParagraphindent"/>
      </w:pPr>
      <w:r w:rsidRPr="00986221">
        <w:t>Appraise requests for support under the flexible funding mechanism and support the development of these proposals.</w:t>
      </w:r>
    </w:p>
    <w:p w14:paraId="5286D738" w14:textId="77777777" w:rsidR="000E7250" w:rsidRPr="00986221" w:rsidRDefault="000E7250" w:rsidP="00D0405A">
      <w:pPr>
        <w:pStyle w:val="ListParagraphindent"/>
      </w:pPr>
      <w:r w:rsidRPr="00986221">
        <w:t xml:space="preserve">Identify and facilitate contact with highly qualified international experts and institutions as relevant </w:t>
      </w:r>
    </w:p>
    <w:p w14:paraId="7A67CD6A" w14:textId="0DD702EF" w:rsidR="00D545EA" w:rsidRPr="00986221" w:rsidRDefault="00D545EA" w:rsidP="00D0405A">
      <w:pPr>
        <w:pStyle w:val="ListParagraphindent"/>
      </w:pPr>
      <w:r w:rsidRPr="00986221">
        <w:t>Support the PD and DFAT in donor coordination activities, and participate in forums related to economic restructuring and integration.</w:t>
      </w:r>
    </w:p>
    <w:p w14:paraId="4DA90C3F" w14:textId="474A6544" w:rsidR="001312D8" w:rsidRPr="00986221" w:rsidRDefault="001312D8" w:rsidP="001312D8">
      <w:pPr>
        <w:pStyle w:val="Heading3"/>
      </w:pPr>
      <w:bookmarkStart w:id="59" w:name="_Toc387322676"/>
      <w:r w:rsidRPr="00986221">
        <w:t xml:space="preserve">Senior Program </w:t>
      </w:r>
      <w:r w:rsidR="00D545EA" w:rsidRPr="00986221">
        <w:t>Coordinator</w:t>
      </w:r>
      <w:r w:rsidRPr="00986221">
        <w:t>-Economist</w:t>
      </w:r>
      <w:bookmarkEnd w:id="59"/>
    </w:p>
    <w:p w14:paraId="6947A6E0" w14:textId="1EF0D56E" w:rsidR="001312D8" w:rsidRPr="00986221" w:rsidRDefault="001312D8" w:rsidP="00C24E43">
      <w:pPr>
        <w:pStyle w:val="ListParagraph"/>
      </w:pPr>
      <w:r w:rsidRPr="00986221">
        <w:t xml:space="preserve">The Senior Program </w:t>
      </w:r>
      <w:r w:rsidR="00D545EA" w:rsidRPr="00986221">
        <w:t>Coordinator</w:t>
      </w:r>
      <w:r w:rsidRPr="00986221">
        <w:t>-Economist (</w:t>
      </w:r>
      <w:r w:rsidR="00485FC2" w:rsidRPr="00986221">
        <w:t>SPC-E</w:t>
      </w:r>
      <w:r w:rsidRPr="00986221">
        <w:t>) will be appointed</w:t>
      </w:r>
      <w:r w:rsidR="00BF2C96" w:rsidRPr="00986221">
        <w:t xml:space="preserve"> by,</w:t>
      </w:r>
      <w:r w:rsidRPr="00986221">
        <w:t xml:space="preserve"> and be accountable to</w:t>
      </w:r>
      <w:r w:rsidR="00BF2C96" w:rsidRPr="00986221">
        <w:t>,</w:t>
      </w:r>
      <w:r w:rsidRPr="00986221">
        <w:t xml:space="preserve"> the </w:t>
      </w:r>
      <w:r w:rsidR="002E4746" w:rsidRPr="00986221">
        <w:t>PD</w:t>
      </w:r>
      <w:r w:rsidRPr="00986221">
        <w:t xml:space="preserve">. The </w:t>
      </w:r>
      <w:r w:rsidR="002E4746" w:rsidRPr="00986221">
        <w:t>PD</w:t>
      </w:r>
      <w:r w:rsidRPr="00986221">
        <w:t xml:space="preserve"> will consult with, and obtain DFAT concurrence prior to the selection and recruitment of the </w:t>
      </w:r>
      <w:r w:rsidR="00485FC2" w:rsidRPr="00986221">
        <w:t>SPC-E</w:t>
      </w:r>
      <w:r w:rsidRPr="00986221">
        <w:t>.</w:t>
      </w:r>
    </w:p>
    <w:p w14:paraId="7CD9BEFB" w14:textId="63262870" w:rsidR="001312D8" w:rsidRPr="00986221" w:rsidRDefault="001312D8" w:rsidP="00C24E43">
      <w:pPr>
        <w:pStyle w:val="ListParagraph"/>
      </w:pPr>
      <w:r w:rsidRPr="00986221">
        <w:t xml:space="preserve">The </w:t>
      </w:r>
      <w:r w:rsidR="00485FC2" w:rsidRPr="00986221">
        <w:t>SPC-E</w:t>
      </w:r>
      <w:r w:rsidRPr="00986221">
        <w:t xml:space="preserve"> will be senior Vietnamese expert with:</w:t>
      </w:r>
    </w:p>
    <w:p w14:paraId="48809AB2" w14:textId="77777777" w:rsidR="001312D8" w:rsidRPr="00986221" w:rsidRDefault="001312D8" w:rsidP="00D0405A">
      <w:pPr>
        <w:pStyle w:val="ListParagraphindent"/>
      </w:pPr>
      <w:r w:rsidRPr="00986221">
        <w:t>A well-regarded university degree in economics and/or economic development.</w:t>
      </w:r>
    </w:p>
    <w:p w14:paraId="08BB6DB8" w14:textId="77777777" w:rsidR="001312D8" w:rsidRPr="00986221" w:rsidRDefault="001312D8" w:rsidP="00D0405A">
      <w:pPr>
        <w:pStyle w:val="ListParagraphindent"/>
      </w:pPr>
      <w:r w:rsidRPr="00986221">
        <w:t>Excellent Vietnamese and English language communications and reporting skills.</w:t>
      </w:r>
    </w:p>
    <w:p w14:paraId="196CD129" w14:textId="020AE6C6" w:rsidR="001312D8" w:rsidRPr="00986221" w:rsidRDefault="001312D8" w:rsidP="00D0405A">
      <w:pPr>
        <w:pStyle w:val="ListParagraphindent"/>
      </w:pPr>
      <w:r w:rsidRPr="00986221">
        <w:t xml:space="preserve">At least ten years </w:t>
      </w:r>
      <w:r w:rsidR="009F1932" w:rsidRPr="00986221">
        <w:t xml:space="preserve">of </w:t>
      </w:r>
      <w:r w:rsidRPr="00986221">
        <w:t>experience working on high-level policy issues with central Go</w:t>
      </w:r>
      <w:r w:rsidR="00790556" w:rsidRPr="00986221">
        <w:t>V</w:t>
      </w:r>
      <w:r w:rsidRPr="00986221">
        <w:t xml:space="preserve"> agencies. Ideally, the </w:t>
      </w:r>
      <w:r w:rsidR="00485FC2" w:rsidRPr="00986221">
        <w:t>SPC-E</w:t>
      </w:r>
      <w:r w:rsidRPr="00986221">
        <w:t xml:space="preserve"> should also have work experience interacting with business associations, and/or civil society organizations.</w:t>
      </w:r>
    </w:p>
    <w:p w14:paraId="7EA0D6E6" w14:textId="77777777" w:rsidR="001312D8" w:rsidRPr="00986221" w:rsidRDefault="001312D8" w:rsidP="00D0405A">
      <w:pPr>
        <w:pStyle w:val="ListParagraphindent"/>
      </w:pPr>
      <w:r w:rsidRPr="00986221">
        <w:t>Past experience in coordinating and/or managing complex, inter-agency development programs. Familiarity with good practices in the monitoring and reporting on the performance of such programs.</w:t>
      </w:r>
    </w:p>
    <w:p w14:paraId="7B6140EB" w14:textId="77777777" w:rsidR="001312D8" w:rsidRPr="00986221" w:rsidRDefault="001312D8" w:rsidP="00D0405A">
      <w:pPr>
        <w:pStyle w:val="ListParagraphindent"/>
      </w:pPr>
      <w:r w:rsidRPr="00986221">
        <w:t>A well-established network of contacts in the Vietnamese government, research institutes, and business associations.</w:t>
      </w:r>
    </w:p>
    <w:p w14:paraId="5D0471E1" w14:textId="666D6395" w:rsidR="001312D8" w:rsidRPr="00986221" w:rsidRDefault="001312D8" w:rsidP="00D0405A">
      <w:pPr>
        <w:pStyle w:val="ListParagraphindent"/>
      </w:pPr>
      <w:r w:rsidRPr="00986221">
        <w:t>Familiarity with Go</w:t>
      </w:r>
      <w:r w:rsidR="00790556" w:rsidRPr="00986221">
        <w:t>V</w:t>
      </w:r>
      <w:r w:rsidRPr="00986221">
        <w:t xml:space="preserve"> and donor project reporting and accountability requirements. </w:t>
      </w:r>
    </w:p>
    <w:p w14:paraId="0E919DFB" w14:textId="77777777" w:rsidR="001312D8" w:rsidRPr="00986221" w:rsidRDefault="001312D8" w:rsidP="00D0405A">
      <w:pPr>
        <w:pStyle w:val="ListParagraphindent"/>
      </w:pPr>
      <w:r w:rsidRPr="00986221">
        <w:t xml:space="preserve">Previous experience with similar </w:t>
      </w:r>
      <w:proofErr w:type="spellStart"/>
      <w:r w:rsidRPr="00986221">
        <w:t>GoA</w:t>
      </w:r>
      <w:proofErr w:type="spellEnd"/>
      <w:r w:rsidRPr="00986221">
        <w:t xml:space="preserve"> funded projects would be an advantage. </w:t>
      </w:r>
    </w:p>
    <w:p w14:paraId="0B977D28" w14:textId="77777777" w:rsidR="001312D8" w:rsidRPr="00986221" w:rsidRDefault="001312D8" w:rsidP="001312D8"/>
    <w:p w14:paraId="0F9ADE0E" w14:textId="17673748" w:rsidR="001312D8" w:rsidRPr="00986221" w:rsidRDefault="001312D8" w:rsidP="00C24E43">
      <w:pPr>
        <w:pStyle w:val="ListParagraph"/>
      </w:pPr>
      <w:r w:rsidRPr="00986221">
        <w:t xml:space="preserve">The </w:t>
      </w:r>
      <w:r w:rsidR="00485FC2" w:rsidRPr="00986221">
        <w:t>SPC-E</w:t>
      </w:r>
      <w:r w:rsidRPr="00986221">
        <w:t xml:space="preserve"> will be responsible for:</w:t>
      </w:r>
    </w:p>
    <w:p w14:paraId="43458153" w14:textId="443ABC77" w:rsidR="001312D8" w:rsidRPr="00986221" w:rsidRDefault="001312D8" w:rsidP="00D0405A">
      <w:pPr>
        <w:pStyle w:val="ListParagraphindent"/>
      </w:pPr>
      <w:r w:rsidRPr="00986221">
        <w:t xml:space="preserve">Acting as the key focal point for helping the </w:t>
      </w:r>
      <w:r w:rsidR="002E4746" w:rsidRPr="00986221">
        <w:t>PD</w:t>
      </w:r>
      <w:r w:rsidRPr="00986221">
        <w:t xml:space="preserve"> coordinate inputs/operations of the SAG, STA and PCC;</w:t>
      </w:r>
    </w:p>
    <w:p w14:paraId="5C7F1681" w14:textId="378B8287" w:rsidR="001312D8" w:rsidRPr="00986221" w:rsidRDefault="001312D8" w:rsidP="00D0405A">
      <w:pPr>
        <w:pStyle w:val="ListParagraphindent"/>
      </w:pPr>
      <w:r w:rsidRPr="00986221">
        <w:t xml:space="preserve">Supporting the </w:t>
      </w:r>
      <w:r w:rsidR="002E4746" w:rsidRPr="00986221">
        <w:t>PD</w:t>
      </w:r>
      <w:r w:rsidRPr="00986221">
        <w:t xml:space="preserve"> in the day-to-day Program management and implementation.</w:t>
      </w:r>
    </w:p>
    <w:p w14:paraId="128F4C66" w14:textId="77777777" w:rsidR="001312D8" w:rsidRPr="00986221" w:rsidRDefault="001312D8" w:rsidP="00D0405A">
      <w:pPr>
        <w:pStyle w:val="ListParagraphindent"/>
      </w:pPr>
      <w:r w:rsidRPr="00986221">
        <w:t>Manage the operations of the Program Support Unit (see below), including day-to day management of the Flexible Fund operations.</w:t>
      </w:r>
    </w:p>
    <w:p w14:paraId="1E72B05C" w14:textId="1DEF7D93" w:rsidR="001312D8" w:rsidRPr="00986221" w:rsidRDefault="001312D8" w:rsidP="00D0405A">
      <w:pPr>
        <w:pStyle w:val="ListParagraphindent"/>
      </w:pPr>
      <w:r w:rsidRPr="00986221">
        <w:t xml:space="preserve">Helping the </w:t>
      </w:r>
      <w:r w:rsidR="002E4746" w:rsidRPr="00986221">
        <w:t>PD</w:t>
      </w:r>
      <w:r w:rsidRPr="00986221">
        <w:t xml:space="preserve"> and </w:t>
      </w:r>
      <w:r w:rsidR="002E4746" w:rsidRPr="00986221">
        <w:t>CD</w:t>
      </w:r>
      <w:r w:rsidRPr="00986221">
        <w:t>s facilitate contact with highly qualified international experts and institutions to help with implementation.</w:t>
      </w:r>
    </w:p>
    <w:p w14:paraId="15896EF8" w14:textId="77777777" w:rsidR="008B3715" w:rsidRPr="00986221" w:rsidRDefault="008B3715" w:rsidP="00D0405A">
      <w:pPr>
        <w:pStyle w:val="ListParagraphindent"/>
      </w:pPr>
      <w:r w:rsidRPr="00986221">
        <w:t xml:space="preserve">Periodic program reporting, monitoring, </w:t>
      </w:r>
      <w:proofErr w:type="gramStart"/>
      <w:r w:rsidRPr="00986221">
        <w:t>evaluation,</w:t>
      </w:r>
      <w:proofErr w:type="gramEnd"/>
      <w:r w:rsidRPr="00986221">
        <w:t xml:space="preserve"> and communication.</w:t>
      </w:r>
    </w:p>
    <w:p w14:paraId="5F90DC4E" w14:textId="6970B2E2" w:rsidR="000E7250" w:rsidRPr="00986221" w:rsidRDefault="000E7250" w:rsidP="00F12B04">
      <w:pPr>
        <w:pStyle w:val="ListParagraphindent"/>
      </w:pPr>
      <w:r w:rsidRPr="00986221">
        <w:t>Monitoring project financial management and audit procedures in line with DFAT and Vietnamese ODA guidelines.</w:t>
      </w:r>
    </w:p>
    <w:p w14:paraId="48FB0613" w14:textId="2957578D" w:rsidR="00F12B04" w:rsidRPr="00986221" w:rsidRDefault="000E7250" w:rsidP="00384E34">
      <w:pPr>
        <w:pStyle w:val="ListParagraphindent"/>
      </w:pPr>
      <w:r w:rsidRPr="00986221">
        <w:t xml:space="preserve">Other reasonable tasks assigned by the </w:t>
      </w:r>
      <w:r w:rsidR="002E4746" w:rsidRPr="00986221">
        <w:t>PD</w:t>
      </w:r>
      <w:r w:rsidRPr="00986221">
        <w:t>.</w:t>
      </w:r>
    </w:p>
    <w:p w14:paraId="5BA1212A" w14:textId="16C69371" w:rsidR="001312D8" w:rsidRPr="00986221" w:rsidRDefault="001312D8" w:rsidP="00384E34">
      <w:pPr>
        <w:pStyle w:val="Heading3"/>
      </w:pPr>
      <w:bookmarkStart w:id="60" w:name="_Toc387322677"/>
      <w:r w:rsidRPr="00986221">
        <w:t>Program Support Unit (</w:t>
      </w:r>
      <w:r w:rsidR="00485FC2" w:rsidRPr="00986221">
        <w:t>PCU</w:t>
      </w:r>
      <w:r w:rsidRPr="00986221">
        <w:t>)</w:t>
      </w:r>
      <w:bookmarkEnd w:id="60"/>
    </w:p>
    <w:p w14:paraId="4F821FEC" w14:textId="6AA61F47" w:rsidR="001312D8" w:rsidRPr="00986221" w:rsidRDefault="001312D8" w:rsidP="00C24E43">
      <w:pPr>
        <w:pStyle w:val="ListParagraph"/>
        <w:rPr>
          <w:color w:val="000000"/>
        </w:rPr>
      </w:pPr>
      <w:r w:rsidRPr="00986221">
        <w:rPr>
          <w:color w:val="000000"/>
        </w:rPr>
        <w:t xml:space="preserve">The </w:t>
      </w:r>
      <w:r w:rsidR="00485FC2" w:rsidRPr="00986221">
        <w:rPr>
          <w:color w:val="000000"/>
        </w:rPr>
        <w:t>PCU</w:t>
      </w:r>
      <w:r w:rsidRPr="00986221">
        <w:rPr>
          <w:color w:val="000000"/>
        </w:rPr>
        <w:t xml:space="preserve"> will be established in the CIEM. The </w:t>
      </w:r>
      <w:r w:rsidR="00485FC2" w:rsidRPr="00986221">
        <w:rPr>
          <w:color w:val="000000"/>
        </w:rPr>
        <w:t>PCU</w:t>
      </w:r>
      <w:r w:rsidRPr="00986221">
        <w:rPr>
          <w:color w:val="000000"/>
        </w:rPr>
        <w:t xml:space="preserve"> will be</w:t>
      </w:r>
      <w:r w:rsidR="009F1932" w:rsidRPr="00986221">
        <w:rPr>
          <w:color w:val="000000"/>
        </w:rPr>
        <w:t xml:space="preserve"> </w:t>
      </w:r>
      <w:r w:rsidRPr="00986221">
        <w:rPr>
          <w:color w:val="000000"/>
        </w:rPr>
        <w:t>headed by the SP</w:t>
      </w:r>
      <w:r w:rsidR="009F1932" w:rsidRPr="00986221">
        <w:rPr>
          <w:color w:val="000000"/>
        </w:rPr>
        <w:t>C-E</w:t>
      </w:r>
      <w:r w:rsidRPr="00986221">
        <w:rPr>
          <w:color w:val="000000"/>
        </w:rPr>
        <w:t xml:space="preserve"> and will be directly accountable to the </w:t>
      </w:r>
      <w:r w:rsidR="002E4746" w:rsidRPr="00986221">
        <w:rPr>
          <w:color w:val="000000"/>
        </w:rPr>
        <w:t>PD</w:t>
      </w:r>
      <w:r w:rsidRPr="00986221">
        <w:rPr>
          <w:color w:val="000000"/>
        </w:rPr>
        <w:t xml:space="preserve">. The </w:t>
      </w:r>
      <w:r w:rsidR="00485FC2" w:rsidRPr="00986221">
        <w:rPr>
          <w:color w:val="000000"/>
        </w:rPr>
        <w:t>PCU</w:t>
      </w:r>
      <w:r w:rsidRPr="00986221">
        <w:rPr>
          <w:color w:val="000000"/>
        </w:rPr>
        <w:t xml:space="preserve"> will comprise a small team of program-funded staff who will support and be accountable to the SP</w:t>
      </w:r>
      <w:r w:rsidR="009F1932" w:rsidRPr="00986221">
        <w:rPr>
          <w:color w:val="000000"/>
        </w:rPr>
        <w:t>C-E</w:t>
      </w:r>
      <w:r w:rsidRPr="00986221">
        <w:rPr>
          <w:color w:val="000000"/>
        </w:rPr>
        <w:t xml:space="preserve">. The team will include an experienced program assistant/translator/interpreter. CIEM will provide part-time specialist staff to support the work of the </w:t>
      </w:r>
      <w:r w:rsidR="00485FC2" w:rsidRPr="00986221">
        <w:rPr>
          <w:color w:val="000000"/>
        </w:rPr>
        <w:t>PCU</w:t>
      </w:r>
      <w:r w:rsidRPr="00986221">
        <w:rPr>
          <w:color w:val="000000"/>
        </w:rPr>
        <w:t>.</w:t>
      </w:r>
    </w:p>
    <w:p w14:paraId="4E0F8E81" w14:textId="6E231766" w:rsidR="001312D8" w:rsidRPr="00986221" w:rsidRDefault="001312D8" w:rsidP="00C24E43">
      <w:pPr>
        <w:pStyle w:val="ListParagraph"/>
        <w:rPr>
          <w:color w:val="000000"/>
        </w:rPr>
      </w:pPr>
      <w:r w:rsidRPr="00986221">
        <w:rPr>
          <w:color w:val="000000"/>
        </w:rPr>
        <w:t xml:space="preserve">The </w:t>
      </w:r>
      <w:r w:rsidR="00485FC2" w:rsidRPr="00986221">
        <w:rPr>
          <w:color w:val="000000"/>
        </w:rPr>
        <w:t>PCU</w:t>
      </w:r>
      <w:r w:rsidRPr="00986221">
        <w:rPr>
          <w:color w:val="000000"/>
        </w:rPr>
        <w:t xml:space="preserve"> will be responsible for:</w:t>
      </w:r>
    </w:p>
    <w:p w14:paraId="45DAC8AC" w14:textId="77777777" w:rsidR="001312D8" w:rsidRPr="00986221" w:rsidRDefault="001312D8" w:rsidP="00F12B04">
      <w:pPr>
        <w:pStyle w:val="ListParagraphindent"/>
        <w:rPr>
          <w:b/>
        </w:rPr>
      </w:pPr>
      <w:r w:rsidRPr="00986221">
        <w:t>Developing and implementing</w:t>
      </w:r>
      <w:r w:rsidRPr="00986221">
        <w:rPr>
          <w:b/>
        </w:rPr>
        <w:t xml:space="preserve"> program management systems </w:t>
      </w:r>
      <w:r w:rsidRPr="00986221">
        <w:t>(Operations Manual (OM)) covering, for example:</w:t>
      </w:r>
    </w:p>
    <w:p w14:paraId="75515835" w14:textId="77777777" w:rsidR="001312D8" w:rsidRPr="00986221" w:rsidRDefault="001312D8" w:rsidP="00F12B04">
      <w:pPr>
        <w:pStyle w:val="ListParagraphindent2"/>
      </w:pPr>
      <w:r w:rsidRPr="00986221">
        <w:t xml:space="preserve">Prioritization, planning and implementation </w:t>
      </w:r>
    </w:p>
    <w:p w14:paraId="4CB1CE68" w14:textId="77777777" w:rsidR="001312D8" w:rsidRPr="00986221" w:rsidRDefault="001312D8" w:rsidP="00F12B04">
      <w:pPr>
        <w:pStyle w:val="ListParagraphindent2"/>
      </w:pPr>
      <w:r w:rsidRPr="00986221">
        <w:t xml:space="preserve">Monitoring and evaluation </w:t>
      </w:r>
    </w:p>
    <w:p w14:paraId="5C484E03" w14:textId="77777777" w:rsidR="001312D8" w:rsidRPr="00986221" w:rsidRDefault="001312D8" w:rsidP="00F12B04">
      <w:pPr>
        <w:pStyle w:val="ListParagraphindent2"/>
      </w:pPr>
      <w:r w:rsidRPr="00986221">
        <w:t>Policy dialogue and communications.</w:t>
      </w:r>
    </w:p>
    <w:p w14:paraId="5CE5A7F3" w14:textId="77777777" w:rsidR="001312D8" w:rsidRPr="00986221" w:rsidRDefault="001312D8" w:rsidP="00612E0D">
      <w:pPr>
        <w:pStyle w:val="ListParagraphindent"/>
      </w:pPr>
      <w:r w:rsidRPr="00986221">
        <w:rPr>
          <w:b/>
        </w:rPr>
        <w:t>Managing and implementing the Flexible Fund</w:t>
      </w:r>
      <w:r w:rsidRPr="00986221">
        <w:t xml:space="preserve"> in accordance with OM requirements, including.</w:t>
      </w:r>
    </w:p>
    <w:p w14:paraId="7168ED77" w14:textId="77777777" w:rsidR="001312D8" w:rsidRPr="00986221" w:rsidRDefault="001312D8" w:rsidP="00612E0D">
      <w:pPr>
        <w:pStyle w:val="ListParagraphindent2"/>
        <w:rPr>
          <w:bCs/>
        </w:rPr>
      </w:pPr>
      <w:r w:rsidRPr="00986221">
        <w:t>Providing support for proposal development.</w:t>
      </w:r>
    </w:p>
    <w:p w14:paraId="616AE66A" w14:textId="77777777" w:rsidR="001312D8" w:rsidRPr="00986221" w:rsidRDefault="001312D8" w:rsidP="00612E0D">
      <w:pPr>
        <w:pStyle w:val="ListParagraphindent2"/>
      </w:pPr>
      <w:r w:rsidRPr="00986221">
        <w:t>Receiving, processing, and responding to requests for support.</w:t>
      </w:r>
    </w:p>
    <w:p w14:paraId="5D1657D5" w14:textId="77777777" w:rsidR="001312D8" w:rsidRPr="00986221" w:rsidRDefault="001312D8" w:rsidP="00612E0D">
      <w:pPr>
        <w:pStyle w:val="ListParagraphindent2"/>
      </w:pPr>
      <w:r w:rsidRPr="00986221">
        <w:t>Assessing whether proposals meet program criteria and include all needed information.</w:t>
      </w:r>
    </w:p>
    <w:p w14:paraId="3D3472BA" w14:textId="77777777" w:rsidR="001312D8" w:rsidRPr="00986221" w:rsidRDefault="001312D8" w:rsidP="00612E0D">
      <w:pPr>
        <w:pStyle w:val="ListParagraphindent2"/>
      </w:pPr>
      <w:r w:rsidRPr="00986221">
        <w:t>Arrange for appraisals of proposals (by SAG, STA or other experts).</w:t>
      </w:r>
    </w:p>
    <w:p w14:paraId="20221613" w14:textId="36A6C012" w:rsidR="001312D8" w:rsidRPr="00986221" w:rsidRDefault="001312D8" w:rsidP="00612E0D">
      <w:pPr>
        <w:pStyle w:val="ListParagraphindent2"/>
      </w:pPr>
      <w:r w:rsidRPr="00986221">
        <w:t xml:space="preserve">Seek concurrence from </w:t>
      </w:r>
      <w:r w:rsidR="002E4746" w:rsidRPr="00986221">
        <w:t>PD</w:t>
      </w:r>
      <w:r w:rsidRPr="00986221">
        <w:t xml:space="preserve"> and DFAT within OM specified time limits.</w:t>
      </w:r>
    </w:p>
    <w:p w14:paraId="56B59BD6" w14:textId="77777777" w:rsidR="001312D8" w:rsidRPr="00986221" w:rsidRDefault="001312D8" w:rsidP="00612E0D">
      <w:pPr>
        <w:pStyle w:val="ListParagraphindent"/>
      </w:pPr>
      <w:r w:rsidRPr="00986221">
        <w:t xml:space="preserve">Work </w:t>
      </w:r>
      <w:r w:rsidRPr="00986221">
        <w:rPr>
          <w:b/>
        </w:rPr>
        <w:t>planning and reporting</w:t>
      </w:r>
      <w:r w:rsidRPr="00986221">
        <w:t xml:space="preserve">, including: </w:t>
      </w:r>
    </w:p>
    <w:p w14:paraId="10283EC8" w14:textId="77777777" w:rsidR="001312D8" w:rsidRPr="00986221" w:rsidRDefault="001312D8" w:rsidP="00F30D07">
      <w:pPr>
        <w:pStyle w:val="ListParagraphindent2"/>
      </w:pPr>
      <w:r w:rsidRPr="00986221">
        <w:t>Preparing consolidated annual work plans in line with OM requirements:</w:t>
      </w:r>
    </w:p>
    <w:p w14:paraId="72FD308E" w14:textId="77777777" w:rsidR="001312D8" w:rsidRPr="00986221" w:rsidRDefault="001312D8" w:rsidP="00F30D07">
      <w:pPr>
        <w:pStyle w:val="ListParagraphindent2"/>
      </w:pPr>
      <w:r w:rsidRPr="00986221">
        <w:t xml:space="preserve">Preparing quarterly consolidated program progress and issues reports. </w:t>
      </w:r>
    </w:p>
    <w:p w14:paraId="763CB6BC" w14:textId="77777777" w:rsidR="001312D8" w:rsidRPr="00986221" w:rsidRDefault="001312D8" w:rsidP="00F30D07">
      <w:pPr>
        <w:pStyle w:val="ListParagraphindent2"/>
      </w:pPr>
      <w:r w:rsidRPr="00986221">
        <w:t>Preparing quarterly work plans for the SAG and STA.</w:t>
      </w:r>
    </w:p>
    <w:p w14:paraId="6124D08E" w14:textId="51752766" w:rsidR="00F12B04" w:rsidRPr="00986221" w:rsidRDefault="001312D8" w:rsidP="00F30D07">
      <w:pPr>
        <w:pStyle w:val="ListParagraphindent2"/>
      </w:pPr>
      <w:r w:rsidRPr="00986221">
        <w:t xml:space="preserve">Preparing </w:t>
      </w:r>
      <w:r w:rsidRPr="00986221">
        <w:rPr>
          <w:b/>
        </w:rPr>
        <w:t>tasking notes</w:t>
      </w:r>
      <w:r w:rsidRPr="00986221">
        <w:t xml:space="preserve"> for the SAG and STA.</w:t>
      </w:r>
    </w:p>
    <w:p w14:paraId="789E662A" w14:textId="77777777" w:rsidR="008B3715" w:rsidRPr="00986221" w:rsidRDefault="008B3715" w:rsidP="00F30D07">
      <w:pPr>
        <w:pStyle w:val="ListParagraphindent"/>
        <w:rPr>
          <w:b/>
        </w:rPr>
      </w:pPr>
      <w:r w:rsidRPr="00986221">
        <w:rPr>
          <w:b/>
        </w:rPr>
        <w:t>Financial management and accountability</w:t>
      </w:r>
    </w:p>
    <w:p w14:paraId="6FC25C14" w14:textId="77777777" w:rsidR="008B3715" w:rsidRPr="00986221" w:rsidRDefault="008B3715" w:rsidP="00612E0D">
      <w:pPr>
        <w:pStyle w:val="ListParagraphindent2"/>
      </w:pPr>
      <w:r w:rsidRPr="00986221">
        <w:t>Ensuring annual and quarterly budgets (program and component levels) are prepared and reported on in line with OM requirements.</w:t>
      </w:r>
    </w:p>
    <w:p w14:paraId="0E53712A" w14:textId="002B0859" w:rsidR="008B3715" w:rsidRPr="00986221" w:rsidRDefault="008B3715" w:rsidP="00612E0D">
      <w:pPr>
        <w:pStyle w:val="ListParagraphindent2"/>
      </w:pPr>
      <w:r w:rsidRPr="00986221">
        <w:t xml:space="preserve">Overseeing Program compliance with OM requirements, and reporting any compliance issues to the </w:t>
      </w:r>
      <w:r w:rsidR="002E4746" w:rsidRPr="00986221">
        <w:t>PD</w:t>
      </w:r>
      <w:r w:rsidRPr="00986221">
        <w:t>.</w:t>
      </w:r>
    </w:p>
    <w:p w14:paraId="32292283" w14:textId="77777777" w:rsidR="008B3715" w:rsidRPr="00986221" w:rsidRDefault="008B3715" w:rsidP="00612E0D">
      <w:pPr>
        <w:pStyle w:val="ListParagraphindent2"/>
      </w:pPr>
      <w:r w:rsidRPr="00986221">
        <w:t>Organizing Program audits in accordance with OM requirements.</w:t>
      </w:r>
    </w:p>
    <w:p w14:paraId="76D292EF" w14:textId="77777777" w:rsidR="00612E0D" w:rsidRPr="00986221" w:rsidRDefault="00612E0D" w:rsidP="00612E0D">
      <w:pPr>
        <w:pStyle w:val="ListParagraphindent2"/>
      </w:pPr>
      <w:r w:rsidRPr="00986221">
        <w:t>Follow-up on any Audit recommendations</w:t>
      </w:r>
    </w:p>
    <w:p w14:paraId="513F28FC" w14:textId="22B5FCC6" w:rsidR="000E7250" w:rsidRPr="00986221" w:rsidRDefault="000E7250" w:rsidP="00F642E3">
      <w:pPr>
        <w:pStyle w:val="ListParagraphindent"/>
      </w:pPr>
      <w:r w:rsidRPr="00986221">
        <w:t xml:space="preserve">Provide </w:t>
      </w:r>
      <w:r w:rsidRPr="00986221">
        <w:rPr>
          <w:b/>
        </w:rPr>
        <w:t xml:space="preserve">administrative support </w:t>
      </w:r>
      <w:r w:rsidRPr="00986221">
        <w:t>to Program supported components and activities, including flexible fund activities</w:t>
      </w:r>
      <w:r w:rsidR="00F642E3" w:rsidRPr="00986221">
        <w:t xml:space="preserve"> (which are not delegated to the beneficiary agency for managing and disbursing resources) </w:t>
      </w:r>
      <w:r w:rsidRPr="00986221">
        <w:t>in</w:t>
      </w:r>
      <w:r w:rsidRPr="00986221">
        <w:rPr>
          <w:b/>
        </w:rPr>
        <w:t>:</w:t>
      </w:r>
      <w:r w:rsidRPr="00986221">
        <w:t xml:space="preserve"> </w:t>
      </w:r>
    </w:p>
    <w:p w14:paraId="7F143DBC" w14:textId="77777777" w:rsidR="000E7250" w:rsidRPr="00986221" w:rsidRDefault="000E7250" w:rsidP="00F30D07">
      <w:pPr>
        <w:pStyle w:val="ListParagraphindent2"/>
      </w:pPr>
      <w:r w:rsidRPr="00986221">
        <w:t>Financial management.</w:t>
      </w:r>
    </w:p>
    <w:p w14:paraId="46914E9B" w14:textId="77777777" w:rsidR="000E7250" w:rsidRPr="00986221" w:rsidRDefault="000E7250" w:rsidP="00F30D07">
      <w:pPr>
        <w:pStyle w:val="ListParagraphindent2"/>
        <w:rPr>
          <w:bCs/>
        </w:rPr>
      </w:pPr>
      <w:r w:rsidRPr="00986221">
        <w:t>Accessing international and national expertise (e.g. for project design, development of methodologies, and quality control of outputs (e.g. peer reviews)).</w:t>
      </w:r>
    </w:p>
    <w:p w14:paraId="5D2FFE6F" w14:textId="355B3F40" w:rsidR="00BF2C96" w:rsidRPr="00986221" w:rsidRDefault="000E7250" w:rsidP="00527A55">
      <w:pPr>
        <w:pStyle w:val="ListParagraphindent2"/>
      </w:pPr>
      <w:r w:rsidRPr="00986221">
        <w:t>Recruitment of consultants and procurement process.</w:t>
      </w:r>
    </w:p>
    <w:p w14:paraId="3345004E" w14:textId="77777777" w:rsidR="000E7250" w:rsidRPr="00986221" w:rsidRDefault="000E7250" w:rsidP="00F30D07">
      <w:pPr>
        <w:pStyle w:val="ListParagraphindent"/>
      </w:pPr>
      <w:r w:rsidRPr="00986221">
        <w:rPr>
          <w:b/>
        </w:rPr>
        <w:t>Communications and knowledge management</w:t>
      </w:r>
      <w:r w:rsidRPr="00986221">
        <w:t xml:space="preserve">. </w:t>
      </w:r>
    </w:p>
    <w:p w14:paraId="79297E55" w14:textId="77777777" w:rsidR="000E7250" w:rsidRPr="00986221" w:rsidRDefault="000E7250" w:rsidP="00F30D07">
      <w:pPr>
        <w:pStyle w:val="ListParagraphindent2"/>
      </w:pPr>
      <w:r w:rsidRPr="00986221">
        <w:t>Implementation of program communications and dialogue strategy.</w:t>
      </w:r>
    </w:p>
    <w:p w14:paraId="47E08674" w14:textId="77777777" w:rsidR="000E7250" w:rsidRPr="00986221" w:rsidRDefault="000E7250" w:rsidP="00F30D07">
      <w:pPr>
        <w:pStyle w:val="ListParagraphindent2"/>
      </w:pPr>
      <w:r w:rsidRPr="00986221">
        <w:t>Consolidate and communicate information on program results and lessons learned, including:</w:t>
      </w:r>
    </w:p>
    <w:p w14:paraId="0B92E87C" w14:textId="77777777" w:rsidR="000E7250" w:rsidRPr="00986221" w:rsidRDefault="000E7250" w:rsidP="00753041">
      <w:pPr>
        <w:pStyle w:val="ListParagraphindent3"/>
      </w:pPr>
      <w:r w:rsidRPr="00986221">
        <w:t xml:space="preserve">Develop and regularly update program website (program outputs and plans should be available from this web site: the website will be critical for both internal and external knowledge management and sharing) – building from CIEM website </w:t>
      </w:r>
    </w:p>
    <w:p w14:paraId="1DED9672" w14:textId="77777777" w:rsidR="000E7250" w:rsidRPr="00986221" w:rsidRDefault="000E7250" w:rsidP="00753041">
      <w:pPr>
        <w:pStyle w:val="ListParagraphindent3"/>
      </w:pPr>
      <w:r w:rsidRPr="00986221">
        <w:t>Ensure policy briefs produced and distributed for all relevant studies, events and reports.</w:t>
      </w:r>
    </w:p>
    <w:p w14:paraId="3EB14C23" w14:textId="77777777" w:rsidR="000E7250" w:rsidRPr="00986221" w:rsidRDefault="000E7250" w:rsidP="00F30D07">
      <w:pPr>
        <w:pStyle w:val="ListParagraphindent2"/>
      </w:pPr>
      <w:r w:rsidRPr="00986221">
        <w:t xml:space="preserve">Facilitating policy dialogue and collaboration between SAG, donors, program components and other stakeholders on MPER and related issues; </w:t>
      </w:r>
    </w:p>
    <w:p w14:paraId="32C2A173" w14:textId="77777777" w:rsidR="000E7250" w:rsidRPr="00986221" w:rsidRDefault="000E7250" w:rsidP="00F30D07">
      <w:pPr>
        <w:pStyle w:val="ListParagraphindent2"/>
      </w:pPr>
      <w:r w:rsidRPr="00986221">
        <w:t>Coordination with other donors working on related programs.</w:t>
      </w:r>
    </w:p>
    <w:p w14:paraId="6FB87E3C" w14:textId="2F83058E" w:rsidR="000E7250" w:rsidRPr="00986221" w:rsidRDefault="000E7250" w:rsidP="00753041">
      <w:pPr>
        <w:pStyle w:val="ListParagraphindent"/>
      </w:pPr>
      <w:r w:rsidRPr="00986221">
        <w:t xml:space="preserve">Provide </w:t>
      </w:r>
      <w:r w:rsidRPr="00986221">
        <w:rPr>
          <w:b/>
        </w:rPr>
        <w:t>other support</w:t>
      </w:r>
      <w:r w:rsidRPr="00986221">
        <w:t xml:space="preserve"> and information requested by the </w:t>
      </w:r>
      <w:r w:rsidR="002E4746" w:rsidRPr="00986221">
        <w:t>PD</w:t>
      </w:r>
      <w:r w:rsidRPr="00986221">
        <w:t>.</w:t>
      </w:r>
    </w:p>
    <w:p w14:paraId="70B1C491" w14:textId="77777777" w:rsidR="000E7250" w:rsidRPr="00986221" w:rsidRDefault="000E7250" w:rsidP="00753041">
      <w:pPr>
        <w:pStyle w:val="ListParagraphindent"/>
        <w:sectPr w:rsidR="000E7250" w:rsidRPr="00986221" w:rsidSect="00201D17">
          <w:pgSz w:w="11900" w:h="16840"/>
          <w:pgMar w:top="961" w:right="1134" w:bottom="1265" w:left="1134" w:header="568" w:footer="430" w:gutter="0"/>
          <w:cols w:space="708"/>
          <w:docGrid w:linePitch="360"/>
        </w:sectPr>
      </w:pPr>
    </w:p>
    <w:p w14:paraId="58DA8E4B" w14:textId="6CC585A6" w:rsidR="00BA70F1" w:rsidRPr="00986221" w:rsidRDefault="0018104C" w:rsidP="00BA70F1">
      <w:pPr>
        <w:pStyle w:val="Heading1"/>
        <w:numPr>
          <w:ilvl w:val="0"/>
          <w:numId w:val="0"/>
        </w:numPr>
        <w:ind w:left="720"/>
        <w:rPr>
          <w:rFonts w:ascii="Arial" w:hAnsi="Arial" w:cs="Arial"/>
        </w:rPr>
      </w:pPr>
      <w:bookmarkStart w:id="61" w:name="_Toc387322678"/>
      <w:r w:rsidRPr="00986221">
        <w:rPr>
          <w:rFonts w:ascii="Arial" w:hAnsi="Arial" w:cs="Arial"/>
        </w:rPr>
        <w:t>Appendix 3</w:t>
      </w:r>
      <w:r w:rsidR="00BA70F1" w:rsidRPr="00986221">
        <w:rPr>
          <w:rFonts w:ascii="Arial" w:hAnsi="Arial" w:cs="Arial"/>
        </w:rPr>
        <w:t xml:space="preserve">: </w:t>
      </w:r>
      <w:r w:rsidRPr="00986221">
        <w:rPr>
          <w:rFonts w:ascii="Arial" w:hAnsi="Arial" w:cs="Arial"/>
        </w:rPr>
        <w:t>The RCV</w:t>
      </w:r>
      <w:r w:rsidR="00BA70F1" w:rsidRPr="00986221">
        <w:rPr>
          <w:rFonts w:ascii="Arial" w:hAnsi="Arial" w:cs="Arial"/>
        </w:rPr>
        <w:t xml:space="preserve"> Flexible Fund</w:t>
      </w:r>
      <w:bookmarkEnd w:id="61"/>
    </w:p>
    <w:p w14:paraId="5391BCAB" w14:textId="77777777" w:rsidR="00BA70F1" w:rsidRPr="00986221" w:rsidRDefault="00BA70F1" w:rsidP="00BA70F1">
      <w:pPr>
        <w:pStyle w:val="Heading2"/>
      </w:pPr>
      <w:bookmarkStart w:id="62" w:name="_Toc387322679"/>
      <w:r w:rsidRPr="00986221">
        <w:t>Introduction</w:t>
      </w:r>
      <w:bookmarkEnd w:id="62"/>
    </w:p>
    <w:p w14:paraId="18FFDBC4" w14:textId="77777777" w:rsidR="00BA70F1" w:rsidRPr="00986221" w:rsidRDefault="00BA70F1" w:rsidP="00154C7D">
      <w:pPr>
        <w:pStyle w:val="ListParagraph"/>
        <w:numPr>
          <w:ilvl w:val="0"/>
          <w:numId w:val="17"/>
        </w:numPr>
        <w:ind w:left="426" w:hanging="426"/>
      </w:pPr>
      <w:r w:rsidRPr="00986221">
        <w:t>The purpose of the Flexible Fund is to provide a quick response mechanism that will allow CIEM and other agencies implementing the RCV to respond quickly to emerging priority issues relating to economic restructuring, the development of market economy institutions and/or economic integration.</w:t>
      </w:r>
    </w:p>
    <w:p w14:paraId="2A9EBA68" w14:textId="6B70770A" w:rsidR="00BA70F1" w:rsidRPr="00986221" w:rsidRDefault="00BA70F1" w:rsidP="00BB15A2">
      <w:pPr>
        <w:pStyle w:val="ListParagraph"/>
      </w:pPr>
      <w:r w:rsidRPr="00986221">
        <w:t xml:space="preserve">The Flexible Fund will initially have AUD </w:t>
      </w:r>
      <w:r w:rsidR="009F1932" w:rsidRPr="00986221">
        <w:t>6</w:t>
      </w:r>
      <w:r w:rsidRPr="00986221">
        <w:t>00,000 in resources to be disbursed over two years</w:t>
      </w:r>
      <w:r w:rsidR="009F1932" w:rsidRPr="00986221">
        <w:t xml:space="preserve"> 4 months</w:t>
      </w:r>
      <w:r w:rsidRPr="00986221">
        <w:t xml:space="preserve">. Any unused fund in the 3 individual components and the operation of the RCV </w:t>
      </w:r>
      <w:r w:rsidR="00485FC2" w:rsidRPr="00986221">
        <w:t>PCU</w:t>
      </w:r>
      <w:r w:rsidRPr="00986221">
        <w:t xml:space="preserve"> based in CIEM will be contributed to the Flexible Fund and vice versa.</w:t>
      </w:r>
    </w:p>
    <w:p w14:paraId="2661F735" w14:textId="77777777" w:rsidR="00BA70F1" w:rsidRPr="00986221" w:rsidRDefault="00BA70F1" w:rsidP="00BB15A2">
      <w:pPr>
        <w:pStyle w:val="ListParagraph"/>
      </w:pPr>
      <w:r w:rsidRPr="00986221">
        <w:t xml:space="preserve">There will be no formal call for proposals. Proposals may be submitted at any time. </w:t>
      </w:r>
    </w:p>
    <w:p w14:paraId="1755746A" w14:textId="562C511D" w:rsidR="00BA70F1" w:rsidRPr="00986221" w:rsidRDefault="00BA70F1" w:rsidP="00BB15A2">
      <w:pPr>
        <w:pStyle w:val="ListParagraph"/>
      </w:pPr>
      <w:r w:rsidRPr="00986221">
        <w:t xml:space="preserve">The </w:t>
      </w:r>
      <w:r w:rsidR="002E4746" w:rsidRPr="00986221">
        <w:t>PD</w:t>
      </w:r>
      <w:r w:rsidRPr="00986221">
        <w:t xml:space="preserve"> may identify specific priority areas for support and target institutions to submit proposals. The SAG, the </w:t>
      </w:r>
      <w:proofErr w:type="spellStart"/>
      <w:r w:rsidRPr="00986221">
        <w:t>GoA</w:t>
      </w:r>
      <w:proofErr w:type="spellEnd"/>
      <w:r w:rsidRPr="00986221">
        <w:t xml:space="preserve">, and/or the PCC members may suggest priority areas to the </w:t>
      </w:r>
      <w:r w:rsidR="002E4746" w:rsidRPr="00986221">
        <w:t>PD</w:t>
      </w:r>
      <w:r w:rsidRPr="00986221">
        <w:t xml:space="preserve"> through RCV </w:t>
      </w:r>
      <w:r w:rsidR="00485FC2" w:rsidRPr="00986221">
        <w:t>PCU</w:t>
      </w:r>
      <w:r w:rsidRPr="00986221">
        <w:t>.</w:t>
      </w:r>
    </w:p>
    <w:p w14:paraId="445FB6E9" w14:textId="4CA9DFB2" w:rsidR="00BA70F1" w:rsidRPr="00986221" w:rsidRDefault="00BA70F1" w:rsidP="00BB15A2">
      <w:pPr>
        <w:pStyle w:val="ListParagraph"/>
      </w:pPr>
      <w:r w:rsidRPr="00986221">
        <w:t xml:space="preserve">Based on proposals submitted through RCV </w:t>
      </w:r>
      <w:r w:rsidR="00485FC2" w:rsidRPr="00986221">
        <w:t>PCU</w:t>
      </w:r>
      <w:r w:rsidRPr="00986221">
        <w:t xml:space="preserve">, the </w:t>
      </w:r>
      <w:r w:rsidR="002E4746" w:rsidRPr="00986221">
        <w:t>PD</w:t>
      </w:r>
      <w:r w:rsidRPr="00986221">
        <w:t xml:space="preserve"> may request the SAG and/or STA to work with relevant agencies to develop proposals to be funded.</w:t>
      </w:r>
    </w:p>
    <w:p w14:paraId="26F8EF86" w14:textId="77777777" w:rsidR="00BA70F1" w:rsidRPr="00986221" w:rsidRDefault="00BA70F1" w:rsidP="00BB15A2">
      <w:pPr>
        <w:pStyle w:val="Heading2"/>
        <w:ind w:left="426"/>
      </w:pPr>
      <w:bookmarkStart w:id="63" w:name="_Toc387322680"/>
      <w:r w:rsidRPr="00986221">
        <w:t>Criteria for Selection of Projects for Funding from the Flexible Fund</w:t>
      </w:r>
      <w:bookmarkEnd w:id="63"/>
    </w:p>
    <w:p w14:paraId="3709AA38" w14:textId="77777777" w:rsidR="00BA70F1" w:rsidRPr="00986221" w:rsidRDefault="00BA70F1" w:rsidP="00BB15A2">
      <w:pPr>
        <w:pStyle w:val="ListParagraph"/>
      </w:pPr>
      <w:r w:rsidRPr="00986221">
        <w:t>Proposals being considered for Funding from the Flexible Fund must be designed to:</w:t>
      </w:r>
    </w:p>
    <w:p w14:paraId="08D3E536" w14:textId="4EED4D32" w:rsidR="00BA70F1" w:rsidRPr="00986221" w:rsidRDefault="00BA70F1" w:rsidP="00137BAF">
      <w:pPr>
        <w:pStyle w:val="ListParagraphindent"/>
      </w:pPr>
      <w:r w:rsidRPr="00986221">
        <w:t xml:space="preserve">Support the development and/or implementation of a priority reform issue (or issues) consistent with the MPER and/or the annual GoV resolution to implement the SEDP, and must directly support the law or policy making agenda of the </w:t>
      </w:r>
      <w:r w:rsidR="00790556" w:rsidRPr="00986221">
        <w:t>GoV</w:t>
      </w:r>
      <w:r w:rsidRPr="00986221">
        <w:t xml:space="preserve"> and/or N</w:t>
      </w:r>
      <w:r w:rsidR="00790556" w:rsidRPr="00986221">
        <w:t>A</w:t>
      </w:r>
      <w:r w:rsidRPr="00986221">
        <w:t xml:space="preserve"> including practical efforts on economic integration management; </w:t>
      </w:r>
      <w:r w:rsidRPr="00986221">
        <w:rPr>
          <w:b/>
          <w:i/>
        </w:rPr>
        <w:t>or</w:t>
      </w:r>
    </w:p>
    <w:p w14:paraId="440D0B4E" w14:textId="77777777" w:rsidR="00BA70F1" w:rsidRPr="00986221" w:rsidRDefault="00BA70F1" w:rsidP="00137BAF">
      <w:pPr>
        <w:pStyle w:val="ListParagraphindent"/>
      </w:pPr>
      <w:r w:rsidRPr="00986221">
        <w:t xml:space="preserve">Support the evaluation of impacts and/or issues arising from the implementation of the MPER and/or the longer term economic restructuring; </w:t>
      </w:r>
      <w:r w:rsidRPr="00986221">
        <w:rPr>
          <w:b/>
          <w:i/>
        </w:rPr>
        <w:t>or</w:t>
      </w:r>
    </w:p>
    <w:p w14:paraId="43777C23" w14:textId="77777777" w:rsidR="00BA70F1" w:rsidRPr="00986221" w:rsidRDefault="00BA70F1" w:rsidP="00137BAF">
      <w:pPr>
        <w:pStyle w:val="ListParagraphindent"/>
      </w:pPr>
      <w:r w:rsidRPr="00986221">
        <w:t xml:space="preserve">Provide input into future planning for economic restructuring (e.g. as input to the next SEDP 2016-2020 and/or the 30 year review of </w:t>
      </w:r>
      <w:proofErr w:type="spellStart"/>
      <w:r w:rsidRPr="00986221">
        <w:t>Doi</w:t>
      </w:r>
      <w:proofErr w:type="spellEnd"/>
      <w:r w:rsidRPr="00986221">
        <w:t xml:space="preserve"> </w:t>
      </w:r>
      <w:proofErr w:type="spellStart"/>
      <w:r w:rsidRPr="00986221">
        <w:t>Moi</w:t>
      </w:r>
      <w:proofErr w:type="spellEnd"/>
      <w:r w:rsidRPr="00986221">
        <w:t>).</w:t>
      </w:r>
    </w:p>
    <w:p w14:paraId="59E22B85" w14:textId="77777777" w:rsidR="00BA70F1" w:rsidRPr="00986221" w:rsidRDefault="00BA70F1" w:rsidP="00BA70F1">
      <w:pPr>
        <w:pStyle w:val="Heading2"/>
      </w:pPr>
      <w:bookmarkStart w:id="64" w:name="_Toc387322681"/>
      <w:r w:rsidRPr="00986221">
        <w:t>Proposals for Funding for the Flexible Fund</w:t>
      </w:r>
      <w:bookmarkEnd w:id="64"/>
    </w:p>
    <w:p w14:paraId="54AC813B" w14:textId="0DA4E29E" w:rsidR="00BA70F1" w:rsidRPr="00986221" w:rsidRDefault="00BA70F1" w:rsidP="00BB15A2">
      <w:pPr>
        <w:pStyle w:val="ListParagraph"/>
      </w:pPr>
      <w:r w:rsidRPr="00986221">
        <w:t>Subject to the criteria above, any Go</w:t>
      </w:r>
      <w:r w:rsidR="00790556" w:rsidRPr="00986221">
        <w:t>V</w:t>
      </w:r>
      <w:r w:rsidRPr="00986221">
        <w:t>, N</w:t>
      </w:r>
      <w:r w:rsidR="00790556" w:rsidRPr="00986221">
        <w:t>A</w:t>
      </w:r>
      <w:r w:rsidRPr="00986221">
        <w:t xml:space="preserve"> or </w:t>
      </w:r>
      <w:r w:rsidR="00790556" w:rsidRPr="00986221">
        <w:t>C</w:t>
      </w:r>
      <w:r w:rsidRPr="00986221">
        <w:t>P</w:t>
      </w:r>
      <w:r w:rsidR="00790556" w:rsidRPr="00986221">
        <w:t>V</w:t>
      </w:r>
      <w:r w:rsidRPr="00986221">
        <w:t xml:space="preserve"> agency, research institutions, and/or civil society organization with responsibilities directly related to the development and/or implementation of the MPER and annual SEDP may submit a proposal to the </w:t>
      </w:r>
      <w:r w:rsidR="002E4746" w:rsidRPr="00986221">
        <w:t>PD</w:t>
      </w:r>
      <w:r w:rsidRPr="00986221">
        <w:t xml:space="preserve"> for funding from the flexible fund.</w:t>
      </w:r>
    </w:p>
    <w:p w14:paraId="78E68E32" w14:textId="77777777" w:rsidR="00BA70F1" w:rsidRPr="00986221" w:rsidRDefault="00BA70F1" w:rsidP="00BB15A2">
      <w:pPr>
        <w:pStyle w:val="ListParagraph"/>
      </w:pPr>
      <w:r w:rsidRPr="00986221">
        <w:t xml:space="preserve">All proposals must be prepared in the prescribed format (as described in the OM) and include an expected results chain with details of targeted policy and/or institutional changes and expected beneficiaries. </w:t>
      </w:r>
    </w:p>
    <w:p w14:paraId="3FEA053B" w14:textId="50FE7B92" w:rsidR="00BA70F1" w:rsidRPr="00986221" w:rsidRDefault="00BA70F1" w:rsidP="00BB15A2">
      <w:pPr>
        <w:pStyle w:val="ListParagraph"/>
      </w:pPr>
      <w:r w:rsidRPr="00986221">
        <w:t xml:space="preserve">The </w:t>
      </w:r>
      <w:r w:rsidR="00485FC2" w:rsidRPr="00986221">
        <w:t>PCU</w:t>
      </w:r>
      <w:r w:rsidRPr="00986221">
        <w:t xml:space="preserve"> will be responsible for vetting proposals to ensure that the meet Flexible Fund guidelines and request STA, and/ or SAG members or relevant informed experts to review proposals prior to submission to the </w:t>
      </w:r>
      <w:r w:rsidR="002E4746" w:rsidRPr="00986221">
        <w:t>PD</w:t>
      </w:r>
      <w:r w:rsidRPr="00986221">
        <w:t xml:space="preserve"> and DFAT for final approval Comments and ratings should be obtained within 10 working days of receipt of a compliant proposal.</w:t>
      </w:r>
    </w:p>
    <w:p w14:paraId="0FD78606" w14:textId="77777777" w:rsidR="00BA70F1" w:rsidRPr="00986221" w:rsidRDefault="00BA70F1" w:rsidP="00BB15A2">
      <w:pPr>
        <w:pStyle w:val="ListParagraph"/>
      </w:pPr>
      <w:r w:rsidRPr="00986221">
        <w:t xml:space="preserve">The Appraisers will provide written comments and ratings. In addition to conforming that the proposal meets the above criteria, the expert(s) will rate each proposal against a limited set of key selection criteria, including: </w:t>
      </w:r>
    </w:p>
    <w:p w14:paraId="5A3D42A2" w14:textId="77777777" w:rsidR="00BA70F1" w:rsidRPr="00986221" w:rsidRDefault="00BA70F1" w:rsidP="00137BAF">
      <w:pPr>
        <w:pStyle w:val="ListParagraphindent"/>
      </w:pPr>
      <w:r w:rsidRPr="00986221">
        <w:t xml:space="preserve">Relevance to targeted criteria; </w:t>
      </w:r>
    </w:p>
    <w:p w14:paraId="7B32325D" w14:textId="77777777" w:rsidR="00BA70F1" w:rsidRPr="00986221" w:rsidRDefault="00BA70F1" w:rsidP="00137BAF">
      <w:pPr>
        <w:pStyle w:val="ListParagraphindent"/>
      </w:pPr>
      <w:r w:rsidRPr="00986221">
        <w:t xml:space="preserve">Design logic; </w:t>
      </w:r>
    </w:p>
    <w:p w14:paraId="4FC3211B" w14:textId="77777777" w:rsidR="00BA70F1" w:rsidRPr="00986221" w:rsidRDefault="00BA70F1" w:rsidP="00137BAF">
      <w:pPr>
        <w:pStyle w:val="ListParagraphindent"/>
      </w:pPr>
      <w:r w:rsidRPr="00986221">
        <w:t xml:space="preserve">Expected impacts and beneficiaries </w:t>
      </w:r>
    </w:p>
    <w:p w14:paraId="0BD9E473" w14:textId="77777777" w:rsidR="00BA70F1" w:rsidRPr="00986221" w:rsidRDefault="00BA70F1" w:rsidP="00137BAF">
      <w:pPr>
        <w:pStyle w:val="ListParagraphindent"/>
      </w:pPr>
      <w:r w:rsidRPr="00986221">
        <w:t xml:space="preserve">Contributions to promoting inclusive/equitable outcomes; </w:t>
      </w:r>
    </w:p>
    <w:p w14:paraId="411DC8DF" w14:textId="77777777" w:rsidR="00BA70F1" w:rsidRPr="00986221" w:rsidRDefault="00BA70F1" w:rsidP="00137BAF">
      <w:pPr>
        <w:pStyle w:val="ListParagraphindent"/>
      </w:pPr>
      <w:r w:rsidRPr="00986221">
        <w:t xml:space="preserve">Cost effectiveness (value for money) and risk. </w:t>
      </w:r>
    </w:p>
    <w:p w14:paraId="2EAFFC96" w14:textId="77777777" w:rsidR="00BA70F1" w:rsidRPr="00986221" w:rsidRDefault="00BA70F1" w:rsidP="00BB15A2">
      <w:pPr>
        <w:pStyle w:val="ListParagraph"/>
      </w:pPr>
      <w:r w:rsidRPr="00986221">
        <w:t>The Appraisers may suggest resubmission of unsuccessful proposals (details of ratings and cut-off points will be provided in the OM), with advice on changes needed to increase the probability of securing approval for promising proposals.</w:t>
      </w:r>
    </w:p>
    <w:p w14:paraId="3079DDB6" w14:textId="7DB7C413" w:rsidR="00BA70F1" w:rsidRPr="00986221" w:rsidRDefault="00BA70F1" w:rsidP="00BB15A2">
      <w:pPr>
        <w:pStyle w:val="ListParagraph"/>
      </w:pPr>
      <w:r w:rsidRPr="00986221">
        <w:t xml:space="preserve">Proposals rated successful (see OM) by the Appraisers will be consulted with DFAT prior to submission to the </w:t>
      </w:r>
      <w:r w:rsidR="002E4746" w:rsidRPr="00986221">
        <w:t>PD</w:t>
      </w:r>
      <w:r w:rsidRPr="00986221">
        <w:t xml:space="preserve"> for consideration. </w:t>
      </w:r>
    </w:p>
    <w:p w14:paraId="4E3B5314" w14:textId="77777777" w:rsidR="00BA70F1" w:rsidRPr="00986221" w:rsidRDefault="00BA70F1" w:rsidP="00BA70F1">
      <w:pPr>
        <w:pStyle w:val="Heading2"/>
      </w:pPr>
      <w:bookmarkStart w:id="65" w:name="_Toc387322682"/>
      <w:r w:rsidRPr="00986221">
        <w:t>Approving the Use of Flexible Funds</w:t>
      </w:r>
      <w:bookmarkEnd w:id="65"/>
    </w:p>
    <w:p w14:paraId="54EEF670" w14:textId="666D3D7C" w:rsidR="00BA70F1" w:rsidRPr="00986221" w:rsidRDefault="00BA70F1" w:rsidP="00BB15A2">
      <w:pPr>
        <w:pStyle w:val="ListParagraph"/>
      </w:pPr>
      <w:r w:rsidRPr="00986221">
        <w:t xml:space="preserve">The </w:t>
      </w:r>
      <w:r w:rsidR="002E4746" w:rsidRPr="00986221">
        <w:t>PD</w:t>
      </w:r>
      <w:r w:rsidRPr="00986221">
        <w:t xml:space="preserve"> is responsible for endorsing proposals for financing using of flexible funds.</w:t>
      </w:r>
    </w:p>
    <w:p w14:paraId="6E710E29" w14:textId="34FDCE2A" w:rsidR="00BA70F1" w:rsidRPr="00986221" w:rsidRDefault="00BA70F1" w:rsidP="00BB15A2">
      <w:pPr>
        <w:pStyle w:val="ListParagraph"/>
      </w:pPr>
      <w:r w:rsidRPr="00986221">
        <w:t xml:space="preserve">The </w:t>
      </w:r>
      <w:r w:rsidR="002E4746" w:rsidRPr="00986221">
        <w:t>PD</w:t>
      </w:r>
      <w:r w:rsidRPr="00986221">
        <w:t xml:space="preserve"> will submit endorsed proposals for funding greater than AUD 20,000 to DFAT for their no objection (i.e. final clearance to proceed with implementation).</w:t>
      </w:r>
    </w:p>
    <w:p w14:paraId="0239352E" w14:textId="7419BFB2" w:rsidR="00BA70F1" w:rsidRPr="00986221" w:rsidRDefault="00BA70F1" w:rsidP="00BB15A2">
      <w:pPr>
        <w:pStyle w:val="ListParagraph"/>
      </w:pPr>
      <w:r w:rsidRPr="00986221">
        <w:t xml:space="preserve">The DFAT representative will provide a response to the request for no-objection within 10 working days of receiving the request from the </w:t>
      </w:r>
      <w:r w:rsidR="002E4746" w:rsidRPr="00986221">
        <w:t>PD</w:t>
      </w:r>
      <w:r w:rsidRPr="00986221">
        <w:t>.</w:t>
      </w:r>
    </w:p>
    <w:p w14:paraId="67B9E9F8" w14:textId="04994929" w:rsidR="00BA70F1" w:rsidRPr="00986221" w:rsidRDefault="00BA70F1" w:rsidP="00BB15A2">
      <w:pPr>
        <w:pStyle w:val="ListParagraph"/>
      </w:pPr>
      <w:r w:rsidRPr="00986221">
        <w:t xml:space="preserve">The </w:t>
      </w:r>
      <w:r w:rsidR="002E4746" w:rsidRPr="00986221">
        <w:t>PD</w:t>
      </w:r>
      <w:r w:rsidRPr="00986221">
        <w:t xml:space="preserve"> will report on all decisions regarding flexible fund proposals (including brief justifications for the choices made) in quarterly and annual reports. </w:t>
      </w:r>
    </w:p>
    <w:p w14:paraId="6251BB24" w14:textId="77777777" w:rsidR="00BA70F1" w:rsidRPr="00986221" w:rsidRDefault="00BA70F1" w:rsidP="00BB15A2">
      <w:pPr>
        <w:pStyle w:val="Heading2"/>
        <w:ind w:left="426"/>
      </w:pPr>
      <w:bookmarkStart w:id="66" w:name="_Toc387322683"/>
      <w:r w:rsidRPr="00986221">
        <w:t>Use of Funds</w:t>
      </w:r>
      <w:bookmarkEnd w:id="66"/>
    </w:p>
    <w:p w14:paraId="74854212" w14:textId="77777777" w:rsidR="00BA70F1" w:rsidRPr="00986221" w:rsidRDefault="00BA70F1" w:rsidP="00BB15A2">
      <w:pPr>
        <w:pStyle w:val="ListParagraph"/>
      </w:pPr>
      <w:r w:rsidRPr="00986221">
        <w:t xml:space="preserve">CIEM, with the help of the Program Support Unit, will generally be responsible for managing and disbursing flexible fund resources in accordance with the RCV OM. </w:t>
      </w:r>
    </w:p>
    <w:p w14:paraId="37449F41" w14:textId="795D0D09" w:rsidR="00BA70F1" w:rsidRPr="00986221" w:rsidRDefault="00BA70F1" w:rsidP="00BB15A2">
      <w:pPr>
        <w:pStyle w:val="ListParagraph"/>
      </w:pPr>
      <w:r w:rsidRPr="00986221">
        <w:t xml:space="preserve">The </w:t>
      </w:r>
      <w:r w:rsidR="002E4746" w:rsidRPr="00986221">
        <w:t>PD</w:t>
      </w:r>
      <w:r w:rsidRPr="00986221">
        <w:t xml:space="preserve"> and DFAT may decide to delegate responsibility for managing and disbursing resources to the beneficiary agency depending on the nature of the proposed activities and the capacity of the implementing agency.</w:t>
      </w:r>
      <w:r w:rsidRPr="00986221" w:rsidDel="000D5C5C">
        <w:t xml:space="preserve"> </w:t>
      </w:r>
      <w:r w:rsidRPr="00986221">
        <w:t>The Director of any project with delegated responsibility would be subject to the same reporting and accountability obligations as a Component Director.</w:t>
      </w:r>
    </w:p>
    <w:p w14:paraId="5E9E5E0C" w14:textId="15D7FBA1" w:rsidR="00BA70F1" w:rsidRPr="00986221" w:rsidRDefault="00BA70F1" w:rsidP="00BB15A2">
      <w:pPr>
        <w:pStyle w:val="ListParagraph"/>
      </w:pPr>
      <w:r w:rsidRPr="00986221">
        <w:t xml:space="preserve">All institutions granted funding from the Flexible Fund must sign a contract with the </w:t>
      </w:r>
      <w:r w:rsidR="002E4746" w:rsidRPr="00986221">
        <w:t>PD</w:t>
      </w:r>
      <w:r w:rsidRPr="00986221">
        <w:t xml:space="preserve"> (or the representative of the </w:t>
      </w:r>
      <w:r w:rsidR="002E4746" w:rsidRPr="00986221">
        <w:t>PD</w:t>
      </w:r>
      <w:r w:rsidRPr="00986221">
        <w:t xml:space="preserve">) that all activities will be implemented in accordance with the RCV OM, and will be accountable to the </w:t>
      </w:r>
      <w:r w:rsidR="002E4746" w:rsidRPr="00986221">
        <w:t>PD</w:t>
      </w:r>
      <w:r w:rsidRPr="00986221">
        <w:t xml:space="preserve"> for proper and efficient use of funds. </w:t>
      </w:r>
    </w:p>
    <w:p w14:paraId="7C8ADF9A" w14:textId="77777777" w:rsidR="00BA70F1" w:rsidRPr="00986221" w:rsidRDefault="00BA70F1" w:rsidP="00BB15A2">
      <w:pPr>
        <w:pStyle w:val="ListParagraph"/>
      </w:pPr>
      <w:r w:rsidRPr="00986221">
        <w:t>Beneficiaries of the Flexible Fund must give due recognition to the RCV as the source of funding, and must be prepared to share all data and studies resulting from this support.</w:t>
      </w:r>
    </w:p>
    <w:p w14:paraId="76B110B3" w14:textId="77777777" w:rsidR="00BA70F1" w:rsidRPr="00986221" w:rsidRDefault="00BA70F1" w:rsidP="00BB15A2">
      <w:pPr>
        <w:pStyle w:val="ListParagraph"/>
      </w:pPr>
      <w:r w:rsidRPr="00986221">
        <w:t>The Flexible Fund cannot be used for funding and capital costs, equipment, and/or any regular expenditure of the requesting agency.</w:t>
      </w:r>
    </w:p>
    <w:p w14:paraId="1BB2F46B" w14:textId="77777777" w:rsidR="004E6A70" w:rsidRPr="00986221" w:rsidRDefault="004E6A70">
      <w:pPr>
        <w:spacing w:before="0"/>
        <w:rPr>
          <w:rFonts w:eastAsiaTheme="majorEastAsia" w:cs="Arial"/>
          <w:b/>
          <w:bCs/>
          <w:color w:val="345A8A" w:themeColor="accent1" w:themeShade="B5"/>
          <w:sz w:val="32"/>
          <w:szCs w:val="32"/>
        </w:rPr>
        <w:sectPr w:rsidR="004E6A70" w:rsidRPr="00986221" w:rsidSect="00201D17">
          <w:pgSz w:w="11900" w:h="16840"/>
          <w:pgMar w:top="1265" w:right="1134" w:bottom="961" w:left="1134" w:header="568" w:footer="430" w:gutter="0"/>
          <w:cols w:space="708"/>
          <w:docGrid w:linePitch="360"/>
        </w:sectPr>
      </w:pPr>
    </w:p>
    <w:p w14:paraId="4F7D4F2A" w14:textId="1BA17284" w:rsidR="00452FDA" w:rsidRPr="00986221" w:rsidRDefault="00452FDA">
      <w:pPr>
        <w:spacing w:before="0"/>
        <w:rPr>
          <w:rFonts w:eastAsiaTheme="majorEastAsia" w:cs="Arial"/>
          <w:b/>
          <w:bCs/>
          <w:color w:val="345A8A" w:themeColor="accent1" w:themeShade="B5"/>
          <w:sz w:val="32"/>
          <w:szCs w:val="32"/>
        </w:rPr>
      </w:pPr>
    </w:p>
    <w:p w14:paraId="03801D46" w14:textId="77777777" w:rsidR="00452FDA" w:rsidRPr="00986221" w:rsidRDefault="00452FDA" w:rsidP="009F01DA"/>
    <w:p w14:paraId="63966B6D" w14:textId="77777777" w:rsidR="002E1A25" w:rsidRPr="00986221" w:rsidRDefault="002E1A25" w:rsidP="002E1A25">
      <w:pPr>
        <w:rPr>
          <w:rFonts w:cs="Arial"/>
        </w:rPr>
      </w:pPr>
    </w:p>
    <w:p w14:paraId="3AD1375E" w14:textId="77777777" w:rsidR="001D6B5E" w:rsidRPr="00986221" w:rsidRDefault="001D6B5E" w:rsidP="002E1A25">
      <w:pPr>
        <w:rPr>
          <w:rFonts w:cs="Arial"/>
        </w:rPr>
      </w:pPr>
    </w:p>
    <w:p w14:paraId="66A59333" w14:textId="77777777" w:rsidR="00A40A18" w:rsidRPr="00986221" w:rsidRDefault="001D6B5E" w:rsidP="001D6B5E">
      <w:pPr>
        <w:rPr>
          <w:rFonts w:cs="Arial"/>
          <w:lang w:val="en-US"/>
        </w:rPr>
        <w:sectPr w:rsidR="00A40A18" w:rsidRPr="00986221" w:rsidSect="004E6A70">
          <w:type w:val="continuous"/>
          <w:pgSz w:w="11900" w:h="16840"/>
          <w:pgMar w:top="1265" w:right="1134" w:bottom="961" w:left="1134" w:header="568" w:footer="430" w:gutter="0"/>
          <w:cols w:space="708"/>
          <w:docGrid w:linePitch="360"/>
        </w:sectPr>
      </w:pPr>
      <w:r w:rsidRPr="00986221">
        <w:rPr>
          <w:rFonts w:cs="Arial"/>
          <w:lang w:val="en-US"/>
        </w:rPr>
        <w:t xml:space="preserve"> </w:t>
      </w:r>
    </w:p>
    <w:p w14:paraId="64FA7D5C" w14:textId="0CEF3A8C" w:rsidR="001D6B5E" w:rsidRPr="00986221" w:rsidRDefault="00A40A18" w:rsidP="004E6A70">
      <w:pPr>
        <w:pStyle w:val="Heading1"/>
        <w:numPr>
          <w:ilvl w:val="0"/>
          <w:numId w:val="0"/>
        </w:numPr>
        <w:ind w:left="360"/>
        <w:rPr>
          <w:rFonts w:ascii="Arial" w:hAnsi="Arial" w:cs="Arial"/>
        </w:rPr>
      </w:pPr>
      <w:bookmarkStart w:id="67" w:name="_Toc387322684"/>
      <w:r w:rsidRPr="00986221">
        <w:rPr>
          <w:rFonts w:ascii="Arial" w:hAnsi="Arial" w:cs="Arial"/>
        </w:rPr>
        <w:t xml:space="preserve">Appendix </w:t>
      </w:r>
      <w:r w:rsidR="004E6A70" w:rsidRPr="00986221">
        <w:rPr>
          <w:rFonts w:ascii="Arial" w:hAnsi="Arial" w:cs="Arial"/>
        </w:rPr>
        <w:t>4</w:t>
      </w:r>
      <w:r w:rsidRPr="00986221">
        <w:rPr>
          <w:rFonts w:ascii="Arial" w:hAnsi="Arial" w:cs="Arial"/>
        </w:rPr>
        <w:t>: Indicative Table of Contents for RCV Operation Manual</w:t>
      </w:r>
      <w:bookmarkEnd w:id="67"/>
    </w:p>
    <w:p w14:paraId="41A674BA" w14:textId="77777777" w:rsidR="007901CF" w:rsidRPr="00986221" w:rsidRDefault="007901CF" w:rsidP="007901CF">
      <w:pPr>
        <w:rPr>
          <w:rFonts w:cs="Arial"/>
        </w:rPr>
      </w:pPr>
    </w:p>
    <w:p w14:paraId="7A31430E" w14:textId="29D8E222" w:rsidR="007901CF" w:rsidRPr="00986221" w:rsidRDefault="007901CF" w:rsidP="007901CF">
      <w:pPr>
        <w:ind w:firstLine="360"/>
        <w:rPr>
          <w:rFonts w:cs="Arial"/>
          <w:b/>
          <w:sz w:val="22"/>
          <w:szCs w:val="22"/>
        </w:rPr>
      </w:pPr>
      <w:r w:rsidRPr="00986221">
        <w:rPr>
          <w:rFonts w:cs="Arial"/>
          <w:b/>
          <w:sz w:val="22"/>
          <w:szCs w:val="22"/>
        </w:rPr>
        <w:t xml:space="preserve">Part A. Overview of ERP </w:t>
      </w:r>
    </w:p>
    <w:p w14:paraId="0067EEAC" w14:textId="77777777" w:rsidR="007901CF" w:rsidRPr="00986221" w:rsidRDefault="007901CF" w:rsidP="007901CF">
      <w:pPr>
        <w:ind w:firstLine="360"/>
        <w:rPr>
          <w:rFonts w:cs="Arial"/>
          <w:b/>
          <w:sz w:val="22"/>
          <w:szCs w:val="22"/>
        </w:rPr>
      </w:pPr>
    </w:p>
    <w:p w14:paraId="4EE660A1" w14:textId="77777777" w:rsidR="007901CF" w:rsidRPr="00986221" w:rsidRDefault="007901CF" w:rsidP="007901CF">
      <w:pPr>
        <w:ind w:firstLine="360"/>
        <w:rPr>
          <w:rFonts w:cs="Arial"/>
          <w:b/>
          <w:sz w:val="22"/>
          <w:szCs w:val="22"/>
        </w:rPr>
      </w:pPr>
      <w:r w:rsidRPr="00986221">
        <w:rPr>
          <w:rFonts w:cs="Arial"/>
          <w:b/>
          <w:sz w:val="22"/>
          <w:szCs w:val="22"/>
        </w:rPr>
        <w:t>Part B. Institutional structure and responsibilities</w:t>
      </w:r>
    </w:p>
    <w:p w14:paraId="7715D3BB" w14:textId="77777777" w:rsidR="007901CF" w:rsidRPr="00986221" w:rsidRDefault="007901CF" w:rsidP="00154C7D">
      <w:pPr>
        <w:numPr>
          <w:ilvl w:val="0"/>
          <w:numId w:val="13"/>
        </w:numPr>
        <w:spacing w:before="0"/>
        <w:rPr>
          <w:rFonts w:cs="Arial"/>
          <w:sz w:val="22"/>
          <w:szCs w:val="22"/>
        </w:rPr>
      </w:pPr>
      <w:r w:rsidRPr="00986221">
        <w:rPr>
          <w:rFonts w:cs="Arial"/>
          <w:sz w:val="22"/>
          <w:szCs w:val="22"/>
        </w:rPr>
        <w:t>Organizational structure chart</w:t>
      </w:r>
    </w:p>
    <w:p w14:paraId="1B68A592" w14:textId="77777777" w:rsidR="007901CF" w:rsidRPr="00986221" w:rsidRDefault="007901CF" w:rsidP="00154C7D">
      <w:pPr>
        <w:numPr>
          <w:ilvl w:val="0"/>
          <w:numId w:val="13"/>
        </w:numPr>
        <w:spacing w:before="0"/>
        <w:rPr>
          <w:rFonts w:cs="Arial"/>
          <w:sz w:val="22"/>
          <w:szCs w:val="22"/>
        </w:rPr>
      </w:pPr>
      <w:r w:rsidRPr="00986221">
        <w:rPr>
          <w:rFonts w:cs="Arial"/>
          <w:sz w:val="22"/>
          <w:szCs w:val="22"/>
        </w:rPr>
        <w:t xml:space="preserve">National Program Director </w:t>
      </w:r>
    </w:p>
    <w:p w14:paraId="18A4969A" w14:textId="77777777" w:rsidR="007901CF" w:rsidRPr="00986221" w:rsidRDefault="007901CF" w:rsidP="00154C7D">
      <w:pPr>
        <w:numPr>
          <w:ilvl w:val="0"/>
          <w:numId w:val="13"/>
        </w:numPr>
        <w:spacing w:before="0"/>
        <w:rPr>
          <w:rFonts w:cs="Arial"/>
          <w:sz w:val="22"/>
          <w:szCs w:val="22"/>
        </w:rPr>
      </w:pPr>
      <w:r w:rsidRPr="00986221">
        <w:rPr>
          <w:rFonts w:cs="Arial"/>
          <w:sz w:val="22"/>
          <w:szCs w:val="22"/>
        </w:rPr>
        <w:t>DFAT Role</w:t>
      </w:r>
    </w:p>
    <w:p w14:paraId="7D324D23" w14:textId="77777777" w:rsidR="007901CF" w:rsidRPr="00986221" w:rsidRDefault="007901CF" w:rsidP="00154C7D">
      <w:pPr>
        <w:numPr>
          <w:ilvl w:val="0"/>
          <w:numId w:val="13"/>
        </w:numPr>
        <w:spacing w:before="0"/>
        <w:rPr>
          <w:rFonts w:cs="Arial"/>
          <w:sz w:val="22"/>
          <w:szCs w:val="22"/>
        </w:rPr>
      </w:pPr>
      <w:r w:rsidRPr="00986221">
        <w:rPr>
          <w:rFonts w:cs="Arial"/>
          <w:sz w:val="22"/>
          <w:szCs w:val="22"/>
        </w:rPr>
        <w:t>Program Coordinating Committee</w:t>
      </w:r>
    </w:p>
    <w:p w14:paraId="0DC62497" w14:textId="77777777" w:rsidR="007901CF" w:rsidRPr="00986221" w:rsidRDefault="007901CF" w:rsidP="00154C7D">
      <w:pPr>
        <w:numPr>
          <w:ilvl w:val="0"/>
          <w:numId w:val="13"/>
        </w:numPr>
        <w:spacing w:before="0"/>
        <w:rPr>
          <w:rFonts w:cs="Arial"/>
          <w:sz w:val="22"/>
          <w:szCs w:val="22"/>
        </w:rPr>
      </w:pPr>
      <w:r w:rsidRPr="00986221">
        <w:rPr>
          <w:rFonts w:cs="Arial"/>
          <w:sz w:val="22"/>
          <w:szCs w:val="22"/>
        </w:rPr>
        <w:t>Senior Technical Advisor (STA)</w:t>
      </w:r>
    </w:p>
    <w:p w14:paraId="0576657D" w14:textId="77777777" w:rsidR="007901CF" w:rsidRPr="00986221" w:rsidRDefault="007901CF" w:rsidP="00154C7D">
      <w:pPr>
        <w:numPr>
          <w:ilvl w:val="0"/>
          <w:numId w:val="13"/>
        </w:numPr>
        <w:spacing w:before="0"/>
        <w:rPr>
          <w:rFonts w:cs="Arial"/>
          <w:sz w:val="22"/>
          <w:szCs w:val="22"/>
        </w:rPr>
      </w:pPr>
      <w:r w:rsidRPr="00986221">
        <w:rPr>
          <w:rFonts w:cs="Arial"/>
          <w:sz w:val="22"/>
          <w:szCs w:val="22"/>
        </w:rPr>
        <w:t>Senior Advisory Group (SAG)</w:t>
      </w:r>
    </w:p>
    <w:p w14:paraId="2A201B77" w14:textId="0DCF1A48" w:rsidR="007901CF" w:rsidRPr="00986221" w:rsidRDefault="007901CF" w:rsidP="00154C7D">
      <w:pPr>
        <w:numPr>
          <w:ilvl w:val="0"/>
          <w:numId w:val="13"/>
        </w:numPr>
        <w:spacing w:before="0"/>
        <w:rPr>
          <w:rFonts w:cs="Arial"/>
          <w:sz w:val="22"/>
          <w:szCs w:val="22"/>
        </w:rPr>
      </w:pPr>
      <w:r w:rsidRPr="00986221">
        <w:rPr>
          <w:rFonts w:cs="Arial"/>
          <w:sz w:val="22"/>
          <w:szCs w:val="22"/>
        </w:rPr>
        <w:t>C</w:t>
      </w:r>
      <w:r w:rsidR="00DD5C76" w:rsidRPr="00986221">
        <w:rPr>
          <w:rFonts w:cs="Arial"/>
          <w:sz w:val="22"/>
          <w:szCs w:val="22"/>
        </w:rPr>
        <w:t xml:space="preserve">oordination Office (TORs for </w:t>
      </w:r>
      <w:r w:rsidR="00485FC2" w:rsidRPr="00986221">
        <w:rPr>
          <w:rFonts w:cs="Arial"/>
          <w:sz w:val="22"/>
          <w:szCs w:val="22"/>
        </w:rPr>
        <w:t>SPC-E</w:t>
      </w:r>
      <w:r w:rsidR="000C2FA0" w:rsidRPr="00986221">
        <w:rPr>
          <w:rFonts w:cs="Arial"/>
          <w:sz w:val="22"/>
          <w:szCs w:val="22"/>
        </w:rPr>
        <w:t xml:space="preserve"> and </w:t>
      </w:r>
      <w:r w:rsidRPr="00986221">
        <w:rPr>
          <w:rFonts w:cs="Arial"/>
          <w:sz w:val="22"/>
          <w:szCs w:val="22"/>
        </w:rPr>
        <w:t>supporting staff)</w:t>
      </w:r>
    </w:p>
    <w:p w14:paraId="2CCA80C5" w14:textId="77777777" w:rsidR="007901CF" w:rsidRPr="00986221" w:rsidRDefault="007901CF" w:rsidP="00154C7D">
      <w:pPr>
        <w:numPr>
          <w:ilvl w:val="0"/>
          <w:numId w:val="13"/>
        </w:numPr>
        <w:spacing w:before="0"/>
        <w:rPr>
          <w:rFonts w:cs="Arial"/>
          <w:sz w:val="22"/>
          <w:szCs w:val="22"/>
        </w:rPr>
      </w:pPr>
      <w:r w:rsidRPr="00986221">
        <w:rPr>
          <w:rFonts w:cs="Arial"/>
          <w:sz w:val="22"/>
          <w:szCs w:val="22"/>
        </w:rPr>
        <w:t>Component Director and Component Management Units</w:t>
      </w:r>
    </w:p>
    <w:p w14:paraId="6FBAC58D" w14:textId="77777777" w:rsidR="007901CF" w:rsidRPr="00986221" w:rsidRDefault="007901CF" w:rsidP="007901CF">
      <w:pPr>
        <w:ind w:left="720" w:hanging="294"/>
        <w:rPr>
          <w:rFonts w:cs="Arial"/>
          <w:b/>
          <w:sz w:val="22"/>
          <w:szCs w:val="22"/>
        </w:rPr>
      </w:pPr>
    </w:p>
    <w:p w14:paraId="6B39B711" w14:textId="77777777" w:rsidR="007901CF" w:rsidRPr="00986221" w:rsidRDefault="007901CF" w:rsidP="007901CF">
      <w:pPr>
        <w:ind w:left="720" w:hanging="294"/>
        <w:rPr>
          <w:rFonts w:cs="Arial"/>
          <w:b/>
          <w:sz w:val="22"/>
          <w:szCs w:val="22"/>
        </w:rPr>
      </w:pPr>
      <w:r w:rsidRPr="00986221">
        <w:rPr>
          <w:rFonts w:cs="Arial"/>
          <w:b/>
          <w:sz w:val="22"/>
          <w:szCs w:val="22"/>
        </w:rPr>
        <w:t>Part C. Implementation procedures</w:t>
      </w:r>
    </w:p>
    <w:p w14:paraId="20310954" w14:textId="77777777" w:rsidR="007901CF" w:rsidRPr="00986221" w:rsidRDefault="007901CF" w:rsidP="00154C7D">
      <w:pPr>
        <w:numPr>
          <w:ilvl w:val="0"/>
          <w:numId w:val="9"/>
        </w:numPr>
        <w:spacing w:before="0"/>
        <w:rPr>
          <w:rFonts w:cs="Arial"/>
          <w:sz w:val="22"/>
          <w:szCs w:val="22"/>
        </w:rPr>
      </w:pPr>
      <w:r w:rsidRPr="00986221">
        <w:rPr>
          <w:rFonts w:cs="Arial"/>
          <w:sz w:val="22"/>
          <w:szCs w:val="22"/>
        </w:rPr>
        <w:t>Annual program and component work plans (AWPs and CWPs)</w:t>
      </w:r>
    </w:p>
    <w:p w14:paraId="143FA2A0" w14:textId="77777777" w:rsidR="007901CF" w:rsidRPr="00986221" w:rsidRDefault="007901CF" w:rsidP="00154C7D">
      <w:pPr>
        <w:numPr>
          <w:ilvl w:val="0"/>
          <w:numId w:val="9"/>
        </w:numPr>
        <w:spacing w:before="0"/>
        <w:rPr>
          <w:rFonts w:cs="Arial"/>
          <w:sz w:val="22"/>
          <w:szCs w:val="22"/>
        </w:rPr>
      </w:pPr>
      <w:r w:rsidRPr="00986221">
        <w:rPr>
          <w:rFonts w:cs="Arial"/>
          <w:sz w:val="22"/>
          <w:szCs w:val="22"/>
        </w:rPr>
        <w:t>Annual program and component results reports (AWPs and CWPs)</w:t>
      </w:r>
    </w:p>
    <w:p w14:paraId="684E960F" w14:textId="77777777" w:rsidR="007901CF" w:rsidRPr="00986221" w:rsidRDefault="007901CF" w:rsidP="00154C7D">
      <w:pPr>
        <w:numPr>
          <w:ilvl w:val="0"/>
          <w:numId w:val="9"/>
        </w:numPr>
        <w:spacing w:before="0"/>
        <w:rPr>
          <w:rFonts w:cs="Arial"/>
          <w:sz w:val="22"/>
          <w:szCs w:val="22"/>
        </w:rPr>
      </w:pPr>
      <w:r w:rsidRPr="00986221">
        <w:rPr>
          <w:rFonts w:cs="Arial"/>
          <w:sz w:val="22"/>
          <w:szCs w:val="22"/>
        </w:rPr>
        <w:t>Appraisal and approval of substantive changes to components or AWPs</w:t>
      </w:r>
    </w:p>
    <w:p w14:paraId="29DFB7A9" w14:textId="77777777" w:rsidR="007901CF" w:rsidRPr="00986221" w:rsidRDefault="007901CF" w:rsidP="00154C7D">
      <w:pPr>
        <w:numPr>
          <w:ilvl w:val="0"/>
          <w:numId w:val="9"/>
        </w:numPr>
        <w:spacing w:before="0"/>
        <w:rPr>
          <w:rFonts w:cs="Arial"/>
          <w:sz w:val="22"/>
          <w:szCs w:val="22"/>
        </w:rPr>
      </w:pPr>
      <w:r w:rsidRPr="00986221">
        <w:rPr>
          <w:rFonts w:cs="Arial"/>
          <w:sz w:val="22"/>
          <w:szCs w:val="22"/>
        </w:rPr>
        <w:t xml:space="preserve">Monitoring, evaluation and periodic reporting </w:t>
      </w:r>
    </w:p>
    <w:p w14:paraId="06958BB1" w14:textId="77777777" w:rsidR="007901CF" w:rsidRPr="00986221" w:rsidRDefault="007901CF" w:rsidP="00154C7D">
      <w:pPr>
        <w:numPr>
          <w:ilvl w:val="0"/>
          <w:numId w:val="9"/>
        </w:numPr>
        <w:spacing w:before="0"/>
        <w:rPr>
          <w:rFonts w:cs="Arial"/>
          <w:sz w:val="22"/>
          <w:szCs w:val="22"/>
        </w:rPr>
      </w:pPr>
      <w:r w:rsidRPr="00986221">
        <w:rPr>
          <w:rFonts w:cs="Arial"/>
          <w:sz w:val="22"/>
          <w:szCs w:val="22"/>
        </w:rPr>
        <w:t>Communications and information sharing</w:t>
      </w:r>
    </w:p>
    <w:p w14:paraId="321CA8BE" w14:textId="77777777" w:rsidR="007901CF" w:rsidRPr="00986221" w:rsidRDefault="007901CF" w:rsidP="00154C7D">
      <w:pPr>
        <w:numPr>
          <w:ilvl w:val="0"/>
          <w:numId w:val="9"/>
        </w:numPr>
        <w:spacing w:before="0"/>
        <w:rPr>
          <w:rFonts w:cs="Arial"/>
          <w:sz w:val="22"/>
          <w:szCs w:val="22"/>
        </w:rPr>
      </w:pPr>
      <w:r w:rsidRPr="00986221">
        <w:rPr>
          <w:rFonts w:cs="Arial"/>
          <w:sz w:val="22"/>
          <w:szCs w:val="22"/>
        </w:rPr>
        <w:t>Flexible Fund</w:t>
      </w:r>
    </w:p>
    <w:p w14:paraId="108257A5" w14:textId="77777777" w:rsidR="007901CF" w:rsidRPr="00986221" w:rsidRDefault="007901CF" w:rsidP="007901CF">
      <w:pPr>
        <w:ind w:left="1080"/>
        <w:rPr>
          <w:rFonts w:cs="Arial"/>
          <w:sz w:val="22"/>
          <w:szCs w:val="22"/>
        </w:rPr>
      </w:pPr>
    </w:p>
    <w:p w14:paraId="73690784" w14:textId="77777777" w:rsidR="007901CF" w:rsidRPr="00986221" w:rsidRDefault="007901CF" w:rsidP="007901CF">
      <w:pPr>
        <w:ind w:left="720" w:hanging="294"/>
        <w:rPr>
          <w:rFonts w:cs="Arial"/>
          <w:b/>
          <w:sz w:val="22"/>
          <w:szCs w:val="22"/>
        </w:rPr>
      </w:pPr>
      <w:r w:rsidRPr="00986221">
        <w:rPr>
          <w:rFonts w:cs="Arial"/>
          <w:b/>
          <w:sz w:val="22"/>
          <w:szCs w:val="22"/>
        </w:rPr>
        <w:t>Part D. Financial management procedures</w:t>
      </w:r>
    </w:p>
    <w:p w14:paraId="1F524419" w14:textId="77777777" w:rsidR="007901CF" w:rsidRPr="00986221" w:rsidRDefault="007901CF" w:rsidP="00154C7D">
      <w:pPr>
        <w:numPr>
          <w:ilvl w:val="0"/>
          <w:numId w:val="12"/>
        </w:numPr>
        <w:spacing w:before="0"/>
        <w:rPr>
          <w:rFonts w:cs="Arial"/>
          <w:sz w:val="22"/>
          <w:szCs w:val="22"/>
        </w:rPr>
      </w:pPr>
      <w:r w:rsidRPr="00986221">
        <w:rPr>
          <w:rFonts w:cs="Arial"/>
          <w:sz w:val="22"/>
          <w:szCs w:val="22"/>
        </w:rPr>
        <w:t>Financial management mechanisms</w:t>
      </w:r>
    </w:p>
    <w:p w14:paraId="320B3159" w14:textId="77777777" w:rsidR="007901CF" w:rsidRPr="00986221" w:rsidRDefault="007901CF" w:rsidP="00154C7D">
      <w:pPr>
        <w:numPr>
          <w:ilvl w:val="0"/>
          <w:numId w:val="12"/>
        </w:numPr>
        <w:spacing w:before="0"/>
        <w:rPr>
          <w:rFonts w:cs="Arial"/>
          <w:sz w:val="22"/>
          <w:szCs w:val="22"/>
        </w:rPr>
      </w:pPr>
      <w:r w:rsidRPr="00986221">
        <w:rPr>
          <w:rFonts w:cs="Arial"/>
          <w:sz w:val="22"/>
          <w:szCs w:val="22"/>
        </w:rPr>
        <w:t>Budgeting</w:t>
      </w:r>
    </w:p>
    <w:p w14:paraId="7270FAFF" w14:textId="77777777" w:rsidR="007901CF" w:rsidRPr="00986221" w:rsidRDefault="007901CF" w:rsidP="00154C7D">
      <w:pPr>
        <w:numPr>
          <w:ilvl w:val="0"/>
          <w:numId w:val="12"/>
        </w:numPr>
        <w:spacing w:before="0"/>
        <w:rPr>
          <w:rFonts w:cs="Arial"/>
          <w:sz w:val="22"/>
          <w:szCs w:val="22"/>
        </w:rPr>
      </w:pPr>
      <w:r w:rsidRPr="00986221">
        <w:rPr>
          <w:rFonts w:cs="Arial"/>
          <w:sz w:val="22"/>
          <w:szCs w:val="22"/>
        </w:rPr>
        <w:t>Procurement and cost norms</w:t>
      </w:r>
    </w:p>
    <w:p w14:paraId="7359F667" w14:textId="77777777" w:rsidR="007901CF" w:rsidRPr="00986221" w:rsidRDefault="007901CF" w:rsidP="00154C7D">
      <w:pPr>
        <w:numPr>
          <w:ilvl w:val="0"/>
          <w:numId w:val="12"/>
        </w:numPr>
        <w:spacing w:before="0"/>
        <w:rPr>
          <w:rFonts w:cs="Arial"/>
          <w:sz w:val="22"/>
          <w:szCs w:val="22"/>
        </w:rPr>
      </w:pPr>
      <w:r w:rsidRPr="00986221">
        <w:rPr>
          <w:rFonts w:cs="Arial"/>
          <w:sz w:val="22"/>
          <w:szCs w:val="22"/>
        </w:rPr>
        <w:t>Disbursements</w:t>
      </w:r>
    </w:p>
    <w:p w14:paraId="5D4ED1AA" w14:textId="77777777" w:rsidR="007901CF" w:rsidRPr="00986221" w:rsidRDefault="007901CF" w:rsidP="00154C7D">
      <w:pPr>
        <w:numPr>
          <w:ilvl w:val="0"/>
          <w:numId w:val="12"/>
        </w:numPr>
        <w:spacing w:before="0"/>
        <w:rPr>
          <w:rFonts w:cs="Arial"/>
          <w:sz w:val="22"/>
          <w:szCs w:val="22"/>
        </w:rPr>
      </w:pPr>
      <w:r w:rsidRPr="00986221">
        <w:rPr>
          <w:rFonts w:cs="Arial"/>
          <w:sz w:val="22"/>
          <w:szCs w:val="22"/>
        </w:rPr>
        <w:t>Auditing</w:t>
      </w:r>
    </w:p>
    <w:p w14:paraId="33CE5787" w14:textId="77777777" w:rsidR="007901CF" w:rsidRPr="00986221" w:rsidRDefault="007901CF" w:rsidP="007901CF">
      <w:pPr>
        <w:ind w:left="1080"/>
        <w:rPr>
          <w:rFonts w:cs="Arial"/>
          <w:sz w:val="22"/>
          <w:szCs w:val="22"/>
        </w:rPr>
      </w:pPr>
    </w:p>
    <w:p w14:paraId="0E0097AF" w14:textId="77777777" w:rsidR="007901CF" w:rsidRPr="00986221" w:rsidRDefault="007901CF" w:rsidP="007901CF">
      <w:pPr>
        <w:ind w:left="1080" w:hanging="513"/>
        <w:rPr>
          <w:rFonts w:cs="Arial"/>
          <w:sz w:val="22"/>
          <w:szCs w:val="22"/>
        </w:rPr>
      </w:pPr>
      <w:r w:rsidRPr="00986221">
        <w:rPr>
          <w:rFonts w:cs="Arial"/>
          <w:b/>
          <w:sz w:val="22"/>
          <w:szCs w:val="22"/>
        </w:rPr>
        <w:t xml:space="preserve">Part E. Other provisions </w:t>
      </w:r>
    </w:p>
    <w:p w14:paraId="47C7CC8C" w14:textId="77777777" w:rsidR="007901CF" w:rsidRPr="00986221" w:rsidRDefault="007901CF" w:rsidP="00154C7D">
      <w:pPr>
        <w:numPr>
          <w:ilvl w:val="0"/>
          <w:numId w:val="11"/>
        </w:numPr>
        <w:spacing w:before="0"/>
        <w:rPr>
          <w:rFonts w:cs="Arial"/>
          <w:sz w:val="22"/>
          <w:szCs w:val="22"/>
        </w:rPr>
      </w:pPr>
      <w:r w:rsidRPr="00986221">
        <w:rPr>
          <w:rFonts w:cs="Arial"/>
          <w:sz w:val="22"/>
          <w:szCs w:val="22"/>
        </w:rPr>
        <w:t>Sanctions</w:t>
      </w:r>
    </w:p>
    <w:p w14:paraId="56FEE4A2" w14:textId="77777777" w:rsidR="007901CF" w:rsidRPr="00986221" w:rsidRDefault="007901CF" w:rsidP="00154C7D">
      <w:pPr>
        <w:numPr>
          <w:ilvl w:val="0"/>
          <w:numId w:val="11"/>
        </w:numPr>
        <w:spacing w:before="0"/>
        <w:rPr>
          <w:rFonts w:cs="Arial"/>
          <w:sz w:val="22"/>
          <w:szCs w:val="22"/>
        </w:rPr>
      </w:pPr>
      <w:r w:rsidRPr="00986221">
        <w:rPr>
          <w:rFonts w:cs="Arial"/>
          <w:sz w:val="22"/>
          <w:szCs w:val="22"/>
        </w:rPr>
        <w:t>Dealing with claims</w:t>
      </w:r>
    </w:p>
    <w:p w14:paraId="0B960986" w14:textId="77777777" w:rsidR="007901CF" w:rsidRPr="00986221" w:rsidRDefault="007901CF" w:rsidP="00154C7D">
      <w:pPr>
        <w:numPr>
          <w:ilvl w:val="0"/>
          <w:numId w:val="11"/>
        </w:numPr>
        <w:spacing w:before="0"/>
        <w:rPr>
          <w:rFonts w:cs="Arial"/>
          <w:sz w:val="22"/>
          <w:szCs w:val="22"/>
        </w:rPr>
      </w:pPr>
      <w:r w:rsidRPr="00986221">
        <w:rPr>
          <w:rFonts w:cs="Arial"/>
          <w:sz w:val="22"/>
          <w:szCs w:val="22"/>
        </w:rPr>
        <w:t>Anti-corruption</w:t>
      </w:r>
    </w:p>
    <w:p w14:paraId="247E2AC9" w14:textId="77777777" w:rsidR="007901CF" w:rsidRPr="00986221" w:rsidRDefault="007901CF" w:rsidP="007901CF">
      <w:pPr>
        <w:rPr>
          <w:rFonts w:cs="Arial"/>
          <w:sz w:val="22"/>
          <w:szCs w:val="22"/>
        </w:rPr>
      </w:pPr>
    </w:p>
    <w:p w14:paraId="173C20DC" w14:textId="77777777" w:rsidR="007901CF" w:rsidRPr="00986221" w:rsidRDefault="007901CF" w:rsidP="007901CF">
      <w:pPr>
        <w:ind w:firstLine="567"/>
        <w:rPr>
          <w:rFonts w:cs="Arial"/>
          <w:b/>
          <w:sz w:val="22"/>
          <w:szCs w:val="22"/>
        </w:rPr>
      </w:pPr>
      <w:r w:rsidRPr="00986221">
        <w:rPr>
          <w:rFonts w:cs="Arial"/>
          <w:b/>
          <w:sz w:val="22"/>
          <w:szCs w:val="22"/>
        </w:rPr>
        <w:t>Annexes</w:t>
      </w:r>
    </w:p>
    <w:p w14:paraId="78C56877" w14:textId="77777777" w:rsidR="007901CF" w:rsidRPr="00986221" w:rsidRDefault="007901CF" w:rsidP="00154C7D">
      <w:pPr>
        <w:numPr>
          <w:ilvl w:val="0"/>
          <w:numId w:val="10"/>
        </w:numPr>
        <w:spacing w:before="0"/>
        <w:rPr>
          <w:rFonts w:cs="Arial"/>
          <w:sz w:val="22"/>
          <w:szCs w:val="22"/>
        </w:rPr>
      </w:pPr>
      <w:r w:rsidRPr="00986221">
        <w:rPr>
          <w:rFonts w:cs="Arial"/>
          <w:sz w:val="22"/>
          <w:szCs w:val="22"/>
        </w:rPr>
        <w:t>Logical Framework and Results Indicators</w:t>
      </w:r>
    </w:p>
    <w:p w14:paraId="4845A78C" w14:textId="77777777" w:rsidR="007901CF" w:rsidRPr="00986221" w:rsidRDefault="007901CF" w:rsidP="00154C7D">
      <w:pPr>
        <w:numPr>
          <w:ilvl w:val="0"/>
          <w:numId w:val="10"/>
        </w:numPr>
        <w:spacing w:before="0"/>
        <w:rPr>
          <w:rFonts w:cs="Arial"/>
          <w:sz w:val="22"/>
          <w:szCs w:val="22"/>
        </w:rPr>
      </w:pPr>
      <w:r w:rsidRPr="00986221">
        <w:rPr>
          <w:rFonts w:cs="Arial"/>
          <w:sz w:val="22"/>
          <w:szCs w:val="22"/>
        </w:rPr>
        <w:t>Financial reporting formats</w:t>
      </w:r>
    </w:p>
    <w:p w14:paraId="33398BB0" w14:textId="77777777" w:rsidR="007901CF" w:rsidRPr="00986221" w:rsidRDefault="007901CF" w:rsidP="00154C7D">
      <w:pPr>
        <w:numPr>
          <w:ilvl w:val="0"/>
          <w:numId w:val="10"/>
        </w:numPr>
        <w:spacing w:before="0"/>
        <w:rPr>
          <w:rFonts w:cs="Arial"/>
          <w:sz w:val="22"/>
          <w:szCs w:val="22"/>
        </w:rPr>
      </w:pPr>
      <w:r w:rsidRPr="00986221">
        <w:rPr>
          <w:rFonts w:cs="Arial"/>
          <w:sz w:val="22"/>
          <w:szCs w:val="22"/>
        </w:rPr>
        <w:t>Quarterly progress report formats</w:t>
      </w:r>
    </w:p>
    <w:p w14:paraId="7BCE1998" w14:textId="2CB8D7ED" w:rsidR="008B3715" w:rsidRPr="00986221" w:rsidRDefault="008B3715" w:rsidP="00154C7D">
      <w:pPr>
        <w:numPr>
          <w:ilvl w:val="0"/>
          <w:numId w:val="10"/>
        </w:numPr>
        <w:spacing w:before="0"/>
        <w:rPr>
          <w:rFonts w:cs="Arial"/>
          <w:sz w:val="22"/>
          <w:szCs w:val="22"/>
        </w:rPr>
      </w:pPr>
      <w:r w:rsidRPr="00986221">
        <w:rPr>
          <w:rFonts w:cs="Arial"/>
          <w:sz w:val="22"/>
          <w:szCs w:val="22"/>
        </w:rPr>
        <w:t>Annual progress report formats</w:t>
      </w:r>
    </w:p>
    <w:p w14:paraId="4A4074BE" w14:textId="25CB681A" w:rsidR="008B3715" w:rsidRPr="00986221" w:rsidRDefault="008B3715" w:rsidP="00154C7D">
      <w:pPr>
        <w:numPr>
          <w:ilvl w:val="0"/>
          <w:numId w:val="10"/>
        </w:numPr>
        <w:spacing w:before="0"/>
        <w:rPr>
          <w:rFonts w:cs="Arial"/>
          <w:sz w:val="22"/>
          <w:szCs w:val="22"/>
        </w:rPr>
      </w:pPr>
      <w:r w:rsidRPr="00986221">
        <w:rPr>
          <w:rFonts w:cs="Arial"/>
          <w:sz w:val="22"/>
          <w:szCs w:val="22"/>
        </w:rPr>
        <w:t>Final report formats</w:t>
      </w:r>
    </w:p>
    <w:p w14:paraId="41B0B302" w14:textId="77777777" w:rsidR="007901CF" w:rsidRPr="00986221" w:rsidRDefault="007901CF" w:rsidP="00154C7D">
      <w:pPr>
        <w:numPr>
          <w:ilvl w:val="0"/>
          <w:numId w:val="10"/>
        </w:numPr>
        <w:spacing w:before="0"/>
        <w:rPr>
          <w:rFonts w:cs="Arial"/>
          <w:sz w:val="22"/>
          <w:szCs w:val="22"/>
        </w:rPr>
      </w:pPr>
      <w:r w:rsidRPr="00986221">
        <w:rPr>
          <w:rFonts w:cs="Arial"/>
          <w:sz w:val="22"/>
          <w:szCs w:val="22"/>
        </w:rPr>
        <w:t>Activity Evaluation Formats</w:t>
      </w:r>
    </w:p>
    <w:p w14:paraId="32D025ED" w14:textId="77777777" w:rsidR="007901CF" w:rsidRPr="00986221" w:rsidRDefault="007901CF" w:rsidP="00154C7D">
      <w:pPr>
        <w:numPr>
          <w:ilvl w:val="1"/>
          <w:numId w:val="10"/>
        </w:numPr>
        <w:spacing w:before="0"/>
        <w:rPr>
          <w:rFonts w:cs="Arial"/>
          <w:sz w:val="22"/>
          <w:szCs w:val="22"/>
        </w:rPr>
      </w:pPr>
      <w:r w:rsidRPr="00986221">
        <w:rPr>
          <w:rFonts w:cs="Arial"/>
          <w:sz w:val="22"/>
          <w:szCs w:val="22"/>
        </w:rPr>
        <w:t>Workshops</w:t>
      </w:r>
    </w:p>
    <w:p w14:paraId="764BB289" w14:textId="77777777" w:rsidR="007901CF" w:rsidRPr="00986221" w:rsidRDefault="007901CF" w:rsidP="00154C7D">
      <w:pPr>
        <w:numPr>
          <w:ilvl w:val="1"/>
          <w:numId w:val="10"/>
        </w:numPr>
        <w:spacing w:before="0"/>
        <w:rPr>
          <w:rFonts w:cs="Arial"/>
          <w:sz w:val="22"/>
          <w:szCs w:val="22"/>
        </w:rPr>
      </w:pPr>
      <w:r w:rsidRPr="00986221">
        <w:rPr>
          <w:rFonts w:cs="Arial"/>
          <w:sz w:val="22"/>
          <w:szCs w:val="22"/>
        </w:rPr>
        <w:t>Training courses</w:t>
      </w:r>
    </w:p>
    <w:p w14:paraId="510D2FE0" w14:textId="77777777" w:rsidR="007901CF" w:rsidRPr="00986221" w:rsidRDefault="007901CF" w:rsidP="00154C7D">
      <w:pPr>
        <w:numPr>
          <w:ilvl w:val="1"/>
          <w:numId w:val="10"/>
        </w:numPr>
        <w:spacing w:before="0"/>
        <w:rPr>
          <w:rFonts w:cs="Arial"/>
          <w:sz w:val="22"/>
          <w:szCs w:val="22"/>
        </w:rPr>
      </w:pPr>
      <w:r w:rsidRPr="00986221">
        <w:rPr>
          <w:rFonts w:cs="Arial"/>
          <w:sz w:val="22"/>
          <w:szCs w:val="22"/>
        </w:rPr>
        <w:t>Study tours</w:t>
      </w:r>
    </w:p>
    <w:p w14:paraId="01F272D4" w14:textId="77777777" w:rsidR="007901CF" w:rsidRPr="00986221" w:rsidRDefault="007901CF" w:rsidP="00154C7D">
      <w:pPr>
        <w:numPr>
          <w:ilvl w:val="0"/>
          <w:numId w:val="10"/>
        </w:numPr>
        <w:spacing w:before="0"/>
        <w:rPr>
          <w:rFonts w:cs="Arial"/>
          <w:sz w:val="22"/>
          <w:szCs w:val="22"/>
        </w:rPr>
      </w:pPr>
      <w:r w:rsidRPr="00986221">
        <w:rPr>
          <w:rFonts w:cs="Arial"/>
          <w:sz w:val="22"/>
          <w:szCs w:val="22"/>
        </w:rPr>
        <w:t xml:space="preserve">Guidance on Knowledge Products </w:t>
      </w:r>
    </w:p>
    <w:p w14:paraId="5D098CEE" w14:textId="64E08267" w:rsidR="008B3715" w:rsidRPr="00986221" w:rsidRDefault="008B3715" w:rsidP="00CD2733">
      <w:pPr>
        <w:rPr>
          <w:rFonts w:cs="Arial"/>
          <w:sz w:val="28"/>
          <w:szCs w:val="28"/>
        </w:rPr>
        <w:sectPr w:rsidR="008B3715" w:rsidRPr="00986221" w:rsidSect="00201D17">
          <w:pgSz w:w="11900" w:h="16840"/>
          <w:pgMar w:top="961" w:right="1134" w:bottom="1265" w:left="1134" w:header="568" w:footer="430" w:gutter="0"/>
          <w:cols w:space="708"/>
          <w:docGrid w:linePitch="360"/>
        </w:sectPr>
      </w:pPr>
    </w:p>
    <w:p w14:paraId="59439D69" w14:textId="1F5D817D" w:rsidR="00452FDA" w:rsidRPr="00986221" w:rsidRDefault="00452FDA" w:rsidP="00CD2733">
      <w:pPr>
        <w:pStyle w:val="Heading1"/>
        <w:numPr>
          <w:ilvl w:val="0"/>
          <w:numId w:val="0"/>
        </w:numPr>
      </w:pPr>
      <w:bookmarkStart w:id="68" w:name="_Toc387322685"/>
      <w:r w:rsidRPr="00986221">
        <w:t xml:space="preserve">Appendix </w:t>
      </w:r>
      <w:r w:rsidR="004E6A70" w:rsidRPr="00986221">
        <w:t>5</w:t>
      </w:r>
      <w:r w:rsidRPr="00986221">
        <w:t xml:space="preserve">: Risk </w:t>
      </w:r>
      <w:r w:rsidR="00E07608" w:rsidRPr="00986221">
        <w:t>Management Plan</w:t>
      </w:r>
      <w:bookmarkEnd w:id="68"/>
    </w:p>
    <w:tbl>
      <w:tblPr>
        <w:tblW w:w="15533" w:type="dxa"/>
        <w:tblInd w:w="-601" w:type="dxa"/>
        <w:tblLayout w:type="fixed"/>
        <w:tblLook w:val="04A0" w:firstRow="1" w:lastRow="0" w:firstColumn="1" w:lastColumn="0" w:noHBand="0" w:noVBand="1"/>
      </w:tblPr>
      <w:tblGrid>
        <w:gridCol w:w="567"/>
        <w:gridCol w:w="2127"/>
        <w:gridCol w:w="1984"/>
        <w:gridCol w:w="1291"/>
        <w:gridCol w:w="1080"/>
        <w:gridCol w:w="1036"/>
        <w:gridCol w:w="4683"/>
        <w:gridCol w:w="1418"/>
        <w:gridCol w:w="1347"/>
      </w:tblGrid>
      <w:tr w:rsidR="00E07608" w:rsidRPr="00986221" w14:paraId="651B470D" w14:textId="77777777" w:rsidTr="00DF3DD6">
        <w:trPr>
          <w:trHeight w:val="280"/>
          <w:tblHeader/>
        </w:trPr>
        <w:tc>
          <w:tcPr>
            <w:tcW w:w="567" w:type="dxa"/>
            <w:vMerge w:val="restart"/>
            <w:tcBorders>
              <w:top w:val="single" w:sz="4" w:space="0" w:color="auto"/>
              <w:left w:val="single" w:sz="4" w:space="0" w:color="auto"/>
              <w:bottom w:val="single" w:sz="4" w:space="0" w:color="auto"/>
              <w:right w:val="single" w:sz="4" w:space="0" w:color="auto"/>
            </w:tcBorders>
            <w:shd w:val="clear" w:color="000000" w:fill="BFBFBF"/>
            <w:hideMark/>
          </w:tcPr>
          <w:p w14:paraId="507FBE53" w14:textId="77777777" w:rsidR="00E07608" w:rsidRPr="00986221" w:rsidRDefault="00E07608" w:rsidP="00DF3DD6">
            <w:pPr>
              <w:spacing w:before="0"/>
              <w:jc w:val="center"/>
              <w:rPr>
                <w:rFonts w:cs="Arial"/>
                <w:b/>
                <w:bCs/>
                <w:color w:val="000000"/>
                <w:szCs w:val="20"/>
              </w:rPr>
            </w:pPr>
            <w:r w:rsidRPr="00986221">
              <w:rPr>
                <w:rFonts w:cs="Arial"/>
                <w:b/>
                <w:bCs/>
                <w:color w:val="000000"/>
                <w:szCs w:val="20"/>
              </w:rPr>
              <w:t>No</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BFBFBF"/>
            <w:hideMark/>
          </w:tcPr>
          <w:p w14:paraId="4FB547AC" w14:textId="77777777" w:rsidR="00E07608" w:rsidRPr="00986221" w:rsidRDefault="00E07608" w:rsidP="00DF3DD6">
            <w:pPr>
              <w:spacing w:before="0"/>
              <w:rPr>
                <w:rFonts w:cs="Arial"/>
                <w:b/>
                <w:bCs/>
                <w:color w:val="000000"/>
                <w:szCs w:val="20"/>
              </w:rPr>
            </w:pPr>
            <w:r w:rsidRPr="00986221">
              <w:rPr>
                <w:rFonts w:cs="Arial"/>
                <w:b/>
                <w:bCs/>
                <w:color w:val="000000"/>
                <w:szCs w:val="20"/>
              </w:rPr>
              <w:t>Description of Risks</w:t>
            </w:r>
            <w:r w:rsidRPr="00986221">
              <w:rPr>
                <w:rFonts w:cs="Arial"/>
                <w:b/>
                <w:bCs/>
                <w:color w:val="000000"/>
                <w:szCs w:val="20"/>
              </w:rPr>
              <w:br/>
              <w:t xml:space="preserve"> </w:t>
            </w:r>
          </w:p>
        </w:tc>
        <w:tc>
          <w:tcPr>
            <w:tcW w:w="1984" w:type="dxa"/>
            <w:vMerge w:val="restart"/>
            <w:tcBorders>
              <w:top w:val="single" w:sz="4" w:space="0" w:color="auto"/>
              <w:left w:val="single" w:sz="4" w:space="0" w:color="auto"/>
              <w:bottom w:val="single" w:sz="4" w:space="0" w:color="000000"/>
              <w:right w:val="single" w:sz="4" w:space="0" w:color="auto"/>
            </w:tcBorders>
            <w:shd w:val="clear" w:color="000000" w:fill="BFBFBF"/>
            <w:hideMark/>
          </w:tcPr>
          <w:p w14:paraId="788B834C" w14:textId="77777777" w:rsidR="00E07608" w:rsidRPr="00986221" w:rsidRDefault="00E07608" w:rsidP="00DF3DD6">
            <w:pPr>
              <w:spacing w:before="0"/>
              <w:rPr>
                <w:rFonts w:cs="Arial"/>
                <w:b/>
                <w:bCs/>
                <w:color w:val="000000"/>
                <w:szCs w:val="20"/>
              </w:rPr>
            </w:pPr>
            <w:r w:rsidRPr="00986221">
              <w:rPr>
                <w:rFonts w:cs="Arial"/>
                <w:b/>
                <w:bCs/>
                <w:color w:val="000000"/>
                <w:szCs w:val="20"/>
              </w:rPr>
              <w:t>Impacts</w:t>
            </w:r>
          </w:p>
        </w:tc>
        <w:tc>
          <w:tcPr>
            <w:tcW w:w="3407" w:type="dxa"/>
            <w:gridSpan w:val="3"/>
            <w:tcBorders>
              <w:top w:val="single" w:sz="4" w:space="0" w:color="auto"/>
              <w:left w:val="nil"/>
              <w:bottom w:val="single" w:sz="4" w:space="0" w:color="auto"/>
              <w:right w:val="single" w:sz="4" w:space="0" w:color="auto"/>
            </w:tcBorders>
            <w:shd w:val="clear" w:color="000000" w:fill="BFBFBF"/>
            <w:hideMark/>
          </w:tcPr>
          <w:p w14:paraId="1B38F771" w14:textId="77777777" w:rsidR="00E07608" w:rsidRPr="00986221" w:rsidRDefault="00E07608" w:rsidP="00DF3DD6">
            <w:pPr>
              <w:spacing w:before="0"/>
              <w:rPr>
                <w:rFonts w:cs="Arial"/>
                <w:b/>
                <w:bCs/>
                <w:color w:val="000000"/>
                <w:szCs w:val="20"/>
              </w:rPr>
            </w:pPr>
            <w:r w:rsidRPr="00986221">
              <w:rPr>
                <w:rFonts w:cs="Arial"/>
                <w:b/>
                <w:bCs/>
                <w:color w:val="000000"/>
                <w:szCs w:val="20"/>
              </w:rPr>
              <w:t>Risk rating</w:t>
            </w:r>
          </w:p>
        </w:tc>
        <w:tc>
          <w:tcPr>
            <w:tcW w:w="4683" w:type="dxa"/>
            <w:vMerge w:val="restart"/>
            <w:tcBorders>
              <w:top w:val="single" w:sz="4" w:space="0" w:color="auto"/>
              <w:left w:val="single" w:sz="4" w:space="0" w:color="auto"/>
              <w:bottom w:val="single" w:sz="4" w:space="0" w:color="auto"/>
              <w:right w:val="single" w:sz="4" w:space="0" w:color="auto"/>
            </w:tcBorders>
            <w:shd w:val="clear" w:color="000000" w:fill="BFBFBF"/>
            <w:hideMark/>
          </w:tcPr>
          <w:p w14:paraId="73797533" w14:textId="77777777" w:rsidR="00E07608" w:rsidRPr="00986221" w:rsidRDefault="00E07608" w:rsidP="00DF3DD6">
            <w:pPr>
              <w:spacing w:before="0"/>
              <w:rPr>
                <w:rFonts w:cs="Arial"/>
                <w:b/>
                <w:bCs/>
                <w:color w:val="000000"/>
                <w:szCs w:val="20"/>
              </w:rPr>
            </w:pPr>
            <w:r w:rsidRPr="00986221">
              <w:rPr>
                <w:rFonts w:cs="Arial"/>
                <w:b/>
                <w:bCs/>
                <w:color w:val="000000"/>
                <w:szCs w:val="20"/>
              </w:rPr>
              <w:t>Management response</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BFBFBF"/>
            <w:hideMark/>
          </w:tcPr>
          <w:p w14:paraId="15922CDA" w14:textId="77777777" w:rsidR="00E07608" w:rsidRPr="00986221" w:rsidRDefault="00E07608" w:rsidP="00DF3DD6">
            <w:pPr>
              <w:spacing w:before="0"/>
              <w:rPr>
                <w:rFonts w:cs="Arial"/>
                <w:b/>
                <w:bCs/>
                <w:color w:val="000000"/>
                <w:szCs w:val="20"/>
              </w:rPr>
            </w:pPr>
            <w:r w:rsidRPr="00986221">
              <w:rPr>
                <w:rFonts w:cs="Arial"/>
                <w:b/>
                <w:bCs/>
                <w:color w:val="000000"/>
                <w:szCs w:val="20"/>
              </w:rPr>
              <w:t>Residual risk rating</w:t>
            </w:r>
          </w:p>
        </w:tc>
        <w:tc>
          <w:tcPr>
            <w:tcW w:w="1347" w:type="dxa"/>
            <w:vMerge w:val="restart"/>
            <w:tcBorders>
              <w:top w:val="single" w:sz="4" w:space="0" w:color="auto"/>
              <w:left w:val="single" w:sz="4" w:space="0" w:color="auto"/>
              <w:bottom w:val="single" w:sz="4" w:space="0" w:color="auto"/>
              <w:right w:val="single" w:sz="4" w:space="0" w:color="auto"/>
            </w:tcBorders>
            <w:shd w:val="clear" w:color="000000" w:fill="BFBFBF"/>
            <w:hideMark/>
          </w:tcPr>
          <w:p w14:paraId="23CF5C79" w14:textId="77777777" w:rsidR="00E07608" w:rsidRPr="00986221" w:rsidRDefault="00E07608" w:rsidP="00DF3DD6">
            <w:pPr>
              <w:spacing w:before="0"/>
              <w:rPr>
                <w:rFonts w:cs="Arial"/>
                <w:b/>
                <w:bCs/>
                <w:color w:val="000000"/>
                <w:szCs w:val="20"/>
              </w:rPr>
            </w:pPr>
            <w:r w:rsidRPr="00986221">
              <w:rPr>
                <w:rFonts w:cs="Arial"/>
                <w:b/>
                <w:bCs/>
                <w:color w:val="000000"/>
                <w:szCs w:val="20"/>
              </w:rPr>
              <w:t>Owner</w:t>
            </w:r>
          </w:p>
        </w:tc>
      </w:tr>
      <w:tr w:rsidR="00E07608" w:rsidRPr="00986221" w14:paraId="62E091D3" w14:textId="77777777" w:rsidTr="00DF3DD6">
        <w:trPr>
          <w:trHeight w:val="480"/>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281A74B" w14:textId="77777777" w:rsidR="00E07608" w:rsidRPr="00986221" w:rsidRDefault="00E07608" w:rsidP="00DF3DD6">
            <w:pPr>
              <w:spacing w:before="0"/>
              <w:rPr>
                <w:rFonts w:cs="Arial"/>
                <w:b/>
                <w:bCs/>
                <w:color w:val="00000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22FBE5D4" w14:textId="77777777" w:rsidR="00E07608" w:rsidRPr="00986221" w:rsidRDefault="00E07608" w:rsidP="00DF3DD6">
            <w:pPr>
              <w:spacing w:before="0"/>
              <w:rPr>
                <w:rFonts w:cs="Arial"/>
                <w:b/>
                <w:bCs/>
                <w:color w:val="000000"/>
                <w:szCs w:val="20"/>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34ACB9FA" w14:textId="77777777" w:rsidR="00E07608" w:rsidRPr="00986221" w:rsidRDefault="00E07608" w:rsidP="00DF3DD6">
            <w:pPr>
              <w:spacing w:before="0"/>
              <w:rPr>
                <w:rFonts w:cs="Arial"/>
                <w:b/>
                <w:bCs/>
                <w:color w:val="000000"/>
                <w:szCs w:val="20"/>
              </w:rPr>
            </w:pPr>
          </w:p>
        </w:tc>
        <w:tc>
          <w:tcPr>
            <w:tcW w:w="1291" w:type="dxa"/>
            <w:tcBorders>
              <w:top w:val="nil"/>
              <w:left w:val="nil"/>
              <w:bottom w:val="single" w:sz="4" w:space="0" w:color="auto"/>
              <w:right w:val="single" w:sz="4" w:space="0" w:color="auto"/>
            </w:tcBorders>
            <w:shd w:val="clear" w:color="000000" w:fill="BFBFBF"/>
            <w:hideMark/>
          </w:tcPr>
          <w:p w14:paraId="61677BFE" w14:textId="77777777" w:rsidR="00E07608" w:rsidRPr="00986221" w:rsidRDefault="00E07608" w:rsidP="00DF3DD6">
            <w:pPr>
              <w:spacing w:before="0"/>
              <w:rPr>
                <w:rFonts w:cs="Arial"/>
                <w:b/>
                <w:bCs/>
                <w:color w:val="000000"/>
                <w:sz w:val="16"/>
                <w:szCs w:val="16"/>
              </w:rPr>
            </w:pPr>
            <w:r w:rsidRPr="00986221">
              <w:rPr>
                <w:rFonts w:cs="Arial"/>
                <w:b/>
                <w:bCs/>
                <w:color w:val="000000"/>
                <w:sz w:val="16"/>
                <w:szCs w:val="16"/>
              </w:rPr>
              <w:t>Consequence</w:t>
            </w:r>
            <w:r w:rsidRPr="00986221">
              <w:rPr>
                <w:rFonts w:cs="Arial"/>
                <w:b/>
                <w:bCs/>
                <w:color w:val="000000"/>
                <w:sz w:val="16"/>
                <w:szCs w:val="16"/>
              </w:rPr>
              <w:br/>
            </w:r>
          </w:p>
        </w:tc>
        <w:tc>
          <w:tcPr>
            <w:tcW w:w="1080" w:type="dxa"/>
            <w:tcBorders>
              <w:top w:val="nil"/>
              <w:left w:val="nil"/>
              <w:bottom w:val="single" w:sz="4" w:space="0" w:color="auto"/>
              <w:right w:val="single" w:sz="4" w:space="0" w:color="auto"/>
            </w:tcBorders>
            <w:shd w:val="clear" w:color="000000" w:fill="BFBFBF"/>
            <w:hideMark/>
          </w:tcPr>
          <w:p w14:paraId="5A0CA6C0" w14:textId="77777777" w:rsidR="00E07608" w:rsidRPr="00986221" w:rsidRDefault="00E07608" w:rsidP="00DF3DD6">
            <w:pPr>
              <w:spacing w:before="0"/>
              <w:rPr>
                <w:rFonts w:cs="Arial"/>
                <w:b/>
                <w:bCs/>
                <w:color w:val="000000"/>
                <w:sz w:val="16"/>
                <w:szCs w:val="16"/>
              </w:rPr>
            </w:pPr>
            <w:r w:rsidRPr="00986221">
              <w:rPr>
                <w:rFonts w:cs="Arial"/>
                <w:b/>
                <w:bCs/>
                <w:color w:val="000000"/>
                <w:sz w:val="16"/>
                <w:szCs w:val="16"/>
              </w:rPr>
              <w:t>Likelihood</w:t>
            </w:r>
            <w:r w:rsidRPr="00986221">
              <w:rPr>
                <w:rFonts w:cs="Arial"/>
                <w:b/>
                <w:bCs/>
                <w:color w:val="000000"/>
                <w:sz w:val="16"/>
                <w:szCs w:val="16"/>
              </w:rPr>
              <w:br/>
            </w:r>
          </w:p>
        </w:tc>
        <w:tc>
          <w:tcPr>
            <w:tcW w:w="1036" w:type="dxa"/>
            <w:tcBorders>
              <w:top w:val="nil"/>
              <w:left w:val="nil"/>
              <w:bottom w:val="single" w:sz="4" w:space="0" w:color="auto"/>
              <w:right w:val="single" w:sz="4" w:space="0" w:color="auto"/>
            </w:tcBorders>
            <w:shd w:val="clear" w:color="000000" w:fill="BFBFBF"/>
            <w:hideMark/>
          </w:tcPr>
          <w:p w14:paraId="3265E7AC" w14:textId="77777777" w:rsidR="00E07608" w:rsidRPr="00986221" w:rsidRDefault="00E07608" w:rsidP="00DF3DD6">
            <w:pPr>
              <w:spacing w:before="0"/>
              <w:rPr>
                <w:rFonts w:cs="Arial"/>
                <w:b/>
                <w:bCs/>
                <w:color w:val="000000"/>
                <w:sz w:val="16"/>
                <w:szCs w:val="16"/>
              </w:rPr>
            </w:pPr>
            <w:r w:rsidRPr="00986221">
              <w:rPr>
                <w:rFonts w:cs="Arial"/>
                <w:b/>
                <w:bCs/>
                <w:color w:val="000000"/>
                <w:sz w:val="16"/>
                <w:szCs w:val="16"/>
              </w:rPr>
              <w:t>Risk Rating</w:t>
            </w:r>
          </w:p>
        </w:tc>
        <w:tc>
          <w:tcPr>
            <w:tcW w:w="4683" w:type="dxa"/>
            <w:vMerge/>
            <w:tcBorders>
              <w:top w:val="single" w:sz="4" w:space="0" w:color="auto"/>
              <w:left w:val="single" w:sz="4" w:space="0" w:color="auto"/>
              <w:bottom w:val="single" w:sz="4" w:space="0" w:color="auto"/>
              <w:right w:val="single" w:sz="4" w:space="0" w:color="auto"/>
            </w:tcBorders>
            <w:vAlign w:val="center"/>
            <w:hideMark/>
          </w:tcPr>
          <w:p w14:paraId="0A7575BF" w14:textId="77777777" w:rsidR="00E07608" w:rsidRPr="00986221" w:rsidRDefault="00E07608" w:rsidP="00DF3DD6">
            <w:pPr>
              <w:spacing w:before="0"/>
              <w:rPr>
                <w:rFonts w:cs="Arial"/>
                <w:b/>
                <w:bCs/>
                <w:color w:val="00000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732E612" w14:textId="77777777" w:rsidR="00E07608" w:rsidRPr="00986221" w:rsidRDefault="00E07608" w:rsidP="00DF3DD6">
            <w:pPr>
              <w:spacing w:before="0"/>
              <w:rPr>
                <w:rFonts w:cs="Arial"/>
                <w:b/>
                <w:bCs/>
                <w:color w:val="000000"/>
                <w:szCs w:val="20"/>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14:paraId="56B11788" w14:textId="77777777" w:rsidR="00E07608" w:rsidRPr="00986221" w:rsidRDefault="00E07608" w:rsidP="00DF3DD6">
            <w:pPr>
              <w:spacing w:before="0"/>
              <w:rPr>
                <w:rFonts w:cs="Arial"/>
                <w:b/>
                <w:bCs/>
                <w:color w:val="000000"/>
                <w:szCs w:val="20"/>
              </w:rPr>
            </w:pPr>
          </w:p>
        </w:tc>
      </w:tr>
      <w:tr w:rsidR="00E07608" w:rsidRPr="00986221" w14:paraId="4147E6DE" w14:textId="77777777" w:rsidTr="00DF3DD6">
        <w:trPr>
          <w:trHeight w:val="280"/>
        </w:trPr>
        <w:tc>
          <w:tcPr>
            <w:tcW w:w="567" w:type="dxa"/>
            <w:tcBorders>
              <w:top w:val="nil"/>
              <w:left w:val="single" w:sz="4" w:space="0" w:color="auto"/>
              <w:bottom w:val="single" w:sz="4" w:space="0" w:color="auto"/>
              <w:right w:val="single" w:sz="4" w:space="0" w:color="auto"/>
            </w:tcBorders>
            <w:shd w:val="clear" w:color="000000" w:fill="D8E4BC"/>
            <w:hideMark/>
          </w:tcPr>
          <w:p w14:paraId="5C472830" w14:textId="77777777" w:rsidR="00E07608" w:rsidRPr="00986221" w:rsidRDefault="00E07608" w:rsidP="00DF3DD6">
            <w:pPr>
              <w:spacing w:before="0"/>
              <w:jc w:val="both"/>
              <w:rPr>
                <w:rFonts w:cs="Arial"/>
                <w:b/>
                <w:bCs/>
                <w:color w:val="000000"/>
                <w:szCs w:val="20"/>
              </w:rPr>
            </w:pPr>
            <w:r w:rsidRPr="00986221">
              <w:rPr>
                <w:rFonts w:cs="Arial"/>
                <w:b/>
                <w:bCs/>
                <w:color w:val="000000"/>
                <w:szCs w:val="20"/>
              </w:rPr>
              <w:t>I</w:t>
            </w:r>
          </w:p>
        </w:tc>
        <w:tc>
          <w:tcPr>
            <w:tcW w:w="14966" w:type="dxa"/>
            <w:gridSpan w:val="8"/>
            <w:tcBorders>
              <w:top w:val="single" w:sz="4" w:space="0" w:color="auto"/>
              <w:left w:val="nil"/>
              <w:bottom w:val="single" w:sz="4" w:space="0" w:color="auto"/>
              <w:right w:val="single" w:sz="4" w:space="0" w:color="auto"/>
            </w:tcBorders>
            <w:shd w:val="clear" w:color="000000" w:fill="D8E4BC"/>
            <w:hideMark/>
          </w:tcPr>
          <w:p w14:paraId="30DD9FCA" w14:textId="77777777" w:rsidR="00E07608" w:rsidRPr="00986221" w:rsidRDefault="00E07608" w:rsidP="00DF3DD6">
            <w:pPr>
              <w:spacing w:before="0"/>
              <w:rPr>
                <w:rFonts w:cs="Arial"/>
                <w:b/>
                <w:bCs/>
                <w:color w:val="000000"/>
                <w:szCs w:val="20"/>
              </w:rPr>
            </w:pPr>
            <w:r w:rsidRPr="00986221">
              <w:rPr>
                <w:rFonts w:cs="Arial"/>
                <w:b/>
                <w:bCs/>
                <w:color w:val="000000"/>
                <w:szCs w:val="20"/>
              </w:rPr>
              <w:t>Overarching risks applying across the program</w:t>
            </w:r>
          </w:p>
        </w:tc>
      </w:tr>
      <w:tr w:rsidR="00E07608" w:rsidRPr="00986221" w14:paraId="39326A85" w14:textId="77777777" w:rsidTr="00DF3DD6">
        <w:trPr>
          <w:trHeight w:val="2006"/>
        </w:trPr>
        <w:tc>
          <w:tcPr>
            <w:tcW w:w="567" w:type="dxa"/>
            <w:tcBorders>
              <w:top w:val="nil"/>
              <w:left w:val="single" w:sz="4" w:space="0" w:color="auto"/>
              <w:bottom w:val="single" w:sz="4" w:space="0" w:color="auto"/>
              <w:right w:val="single" w:sz="4" w:space="0" w:color="auto"/>
            </w:tcBorders>
            <w:shd w:val="clear" w:color="auto" w:fill="auto"/>
            <w:hideMark/>
          </w:tcPr>
          <w:p w14:paraId="7E70AE5B" w14:textId="77777777" w:rsidR="00E07608" w:rsidRPr="00986221" w:rsidRDefault="00E07608" w:rsidP="00DF3DD6">
            <w:pPr>
              <w:spacing w:before="0"/>
              <w:jc w:val="both"/>
              <w:rPr>
                <w:rFonts w:cs="Arial"/>
                <w:color w:val="000000"/>
                <w:szCs w:val="20"/>
              </w:rPr>
            </w:pPr>
            <w:r w:rsidRPr="00986221">
              <w:rPr>
                <w:rFonts w:cs="Arial"/>
                <w:color w:val="000000"/>
                <w:szCs w:val="20"/>
              </w:rPr>
              <w:t>1</w:t>
            </w:r>
          </w:p>
        </w:tc>
        <w:tc>
          <w:tcPr>
            <w:tcW w:w="2127" w:type="dxa"/>
            <w:tcBorders>
              <w:top w:val="nil"/>
              <w:left w:val="nil"/>
              <w:bottom w:val="single" w:sz="4" w:space="0" w:color="auto"/>
              <w:right w:val="single" w:sz="4" w:space="0" w:color="auto"/>
            </w:tcBorders>
            <w:shd w:val="clear" w:color="auto" w:fill="auto"/>
            <w:hideMark/>
          </w:tcPr>
          <w:p w14:paraId="43DDE5D9" w14:textId="77777777" w:rsidR="00E07608" w:rsidRPr="00986221" w:rsidRDefault="00E07608" w:rsidP="00DF3DD6">
            <w:pPr>
              <w:spacing w:before="0"/>
              <w:rPr>
                <w:rFonts w:cs="Arial"/>
                <w:color w:val="000000"/>
                <w:szCs w:val="20"/>
              </w:rPr>
            </w:pPr>
            <w:r w:rsidRPr="00986221">
              <w:rPr>
                <w:rFonts w:cs="Arial"/>
                <w:color w:val="000000"/>
                <w:szCs w:val="20"/>
              </w:rPr>
              <w:t>Changes in domestic policy agenda will influence the level of commitments to restructuring in program-targeted areas. Changes may stifle restructuring and/or create new opportunities for restructuring</w:t>
            </w:r>
          </w:p>
        </w:tc>
        <w:tc>
          <w:tcPr>
            <w:tcW w:w="1984" w:type="dxa"/>
            <w:tcBorders>
              <w:top w:val="nil"/>
              <w:left w:val="nil"/>
              <w:bottom w:val="single" w:sz="4" w:space="0" w:color="auto"/>
              <w:right w:val="single" w:sz="4" w:space="0" w:color="auto"/>
            </w:tcBorders>
            <w:shd w:val="clear" w:color="auto" w:fill="auto"/>
            <w:hideMark/>
          </w:tcPr>
          <w:p w14:paraId="32C79B5C" w14:textId="77777777" w:rsidR="00E07608" w:rsidRPr="00986221" w:rsidRDefault="00E07608" w:rsidP="00DF3DD6">
            <w:pPr>
              <w:spacing w:before="0"/>
              <w:rPr>
                <w:rFonts w:cs="Arial"/>
                <w:color w:val="000000"/>
                <w:szCs w:val="20"/>
              </w:rPr>
            </w:pPr>
            <w:r w:rsidRPr="00986221">
              <w:rPr>
                <w:rFonts w:cs="Arial"/>
                <w:color w:val="000000"/>
                <w:szCs w:val="20"/>
              </w:rPr>
              <w:t xml:space="preserve">Strategic policy recommendations in targeted areas of the program are not reflected into strategic documents dealing with economic restructuring. </w:t>
            </w:r>
          </w:p>
        </w:tc>
        <w:tc>
          <w:tcPr>
            <w:tcW w:w="1291" w:type="dxa"/>
            <w:tcBorders>
              <w:top w:val="nil"/>
              <w:left w:val="nil"/>
              <w:bottom w:val="single" w:sz="4" w:space="0" w:color="auto"/>
              <w:right w:val="single" w:sz="4" w:space="0" w:color="auto"/>
            </w:tcBorders>
            <w:shd w:val="clear" w:color="auto" w:fill="auto"/>
            <w:hideMark/>
          </w:tcPr>
          <w:p w14:paraId="2E9FF6FC" w14:textId="77777777" w:rsidR="00E07608" w:rsidRPr="00986221" w:rsidRDefault="00E07608" w:rsidP="00DF3DD6">
            <w:pPr>
              <w:spacing w:before="0"/>
              <w:rPr>
                <w:rFonts w:cs="Arial"/>
                <w:color w:val="000000"/>
                <w:szCs w:val="20"/>
              </w:rPr>
            </w:pPr>
            <w:r w:rsidRPr="00986221">
              <w:rPr>
                <w:rFonts w:cs="Arial"/>
                <w:color w:val="000000"/>
                <w:szCs w:val="20"/>
              </w:rPr>
              <w:t>Moderate</w:t>
            </w:r>
          </w:p>
        </w:tc>
        <w:tc>
          <w:tcPr>
            <w:tcW w:w="1080" w:type="dxa"/>
            <w:tcBorders>
              <w:top w:val="nil"/>
              <w:left w:val="nil"/>
              <w:bottom w:val="single" w:sz="4" w:space="0" w:color="auto"/>
              <w:right w:val="single" w:sz="4" w:space="0" w:color="auto"/>
            </w:tcBorders>
            <w:shd w:val="clear" w:color="auto" w:fill="auto"/>
            <w:hideMark/>
          </w:tcPr>
          <w:p w14:paraId="49D2DDDD" w14:textId="77777777" w:rsidR="00E07608" w:rsidRPr="00986221" w:rsidRDefault="00E07608" w:rsidP="00DF3DD6">
            <w:pPr>
              <w:spacing w:before="0"/>
              <w:rPr>
                <w:rFonts w:cs="Arial"/>
                <w:color w:val="000000"/>
                <w:szCs w:val="20"/>
              </w:rPr>
            </w:pPr>
            <w:r w:rsidRPr="00986221">
              <w:rPr>
                <w:rFonts w:cs="Arial"/>
                <w:color w:val="000000"/>
                <w:szCs w:val="20"/>
              </w:rPr>
              <w:t>Possible</w:t>
            </w:r>
          </w:p>
        </w:tc>
        <w:tc>
          <w:tcPr>
            <w:tcW w:w="1036" w:type="dxa"/>
            <w:tcBorders>
              <w:top w:val="nil"/>
              <w:left w:val="nil"/>
              <w:bottom w:val="single" w:sz="4" w:space="0" w:color="auto"/>
              <w:right w:val="single" w:sz="4" w:space="0" w:color="auto"/>
            </w:tcBorders>
            <w:shd w:val="clear" w:color="auto" w:fill="auto"/>
            <w:hideMark/>
          </w:tcPr>
          <w:p w14:paraId="39964997" w14:textId="77777777" w:rsidR="00E07608" w:rsidRPr="00986221" w:rsidRDefault="00E07608" w:rsidP="00DF3DD6">
            <w:pPr>
              <w:spacing w:before="0"/>
              <w:rPr>
                <w:rFonts w:cs="Arial"/>
                <w:color w:val="000000"/>
                <w:szCs w:val="20"/>
              </w:rPr>
            </w:pPr>
            <w:r w:rsidRPr="00986221">
              <w:rPr>
                <w:rFonts w:cs="Arial"/>
                <w:color w:val="000000"/>
                <w:szCs w:val="20"/>
              </w:rPr>
              <w:t>High</w:t>
            </w:r>
          </w:p>
        </w:tc>
        <w:tc>
          <w:tcPr>
            <w:tcW w:w="4683" w:type="dxa"/>
            <w:tcBorders>
              <w:top w:val="nil"/>
              <w:left w:val="nil"/>
              <w:bottom w:val="single" w:sz="4" w:space="0" w:color="auto"/>
              <w:right w:val="single" w:sz="4" w:space="0" w:color="auto"/>
            </w:tcBorders>
            <w:shd w:val="clear" w:color="auto" w:fill="auto"/>
            <w:hideMark/>
          </w:tcPr>
          <w:p w14:paraId="55920BAF" w14:textId="77777777" w:rsidR="00E07608" w:rsidRPr="00986221" w:rsidRDefault="00E07608" w:rsidP="00DF3DD6">
            <w:pPr>
              <w:spacing w:before="0"/>
              <w:rPr>
                <w:rFonts w:cs="Arial"/>
                <w:szCs w:val="20"/>
              </w:rPr>
            </w:pPr>
            <w:r w:rsidRPr="00986221">
              <w:rPr>
                <w:rFonts w:cs="Arial"/>
                <w:szCs w:val="20"/>
              </w:rPr>
              <w:t>-The PD (also President of CIEM and economic advisor to the PM) is in a good position to convey strategic policy advice to national leaders.</w:t>
            </w:r>
            <w:r w:rsidRPr="00986221">
              <w:rPr>
                <w:rFonts w:cs="Arial"/>
                <w:szCs w:val="20"/>
              </w:rPr>
              <w:br/>
              <w:t>-Inclusion of the well- connected PD and SAG in the program design, combined with commitment of DFAT experts in Hanoi will mitigate this uncertainty.</w:t>
            </w:r>
            <w:r w:rsidRPr="00986221">
              <w:rPr>
                <w:rFonts w:cs="Arial"/>
                <w:szCs w:val="20"/>
              </w:rPr>
              <w:br/>
              <w:t>-The SAG will provide program's managers with up-to-date understanding of changing circumstances that might impact on program performance</w:t>
            </w:r>
            <w:r w:rsidRPr="00986221">
              <w:rPr>
                <w:rFonts w:cs="Arial"/>
                <w:szCs w:val="20"/>
              </w:rPr>
              <w:br/>
              <w:t>-The program is structured to allow flexibility to respond quickly to changing circumstances.</w:t>
            </w:r>
          </w:p>
        </w:tc>
        <w:tc>
          <w:tcPr>
            <w:tcW w:w="1418" w:type="dxa"/>
            <w:tcBorders>
              <w:top w:val="nil"/>
              <w:left w:val="nil"/>
              <w:bottom w:val="single" w:sz="4" w:space="0" w:color="auto"/>
              <w:right w:val="single" w:sz="4" w:space="0" w:color="auto"/>
            </w:tcBorders>
            <w:shd w:val="clear" w:color="auto" w:fill="auto"/>
            <w:hideMark/>
          </w:tcPr>
          <w:p w14:paraId="5ED70CA4" w14:textId="77777777" w:rsidR="00E07608" w:rsidRPr="00986221" w:rsidRDefault="00E07608" w:rsidP="00DF3DD6">
            <w:pPr>
              <w:spacing w:before="0"/>
              <w:rPr>
                <w:rFonts w:cs="Arial"/>
                <w:szCs w:val="20"/>
              </w:rPr>
            </w:pPr>
            <w:r w:rsidRPr="00986221">
              <w:rPr>
                <w:rFonts w:cs="Arial"/>
                <w:szCs w:val="20"/>
              </w:rPr>
              <w:t>Moderate</w:t>
            </w:r>
          </w:p>
        </w:tc>
        <w:tc>
          <w:tcPr>
            <w:tcW w:w="1347" w:type="dxa"/>
            <w:tcBorders>
              <w:top w:val="nil"/>
              <w:left w:val="nil"/>
              <w:bottom w:val="single" w:sz="4" w:space="0" w:color="auto"/>
              <w:right w:val="single" w:sz="4" w:space="0" w:color="auto"/>
            </w:tcBorders>
            <w:shd w:val="clear" w:color="auto" w:fill="auto"/>
            <w:hideMark/>
          </w:tcPr>
          <w:p w14:paraId="7B0CE822" w14:textId="77777777" w:rsidR="00E07608" w:rsidRPr="00986221" w:rsidRDefault="00E07608" w:rsidP="00DF3DD6">
            <w:pPr>
              <w:spacing w:before="0"/>
              <w:rPr>
                <w:rFonts w:cs="Arial"/>
                <w:szCs w:val="20"/>
              </w:rPr>
            </w:pPr>
            <w:r w:rsidRPr="00986221">
              <w:rPr>
                <w:rFonts w:cs="Arial"/>
                <w:color w:val="000000"/>
                <w:szCs w:val="20"/>
              </w:rPr>
              <w:t xml:space="preserve">PCU, Program Director, DFAT's </w:t>
            </w:r>
            <w:r w:rsidRPr="00986221">
              <w:rPr>
                <w:rFonts w:cs="Arial"/>
                <w:szCs w:val="20"/>
              </w:rPr>
              <w:t>First Secretary and SPM</w:t>
            </w:r>
          </w:p>
        </w:tc>
      </w:tr>
      <w:tr w:rsidR="00E07608" w:rsidRPr="00986221" w14:paraId="463756C9" w14:textId="77777777" w:rsidTr="00DF3DD6">
        <w:trPr>
          <w:trHeight w:val="1304"/>
        </w:trPr>
        <w:tc>
          <w:tcPr>
            <w:tcW w:w="567" w:type="dxa"/>
            <w:tcBorders>
              <w:top w:val="nil"/>
              <w:left w:val="single" w:sz="4" w:space="0" w:color="auto"/>
              <w:bottom w:val="single" w:sz="4" w:space="0" w:color="auto"/>
              <w:right w:val="single" w:sz="4" w:space="0" w:color="auto"/>
            </w:tcBorders>
            <w:shd w:val="clear" w:color="auto" w:fill="auto"/>
          </w:tcPr>
          <w:p w14:paraId="5E2D480E" w14:textId="77777777" w:rsidR="00E07608" w:rsidRPr="00986221" w:rsidRDefault="00E07608" w:rsidP="00DF3DD6">
            <w:pPr>
              <w:spacing w:before="0"/>
              <w:jc w:val="both"/>
              <w:rPr>
                <w:rFonts w:cs="Arial"/>
                <w:color w:val="000000"/>
                <w:szCs w:val="20"/>
              </w:rPr>
            </w:pPr>
            <w:r w:rsidRPr="00986221">
              <w:rPr>
                <w:rFonts w:cs="Arial"/>
                <w:color w:val="000000"/>
                <w:szCs w:val="20"/>
              </w:rPr>
              <w:t>2</w:t>
            </w:r>
          </w:p>
        </w:tc>
        <w:tc>
          <w:tcPr>
            <w:tcW w:w="2127" w:type="dxa"/>
            <w:tcBorders>
              <w:top w:val="nil"/>
              <w:left w:val="nil"/>
              <w:bottom w:val="single" w:sz="4" w:space="0" w:color="auto"/>
              <w:right w:val="single" w:sz="4" w:space="0" w:color="auto"/>
            </w:tcBorders>
            <w:shd w:val="clear" w:color="auto" w:fill="auto"/>
          </w:tcPr>
          <w:p w14:paraId="0A3235D4" w14:textId="77777777" w:rsidR="00E07608" w:rsidRPr="00986221" w:rsidRDefault="00E07608" w:rsidP="00DF3DD6">
            <w:pPr>
              <w:spacing w:before="0"/>
              <w:rPr>
                <w:rFonts w:cs="Arial"/>
                <w:szCs w:val="20"/>
              </w:rPr>
            </w:pPr>
            <w:r w:rsidRPr="00986221">
              <w:rPr>
                <w:rFonts w:cs="Arial"/>
                <w:szCs w:val="20"/>
              </w:rPr>
              <w:t>Delays in implementation could substantially reduce opportunities for study recommendations to influence strategic policy decisions</w:t>
            </w:r>
          </w:p>
        </w:tc>
        <w:tc>
          <w:tcPr>
            <w:tcW w:w="1984" w:type="dxa"/>
            <w:tcBorders>
              <w:top w:val="nil"/>
              <w:left w:val="nil"/>
              <w:bottom w:val="single" w:sz="4" w:space="0" w:color="auto"/>
              <w:right w:val="single" w:sz="4" w:space="0" w:color="auto"/>
            </w:tcBorders>
            <w:shd w:val="clear" w:color="auto" w:fill="auto"/>
          </w:tcPr>
          <w:p w14:paraId="4347B957" w14:textId="77777777" w:rsidR="00E07608" w:rsidRPr="00986221" w:rsidRDefault="00E07608" w:rsidP="00DF3DD6">
            <w:pPr>
              <w:spacing w:before="0"/>
              <w:rPr>
                <w:rFonts w:cs="Arial"/>
                <w:szCs w:val="20"/>
              </w:rPr>
            </w:pPr>
            <w:r w:rsidRPr="00986221">
              <w:rPr>
                <w:rFonts w:cs="Arial"/>
                <w:szCs w:val="20"/>
              </w:rPr>
              <w:t>Impacts and returns on investment lower than expected. Loss of credibility</w:t>
            </w:r>
          </w:p>
        </w:tc>
        <w:tc>
          <w:tcPr>
            <w:tcW w:w="1291" w:type="dxa"/>
            <w:tcBorders>
              <w:top w:val="nil"/>
              <w:left w:val="nil"/>
              <w:bottom w:val="single" w:sz="4" w:space="0" w:color="auto"/>
              <w:right w:val="single" w:sz="4" w:space="0" w:color="auto"/>
            </w:tcBorders>
            <w:shd w:val="clear" w:color="auto" w:fill="auto"/>
          </w:tcPr>
          <w:p w14:paraId="319E28B5" w14:textId="77777777" w:rsidR="00E07608" w:rsidRPr="00986221" w:rsidRDefault="00E07608" w:rsidP="00DF3DD6">
            <w:pPr>
              <w:spacing w:before="0"/>
              <w:rPr>
                <w:rFonts w:cs="Arial"/>
                <w:szCs w:val="20"/>
              </w:rPr>
            </w:pPr>
            <w:r w:rsidRPr="00986221">
              <w:rPr>
                <w:rFonts w:cs="Arial"/>
                <w:szCs w:val="20"/>
              </w:rPr>
              <w:t>Moderate</w:t>
            </w:r>
          </w:p>
        </w:tc>
        <w:tc>
          <w:tcPr>
            <w:tcW w:w="1080" w:type="dxa"/>
            <w:tcBorders>
              <w:top w:val="nil"/>
              <w:left w:val="nil"/>
              <w:bottom w:val="single" w:sz="4" w:space="0" w:color="auto"/>
              <w:right w:val="single" w:sz="4" w:space="0" w:color="auto"/>
            </w:tcBorders>
            <w:shd w:val="clear" w:color="auto" w:fill="auto"/>
          </w:tcPr>
          <w:p w14:paraId="1B8C6306" w14:textId="77777777" w:rsidR="00E07608" w:rsidRPr="00986221" w:rsidRDefault="00E07608" w:rsidP="00DF3DD6">
            <w:pPr>
              <w:spacing w:before="0"/>
              <w:rPr>
                <w:rFonts w:cs="Arial"/>
                <w:szCs w:val="20"/>
              </w:rPr>
            </w:pPr>
            <w:r w:rsidRPr="00986221">
              <w:rPr>
                <w:rFonts w:cs="Arial"/>
                <w:szCs w:val="20"/>
              </w:rPr>
              <w:t>Unlikely</w:t>
            </w:r>
          </w:p>
        </w:tc>
        <w:tc>
          <w:tcPr>
            <w:tcW w:w="1036" w:type="dxa"/>
            <w:tcBorders>
              <w:top w:val="nil"/>
              <w:left w:val="nil"/>
              <w:bottom w:val="single" w:sz="4" w:space="0" w:color="auto"/>
              <w:right w:val="single" w:sz="4" w:space="0" w:color="auto"/>
            </w:tcBorders>
            <w:shd w:val="clear" w:color="auto" w:fill="auto"/>
          </w:tcPr>
          <w:p w14:paraId="73BFAAA7" w14:textId="77777777" w:rsidR="00E07608" w:rsidRPr="00986221" w:rsidRDefault="00E07608" w:rsidP="00DF3DD6">
            <w:pPr>
              <w:spacing w:before="0"/>
              <w:rPr>
                <w:rFonts w:cs="Arial"/>
                <w:szCs w:val="20"/>
              </w:rPr>
            </w:pPr>
            <w:r w:rsidRPr="00986221">
              <w:rPr>
                <w:rFonts w:cs="Arial"/>
                <w:szCs w:val="20"/>
              </w:rPr>
              <w:t>Moderate</w:t>
            </w:r>
          </w:p>
        </w:tc>
        <w:tc>
          <w:tcPr>
            <w:tcW w:w="4683" w:type="dxa"/>
            <w:tcBorders>
              <w:top w:val="nil"/>
              <w:left w:val="nil"/>
              <w:bottom w:val="single" w:sz="4" w:space="0" w:color="auto"/>
              <w:right w:val="single" w:sz="4" w:space="0" w:color="auto"/>
            </w:tcBorders>
            <w:shd w:val="clear" w:color="auto" w:fill="auto"/>
          </w:tcPr>
          <w:p w14:paraId="1B02C1D4" w14:textId="77777777" w:rsidR="00E07608" w:rsidRPr="00986221" w:rsidRDefault="00E07608" w:rsidP="00DF3DD6">
            <w:pPr>
              <w:spacing w:before="0"/>
              <w:rPr>
                <w:rFonts w:cs="Arial"/>
                <w:szCs w:val="20"/>
              </w:rPr>
            </w:pPr>
            <w:r w:rsidRPr="00986221">
              <w:rPr>
                <w:rFonts w:cs="Arial"/>
                <w:szCs w:val="20"/>
              </w:rPr>
              <w:t>While some delays are possible, relationships developed during BWTO, intensive counterpart involvement in program design, and the involvement of the SAG (many who were also involved with BWTO) means that is unlikely that any delays would substantially reduce opportunities for recommendations to influence policy making.</w:t>
            </w:r>
          </w:p>
        </w:tc>
        <w:tc>
          <w:tcPr>
            <w:tcW w:w="1418" w:type="dxa"/>
            <w:tcBorders>
              <w:top w:val="nil"/>
              <w:left w:val="nil"/>
              <w:bottom w:val="single" w:sz="4" w:space="0" w:color="auto"/>
              <w:right w:val="single" w:sz="4" w:space="0" w:color="auto"/>
            </w:tcBorders>
            <w:shd w:val="clear" w:color="auto" w:fill="auto"/>
          </w:tcPr>
          <w:p w14:paraId="53D2B0EA" w14:textId="77777777" w:rsidR="00E07608" w:rsidRPr="00986221" w:rsidRDefault="00E07608" w:rsidP="00DF3DD6">
            <w:pPr>
              <w:spacing w:before="0"/>
              <w:rPr>
                <w:rFonts w:cs="Arial"/>
                <w:szCs w:val="20"/>
              </w:rPr>
            </w:pPr>
            <w:r w:rsidRPr="00986221">
              <w:rPr>
                <w:rFonts w:cs="Arial"/>
                <w:szCs w:val="20"/>
              </w:rPr>
              <w:t>Low</w:t>
            </w:r>
          </w:p>
        </w:tc>
        <w:tc>
          <w:tcPr>
            <w:tcW w:w="1347" w:type="dxa"/>
            <w:tcBorders>
              <w:top w:val="nil"/>
              <w:left w:val="nil"/>
              <w:bottom w:val="single" w:sz="4" w:space="0" w:color="auto"/>
              <w:right w:val="single" w:sz="4" w:space="0" w:color="auto"/>
            </w:tcBorders>
            <w:shd w:val="clear" w:color="auto" w:fill="auto"/>
          </w:tcPr>
          <w:p w14:paraId="54D9E51C" w14:textId="77777777" w:rsidR="00E07608" w:rsidRPr="00986221" w:rsidRDefault="00E07608" w:rsidP="00DF3DD6">
            <w:pPr>
              <w:spacing w:before="0"/>
              <w:rPr>
                <w:rFonts w:cs="Arial"/>
                <w:szCs w:val="20"/>
              </w:rPr>
            </w:pPr>
            <w:r w:rsidRPr="00986221">
              <w:rPr>
                <w:rFonts w:cs="Arial"/>
                <w:color w:val="000000"/>
                <w:szCs w:val="20"/>
              </w:rPr>
              <w:t>Program Director</w:t>
            </w:r>
            <w:r w:rsidRPr="00986221">
              <w:rPr>
                <w:rFonts w:cs="Arial"/>
                <w:color w:val="000000"/>
                <w:szCs w:val="20"/>
              </w:rPr>
              <w:br/>
              <w:t>DFAT's SPM</w:t>
            </w:r>
          </w:p>
        </w:tc>
      </w:tr>
      <w:tr w:rsidR="00E07608" w:rsidRPr="00986221" w14:paraId="1BE87C9F" w14:textId="77777777" w:rsidTr="00DF3DD6">
        <w:trPr>
          <w:trHeight w:val="1727"/>
        </w:trPr>
        <w:tc>
          <w:tcPr>
            <w:tcW w:w="567" w:type="dxa"/>
            <w:tcBorders>
              <w:top w:val="nil"/>
              <w:left w:val="single" w:sz="4" w:space="0" w:color="auto"/>
              <w:bottom w:val="single" w:sz="4" w:space="0" w:color="auto"/>
              <w:right w:val="single" w:sz="4" w:space="0" w:color="auto"/>
            </w:tcBorders>
            <w:shd w:val="clear" w:color="auto" w:fill="auto"/>
            <w:hideMark/>
          </w:tcPr>
          <w:p w14:paraId="54094146" w14:textId="77777777" w:rsidR="00E07608" w:rsidRPr="00986221" w:rsidRDefault="00E07608" w:rsidP="00DF3DD6">
            <w:pPr>
              <w:spacing w:before="0"/>
              <w:jc w:val="both"/>
              <w:rPr>
                <w:rFonts w:cs="Arial"/>
                <w:color w:val="000000"/>
                <w:szCs w:val="20"/>
              </w:rPr>
            </w:pPr>
            <w:r w:rsidRPr="00986221">
              <w:rPr>
                <w:rFonts w:cs="Arial"/>
                <w:color w:val="000000"/>
                <w:szCs w:val="20"/>
              </w:rPr>
              <w:t>3</w:t>
            </w:r>
          </w:p>
        </w:tc>
        <w:tc>
          <w:tcPr>
            <w:tcW w:w="2127" w:type="dxa"/>
            <w:tcBorders>
              <w:top w:val="nil"/>
              <w:left w:val="nil"/>
              <w:bottom w:val="single" w:sz="4" w:space="0" w:color="auto"/>
              <w:right w:val="single" w:sz="4" w:space="0" w:color="auto"/>
            </w:tcBorders>
            <w:shd w:val="clear" w:color="auto" w:fill="auto"/>
            <w:hideMark/>
          </w:tcPr>
          <w:p w14:paraId="0219F59F" w14:textId="77777777" w:rsidR="00E07608" w:rsidRPr="00986221" w:rsidRDefault="00E07608" w:rsidP="00DF3DD6">
            <w:pPr>
              <w:spacing w:before="0"/>
              <w:rPr>
                <w:rFonts w:cs="Arial"/>
                <w:szCs w:val="20"/>
              </w:rPr>
            </w:pPr>
            <w:r w:rsidRPr="00986221">
              <w:rPr>
                <w:rFonts w:cs="Arial"/>
                <w:szCs w:val="20"/>
              </w:rPr>
              <w:t>Australia is associated with an unpopular restructuring program.</w:t>
            </w:r>
          </w:p>
        </w:tc>
        <w:tc>
          <w:tcPr>
            <w:tcW w:w="1984" w:type="dxa"/>
            <w:tcBorders>
              <w:top w:val="nil"/>
              <w:left w:val="nil"/>
              <w:bottom w:val="single" w:sz="4" w:space="0" w:color="auto"/>
              <w:right w:val="single" w:sz="4" w:space="0" w:color="auto"/>
            </w:tcBorders>
            <w:shd w:val="clear" w:color="auto" w:fill="auto"/>
            <w:hideMark/>
          </w:tcPr>
          <w:p w14:paraId="38F08A69" w14:textId="77777777" w:rsidR="00E07608" w:rsidRPr="00986221" w:rsidRDefault="00E07608" w:rsidP="00DF3DD6">
            <w:pPr>
              <w:spacing w:before="0"/>
              <w:rPr>
                <w:rFonts w:cs="Arial"/>
                <w:szCs w:val="20"/>
              </w:rPr>
            </w:pPr>
            <w:r w:rsidRPr="00986221">
              <w:rPr>
                <w:rFonts w:cs="Arial"/>
                <w:szCs w:val="20"/>
              </w:rPr>
              <w:t xml:space="preserve">Undermining of Australia’s reputation with the GoV and people of Vietnam could have adverse political and economic costs. </w:t>
            </w:r>
          </w:p>
        </w:tc>
        <w:tc>
          <w:tcPr>
            <w:tcW w:w="1291" w:type="dxa"/>
            <w:tcBorders>
              <w:top w:val="nil"/>
              <w:left w:val="nil"/>
              <w:bottom w:val="single" w:sz="4" w:space="0" w:color="auto"/>
              <w:right w:val="single" w:sz="4" w:space="0" w:color="auto"/>
            </w:tcBorders>
            <w:shd w:val="clear" w:color="auto" w:fill="auto"/>
            <w:hideMark/>
          </w:tcPr>
          <w:p w14:paraId="7EFABA15" w14:textId="77777777" w:rsidR="00E07608" w:rsidRPr="00986221" w:rsidRDefault="00E07608" w:rsidP="00DF3DD6">
            <w:pPr>
              <w:spacing w:before="0"/>
              <w:rPr>
                <w:rFonts w:cs="Arial"/>
                <w:szCs w:val="20"/>
              </w:rPr>
            </w:pPr>
            <w:r w:rsidRPr="00986221">
              <w:rPr>
                <w:rFonts w:cs="Arial"/>
                <w:szCs w:val="20"/>
              </w:rPr>
              <w:t>Moderate</w:t>
            </w:r>
          </w:p>
        </w:tc>
        <w:tc>
          <w:tcPr>
            <w:tcW w:w="1080" w:type="dxa"/>
            <w:tcBorders>
              <w:top w:val="nil"/>
              <w:left w:val="nil"/>
              <w:bottom w:val="single" w:sz="4" w:space="0" w:color="auto"/>
              <w:right w:val="single" w:sz="4" w:space="0" w:color="auto"/>
            </w:tcBorders>
            <w:shd w:val="clear" w:color="auto" w:fill="auto"/>
            <w:hideMark/>
          </w:tcPr>
          <w:p w14:paraId="73C1A399" w14:textId="77777777" w:rsidR="00E07608" w:rsidRPr="00986221" w:rsidRDefault="00E07608" w:rsidP="00DF3DD6">
            <w:pPr>
              <w:spacing w:before="0"/>
              <w:rPr>
                <w:rFonts w:cs="Arial"/>
                <w:szCs w:val="20"/>
              </w:rPr>
            </w:pPr>
            <w:r w:rsidRPr="00986221">
              <w:rPr>
                <w:rFonts w:cs="Arial"/>
                <w:szCs w:val="20"/>
              </w:rPr>
              <w:t>Unlikely</w:t>
            </w:r>
          </w:p>
        </w:tc>
        <w:tc>
          <w:tcPr>
            <w:tcW w:w="1036" w:type="dxa"/>
            <w:tcBorders>
              <w:top w:val="nil"/>
              <w:left w:val="nil"/>
              <w:bottom w:val="single" w:sz="4" w:space="0" w:color="auto"/>
              <w:right w:val="single" w:sz="4" w:space="0" w:color="auto"/>
            </w:tcBorders>
            <w:shd w:val="clear" w:color="auto" w:fill="auto"/>
            <w:hideMark/>
          </w:tcPr>
          <w:p w14:paraId="66AE1B0B" w14:textId="77777777" w:rsidR="00E07608" w:rsidRPr="00986221" w:rsidRDefault="00E07608" w:rsidP="00DF3DD6">
            <w:pPr>
              <w:spacing w:before="0"/>
              <w:rPr>
                <w:rFonts w:cs="Arial"/>
                <w:szCs w:val="20"/>
              </w:rPr>
            </w:pPr>
            <w:r w:rsidRPr="00986221">
              <w:rPr>
                <w:rFonts w:cs="Arial"/>
                <w:szCs w:val="20"/>
              </w:rPr>
              <w:t>Moderate</w:t>
            </w:r>
          </w:p>
        </w:tc>
        <w:tc>
          <w:tcPr>
            <w:tcW w:w="4683" w:type="dxa"/>
            <w:tcBorders>
              <w:top w:val="nil"/>
              <w:left w:val="nil"/>
              <w:bottom w:val="single" w:sz="4" w:space="0" w:color="auto"/>
              <w:right w:val="single" w:sz="4" w:space="0" w:color="auto"/>
            </w:tcBorders>
            <w:shd w:val="clear" w:color="auto" w:fill="auto"/>
            <w:hideMark/>
          </w:tcPr>
          <w:p w14:paraId="40505594" w14:textId="77777777" w:rsidR="00E07608" w:rsidRPr="00986221" w:rsidRDefault="00E07608" w:rsidP="00DF3DD6">
            <w:pPr>
              <w:spacing w:before="0"/>
              <w:rPr>
                <w:rFonts w:cs="Arial"/>
                <w:szCs w:val="20"/>
              </w:rPr>
            </w:pPr>
            <w:r w:rsidRPr="00986221">
              <w:rPr>
                <w:rFonts w:cs="Arial"/>
                <w:szCs w:val="20"/>
              </w:rPr>
              <w:t>-DFAT's SPM will draw on the expertise and understanding of the PD, SAG, PCU and STA to implement a communications strategy to support program objectives and raise Australia’s profile as Vietnam partner in economic restructuring.</w:t>
            </w:r>
          </w:p>
          <w:p w14:paraId="64EFEDC6" w14:textId="77777777" w:rsidR="00E07608" w:rsidRPr="00986221" w:rsidRDefault="00E07608" w:rsidP="00DF3DD6">
            <w:pPr>
              <w:spacing w:before="0"/>
              <w:rPr>
                <w:rFonts w:cs="Arial"/>
                <w:szCs w:val="20"/>
              </w:rPr>
            </w:pPr>
            <w:r w:rsidRPr="00986221">
              <w:rPr>
                <w:rFonts w:cs="Arial"/>
                <w:szCs w:val="20"/>
              </w:rPr>
              <w:t>-Policy dialogue and knowledge dissemination will help build consensus on program supported restructuring.</w:t>
            </w:r>
            <w:r w:rsidRPr="00986221">
              <w:rPr>
                <w:rFonts w:cs="Arial"/>
                <w:szCs w:val="20"/>
              </w:rPr>
              <w:br/>
              <w:t>-DFAT will work with development partners to coordinate efforts and raise the program's profile.</w:t>
            </w:r>
          </w:p>
        </w:tc>
        <w:tc>
          <w:tcPr>
            <w:tcW w:w="1418" w:type="dxa"/>
            <w:tcBorders>
              <w:top w:val="nil"/>
              <w:left w:val="nil"/>
              <w:bottom w:val="single" w:sz="4" w:space="0" w:color="auto"/>
              <w:right w:val="single" w:sz="4" w:space="0" w:color="auto"/>
            </w:tcBorders>
            <w:shd w:val="clear" w:color="auto" w:fill="auto"/>
            <w:hideMark/>
          </w:tcPr>
          <w:p w14:paraId="6381AB0E" w14:textId="77777777" w:rsidR="00E07608" w:rsidRPr="00986221" w:rsidRDefault="00E07608" w:rsidP="00DF3DD6">
            <w:pPr>
              <w:spacing w:before="0"/>
              <w:rPr>
                <w:rFonts w:cs="Arial"/>
                <w:szCs w:val="20"/>
              </w:rPr>
            </w:pPr>
            <w:r w:rsidRPr="00986221">
              <w:rPr>
                <w:rFonts w:cs="Arial"/>
                <w:szCs w:val="20"/>
              </w:rPr>
              <w:t>Low</w:t>
            </w:r>
          </w:p>
        </w:tc>
        <w:tc>
          <w:tcPr>
            <w:tcW w:w="1347" w:type="dxa"/>
            <w:tcBorders>
              <w:top w:val="nil"/>
              <w:left w:val="nil"/>
              <w:bottom w:val="single" w:sz="4" w:space="0" w:color="auto"/>
              <w:right w:val="single" w:sz="4" w:space="0" w:color="auto"/>
            </w:tcBorders>
            <w:shd w:val="clear" w:color="auto" w:fill="auto"/>
            <w:hideMark/>
          </w:tcPr>
          <w:p w14:paraId="008C2808" w14:textId="77777777" w:rsidR="00E07608" w:rsidRPr="00986221" w:rsidRDefault="00E07608" w:rsidP="00DF3DD6">
            <w:pPr>
              <w:spacing w:before="0"/>
              <w:rPr>
                <w:rFonts w:cs="Arial"/>
                <w:szCs w:val="20"/>
              </w:rPr>
            </w:pPr>
            <w:r w:rsidRPr="00986221">
              <w:rPr>
                <w:rFonts w:cs="Arial"/>
                <w:szCs w:val="20"/>
              </w:rPr>
              <w:t>DFAT's First Secretary and SPM</w:t>
            </w:r>
          </w:p>
        </w:tc>
      </w:tr>
      <w:tr w:rsidR="00E07608" w:rsidRPr="00986221" w14:paraId="666FAA52" w14:textId="77777777" w:rsidTr="00DF3DD6">
        <w:trPr>
          <w:trHeight w:val="1007"/>
        </w:trPr>
        <w:tc>
          <w:tcPr>
            <w:tcW w:w="567" w:type="dxa"/>
            <w:tcBorders>
              <w:top w:val="nil"/>
              <w:left w:val="single" w:sz="4" w:space="0" w:color="auto"/>
              <w:bottom w:val="single" w:sz="4" w:space="0" w:color="auto"/>
              <w:right w:val="single" w:sz="4" w:space="0" w:color="auto"/>
            </w:tcBorders>
            <w:shd w:val="clear" w:color="auto" w:fill="auto"/>
            <w:hideMark/>
          </w:tcPr>
          <w:p w14:paraId="41019EB4" w14:textId="77777777" w:rsidR="00E07608" w:rsidRPr="00986221" w:rsidRDefault="00E07608" w:rsidP="00DF3DD6">
            <w:pPr>
              <w:spacing w:before="0"/>
              <w:jc w:val="both"/>
              <w:rPr>
                <w:rFonts w:cs="Arial"/>
                <w:color w:val="000000"/>
                <w:szCs w:val="20"/>
              </w:rPr>
            </w:pPr>
            <w:r w:rsidRPr="00986221">
              <w:rPr>
                <w:rFonts w:cs="Arial"/>
                <w:color w:val="000000"/>
                <w:szCs w:val="20"/>
              </w:rPr>
              <w:t>4</w:t>
            </w:r>
          </w:p>
        </w:tc>
        <w:tc>
          <w:tcPr>
            <w:tcW w:w="2127" w:type="dxa"/>
            <w:tcBorders>
              <w:top w:val="nil"/>
              <w:left w:val="nil"/>
              <w:bottom w:val="single" w:sz="4" w:space="0" w:color="auto"/>
              <w:right w:val="single" w:sz="4" w:space="0" w:color="auto"/>
            </w:tcBorders>
            <w:shd w:val="clear" w:color="auto" w:fill="auto"/>
          </w:tcPr>
          <w:p w14:paraId="7632348B" w14:textId="77777777" w:rsidR="00E07608" w:rsidRPr="00986221" w:rsidRDefault="00E07608" w:rsidP="00DF3DD6">
            <w:pPr>
              <w:spacing w:before="0"/>
              <w:rPr>
                <w:rFonts w:cs="Arial"/>
                <w:szCs w:val="20"/>
              </w:rPr>
            </w:pPr>
            <w:r w:rsidRPr="00986221">
              <w:rPr>
                <w:rFonts w:cs="Arial"/>
                <w:color w:val="000000"/>
                <w:szCs w:val="20"/>
              </w:rPr>
              <w:t>Flexible funds are fragmented and less strategic focused</w:t>
            </w:r>
          </w:p>
        </w:tc>
        <w:tc>
          <w:tcPr>
            <w:tcW w:w="1984" w:type="dxa"/>
            <w:tcBorders>
              <w:top w:val="nil"/>
              <w:left w:val="nil"/>
              <w:bottom w:val="single" w:sz="4" w:space="0" w:color="auto"/>
              <w:right w:val="single" w:sz="4" w:space="0" w:color="auto"/>
            </w:tcBorders>
            <w:shd w:val="clear" w:color="auto" w:fill="auto"/>
          </w:tcPr>
          <w:p w14:paraId="7F16B639" w14:textId="77777777" w:rsidR="00E07608" w:rsidRPr="00986221" w:rsidRDefault="00E07608" w:rsidP="00DF3DD6">
            <w:pPr>
              <w:spacing w:before="0"/>
              <w:rPr>
                <w:rFonts w:cs="Arial"/>
                <w:szCs w:val="20"/>
              </w:rPr>
            </w:pPr>
            <w:r w:rsidRPr="00986221">
              <w:rPr>
                <w:rFonts w:cs="Arial"/>
                <w:color w:val="000000"/>
                <w:szCs w:val="20"/>
              </w:rPr>
              <w:t>Activities funded by flexible funds do not fully contribute to the program's expected outcomes</w:t>
            </w:r>
          </w:p>
        </w:tc>
        <w:tc>
          <w:tcPr>
            <w:tcW w:w="1291" w:type="dxa"/>
            <w:tcBorders>
              <w:top w:val="nil"/>
              <w:left w:val="nil"/>
              <w:bottom w:val="single" w:sz="4" w:space="0" w:color="auto"/>
              <w:right w:val="single" w:sz="4" w:space="0" w:color="auto"/>
            </w:tcBorders>
            <w:shd w:val="clear" w:color="auto" w:fill="auto"/>
          </w:tcPr>
          <w:p w14:paraId="2559A11E" w14:textId="77777777" w:rsidR="00E07608" w:rsidRPr="00986221" w:rsidRDefault="00E07608" w:rsidP="00DF3DD6">
            <w:pPr>
              <w:spacing w:before="0"/>
              <w:rPr>
                <w:rFonts w:cs="Arial"/>
                <w:szCs w:val="20"/>
              </w:rPr>
            </w:pPr>
            <w:r w:rsidRPr="00986221">
              <w:rPr>
                <w:rFonts w:cs="Arial"/>
                <w:color w:val="000000"/>
                <w:szCs w:val="20"/>
              </w:rPr>
              <w:t>Moderate</w:t>
            </w:r>
          </w:p>
        </w:tc>
        <w:tc>
          <w:tcPr>
            <w:tcW w:w="1080" w:type="dxa"/>
            <w:tcBorders>
              <w:top w:val="nil"/>
              <w:left w:val="nil"/>
              <w:bottom w:val="single" w:sz="4" w:space="0" w:color="auto"/>
              <w:right w:val="single" w:sz="4" w:space="0" w:color="auto"/>
            </w:tcBorders>
            <w:shd w:val="clear" w:color="auto" w:fill="auto"/>
          </w:tcPr>
          <w:p w14:paraId="7A86D1D7" w14:textId="77777777" w:rsidR="00E07608" w:rsidRPr="00986221" w:rsidRDefault="00E07608" w:rsidP="00DF3DD6">
            <w:pPr>
              <w:spacing w:before="0"/>
              <w:rPr>
                <w:rFonts w:cs="Arial"/>
                <w:szCs w:val="20"/>
              </w:rPr>
            </w:pPr>
            <w:r w:rsidRPr="00986221">
              <w:rPr>
                <w:rFonts w:cs="Arial"/>
                <w:color w:val="000000"/>
                <w:szCs w:val="20"/>
              </w:rPr>
              <w:t xml:space="preserve">Likely </w:t>
            </w:r>
          </w:p>
        </w:tc>
        <w:tc>
          <w:tcPr>
            <w:tcW w:w="1036" w:type="dxa"/>
            <w:tcBorders>
              <w:top w:val="nil"/>
              <w:left w:val="nil"/>
              <w:bottom w:val="single" w:sz="4" w:space="0" w:color="auto"/>
              <w:right w:val="single" w:sz="4" w:space="0" w:color="auto"/>
            </w:tcBorders>
            <w:shd w:val="clear" w:color="auto" w:fill="auto"/>
          </w:tcPr>
          <w:p w14:paraId="212D0C0F" w14:textId="77777777" w:rsidR="00E07608" w:rsidRPr="00986221" w:rsidRDefault="00E07608" w:rsidP="00DF3DD6">
            <w:pPr>
              <w:spacing w:before="0"/>
              <w:rPr>
                <w:rFonts w:cs="Arial"/>
                <w:szCs w:val="20"/>
              </w:rPr>
            </w:pPr>
            <w:r w:rsidRPr="00986221">
              <w:rPr>
                <w:rFonts w:cs="Arial"/>
                <w:color w:val="000000"/>
                <w:szCs w:val="20"/>
              </w:rPr>
              <w:t>High</w:t>
            </w:r>
          </w:p>
        </w:tc>
        <w:tc>
          <w:tcPr>
            <w:tcW w:w="4683" w:type="dxa"/>
            <w:tcBorders>
              <w:top w:val="nil"/>
              <w:left w:val="nil"/>
              <w:bottom w:val="single" w:sz="4" w:space="0" w:color="auto"/>
              <w:right w:val="single" w:sz="4" w:space="0" w:color="auto"/>
            </w:tcBorders>
            <w:shd w:val="clear" w:color="auto" w:fill="auto"/>
          </w:tcPr>
          <w:p w14:paraId="5834651A" w14:textId="77777777" w:rsidR="00E07608" w:rsidRPr="00986221" w:rsidRDefault="00E07608" w:rsidP="00DF3DD6">
            <w:pPr>
              <w:spacing w:before="0"/>
              <w:rPr>
                <w:rFonts w:cs="Arial"/>
                <w:szCs w:val="20"/>
              </w:rPr>
            </w:pPr>
            <w:r w:rsidRPr="00986221">
              <w:rPr>
                <w:rFonts w:cs="Arial"/>
                <w:color w:val="000000"/>
                <w:szCs w:val="20"/>
              </w:rPr>
              <w:t>- Set of criteria to select partners, activities will be developed taking into account how funded activities or partners will contribute to the program overall outcomes</w:t>
            </w:r>
            <w:r w:rsidRPr="00986221">
              <w:rPr>
                <w:rFonts w:cs="Arial"/>
                <w:color w:val="000000"/>
                <w:szCs w:val="20"/>
              </w:rPr>
              <w:br/>
              <w:t>- No objection from DFAT as donor will be needed before allocating flexible funds</w:t>
            </w:r>
          </w:p>
        </w:tc>
        <w:tc>
          <w:tcPr>
            <w:tcW w:w="1418" w:type="dxa"/>
            <w:tcBorders>
              <w:top w:val="nil"/>
              <w:left w:val="nil"/>
              <w:bottom w:val="single" w:sz="4" w:space="0" w:color="auto"/>
              <w:right w:val="single" w:sz="4" w:space="0" w:color="auto"/>
            </w:tcBorders>
            <w:shd w:val="clear" w:color="auto" w:fill="auto"/>
          </w:tcPr>
          <w:p w14:paraId="6D17857D" w14:textId="77777777" w:rsidR="00E07608" w:rsidRPr="00986221" w:rsidRDefault="00E07608" w:rsidP="00DF3DD6">
            <w:pPr>
              <w:spacing w:before="0"/>
              <w:rPr>
                <w:rFonts w:cs="Arial"/>
                <w:szCs w:val="20"/>
              </w:rPr>
            </w:pPr>
            <w:r w:rsidRPr="00986221">
              <w:rPr>
                <w:rFonts w:cs="Arial"/>
                <w:color w:val="000000"/>
                <w:szCs w:val="20"/>
              </w:rPr>
              <w:t>Moderate</w:t>
            </w:r>
          </w:p>
        </w:tc>
        <w:tc>
          <w:tcPr>
            <w:tcW w:w="1347" w:type="dxa"/>
            <w:tcBorders>
              <w:top w:val="nil"/>
              <w:left w:val="nil"/>
              <w:bottom w:val="single" w:sz="4" w:space="0" w:color="auto"/>
              <w:right w:val="single" w:sz="4" w:space="0" w:color="auto"/>
            </w:tcBorders>
            <w:shd w:val="clear" w:color="auto" w:fill="auto"/>
          </w:tcPr>
          <w:p w14:paraId="3A68ED98" w14:textId="77777777" w:rsidR="00E07608" w:rsidRPr="00986221" w:rsidRDefault="00E07608" w:rsidP="00DF3DD6">
            <w:pPr>
              <w:spacing w:before="0"/>
              <w:rPr>
                <w:rFonts w:cs="Arial"/>
                <w:szCs w:val="20"/>
              </w:rPr>
            </w:pPr>
            <w:r w:rsidRPr="00986221">
              <w:rPr>
                <w:rFonts w:cs="Arial"/>
                <w:color w:val="000000"/>
                <w:szCs w:val="20"/>
              </w:rPr>
              <w:t xml:space="preserve">PCU, Program Director, DFAT's </w:t>
            </w:r>
            <w:r w:rsidRPr="00986221">
              <w:rPr>
                <w:rFonts w:cs="Arial"/>
                <w:szCs w:val="20"/>
              </w:rPr>
              <w:t>First Secretary and SPM</w:t>
            </w:r>
          </w:p>
        </w:tc>
      </w:tr>
      <w:tr w:rsidR="00E07608" w:rsidRPr="00986221" w14:paraId="46E2EEF9" w14:textId="77777777" w:rsidTr="00DF3DD6">
        <w:trPr>
          <w:trHeight w:val="2042"/>
        </w:trPr>
        <w:tc>
          <w:tcPr>
            <w:tcW w:w="567" w:type="dxa"/>
            <w:tcBorders>
              <w:top w:val="nil"/>
              <w:left w:val="single" w:sz="4" w:space="0" w:color="auto"/>
              <w:bottom w:val="single" w:sz="4" w:space="0" w:color="auto"/>
              <w:right w:val="single" w:sz="4" w:space="0" w:color="auto"/>
            </w:tcBorders>
            <w:shd w:val="clear" w:color="auto" w:fill="auto"/>
            <w:hideMark/>
          </w:tcPr>
          <w:p w14:paraId="64E5FE47" w14:textId="77777777" w:rsidR="00E07608" w:rsidRPr="00986221" w:rsidRDefault="00E07608" w:rsidP="00DF3DD6">
            <w:pPr>
              <w:spacing w:before="0"/>
              <w:jc w:val="both"/>
              <w:rPr>
                <w:rFonts w:cs="Arial"/>
                <w:color w:val="000000"/>
                <w:szCs w:val="20"/>
              </w:rPr>
            </w:pPr>
            <w:r w:rsidRPr="00986221">
              <w:rPr>
                <w:rFonts w:cs="Arial"/>
                <w:color w:val="000000"/>
                <w:szCs w:val="20"/>
              </w:rPr>
              <w:t>5</w:t>
            </w:r>
          </w:p>
        </w:tc>
        <w:tc>
          <w:tcPr>
            <w:tcW w:w="2127" w:type="dxa"/>
            <w:tcBorders>
              <w:top w:val="nil"/>
              <w:left w:val="nil"/>
              <w:bottom w:val="single" w:sz="4" w:space="0" w:color="auto"/>
              <w:right w:val="single" w:sz="4" w:space="0" w:color="auto"/>
            </w:tcBorders>
            <w:shd w:val="clear" w:color="auto" w:fill="auto"/>
            <w:hideMark/>
          </w:tcPr>
          <w:p w14:paraId="6658D89C" w14:textId="77777777" w:rsidR="00E07608" w:rsidRPr="00986221" w:rsidRDefault="00E07608" w:rsidP="00DF3DD6">
            <w:pPr>
              <w:spacing w:before="0"/>
              <w:rPr>
                <w:rFonts w:cs="Arial"/>
                <w:szCs w:val="20"/>
              </w:rPr>
            </w:pPr>
            <w:r w:rsidRPr="00986221">
              <w:rPr>
                <w:rFonts w:cs="Arial"/>
                <w:szCs w:val="20"/>
              </w:rPr>
              <w:t>Fraud, misuse of funding, overlap of funding and resources between DFAT, counterpart funding and other donors' funding</w:t>
            </w:r>
          </w:p>
        </w:tc>
        <w:tc>
          <w:tcPr>
            <w:tcW w:w="1984" w:type="dxa"/>
            <w:tcBorders>
              <w:top w:val="nil"/>
              <w:left w:val="nil"/>
              <w:bottom w:val="single" w:sz="4" w:space="0" w:color="auto"/>
              <w:right w:val="single" w:sz="4" w:space="0" w:color="auto"/>
            </w:tcBorders>
            <w:shd w:val="clear" w:color="auto" w:fill="auto"/>
            <w:hideMark/>
          </w:tcPr>
          <w:p w14:paraId="797ACB4F" w14:textId="77777777" w:rsidR="00E07608" w:rsidRPr="00986221" w:rsidRDefault="00E07608" w:rsidP="00DF3DD6">
            <w:pPr>
              <w:spacing w:before="0"/>
              <w:rPr>
                <w:rFonts w:cs="Arial"/>
                <w:szCs w:val="20"/>
              </w:rPr>
            </w:pPr>
            <w:r w:rsidRPr="00986221">
              <w:rPr>
                <w:rFonts w:cs="Arial"/>
                <w:szCs w:val="20"/>
              </w:rPr>
              <w:t>Poor program's value for money and corruption</w:t>
            </w:r>
          </w:p>
        </w:tc>
        <w:tc>
          <w:tcPr>
            <w:tcW w:w="1291" w:type="dxa"/>
            <w:tcBorders>
              <w:top w:val="nil"/>
              <w:left w:val="nil"/>
              <w:bottom w:val="single" w:sz="4" w:space="0" w:color="auto"/>
              <w:right w:val="single" w:sz="4" w:space="0" w:color="auto"/>
            </w:tcBorders>
            <w:shd w:val="clear" w:color="auto" w:fill="auto"/>
            <w:hideMark/>
          </w:tcPr>
          <w:p w14:paraId="76D69274" w14:textId="77777777" w:rsidR="00E07608" w:rsidRPr="00986221" w:rsidRDefault="00E07608" w:rsidP="00DF3DD6">
            <w:pPr>
              <w:spacing w:before="0"/>
              <w:rPr>
                <w:rFonts w:cs="Arial"/>
                <w:szCs w:val="20"/>
              </w:rPr>
            </w:pPr>
            <w:r w:rsidRPr="00986221">
              <w:rPr>
                <w:rFonts w:cs="Arial"/>
                <w:szCs w:val="20"/>
              </w:rPr>
              <w:t>Moderate</w:t>
            </w:r>
          </w:p>
        </w:tc>
        <w:tc>
          <w:tcPr>
            <w:tcW w:w="1080" w:type="dxa"/>
            <w:tcBorders>
              <w:top w:val="nil"/>
              <w:left w:val="nil"/>
              <w:bottom w:val="single" w:sz="4" w:space="0" w:color="auto"/>
              <w:right w:val="single" w:sz="4" w:space="0" w:color="auto"/>
            </w:tcBorders>
            <w:shd w:val="clear" w:color="auto" w:fill="auto"/>
            <w:hideMark/>
          </w:tcPr>
          <w:p w14:paraId="20BD569E" w14:textId="77777777" w:rsidR="00E07608" w:rsidRPr="00986221" w:rsidRDefault="00E07608" w:rsidP="00DF3DD6">
            <w:pPr>
              <w:spacing w:before="0"/>
              <w:rPr>
                <w:rFonts w:cs="Arial"/>
                <w:szCs w:val="20"/>
              </w:rPr>
            </w:pPr>
            <w:r w:rsidRPr="00986221">
              <w:rPr>
                <w:rFonts w:cs="Arial"/>
                <w:szCs w:val="20"/>
              </w:rPr>
              <w:t>Unlikely</w:t>
            </w:r>
          </w:p>
        </w:tc>
        <w:tc>
          <w:tcPr>
            <w:tcW w:w="1036" w:type="dxa"/>
            <w:tcBorders>
              <w:top w:val="nil"/>
              <w:left w:val="nil"/>
              <w:bottom w:val="single" w:sz="4" w:space="0" w:color="auto"/>
              <w:right w:val="single" w:sz="4" w:space="0" w:color="auto"/>
            </w:tcBorders>
            <w:shd w:val="clear" w:color="auto" w:fill="auto"/>
            <w:hideMark/>
          </w:tcPr>
          <w:p w14:paraId="1AB0A339" w14:textId="77777777" w:rsidR="00E07608" w:rsidRPr="00986221" w:rsidRDefault="00E07608" w:rsidP="00DF3DD6">
            <w:pPr>
              <w:spacing w:before="0"/>
              <w:rPr>
                <w:rFonts w:cs="Arial"/>
                <w:szCs w:val="20"/>
              </w:rPr>
            </w:pPr>
            <w:r w:rsidRPr="00986221">
              <w:rPr>
                <w:rFonts w:cs="Arial"/>
                <w:szCs w:val="20"/>
              </w:rPr>
              <w:t>Low</w:t>
            </w:r>
          </w:p>
        </w:tc>
        <w:tc>
          <w:tcPr>
            <w:tcW w:w="4683" w:type="dxa"/>
            <w:tcBorders>
              <w:top w:val="nil"/>
              <w:left w:val="nil"/>
              <w:bottom w:val="single" w:sz="4" w:space="0" w:color="auto"/>
              <w:right w:val="single" w:sz="4" w:space="0" w:color="auto"/>
            </w:tcBorders>
            <w:shd w:val="clear" w:color="auto" w:fill="auto"/>
            <w:hideMark/>
          </w:tcPr>
          <w:p w14:paraId="0572818D" w14:textId="77777777" w:rsidR="00E07608" w:rsidRPr="00986221" w:rsidRDefault="00E07608" w:rsidP="00DF3DD6">
            <w:pPr>
              <w:spacing w:before="0"/>
              <w:rPr>
                <w:rFonts w:cs="Arial"/>
                <w:szCs w:val="20"/>
              </w:rPr>
            </w:pPr>
            <w:r w:rsidRPr="00986221">
              <w:rPr>
                <w:rFonts w:cs="Arial"/>
                <w:szCs w:val="20"/>
              </w:rPr>
              <w:t>- Different funding agreement signed between DFAT and implementing partners will define clearly funding contribution from different stakeholders to the program</w:t>
            </w:r>
            <w:r w:rsidRPr="00986221">
              <w:rPr>
                <w:rFonts w:cs="Arial"/>
                <w:szCs w:val="20"/>
              </w:rPr>
              <w:br/>
              <w:t>- DFAT's Senior Program Manager, PCU's manager will have regular information exchange with other donors to avoid overlap of funding but also to explore potential areas for joined funding</w:t>
            </w:r>
            <w:r w:rsidRPr="00986221">
              <w:rPr>
                <w:rFonts w:cs="Arial"/>
                <w:szCs w:val="20"/>
              </w:rPr>
              <w:br/>
              <w:t>- Audit reports for funding (both GOA and GoV contributions) will be disclosed to relevant stakeholders</w:t>
            </w:r>
          </w:p>
        </w:tc>
        <w:tc>
          <w:tcPr>
            <w:tcW w:w="1418" w:type="dxa"/>
            <w:tcBorders>
              <w:top w:val="nil"/>
              <w:left w:val="nil"/>
              <w:bottom w:val="single" w:sz="4" w:space="0" w:color="auto"/>
              <w:right w:val="single" w:sz="4" w:space="0" w:color="auto"/>
            </w:tcBorders>
            <w:shd w:val="clear" w:color="auto" w:fill="auto"/>
            <w:hideMark/>
          </w:tcPr>
          <w:p w14:paraId="14E0A869" w14:textId="77777777" w:rsidR="00E07608" w:rsidRPr="00986221" w:rsidRDefault="00E07608" w:rsidP="00DF3DD6">
            <w:pPr>
              <w:spacing w:before="0"/>
              <w:rPr>
                <w:rFonts w:cs="Arial"/>
                <w:szCs w:val="20"/>
              </w:rPr>
            </w:pPr>
            <w:r w:rsidRPr="00986221">
              <w:rPr>
                <w:rFonts w:cs="Arial"/>
                <w:szCs w:val="20"/>
              </w:rPr>
              <w:t>Moderate</w:t>
            </w:r>
          </w:p>
        </w:tc>
        <w:tc>
          <w:tcPr>
            <w:tcW w:w="1347" w:type="dxa"/>
            <w:tcBorders>
              <w:top w:val="nil"/>
              <w:left w:val="nil"/>
              <w:bottom w:val="single" w:sz="4" w:space="0" w:color="auto"/>
              <w:right w:val="single" w:sz="4" w:space="0" w:color="auto"/>
            </w:tcBorders>
            <w:shd w:val="clear" w:color="auto" w:fill="auto"/>
            <w:hideMark/>
          </w:tcPr>
          <w:p w14:paraId="09A981BD" w14:textId="77777777" w:rsidR="00E07608" w:rsidRPr="00986221" w:rsidRDefault="00E07608" w:rsidP="00DF3DD6">
            <w:pPr>
              <w:spacing w:before="0"/>
              <w:rPr>
                <w:rFonts w:cs="Arial"/>
                <w:szCs w:val="20"/>
              </w:rPr>
            </w:pPr>
            <w:r w:rsidRPr="00986221">
              <w:rPr>
                <w:rFonts w:cs="Arial"/>
                <w:color w:val="000000"/>
                <w:szCs w:val="20"/>
              </w:rPr>
              <w:t xml:space="preserve">PCU, Program Director, DFAT's </w:t>
            </w:r>
            <w:r w:rsidRPr="00986221">
              <w:rPr>
                <w:rFonts w:cs="Arial"/>
                <w:szCs w:val="20"/>
              </w:rPr>
              <w:t>First Secretary and SPM</w:t>
            </w:r>
          </w:p>
        </w:tc>
      </w:tr>
      <w:tr w:rsidR="00E07608" w:rsidRPr="00986221" w14:paraId="5D018352" w14:textId="77777777" w:rsidTr="00DF3DD6">
        <w:trPr>
          <w:trHeight w:val="423"/>
        </w:trPr>
        <w:tc>
          <w:tcPr>
            <w:tcW w:w="567" w:type="dxa"/>
            <w:tcBorders>
              <w:top w:val="nil"/>
              <w:left w:val="single" w:sz="4" w:space="0" w:color="auto"/>
              <w:bottom w:val="single" w:sz="4" w:space="0" w:color="auto"/>
              <w:right w:val="single" w:sz="4" w:space="0" w:color="auto"/>
            </w:tcBorders>
            <w:shd w:val="clear" w:color="000000" w:fill="D8E4BC"/>
            <w:hideMark/>
          </w:tcPr>
          <w:p w14:paraId="0AF6B2F5" w14:textId="77777777" w:rsidR="00E07608" w:rsidRPr="00986221" w:rsidRDefault="00E07608" w:rsidP="00DF3DD6">
            <w:pPr>
              <w:spacing w:before="0"/>
              <w:jc w:val="both"/>
              <w:rPr>
                <w:rFonts w:cs="Arial"/>
                <w:b/>
                <w:bCs/>
                <w:color w:val="000000"/>
                <w:szCs w:val="20"/>
              </w:rPr>
            </w:pPr>
            <w:r w:rsidRPr="00986221">
              <w:rPr>
                <w:rFonts w:cs="Arial"/>
                <w:b/>
                <w:bCs/>
                <w:color w:val="000000"/>
                <w:szCs w:val="20"/>
              </w:rPr>
              <w:t>II</w:t>
            </w:r>
          </w:p>
        </w:tc>
        <w:tc>
          <w:tcPr>
            <w:tcW w:w="14966" w:type="dxa"/>
            <w:gridSpan w:val="8"/>
            <w:tcBorders>
              <w:top w:val="single" w:sz="4" w:space="0" w:color="auto"/>
              <w:left w:val="nil"/>
              <w:bottom w:val="single" w:sz="4" w:space="0" w:color="auto"/>
              <w:right w:val="single" w:sz="4" w:space="0" w:color="auto"/>
            </w:tcBorders>
            <w:shd w:val="clear" w:color="000000" w:fill="D8E4BC"/>
            <w:hideMark/>
          </w:tcPr>
          <w:p w14:paraId="353C1514" w14:textId="77777777" w:rsidR="00E07608" w:rsidRPr="00986221" w:rsidRDefault="00E07608" w:rsidP="00DF3DD6">
            <w:pPr>
              <w:spacing w:before="0"/>
              <w:rPr>
                <w:rFonts w:cs="Arial"/>
                <w:b/>
                <w:bCs/>
                <w:color w:val="000000"/>
                <w:szCs w:val="20"/>
              </w:rPr>
            </w:pPr>
            <w:r w:rsidRPr="00986221">
              <w:rPr>
                <w:rFonts w:cs="Arial"/>
                <w:b/>
                <w:bCs/>
                <w:color w:val="000000"/>
                <w:szCs w:val="20"/>
              </w:rPr>
              <w:t>Specific risks</w:t>
            </w:r>
          </w:p>
        </w:tc>
      </w:tr>
      <w:tr w:rsidR="00E07608" w:rsidRPr="00986221" w14:paraId="101D3BA1" w14:textId="77777777" w:rsidTr="00DF3DD6">
        <w:trPr>
          <w:trHeight w:val="401"/>
        </w:trPr>
        <w:tc>
          <w:tcPr>
            <w:tcW w:w="15533" w:type="dxa"/>
            <w:gridSpan w:val="9"/>
            <w:tcBorders>
              <w:top w:val="single" w:sz="4" w:space="0" w:color="auto"/>
              <w:left w:val="single" w:sz="4" w:space="0" w:color="auto"/>
              <w:bottom w:val="single" w:sz="4" w:space="0" w:color="auto"/>
              <w:right w:val="single" w:sz="4" w:space="0" w:color="000000"/>
            </w:tcBorders>
            <w:shd w:val="clear" w:color="auto" w:fill="auto"/>
            <w:hideMark/>
          </w:tcPr>
          <w:p w14:paraId="1E17BF93" w14:textId="77777777" w:rsidR="00E07608" w:rsidRPr="00986221" w:rsidRDefault="00E07608" w:rsidP="00DF3DD6">
            <w:pPr>
              <w:spacing w:before="0"/>
              <w:rPr>
                <w:rFonts w:cs="Arial"/>
                <w:b/>
                <w:color w:val="000000"/>
                <w:szCs w:val="20"/>
              </w:rPr>
            </w:pPr>
            <w:r w:rsidRPr="00986221">
              <w:rPr>
                <w:rFonts w:cs="Arial"/>
                <w:b/>
                <w:color w:val="000000"/>
                <w:szCs w:val="20"/>
              </w:rPr>
              <w:t>Component 1: Enhanced Business Competitiveness  and Transparency</w:t>
            </w:r>
          </w:p>
        </w:tc>
      </w:tr>
      <w:tr w:rsidR="00E07608" w:rsidRPr="00986221" w14:paraId="7B2A268F" w14:textId="77777777" w:rsidTr="00DF3DD6">
        <w:trPr>
          <w:trHeight w:val="2562"/>
        </w:trPr>
        <w:tc>
          <w:tcPr>
            <w:tcW w:w="567" w:type="dxa"/>
            <w:tcBorders>
              <w:top w:val="nil"/>
              <w:left w:val="single" w:sz="4" w:space="0" w:color="auto"/>
              <w:bottom w:val="single" w:sz="4" w:space="0" w:color="auto"/>
              <w:right w:val="single" w:sz="4" w:space="0" w:color="auto"/>
            </w:tcBorders>
            <w:shd w:val="clear" w:color="auto" w:fill="auto"/>
            <w:hideMark/>
          </w:tcPr>
          <w:p w14:paraId="4C853F11" w14:textId="77777777" w:rsidR="00E07608" w:rsidRPr="00986221" w:rsidRDefault="00E07608" w:rsidP="00DF3DD6">
            <w:pPr>
              <w:spacing w:before="0"/>
              <w:rPr>
                <w:rFonts w:cs="Arial"/>
                <w:color w:val="000000"/>
                <w:szCs w:val="20"/>
              </w:rPr>
            </w:pPr>
            <w:r w:rsidRPr="00986221">
              <w:rPr>
                <w:rFonts w:cs="Arial"/>
                <w:color w:val="000000"/>
                <w:szCs w:val="20"/>
              </w:rPr>
              <w:t>1</w:t>
            </w:r>
          </w:p>
        </w:tc>
        <w:tc>
          <w:tcPr>
            <w:tcW w:w="2127" w:type="dxa"/>
            <w:tcBorders>
              <w:top w:val="nil"/>
              <w:left w:val="nil"/>
              <w:bottom w:val="single" w:sz="4" w:space="0" w:color="auto"/>
              <w:right w:val="single" w:sz="4" w:space="0" w:color="auto"/>
            </w:tcBorders>
            <w:shd w:val="clear" w:color="auto" w:fill="auto"/>
            <w:hideMark/>
          </w:tcPr>
          <w:p w14:paraId="2ED15621" w14:textId="77777777" w:rsidR="00E07608" w:rsidRPr="00986221" w:rsidRDefault="00E07608" w:rsidP="00DF3DD6">
            <w:pPr>
              <w:spacing w:before="0"/>
              <w:rPr>
                <w:rFonts w:cs="Arial"/>
                <w:color w:val="000000"/>
                <w:szCs w:val="20"/>
              </w:rPr>
            </w:pPr>
            <w:r w:rsidRPr="00986221">
              <w:rPr>
                <w:rFonts w:cs="Arial"/>
                <w:color w:val="000000"/>
                <w:szCs w:val="20"/>
              </w:rPr>
              <w:t>Party and GoV leaders don't act on recommendations to alleviate constraints to private sector development, and improving the enforcement of corporate governance of State Enterprises</w:t>
            </w:r>
          </w:p>
        </w:tc>
        <w:tc>
          <w:tcPr>
            <w:tcW w:w="1984" w:type="dxa"/>
            <w:tcBorders>
              <w:top w:val="nil"/>
              <w:left w:val="nil"/>
              <w:bottom w:val="single" w:sz="4" w:space="0" w:color="auto"/>
              <w:right w:val="single" w:sz="4" w:space="0" w:color="auto"/>
            </w:tcBorders>
            <w:shd w:val="clear" w:color="auto" w:fill="auto"/>
            <w:hideMark/>
          </w:tcPr>
          <w:p w14:paraId="2FE1F97F" w14:textId="77777777" w:rsidR="00E07608" w:rsidRPr="00986221" w:rsidRDefault="00E07608" w:rsidP="00DF3DD6">
            <w:pPr>
              <w:spacing w:before="0"/>
              <w:rPr>
                <w:rFonts w:cs="Arial"/>
                <w:color w:val="000000"/>
                <w:szCs w:val="20"/>
              </w:rPr>
            </w:pPr>
            <w:r w:rsidRPr="00986221">
              <w:rPr>
                <w:rFonts w:cs="Arial"/>
                <w:color w:val="000000"/>
                <w:szCs w:val="20"/>
              </w:rPr>
              <w:t xml:space="preserve">National Assembly does not approve revised Enterprise and Investment Legislations or the revisions to the legislation fails to address the most important constraints to private sector development </w:t>
            </w:r>
          </w:p>
        </w:tc>
        <w:tc>
          <w:tcPr>
            <w:tcW w:w="1291" w:type="dxa"/>
            <w:tcBorders>
              <w:top w:val="nil"/>
              <w:left w:val="nil"/>
              <w:bottom w:val="single" w:sz="4" w:space="0" w:color="auto"/>
              <w:right w:val="single" w:sz="4" w:space="0" w:color="auto"/>
            </w:tcBorders>
            <w:shd w:val="clear" w:color="auto" w:fill="auto"/>
            <w:hideMark/>
          </w:tcPr>
          <w:p w14:paraId="0B2D37E2" w14:textId="77777777" w:rsidR="00E07608" w:rsidRPr="00986221" w:rsidRDefault="00E07608" w:rsidP="00DF3DD6">
            <w:pPr>
              <w:spacing w:before="0"/>
              <w:rPr>
                <w:rFonts w:cs="Arial"/>
                <w:color w:val="000000"/>
                <w:szCs w:val="20"/>
              </w:rPr>
            </w:pPr>
            <w:r w:rsidRPr="00986221">
              <w:rPr>
                <w:rFonts w:cs="Arial"/>
                <w:color w:val="000000"/>
                <w:szCs w:val="20"/>
              </w:rPr>
              <w:t>Major</w:t>
            </w:r>
          </w:p>
        </w:tc>
        <w:tc>
          <w:tcPr>
            <w:tcW w:w="1080" w:type="dxa"/>
            <w:tcBorders>
              <w:top w:val="nil"/>
              <w:left w:val="nil"/>
              <w:bottom w:val="single" w:sz="4" w:space="0" w:color="auto"/>
              <w:right w:val="single" w:sz="4" w:space="0" w:color="auto"/>
            </w:tcBorders>
            <w:shd w:val="clear" w:color="auto" w:fill="auto"/>
            <w:hideMark/>
          </w:tcPr>
          <w:p w14:paraId="60C59C29" w14:textId="77777777" w:rsidR="00E07608" w:rsidRPr="00986221" w:rsidRDefault="00E07608" w:rsidP="00DF3DD6">
            <w:pPr>
              <w:spacing w:before="0"/>
              <w:rPr>
                <w:rFonts w:cs="Arial"/>
                <w:color w:val="000000"/>
                <w:szCs w:val="20"/>
              </w:rPr>
            </w:pPr>
            <w:r w:rsidRPr="00986221">
              <w:rPr>
                <w:rFonts w:cs="Arial"/>
                <w:color w:val="000000"/>
                <w:szCs w:val="20"/>
              </w:rPr>
              <w:t>Unlikely</w:t>
            </w:r>
          </w:p>
        </w:tc>
        <w:tc>
          <w:tcPr>
            <w:tcW w:w="1036" w:type="dxa"/>
            <w:tcBorders>
              <w:top w:val="nil"/>
              <w:left w:val="nil"/>
              <w:bottom w:val="single" w:sz="4" w:space="0" w:color="auto"/>
              <w:right w:val="single" w:sz="4" w:space="0" w:color="auto"/>
            </w:tcBorders>
            <w:shd w:val="clear" w:color="auto" w:fill="auto"/>
            <w:hideMark/>
          </w:tcPr>
          <w:p w14:paraId="1804C08A" w14:textId="77777777" w:rsidR="00E07608" w:rsidRPr="00986221" w:rsidRDefault="00E07608" w:rsidP="00DF3DD6">
            <w:pPr>
              <w:spacing w:before="0"/>
              <w:rPr>
                <w:rFonts w:cs="Arial"/>
                <w:color w:val="000000"/>
                <w:szCs w:val="20"/>
              </w:rPr>
            </w:pPr>
            <w:r w:rsidRPr="00986221">
              <w:rPr>
                <w:rFonts w:cs="Arial"/>
                <w:color w:val="000000"/>
                <w:szCs w:val="20"/>
              </w:rPr>
              <w:t>Moderate</w:t>
            </w:r>
          </w:p>
        </w:tc>
        <w:tc>
          <w:tcPr>
            <w:tcW w:w="4683" w:type="dxa"/>
            <w:tcBorders>
              <w:top w:val="nil"/>
              <w:left w:val="nil"/>
              <w:bottom w:val="single" w:sz="4" w:space="0" w:color="auto"/>
              <w:right w:val="single" w:sz="4" w:space="0" w:color="auto"/>
            </w:tcBorders>
            <w:shd w:val="clear" w:color="auto" w:fill="auto"/>
            <w:hideMark/>
          </w:tcPr>
          <w:p w14:paraId="095B3A57" w14:textId="77777777" w:rsidR="00E07608" w:rsidRPr="00986221" w:rsidRDefault="00E07608" w:rsidP="00DF3DD6">
            <w:pPr>
              <w:spacing w:before="0"/>
              <w:rPr>
                <w:rFonts w:cs="Arial"/>
                <w:color w:val="000000"/>
                <w:szCs w:val="20"/>
              </w:rPr>
            </w:pPr>
            <w:r w:rsidRPr="00986221">
              <w:rPr>
                <w:rFonts w:cs="Arial"/>
                <w:color w:val="000000"/>
                <w:szCs w:val="20"/>
              </w:rPr>
              <w:t>-Concrete policy recommendations on alleviating constraints to private sector development will be conveyed by PD to Party and GoV high-level leadership in all relevant forums.</w:t>
            </w:r>
            <w:r w:rsidRPr="00986221">
              <w:rPr>
                <w:rFonts w:cs="Arial"/>
                <w:color w:val="000000"/>
                <w:szCs w:val="20"/>
              </w:rPr>
              <w:br/>
              <w:t>-Program communication strategy will be developed and implemented to convey the program's policy recommendations in a timely manner.</w:t>
            </w:r>
            <w:r w:rsidRPr="00986221">
              <w:rPr>
                <w:rFonts w:cs="Arial"/>
                <w:color w:val="000000"/>
                <w:szCs w:val="20"/>
              </w:rPr>
              <w:br/>
              <w:t>-The program is designed so that researchers will work with the private sector, mass media, development partners, SAG, think tanks and researchers for harmonised and collective policy recommendations on private sector development</w:t>
            </w:r>
          </w:p>
        </w:tc>
        <w:tc>
          <w:tcPr>
            <w:tcW w:w="1418" w:type="dxa"/>
            <w:tcBorders>
              <w:top w:val="nil"/>
              <w:left w:val="nil"/>
              <w:bottom w:val="single" w:sz="4" w:space="0" w:color="auto"/>
              <w:right w:val="single" w:sz="4" w:space="0" w:color="auto"/>
            </w:tcBorders>
            <w:shd w:val="clear" w:color="auto" w:fill="auto"/>
            <w:hideMark/>
          </w:tcPr>
          <w:p w14:paraId="0BD9C4AB" w14:textId="77777777" w:rsidR="00E07608" w:rsidRPr="00986221" w:rsidRDefault="00E07608" w:rsidP="00DF3DD6">
            <w:pPr>
              <w:spacing w:before="0"/>
              <w:rPr>
                <w:rFonts w:cs="Arial"/>
                <w:color w:val="000000"/>
                <w:szCs w:val="20"/>
              </w:rPr>
            </w:pPr>
            <w:r w:rsidRPr="00986221">
              <w:rPr>
                <w:rFonts w:cs="Arial"/>
                <w:color w:val="000000"/>
                <w:szCs w:val="20"/>
              </w:rPr>
              <w:t>Moderate</w:t>
            </w:r>
          </w:p>
        </w:tc>
        <w:tc>
          <w:tcPr>
            <w:tcW w:w="1347" w:type="dxa"/>
            <w:tcBorders>
              <w:top w:val="nil"/>
              <w:left w:val="nil"/>
              <w:bottom w:val="single" w:sz="4" w:space="0" w:color="auto"/>
              <w:right w:val="single" w:sz="4" w:space="0" w:color="auto"/>
            </w:tcBorders>
            <w:shd w:val="clear" w:color="auto" w:fill="auto"/>
            <w:hideMark/>
          </w:tcPr>
          <w:p w14:paraId="3C5A9C47" w14:textId="77777777" w:rsidR="00E07608" w:rsidRPr="00986221" w:rsidRDefault="00E07608" w:rsidP="00DF3DD6">
            <w:pPr>
              <w:spacing w:before="0"/>
              <w:rPr>
                <w:rFonts w:cs="Arial"/>
                <w:color w:val="000000"/>
                <w:szCs w:val="20"/>
              </w:rPr>
            </w:pPr>
            <w:r w:rsidRPr="00986221">
              <w:rPr>
                <w:rFonts w:cs="Arial"/>
                <w:color w:val="000000"/>
                <w:szCs w:val="20"/>
              </w:rPr>
              <w:t xml:space="preserve">Program Director, DFAT </w:t>
            </w:r>
            <w:r w:rsidRPr="00986221">
              <w:rPr>
                <w:rFonts w:cs="Arial"/>
                <w:szCs w:val="20"/>
              </w:rPr>
              <w:t>First Secretary and SPM</w:t>
            </w:r>
          </w:p>
        </w:tc>
      </w:tr>
      <w:tr w:rsidR="00E07608" w:rsidRPr="00986221" w14:paraId="7C59AE45" w14:textId="77777777" w:rsidTr="00DF3DD6">
        <w:trPr>
          <w:trHeight w:val="3097"/>
        </w:trPr>
        <w:tc>
          <w:tcPr>
            <w:tcW w:w="567" w:type="dxa"/>
            <w:tcBorders>
              <w:top w:val="nil"/>
              <w:left w:val="single" w:sz="4" w:space="0" w:color="auto"/>
              <w:bottom w:val="single" w:sz="4" w:space="0" w:color="auto"/>
              <w:right w:val="single" w:sz="4" w:space="0" w:color="auto"/>
            </w:tcBorders>
            <w:shd w:val="clear" w:color="auto" w:fill="auto"/>
            <w:hideMark/>
          </w:tcPr>
          <w:p w14:paraId="1B1622D4" w14:textId="77777777" w:rsidR="00E07608" w:rsidRPr="00986221" w:rsidRDefault="00E07608" w:rsidP="00DF3DD6">
            <w:pPr>
              <w:spacing w:before="0"/>
              <w:rPr>
                <w:rFonts w:cs="Arial"/>
                <w:color w:val="000000"/>
                <w:szCs w:val="20"/>
              </w:rPr>
            </w:pPr>
            <w:r w:rsidRPr="00986221">
              <w:rPr>
                <w:rFonts w:cs="Arial"/>
                <w:color w:val="000000"/>
                <w:szCs w:val="20"/>
              </w:rPr>
              <w:t>2</w:t>
            </w:r>
          </w:p>
        </w:tc>
        <w:tc>
          <w:tcPr>
            <w:tcW w:w="2127" w:type="dxa"/>
            <w:tcBorders>
              <w:top w:val="nil"/>
              <w:left w:val="nil"/>
              <w:bottom w:val="single" w:sz="4" w:space="0" w:color="auto"/>
              <w:right w:val="single" w:sz="4" w:space="0" w:color="auto"/>
            </w:tcBorders>
            <w:shd w:val="clear" w:color="auto" w:fill="auto"/>
            <w:hideMark/>
          </w:tcPr>
          <w:p w14:paraId="3B42E1A1" w14:textId="77777777" w:rsidR="00E07608" w:rsidRPr="00986221" w:rsidRDefault="00E07608" w:rsidP="00DF3DD6">
            <w:pPr>
              <w:spacing w:before="0"/>
              <w:rPr>
                <w:rFonts w:cs="Arial"/>
                <w:color w:val="000000"/>
                <w:szCs w:val="20"/>
              </w:rPr>
            </w:pPr>
            <w:r w:rsidRPr="00986221">
              <w:rPr>
                <w:rFonts w:cs="Arial"/>
                <w:color w:val="000000"/>
                <w:szCs w:val="20"/>
              </w:rPr>
              <w:t>Implementation of the MPER is a long time exercise (from 2013-2020), covering a broad range of economic issues that need coordinated action, while program's resources are limited with a short timeline</w:t>
            </w:r>
          </w:p>
        </w:tc>
        <w:tc>
          <w:tcPr>
            <w:tcW w:w="1984" w:type="dxa"/>
            <w:tcBorders>
              <w:top w:val="nil"/>
              <w:left w:val="nil"/>
              <w:bottom w:val="single" w:sz="4" w:space="0" w:color="auto"/>
              <w:right w:val="single" w:sz="4" w:space="0" w:color="auto"/>
            </w:tcBorders>
            <w:shd w:val="clear" w:color="auto" w:fill="auto"/>
            <w:hideMark/>
          </w:tcPr>
          <w:p w14:paraId="0FD6A353" w14:textId="77777777" w:rsidR="00E07608" w:rsidRPr="00986221" w:rsidRDefault="00E07608" w:rsidP="00DF3DD6">
            <w:pPr>
              <w:spacing w:before="0"/>
              <w:rPr>
                <w:rFonts w:cs="Arial"/>
                <w:color w:val="000000"/>
                <w:szCs w:val="20"/>
              </w:rPr>
            </w:pPr>
            <w:r w:rsidRPr="00986221">
              <w:rPr>
                <w:rFonts w:cs="Arial"/>
                <w:color w:val="000000"/>
                <w:szCs w:val="20"/>
              </w:rPr>
              <w:t xml:space="preserve">The program can only support limited elements of the MPER with limited impacts in terms of analytical inputs to implementation of MPER and to MPER performance monitoring and reporting. </w:t>
            </w:r>
          </w:p>
        </w:tc>
        <w:tc>
          <w:tcPr>
            <w:tcW w:w="1291" w:type="dxa"/>
            <w:tcBorders>
              <w:top w:val="nil"/>
              <w:left w:val="nil"/>
              <w:bottom w:val="single" w:sz="4" w:space="0" w:color="auto"/>
              <w:right w:val="single" w:sz="4" w:space="0" w:color="auto"/>
            </w:tcBorders>
            <w:shd w:val="clear" w:color="auto" w:fill="auto"/>
            <w:hideMark/>
          </w:tcPr>
          <w:p w14:paraId="384465B8" w14:textId="77777777" w:rsidR="00E07608" w:rsidRPr="00986221" w:rsidRDefault="00E07608" w:rsidP="00DF3DD6">
            <w:pPr>
              <w:spacing w:before="0"/>
              <w:rPr>
                <w:rFonts w:cs="Arial"/>
                <w:color w:val="000000"/>
                <w:szCs w:val="20"/>
              </w:rPr>
            </w:pPr>
            <w:r w:rsidRPr="00986221">
              <w:rPr>
                <w:rFonts w:cs="Arial"/>
                <w:color w:val="000000"/>
                <w:szCs w:val="20"/>
              </w:rPr>
              <w:t>Moderate</w:t>
            </w:r>
          </w:p>
        </w:tc>
        <w:tc>
          <w:tcPr>
            <w:tcW w:w="1080" w:type="dxa"/>
            <w:tcBorders>
              <w:top w:val="nil"/>
              <w:left w:val="nil"/>
              <w:bottom w:val="single" w:sz="4" w:space="0" w:color="auto"/>
              <w:right w:val="single" w:sz="4" w:space="0" w:color="auto"/>
            </w:tcBorders>
            <w:shd w:val="clear" w:color="auto" w:fill="auto"/>
            <w:hideMark/>
          </w:tcPr>
          <w:p w14:paraId="32FF1105" w14:textId="77777777" w:rsidR="00E07608" w:rsidRPr="00986221" w:rsidRDefault="00E07608" w:rsidP="00DF3DD6">
            <w:pPr>
              <w:spacing w:before="0"/>
              <w:rPr>
                <w:rFonts w:cs="Arial"/>
                <w:color w:val="000000"/>
                <w:szCs w:val="20"/>
              </w:rPr>
            </w:pPr>
            <w:r w:rsidRPr="00986221">
              <w:rPr>
                <w:rFonts w:cs="Arial"/>
                <w:color w:val="000000"/>
                <w:szCs w:val="20"/>
              </w:rPr>
              <w:t>Likely</w:t>
            </w:r>
          </w:p>
        </w:tc>
        <w:tc>
          <w:tcPr>
            <w:tcW w:w="1036" w:type="dxa"/>
            <w:tcBorders>
              <w:top w:val="nil"/>
              <w:left w:val="nil"/>
              <w:bottom w:val="single" w:sz="4" w:space="0" w:color="auto"/>
              <w:right w:val="single" w:sz="4" w:space="0" w:color="auto"/>
            </w:tcBorders>
            <w:shd w:val="clear" w:color="auto" w:fill="auto"/>
            <w:hideMark/>
          </w:tcPr>
          <w:p w14:paraId="7E3CCA19" w14:textId="77777777" w:rsidR="00E07608" w:rsidRPr="00986221" w:rsidRDefault="00E07608" w:rsidP="00DF3DD6">
            <w:pPr>
              <w:spacing w:before="0"/>
              <w:rPr>
                <w:rFonts w:cs="Arial"/>
                <w:color w:val="000000"/>
                <w:szCs w:val="20"/>
              </w:rPr>
            </w:pPr>
            <w:r w:rsidRPr="00986221">
              <w:rPr>
                <w:rFonts w:cs="Arial"/>
                <w:color w:val="000000"/>
                <w:szCs w:val="20"/>
              </w:rPr>
              <w:t>High</w:t>
            </w:r>
          </w:p>
        </w:tc>
        <w:tc>
          <w:tcPr>
            <w:tcW w:w="4683" w:type="dxa"/>
            <w:tcBorders>
              <w:top w:val="nil"/>
              <w:left w:val="nil"/>
              <w:bottom w:val="single" w:sz="4" w:space="0" w:color="auto"/>
              <w:right w:val="single" w:sz="4" w:space="0" w:color="auto"/>
            </w:tcBorders>
            <w:shd w:val="clear" w:color="auto" w:fill="auto"/>
            <w:hideMark/>
          </w:tcPr>
          <w:p w14:paraId="7D2226C0" w14:textId="77777777" w:rsidR="00E07608" w:rsidRPr="00986221" w:rsidRDefault="00E07608" w:rsidP="00DF3DD6">
            <w:pPr>
              <w:spacing w:before="0"/>
              <w:rPr>
                <w:rFonts w:cs="Arial"/>
                <w:color w:val="000000"/>
                <w:szCs w:val="20"/>
              </w:rPr>
            </w:pPr>
            <w:r w:rsidRPr="00986221">
              <w:rPr>
                <w:rFonts w:cs="Arial"/>
                <w:color w:val="000000"/>
                <w:szCs w:val="20"/>
              </w:rPr>
              <w:t>- Program will target selective areas in the MPER, burning macroeconomic issues that are relevant to the program's intervention areas for evidence-based analysis and reporting.</w:t>
            </w:r>
          </w:p>
          <w:p w14:paraId="223595C1" w14:textId="77777777" w:rsidR="00E07608" w:rsidRPr="00986221" w:rsidRDefault="00E07608" w:rsidP="00DF3DD6">
            <w:pPr>
              <w:spacing w:before="0"/>
              <w:rPr>
                <w:rFonts w:cs="Arial"/>
                <w:color w:val="000000"/>
                <w:szCs w:val="20"/>
              </w:rPr>
            </w:pPr>
            <w:r w:rsidRPr="00986221">
              <w:rPr>
                <w:rFonts w:cs="Arial"/>
                <w:color w:val="000000"/>
                <w:szCs w:val="20"/>
              </w:rPr>
              <w:t xml:space="preserve">-The Program design recognizes that with limited resources, time and capacity Program activities need to be tightly focussed on priority activities that have already been included on the action agenda of the GoV and/or NA. </w:t>
            </w:r>
          </w:p>
        </w:tc>
        <w:tc>
          <w:tcPr>
            <w:tcW w:w="1418" w:type="dxa"/>
            <w:tcBorders>
              <w:top w:val="nil"/>
              <w:left w:val="nil"/>
              <w:bottom w:val="single" w:sz="4" w:space="0" w:color="auto"/>
              <w:right w:val="single" w:sz="4" w:space="0" w:color="auto"/>
            </w:tcBorders>
            <w:shd w:val="clear" w:color="auto" w:fill="auto"/>
            <w:hideMark/>
          </w:tcPr>
          <w:p w14:paraId="7CBEC648" w14:textId="77777777" w:rsidR="00E07608" w:rsidRPr="00986221" w:rsidRDefault="00E07608" w:rsidP="00DF3DD6">
            <w:pPr>
              <w:spacing w:before="0"/>
              <w:rPr>
                <w:rFonts w:cs="Arial"/>
                <w:color w:val="000000"/>
                <w:szCs w:val="20"/>
              </w:rPr>
            </w:pPr>
            <w:r w:rsidRPr="00986221">
              <w:rPr>
                <w:rFonts w:cs="Arial"/>
                <w:color w:val="000000"/>
                <w:szCs w:val="20"/>
              </w:rPr>
              <w:t>Moderate</w:t>
            </w:r>
          </w:p>
        </w:tc>
        <w:tc>
          <w:tcPr>
            <w:tcW w:w="1347" w:type="dxa"/>
            <w:tcBorders>
              <w:top w:val="nil"/>
              <w:left w:val="nil"/>
              <w:bottom w:val="single" w:sz="4" w:space="0" w:color="auto"/>
              <w:right w:val="single" w:sz="4" w:space="0" w:color="auto"/>
            </w:tcBorders>
            <w:shd w:val="clear" w:color="auto" w:fill="auto"/>
            <w:hideMark/>
          </w:tcPr>
          <w:p w14:paraId="3DC9A8B3" w14:textId="77777777" w:rsidR="00E07608" w:rsidRPr="00986221" w:rsidRDefault="00E07608" w:rsidP="00DF3DD6">
            <w:pPr>
              <w:spacing w:before="0"/>
              <w:rPr>
                <w:rFonts w:cs="Arial"/>
                <w:color w:val="000000"/>
                <w:szCs w:val="20"/>
              </w:rPr>
            </w:pPr>
            <w:r w:rsidRPr="00986221">
              <w:rPr>
                <w:rFonts w:cs="Arial"/>
                <w:color w:val="000000"/>
                <w:szCs w:val="20"/>
              </w:rPr>
              <w:t xml:space="preserve">Program Director, DFAT </w:t>
            </w:r>
            <w:r w:rsidRPr="00986221">
              <w:rPr>
                <w:rFonts w:cs="Arial"/>
                <w:szCs w:val="20"/>
              </w:rPr>
              <w:t>First Secretary and SPM</w:t>
            </w:r>
          </w:p>
        </w:tc>
      </w:tr>
      <w:tr w:rsidR="00E07608" w:rsidRPr="00986221" w14:paraId="12390EF4" w14:textId="77777777" w:rsidTr="00DF3DD6">
        <w:trPr>
          <w:trHeight w:val="280"/>
        </w:trPr>
        <w:tc>
          <w:tcPr>
            <w:tcW w:w="15533" w:type="dxa"/>
            <w:gridSpan w:val="9"/>
            <w:tcBorders>
              <w:top w:val="single" w:sz="4" w:space="0" w:color="auto"/>
              <w:left w:val="single" w:sz="4" w:space="0" w:color="auto"/>
              <w:bottom w:val="single" w:sz="4" w:space="0" w:color="auto"/>
              <w:right w:val="single" w:sz="4" w:space="0" w:color="000000"/>
            </w:tcBorders>
            <w:shd w:val="clear" w:color="auto" w:fill="auto"/>
            <w:hideMark/>
          </w:tcPr>
          <w:p w14:paraId="177F85B4" w14:textId="77777777" w:rsidR="00E07608" w:rsidRPr="00986221" w:rsidRDefault="00E07608" w:rsidP="00DF3DD6">
            <w:pPr>
              <w:spacing w:before="0"/>
              <w:rPr>
                <w:rFonts w:cs="Arial"/>
                <w:b/>
                <w:color w:val="000000"/>
                <w:szCs w:val="20"/>
              </w:rPr>
            </w:pPr>
            <w:r w:rsidRPr="00986221">
              <w:rPr>
                <w:rFonts w:cs="Arial"/>
                <w:b/>
                <w:color w:val="000000"/>
                <w:szCs w:val="20"/>
              </w:rPr>
              <w:t xml:space="preserve">Component 2: Restructuring competition institutions </w:t>
            </w:r>
          </w:p>
        </w:tc>
      </w:tr>
      <w:tr w:rsidR="00E07608" w:rsidRPr="00986221" w14:paraId="1239BC30" w14:textId="77777777" w:rsidTr="00DF3DD6">
        <w:trPr>
          <w:trHeight w:val="3797"/>
        </w:trPr>
        <w:tc>
          <w:tcPr>
            <w:tcW w:w="567" w:type="dxa"/>
            <w:tcBorders>
              <w:top w:val="nil"/>
              <w:left w:val="single" w:sz="4" w:space="0" w:color="auto"/>
              <w:bottom w:val="single" w:sz="4" w:space="0" w:color="auto"/>
              <w:right w:val="single" w:sz="4" w:space="0" w:color="auto"/>
            </w:tcBorders>
            <w:shd w:val="clear" w:color="auto" w:fill="auto"/>
            <w:hideMark/>
          </w:tcPr>
          <w:p w14:paraId="31FF61D6" w14:textId="77777777" w:rsidR="00E07608" w:rsidRPr="00986221" w:rsidRDefault="00E07608" w:rsidP="00DF3DD6">
            <w:pPr>
              <w:spacing w:before="0"/>
              <w:jc w:val="both"/>
              <w:rPr>
                <w:rFonts w:cs="Arial"/>
                <w:color w:val="000000"/>
                <w:szCs w:val="20"/>
              </w:rPr>
            </w:pPr>
            <w:r w:rsidRPr="00986221">
              <w:rPr>
                <w:rFonts w:cs="Arial"/>
                <w:color w:val="000000"/>
                <w:szCs w:val="20"/>
              </w:rPr>
              <w:t>3</w:t>
            </w:r>
          </w:p>
        </w:tc>
        <w:tc>
          <w:tcPr>
            <w:tcW w:w="2127" w:type="dxa"/>
            <w:tcBorders>
              <w:top w:val="nil"/>
              <w:left w:val="nil"/>
              <w:bottom w:val="single" w:sz="4" w:space="0" w:color="auto"/>
              <w:right w:val="single" w:sz="4" w:space="0" w:color="auto"/>
            </w:tcBorders>
            <w:shd w:val="clear" w:color="auto" w:fill="auto"/>
            <w:hideMark/>
          </w:tcPr>
          <w:p w14:paraId="2D591540" w14:textId="77777777" w:rsidR="00E07608" w:rsidRPr="00986221" w:rsidRDefault="00E07608" w:rsidP="00DF3DD6">
            <w:pPr>
              <w:spacing w:before="0"/>
              <w:rPr>
                <w:rFonts w:cs="Arial"/>
                <w:color w:val="000000"/>
                <w:szCs w:val="20"/>
              </w:rPr>
            </w:pPr>
            <w:r w:rsidRPr="00986221">
              <w:rPr>
                <w:rFonts w:cs="Arial"/>
                <w:color w:val="000000"/>
                <w:szCs w:val="20"/>
              </w:rPr>
              <w:t xml:space="preserve">-Politically connected interest groups that currently benefit from monopoly powers or from GoV subsidies can be expected to </w:t>
            </w:r>
            <w:r w:rsidRPr="00986221">
              <w:rPr>
                <w:rFonts w:cs="Arial"/>
                <w:color w:val="000000"/>
                <w:szCs w:val="20"/>
              </w:rPr>
              <w:br w:type="page"/>
              <w:t>resist reforms</w:t>
            </w:r>
          </w:p>
        </w:tc>
        <w:tc>
          <w:tcPr>
            <w:tcW w:w="1984" w:type="dxa"/>
            <w:tcBorders>
              <w:top w:val="nil"/>
              <w:left w:val="nil"/>
              <w:bottom w:val="single" w:sz="4" w:space="0" w:color="auto"/>
              <w:right w:val="single" w:sz="4" w:space="0" w:color="auto"/>
            </w:tcBorders>
            <w:shd w:val="clear" w:color="auto" w:fill="auto"/>
            <w:hideMark/>
          </w:tcPr>
          <w:p w14:paraId="4D910F2B" w14:textId="77777777" w:rsidR="00E07608" w:rsidRPr="00986221" w:rsidRDefault="00E07608" w:rsidP="00DF3DD6">
            <w:pPr>
              <w:spacing w:before="0"/>
              <w:rPr>
                <w:rFonts w:cs="Arial"/>
                <w:color w:val="000000"/>
                <w:szCs w:val="20"/>
              </w:rPr>
            </w:pPr>
            <w:r w:rsidRPr="00986221">
              <w:rPr>
                <w:rFonts w:cs="Arial"/>
                <w:color w:val="000000"/>
                <w:szCs w:val="20"/>
              </w:rPr>
              <w:t>Progress with reforms will be slower than planned, with negative implication for national competitiveness and potential negative implications in terms of complying with international agreements. This could negatively affect growth in trade and investment, and will slow innovation and growth in productivity and incomes.</w:t>
            </w:r>
          </w:p>
        </w:tc>
        <w:tc>
          <w:tcPr>
            <w:tcW w:w="1291" w:type="dxa"/>
            <w:tcBorders>
              <w:top w:val="nil"/>
              <w:left w:val="nil"/>
              <w:bottom w:val="single" w:sz="4" w:space="0" w:color="auto"/>
              <w:right w:val="single" w:sz="4" w:space="0" w:color="auto"/>
            </w:tcBorders>
            <w:shd w:val="clear" w:color="auto" w:fill="auto"/>
            <w:hideMark/>
          </w:tcPr>
          <w:p w14:paraId="50FFB312" w14:textId="77777777" w:rsidR="00E07608" w:rsidRPr="00986221" w:rsidRDefault="00E07608" w:rsidP="00DF3DD6">
            <w:pPr>
              <w:spacing w:before="0"/>
              <w:rPr>
                <w:rFonts w:cs="Arial"/>
                <w:color w:val="000000"/>
                <w:szCs w:val="20"/>
              </w:rPr>
            </w:pPr>
            <w:r w:rsidRPr="00986221">
              <w:rPr>
                <w:rFonts w:cs="Arial"/>
                <w:color w:val="000000"/>
                <w:szCs w:val="20"/>
              </w:rPr>
              <w:t>Moderate</w:t>
            </w:r>
          </w:p>
        </w:tc>
        <w:tc>
          <w:tcPr>
            <w:tcW w:w="1080" w:type="dxa"/>
            <w:tcBorders>
              <w:top w:val="nil"/>
              <w:left w:val="nil"/>
              <w:bottom w:val="single" w:sz="4" w:space="0" w:color="auto"/>
              <w:right w:val="single" w:sz="4" w:space="0" w:color="auto"/>
            </w:tcBorders>
            <w:shd w:val="clear" w:color="auto" w:fill="auto"/>
            <w:hideMark/>
          </w:tcPr>
          <w:p w14:paraId="7C859A31" w14:textId="77777777" w:rsidR="00E07608" w:rsidRPr="00986221" w:rsidRDefault="00E07608" w:rsidP="00DF3DD6">
            <w:pPr>
              <w:spacing w:before="0"/>
              <w:rPr>
                <w:rFonts w:cs="Arial"/>
                <w:color w:val="000000"/>
                <w:szCs w:val="20"/>
              </w:rPr>
            </w:pPr>
            <w:r w:rsidRPr="00986221">
              <w:rPr>
                <w:rFonts w:cs="Arial"/>
                <w:color w:val="000000"/>
                <w:szCs w:val="20"/>
              </w:rPr>
              <w:t xml:space="preserve">Likely </w:t>
            </w:r>
          </w:p>
        </w:tc>
        <w:tc>
          <w:tcPr>
            <w:tcW w:w="1036" w:type="dxa"/>
            <w:tcBorders>
              <w:top w:val="nil"/>
              <w:left w:val="nil"/>
              <w:bottom w:val="single" w:sz="4" w:space="0" w:color="auto"/>
              <w:right w:val="single" w:sz="4" w:space="0" w:color="auto"/>
            </w:tcBorders>
            <w:shd w:val="clear" w:color="auto" w:fill="auto"/>
            <w:hideMark/>
          </w:tcPr>
          <w:p w14:paraId="2C795625" w14:textId="77777777" w:rsidR="00E07608" w:rsidRPr="00986221" w:rsidRDefault="00E07608" w:rsidP="00DF3DD6">
            <w:pPr>
              <w:spacing w:before="0"/>
              <w:rPr>
                <w:rFonts w:cs="Arial"/>
                <w:color w:val="000000"/>
                <w:szCs w:val="20"/>
              </w:rPr>
            </w:pPr>
            <w:r w:rsidRPr="00986221">
              <w:rPr>
                <w:rFonts w:cs="Arial"/>
                <w:color w:val="000000"/>
                <w:szCs w:val="20"/>
              </w:rPr>
              <w:t>High</w:t>
            </w:r>
          </w:p>
        </w:tc>
        <w:tc>
          <w:tcPr>
            <w:tcW w:w="4683" w:type="dxa"/>
            <w:tcBorders>
              <w:top w:val="nil"/>
              <w:left w:val="nil"/>
              <w:bottom w:val="single" w:sz="4" w:space="0" w:color="auto"/>
              <w:right w:val="single" w:sz="4" w:space="0" w:color="auto"/>
            </w:tcBorders>
            <w:shd w:val="clear" w:color="auto" w:fill="auto"/>
            <w:hideMark/>
          </w:tcPr>
          <w:p w14:paraId="45EA8529" w14:textId="77777777" w:rsidR="00E07608" w:rsidRPr="00986221" w:rsidRDefault="00E07608" w:rsidP="00DF3DD6">
            <w:pPr>
              <w:spacing w:before="0"/>
              <w:rPr>
                <w:rFonts w:cs="Arial"/>
                <w:color w:val="000000"/>
                <w:szCs w:val="20"/>
              </w:rPr>
            </w:pPr>
            <w:r w:rsidRPr="00986221">
              <w:rPr>
                <w:rFonts w:cs="Arial"/>
                <w:color w:val="000000"/>
                <w:szCs w:val="20"/>
              </w:rPr>
              <w:t>- VCA, based on sectors analysis' outputs will select typical case for evidence- based analysis for concrete policy recommendations</w:t>
            </w:r>
            <w:r w:rsidRPr="00986221">
              <w:rPr>
                <w:rFonts w:cs="Arial"/>
                <w:color w:val="000000"/>
                <w:szCs w:val="20"/>
              </w:rPr>
              <w:br w:type="page"/>
              <w:t>.</w:t>
            </w:r>
          </w:p>
          <w:p w14:paraId="510346D1" w14:textId="77777777" w:rsidR="00E07608" w:rsidRPr="00986221" w:rsidRDefault="00E07608" w:rsidP="00DF3DD6">
            <w:pPr>
              <w:spacing w:before="0"/>
              <w:rPr>
                <w:rFonts w:cs="Arial"/>
                <w:color w:val="000000"/>
                <w:szCs w:val="20"/>
              </w:rPr>
            </w:pPr>
            <w:r w:rsidRPr="00986221">
              <w:rPr>
                <w:rFonts w:cs="Arial"/>
                <w:color w:val="000000"/>
                <w:szCs w:val="20"/>
              </w:rPr>
              <w:t>- VCA will pursue various policy advocacy tactics including working with mass media, private sector, law firm, policy-making agencies to convey key policy messages.</w:t>
            </w:r>
          </w:p>
          <w:p w14:paraId="05C0A05D" w14:textId="77777777" w:rsidR="00E07608" w:rsidRPr="00986221" w:rsidRDefault="00E07608" w:rsidP="00DF3DD6">
            <w:pPr>
              <w:spacing w:before="0"/>
              <w:rPr>
                <w:rFonts w:cs="Arial"/>
                <w:color w:val="000000"/>
                <w:szCs w:val="20"/>
              </w:rPr>
            </w:pPr>
            <w:r w:rsidRPr="00986221">
              <w:rPr>
                <w:rFonts w:cs="Arial"/>
                <w:color w:val="000000"/>
                <w:szCs w:val="20"/>
              </w:rPr>
              <w:t xml:space="preserve">-the PD will support advocacy initiatives as appropriate. </w:t>
            </w:r>
          </w:p>
        </w:tc>
        <w:tc>
          <w:tcPr>
            <w:tcW w:w="1418" w:type="dxa"/>
            <w:tcBorders>
              <w:top w:val="nil"/>
              <w:left w:val="nil"/>
              <w:bottom w:val="single" w:sz="4" w:space="0" w:color="auto"/>
              <w:right w:val="single" w:sz="4" w:space="0" w:color="auto"/>
            </w:tcBorders>
            <w:shd w:val="clear" w:color="auto" w:fill="auto"/>
            <w:hideMark/>
          </w:tcPr>
          <w:p w14:paraId="49D4BA7E" w14:textId="77777777" w:rsidR="00E07608" w:rsidRPr="00986221" w:rsidRDefault="00E07608" w:rsidP="00DF3DD6">
            <w:pPr>
              <w:spacing w:before="0"/>
              <w:rPr>
                <w:rFonts w:cs="Arial"/>
                <w:color w:val="000000"/>
                <w:szCs w:val="20"/>
              </w:rPr>
            </w:pPr>
            <w:r w:rsidRPr="00986221">
              <w:rPr>
                <w:rFonts w:cs="Arial"/>
                <w:color w:val="000000"/>
                <w:szCs w:val="20"/>
              </w:rPr>
              <w:t>High</w:t>
            </w:r>
          </w:p>
        </w:tc>
        <w:tc>
          <w:tcPr>
            <w:tcW w:w="1347" w:type="dxa"/>
            <w:tcBorders>
              <w:top w:val="nil"/>
              <w:left w:val="nil"/>
              <w:bottom w:val="single" w:sz="4" w:space="0" w:color="auto"/>
              <w:right w:val="single" w:sz="4" w:space="0" w:color="auto"/>
            </w:tcBorders>
            <w:shd w:val="clear" w:color="auto" w:fill="auto"/>
            <w:hideMark/>
          </w:tcPr>
          <w:p w14:paraId="01036226" w14:textId="77777777" w:rsidR="00E07608" w:rsidRPr="00986221" w:rsidRDefault="00E07608" w:rsidP="00DF3DD6">
            <w:pPr>
              <w:spacing w:before="0"/>
              <w:rPr>
                <w:rFonts w:cs="Arial"/>
                <w:color w:val="000000"/>
                <w:szCs w:val="20"/>
              </w:rPr>
            </w:pPr>
            <w:r w:rsidRPr="00986221">
              <w:rPr>
                <w:rFonts w:cs="Arial"/>
                <w:color w:val="000000"/>
                <w:szCs w:val="20"/>
              </w:rPr>
              <w:t>VCA Component Director,</w:t>
            </w:r>
          </w:p>
          <w:p w14:paraId="79D8EE45" w14:textId="77777777" w:rsidR="00E07608" w:rsidRPr="00986221" w:rsidRDefault="00E07608" w:rsidP="00DF3DD6">
            <w:pPr>
              <w:spacing w:before="0"/>
              <w:rPr>
                <w:rFonts w:cs="Arial"/>
                <w:color w:val="000000"/>
                <w:szCs w:val="20"/>
              </w:rPr>
            </w:pPr>
            <w:r w:rsidRPr="00986221">
              <w:rPr>
                <w:rFonts w:cs="Arial"/>
                <w:color w:val="000000"/>
                <w:szCs w:val="20"/>
              </w:rPr>
              <w:t>Program Director</w:t>
            </w:r>
          </w:p>
        </w:tc>
      </w:tr>
      <w:tr w:rsidR="00E07608" w:rsidRPr="00986221" w14:paraId="1BA80AF3" w14:textId="77777777" w:rsidTr="00DF3DD6">
        <w:trPr>
          <w:trHeight w:val="1760"/>
        </w:trPr>
        <w:tc>
          <w:tcPr>
            <w:tcW w:w="567" w:type="dxa"/>
            <w:tcBorders>
              <w:top w:val="nil"/>
              <w:left w:val="single" w:sz="4" w:space="0" w:color="auto"/>
              <w:bottom w:val="single" w:sz="4" w:space="0" w:color="auto"/>
              <w:right w:val="single" w:sz="4" w:space="0" w:color="auto"/>
            </w:tcBorders>
            <w:shd w:val="clear" w:color="auto" w:fill="auto"/>
            <w:hideMark/>
          </w:tcPr>
          <w:p w14:paraId="4BF54AD7" w14:textId="77777777" w:rsidR="00E07608" w:rsidRPr="00986221" w:rsidRDefault="00E07608" w:rsidP="00DF3DD6">
            <w:pPr>
              <w:spacing w:before="0"/>
              <w:jc w:val="both"/>
              <w:rPr>
                <w:rFonts w:cs="Arial"/>
                <w:color w:val="000000"/>
                <w:szCs w:val="20"/>
              </w:rPr>
            </w:pPr>
            <w:r w:rsidRPr="00986221">
              <w:rPr>
                <w:rFonts w:cs="Arial"/>
                <w:color w:val="000000"/>
                <w:szCs w:val="20"/>
              </w:rPr>
              <w:t>4</w:t>
            </w:r>
          </w:p>
        </w:tc>
        <w:tc>
          <w:tcPr>
            <w:tcW w:w="2127" w:type="dxa"/>
            <w:tcBorders>
              <w:top w:val="nil"/>
              <w:left w:val="nil"/>
              <w:bottom w:val="single" w:sz="4" w:space="0" w:color="auto"/>
              <w:right w:val="single" w:sz="4" w:space="0" w:color="auto"/>
            </w:tcBorders>
            <w:shd w:val="clear" w:color="auto" w:fill="auto"/>
            <w:hideMark/>
          </w:tcPr>
          <w:p w14:paraId="1C44E5EF" w14:textId="77777777" w:rsidR="00E07608" w:rsidRPr="00986221" w:rsidRDefault="00E07608" w:rsidP="00DF3DD6">
            <w:pPr>
              <w:spacing w:before="0"/>
              <w:rPr>
                <w:rFonts w:cs="Arial"/>
                <w:color w:val="000000"/>
                <w:szCs w:val="20"/>
              </w:rPr>
            </w:pPr>
            <w:r w:rsidRPr="00986221">
              <w:rPr>
                <w:rFonts w:cs="Arial"/>
                <w:color w:val="000000"/>
                <w:szCs w:val="20"/>
              </w:rPr>
              <w:t>-Capacity building targets only individuals</w:t>
            </w:r>
          </w:p>
        </w:tc>
        <w:tc>
          <w:tcPr>
            <w:tcW w:w="1984" w:type="dxa"/>
            <w:tcBorders>
              <w:top w:val="nil"/>
              <w:left w:val="nil"/>
              <w:bottom w:val="single" w:sz="4" w:space="0" w:color="auto"/>
              <w:right w:val="single" w:sz="4" w:space="0" w:color="auto"/>
            </w:tcBorders>
            <w:shd w:val="clear" w:color="auto" w:fill="auto"/>
            <w:hideMark/>
          </w:tcPr>
          <w:p w14:paraId="1A35D4C6" w14:textId="77777777" w:rsidR="00E07608" w:rsidRPr="00986221" w:rsidRDefault="00E07608" w:rsidP="00DF3DD6">
            <w:pPr>
              <w:spacing w:before="0"/>
              <w:rPr>
                <w:rFonts w:cs="Arial"/>
                <w:color w:val="000000"/>
                <w:szCs w:val="20"/>
              </w:rPr>
            </w:pPr>
            <w:r w:rsidRPr="00986221">
              <w:rPr>
                <w:rFonts w:cs="Arial"/>
                <w:color w:val="000000"/>
                <w:szCs w:val="20"/>
              </w:rPr>
              <w:t>VCA's institutional capacity is not improved as expected</w:t>
            </w:r>
          </w:p>
        </w:tc>
        <w:tc>
          <w:tcPr>
            <w:tcW w:w="1291" w:type="dxa"/>
            <w:tcBorders>
              <w:top w:val="nil"/>
              <w:left w:val="nil"/>
              <w:bottom w:val="single" w:sz="4" w:space="0" w:color="auto"/>
              <w:right w:val="single" w:sz="4" w:space="0" w:color="auto"/>
            </w:tcBorders>
            <w:shd w:val="clear" w:color="auto" w:fill="auto"/>
            <w:hideMark/>
          </w:tcPr>
          <w:p w14:paraId="1E306654" w14:textId="77777777" w:rsidR="00E07608" w:rsidRPr="00986221" w:rsidRDefault="00E07608" w:rsidP="00DF3DD6">
            <w:pPr>
              <w:spacing w:before="0"/>
              <w:rPr>
                <w:rFonts w:cs="Arial"/>
                <w:color w:val="000000"/>
                <w:szCs w:val="20"/>
              </w:rPr>
            </w:pPr>
            <w:r w:rsidRPr="00986221">
              <w:rPr>
                <w:rFonts w:cs="Arial"/>
                <w:color w:val="000000"/>
                <w:szCs w:val="20"/>
              </w:rPr>
              <w:t>Moderate</w:t>
            </w:r>
          </w:p>
        </w:tc>
        <w:tc>
          <w:tcPr>
            <w:tcW w:w="1080" w:type="dxa"/>
            <w:tcBorders>
              <w:top w:val="nil"/>
              <w:left w:val="nil"/>
              <w:bottom w:val="single" w:sz="4" w:space="0" w:color="auto"/>
              <w:right w:val="single" w:sz="4" w:space="0" w:color="auto"/>
            </w:tcBorders>
            <w:shd w:val="clear" w:color="auto" w:fill="auto"/>
            <w:hideMark/>
          </w:tcPr>
          <w:p w14:paraId="41D27969" w14:textId="77777777" w:rsidR="00E07608" w:rsidRPr="00986221" w:rsidRDefault="00E07608" w:rsidP="00DF3DD6">
            <w:pPr>
              <w:spacing w:before="0"/>
              <w:rPr>
                <w:rFonts w:cs="Arial"/>
                <w:color w:val="000000"/>
                <w:szCs w:val="20"/>
              </w:rPr>
            </w:pPr>
            <w:r w:rsidRPr="00986221">
              <w:rPr>
                <w:rFonts w:cs="Arial"/>
                <w:color w:val="000000"/>
                <w:szCs w:val="20"/>
              </w:rPr>
              <w:t xml:space="preserve">Likely </w:t>
            </w:r>
          </w:p>
        </w:tc>
        <w:tc>
          <w:tcPr>
            <w:tcW w:w="1036" w:type="dxa"/>
            <w:tcBorders>
              <w:top w:val="nil"/>
              <w:left w:val="nil"/>
              <w:bottom w:val="single" w:sz="4" w:space="0" w:color="auto"/>
              <w:right w:val="single" w:sz="4" w:space="0" w:color="auto"/>
            </w:tcBorders>
            <w:shd w:val="clear" w:color="auto" w:fill="auto"/>
            <w:hideMark/>
          </w:tcPr>
          <w:p w14:paraId="42888344" w14:textId="77777777" w:rsidR="00E07608" w:rsidRPr="00986221" w:rsidRDefault="00E07608" w:rsidP="00DF3DD6">
            <w:pPr>
              <w:spacing w:before="0"/>
              <w:rPr>
                <w:rFonts w:cs="Arial"/>
                <w:color w:val="000000"/>
                <w:szCs w:val="20"/>
              </w:rPr>
            </w:pPr>
            <w:r w:rsidRPr="00986221">
              <w:rPr>
                <w:rFonts w:cs="Arial"/>
                <w:color w:val="000000"/>
                <w:szCs w:val="20"/>
              </w:rPr>
              <w:t>High</w:t>
            </w:r>
          </w:p>
        </w:tc>
        <w:tc>
          <w:tcPr>
            <w:tcW w:w="4683" w:type="dxa"/>
            <w:tcBorders>
              <w:top w:val="nil"/>
              <w:left w:val="nil"/>
              <w:bottom w:val="single" w:sz="4" w:space="0" w:color="auto"/>
              <w:right w:val="single" w:sz="4" w:space="0" w:color="auto"/>
            </w:tcBorders>
            <w:shd w:val="clear" w:color="auto" w:fill="auto"/>
            <w:hideMark/>
          </w:tcPr>
          <w:p w14:paraId="0A20A48B" w14:textId="77777777" w:rsidR="00E07608" w:rsidRPr="00986221" w:rsidRDefault="00E07608" w:rsidP="00DF3DD6">
            <w:pPr>
              <w:spacing w:before="0"/>
              <w:rPr>
                <w:rFonts w:cs="Arial"/>
                <w:color w:val="000000"/>
                <w:szCs w:val="20"/>
              </w:rPr>
            </w:pPr>
            <w:r w:rsidRPr="00986221">
              <w:rPr>
                <w:rFonts w:cs="Arial"/>
                <w:color w:val="000000"/>
                <w:szCs w:val="20"/>
              </w:rPr>
              <w:t>-Training needs assessment (including assessment of gaps in institutional capacity) will be carried out before capacity building design</w:t>
            </w:r>
            <w:r w:rsidRPr="00986221">
              <w:rPr>
                <w:rFonts w:cs="Arial"/>
                <w:color w:val="000000"/>
                <w:szCs w:val="20"/>
              </w:rPr>
              <w:br/>
              <w:t>- Detailed knowledge transfer/ sharing to wider beneficiaries in the agency will be part of follow up action plan of capacity building's beneficiaries</w:t>
            </w:r>
            <w:r w:rsidRPr="00986221">
              <w:rPr>
                <w:rFonts w:cs="Arial"/>
                <w:color w:val="000000"/>
                <w:szCs w:val="20"/>
              </w:rPr>
              <w:br/>
              <w:t>- Criteria to select trainees will take into account trainees' potential to make institutional reforms</w:t>
            </w:r>
          </w:p>
          <w:p w14:paraId="21551DFF" w14:textId="77777777" w:rsidR="00E07608" w:rsidRPr="00986221" w:rsidRDefault="00E07608" w:rsidP="00DF3DD6">
            <w:pPr>
              <w:spacing w:before="0"/>
              <w:rPr>
                <w:rFonts w:cs="Arial"/>
                <w:color w:val="000000"/>
                <w:szCs w:val="20"/>
              </w:rPr>
            </w:pPr>
          </w:p>
        </w:tc>
        <w:tc>
          <w:tcPr>
            <w:tcW w:w="1418" w:type="dxa"/>
            <w:tcBorders>
              <w:top w:val="nil"/>
              <w:left w:val="nil"/>
              <w:bottom w:val="single" w:sz="4" w:space="0" w:color="auto"/>
              <w:right w:val="single" w:sz="4" w:space="0" w:color="auto"/>
            </w:tcBorders>
            <w:shd w:val="clear" w:color="auto" w:fill="auto"/>
            <w:hideMark/>
          </w:tcPr>
          <w:p w14:paraId="596C8DA3" w14:textId="77777777" w:rsidR="00E07608" w:rsidRPr="00986221" w:rsidRDefault="00E07608" w:rsidP="00DF3DD6">
            <w:pPr>
              <w:spacing w:before="0"/>
              <w:rPr>
                <w:rFonts w:cs="Arial"/>
                <w:color w:val="000000"/>
                <w:szCs w:val="20"/>
              </w:rPr>
            </w:pPr>
            <w:r w:rsidRPr="00986221">
              <w:rPr>
                <w:rFonts w:cs="Arial"/>
                <w:color w:val="000000"/>
                <w:szCs w:val="20"/>
              </w:rPr>
              <w:t> </w:t>
            </w:r>
          </w:p>
        </w:tc>
        <w:tc>
          <w:tcPr>
            <w:tcW w:w="1347" w:type="dxa"/>
            <w:tcBorders>
              <w:top w:val="nil"/>
              <w:left w:val="nil"/>
              <w:bottom w:val="single" w:sz="4" w:space="0" w:color="auto"/>
              <w:right w:val="single" w:sz="4" w:space="0" w:color="auto"/>
            </w:tcBorders>
            <w:shd w:val="clear" w:color="auto" w:fill="auto"/>
            <w:hideMark/>
          </w:tcPr>
          <w:p w14:paraId="3482836D" w14:textId="77777777" w:rsidR="00E07608" w:rsidRPr="00986221" w:rsidRDefault="00E07608" w:rsidP="00DF3DD6">
            <w:pPr>
              <w:spacing w:before="0"/>
              <w:rPr>
                <w:rFonts w:cs="Arial"/>
                <w:color w:val="000000"/>
                <w:szCs w:val="20"/>
              </w:rPr>
            </w:pPr>
            <w:r w:rsidRPr="00986221">
              <w:rPr>
                <w:rFonts w:cs="Arial"/>
                <w:color w:val="000000"/>
                <w:szCs w:val="20"/>
              </w:rPr>
              <w:t> VCA Component Director</w:t>
            </w:r>
          </w:p>
          <w:p w14:paraId="0DF8C4F1" w14:textId="77777777" w:rsidR="00E07608" w:rsidRPr="00986221" w:rsidRDefault="00E07608" w:rsidP="00DF3DD6">
            <w:pPr>
              <w:spacing w:before="0"/>
              <w:rPr>
                <w:rFonts w:cs="Arial"/>
                <w:color w:val="000000"/>
                <w:szCs w:val="20"/>
              </w:rPr>
            </w:pPr>
          </w:p>
        </w:tc>
      </w:tr>
      <w:tr w:rsidR="00E07608" w:rsidRPr="00986221" w14:paraId="036A57BD" w14:textId="77777777" w:rsidTr="00DF3DD6">
        <w:trPr>
          <w:trHeight w:val="280"/>
        </w:trPr>
        <w:tc>
          <w:tcPr>
            <w:tcW w:w="15533" w:type="dxa"/>
            <w:gridSpan w:val="9"/>
            <w:tcBorders>
              <w:top w:val="single" w:sz="4" w:space="0" w:color="auto"/>
              <w:left w:val="single" w:sz="4" w:space="0" w:color="auto"/>
              <w:bottom w:val="single" w:sz="4" w:space="0" w:color="auto"/>
              <w:right w:val="single" w:sz="4" w:space="0" w:color="000000"/>
            </w:tcBorders>
            <w:shd w:val="clear" w:color="auto" w:fill="auto"/>
            <w:hideMark/>
          </w:tcPr>
          <w:p w14:paraId="18B8C500" w14:textId="77777777" w:rsidR="00E07608" w:rsidRPr="00986221" w:rsidRDefault="00E07608" w:rsidP="00DF3DD6">
            <w:pPr>
              <w:spacing w:before="0"/>
              <w:rPr>
                <w:rFonts w:cs="Arial"/>
                <w:b/>
                <w:color w:val="000000"/>
                <w:szCs w:val="20"/>
              </w:rPr>
            </w:pPr>
            <w:r w:rsidRPr="00986221">
              <w:rPr>
                <w:rFonts w:cs="Arial"/>
                <w:b/>
                <w:color w:val="000000"/>
                <w:szCs w:val="20"/>
              </w:rPr>
              <w:t>Component 3: Component 3: Restructuring of Rural Economy Focussing on Rice Value Chains</w:t>
            </w:r>
          </w:p>
        </w:tc>
      </w:tr>
      <w:tr w:rsidR="00E07608" w:rsidRPr="00986221" w14:paraId="2FE70986" w14:textId="77777777" w:rsidTr="00DF3DD6">
        <w:trPr>
          <w:trHeight w:val="2640"/>
        </w:trPr>
        <w:tc>
          <w:tcPr>
            <w:tcW w:w="567" w:type="dxa"/>
            <w:tcBorders>
              <w:top w:val="nil"/>
              <w:left w:val="single" w:sz="4" w:space="0" w:color="auto"/>
              <w:bottom w:val="single" w:sz="4" w:space="0" w:color="auto"/>
              <w:right w:val="single" w:sz="4" w:space="0" w:color="auto"/>
            </w:tcBorders>
            <w:shd w:val="clear" w:color="auto" w:fill="auto"/>
            <w:hideMark/>
          </w:tcPr>
          <w:p w14:paraId="21B48CC2" w14:textId="77777777" w:rsidR="00E07608" w:rsidRPr="00986221" w:rsidRDefault="00E07608" w:rsidP="00DF3DD6">
            <w:pPr>
              <w:spacing w:before="0"/>
              <w:jc w:val="both"/>
              <w:rPr>
                <w:rFonts w:cs="Arial"/>
                <w:color w:val="000000"/>
                <w:szCs w:val="20"/>
              </w:rPr>
            </w:pPr>
            <w:r w:rsidRPr="00986221">
              <w:rPr>
                <w:rFonts w:cs="Arial"/>
                <w:color w:val="000000"/>
                <w:szCs w:val="20"/>
              </w:rPr>
              <w:t>5</w:t>
            </w:r>
          </w:p>
        </w:tc>
        <w:tc>
          <w:tcPr>
            <w:tcW w:w="2127" w:type="dxa"/>
            <w:tcBorders>
              <w:top w:val="nil"/>
              <w:left w:val="nil"/>
              <w:bottom w:val="single" w:sz="4" w:space="0" w:color="auto"/>
              <w:right w:val="single" w:sz="4" w:space="0" w:color="auto"/>
            </w:tcBorders>
            <w:shd w:val="clear" w:color="auto" w:fill="auto"/>
            <w:hideMark/>
          </w:tcPr>
          <w:p w14:paraId="2688B091" w14:textId="77777777" w:rsidR="00E07608" w:rsidRPr="00986221" w:rsidRDefault="00E07608" w:rsidP="00DF3DD6">
            <w:pPr>
              <w:spacing w:before="0"/>
              <w:rPr>
                <w:rFonts w:cs="Arial"/>
                <w:color w:val="000000"/>
                <w:szCs w:val="20"/>
              </w:rPr>
            </w:pPr>
            <w:r w:rsidRPr="00986221">
              <w:rPr>
                <w:rFonts w:cs="Arial"/>
                <w:color w:val="000000"/>
                <w:szCs w:val="20"/>
              </w:rPr>
              <w:t>Interest of rice value chain's stakeholders are different</w:t>
            </w:r>
          </w:p>
        </w:tc>
        <w:tc>
          <w:tcPr>
            <w:tcW w:w="1984" w:type="dxa"/>
            <w:tcBorders>
              <w:top w:val="nil"/>
              <w:left w:val="nil"/>
              <w:bottom w:val="single" w:sz="4" w:space="0" w:color="auto"/>
              <w:right w:val="single" w:sz="4" w:space="0" w:color="auto"/>
            </w:tcBorders>
            <w:shd w:val="clear" w:color="auto" w:fill="auto"/>
            <w:hideMark/>
          </w:tcPr>
          <w:p w14:paraId="64EA6618" w14:textId="77777777" w:rsidR="00E07608" w:rsidRPr="00986221" w:rsidRDefault="00E07608" w:rsidP="00DF3DD6">
            <w:pPr>
              <w:spacing w:before="0"/>
              <w:rPr>
                <w:rFonts w:cs="Arial"/>
                <w:color w:val="000000"/>
                <w:szCs w:val="20"/>
              </w:rPr>
            </w:pPr>
            <w:r w:rsidRPr="00986221">
              <w:rPr>
                <w:rFonts w:cs="Arial"/>
                <w:color w:val="000000"/>
                <w:szCs w:val="20"/>
              </w:rPr>
              <w:t>Institutional structure for rice production value chain in Dong Thap is not changed. (e.g., the establishment of appropriate rice value chain institutional arrangements in Dong Thap is delayed or ineffective)</w:t>
            </w:r>
          </w:p>
        </w:tc>
        <w:tc>
          <w:tcPr>
            <w:tcW w:w="1291" w:type="dxa"/>
            <w:tcBorders>
              <w:top w:val="nil"/>
              <w:left w:val="nil"/>
              <w:bottom w:val="single" w:sz="4" w:space="0" w:color="auto"/>
              <w:right w:val="single" w:sz="4" w:space="0" w:color="auto"/>
            </w:tcBorders>
            <w:shd w:val="clear" w:color="auto" w:fill="auto"/>
            <w:hideMark/>
          </w:tcPr>
          <w:p w14:paraId="0F5B8222" w14:textId="77777777" w:rsidR="00E07608" w:rsidRPr="00986221" w:rsidRDefault="00E07608" w:rsidP="00DF3DD6">
            <w:pPr>
              <w:spacing w:before="0"/>
              <w:rPr>
                <w:rFonts w:cs="Arial"/>
                <w:color w:val="000000"/>
                <w:szCs w:val="20"/>
              </w:rPr>
            </w:pPr>
            <w:r w:rsidRPr="00986221">
              <w:rPr>
                <w:rFonts w:cs="Arial"/>
                <w:color w:val="000000"/>
                <w:szCs w:val="20"/>
              </w:rPr>
              <w:t>Major</w:t>
            </w:r>
          </w:p>
        </w:tc>
        <w:tc>
          <w:tcPr>
            <w:tcW w:w="1080" w:type="dxa"/>
            <w:tcBorders>
              <w:top w:val="nil"/>
              <w:left w:val="nil"/>
              <w:bottom w:val="single" w:sz="4" w:space="0" w:color="auto"/>
              <w:right w:val="single" w:sz="4" w:space="0" w:color="auto"/>
            </w:tcBorders>
            <w:shd w:val="clear" w:color="auto" w:fill="auto"/>
            <w:hideMark/>
          </w:tcPr>
          <w:p w14:paraId="449C1CE8" w14:textId="77777777" w:rsidR="00E07608" w:rsidRPr="00986221" w:rsidRDefault="00E07608" w:rsidP="00DF3DD6">
            <w:pPr>
              <w:spacing w:before="0"/>
              <w:rPr>
                <w:rFonts w:cs="Arial"/>
                <w:color w:val="000000"/>
                <w:szCs w:val="20"/>
              </w:rPr>
            </w:pPr>
            <w:r w:rsidRPr="00986221">
              <w:rPr>
                <w:rFonts w:cs="Arial"/>
                <w:color w:val="000000"/>
                <w:szCs w:val="20"/>
              </w:rPr>
              <w:t>Likely</w:t>
            </w:r>
          </w:p>
        </w:tc>
        <w:tc>
          <w:tcPr>
            <w:tcW w:w="1036" w:type="dxa"/>
            <w:tcBorders>
              <w:top w:val="nil"/>
              <w:left w:val="nil"/>
              <w:bottom w:val="single" w:sz="4" w:space="0" w:color="auto"/>
              <w:right w:val="single" w:sz="4" w:space="0" w:color="auto"/>
            </w:tcBorders>
            <w:shd w:val="clear" w:color="auto" w:fill="auto"/>
            <w:hideMark/>
          </w:tcPr>
          <w:p w14:paraId="340DBFDB" w14:textId="77777777" w:rsidR="00E07608" w:rsidRPr="00986221" w:rsidRDefault="00E07608" w:rsidP="00DF3DD6">
            <w:pPr>
              <w:spacing w:before="0"/>
              <w:rPr>
                <w:rFonts w:cs="Arial"/>
                <w:color w:val="000000"/>
                <w:szCs w:val="20"/>
              </w:rPr>
            </w:pPr>
            <w:r w:rsidRPr="00986221">
              <w:rPr>
                <w:rFonts w:cs="Arial"/>
                <w:color w:val="000000"/>
                <w:szCs w:val="20"/>
              </w:rPr>
              <w:t>High</w:t>
            </w:r>
          </w:p>
        </w:tc>
        <w:tc>
          <w:tcPr>
            <w:tcW w:w="4683" w:type="dxa"/>
            <w:tcBorders>
              <w:top w:val="nil"/>
              <w:left w:val="nil"/>
              <w:bottom w:val="single" w:sz="4" w:space="0" w:color="auto"/>
              <w:right w:val="single" w:sz="4" w:space="0" w:color="auto"/>
            </w:tcBorders>
            <w:shd w:val="clear" w:color="auto" w:fill="auto"/>
            <w:hideMark/>
          </w:tcPr>
          <w:p w14:paraId="0E860AA8" w14:textId="77777777" w:rsidR="00E07608" w:rsidRPr="00986221" w:rsidRDefault="00E07608" w:rsidP="00DF3DD6">
            <w:pPr>
              <w:spacing w:before="0"/>
              <w:rPr>
                <w:rFonts w:cs="Arial"/>
                <w:color w:val="000000"/>
                <w:szCs w:val="20"/>
              </w:rPr>
            </w:pPr>
            <w:r w:rsidRPr="00986221">
              <w:rPr>
                <w:rFonts w:cs="Arial"/>
                <w:color w:val="000000"/>
                <w:szCs w:val="20"/>
              </w:rPr>
              <w:t>- IPSARD will pursue bottom up approach in working with local level's stakeholders in the value chain in Dong Thap to build pressure for changes in institutional structure</w:t>
            </w:r>
            <w:r w:rsidRPr="00986221">
              <w:rPr>
                <w:rFonts w:cs="Arial"/>
                <w:color w:val="000000"/>
                <w:szCs w:val="20"/>
              </w:rPr>
              <w:br/>
              <w:t>-Open policy debate will be conducted with all stakeholders of the rice value chain including farmers, researcher, SOE, private sector....) to present evidence based analysis and get their consensus on the most appropriate institutional structure to increase rice value added in Dong Thap</w:t>
            </w:r>
          </w:p>
        </w:tc>
        <w:tc>
          <w:tcPr>
            <w:tcW w:w="1418" w:type="dxa"/>
            <w:tcBorders>
              <w:top w:val="nil"/>
              <w:left w:val="nil"/>
              <w:bottom w:val="single" w:sz="4" w:space="0" w:color="auto"/>
              <w:right w:val="single" w:sz="4" w:space="0" w:color="auto"/>
            </w:tcBorders>
            <w:shd w:val="clear" w:color="auto" w:fill="auto"/>
            <w:hideMark/>
          </w:tcPr>
          <w:p w14:paraId="47537731" w14:textId="77777777" w:rsidR="00E07608" w:rsidRPr="00986221" w:rsidRDefault="00E07608" w:rsidP="00DF3DD6">
            <w:pPr>
              <w:spacing w:before="0"/>
              <w:rPr>
                <w:rFonts w:cs="Arial"/>
                <w:color w:val="000000"/>
                <w:szCs w:val="20"/>
              </w:rPr>
            </w:pPr>
            <w:r w:rsidRPr="00986221">
              <w:rPr>
                <w:rFonts w:cs="Arial"/>
                <w:color w:val="000000"/>
                <w:szCs w:val="20"/>
              </w:rPr>
              <w:t>High</w:t>
            </w:r>
          </w:p>
        </w:tc>
        <w:tc>
          <w:tcPr>
            <w:tcW w:w="1347" w:type="dxa"/>
            <w:tcBorders>
              <w:top w:val="nil"/>
              <w:left w:val="nil"/>
              <w:bottom w:val="single" w:sz="4" w:space="0" w:color="auto"/>
              <w:right w:val="single" w:sz="4" w:space="0" w:color="auto"/>
            </w:tcBorders>
            <w:shd w:val="clear" w:color="auto" w:fill="auto"/>
            <w:hideMark/>
          </w:tcPr>
          <w:p w14:paraId="68107A6D" w14:textId="77777777" w:rsidR="00E07608" w:rsidRPr="00986221" w:rsidRDefault="00E07608" w:rsidP="00DF3DD6">
            <w:pPr>
              <w:spacing w:before="0"/>
              <w:rPr>
                <w:rFonts w:cs="Arial"/>
                <w:color w:val="000000"/>
                <w:szCs w:val="20"/>
              </w:rPr>
            </w:pPr>
            <w:r w:rsidRPr="00986221">
              <w:rPr>
                <w:rFonts w:cs="Arial"/>
                <w:color w:val="000000"/>
                <w:szCs w:val="20"/>
              </w:rPr>
              <w:t>IPSARD Component Director</w:t>
            </w:r>
          </w:p>
          <w:p w14:paraId="5B358974" w14:textId="77777777" w:rsidR="00E07608" w:rsidRPr="00986221" w:rsidRDefault="00E07608" w:rsidP="00DF3DD6">
            <w:pPr>
              <w:spacing w:before="0"/>
              <w:rPr>
                <w:rFonts w:cs="Arial"/>
                <w:color w:val="000000"/>
                <w:szCs w:val="20"/>
              </w:rPr>
            </w:pPr>
          </w:p>
        </w:tc>
      </w:tr>
      <w:tr w:rsidR="00E07608" w:rsidRPr="00986221" w14:paraId="32B2762B" w14:textId="77777777" w:rsidTr="00DF3DD6">
        <w:trPr>
          <w:trHeight w:val="1760"/>
        </w:trPr>
        <w:tc>
          <w:tcPr>
            <w:tcW w:w="567" w:type="dxa"/>
            <w:tcBorders>
              <w:top w:val="nil"/>
              <w:left w:val="single" w:sz="4" w:space="0" w:color="auto"/>
              <w:bottom w:val="single" w:sz="4" w:space="0" w:color="auto"/>
              <w:right w:val="single" w:sz="4" w:space="0" w:color="auto"/>
            </w:tcBorders>
            <w:shd w:val="clear" w:color="auto" w:fill="auto"/>
            <w:hideMark/>
          </w:tcPr>
          <w:p w14:paraId="4D65201D" w14:textId="77777777" w:rsidR="00E07608" w:rsidRPr="00986221" w:rsidRDefault="00E07608" w:rsidP="00DF3DD6">
            <w:pPr>
              <w:spacing w:before="0"/>
              <w:jc w:val="both"/>
              <w:rPr>
                <w:rFonts w:cs="Arial"/>
                <w:color w:val="000000"/>
                <w:szCs w:val="20"/>
              </w:rPr>
            </w:pPr>
            <w:r w:rsidRPr="00986221">
              <w:rPr>
                <w:rFonts w:cs="Arial"/>
                <w:color w:val="000000"/>
                <w:szCs w:val="20"/>
              </w:rPr>
              <w:t>6</w:t>
            </w:r>
          </w:p>
        </w:tc>
        <w:tc>
          <w:tcPr>
            <w:tcW w:w="2127" w:type="dxa"/>
            <w:tcBorders>
              <w:top w:val="nil"/>
              <w:left w:val="nil"/>
              <w:bottom w:val="single" w:sz="4" w:space="0" w:color="auto"/>
              <w:right w:val="single" w:sz="4" w:space="0" w:color="auto"/>
            </w:tcBorders>
            <w:shd w:val="clear" w:color="auto" w:fill="auto"/>
            <w:hideMark/>
          </w:tcPr>
          <w:p w14:paraId="3B8DC87C" w14:textId="77777777" w:rsidR="00E07608" w:rsidRPr="00986221" w:rsidRDefault="00E07608" w:rsidP="00DF3DD6">
            <w:pPr>
              <w:spacing w:before="0"/>
              <w:rPr>
                <w:rFonts w:cs="Arial"/>
                <w:color w:val="000000"/>
                <w:szCs w:val="20"/>
              </w:rPr>
            </w:pPr>
            <w:r w:rsidRPr="00986221">
              <w:rPr>
                <w:rFonts w:cs="Arial"/>
                <w:color w:val="000000"/>
                <w:szCs w:val="20"/>
              </w:rPr>
              <w:t>The activities proposed by IPSARD are still vague.</w:t>
            </w:r>
          </w:p>
        </w:tc>
        <w:tc>
          <w:tcPr>
            <w:tcW w:w="1984" w:type="dxa"/>
            <w:tcBorders>
              <w:top w:val="nil"/>
              <w:left w:val="nil"/>
              <w:bottom w:val="single" w:sz="4" w:space="0" w:color="auto"/>
              <w:right w:val="single" w:sz="4" w:space="0" w:color="auto"/>
            </w:tcBorders>
            <w:shd w:val="clear" w:color="auto" w:fill="auto"/>
            <w:hideMark/>
          </w:tcPr>
          <w:p w14:paraId="49510F9E" w14:textId="77777777" w:rsidR="00E07608" w:rsidRPr="00986221" w:rsidRDefault="00E07608" w:rsidP="00DF3DD6">
            <w:pPr>
              <w:spacing w:before="0"/>
              <w:rPr>
                <w:rFonts w:cs="Arial"/>
                <w:color w:val="000000"/>
                <w:szCs w:val="20"/>
              </w:rPr>
            </w:pPr>
            <w:r w:rsidRPr="00986221">
              <w:rPr>
                <w:rFonts w:cs="Arial"/>
                <w:color w:val="000000"/>
                <w:szCs w:val="20"/>
              </w:rPr>
              <w:t>Program support may not generate the tangible contributions to practical restructuring initiatives expected under this program</w:t>
            </w:r>
          </w:p>
        </w:tc>
        <w:tc>
          <w:tcPr>
            <w:tcW w:w="1291" w:type="dxa"/>
            <w:tcBorders>
              <w:top w:val="nil"/>
              <w:left w:val="nil"/>
              <w:bottom w:val="single" w:sz="4" w:space="0" w:color="auto"/>
              <w:right w:val="single" w:sz="4" w:space="0" w:color="auto"/>
            </w:tcBorders>
            <w:shd w:val="clear" w:color="auto" w:fill="auto"/>
            <w:hideMark/>
          </w:tcPr>
          <w:p w14:paraId="45D100AE" w14:textId="77777777" w:rsidR="00E07608" w:rsidRPr="00986221" w:rsidRDefault="00E07608" w:rsidP="00DF3DD6">
            <w:pPr>
              <w:spacing w:before="0"/>
              <w:rPr>
                <w:rFonts w:cs="Arial"/>
                <w:color w:val="000000"/>
                <w:szCs w:val="20"/>
              </w:rPr>
            </w:pPr>
            <w:r w:rsidRPr="00986221">
              <w:rPr>
                <w:rFonts w:cs="Arial"/>
                <w:color w:val="000000"/>
                <w:szCs w:val="20"/>
              </w:rPr>
              <w:t>Moderate</w:t>
            </w:r>
          </w:p>
        </w:tc>
        <w:tc>
          <w:tcPr>
            <w:tcW w:w="1080" w:type="dxa"/>
            <w:tcBorders>
              <w:top w:val="nil"/>
              <w:left w:val="nil"/>
              <w:bottom w:val="single" w:sz="4" w:space="0" w:color="auto"/>
              <w:right w:val="single" w:sz="4" w:space="0" w:color="auto"/>
            </w:tcBorders>
            <w:shd w:val="clear" w:color="auto" w:fill="auto"/>
            <w:hideMark/>
          </w:tcPr>
          <w:p w14:paraId="7E13FCB5" w14:textId="77777777" w:rsidR="00E07608" w:rsidRPr="00986221" w:rsidRDefault="00E07608" w:rsidP="00DF3DD6">
            <w:pPr>
              <w:spacing w:before="0"/>
              <w:rPr>
                <w:rFonts w:cs="Arial"/>
                <w:color w:val="000000"/>
                <w:szCs w:val="20"/>
              </w:rPr>
            </w:pPr>
            <w:r w:rsidRPr="00986221">
              <w:rPr>
                <w:rFonts w:cs="Arial"/>
                <w:color w:val="000000"/>
                <w:szCs w:val="20"/>
              </w:rPr>
              <w:t>Likely</w:t>
            </w:r>
          </w:p>
        </w:tc>
        <w:tc>
          <w:tcPr>
            <w:tcW w:w="1036" w:type="dxa"/>
            <w:tcBorders>
              <w:top w:val="nil"/>
              <w:left w:val="nil"/>
              <w:bottom w:val="single" w:sz="4" w:space="0" w:color="auto"/>
              <w:right w:val="single" w:sz="4" w:space="0" w:color="auto"/>
            </w:tcBorders>
            <w:shd w:val="clear" w:color="auto" w:fill="auto"/>
            <w:hideMark/>
          </w:tcPr>
          <w:p w14:paraId="5FD2A25D" w14:textId="77777777" w:rsidR="00E07608" w:rsidRPr="00986221" w:rsidRDefault="00E07608" w:rsidP="00DF3DD6">
            <w:pPr>
              <w:spacing w:before="0"/>
              <w:rPr>
                <w:rFonts w:cs="Arial"/>
                <w:color w:val="000000"/>
                <w:szCs w:val="20"/>
              </w:rPr>
            </w:pPr>
            <w:r w:rsidRPr="00986221">
              <w:rPr>
                <w:rFonts w:cs="Arial"/>
                <w:color w:val="000000"/>
                <w:szCs w:val="20"/>
              </w:rPr>
              <w:t>High</w:t>
            </w:r>
          </w:p>
        </w:tc>
        <w:tc>
          <w:tcPr>
            <w:tcW w:w="4683" w:type="dxa"/>
            <w:tcBorders>
              <w:top w:val="nil"/>
              <w:left w:val="nil"/>
              <w:bottom w:val="single" w:sz="4" w:space="0" w:color="auto"/>
              <w:right w:val="single" w:sz="4" w:space="0" w:color="auto"/>
            </w:tcBorders>
            <w:shd w:val="clear" w:color="auto" w:fill="auto"/>
            <w:hideMark/>
          </w:tcPr>
          <w:p w14:paraId="2EABB84E" w14:textId="77777777" w:rsidR="00E07608" w:rsidRPr="00986221" w:rsidRDefault="00E07608" w:rsidP="00DF3DD6">
            <w:pPr>
              <w:spacing w:before="0"/>
              <w:rPr>
                <w:rFonts w:cs="Arial"/>
                <w:color w:val="000000"/>
                <w:szCs w:val="20"/>
              </w:rPr>
            </w:pPr>
            <w:r w:rsidRPr="00986221">
              <w:rPr>
                <w:rFonts w:cs="Arial"/>
                <w:color w:val="000000"/>
                <w:szCs w:val="20"/>
              </w:rPr>
              <w:t xml:space="preserve">-The program will closely monitor the planning and implementation of IPSARD's activities. Two years planning will be carried out but with an initial focus on specific and feasible outputs for the first year of program budgeting and resources allocation. </w:t>
            </w:r>
            <w:r w:rsidRPr="00986221">
              <w:rPr>
                <w:rFonts w:cs="Arial"/>
                <w:color w:val="000000"/>
                <w:szCs w:val="20"/>
              </w:rPr>
              <w:br/>
              <w:t>- Annual review and planning mechanism will allow the adjustment of the intervention areas as needed.</w:t>
            </w:r>
          </w:p>
        </w:tc>
        <w:tc>
          <w:tcPr>
            <w:tcW w:w="1418" w:type="dxa"/>
            <w:tcBorders>
              <w:top w:val="nil"/>
              <w:left w:val="nil"/>
              <w:bottom w:val="single" w:sz="4" w:space="0" w:color="auto"/>
              <w:right w:val="single" w:sz="4" w:space="0" w:color="auto"/>
            </w:tcBorders>
            <w:shd w:val="clear" w:color="auto" w:fill="auto"/>
            <w:hideMark/>
          </w:tcPr>
          <w:p w14:paraId="0CCA5F1B" w14:textId="77777777" w:rsidR="00E07608" w:rsidRPr="00986221" w:rsidRDefault="00E07608" w:rsidP="00DF3DD6">
            <w:pPr>
              <w:spacing w:before="0"/>
              <w:rPr>
                <w:rFonts w:cs="Arial"/>
                <w:color w:val="000000"/>
                <w:szCs w:val="20"/>
              </w:rPr>
            </w:pPr>
            <w:r w:rsidRPr="00986221">
              <w:rPr>
                <w:rFonts w:cs="Arial"/>
                <w:color w:val="000000"/>
                <w:szCs w:val="20"/>
              </w:rPr>
              <w:t>High</w:t>
            </w:r>
          </w:p>
        </w:tc>
        <w:tc>
          <w:tcPr>
            <w:tcW w:w="1347" w:type="dxa"/>
            <w:tcBorders>
              <w:top w:val="nil"/>
              <w:left w:val="nil"/>
              <w:bottom w:val="single" w:sz="4" w:space="0" w:color="auto"/>
              <w:right w:val="single" w:sz="4" w:space="0" w:color="auto"/>
            </w:tcBorders>
            <w:shd w:val="clear" w:color="auto" w:fill="auto"/>
            <w:hideMark/>
          </w:tcPr>
          <w:p w14:paraId="4AAF4F52" w14:textId="77777777" w:rsidR="00E07608" w:rsidRPr="00986221" w:rsidRDefault="00E07608" w:rsidP="00DF3DD6">
            <w:pPr>
              <w:spacing w:before="0"/>
              <w:rPr>
                <w:rFonts w:cs="Arial"/>
                <w:color w:val="000000"/>
                <w:szCs w:val="20"/>
              </w:rPr>
            </w:pPr>
            <w:r w:rsidRPr="00986221">
              <w:rPr>
                <w:rFonts w:cs="Arial"/>
                <w:color w:val="000000"/>
                <w:szCs w:val="20"/>
              </w:rPr>
              <w:t xml:space="preserve">PCU, Program Director, DFAT </w:t>
            </w:r>
            <w:r w:rsidRPr="00986221">
              <w:rPr>
                <w:rFonts w:cs="Arial"/>
                <w:szCs w:val="20"/>
              </w:rPr>
              <w:t>SPM</w:t>
            </w:r>
            <w:r w:rsidRPr="00986221">
              <w:rPr>
                <w:rFonts w:cs="Arial"/>
                <w:color w:val="000000"/>
                <w:szCs w:val="20"/>
              </w:rPr>
              <w:t>, IPSARD Component Director</w:t>
            </w:r>
          </w:p>
          <w:p w14:paraId="4282E5B0" w14:textId="77777777" w:rsidR="00E07608" w:rsidRPr="00986221" w:rsidRDefault="00E07608" w:rsidP="00DF3DD6">
            <w:pPr>
              <w:spacing w:before="0"/>
              <w:rPr>
                <w:rFonts w:cs="Arial"/>
                <w:color w:val="000000"/>
                <w:szCs w:val="20"/>
              </w:rPr>
            </w:pPr>
          </w:p>
        </w:tc>
      </w:tr>
      <w:tr w:rsidR="00E07608" w:rsidRPr="00986221" w14:paraId="63B31AAC" w14:textId="77777777" w:rsidTr="00DF3DD6">
        <w:trPr>
          <w:trHeight w:val="2200"/>
        </w:trPr>
        <w:tc>
          <w:tcPr>
            <w:tcW w:w="567" w:type="dxa"/>
            <w:tcBorders>
              <w:top w:val="nil"/>
              <w:left w:val="single" w:sz="4" w:space="0" w:color="auto"/>
              <w:bottom w:val="single" w:sz="4" w:space="0" w:color="auto"/>
              <w:right w:val="single" w:sz="4" w:space="0" w:color="auto"/>
            </w:tcBorders>
            <w:shd w:val="clear" w:color="auto" w:fill="auto"/>
            <w:hideMark/>
          </w:tcPr>
          <w:p w14:paraId="036C1250" w14:textId="77777777" w:rsidR="00E07608" w:rsidRPr="00986221" w:rsidRDefault="00E07608" w:rsidP="00DF3DD6">
            <w:pPr>
              <w:spacing w:before="0"/>
              <w:jc w:val="both"/>
              <w:rPr>
                <w:rFonts w:cs="Arial"/>
                <w:color w:val="000000"/>
                <w:szCs w:val="20"/>
              </w:rPr>
            </w:pPr>
            <w:r w:rsidRPr="00986221">
              <w:rPr>
                <w:rFonts w:cs="Arial"/>
                <w:color w:val="000000"/>
                <w:szCs w:val="20"/>
              </w:rPr>
              <w:t>7</w:t>
            </w:r>
          </w:p>
        </w:tc>
        <w:tc>
          <w:tcPr>
            <w:tcW w:w="2127" w:type="dxa"/>
            <w:tcBorders>
              <w:top w:val="nil"/>
              <w:left w:val="nil"/>
              <w:bottom w:val="single" w:sz="4" w:space="0" w:color="auto"/>
              <w:right w:val="single" w:sz="4" w:space="0" w:color="auto"/>
            </w:tcBorders>
            <w:shd w:val="clear" w:color="auto" w:fill="auto"/>
            <w:hideMark/>
          </w:tcPr>
          <w:p w14:paraId="64072D80" w14:textId="77777777" w:rsidR="00E07608" w:rsidRPr="00986221" w:rsidRDefault="00E07608" w:rsidP="00DF3DD6">
            <w:pPr>
              <w:spacing w:before="0"/>
              <w:rPr>
                <w:rFonts w:cs="Arial"/>
                <w:color w:val="000000"/>
                <w:szCs w:val="20"/>
              </w:rPr>
            </w:pPr>
            <w:r w:rsidRPr="00986221">
              <w:rPr>
                <w:rFonts w:cs="Arial"/>
                <w:color w:val="000000"/>
                <w:szCs w:val="20"/>
              </w:rPr>
              <w:t>Change of IPSARD's leader.</w:t>
            </w:r>
          </w:p>
        </w:tc>
        <w:tc>
          <w:tcPr>
            <w:tcW w:w="1984" w:type="dxa"/>
            <w:tcBorders>
              <w:top w:val="nil"/>
              <w:left w:val="nil"/>
              <w:bottom w:val="single" w:sz="4" w:space="0" w:color="auto"/>
              <w:right w:val="single" w:sz="4" w:space="0" w:color="auto"/>
            </w:tcBorders>
            <w:shd w:val="clear" w:color="auto" w:fill="auto"/>
            <w:hideMark/>
          </w:tcPr>
          <w:p w14:paraId="02696850" w14:textId="77777777" w:rsidR="00E07608" w:rsidRPr="00986221" w:rsidRDefault="00E07608" w:rsidP="00DF3DD6">
            <w:pPr>
              <w:spacing w:before="0"/>
              <w:rPr>
                <w:rFonts w:cs="Arial"/>
                <w:color w:val="000000"/>
                <w:szCs w:val="20"/>
              </w:rPr>
            </w:pPr>
            <w:r w:rsidRPr="00986221">
              <w:rPr>
                <w:rFonts w:cs="Arial"/>
                <w:color w:val="000000"/>
                <w:szCs w:val="20"/>
              </w:rPr>
              <w:t xml:space="preserve">Reduced opportunity for IPSARD to be involved in strategic rural reform planning &amp; policy development. This may result in sub-optimal program impacts in terms of influencing the rural restructuring agenda </w:t>
            </w:r>
          </w:p>
        </w:tc>
        <w:tc>
          <w:tcPr>
            <w:tcW w:w="1291" w:type="dxa"/>
            <w:tcBorders>
              <w:top w:val="nil"/>
              <w:left w:val="nil"/>
              <w:bottom w:val="single" w:sz="4" w:space="0" w:color="auto"/>
              <w:right w:val="single" w:sz="4" w:space="0" w:color="auto"/>
            </w:tcBorders>
            <w:shd w:val="clear" w:color="auto" w:fill="auto"/>
            <w:hideMark/>
          </w:tcPr>
          <w:p w14:paraId="20D36C41" w14:textId="77777777" w:rsidR="00E07608" w:rsidRPr="00986221" w:rsidRDefault="00E07608" w:rsidP="00DF3DD6">
            <w:pPr>
              <w:spacing w:before="0"/>
              <w:rPr>
                <w:rFonts w:cs="Arial"/>
                <w:color w:val="000000"/>
                <w:szCs w:val="20"/>
              </w:rPr>
            </w:pPr>
            <w:r w:rsidRPr="00986221">
              <w:rPr>
                <w:rFonts w:cs="Arial"/>
                <w:color w:val="000000"/>
                <w:szCs w:val="20"/>
              </w:rPr>
              <w:t>Moderate</w:t>
            </w:r>
          </w:p>
        </w:tc>
        <w:tc>
          <w:tcPr>
            <w:tcW w:w="1080" w:type="dxa"/>
            <w:tcBorders>
              <w:top w:val="nil"/>
              <w:left w:val="nil"/>
              <w:bottom w:val="single" w:sz="4" w:space="0" w:color="auto"/>
              <w:right w:val="single" w:sz="4" w:space="0" w:color="auto"/>
            </w:tcBorders>
            <w:shd w:val="clear" w:color="auto" w:fill="auto"/>
            <w:hideMark/>
          </w:tcPr>
          <w:p w14:paraId="69ECAD04" w14:textId="77777777" w:rsidR="00E07608" w:rsidRPr="00986221" w:rsidRDefault="00E07608" w:rsidP="00DF3DD6">
            <w:pPr>
              <w:spacing w:before="0"/>
              <w:rPr>
                <w:rFonts w:cs="Arial"/>
                <w:color w:val="000000"/>
                <w:szCs w:val="20"/>
              </w:rPr>
            </w:pPr>
            <w:r w:rsidRPr="00986221">
              <w:rPr>
                <w:rFonts w:cs="Arial"/>
                <w:color w:val="000000"/>
                <w:szCs w:val="20"/>
              </w:rPr>
              <w:t>almost certain</w:t>
            </w:r>
          </w:p>
        </w:tc>
        <w:tc>
          <w:tcPr>
            <w:tcW w:w="1036" w:type="dxa"/>
            <w:tcBorders>
              <w:top w:val="nil"/>
              <w:left w:val="nil"/>
              <w:bottom w:val="single" w:sz="4" w:space="0" w:color="auto"/>
              <w:right w:val="single" w:sz="4" w:space="0" w:color="auto"/>
            </w:tcBorders>
            <w:shd w:val="clear" w:color="auto" w:fill="auto"/>
            <w:hideMark/>
          </w:tcPr>
          <w:p w14:paraId="37B65429" w14:textId="77777777" w:rsidR="00E07608" w:rsidRPr="00986221" w:rsidRDefault="00E07608" w:rsidP="00DF3DD6">
            <w:pPr>
              <w:spacing w:before="0"/>
              <w:rPr>
                <w:rFonts w:cs="Arial"/>
                <w:color w:val="000000"/>
                <w:szCs w:val="20"/>
              </w:rPr>
            </w:pPr>
            <w:r w:rsidRPr="00986221">
              <w:rPr>
                <w:rFonts w:cs="Arial"/>
                <w:color w:val="000000"/>
                <w:szCs w:val="20"/>
              </w:rPr>
              <w:t>High</w:t>
            </w:r>
          </w:p>
        </w:tc>
        <w:tc>
          <w:tcPr>
            <w:tcW w:w="4683" w:type="dxa"/>
            <w:tcBorders>
              <w:top w:val="nil"/>
              <w:left w:val="nil"/>
              <w:bottom w:val="single" w:sz="4" w:space="0" w:color="auto"/>
              <w:right w:val="single" w:sz="4" w:space="0" w:color="auto"/>
            </w:tcBorders>
            <w:shd w:val="clear" w:color="auto" w:fill="auto"/>
            <w:hideMark/>
          </w:tcPr>
          <w:p w14:paraId="68C77D56" w14:textId="77777777" w:rsidR="00E07608" w:rsidRPr="00986221" w:rsidRDefault="00E07608" w:rsidP="00DF3DD6">
            <w:pPr>
              <w:spacing w:before="0"/>
              <w:rPr>
                <w:rFonts w:cs="Arial"/>
                <w:color w:val="000000"/>
                <w:szCs w:val="20"/>
              </w:rPr>
            </w:pPr>
            <w:r w:rsidRPr="00986221">
              <w:rPr>
                <w:rFonts w:cs="Arial"/>
                <w:color w:val="000000"/>
                <w:szCs w:val="20"/>
              </w:rPr>
              <w:t>-The program will explore the opportunity to invite IPSARD's leader who will retire to be member of SAG</w:t>
            </w:r>
          </w:p>
        </w:tc>
        <w:tc>
          <w:tcPr>
            <w:tcW w:w="1418" w:type="dxa"/>
            <w:tcBorders>
              <w:top w:val="nil"/>
              <w:left w:val="nil"/>
              <w:bottom w:val="single" w:sz="4" w:space="0" w:color="auto"/>
              <w:right w:val="single" w:sz="4" w:space="0" w:color="auto"/>
            </w:tcBorders>
            <w:shd w:val="clear" w:color="auto" w:fill="auto"/>
            <w:hideMark/>
          </w:tcPr>
          <w:p w14:paraId="48204148" w14:textId="77777777" w:rsidR="00E07608" w:rsidRPr="00986221" w:rsidRDefault="00E07608" w:rsidP="00DF3DD6">
            <w:pPr>
              <w:spacing w:before="0"/>
              <w:rPr>
                <w:rFonts w:cs="Arial"/>
                <w:color w:val="000000"/>
                <w:szCs w:val="20"/>
              </w:rPr>
            </w:pPr>
            <w:r w:rsidRPr="00986221">
              <w:rPr>
                <w:rFonts w:cs="Arial"/>
                <w:color w:val="000000"/>
                <w:szCs w:val="20"/>
              </w:rPr>
              <w:t>Moderate</w:t>
            </w:r>
          </w:p>
        </w:tc>
        <w:tc>
          <w:tcPr>
            <w:tcW w:w="1347" w:type="dxa"/>
            <w:tcBorders>
              <w:top w:val="nil"/>
              <w:left w:val="nil"/>
              <w:bottom w:val="single" w:sz="4" w:space="0" w:color="auto"/>
              <w:right w:val="single" w:sz="4" w:space="0" w:color="auto"/>
            </w:tcBorders>
            <w:shd w:val="clear" w:color="auto" w:fill="auto"/>
            <w:hideMark/>
          </w:tcPr>
          <w:p w14:paraId="1875365C" w14:textId="77777777" w:rsidR="00E07608" w:rsidRPr="00986221" w:rsidRDefault="00E07608" w:rsidP="00DF3DD6">
            <w:pPr>
              <w:spacing w:before="0"/>
              <w:rPr>
                <w:rFonts w:cs="Arial"/>
                <w:color w:val="000000"/>
                <w:szCs w:val="20"/>
              </w:rPr>
            </w:pPr>
            <w:r w:rsidRPr="00986221">
              <w:rPr>
                <w:rFonts w:cs="Arial"/>
                <w:color w:val="000000"/>
                <w:szCs w:val="20"/>
              </w:rPr>
              <w:t>DFAT's SPM, Project Director, PCU</w:t>
            </w:r>
          </w:p>
        </w:tc>
      </w:tr>
    </w:tbl>
    <w:p w14:paraId="69131B9D" w14:textId="77777777" w:rsidR="00E07608" w:rsidRPr="00986221" w:rsidRDefault="00E07608" w:rsidP="00E07608">
      <w:pPr>
        <w:rPr>
          <w:szCs w:val="20"/>
        </w:rPr>
      </w:pPr>
    </w:p>
    <w:p w14:paraId="421160C8" w14:textId="77777777" w:rsidR="005C249F" w:rsidRPr="00986221" w:rsidRDefault="00452FDA">
      <w:pPr>
        <w:spacing w:before="0"/>
        <w:sectPr w:rsidR="005C249F" w:rsidRPr="00986221" w:rsidSect="00CD2733">
          <w:pgSz w:w="16840" w:h="11900" w:orient="landscape"/>
          <w:pgMar w:top="1134" w:right="961" w:bottom="1134" w:left="1265" w:header="568" w:footer="430" w:gutter="0"/>
          <w:cols w:space="708"/>
          <w:docGrid w:linePitch="360"/>
        </w:sectPr>
      </w:pPr>
      <w:r w:rsidRPr="00986221">
        <w:br w:type="page"/>
      </w:r>
    </w:p>
    <w:p w14:paraId="68C14366" w14:textId="65F34E58" w:rsidR="00452FDA" w:rsidRPr="00986221" w:rsidRDefault="00452FDA">
      <w:pPr>
        <w:spacing w:before="0"/>
        <w:rPr>
          <w:rFonts w:asciiTheme="majorHAnsi" w:eastAsiaTheme="majorEastAsia" w:hAnsiTheme="majorHAnsi" w:cstheme="majorBidi"/>
          <w:b/>
          <w:bCs/>
          <w:color w:val="345A8A" w:themeColor="accent1" w:themeShade="B5"/>
          <w:sz w:val="32"/>
          <w:szCs w:val="32"/>
        </w:rPr>
      </w:pPr>
    </w:p>
    <w:p w14:paraId="6FA340F5" w14:textId="77777777" w:rsidR="00F15C5A" w:rsidRDefault="00452FDA" w:rsidP="00F15C5A">
      <w:pPr>
        <w:pStyle w:val="Heading1"/>
        <w:numPr>
          <w:ilvl w:val="0"/>
          <w:numId w:val="0"/>
        </w:numPr>
        <w:ind w:left="720"/>
        <w:rPr>
          <w:rFonts w:ascii="Arial" w:eastAsia="Times New Roman" w:hAnsi="Arial" w:cs="Arial"/>
          <w:bCs w:val="0"/>
          <w:color w:val="auto"/>
          <w:sz w:val="28"/>
          <w:szCs w:val="28"/>
          <w:lang w:val="en-GB"/>
        </w:rPr>
      </w:pPr>
      <w:bookmarkStart w:id="69" w:name="_Toc387322686"/>
      <w:r w:rsidRPr="00986221">
        <w:t xml:space="preserve">Appendix </w:t>
      </w:r>
      <w:r w:rsidR="004E6A70" w:rsidRPr="00986221">
        <w:t>6</w:t>
      </w:r>
      <w:r w:rsidR="003B4DB5" w:rsidRPr="00986221">
        <w:t xml:space="preserve">: </w:t>
      </w:r>
      <w:bookmarkStart w:id="70" w:name="_Toc381803612"/>
      <w:r w:rsidR="002B560F" w:rsidRPr="00986221">
        <w:rPr>
          <w:rFonts w:ascii="Arial" w:eastAsia="Times New Roman" w:hAnsi="Arial" w:cs="Arial"/>
          <w:bCs w:val="0"/>
          <w:color w:val="auto"/>
          <w:sz w:val="28"/>
          <w:szCs w:val="28"/>
          <w:lang w:val="en-GB"/>
        </w:rPr>
        <w:t>Direct Funding Agreement</w:t>
      </w:r>
      <w:bookmarkEnd w:id="70"/>
      <w:bookmarkEnd w:id="69"/>
      <w:r w:rsidR="002B560F" w:rsidRPr="00986221">
        <w:rPr>
          <w:rFonts w:ascii="Arial" w:eastAsia="Times New Roman" w:hAnsi="Arial" w:cs="Arial"/>
          <w:bCs w:val="0"/>
          <w:color w:val="auto"/>
          <w:sz w:val="28"/>
          <w:szCs w:val="28"/>
          <w:lang w:val="en-GB"/>
        </w:rPr>
        <w:t xml:space="preserve"> </w:t>
      </w:r>
    </w:p>
    <w:p w14:paraId="4B4297FF" w14:textId="77777777" w:rsidR="00F15C5A" w:rsidRDefault="00F15C5A" w:rsidP="009F01DA">
      <w:pPr>
        <w:rPr>
          <w:lang w:val="en-GB"/>
        </w:rPr>
      </w:pPr>
    </w:p>
    <w:p w14:paraId="102EAEE2" w14:textId="7C8D04F1" w:rsidR="002B560F" w:rsidRPr="00F15C5A" w:rsidRDefault="00F15C5A" w:rsidP="00F15C5A">
      <w:pPr>
        <w:pStyle w:val="Heading1"/>
        <w:numPr>
          <w:ilvl w:val="0"/>
          <w:numId w:val="0"/>
        </w:numPr>
        <w:ind w:left="720"/>
        <w:jc w:val="center"/>
        <w:rPr>
          <w:lang w:val="en-GB"/>
        </w:rPr>
      </w:pPr>
      <w:bookmarkStart w:id="71" w:name="_Toc387322687"/>
      <w:r w:rsidRPr="00986221">
        <w:rPr>
          <w:rFonts w:ascii="Arial" w:eastAsia="Times New Roman" w:hAnsi="Arial" w:cs="Arial"/>
          <w:bCs w:val="0"/>
          <w:color w:val="auto"/>
          <w:sz w:val="28"/>
          <w:szCs w:val="28"/>
          <w:lang w:val="en-GB"/>
        </w:rPr>
        <w:t xml:space="preserve">Direct Funding Agreement </w:t>
      </w:r>
      <w:r w:rsidR="002B560F" w:rsidRPr="00986221">
        <w:rPr>
          <w:rFonts w:ascii="Arial" w:eastAsia="Times New Roman" w:hAnsi="Arial" w:cs="Arial"/>
          <w:bCs w:val="0"/>
          <w:color w:val="auto"/>
          <w:sz w:val="28"/>
          <w:szCs w:val="28"/>
          <w:lang w:val="en-GB"/>
        </w:rPr>
        <w:t>between the</w:t>
      </w:r>
      <w:bookmarkEnd w:id="71"/>
    </w:p>
    <w:p w14:paraId="69F7BF09" w14:textId="77777777" w:rsidR="002B560F" w:rsidRPr="00986221" w:rsidRDefault="002B560F" w:rsidP="002B560F">
      <w:pPr>
        <w:spacing w:after="120"/>
        <w:jc w:val="center"/>
        <w:rPr>
          <w:rFonts w:cs="Arial"/>
          <w:b/>
          <w:sz w:val="28"/>
          <w:szCs w:val="28"/>
          <w:lang w:val="en-GB"/>
        </w:rPr>
      </w:pPr>
      <w:r w:rsidRPr="00986221">
        <w:rPr>
          <w:rFonts w:cs="Arial"/>
          <w:b/>
          <w:sz w:val="28"/>
          <w:szCs w:val="28"/>
          <w:lang w:val="en-GB"/>
        </w:rPr>
        <w:t>Government of Australia as represented by the Department of Foreign Affairs and Trade</w:t>
      </w:r>
      <w:r w:rsidRPr="00986221">
        <w:rPr>
          <w:rFonts w:cs="Arial"/>
          <w:b/>
          <w:sz w:val="28"/>
          <w:szCs w:val="28"/>
          <w:lang w:val="en-GB"/>
        </w:rPr>
        <w:br/>
        <w:t>and</w:t>
      </w:r>
    </w:p>
    <w:p w14:paraId="6068992E" w14:textId="77777777" w:rsidR="002B560F" w:rsidRPr="00986221" w:rsidRDefault="002B560F" w:rsidP="002B560F">
      <w:pPr>
        <w:spacing w:after="120"/>
        <w:jc w:val="center"/>
        <w:rPr>
          <w:rFonts w:cs="Arial"/>
          <w:b/>
          <w:i/>
          <w:color w:val="FF0000"/>
          <w:sz w:val="28"/>
          <w:szCs w:val="28"/>
          <w:lang w:val="en-GB"/>
        </w:rPr>
      </w:pPr>
      <w:r w:rsidRPr="00986221">
        <w:rPr>
          <w:rFonts w:cs="Arial"/>
          <w:b/>
          <w:sz w:val="28"/>
          <w:szCs w:val="28"/>
          <w:lang w:val="en-GB"/>
        </w:rPr>
        <w:t>Government of Vietnam as represented by the Ministry of Planning and Investment, the Ministry of Industry and Trade and the Ministry of Agriculture and Rural Development</w:t>
      </w:r>
    </w:p>
    <w:p w14:paraId="27C95C8B" w14:textId="77777777" w:rsidR="002B560F" w:rsidRPr="00986221" w:rsidRDefault="002B560F" w:rsidP="002B560F">
      <w:pPr>
        <w:spacing w:after="120"/>
        <w:jc w:val="center"/>
        <w:rPr>
          <w:rFonts w:cs="Arial"/>
          <w:b/>
          <w:sz w:val="28"/>
          <w:szCs w:val="28"/>
          <w:lang w:val="en-GB"/>
        </w:rPr>
      </w:pPr>
      <w:r w:rsidRPr="00986221">
        <w:rPr>
          <w:rFonts w:cs="Arial"/>
          <w:b/>
          <w:sz w:val="28"/>
          <w:szCs w:val="28"/>
          <w:lang w:val="en-GB"/>
        </w:rPr>
        <w:t>In relation to</w:t>
      </w:r>
    </w:p>
    <w:p w14:paraId="72F00A5F" w14:textId="77777777" w:rsidR="002B560F" w:rsidRPr="00986221" w:rsidRDefault="002B560F" w:rsidP="002B560F">
      <w:pPr>
        <w:spacing w:before="240" w:after="240"/>
        <w:jc w:val="center"/>
        <w:rPr>
          <w:rFonts w:cs="Arial"/>
          <w:b/>
          <w:i/>
          <w:sz w:val="28"/>
          <w:szCs w:val="28"/>
          <w:lang w:val="en-GB"/>
        </w:rPr>
      </w:pPr>
      <w:r w:rsidRPr="00986221">
        <w:rPr>
          <w:rFonts w:cs="Arial"/>
          <w:b/>
          <w:i/>
          <w:sz w:val="28"/>
          <w:szCs w:val="28"/>
          <w:lang w:val="en-GB"/>
        </w:rPr>
        <w:t>Restructuring for a more Competitive Vietnam Project (RCV)</w:t>
      </w:r>
    </w:p>
    <w:p w14:paraId="7DCAE275" w14:textId="77777777" w:rsidR="002B560F" w:rsidRPr="00986221" w:rsidRDefault="002B560F" w:rsidP="002B560F">
      <w:pPr>
        <w:spacing w:before="240" w:after="240"/>
        <w:rPr>
          <w:rFonts w:cs="Arial"/>
          <w:b/>
          <w:szCs w:val="22"/>
          <w:lang w:val="en-GB"/>
        </w:rPr>
      </w:pPr>
      <w:r w:rsidRPr="00986221">
        <w:rPr>
          <w:rFonts w:cs="Arial"/>
          <w:b/>
          <w:szCs w:val="22"/>
          <w:lang w:val="en-GB"/>
        </w:rPr>
        <w:t>General</w:t>
      </w:r>
    </w:p>
    <w:p w14:paraId="6B5E9DC2" w14:textId="77777777" w:rsidR="002B560F" w:rsidRPr="00986221" w:rsidRDefault="002B560F" w:rsidP="00154C7D">
      <w:pPr>
        <w:pStyle w:val="ListParagraph"/>
        <w:numPr>
          <w:ilvl w:val="0"/>
          <w:numId w:val="24"/>
        </w:numPr>
        <w:rPr>
          <w:b/>
        </w:rPr>
      </w:pPr>
      <w:r w:rsidRPr="00986221">
        <w:rPr>
          <w:lang w:val="en-GB"/>
        </w:rPr>
        <w:t xml:space="preserve">This Agreement expresses understandings between the Government of </w:t>
      </w:r>
      <w:r w:rsidRPr="00986221">
        <w:t>Vietnam</w:t>
      </w:r>
      <w:r w:rsidRPr="00986221">
        <w:rPr>
          <w:b/>
        </w:rPr>
        <w:t xml:space="preserve"> </w:t>
      </w:r>
      <w:r w:rsidRPr="00986221">
        <w:t>as represented by the Ministry of Planning and Investment (MPI), the Ministry of Industry and Trade (MOIT), and the Ministry of Agriculture and Rural Development (MARD) hereafter referred to as the “Partner Government”</w:t>
      </w:r>
      <w:r w:rsidRPr="00986221">
        <w:rPr>
          <w:b/>
        </w:rPr>
        <w:t xml:space="preserve"> </w:t>
      </w:r>
      <w:r w:rsidRPr="00986221">
        <w:rPr>
          <w:lang w:val="en-GB"/>
        </w:rPr>
        <w:t>and the Government of Australia as represented by the Department of Foreign Affairs and Trade hereafter referred to as “GOA”, hereafter referred to collectively as “the Parties”.</w:t>
      </w:r>
    </w:p>
    <w:p w14:paraId="27D7140A" w14:textId="77777777" w:rsidR="002B560F" w:rsidRPr="00986221" w:rsidRDefault="002B560F" w:rsidP="00154C7D">
      <w:pPr>
        <w:pStyle w:val="ListParagraph"/>
        <w:numPr>
          <w:ilvl w:val="0"/>
          <w:numId w:val="24"/>
        </w:numPr>
        <w:rPr>
          <w:szCs w:val="22"/>
        </w:rPr>
      </w:pPr>
      <w:r w:rsidRPr="00986221">
        <w:rPr>
          <w:lang w:val="en-GB"/>
        </w:rPr>
        <w:t>This Agreement is made pursuant to the terms of Memorandum of Understanding on Development Cooperation of 27 May 1993 and its amendment of 28 August 2011 (MOU) between GOA and the Partner Government</w:t>
      </w:r>
      <w:r w:rsidRPr="00986221">
        <w:rPr>
          <w:b/>
          <w:bCs/>
          <w:lang w:val="en-GB"/>
        </w:rPr>
        <w:t xml:space="preserve">. </w:t>
      </w:r>
      <w:r w:rsidRPr="00986221">
        <w:rPr>
          <w:lang w:val="en-GB"/>
        </w:rPr>
        <w:t>This Agreement constitutes a Subsidiary Arrangement under</w:t>
      </w:r>
      <w:r w:rsidRPr="00986221">
        <w:rPr>
          <w:b/>
          <w:bCs/>
          <w:lang w:val="en-GB"/>
        </w:rPr>
        <w:t xml:space="preserve"> </w:t>
      </w:r>
      <w:r w:rsidRPr="00986221">
        <w:rPr>
          <w:lang w:val="en-GB"/>
        </w:rPr>
        <w:t>Article 5 of the MOU.</w:t>
      </w:r>
      <w:r w:rsidRPr="00986221">
        <w:t xml:space="preserve"> </w:t>
      </w:r>
    </w:p>
    <w:p w14:paraId="01288127" w14:textId="77777777" w:rsidR="002B560F" w:rsidRPr="00986221" w:rsidRDefault="002B560F" w:rsidP="00154C7D">
      <w:pPr>
        <w:pStyle w:val="ListParagraph"/>
        <w:numPr>
          <w:ilvl w:val="0"/>
          <w:numId w:val="24"/>
        </w:numPr>
        <w:rPr>
          <w:szCs w:val="22"/>
        </w:rPr>
      </w:pPr>
      <w:r w:rsidRPr="00986221">
        <w:rPr>
          <w:szCs w:val="22"/>
        </w:rPr>
        <w:t>The terms of the MOU between GOA and the Partner Government apply to this Agreement.</w:t>
      </w:r>
    </w:p>
    <w:p w14:paraId="09EF6D85" w14:textId="77777777" w:rsidR="002B560F" w:rsidRPr="00986221" w:rsidRDefault="002B560F" w:rsidP="00154C7D">
      <w:pPr>
        <w:pStyle w:val="ListParagraph"/>
        <w:numPr>
          <w:ilvl w:val="0"/>
          <w:numId w:val="24"/>
        </w:numPr>
        <w:rPr>
          <w:szCs w:val="22"/>
        </w:rPr>
      </w:pPr>
      <w:r w:rsidRPr="00986221">
        <w:rPr>
          <w:szCs w:val="22"/>
        </w:rPr>
        <w:t xml:space="preserve">This Agreement represents the understanding of the respective responsibilities and contributions of both Parties with regard to the provision of the Restructuring for a more Competitive Vietnam Project (”the Project”). </w:t>
      </w:r>
    </w:p>
    <w:p w14:paraId="41492B35" w14:textId="77777777" w:rsidR="002B560F" w:rsidRPr="00986221" w:rsidRDefault="002B560F" w:rsidP="002B560F">
      <w:pPr>
        <w:ind w:left="360"/>
        <w:rPr>
          <w:b/>
          <w:szCs w:val="22"/>
        </w:rPr>
      </w:pPr>
      <w:r w:rsidRPr="00986221">
        <w:rPr>
          <w:b/>
          <w:szCs w:val="22"/>
        </w:rPr>
        <w:t>Definitions</w:t>
      </w:r>
    </w:p>
    <w:p w14:paraId="2F0B75D2" w14:textId="77777777" w:rsidR="002B560F" w:rsidRPr="00986221" w:rsidRDefault="002B560F" w:rsidP="002B560F">
      <w:pPr>
        <w:ind w:left="426"/>
        <w:rPr>
          <w:rFonts w:cs="Arial"/>
          <w:b/>
          <w:szCs w:val="22"/>
        </w:rPr>
      </w:pPr>
    </w:p>
    <w:p w14:paraId="65B3C81D" w14:textId="77777777" w:rsidR="002B560F" w:rsidRPr="00986221" w:rsidRDefault="002B560F" w:rsidP="00154C7D">
      <w:pPr>
        <w:pStyle w:val="ListParagraph"/>
        <w:numPr>
          <w:ilvl w:val="0"/>
          <w:numId w:val="24"/>
        </w:numPr>
        <w:rPr>
          <w:szCs w:val="22"/>
        </w:rPr>
      </w:pPr>
      <w:r w:rsidRPr="00986221">
        <w:rPr>
          <w:szCs w:val="22"/>
        </w:rPr>
        <w:t>Under this Agreement:</w:t>
      </w:r>
    </w:p>
    <w:p w14:paraId="3D10DDAC" w14:textId="77777777" w:rsidR="002B560F" w:rsidRPr="00986221" w:rsidRDefault="002B560F" w:rsidP="002B560F">
      <w:pPr>
        <w:spacing w:after="120"/>
        <w:ind w:left="426"/>
        <w:rPr>
          <w:rFonts w:cs="Arial"/>
          <w:szCs w:val="22"/>
        </w:rPr>
      </w:pPr>
      <w:r w:rsidRPr="00986221">
        <w:rPr>
          <w:rFonts w:cs="Arial"/>
          <w:b/>
          <w:szCs w:val="22"/>
        </w:rPr>
        <w:t xml:space="preserve">AWP </w:t>
      </w:r>
      <w:r w:rsidRPr="00986221">
        <w:rPr>
          <w:rFonts w:cs="Arial"/>
          <w:szCs w:val="22"/>
        </w:rPr>
        <w:t>refers to the Annual Work Plan</w:t>
      </w:r>
    </w:p>
    <w:p w14:paraId="4B14E0DB" w14:textId="77777777" w:rsidR="002B560F" w:rsidRPr="00986221" w:rsidRDefault="002B560F" w:rsidP="002B560F">
      <w:pPr>
        <w:spacing w:after="120"/>
        <w:ind w:left="426"/>
        <w:rPr>
          <w:rFonts w:cs="Arial"/>
          <w:b/>
          <w:szCs w:val="22"/>
        </w:rPr>
      </w:pPr>
      <w:r w:rsidRPr="00986221">
        <w:rPr>
          <w:rFonts w:cs="Arial"/>
          <w:b/>
          <w:szCs w:val="22"/>
        </w:rPr>
        <w:t xml:space="preserve">CD </w:t>
      </w:r>
      <w:r w:rsidRPr="00986221">
        <w:rPr>
          <w:rFonts w:cs="Arial"/>
          <w:szCs w:val="22"/>
        </w:rPr>
        <w:t>refers to the Component Director</w:t>
      </w:r>
    </w:p>
    <w:p w14:paraId="7B03156F" w14:textId="77777777" w:rsidR="002B560F" w:rsidRPr="00986221" w:rsidRDefault="002B560F" w:rsidP="002B560F">
      <w:pPr>
        <w:spacing w:after="120"/>
        <w:ind w:left="426"/>
        <w:rPr>
          <w:rFonts w:cs="Arial"/>
          <w:szCs w:val="22"/>
        </w:rPr>
      </w:pPr>
      <w:r w:rsidRPr="00986221">
        <w:rPr>
          <w:rFonts w:cs="Arial"/>
          <w:b/>
          <w:szCs w:val="22"/>
        </w:rPr>
        <w:t>CIEM</w:t>
      </w:r>
      <w:r w:rsidRPr="00986221">
        <w:rPr>
          <w:rFonts w:cs="Arial"/>
          <w:szCs w:val="22"/>
        </w:rPr>
        <w:t xml:space="preserve"> refers to the Central Institute for Economic Management</w:t>
      </w:r>
    </w:p>
    <w:p w14:paraId="405A4866" w14:textId="77777777" w:rsidR="002B560F" w:rsidRPr="00986221" w:rsidRDefault="002B560F" w:rsidP="002B560F">
      <w:pPr>
        <w:spacing w:after="120"/>
        <w:ind w:left="426"/>
        <w:rPr>
          <w:rFonts w:cs="Arial"/>
          <w:b/>
          <w:szCs w:val="22"/>
        </w:rPr>
      </w:pPr>
      <w:r w:rsidRPr="00986221">
        <w:rPr>
          <w:rFonts w:cs="Arial"/>
          <w:b/>
          <w:szCs w:val="22"/>
        </w:rPr>
        <w:t xml:space="preserve">CPV </w:t>
      </w:r>
      <w:r w:rsidRPr="00986221">
        <w:rPr>
          <w:rFonts w:cs="Arial"/>
          <w:szCs w:val="22"/>
        </w:rPr>
        <w:t>refers to Communist Party of Vietnam</w:t>
      </w:r>
    </w:p>
    <w:p w14:paraId="62983B4F" w14:textId="77777777" w:rsidR="002B560F" w:rsidRPr="00986221" w:rsidRDefault="002B560F" w:rsidP="002B560F">
      <w:pPr>
        <w:spacing w:after="120"/>
        <w:ind w:left="426"/>
        <w:rPr>
          <w:rFonts w:cs="Arial"/>
          <w:szCs w:val="22"/>
          <w:lang w:val="en-US"/>
        </w:rPr>
      </w:pPr>
      <w:r w:rsidRPr="00986221">
        <w:rPr>
          <w:rFonts w:cs="Arial"/>
          <w:b/>
          <w:szCs w:val="22"/>
        </w:rPr>
        <w:t>IPSARD</w:t>
      </w:r>
      <w:r w:rsidRPr="00986221">
        <w:rPr>
          <w:rFonts w:cs="Arial"/>
          <w:szCs w:val="22"/>
        </w:rPr>
        <w:t xml:space="preserve"> refers to the Institute for Policy and Strategy of </w:t>
      </w:r>
      <w:r w:rsidRPr="00986221">
        <w:rPr>
          <w:rFonts w:cs="Arial"/>
          <w:szCs w:val="22"/>
          <w:lang w:val="en-US"/>
        </w:rPr>
        <w:t>Agriculture and Rural Development</w:t>
      </w:r>
    </w:p>
    <w:p w14:paraId="05281FC4" w14:textId="77777777" w:rsidR="002B560F" w:rsidRPr="00986221" w:rsidRDefault="002B560F" w:rsidP="002B560F">
      <w:pPr>
        <w:spacing w:after="120"/>
        <w:ind w:left="426"/>
        <w:rPr>
          <w:rFonts w:cs="Arial"/>
          <w:szCs w:val="22"/>
          <w:lang w:val="en-US"/>
        </w:rPr>
      </w:pPr>
      <w:r w:rsidRPr="00986221">
        <w:rPr>
          <w:rFonts w:cs="Arial"/>
          <w:b/>
          <w:szCs w:val="22"/>
        </w:rPr>
        <w:t xml:space="preserve">MARD </w:t>
      </w:r>
      <w:r w:rsidRPr="00986221">
        <w:rPr>
          <w:rFonts w:cs="Arial"/>
          <w:szCs w:val="22"/>
        </w:rPr>
        <w:t xml:space="preserve">refers to the </w:t>
      </w:r>
      <w:r w:rsidRPr="00986221">
        <w:rPr>
          <w:rFonts w:cs="Arial"/>
          <w:szCs w:val="22"/>
          <w:lang w:val="en-US"/>
        </w:rPr>
        <w:t>Ministry of Agriculture and Rural Development</w:t>
      </w:r>
    </w:p>
    <w:p w14:paraId="6F57626A" w14:textId="77777777" w:rsidR="002B560F" w:rsidRPr="00986221" w:rsidRDefault="002B560F" w:rsidP="002B560F">
      <w:pPr>
        <w:spacing w:after="120"/>
        <w:ind w:left="426"/>
        <w:rPr>
          <w:rFonts w:cs="Arial"/>
          <w:szCs w:val="22"/>
          <w:lang w:val="en-US"/>
        </w:rPr>
      </w:pPr>
      <w:r w:rsidRPr="00986221">
        <w:rPr>
          <w:rFonts w:cs="Arial"/>
          <w:b/>
          <w:szCs w:val="22"/>
        </w:rPr>
        <w:t xml:space="preserve">MOIT </w:t>
      </w:r>
      <w:r w:rsidRPr="00986221">
        <w:rPr>
          <w:rFonts w:cs="Arial"/>
          <w:szCs w:val="22"/>
        </w:rPr>
        <w:t xml:space="preserve">refers to the </w:t>
      </w:r>
      <w:r w:rsidRPr="00986221">
        <w:rPr>
          <w:rFonts w:cs="Arial"/>
          <w:szCs w:val="22"/>
          <w:lang w:val="en-US"/>
        </w:rPr>
        <w:t xml:space="preserve">Ministry of Industry and Trade </w:t>
      </w:r>
    </w:p>
    <w:p w14:paraId="06676FE7" w14:textId="77777777" w:rsidR="002B560F" w:rsidRPr="00986221" w:rsidRDefault="002B560F" w:rsidP="002B560F">
      <w:pPr>
        <w:spacing w:after="120"/>
        <w:ind w:left="426"/>
        <w:rPr>
          <w:rFonts w:cs="Arial"/>
          <w:szCs w:val="22"/>
        </w:rPr>
      </w:pPr>
      <w:r w:rsidRPr="00986221">
        <w:rPr>
          <w:rFonts w:cs="Arial"/>
          <w:b/>
          <w:szCs w:val="22"/>
        </w:rPr>
        <w:t>MPER</w:t>
      </w:r>
      <w:r w:rsidRPr="00986221">
        <w:rPr>
          <w:rFonts w:cs="Arial"/>
          <w:szCs w:val="22"/>
        </w:rPr>
        <w:t xml:space="preserve"> refers to the Master Plan on Economic Restructuring of the Government of Vietnam</w:t>
      </w:r>
    </w:p>
    <w:p w14:paraId="493C99E7" w14:textId="77777777" w:rsidR="002B560F" w:rsidRPr="00986221" w:rsidRDefault="002B560F" w:rsidP="002B560F">
      <w:pPr>
        <w:spacing w:after="120"/>
        <w:ind w:left="426"/>
        <w:rPr>
          <w:rFonts w:cs="Arial"/>
          <w:szCs w:val="22"/>
        </w:rPr>
      </w:pPr>
      <w:r w:rsidRPr="00986221">
        <w:rPr>
          <w:rFonts w:cs="Arial"/>
          <w:b/>
          <w:szCs w:val="22"/>
        </w:rPr>
        <w:t xml:space="preserve">MPI </w:t>
      </w:r>
      <w:r w:rsidRPr="00986221">
        <w:rPr>
          <w:rFonts w:cs="Arial"/>
          <w:szCs w:val="22"/>
        </w:rPr>
        <w:t xml:space="preserve">refers to the </w:t>
      </w:r>
      <w:r w:rsidRPr="00986221">
        <w:rPr>
          <w:rFonts w:cs="Arial"/>
          <w:szCs w:val="22"/>
          <w:lang w:val="en-US"/>
        </w:rPr>
        <w:t>Ministry of Planning and Investment</w:t>
      </w:r>
    </w:p>
    <w:p w14:paraId="34E91A78" w14:textId="77777777" w:rsidR="002B560F" w:rsidRPr="00986221" w:rsidRDefault="002B560F" w:rsidP="002B560F">
      <w:pPr>
        <w:spacing w:after="120"/>
        <w:ind w:left="426"/>
        <w:rPr>
          <w:rFonts w:cs="Arial"/>
          <w:szCs w:val="22"/>
        </w:rPr>
      </w:pPr>
      <w:r w:rsidRPr="00986221">
        <w:rPr>
          <w:rFonts w:cs="Arial"/>
          <w:b/>
          <w:szCs w:val="22"/>
        </w:rPr>
        <w:t xml:space="preserve">NA </w:t>
      </w:r>
      <w:r w:rsidRPr="00986221">
        <w:rPr>
          <w:rFonts w:cs="Arial"/>
          <w:szCs w:val="22"/>
        </w:rPr>
        <w:t>refers to National Assembly of Vietnam</w:t>
      </w:r>
    </w:p>
    <w:p w14:paraId="6DA9487B" w14:textId="77777777" w:rsidR="002B560F" w:rsidRPr="00986221" w:rsidRDefault="002B560F" w:rsidP="002B560F">
      <w:pPr>
        <w:spacing w:after="120"/>
        <w:ind w:left="426"/>
        <w:rPr>
          <w:rFonts w:cs="Arial"/>
          <w:b/>
          <w:szCs w:val="22"/>
        </w:rPr>
      </w:pPr>
      <w:r w:rsidRPr="00986221">
        <w:rPr>
          <w:rFonts w:cs="Arial"/>
          <w:b/>
          <w:szCs w:val="22"/>
        </w:rPr>
        <w:t xml:space="preserve">PCC </w:t>
      </w:r>
      <w:r w:rsidRPr="00986221">
        <w:rPr>
          <w:rFonts w:cs="Arial"/>
          <w:szCs w:val="22"/>
        </w:rPr>
        <w:t>refers to the Project Coordination Committee</w:t>
      </w:r>
    </w:p>
    <w:p w14:paraId="124E7D30" w14:textId="77777777" w:rsidR="002B560F" w:rsidRPr="00986221" w:rsidRDefault="002B560F" w:rsidP="002B560F">
      <w:pPr>
        <w:spacing w:after="120"/>
        <w:ind w:left="426"/>
        <w:rPr>
          <w:rFonts w:cs="Arial"/>
          <w:szCs w:val="22"/>
        </w:rPr>
      </w:pPr>
      <w:r w:rsidRPr="00986221">
        <w:rPr>
          <w:rFonts w:cs="Arial"/>
          <w:b/>
          <w:szCs w:val="22"/>
        </w:rPr>
        <w:t xml:space="preserve">PCU </w:t>
      </w:r>
      <w:r w:rsidRPr="00986221">
        <w:rPr>
          <w:rFonts w:cs="Arial"/>
          <w:szCs w:val="22"/>
        </w:rPr>
        <w:t>refers to the Project Coordination Unit</w:t>
      </w:r>
    </w:p>
    <w:p w14:paraId="6825607E" w14:textId="77777777" w:rsidR="002B560F" w:rsidRPr="00986221" w:rsidRDefault="002B560F" w:rsidP="002B560F">
      <w:pPr>
        <w:spacing w:after="120"/>
        <w:ind w:left="426"/>
        <w:rPr>
          <w:rFonts w:cs="Arial"/>
          <w:szCs w:val="22"/>
        </w:rPr>
      </w:pPr>
      <w:r w:rsidRPr="00986221">
        <w:rPr>
          <w:rFonts w:cs="Arial"/>
          <w:b/>
          <w:szCs w:val="22"/>
        </w:rPr>
        <w:t xml:space="preserve">PD </w:t>
      </w:r>
      <w:r w:rsidRPr="00986221">
        <w:rPr>
          <w:rFonts w:cs="Arial"/>
          <w:szCs w:val="22"/>
        </w:rPr>
        <w:t>refers to the Project Director</w:t>
      </w:r>
    </w:p>
    <w:p w14:paraId="7CF3BB9A" w14:textId="77777777" w:rsidR="002B560F" w:rsidRPr="00986221" w:rsidRDefault="002B560F" w:rsidP="002B560F">
      <w:pPr>
        <w:spacing w:after="120"/>
        <w:ind w:left="426"/>
        <w:rPr>
          <w:rFonts w:cs="Arial"/>
          <w:b/>
          <w:szCs w:val="22"/>
        </w:rPr>
      </w:pPr>
      <w:r w:rsidRPr="00986221">
        <w:rPr>
          <w:rFonts w:cs="Arial"/>
          <w:b/>
          <w:szCs w:val="22"/>
        </w:rPr>
        <w:t xml:space="preserve">PDD </w:t>
      </w:r>
      <w:r w:rsidRPr="00986221">
        <w:rPr>
          <w:rFonts w:cs="Arial"/>
          <w:szCs w:val="22"/>
        </w:rPr>
        <w:t>refers to the Project Design Document commissioned by the Parties</w:t>
      </w:r>
    </w:p>
    <w:p w14:paraId="2D71107C" w14:textId="77777777" w:rsidR="002B560F" w:rsidRPr="00986221" w:rsidRDefault="002B560F" w:rsidP="002B560F">
      <w:pPr>
        <w:spacing w:after="120"/>
        <w:ind w:left="426"/>
        <w:rPr>
          <w:rFonts w:cs="Arial"/>
          <w:b/>
          <w:szCs w:val="22"/>
        </w:rPr>
      </w:pPr>
      <w:r w:rsidRPr="00986221">
        <w:rPr>
          <w:rFonts w:cs="Arial"/>
          <w:b/>
          <w:szCs w:val="22"/>
        </w:rPr>
        <w:t xml:space="preserve">OM </w:t>
      </w:r>
      <w:r w:rsidRPr="00986221">
        <w:rPr>
          <w:rFonts w:cs="Arial"/>
          <w:szCs w:val="22"/>
        </w:rPr>
        <w:t xml:space="preserve">refers to the </w:t>
      </w:r>
      <w:r w:rsidRPr="00986221">
        <w:rPr>
          <w:lang w:val="en-GB"/>
        </w:rPr>
        <w:t xml:space="preserve">Operational Manual </w:t>
      </w:r>
    </w:p>
    <w:p w14:paraId="65924388" w14:textId="77777777" w:rsidR="002B560F" w:rsidRPr="00986221" w:rsidRDefault="002B560F" w:rsidP="002B560F">
      <w:pPr>
        <w:spacing w:after="120"/>
        <w:ind w:left="426"/>
        <w:rPr>
          <w:rFonts w:cs="Arial"/>
          <w:b/>
          <w:szCs w:val="22"/>
        </w:rPr>
      </w:pPr>
      <w:r w:rsidRPr="00986221">
        <w:rPr>
          <w:rFonts w:cs="Arial"/>
          <w:b/>
          <w:szCs w:val="22"/>
        </w:rPr>
        <w:t xml:space="preserve">SAG </w:t>
      </w:r>
      <w:r w:rsidRPr="00986221">
        <w:rPr>
          <w:rFonts w:cs="Arial"/>
          <w:szCs w:val="22"/>
        </w:rPr>
        <w:t>refers to the Senior Advisory Group</w:t>
      </w:r>
    </w:p>
    <w:p w14:paraId="3735941F" w14:textId="77777777" w:rsidR="002B560F" w:rsidRPr="00986221" w:rsidRDefault="002B560F" w:rsidP="002B560F">
      <w:pPr>
        <w:spacing w:after="120"/>
        <w:ind w:left="426"/>
        <w:rPr>
          <w:rFonts w:cs="Arial"/>
          <w:szCs w:val="22"/>
        </w:rPr>
      </w:pPr>
      <w:r w:rsidRPr="00986221">
        <w:rPr>
          <w:rFonts w:cs="Arial"/>
          <w:b/>
          <w:szCs w:val="22"/>
        </w:rPr>
        <w:t xml:space="preserve">SEDP </w:t>
      </w:r>
      <w:r w:rsidRPr="00986221">
        <w:rPr>
          <w:rFonts w:cs="Arial"/>
          <w:szCs w:val="22"/>
        </w:rPr>
        <w:t xml:space="preserve">refers to the Socio Economic Development Plan of the Government of Vietnam </w:t>
      </w:r>
    </w:p>
    <w:p w14:paraId="1D802954" w14:textId="77777777" w:rsidR="002B560F" w:rsidRPr="00986221" w:rsidRDefault="002B560F" w:rsidP="002B560F">
      <w:pPr>
        <w:spacing w:after="120"/>
        <w:ind w:left="426"/>
        <w:rPr>
          <w:rFonts w:cs="Arial"/>
          <w:szCs w:val="22"/>
        </w:rPr>
      </w:pPr>
      <w:r w:rsidRPr="00986221">
        <w:rPr>
          <w:rFonts w:cs="Arial"/>
          <w:b/>
          <w:szCs w:val="22"/>
        </w:rPr>
        <w:t xml:space="preserve">SPC-E </w:t>
      </w:r>
      <w:r w:rsidRPr="00986221">
        <w:rPr>
          <w:rFonts w:cs="Arial"/>
          <w:szCs w:val="22"/>
        </w:rPr>
        <w:t>refers to the Senior Project Coordinator cum Economist</w:t>
      </w:r>
    </w:p>
    <w:p w14:paraId="58BE3A9B" w14:textId="77777777" w:rsidR="002B560F" w:rsidRPr="00986221" w:rsidRDefault="002B560F" w:rsidP="002B560F">
      <w:pPr>
        <w:spacing w:after="120"/>
        <w:ind w:left="426"/>
        <w:rPr>
          <w:rFonts w:cs="Arial"/>
          <w:b/>
          <w:szCs w:val="22"/>
        </w:rPr>
      </w:pPr>
      <w:r w:rsidRPr="00986221">
        <w:rPr>
          <w:rFonts w:cs="Arial"/>
          <w:b/>
          <w:szCs w:val="22"/>
        </w:rPr>
        <w:t xml:space="preserve">STA </w:t>
      </w:r>
      <w:r w:rsidRPr="00986221">
        <w:rPr>
          <w:rFonts w:cs="Arial"/>
          <w:szCs w:val="22"/>
        </w:rPr>
        <w:t>refers to the Senior Technical Adviser</w:t>
      </w:r>
    </w:p>
    <w:p w14:paraId="14DB23E7" w14:textId="77777777" w:rsidR="002B560F" w:rsidRPr="00986221" w:rsidRDefault="002B560F" w:rsidP="002B560F">
      <w:pPr>
        <w:spacing w:after="120"/>
        <w:ind w:left="426"/>
        <w:rPr>
          <w:rFonts w:cs="Arial"/>
          <w:b/>
          <w:szCs w:val="22"/>
        </w:rPr>
      </w:pPr>
      <w:r w:rsidRPr="00986221">
        <w:rPr>
          <w:rFonts w:cs="Arial"/>
          <w:b/>
          <w:szCs w:val="22"/>
        </w:rPr>
        <w:t xml:space="preserve">VCA </w:t>
      </w:r>
      <w:r w:rsidRPr="00986221">
        <w:rPr>
          <w:rFonts w:cs="Arial"/>
          <w:szCs w:val="22"/>
        </w:rPr>
        <w:t>refers to the Vietnam Competition Agency</w:t>
      </w:r>
    </w:p>
    <w:p w14:paraId="35FD155B" w14:textId="77777777" w:rsidR="002B560F" w:rsidRPr="00986221" w:rsidRDefault="002B560F" w:rsidP="002B560F">
      <w:pPr>
        <w:spacing w:before="240" w:after="120"/>
        <w:ind w:left="426"/>
        <w:rPr>
          <w:rFonts w:cs="Arial"/>
          <w:b/>
          <w:szCs w:val="22"/>
          <w:lang w:val="en-GB"/>
        </w:rPr>
      </w:pPr>
      <w:r w:rsidRPr="00986221">
        <w:rPr>
          <w:rFonts w:cs="Arial"/>
          <w:b/>
          <w:szCs w:val="22"/>
          <w:lang w:val="en-GB"/>
        </w:rPr>
        <w:t>Implementation Arrangements and responsibilities</w:t>
      </w:r>
    </w:p>
    <w:p w14:paraId="492925FD" w14:textId="1F3D6048" w:rsidR="002B560F" w:rsidRPr="00986221" w:rsidRDefault="002B560F" w:rsidP="00154C7D">
      <w:pPr>
        <w:pStyle w:val="ListParagraph"/>
        <w:numPr>
          <w:ilvl w:val="0"/>
          <w:numId w:val="24"/>
        </w:numPr>
        <w:ind w:left="426"/>
        <w:rPr>
          <w:szCs w:val="22"/>
        </w:rPr>
      </w:pPr>
      <w:r w:rsidRPr="00986221">
        <w:rPr>
          <w:lang w:val="en-GB"/>
        </w:rPr>
        <w:t xml:space="preserve">The Partner Government will be fully responsible for the implementation of the Project and for the management of the GOA financial contributions. </w:t>
      </w:r>
    </w:p>
    <w:p w14:paraId="4AA34442" w14:textId="77777777" w:rsidR="002B560F" w:rsidRPr="00986221" w:rsidRDefault="002B560F" w:rsidP="00154C7D">
      <w:pPr>
        <w:pStyle w:val="ListParagraph"/>
        <w:numPr>
          <w:ilvl w:val="0"/>
          <w:numId w:val="24"/>
        </w:numPr>
        <w:ind w:left="360"/>
        <w:rPr>
          <w:szCs w:val="22"/>
        </w:rPr>
      </w:pPr>
      <w:r w:rsidRPr="00986221">
        <w:rPr>
          <w:lang w:val="en-GB"/>
        </w:rPr>
        <w:t xml:space="preserve">The Partner Government will provide quarterly (3 monthly) financial statements in accordance with an identified and applicable financial reporting framework – Vietnamese Accounting Standards. The financial statements will show all sources of funding, with sufficient breakdowns of data to permit identification of individual sources of funds and disbursements on major activities or types of expenditure. Project reporting formats are detailed in Project Operational Manual (OM), which will be developed by the Project Coordination Unit (PCU) in consultation with Partner Government agencies.  </w:t>
      </w:r>
    </w:p>
    <w:p w14:paraId="747E80A6" w14:textId="77777777" w:rsidR="002B560F" w:rsidRPr="00986221" w:rsidRDefault="002B560F" w:rsidP="00154C7D">
      <w:pPr>
        <w:pStyle w:val="ListParagraph"/>
        <w:numPr>
          <w:ilvl w:val="0"/>
          <w:numId w:val="24"/>
        </w:numPr>
        <w:ind w:left="360"/>
        <w:rPr>
          <w:szCs w:val="22"/>
        </w:rPr>
      </w:pPr>
      <w:r w:rsidRPr="00986221">
        <w:rPr>
          <w:lang w:val="en-GB"/>
        </w:rPr>
        <w:t>The Partner Government will immediately inform GOA in writing of any circumstance which may interfere or threaten to interfere with the successful implementation of the Project and, with a view to resolving the issue, will consult with the GOA on remedial action to be taken.</w:t>
      </w:r>
    </w:p>
    <w:p w14:paraId="341A56FE" w14:textId="77777777" w:rsidR="002B560F" w:rsidRPr="00986221" w:rsidRDefault="002B560F" w:rsidP="00154C7D">
      <w:pPr>
        <w:pStyle w:val="ListParagraph"/>
        <w:numPr>
          <w:ilvl w:val="0"/>
          <w:numId w:val="24"/>
        </w:numPr>
        <w:ind w:left="360"/>
        <w:rPr>
          <w:szCs w:val="22"/>
        </w:rPr>
      </w:pPr>
      <w:r w:rsidRPr="00986221">
        <w:rPr>
          <w:lang w:val="en-GB"/>
        </w:rPr>
        <w:t xml:space="preserve">In matters pertaining to the implementation of this Agreement, the Partner Government Ministry with overall responsibility for implementing the Project will be the MPI. </w:t>
      </w:r>
    </w:p>
    <w:p w14:paraId="71881D52" w14:textId="77777777" w:rsidR="002B560F" w:rsidRPr="00986221" w:rsidRDefault="002B560F" w:rsidP="002B560F">
      <w:pPr>
        <w:spacing w:after="120"/>
        <w:ind w:left="426"/>
        <w:rPr>
          <w:rFonts w:cs="Arial"/>
          <w:b/>
          <w:szCs w:val="22"/>
        </w:rPr>
      </w:pPr>
      <w:r w:rsidRPr="00986221">
        <w:rPr>
          <w:rFonts w:cs="Arial"/>
          <w:b/>
          <w:szCs w:val="22"/>
        </w:rPr>
        <w:t>Implementing Principles</w:t>
      </w:r>
    </w:p>
    <w:p w14:paraId="0DD9C4D5" w14:textId="77777777" w:rsidR="002B560F" w:rsidRPr="00986221" w:rsidRDefault="002B560F" w:rsidP="00154C7D">
      <w:pPr>
        <w:pStyle w:val="ListParagraph"/>
        <w:numPr>
          <w:ilvl w:val="0"/>
          <w:numId w:val="24"/>
        </w:numPr>
        <w:ind w:left="360"/>
        <w:rPr>
          <w:szCs w:val="22"/>
        </w:rPr>
      </w:pPr>
      <w:r w:rsidRPr="00986221">
        <w:rPr>
          <w:szCs w:val="22"/>
        </w:rPr>
        <w:t>The Parties agree that the implementation of the Project under this Agreement will be guided by the following principles</w:t>
      </w:r>
    </w:p>
    <w:p w14:paraId="7660E489" w14:textId="77777777" w:rsidR="002B560F" w:rsidRPr="00986221" w:rsidRDefault="002B560F" w:rsidP="00154C7D">
      <w:pPr>
        <w:pStyle w:val="ListParagraphindent"/>
        <w:numPr>
          <w:ilvl w:val="2"/>
          <w:numId w:val="21"/>
        </w:numPr>
      </w:pPr>
      <w:r w:rsidRPr="00986221">
        <w:t>Implementation will be based on a partnership approach;</w:t>
      </w:r>
    </w:p>
    <w:p w14:paraId="7E2C4EB5" w14:textId="77777777" w:rsidR="002B560F" w:rsidRPr="00986221" w:rsidRDefault="002B560F" w:rsidP="00154C7D">
      <w:pPr>
        <w:pStyle w:val="ListParagraphindent"/>
        <w:numPr>
          <w:ilvl w:val="2"/>
          <w:numId w:val="21"/>
        </w:numPr>
      </w:pPr>
      <w:r w:rsidRPr="00986221">
        <w:t>Partner Government leadership and ownership of the Project is maximised;</w:t>
      </w:r>
    </w:p>
    <w:p w14:paraId="04D4682C" w14:textId="77777777" w:rsidR="002B560F" w:rsidRPr="00986221" w:rsidRDefault="002B560F" w:rsidP="00154C7D">
      <w:pPr>
        <w:pStyle w:val="ListParagraphindent"/>
        <w:numPr>
          <w:ilvl w:val="2"/>
          <w:numId w:val="21"/>
        </w:numPr>
      </w:pPr>
      <w:r w:rsidRPr="00986221">
        <w:t>GOA support is aligned to the Partner Government needs and priorities;</w:t>
      </w:r>
    </w:p>
    <w:p w14:paraId="63AD218B" w14:textId="77777777" w:rsidR="002B560F" w:rsidRPr="00986221" w:rsidRDefault="002B560F" w:rsidP="00154C7D">
      <w:pPr>
        <w:pStyle w:val="ListParagraphindent"/>
        <w:numPr>
          <w:ilvl w:val="2"/>
          <w:numId w:val="21"/>
        </w:numPr>
      </w:pPr>
      <w:r w:rsidRPr="00986221">
        <w:t>Fairness, transparency, openness, accountability and mutual trust in all dealings;</w:t>
      </w:r>
    </w:p>
    <w:p w14:paraId="03ECCF3B" w14:textId="77777777" w:rsidR="002B560F" w:rsidRPr="00986221" w:rsidRDefault="002B560F" w:rsidP="00154C7D">
      <w:pPr>
        <w:pStyle w:val="ListParagraphindent"/>
        <w:numPr>
          <w:ilvl w:val="2"/>
          <w:numId w:val="21"/>
        </w:numPr>
      </w:pPr>
      <w:r w:rsidRPr="00986221">
        <w:t>A focus on sustainable and equitable development that meets the needs of the Partner Government and beneficiary communities;</w:t>
      </w:r>
    </w:p>
    <w:p w14:paraId="2ED6B5F8" w14:textId="77777777" w:rsidR="002B560F" w:rsidRPr="00986221" w:rsidRDefault="002B560F" w:rsidP="00154C7D">
      <w:pPr>
        <w:pStyle w:val="ListParagraphindent"/>
        <w:numPr>
          <w:ilvl w:val="2"/>
          <w:numId w:val="21"/>
        </w:numPr>
      </w:pPr>
      <w:r w:rsidRPr="00986221">
        <w:t>The strategic orientation of policies and strategies;</w:t>
      </w:r>
    </w:p>
    <w:p w14:paraId="7E0FB305" w14:textId="77777777" w:rsidR="002B560F" w:rsidRPr="00986221" w:rsidRDefault="002B560F" w:rsidP="00154C7D">
      <w:pPr>
        <w:pStyle w:val="ListParagraphindent"/>
        <w:numPr>
          <w:ilvl w:val="2"/>
          <w:numId w:val="21"/>
        </w:numPr>
      </w:pPr>
      <w:r w:rsidRPr="00986221">
        <w:t>The effective and efficient use of Project resources;</w:t>
      </w:r>
    </w:p>
    <w:p w14:paraId="3B53D568" w14:textId="77777777" w:rsidR="002B560F" w:rsidRPr="00986221" w:rsidRDefault="002B560F" w:rsidP="00154C7D">
      <w:pPr>
        <w:pStyle w:val="ListParagraphindent"/>
        <w:numPr>
          <w:ilvl w:val="2"/>
          <w:numId w:val="21"/>
        </w:numPr>
        <w:tabs>
          <w:tab w:val="left" w:pos="1080"/>
        </w:tabs>
      </w:pPr>
      <w:r w:rsidRPr="00986221">
        <w:t>A commitment to joint monitoring and evaluation within an agreed performance assessment framework;</w:t>
      </w:r>
    </w:p>
    <w:p w14:paraId="1A2EC3BC" w14:textId="77777777" w:rsidR="002B560F" w:rsidRPr="00986221" w:rsidRDefault="002B560F" w:rsidP="00154C7D">
      <w:pPr>
        <w:pStyle w:val="ListParagraphindent"/>
        <w:numPr>
          <w:ilvl w:val="2"/>
          <w:numId w:val="21"/>
        </w:numPr>
      </w:pPr>
      <w:r w:rsidRPr="00986221">
        <w:t>Ensuring the pace of implementation is appropriate and responsive to the absorptive capacity of the Partner Government and appropriate capacity building measures are implemented;</w:t>
      </w:r>
    </w:p>
    <w:p w14:paraId="0F17CBAE" w14:textId="77777777" w:rsidR="002B560F" w:rsidRPr="00986221" w:rsidRDefault="002B560F" w:rsidP="00154C7D">
      <w:pPr>
        <w:pStyle w:val="ListParagraphindent"/>
        <w:numPr>
          <w:ilvl w:val="2"/>
          <w:numId w:val="21"/>
        </w:numPr>
      </w:pPr>
      <w:r w:rsidRPr="00986221">
        <w:t xml:space="preserve">Be based on the Partner Government’s sectoral policy and plans as detailed in the </w:t>
      </w:r>
      <w:r w:rsidRPr="00986221">
        <w:rPr>
          <w:szCs w:val="22"/>
        </w:rPr>
        <w:t>Socio Economic Development Plan (</w:t>
      </w:r>
      <w:r w:rsidRPr="00986221">
        <w:t xml:space="preserve">SEDP) and the </w:t>
      </w:r>
      <w:r w:rsidRPr="00986221">
        <w:rPr>
          <w:szCs w:val="22"/>
        </w:rPr>
        <w:t>Master Plan on Economic Restructuring (</w:t>
      </w:r>
      <w:r w:rsidRPr="00986221">
        <w:t>MPER) as may be amended from time to time; and</w:t>
      </w:r>
    </w:p>
    <w:p w14:paraId="1EED9786" w14:textId="77777777" w:rsidR="002B560F" w:rsidRPr="00986221" w:rsidRDefault="002B560F" w:rsidP="00154C7D">
      <w:pPr>
        <w:pStyle w:val="ListParagraphindent"/>
        <w:numPr>
          <w:ilvl w:val="2"/>
          <w:numId w:val="21"/>
        </w:numPr>
      </w:pPr>
      <w:r w:rsidRPr="00986221">
        <w:t xml:space="preserve">The Paris Declaration, Accra Agenda for </w:t>
      </w:r>
      <w:proofErr w:type="gramStart"/>
      <w:r w:rsidRPr="00986221">
        <w:t>Action  and</w:t>
      </w:r>
      <w:proofErr w:type="gramEnd"/>
      <w:r w:rsidRPr="00986221">
        <w:t xml:space="preserve"> Busan partnership commitments are reflected in implementation to the maximum extent possible.</w:t>
      </w:r>
    </w:p>
    <w:p w14:paraId="1BDAA3D5" w14:textId="77777777" w:rsidR="002B560F" w:rsidRPr="00986221" w:rsidRDefault="002B560F" w:rsidP="002B560F">
      <w:pPr>
        <w:spacing w:after="120"/>
        <w:rPr>
          <w:rFonts w:cs="Arial"/>
          <w:b/>
          <w:szCs w:val="22"/>
        </w:rPr>
      </w:pPr>
      <w:r w:rsidRPr="00986221">
        <w:rPr>
          <w:rFonts w:cs="Arial"/>
          <w:b/>
          <w:szCs w:val="22"/>
        </w:rPr>
        <w:t>Goal and Strategic Objectives</w:t>
      </w:r>
    </w:p>
    <w:p w14:paraId="2DCBE60A" w14:textId="77777777" w:rsidR="002B560F" w:rsidRPr="00986221" w:rsidRDefault="002B560F" w:rsidP="00154C7D">
      <w:pPr>
        <w:pStyle w:val="ListParagraph"/>
        <w:numPr>
          <w:ilvl w:val="0"/>
          <w:numId w:val="24"/>
        </w:numPr>
        <w:ind w:left="360"/>
        <w:rPr>
          <w:szCs w:val="22"/>
        </w:rPr>
      </w:pPr>
      <w:r w:rsidRPr="00986221">
        <w:rPr>
          <w:szCs w:val="22"/>
        </w:rPr>
        <w:t xml:space="preserve">The overall goal of the Project is to support the Partner Government in achieving </w:t>
      </w:r>
      <w:r w:rsidRPr="00986221">
        <w:t xml:space="preserve">its MPER goals of developing a more internationally competitive economy with increased productivity, reduced corruption and accelerated growth in employment and income. </w:t>
      </w:r>
      <w:r w:rsidRPr="00986221">
        <w:rPr>
          <w:szCs w:val="22"/>
        </w:rPr>
        <w:t xml:space="preserve"> </w:t>
      </w:r>
    </w:p>
    <w:p w14:paraId="0244E84D" w14:textId="77777777" w:rsidR="002B560F" w:rsidRPr="00986221" w:rsidRDefault="002B560F" w:rsidP="00154C7D">
      <w:pPr>
        <w:pStyle w:val="ListParagraph"/>
        <w:numPr>
          <w:ilvl w:val="0"/>
          <w:numId w:val="24"/>
        </w:numPr>
        <w:ind w:left="360"/>
      </w:pPr>
      <w:r w:rsidRPr="00986221">
        <w:rPr>
          <w:szCs w:val="22"/>
        </w:rPr>
        <w:t xml:space="preserve">The strategic objective of the Project is </w:t>
      </w:r>
      <w:r w:rsidRPr="00986221">
        <w:t xml:space="preserve">improved implementation of selected elements of the MPER in line with international economic cooperation agreements, supported by the following key sub-objectives: </w:t>
      </w:r>
    </w:p>
    <w:p w14:paraId="28907D35" w14:textId="77777777" w:rsidR="002B560F" w:rsidRPr="00986221" w:rsidRDefault="002B560F" w:rsidP="00154C7D">
      <w:pPr>
        <w:pStyle w:val="ListParagraphindent"/>
        <w:numPr>
          <w:ilvl w:val="2"/>
          <w:numId w:val="24"/>
        </w:numPr>
      </w:pPr>
      <w:r w:rsidRPr="00986221">
        <w:t xml:space="preserve">Improved business-enabling environment with reduced compliance costs, greater transparency, reduced corruption and improved corporate governance (including reforms to enterprise and investment legislation). </w:t>
      </w:r>
    </w:p>
    <w:p w14:paraId="4A202CAD" w14:textId="77777777" w:rsidR="002B560F" w:rsidRPr="00986221" w:rsidRDefault="002B560F" w:rsidP="00154C7D">
      <w:pPr>
        <w:pStyle w:val="ListParagraphindent"/>
        <w:numPr>
          <w:ilvl w:val="2"/>
          <w:numId w:val="24"/>
        </w:numPr>
      </w:pPr>
      <w:r w:rsidRPr="00986221">
        <w:t xml:space="preserve">Strengthened analytical capacity and information base resulting in enhanced implementation of competition policy in line with international good practice (including proposals submitted to the Partner Government on changes in the Competition Law); </w:t>
      </w:r>
    </w:p>
    <w:p w14:paraId="4F5ED232" w14:textId="77777777" w:rsidR="002B560F" w:rsidRPr="00986221" w:rsidRDefault="002B560F" w:rsidP="00154C7D">
      <w:pPr>
        <w:pStyle w:val="ListParagraphindent"/>
        <w:numPr>
          <w:ilvl w:val="2"/>
          <w:numId w:val="24"/>
        </w:numPr>
      </w:pPr>
      <w:r w:rsidRPr="00986221">
        <w:t>Concrete actions taken by provincial authorities and other stakeholders in Dong Thap province to restructure rice value chain institutions, with pilot initiatives attracting interest from local and central stakeholders. Ideally, there should also be evidence of more substantive policy debate about the impediments to increasing value added in the rural economy;</w:t>
      </w:r>
    </w:p>
    <w:p w14:paraId="03B2B0D8" w14:textId="77777777" w:rsidR="002B560F" w:rsidRPr="00986221" w:rsidRDefault="002B560F" w:rsidP="00154C7D">
      <w:pPr>
        <w:pStyle w:val="ListParagraphindent"/>
        <w:numPr>
          <w:ilvl w:val="2"/>
          <w:numId w:val="24"/>
        </w:numPr>
      </w:pPr>
      <w:r w:rsidRPr="00986221">
        <w:t>Policy recommendation resulting in Partner Government strategic documents dealing with economic restructuring including restructuring of the rural economy.</w:t>
      </w:r>
    </w:p>
    <w:p w14:paraId="7936F86D" w14:textId="77777777" w:rsidR="002B560F" w:rsidRPr="00986221" w:rsidRDefault="002B560F" w:rsidP="00154C7D">
      <w:pPr>
        <w:pStyle w:val="ListParagraph"/>
        <w:numPr>
          <w:ilvl w:val="0"/>
          <w:numId w:val="24"/>
        </w:numPr>
        <w:ind w:left="360"/>
      </w:pPr>
      <w:r w:rsidRPr="00986221">
        <w:t xml:space="preserve">A summary outline of the Project is attached as </w:t>
      </w:r>
      <w:r w:rsidRPr="00986221">
        <w:rPr>
          <w:b/>
          <w:u w:val="single"/>
        </w:rPr>
        <w:t>Annex 1.</w:t>
      </w:r>
    </w:p>
    <w:p w14:paraId="4CE56303" w14:textId="77777777" w:rsidR="002B560F" w:rsidRPr="00986221" w:rsidRDefault="002B560F" w:rsidP="002B560F">
      <w:pPr>
        <w:spacing w:after="120"/>
        <w:rPr>
          <w:rFonts w:cs="Arial"/>
          <w:b/>
          <w:szCs w:val="22"/>
        </w:rPr>
      </w:pPr>
      <w:r w:rsidRPr="00986221">
        <w:rPr>
          <w:rFonts w:cs="Arial"/>
          <w:b/>
          <w:szCs w:val="22"/>
        </w:rPr>
        <w:t>Duration of Project</w:t>
      </w:r>
    </w:p>
    <w:p w14:paraId="171435D8" w14:textId="77777777" w:rsidR="002B560F" w:rsidRPr="00986221" w:rsidRDefault="002B560F" w:rsidP="00154C7D">
      <w:pPr>
        <w:pStyle w:val="ListParagraph"/>
        <w:numPr>
          <w:ilvl w:val="0"/>
          <w:numId w:val="24"/>
        </w:numPr>
        <w:ind w:left="360"/>
        <w:rPr>
          <w:szCs w:val="22"/>
        </w:rPr>
      </w:pPr>
      <w:r w:rsidRPr="00986221">
        <w:rPr>
          <w:szCs w:val="22"/>
        </w:rPr>
        <w:t>The duration of the initial Phase of the Project is 2 years 6 months (April 2014-October 2016).</w:t>
      </w:r>
    </w:p>
    <w:p w14:paraId="7D626B71" w14:textId="77777777" w:rsidR="002B560F" w:rsidRPr="00986221" w:rsidRDefault="002B560F" w:rsidP="00154C7D">
      <w:pPr>
        <w:pStyle w:val="ListParagraph"/>
        <w:numPr>
          <w:ilvl w:val="0"/>
          <w:numId w:val="24"/>
        </w:numPr>
        <w:ind w:left="360"/>
        <w:rPr>
          <w:szCs w:val="22"/>
        </w:rPr>
      </w:pPr>
      <w:r w:rsidRPr="00986221">
        <w:rPr>
          <w:szCs w:val="22"/>
        </w:rPr>
        <w:t>This Agreement will take effect from the date of its signature by the Parties and will conclude when all responsibilities and obligations of the Parties have been fulfilled unless the Agreement is terminated earlier.</w:t>
      </w:r>
    </w:p>
    <w:p w14:paraId="43C0D54C" w14:textId="77777777" w:rsidR="002B560F" w:rsidRPr="00986221" w:rsidRDefault="002B560F" w:rsidP="00154C7D">
      <w:pPr>
        <w:pStyle w:val="ListParagraph"/>
        <w:numPr>
          <w:ilvl w:val="0"/>
          <w:numId w:val="24"/>
        </w:numPr>
        <w:ind w:left="360"/>
        <w:rPr>
          <w:b/>
          <w:szCs w:val="22"/>
        </w:rPr>
      </w:pPr>
      <w:r w:rsidRPr="00986221">
        <w:rPr>
          <w:szCs w:val="22"/>
        </w:rPr>
        <w:t xml:space="preserve">Any changes to the Project including changes to the funding as shown in </w:t>
      </w:r>
      <w:r w:rsidRPr="00986221">
        <w:rPr>
          <w:b/>
          <w:i/>
          <w:szCs w:val="22"/>
          <w:u w:val="single"/>
        </w:rPr>
        <w:t>Table 2</w:t>
      </w:r>
      <w:r w:rsidRPr="00986221">
        <w:rPr>
          <w:szCs w:val="22"/>
        </w:rPr>
        <w:t xml:space="preserve"> or duration will be subject to the mutual agreement of the Parties and a formal amendment of this Agreement. </w:t>
      </w:r>
    </w:p>
    <w:p w14:paraId="2AECB46A" w14:textId="77777777" w:rsidR="00F15C5A" w:rsidRDefault="00F15C5A">
      <w:pPr>
        <w:spacing w:before="0"/>
        <w:rPr>
          <w:rFonts w:cs="Arial"/>
          <w:b/>
          <w:szCs w:val="22"/>
        </w:rPr>
      </w:pPr>
      <w:r>
        <w:rPr>
          <w:rFonts w:cs="Arial"/>
          <w:b/>
          <w:szCs w:val="22"/>
        </w:rPr>
        <w:br w:type="page"/>
      </w:r>
    </w:p>
    <w:p w14:paraId="57C39934" w14:textId="49039EB7" w:rsidR="002B560F" w:rsidRPr="00986221" w:rsidRDefault="002B560F" w:rsidP="002B560F">
      <w:pPr>
        <w:spacing w:after="120"/>
        <w:ind w:left="426"/>
        <w:rPr>
          <w:rFonts w:cs="Arial"/>
          <w:b/>
          <w:szCs w:val="22"/>
        </w:rPr>
      </w:pPr>
      <w:r w:rsidRPr="00986221">
        <w:rPr>
          <w:rFonts w:cs="Arial"/>
          <w:b/>
          <w:szCs w:val="22"/>
        </w:rPr>
        <w:t>GOA Funding</w:t>
      </w:r>
    </w:p>
    <w:p w14:paraId="05D93C82" w14:textId="77777777" w:rsidR="002B560F" w:rsidRPr="00986221" w:rsidRDefault="002B560F" w:rsidP="00154C7D">
      <w:pPr>
        <w:pStyle w:val="ListParagraph"/>
        <w:numPr>
          <w:ilvl w:val="0"/>
          <w:numId w:val="24"/>
        </w:numPr>
        <w:ind w:left="360"/>
        <w:rPr>
          <w:szCs w:val="22"/>
        </w:rPr>
      </w:pPr>
      <w:r w:rsidRPr="00986221">
        <w:rPr>
          <w:szCs w:val="22"/>
        </w:rPr>
        <w:t>Subject to annual parliamentary appropriations, the GOA will contribute up to a maximum of AUD 2,500,000 through direct funding support to the Partner Government for the Project activities.</w:t>
      </w:r>
    </w:p>
    <w:p w14:paraId="79F2E7D1" w14:textId="77777777" w:rsidR="002B560F" w:rsidRPr="00986221" w:rsidRDefault="002B560F" w:rsidP="00154C7D">
      <w:pPr>
        <w:pStyle w:val="ListParagraph"/>
        <w:numPr>
          <w:ilvl w:val="0"/>
          <w:numId w:val="24"/>
        </w:numPr>
        <w:ind w:left="360"/>
        <w:rPr>
          <w:szCs w:val="22"/>
        </w:rPr>
      </w:pPr>
      <w:r w:rsidRPr="00986221">
        <w:rPr>
          <w:szCs w:val="22"/>
        </w:rPr>
        <w:t xml:space="preserve">The indicative annual funding to be provided by GOA is shown in </w:t>
      </w:r>
      <w:r w:rsidRPr="00986221">
        <w:rPr>
          <w:b/>
          <w:i/>
          <w:szCs w:val="22"/>
          <w:u w:val="single"/>
        </w:rPr>
        <w:t>Table 2</w:t>
      </w:r>
      <w:r w:rsidRPr="00986221">
        <w:rPr>
          <w:szCs w:val="22"/>
        </w:rPr>
        <w:t>.</w:t>
      </w:r>
    </w:p>
    <w:p w14:paraId="76B43DA6" w14:textId="77777777" w:rsidR="002B560F" w:rsidRPr="00986221" w:rsidRDefault="002B560F" w:rsidP="00154C7D">
      <w:pPr>
        <w:pStyle w:val="ListParagraph"/>
        <w:numPr>
          <w:ilvl w:val="0"/>
          <w:numId w:val="24"/>
        </w:numPr>
        <w:ind w:left="360"/>
        <w:rPr>
          <w:szCs w:val="22"/>
        </w:rPr>
      </w:pPr>
      <w:r w:rsidRPr="00986221">
        <w:rPr>
          <w:szCs w:val="22"/>
        </w:rPr>
        <w:t xml:space="preserve">In addition to the indicative total amount as shown in </w:t>
      </w:r>
      <w:r w:rsidRPr="00986221">
        <w:rPr>
          <w:b/>
          <w:i/>
          <w:szCs w:val="22"/>
          <w:u w:val="single"/>
        </w:rPr>
        <w:t>Table 2</w:t>
      </w:r>
      <w:r w:rsidRPr="00986221">
        <w:rPr>
          <w:szCs w:val="22"/>
        </w:rPr>
        <w:t xml:space="preserve">, GOA will also provide up to an estimated AUD 600,000 for technical assistance and related support for the implementation of the Project and design of the new phase either through a separate Agreement with a contracted service provider and/or by direct contracting by GOA. This includes fund for the Senior Technical Adviser (STA) position, which will be directly contracted by GOA. </w:t>
      </w:r>
    </w:p>
    <w:p w14:paraId="7BAE0BE7" w14:textId="77777777" w:rsidR="002B560F" w:rsidRPr="00986221" w:rsidRDefault="002B560F" w:rsidP="00154C7D">
      <w:pPr>
        <w:pStyle w:val="ListParagraph"/>
        <w:numPr>
          <w:ilvl w:val="0"/>
          <w:numId w:val="24"/>
        </w:numPr>
        <w:ind w:left="360"/>
        <w:rPr>
          <w:szCs w:val="22"/>
        </w:rPr>
      </w:pPr>
      <w:r w:rsidRPr="00986221">
        <w:rPr>
          <w:szCs w:val="22"/>
        </w:rPr>
        <w:t>Any technical assistance to be provided is to be demand driven and the Partner Government is responsible for requesting specific technical assistance and providing an outline of the justification, purpose and estimated duration of the assistance.</w:t>
      </w:r>
    </w:p>
    <w:p w14:paraId="5F0B8DD5" w14:textId="77777777" w:rsidR="002B560F" w:rsidRPr="00986221" w:rsidRDefault="002B560F" w:rsidP="00154C7D">
      <w:pPr>
        <w:pStyle w:val="ListParagraph"/>
        <w:numPr>
          <w:ilvl w:val="0"/>
          <w:numId w:val="24"/>
        </w:numPr>
        <w:ind w:left="360"/>
        <w:rPr>
          <w:szCs w:val="22"/>
        </w:rPr>
      </w:pPr>
      <w:r w:rsidRPr="00986221">
        <w:rPr>
          <w:szCs w:val="22"/>
        </w:rPr>
        <w:t>The Partner Government agrees to use the GOA funding provided solely for the implementation of the Project and in accordance with expenditures as detailed in the Annual Work Plans (AWP) unless the GOA provides written advice to the contrary.</w:t>
      </w:r>
    </w:p>
    <w:p w14:paraId="594D1A64" w14:textId="77777777" w:rsidR="002B560F" w:rsidRPr="00986221" w:rsidRDefault="002B560F" w:rsidP="00154C7D">
      <w:pPr>
        <w:pStyle w:val="ListParagraph"/>
        <w:numPr>
          <w:ilvl w:val="0"/>
          <w:numId w:val="24"/>
        </w:numPr>
        <w:ind w:left="360"/>
        <w:rPr>
          <w:szCs w:val="22"/>
        </w:rPr>
      </w:pPr>
      <w:r w:rsidRPr="00986221">
        <w:rPr>
          <w:szCs w:val="22"/>
        </w:rPr>
        <w:t xml:space="preserve">In the event that GOA funding is not used in accordance with </w:t>
      </w:r>
      <w:r w:rsidRPr="00986221">
        <w:rPr>
          <w:b/>
          <w:szCs w:val="22"/>
        </w:rPr>
        <w:t>Clause 21</w:t>
      </w:r>
      <w:r w:rsidRPr="00986221">
        <w:rPr>
          <w:szCs w:val="22"/>
        </w:rPr>
        <w:t xml:space="preserve"> above and/or there is a finding of fraudulent or corrupt practice in respect of the Project, GOA may reduce or suspend </w:t>
      </w:r>
      <w:proofErr w:type="gramStart"/>
      <w:r w:rsidRPr="00986221">
        <w:rPr>
          <w:szCs w:val="22"/>
        </w:rPr>
        <w:t>its</w:t>
      </w:r>
      <w:proofErr w:type="gramEnd"/>
      <w:r w:rsidRPr="00986221">
        <w:rPr>
          <w:szCs w:val="22"/>
        </w:rPr>
        <w:t xml:space="preserve"> funding until such time as both Parties agree a mutual resolution.</w:t>
      </w:r>
    </w:p>
    <w:p w14:paraId="7DFA4B63" w14:textId="77777777" w:rsidR="002B560F" w:rsidRPr="00986221" w:rsidRDefault="002B560F" w:rsidP="00154C7D">
      <w:pPr>
        <w:pStyle w:val="ListParagraph"/>
        <w:numPr>
          <w:ilvl w:val="0"/>
          <w:numId w:val="24"/>
        </w:numPr>
        <w:ind w:left="360"/>
      </w:pPr>
      <w:r w:rsidRPr="00986221">
        <w:rPr>
          <w:szCs w:val="22"/>
        </w:rPr>
        <w:t xml:space="preserve">The </w:t>
      </w:r>
      <w:r w:rsidRPr="00986221">
        <w:t xml:space="preserve">Partner Government agrees that GOA funds will </w:t>
      </w:r>
      <w:r w:rsidRPr="00986221">
        <w:rPr>
          <w:b/>
        </w:rPr>
        <w:t>not</w:t>
      </w:r>
      <w:r w:rsidRPr="00986221">
        <w:t xml:space="preserve"> to be used for the </w:t>
      </w:r>
    </w:p>
    <w:p w14:paraId="062B05BC" w14:textId="77777777" w:rsidR="002B560F" w:rsidRPr="00986221" w:rsidRDefault="002B560F" w:rsidP="00154C7D">
      <w:pPr>
        <w:pStyle w:val="ListParagraphindent"/>
        <w:numPr>
          <w:ilvl w:val="2"/>
          <w:numId w:val="24"/>
        </w:numPr>
      </w:pPr>
      <w:r w:rsidRPr="00986221">
        <w:t>Recurrent administrative costs including salaries of permanent staff, housing allowances or office costs;</w:t>
      </w:r>
    </w:p>
    <w:p w14:paraId="3B87BF02" w14:textId="77777777" w:rsidR="002B560F" w:rsidRPr="00986221" w:rsidRDefault="002B560F" w:rsidP="00154C7D">
      <w:pPr>
        <w:pStyle w:val="ListParagraphindent"/>
        <w:numPr>
          <w:ilvl w:val="2"/>
          <w:numId w:val="24"/>
        </w:numPr>
      </w:pPr>
      <w:r w:rsidRPr="00986221">
        <w:t>Capital costs, vehicles and equipment.</w:t>
      </w:r>
    </w:p>
    <w:p w14:paraId="61B79507" w14:textId="77777777" w:rsidR="002B560F" w:rsidRPr="00986221" w:rsidRDefault="002B560F" w:rsidP="00154C7D">
      <w:pPr>
        <w:pStyle w:val="ListParagraph"/>
        <w:numPr>
          <w:ilvl w:val="0"/>
          <w:numId w:val="24"/>
        </w:numPr>
        <w:ind w:left="360"/>
        <w:rPr>
          <w:szCs w:val="22"/>
        </w:rPr>
      </w:pPr>
      <w:r w:rsidRPr="00986221">
        <w:rPr>
          <w:szCs w:val="22"/>
        </w:rPr>
        <w:t>At the Agreement Completion Date any unexpended portions of GOA funds will be refunded to GOA.</w:t>
      </w:r>
    </w:p>
    <w:p w14:paraId="5ADD1D8F" w14:textId="77777777" w:rsidR="002B560F" w:rsidRPr="00986221" w:rsidRDefault="002B560F" w:rsidP="002B560F">
      <w:pPr>
        <w:spacing w:after="120"/>
        <w:rPr>
          <w:rFonts w:cs="Arial"/>
          <w:b/>
          <w:szCs w:val="22"/>
        </w:rPr>
      </w:pPr>
      <w:r w:rsidRPr="00986221">
        <w:rPr>
          <w:rFonts w:cs="Arial"/>
          <w:b/>
          <w:szCs w:val="22"/>
        </w:rPr>
        <w:t>Partner Government Contribution and funding</w:t>
      </w:r>
    </w:p>
    <w:p w14:paraId="6FC3E5FE" w14:textId="77777777" w:rsidR="002B560F" w:rsidRPr="00986221" w:rsidRDefault="002B560F" w:rsidP="00154C7D">
      <w:pPr>
        <w:pStyle w:val="ListParagraph"/>
        <w:numPr>
          <w:ilvl w:val="0"/>
          <w:numId w:val="24"/>
        </w:numPr>
        <w:ind w:left="360"/>
        <w:rPr>
          <w:szCs w:val="22"/>
        </w:rPr>
      </w:pPr>
      <w:r w:rsidRPr="00986221">
        <w:rPr>
          <w:szCs w:val="22"/>
        </w:rPr>
        <w:t xml:space="preserve">Partner Government Budget funding details over the duration of the Project and breakdown by component are shown in </w:t>
      </w:r>
      <w:r w:rsidRPr="00986221">
        <w:rPr>
          <w:b/>
          <w:i/>
          <w:szCs w:val="22"/>
          <w:u w:val="single"/>
        </w:rPr>
        <w:t>Table 1</w:t>
      </w:r>
      <w:r w:rsidRPr="00986221">
        <w:rPr>
          <w:szCs w:val="22"/>
        </w:rPr>
        <w:t xml:space="preserve"> below.</w:t>
      </w:r>
    </w:p>
    <w:p w14:paraId="495B2275" w14:textId="77777777" w:rsidR="002B560F" w:rsidRPr="00986221" w:rsidRDefault="002B560F" w:rsidP="002B560F">
      <w:pPr>
        <w:pStyle w:val="ListParagraph"/>
        <w:numPr>
          <w:ilvl w:val="0"/>
          <w:numId w:val="0"/>
        </w:numPr>
        <w:ind w:left="426"/>
        <w:rPr>
          <w:b/>
        </w:rPr>
      </w:pPr>
      <w:r w:rsidRPr="00986221">
        <w:rPr>
          <w:b/>
        </w:rPr>
        <w:t xml:space="preserve">Table 1: Indicative Partner Government Project Funding (AUD’000) </w:t>
      </w:r>
    </w:p>
    <w:tbl>
      <w:tblPr>
        <w:tblStyle w:val="TableGrid"/>
        <w:tblW w:w="0" w:type="auto"/>
        <w:tblInd w:w="357" w:type="dxa"/>
        <w:tblLayout w:type="fixed"/>
        <w:tblLook w:val="04A0" w:firstRow="1" w:lastRow="0" w:firstColumn="1" w:lastColumn="0" w:noHBand="0" w:noVBand="1"/>
      </w:tblPr>
      <w:tblGrid>
        <w:gridCol w:w="2870"/>
        <w:gridCol w:w="1322"/>
        <w:gridCol w:w="1322"/>
        <w:gridCol w:w="1322"/>
        <w:gridCol w:w="995"/>
      </w:tblGrid>
      <w:tr w:rsidR="002B560F" w:rsidRPr="00986221" w14:paraId="7429101E" w14:textId="77777777" w:rsidTr="002B560F">
        <w:tc>
          <w:tcPr>
            <w:tcW w:w="2870" w:type="dxa"/>
            <w:shd w:val="clear" w:color="auto" w:fill="auto"/>
          </w:tcPr>
          <w:p w14:paraId="4845AC9C" w14:textId="77777777" w:rsidR="002B560F" w:rsidRPr="00986221" w:rsidRDefault="002B560F" w:rsidP="002B560F">
            <w:pPr>
              <w:spacing w:after="120"/>
              <w:jc w:val="center"/>
              <w:rPr>
                <w:rFonts w:cs="Arial"/>
                <w:b/>
                <w:szCs w:val="22"/>
              </w:rPr>
            </w:pPr>
            <w:r w:rsidRPr="00986221">
              <w:rPr>
                <w:rFonts w:cs="Arial"/>
                <w:b/>
                <w:szCs w:val="22"/>
              </w:rPr>
              <w:t>Year/Component</w:t>
            </w:r>
          </w:p>
        </w:tc>
        <w:tc>
          <w:tcPr>
            <w:tcW w:w="1322" w:type="dxa"/>
            <w:shd w:val="clear" w:color="auto" w:fill="auto"/>
          </w:tcPr>
          <w:p w14:paraId="33FBA8CD" w14:textId="77777777" w:rsidR="002B560F" w:rsidRPr="00986221" w:rsidRDefault="002B560F" w:rsidP="002B560F">
            <w:pPr>
              <w:spacing w:after="120"/>
              <w:rPr>
                <w:rFonts w:cs="Arial"/>
                <w:b/>
                <w:szCs w:val="22"/>
              </w:rPr>
            </w:pPr>
            <w:r w:rsidRPr="00986221">
              <w:rPr>
                <w:rFonts w:cs="Arial"/>
                <w:b/>
                <w:szCs w:val="22"/>
              </w:rPr>
              <w:t>2013-14</w:t>
            </w:r>
          </w:p>
        </w:tc>
        <w:tc>
          <w:tcPr>
            <w:tcW w:w="1322" w:type="dxa"/>
            <w:shd w:val="clear" w:color="auto" w:fill="auto"/>
          </w:tcPr>
          <w:p w14:paraId="588788ED" w14:textId="77777777" w:rsidR="002B560F" w:rsidRPr="00986221" w:rsidRDefault="002B560F" w:rsidP="002B560F">
            <w:pPr>
              <w:spacing w:after="120"/>
              <w:rPr>
                <w:rFonts w:cs="Arial"/>
                <w:b/>
                <w:szCs w:val="22"/>
              </w:rPr>
            </w:pPr>
            <w:r w:rsidRPr="00986221">
              <w:rPr>
                <w:rFonts w:cs="Arial"/>
                <w:b/>
                <w:szCs w:val="22"/>
              </w:rPr>
              <w:t>2014-15</w:t>
            </w:r>
          </w:p>
        </w:tc>
        <w:tc>
          <w:tcPr>
            <w:tcW w:w="1322" w:type="dxa"/>
            <w:shd w:val="clear" w:color="auto" w:fill="auto"/>
          </w:tcPr>
          <w:p w14:paraId="629CDEBC" w14:textId="77777777" w:rsidR="002B560F" w:rsidRPr="00986221" w:rsidRDefault="002B560F" w:rsidP="002B560F">
            <w:pPr>
              <w:spacing w:after="120"/>
              <w:rPr>
                <w:rFonts w:cs="Arial"/>
                <w:b/>
                <w:szCs w:val="22"/>
              </w:rPr>
            </w:pPr>
            <w:r w:rsidRPr="00986221">
              <w:rPr>
                <w:rFonts w:cs="Arial"/>
                <w:b/>
                <w:szCs w:val="22"/>
              </w:rPr>
              <w:t>2015-16</w:t>
            </w:r>
          </w:p>
        </w:tc>
        <w:tc>
          <w:tcPr>
            <w:tcW w:w="995" w:type="dxa"/>
            <w:shd w:val="clear" w:color="auto" w:fill="auto"/>
          </w:tcPr>
          <w:p w14:paraId="3719CF0E" w14:textId="77777777" w:rsidR="002B560F" w:rsidRPr="00986221" w:rsidRDefault="002B560F" w:rsidP="002B560F">
            <w:pPr>
              <w:spacing w:after="120"/>
              <w:rPr>
                <w:rFonts w:cs="Arial"/>
                <w:b/>
                <w:szCs w:val="22"/>
              </w:rPr>
            </w:pPr>
            <w:r w:rsidRPr="00986221">
              <w:rPr>
                <w:rFonts w:cs="Arial"/>
                <w:b/>
                <w:szCs w:val="22"/>
              </w:rPr>
              <w:t>Total</w:t>
            </w:r>
          </w:p>
        </w:tc>
      </w:tr>
      <w:tr w:rsidR="002B560F" w:rsidRPr="00986221" w14:paraId="7DEBEED8" w14:textId="77777777" w:rsidTr="002B560F">
        <w:tc>
          <w:tcPr>
            <w:tcW w:w="7831" w:type="dxa"/>
            <w:gridSpan w:val="5"/>
          </w:tcPr>
          <w:p w14:paraId="665C4C67" w14:textId="77777777" w:rsidR="002B560F" w:rsidRPr="00986221" w:rsidRDefault="002B560F" w:rsidP="002B560F">
            <w:pPr>
              <w:pStyle w:val="Table-normal-text"/>
              <w:rPr>
                <w:rFonts w:cs="Arial"/>
              </w:rPr>
            </w:pPr>
            <w:r w:rsidRPr="00986221">
              <w:rPr>
                <w:rFonts w:cs="Arial"/>
              </w:rPr>
              <w:t>Component 1</w:t>
            </w:r>
          </w:p>
        </w:tc>
      </w:tr>
      <w:tr w:rsidR="002B560F" w:rsidRPr="00986221" w14:paraId="6D0DCE32" w14:textId="77777777" w:rsidTr="002B560F">
        <w:tc>
          <w:tcPr>
            <w:tcW w:w="2870" w:type="dxa"/>
          </w:tcPr>
          <w:p w14:paraId="5F36D618" w14:textId="77777777" w:rsidR="002B560F" w:rsidRPr="00986221" w:rsidRDefault="002B560F" w:rsidP="002B560F">
            <w:pPr>
              <w:pStyle w:val="Table-normal-text"/>
              <w:ind w:left="426"/>
              <w:rPr>
                <w:rFonts w:cs="Arial"/>
              </w:rPr>
            </w:pPr>
            <w:r w:rsidRPr="00986221">
              <w:rPr>
                <w:rFonts w:cs="Arial"/>
              </w:rPr>
              <w:t>MPI</w:t>
            </w:r>
          </w:p>
        </w:tc>
        <w:tc>
          <w:tcPr>
            <w:tcW w:w="1322" w:type="dxa"/>
          </w:tcPr>
          <w:p w14:paraId="55C039D9" w14:textId="77777777" w:rsidR="002B560F" w:rsidRPr="00986221" w:rsidRDefault="002B560F" w:rsidP="002B560F">
            <w:pPr>
              <w:pStyle w:val="Table-normal-text"/>
              <w:ind w:left="426"/>
              <w:jc w:val="right"/>
              <w:rPr>
                <w:rFonts w:cs="Arial"/>
              </w:rPr>
            </w:pPr>
            <w:r w:rsidRPr="00986221">
              <w:rPr>
                <w:rFonts w:cs="Arial"/>
              </w:rPr>
              <w:t>4</w:t>
            </w:r>
          </w:p>
        </w:tc>
        <w:tc>
          <w:tcPr>
            <w:tcW w:w="1322" w:type="dxa"/>
          </w:tcPr>
          <w:p w14:paraId="4A781F96" w14:textId="77777777" w:rsidR="002B560F" w:rsidRPr="00986221" w:rsidRDefault="002B560F" w:rsidP="002B560F">
            <w:pPr>
              <w:pStyle w:val="Table-normal-text"/>
              <w:ind w:left="426"/>
              <w:jc w:val="right"/>
              <w:rPr>
                <w:rFonts w:cs="Arial"/>
              </w:rPr>
            </w:pPr>
            <w:r w:rsidRPr="00986221">
              <w:rPr>
                <w:rFonts w:cs="Arial"/>
              </w:rPr>
              <w:t>10</w:t>
            </w:r>
          </w:p>
        </w:tc>
        <w:tc>
          <w:tcPr>
            <w:tcW w:w="1322" w:type="dxa"/>
          </w:tcPr>
          <w:p w14:paraId="7D608A97" w14:textId="77777777" w:rsidR="002B560F" w:rsidRPr="00986221" w:rsidRDefault="002B560F" w:rsidP="002B560F">
            <w:pPr>
              <w:pStyle w:val="Table-normal-text"/>
              <w:ind w:left="426"/>
              <w:jc w:val="right"/>
              <w:rPr>
                <w:rFonts w:cs="Arial"/>
              </w:rPr>
            </w:pPr>
            <w:r w:rsidRPr="00986221">
              <w:rPr>
                <w:rFonts w:cs="Arial"/>
              </w:rPr>
              <w:t>10</w:t>
            </w:r>
          </w:p>
        </w:tc>
        <w:tc>
          <w:tcPr>
            <w:tcW w:w="995" w:type="dxa"/>
          </w:tcPr>
          <w:p w14:paraId="7BB1BF88" w14:textId="77777777" w:rsidR="002B560F" w:rsidRPr="00986221" w:rsidRDefault="002B560F" w:rsidP="002B560F">
            <w:pPr>
              <w:pStyle w:val="Table-normal-text"/>
              <w:ind w:left="426"/>
              <w:jc w:val="right"/>
              <w:rPr>
                <w:rFonts w:cs="Arial"/>
                <w:b/>
              </w:rPr>
            </w:pPr>
            <w:r w:rsidRPr="00986221">
              <w:rPr>
                <w:rFonts w:cs="Arial"/>
                <w:b/>
              </w:rPr>
              <w:fldChar w:fldCharType="begin"/>
            </w:r>
            <w:r w:rsidRPr="00986221">
              <w:rPr>
                <w:rFonts w:cs="Arial"/>
                <w:b/>
              </w:rPr>
              <w:instrText xml:space="preserve"> =sum(left) \* MERGEFORMAT </w:instrText>
            </w:r>
            <w:r w:rsidRPr="00986221">
              <w:rPr>
                <w:rFonts w:cs="Arial"/>
                <w:b/>
              </w:rPr>
              <w:fldChar w:fldCharType="separate"/>
            </w:r>
            <w:r w:rsidR="00AB4539">
              <w:rPr>
                <w:rFonts w:cs="Arial"/>
                <w:b/>
                <w:noProof/>
              </w:rPr>
              <w:t>24</w:t>
            </w:r>
            <w:r w:rsidRPr="00986221">
              <w:rPr>
                <w:rFonts w:cs="Arial"/>
                <w:b/>
              </w:rPr>
              <w:fldChar w:fldCharType="end"/>
            </w:r>
          </w:p>
        </w:tc>
      </w:tr>
      <w:tr w:rsidR="002B560F" w:rsidRPr="00986221" w14:paraId="7F66E94E" w14:textId="77777777" w:rsidTr="002B560F">
        <w:tc>
          <w:tcPr>
            <w:tcW w:w="7831" w:type="dxa"/>
            <w:gridSpan w:val="5"/>
          </w:tcPr>
          <w:p w14:paraId="45AC55DD" w14:textId="77777777" w:rsidR="002B560F" w:rsidRPr="00986221" w:rsidRDefault="002B560F" w:rsidP="002B560F">
            <w:pPr>
              <w:pStyle w:val="Table-normal-text"/>
              <w:rPr>
                <w:rFonts w:cs="Arial"/>
              </w:rPr>
            </w:pPr>
            <w:r w:rsidRPr="00986221">
              <w:rPr>
                <w:rFonts w:cs="Arial"/>
              </w:rPr>
              <w:t>Component 2</w:t>
            </w:r>
          </w:p>
        </w:tc>
      </w:tr>
      <w:tr w:rsidR="002B560F" w:rsidRPr="00986221" w14:paraId="3E38E041" w14:textId="77777777" w:rsidTr="002B560F">
        <w:tc>
          <w:tcPr>
            <w:tcW w:w="2870" w:type="dxa"/>
          </w:tcPr>
          <w:p w14:paraId="2A11565D" w14:textId="77777777" w:rsidR="002B560F" w:rsidRPr="00986221" w:rsidRDefault="002B560F" w:rsidP="002B560F">
            <w:pPr>
              <w:pStyle w:val="Table-normal-text"/>
              <w:ind w:left="426"/>
              <w:rPr>
                <w:rFonts w:cs="Arial"/>
              </w:rPr>
            </w:pPr>
            <w:r w:rsidRPr="00986221">
              <w:rPr>
                <w:rFonts w:cs="Arial"/>
              </w:rPr>
              <w:t>MOIT</w:t>
            </w:r>
          </w:p>
        </w:tc>
        <w:tc>
          <w:tcPr>
            <w:tcW w:w="1322" w:type="dxa"/>
          </w:tcPr>
          <w:p w14:paraId="762AFF87" w14:textId="77777777" w:rsidR="002B560F" w:rsidRPr="00986221" w:rsidRDefault="002B560F" w:rsidP="002B560F">
            <w:pPr>
              <w:pStyle w:val="Table-normal-text"/>
              <w:ind w:left="426"/>
              <w:jc w:val="right"/>
              <w:rPr>
                <w:rFonts w:cs="Arial"/>
              </w:rPr>
            </w:pPr>
            <w:r w:rsidRPr="00986221">
              <w:rPr>
                <w:rFonts w:cs="Arial"/>
              </w:rPr>
              <w:t>7</w:t>
            </w:r>
          </w:p>
        </w:tc>
        <w:tc>
          <w:tcPr>
            <w:tcW w:w="1322" w:type="dxa"/>
          </w:tcPr>
          <w:p w14:paraId="6A99E4C3" w14:textId="77777777" w:rsidR="002B560F" w:rsidRPr="00986221" w:rsidRDefault="002B560F" w:rsidP="002B560F">
            <w:pPr>
              <w:pStyle w:val="Table-normal-text"/>
              <w:ind w:left="426"/>
              <w:jc w:val="right"/>
              <w:rPr>
                <w:rFonts w:cs="Arial"/>
              </w:rPr>
            </w:pPr>
            <w:r w:rsidRPr="00986221">
              <w:rPr>
                <w:rFonts w:cs="Arial"/>
              </w:rPr>
              <w:t>15</w:t>
            </w:r>
          </w:p>
        </w:tc>
        <w:tc>
          <w:tcPr>
            <w:tcW w:w="1322" w:type="dxa"/>
          </w:tcPr>
          <w:p w14:paraId="2CE9FD75" w14:textId="77777777" w:rsidR="002B560F" w:rsidRPr="00986221" w:rsidRDefault="002B560F" w:rsidP="002B560F">
            <w:pPr>
              <w:pStyle w:val="Table-normal-text"/>
              <w:ind w:left="426"/>
              <w:jc w:val="right"/>
              <w:rPr>
                <w:rFonts w:cs="Arial"/>
              </w:rPr>
            </w:pPr>
            <w:r w:rsidRPr="00986221">
              <w:rPr>
                <w:rFonts w:cs="Arial"/>
              </w:rPr>
              <w:t>10</w:t>
            </w:r>
          </w:p>
        </w:tc>
        <w:tc>
          <w:tcPr>
            <w:tcW w:w="995" w:type="dxa"/>
          </w:tcPr>
          <w:p w14:paraId="27AD4B92" w14:textId="77777777" w:rsidR="002B560F" w:rsidRPr="00986221" w:rsidRDefault="002B560F" w:rsidP="002B560F">
            <w:pPr>
              <w:pStyle w:val="Table-normal-text"/>
              <w:ind w:left="426"/>
              <w:jc w:val="right"/>
              <w:rPr>
                <w:rFonts w:cs="Arial"/>
                <w:b/>
              </w:rPr>
            </w:pPr>
            <w:r w:rsidRPr="00986221">
              <w:rPr>
                <w:rFonts w:cs="Arial"/>
                <w:b/>
              </w:rPr>
              <w:t>32</w:t>
            </w:r>
          </w:p>
        </w:tc>
      </w:tr>
      <w:tr w:rsidR="002B560F" w:rsidRPr="00986221" w14:paraId="42D964ED" w14:textId="77777777" w:rsidTr="002B560F">
        <w:tc>
          <w:tcPr>
            <w:tcW w:w="7831" w:type="dxa"/>
            <w:gridSpan w:val="5"/>
          </w:tcPr>
          <w:p w14:paraId="26FFEAA4" w14:textId="77777777" w:rsidR="002B560F" w:rsidRPr="00986221" w:rsidRDefault="002B560F" w:rsidP="002B560F">
            <w:pPr>
              <w:pStyle w:val="Table-normal-text"/>
              <w:rPr>
                <w:rFonts w:cs="Arial"/>
              </w:rPr>
            </w:pPr>
            <w:r w:rsidRPr="00986221">
              <w:rPr>
                <w:rFonts w:cs="Arial"/>
              </w:rPr>
              <w:t>Component 3</w:t>
            </w:r>
          </w:p>
        </w:tc>
      </w:tr>
      <w:tr w:rsidR="002B560F" w:rsidRPr="00986221" w14:paraId="34D3C412" w14:textId="77777777" w:rsidTr="002B560F">
        <w:tc>
          <w:tcPr>
            <w:tcW w:w="2870" w:type="dxa"/>
          </w:tcPr>
          <w:p w14:paraId="2901BFA6" w14:textId="77777777" w:rsidR="002B560F" w:rsidRPr="00986221" w:rsidRDefault="002B560F" w:rsidP="002B560F">
            <w:pPr>
              <w:pStyle w:val="Table-normal-text"/>
              <w:ind w:left="426"/>
              <w:rPr>
                <w:rFonts w:cs="Arial"/>
              </w:rPr>
            </w:pPr>
            <w:r w:rsidRPr="00986221">
              <w:rPr>
                <w:rFonts w:cs="Arial"/>
              </w:rPr>
              <w:t>MARD</w:t>
            </w:r>
          </w:p>
        </w:tc>
        <w:tc>
          <w:tcPr>
            <w:tcW w:w="1322" w:type="dxa"/>
          </w:tcPr>
          <w:p w14:paraId="43221E31" w14:textId="77777777" w:rsidR="002B560F" w:rsidRPr="00986221" w:rsidRDefault="002B560F" w:rsidP="002B560F">
            <w:pPr>
              <w:pStyle w:val="Table-normal-text"/>
              <w:ind w:left="426"/>
              <w:jc w:val="right"/>
              <w:rPr>
                <w:rFonts w:cs="Arial"/>
              </w:rPr>
            </w:pPr>
            <w:r w:rsidRPr="00986221">
              <w:rPr>
                <w:rFonts w:cs="Arial"/>
              </w:rPr>
              <w:t>7</w:t>
            </w:r>
          </w:p>
        </w:tc>
        <w:tc>
          <w:tcPr>
            <w:tcW w:w="1322" w:type="dxa"/>
          </w:tcPr>
          <w:p w14:paraId="0EED244E" w14:textId="77777777" w:rsidR="002B560F" w:rsidRPr="00986221" w:rsidRDefault="002B560F" w:rsidP="002B560F">
            <w:pPr>
              <w:pStyle w:val="Table-normal-text"/>
              <w:ind w:left="426"/>
              <w:jc w:val="right"/>
              <w:rPr>
                <w:rFonts w:cs="Arial"/>
              </w:rPr>
            </w:pPr>
            <w:r w:rsidRPr="00986221">
              <w:rPr>
                <w:rFonts w:cs="Arial"/>
              </w:rPr>
              <w:t>16</w:t>
            </w:r>
          </w:p>
        </w:tc>
        <w:tc>
          <w:tcPr>
            <w:tcW w:w="1322" w:type="dxa"/>
          </w:tcPr>
          <w:p w14:paraId="3A968A65" w14:textId="77777777" w:rsidR="002B560F" w:rsidRPr="00986221" w:rsidRDefault="002B560F" w:rsidP="002B560F">
            <w:pPr>
              <w:pStyle w:val="Table-normal-text"/>
              <w:ind w:left="426"/>
              <w:jc w:val="right"/>
              <w:rPr>
                <w:rFonts w:cs="Arial"/>
              </w:rPr>
            </w:pPr>
            <w:r w:rsidRPr="00986221">
              <w:rPr>
                <w:rFonts w:cs="Arial"/>
              </w:rPr>
              <w:t>10</w:t>
            </w:r>
          </w:p>
        </w:tc>
        <w:tc>
          <w:tcPr>
            <w:tcW w:w="995" w:type="dxa"/>
          </w:tcPr>
          <w:p w14:paraId="3C481829" w14:textId="77777777" w:rsidR="002B560F" w:rsidRPr="00986221" w:rsidRDefault="002B560F" w:rsidP="002B560F">
            <w:pPr>
              <w:pStyle w:val="Table-normal-text"/>
              <w:ind w:left="426"/>
              <w:jc w:val="right"/>
              <w:rPr>
                <w:rFonts w:cs="Arial"/>
                <w:b/>
              </w:rPr>
            </w:pPr>
            <w:r w:rsidRPr="00986221">
              <w:rPr>
                <w:rFonts w:cs="Arial"/>
                <w:b/>
              </w:rPr>
              <w:t>33</w:t>
            </w:r>
          </w:p>
        </w:tc>
      </w:tr>
      <w:tr w:rsidR="002B560F" w:rsidRPr="00986221" w14:paraId="4D317305" w14:textId="77777777" w:rsidTr="002B560F">
        <w:tc>
          <w:tcPr>
            <w:tcW w:w="7831" w:type="dxa"/>
            <w:gridSpan w:val="5"/>
          </w:tcPr>
          <w:p w14:paraId="3B15C4F3" w14:textId="77777777" w:rsidR="002B560F" w:rsidRPr="00986221" w:rsidRDefault="002B560F" w:rsidP="002B560F">
            <w:pPr>
              <w:pStyle w:val="Table-normal-text"/>
              <w:rPr>
                <w:rFonts w:cs="Arial"/>
              </w:rPr>
            </w:pPr>
            <w:r w:rsidRPr="00986221">
              <w:rPr>
                <w:rFonts w:cs="Arial"/>
              </w:rPr>
              <w:t>Component 4 - Flexible fund and project coordination</w:t>
            </w:r>
          </w:p>
        </w:tc>
      </w:tr>
      <w:tr w:rsidR="002B560F" w:rsidRPr="00986221" w14:paraId="089F68E1" w14:textId="77777777" w:rsidTr="002B560F">
        <w:tc>
          <w:tcPr>
            <w:tcW w:w="2870" w:type="dxa"/>
          </w:tcPr>
          <w:p w14:paraId="7D16715C" w14:textId="77777777" w:rsidR="002B560F" w:rsidRPr="00986221" w:rsidRDefault="002B560F" w:rsidP="002B560F">
            <w:pPr>
              <w:pStyle w:val="Table-normal-text"/>
              <w:ind w:left="426"/>
              <w:rPr>
                <w:rFonts w:cs="Arial"/>
              </w:rPr>
            </w:pPr>
            <w:r w:rsidRPr="00986221">
              <w:rPr>
                <w:rFonts w:cs="Arial"/>
              </w:rPr>
              <w:t>MPI</w:t>
            </w:r>
          </w:p>
        </w:tc>
        <w:tc>
          <w:tcPr>
            <w:tcW w:w="1322" w:type="dxa"/>
          </w:tcPr>
          <w:p w14:paraId="6107E1DD" w14:textId="77777777" w:rsidR="002B560F" w:rsidRPr="00986221" w:rsidRDefault="002B560F" w:rsidP="002B560F">
            <w:pPr>
              <w:pStyle w:val="Table-normal-text"/>
              <w:ind w:left="426"/>
              <w:jc w:val="right"/>
              <w:rPr>
                <w:rFonts w:cs="Arial"/>
              </w:rPr>
            </w:pPr>
            <w:r w:rsidRPr="00986221">
              <w:rPr>
                <w:rFonts w:cs="Arial"/>
              </w:rPr>
              <w:t>7</w:t>
            </w:r>
          </w:p>
        </w:tc>
        <w:tc>
          <w:tcPr>
            <w:tcW w:w="1322" w:type="dxa"/>
          </w:tcPr>
          <w:p w14:paraId="0670B67A" w14:textId="77777777" w:rsidR="002B560F" w:rsidRPr="00986221" w:rsidRDefault="002B560F" w:rsidP="002B560F">
            <w:pPr>
              <w:pStyle w:val="Table-normal-text"/>
              <w:ind w:left="426"/>
              <w:jc w:val="right"/>
              <w:rPr>
                <w:rFonts w:cs="Arial"/>
              </w:rPr>
            </w:pPr>
            <w:r w:rsidRPr="00986221">
              <w:rPr>
                <w:rFonts w:cs="Arial"/>
              </w:rPr>
              <w:t>16</w:t>
            </w:r>
          </w:p>
        </w:tc>
        <w:tc>
          <w:tcPr>
            <w:tcW w:w="1322" w:type="dxa"/>
          </w:tcPr>
          <w:p w14:paraId="2D151BF8" w14:textId="77777777" w:rsidR="002B560F" w:rsidRPr="00986221" w:rsidRDefault="002B560F" w:rsidP="002B560F">
            <w:pPr>
              <w:pStyle w:val="Table-normal-text"/>
              <w:ind w:left="426"/>
              <w:jc w:val="right"/>
              <w:rPr>
                <w:rFonts w:cs="Arial"/>
              </w:rPr>
            </w:pPr>
            <w:r w:rsidRPr="00986221">
              <w:rPr>
                <w:rFonts w:cs="Arial"/>
              </w:rPr>
              <w:t>10</w:t>
            </w:r>
          </w:p>
        </w:tc>
        <w:tc>
          <w:tcPr>
            <w:tcW w:w="995" w:type="dxa"/>
          </w:tcPr>
          <w:p w14:paraId="1DDED508" w14:textId="77777777" w:rsidR="002B560F" w:rsidRPr="00986221" w:rsidRDefault="002B560F" w:rsidP="002B560F">
            <w:pPr>
              <w:pStyle w:val="Table-normal-text"/>
              <w:ind w:left="426"/>
              <w:jc w:val="right"/>
              <w:rPr>
                <w:rFonts w:cs="Arial"/>
                <w:b/>
              </w:rPr>
            </w:pPr>
            <w:r w:rsidRPr="00986221">
              <w:rPr>
                <w:rFonts w:cs="Arial"/>
                <w:b/>
              </w:rPr>
              <w:t>33</w:t>
            </w:r>
          </w:p>
        </w:tc>
      </w:tr>
      <w:tr w:rsidR="002B560F" w:rsidRPr="00986221" w14:paraId="72CC8FBF" w14:textId="77777777" w:rsidTr="002B560F">
        <w:tc>
          <w:tcPr>
            <w:tcW w:w="2870" w:type="dxa"/>
          </w:tcPr>
          <w:p w14:paraId="66873276" w14:textId="77777777" w:rsidR="002B560F" w:rsidRPr="00986221" w:rsidRDefault="002B560F" w:rsidP="002B560F">
            <w:pPr>
              <w:pStyle w:val="Table-normal-text"/>
              <w:ind w:left="426"/>
              <w:rPr>
                <w:rFonts w:cs="Arial"/>
                <w:b/>
              </w:rPr>
            </w:pPr>
            <w:r w:rsidRPr="00986221">
              <w:rPr>
                <w:rFonts w:cs="Arial"/>
                <w:b/>
              </w:rPr>
              <w:t>Total</w:t>
            </w:r>
          </w:p>
        </w:tc>
        <w:tc>
          <w:tcPr>
            <w:tcW w:w="1322" w:type="dxa"/>
          </w:tcPr>
          <w:p w14:paraId="6BA7D7F1" w14:textId="77777777" w:rsidR="002B560F" w:rsidRPr="00986221" w:rsidRDefault="002B560F" w:rsidP="002B560F">
            <w:pPr>
              <w:pStyle w:val="Table-normal-text"/>
              <w:ind w:left="426"/>
              <w:jc w:val="right"/>
              <w:rPr>
                <w:rFonts w:cs="Arial"/>
                <w:b/>
              </w:rPr>
            </w:pPr>
            <w:r w:rsidRPr="00986221">
              <w:rPr>
                <w:rFonts w:cs="Arial"/>
                <w:b/>
              </w:rPr>
              <w:t>25</w:t>
            </w:r>
          </w:p>
        </w:tc>
        <w:tc>
          <w:tcPr>
            <w:tcW w:w="1322" w:type="dxa"/>
          </w:tcPr>
          <w:p w14:paraId="21143B27" w14:textId="77777777" w:rsidR="002B560F" w:rsidRPr="00986221" w:rsidRDefault="002B560F" w:rsidP="002B560F">
            <w:pPr>
              <w:pStyle w:val="Table-normal-text"/>
              <w:ind w:left="426"/>
              <w:jc w:val="right"/>
              <w:rPr>
                <w:rFonts w:cs="Arial"/>
                <w:b/>
              </w:rPr>
            </w:pPr>
            <w:r w:rsidRPr="00986221">
              <w:rPr>
                <w:rFonts w:cs="Arial"/>
                <w:b/>
              </w:rPr>
              <w:t>57</w:t>
            </w:r>
          </w:p>
        </w:tc>
        <w:tc>
          <w:tcPr>
            <w:tcW w:w="1322" w:type="dxa"/>
          </w:tcPr>
          <w:p w14:paraId="202E11B9" w14:textId="77777777" w:rsidR="002B560F" w:rsidRPr="00986221" w:rsidRDefault="002B560F" w:rsidP="002B560F">
            <w:pPr>
              <w:pStyle w:val="Table-normal-text"/>
              <w:ind w:left="426"/>
              <w:jc w:val="right"/>
              <w:rPr>
                <w:rFonts w:cs="Arial"/>
                <w:b/>
              </w:rPr>
            </w:pPr>
            <w:r w:rsidRPr="00986221">
              <w:rPr>
                <w:rFonts w:cs="Arial"/>
                <w:b/>
              </w:rPr>
              <w:t>40</w:t>
            </w:r>
          </w:p>
        </w:tc>
        <w:tc>
          <w:tcPr>
            <w:tcW w:w="995" w:type="dxa"/>
            <w:shd w:val="clear" w:color="auto" w:fill="auto"/>
          </w:tcPr>
          <w:p w14:paraId="226AB5C8" w14:textId="77777777" w:rsidR="002B560F" w:rsidRPr="00986221" w:rsidRDefault="002B560F" w:rsidP="002B560F">
            <w:pPr>
              <w:pStyle w:val="Table-normal-text"/>
              <w:ind w:left="426"/>
              <w:jc w:val="right"/>
              <w:rPr>
                <w:rFonts w:cs="Arial"/>
                <w:b/>
              </w:rPr>
            </w:pPr>
            <w:r w:rsidRPr="00986221">
              <w:rPr>
                <w:rFonts w:cs="Arial"/>
                <w:b/>
              </w:rPr>
              <w:t>122</w:t>
            </w:r>
          </w:p>
        </w:tc>
      </w:tr>
    </w:tbl>
    <w:p w14:paraId="2CB38747" w14:textId="77777777" w:rsidR="002B560F" w:rsidRPr="00986221" w:rsidRDefault="002B560F" w:rsidP="002B560F">
      <w:pPr>
        <w:pStyle w:val="ListParagraph"/>
        <w:numPr>
          <w:ilvl w:val="0"/>
          <w:numId w:val="0"/>
        </w:numPr>
        <w:ind w:left="426"/>
        <w:rPr>
          <w:szCs w:val="22"/>
        </w:rPr>
      </w:pPr>
    </w:p>
    <w:p w14:paraId="7E59700D" w14:textId="77777777" w:rsidR="002B560F" w:rsidRPr="00986221" w:rsidRDefault="002B560F" w:rsidP="00154C7D">
      <w:pPr>
        <w:pStyle w:val="ListParagraph"/>
        <w:numPr>
          <w:ilvl w:val="0"/>
          <w:numId w:val="24"/>
        </w:numPr>
        <w:ind w:left="360"/>
        <w:rPr>
          <w:szCs w:val="22"/>
        </w:rPr>
      </w:pPr>
      <w:r w:rsidRPr="00986221">
        <w:rPr>
          <w:szCs w:val="22"/>
        </w:rPr>
        <w:t xml:space="preserve">The GOA and Partner Government funding for the Project is shown in </w:t>
      </w:r>
      <w:r w:rsidRPr="00986221">
        <w:rPr>
          <w:b/>
          <w:i/>
          <w:szCs w:val="22"/>
          <w:u w:val="single"/>
        </w:rPr>
        <w:t>Table 2</w:t>
      </w:r>
      <w:r w:rsidRPr="00986221">
        <w:rPr>
          <w:szCs w:val="22"/>
        </w:rPr>
        <w:t>.</w:t>
      </w:r>
    </w:p>
    <w:p w14:paraId="482CAAF1" w14:textId="77777777" w:rsidR="002B560F" w:rsidRPr="00986221" w:rsidRDefault="002B560F" w:rsidP="002B560F">
      <w:pPr>
        <w:spacing w:after="120"/>
        <w:rPr>
          <w:rFonts w:cs="Arial"/>
          <w:b/>
          <w:szCs w:val="22"/>
        </w:rPr>
      </w:pPr>
      <w:r w:rsidRPr="00986221">
        <w:rPr>
          <w:rFonts w:cs="Arial"/>
          <w:b/>
          <w:szCs w:val="22"/>
        </w:rPr>
        <w:t>Table 2: Indicative Project Funding (AUD’000)</w:t>
      </w:r>
    </w:p>
    <w:tbl>
      <w:tblPr>
        <w:tblW w:w="874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1081"/>
        <w:gridCol w:w="967"/>
        <w:gridCol w:w="1070"/>
        <w:gridCol w:w="1134"/>
        <w:gridCol w:w="986"/>
      </w:tblGrid>
      <w:tr w:rsidR="002B560F" w:rsidRPr="00986221" w14:paraId="5A5923AA" w14:textId="77777777" w:rsidTr="002B560F">
        <w:tc>
          <w:tcPr>
            <w:tcW w:w="3506" w:type="dxa"/>
            <w:shd w:val="clear" w:color="auto" w:fill="auto"/>
          </w:tcPr>
          <w:p w14:paraId="74A6C214" w14:textId="77777777" w:rsidR="002B560F" w:rsidRPr="00986221" w:rsidRDefault="002B560F" w:rsidP="002B560F">
            <w:pPr>
              <w:spacing w:after="120"/>
              <w:rPr>
                <w:rFonts w:cs="Arial"/>
                <w:b/>
                <w:lang w:val="en-US"/>
              </w:rPr>
            </w:pPr>
            <w:r w:rsidRPr="00986221">
              <w:rPr>
                <w:rFonts w:cs="Arial"/>
                <w:b/>
                <w:lang w:val="en-US"/>
              </w:rPr>
              <w:t>Year/Funding</w:t>
            </w:r>
          </w:p>
        </w:tc>
        <w:tc>
          <w:tcPr>
            <w:tcW w:w="1081" w:type="dxa"/>
            <w:shd w:val="clear" w:color="auto" w:fill="auto"/>
          </w:tcPr>
          <w:p w14:paraId="3C707400" w14:textId="77777777" w:rsidR="002B560F" w:rsidRPr="00986221" w:rsidRDefault="002B560F" w:rsidP="002B560F">
            <w:pPr>
              <w:spacing w:after="120"/>
              <w:rPr>
                <w:rFonts w:cs="Arial"/>
                <w:b/>
                <w:szCs w:val="22"/>
              </w:rPr>
            </w:pPr>
            <w:r w:rsidRPr="00986221">
              <w:rPr>
                <w:rFonts w:cs="Arial"/>
                <w:b/>
                <w:szCs w:val="22"/>
              </w:rPr>
              <w:t>2013-14</w:t>
            </w:r>
          </w:p>
        </w:tc>
        <w:tc>
          <w:tcPr>
            <w:tcW w:w="967" w:type="dxa"/>
            <w:shd w:val="clear" w:color="auto" w:fill="auto"/>
          </w:tcPr>
          <w:p w14:paraId="411EEBDB" w14:textId="77777777" w:rsidR="002B560F" w:rsidRPr="00986221" w:rsidRDefault="002B560F" w:rsidP="002B560F">
            <w:pPr>
              <w:spacing w:after="120"/>
              <w:rPr>
                <w:rFonts w:cs="Arial"/>
                <w:b/>
                <w:szCs w:val="22"/>
              </w:rPr>
            </w:pPr>
            <w:r w:rsidRPr="00986221">
              <w:rPr>
                <w:rFonts w:cs="Arial"/>
                <w:b/>
                <w:szCs w:val="22"/>
              </w:rPr>
              <w:t>2014-15</w:t>
            </w:r>
          </w:p>
        </w:tc>
        <w:tc>
          <w:tcPr>
            <w:tcW w:w="1070" w:type="dxa"/>
            <w:shd w:val="clear" w:color="auto" w:fill="auto"/>
          </w:tcPr>
          <w:p w14:paraId="5A4B11D0" w14:textId="77777777" w:rsidR="002B560F" w:rsidRPr="00986221" w:rsidRDefault="002B560F" w:rsidP="002B560F">
            <w:pPr>
              <w:spacing w:after="120"/>
              <w:rPr>
                <w:rFonts w:cs="Arial"/>
                <w:b/>
                <w:szCs w:val="22"/>
              </w:rPr>
            </w:pPr>
            <w:r w:rsidRPr="00986221">
              <w:rPr>
                <w:rFonts w:cs="Arial"/>
                <w:b/>
                <w:szCs w:val="22"/>
              </w:rPr>
              <w:t>2015-16</w:t>
            </w:r>
          </w:p>
        </w:tc>
        <w:tc>
          <w:tcPr>
            <w:tcW w:w="1134" w:type="dxa"/>
          </w:tcPr>
          <w:p w14:paraId="0CF74FED" w14:textId="77777777" w:rsidR="002B560F" w:rsidRPr="00986221" w:rsidRDefault="002B560F" w:rsidP="002B560F">
            <w:pPr>
              <w:spacing w:after="120"/>
              <w:rPr>
                <w:rFonts w:cs="Arial"/>
                <w:b/>
                <w:szCs w:val="22"/>
              </w:rPr>
            </w:pPr>
            <w:r w:rsidRPr="00986221">
              <w:rPr>
                <w:rFonts w:cs="Arial"/>
                <w:b/>
                <w:szCs w:val="22"/>
              </w:rPr>
              <w:t>2016-17</w:t>
            </w:r>
          </w:p>
        </w:tc>
        <w:tc>
          <w:tcPr>
            <w:tcW w:w="986" w:type="dxa"/>
          </w:tcPr>
          <w:p w14:paraId="06C1F824" w14:textId="77777777" w:rsidR="002B560F" w:rsidRPr="00986221" w:rsidRDefault="002B560F" w:rsidP="002B560F">
            <w:pPr>
              <w:spacing w:after="120"/>
              <w:rPr>
                <w:rFonts w:cs="Arial"/>
                <w:b/>
                <w:szCs w:val="22"/>
              </w:rPr>
            </w:pPr>
            <w:r w:rsidRPr="00986221">
              <w:rPr>
                <w:rFonts w:cs="Arial"/>
                <w:b/>
                <w:szCs w:val="22"/>
              </w:rPr>
              <w:t>Total</w:t>
            </w:r>
          </w:p>
        </w:tc>
      </w:tr>
      <w:tr w:rsidR="002B560F" w:rsidRPr="00986221" w14:paraId="5FBA8C18" w14:textId="77777777" w:rsidTr="002B560F">
        <w:tc>
          <w:tcPr>
            <w:tcW w:w="3506" w:type="dxa"/>
            <w:shd w:val="clear" w:color="auto" w:fill="auto"/>
          </w:tcPr>
          <w:p w14:paraId="28BA1F81" w14:textId="77777777" w:rsidR="002B560F" w:rsidRPr="00986221" w:rsidRDefault="002B560F" w:rsidP="002B560F">
            <w:pPr>
              <w:spacing w:after="120"/>
              <w:rPr>
                <w:rFonts w:cs="Arial"/>
                <w:lang w:val="en-US"/>
              </w:rPr>
            </w:pPr>
            <w:r w:rsidRPr="00986221">
              <w:rPr>
                <w:rFonts w:cs="Arial"/>
                <w:lang w:val="en-US"/>
              </w:rPr>
              <w:t>GOA(Direct Funding)</w:t>
            </w:r>
          </w:p>
        </w:tc>
        <w:tc>
          <w:tcPr>
            <w:tcW w:w="1081" w:type="dxa"/>
            <w:shd w:val="clear" w:color="auto" w:fill="auto"/>
          </w:tcPr>
          <w:p w14:paraId="07575D2D" w14:textId="77777777" w:rsidR="002B560F" w:rsidRPr="00986221" w:rsidRDefault="002B560F" w:rsidP="002B560F">
            <w:pPr>
              <w:spacing w:after="120"/>
              <w:jc w:val="right"/>
              <w:rPr>
                <w:rFonts w:cs="Arial"/>
                <w:szCs w:val="22"/>
              </w:rPr>
            </w:pPr>
            <w:r w:rsidRPr="00986221">
              <w:rPr>
                <w:rFonts w:cs="Arial"/>
                <w:szCs w:val="22"/>
              </w:rPr>
              <w:t>1,300</w:t>
            </w:r>
          </w:p>
        </w:tc>
        <w:tc>
          <w:tcPr>
            <w:tcW w:w="967" w:type="dxa"/>
            <w:shd w:val="clear" w:color="auto" w:fill="auto"/>
          </w:tcPr>
          <w:p w14:paraId="3D9E3B80" w14:textId="77777777" w:rsidR="002B560F" w:rsidRPr="00986221" w:rsidRDefault="002B560F" w:rsidP="002B560F">
            <w:pPr>
              <w:spacing w:after="120"/>
              <w:jc w:val="right"/>
              <w:rPr>
                <w:rFonts w:cs="Arial"/>
                <w:szCs w:val="22"/>
              </w:rPr>
            </w:pPr>
            <w:r w:rsidRPr="00986221">
              <w:rPr>
                <w:rFonts w:cs="Arial"/>
                <w:szCs w:val="22"/>
              </w:rPr>
              <w:t>1,200</w:t>
            </w:r>
          </w:p>
        </w:tc>
        <w:tc>
          <w:tcPr>
            <w:tcW w:w="1070" w:type="dxa"/>
            <w:shd w:val="clear" w:color="auto" w:fill="auto"/>
          </w:tcPr>
          <w:p w14:paraId="7A5D6128" w14:textId="77777777" w:rsidR="002B560F" w:rsidRPr="00986221" w:rsidRDefault="002B560F" w:rsidP="002B560F">
            <w:pPr>
              <w:spacing w:after="120"/>
              <w:jc w:val="right"/>
              <w:rPr>
                <w:rFonts w:cs="Arial"/>
                <w:szCs w:val="22"/>
              </w:rPr>
            </w:pPr>
          </w:p>
        </w:tc>
        <w:tc>
          <w:tcPr>
            <w:tcW w:w="1134" w:type="dxa"/>
          </w:tcPr>
          <w:p w14:paraId="6B653C8E" w14:textId="77777777" w:rsidR="002B560F" w:rsidRPr="00986221" w:rsidRDefault="002B560F" w:rsidP="002B560F">
            <w:pPr>
              <w:spacing w:after="120"/>
              <w:jc w:val="right"/>
              <w:rPr>
                <w:rFonts w:cs="Arial"/>
                <w:b/>
                <w:szCs w:val="22"/>
              </w:rPr>
            </w:pPr>
          </w:p>
        </w:tc>
        <w:tc>
          <w:tcPr>
            <w:tcW w:w="986" w:type="dxa"/>
          </w:tcPr>
          <w:p w14:paraId="25D10BB3" w14:textId="77777777" w:rsidR="002B560F" w:rsidRPr="00986221" w:rsidRDefault="002B560F" w:rsidP="002B560F">
            <w:pPr>
              <w:spacing w:after="120"/>
              <w:jc w:val="right"/>
              <w:rPr>
                <w:rFonts w:cs="Arial"/>
                <w:b/>
                <w:szCs w:val="22"/>
              </w:rPr>
            </w:pPr>
            <w:r w:rsidRPr="00986221">
              <w:rPr>
                <w:rFonts w:cs="Arial"/>
                <w:b/>
                <w:szCs w:val="22"/>
              </w:rPr>
              <w:t>2,500</w:t>
            </w:r>
          </w:p>
        </w:tc>
      </w:tr>
      <w:tr w:rsidR="002B560F" w:rsidRPr="00986221" w14:paraId="7A536138" w14:textId="77777777" w:rsidTr="002B560F">
        <w:tc>
          <w:tcPr>
            <w:tcW w:w="3506" w:type="dxa"/>
            <w:shd w:val="clear" w:color="auto" w:fill="auto"/>
          </w:tcPr>
          <w:p w14:paraId="129D6C28" w14:textId="77777777" w:rsidR="002B560F" w:rsidRPr="00986221" w:rsidRDefault="002B560F" w:rsidP="002B560F">
            <w:pPr>
              <w:spacing w:after="120"/>
              <w:rPr>
                <w:rFonts w:cs="Arial"/>
                <w:lang w:val="en-US"/>
              </w:rPr>
            </w:pPr>
            <w:r w:rsidRPr="00986221">
              <w:rPr>
                <w:rFonts w:cs="Arial"/>
                <w:lang w:val="en-US"/>
              </w:rPr>
              <w:t>GOA technical support (Service Provider Contract)</w:t>
            </w:r>
          </w:p>
        </w:tc>
        <w:tc>
          <w:tcPr>
            <w:tcW w:w="1081" w:type="dxa"/>
            <w:shd w:val="clear" w:color="auto" w:fill="auto"/>
          </w:tcPr>
          <w:p w14:paraId="3C4B028A" w14:textId="77777777" w:rsidR="002B560F" w:rsidRPr="00986221" w:rsidRDefault="002B560F" w:rsidP="002B560F">
            <w:pPr>
              <w:spacing w:after="120"/>
              <w:jc w:val="right"/>
              <w:rPr>
                <w:rFonts w:cs="Arial"/>
                <w:szCs w:val="22"/>
              </w:rPr>
            </w:pPr>
          </w:p>
        </w:tc>
        <w:tc>
          <w:tcPr>
            <w:tcW w:w="967" w:type="dxa"/>
            <w:shd w:val="clear" w:color="auto" w:fill="auto"/>
          </w:tcPr>
          <w:p w14:paraId="24AD30F7" w14:textId="77777777" w:rsidR="002B560F" w:rsidRPr="00986221" w:rsidRDefault="002B560F" w:rsidP="002B560F">
            <w:pPr>
              <w:spacing w:after="120"/>
              <w:jc w:val="right"/>
              <w:rPr>
                <w:rFonts w:cs="Arial"/>
                <w:szCs w:val="22"/>
              </w:rPr>
            </w:pPr>
            <w:r w:rsidRPr="00986221">
              <w:rPr>
                <w:rFonts w:cs="Arial"/>
                <w:szCs w:val="22"/>
              </w:rPr>
              <w:t>200</w:t>
            </w:r>
          </w:p>
        </w:tc>
        <w:tc>
          <w:tcPr>
            <w:tcW w:w="1070" w:type="dxa"/>
            <w:shd w:val="clear" w:color="auto" w:fill="auto"/>
          </w:tcPr>
          <w:p w14:paraId="233C3C7D" w14:textId="77777777" w:rsidR="002B560F" w:rsidRPr="00986221" w:rsidRDefault="002B560F" w:rsidP="002B560F">
            <w:pPr>
              <w:spacing w:after="120"/>
              <w:jc w:val="right"/>
              <w:rPr>
                <w:rFonts w:cs="Arial"/>
                <w:szCs w:val="22"/>
              </w:rPr>
            </w:pPr>
            <w:r w:rsidRPr="00986221">
              <w:rPr>
                <w:rFonts w:cs="Arial"/>
                <w:szCs w:val="22"/>
              </w:rPr>
              <w:t>200</w:t>
            </w:r>
          </w:p>
        </w:tc>
        <w:tc>
          <w:tcPr>
            <w:tcW w:w="1134" w:type="dxa"/>
          </w:tcPr>
          <w:p w14:paraId="58E94932" w14:textId="77777777" w:rsidR="002B560F" w:rsidRPr="00986221" w:rsidRDefault="002B560F" w:rsidP="002B560F">
            <w:pPr>
              <w:spacing w:after="120"/>
              <w:jc w:val="right"/>
              <w:rPr>
                <w:rFonts w:cs="Arial"/>
                <w:szCs w:val="22"/>
              </w:rPr>
            </w:pPr>
            <w:r w:rsidRPr="00986221">
              <w:rPr>
                <w:rFonts w:cs="Arial"/>
                <w:szCs w:val="22"/>
              </w:rPr>
              <w:t>200</w:t>
            </w:r>
          </w:p>
        </w:tc>
        <w:tc>
          <w:tcPr>
            <w:tcW w:w="986" w:type="dxa"/>
          </w:tcPr>
          <w:p w14:paraId="08A9EF70" w14:textId="77777777" w:rsidR="002B560F" w:rsidRPr="00986221" w:rsidRDefault="002B560F" w:rsidP="002B560F">
            <w:pPr>
              <w:spacing w:after="120"/>
              <w:jc w:val="right"/>
              <w:rPr>
                <w:rFonts w:cs="Arial"/>
                <w:b/>
                <w:szCs w:val="22"/>
              </w:rPr>
            </w:pPr>
            <w:r w:rsidRPr="00986221">
              <w:rPr>
                <w:rFonts w:cs="Arial"/>
                <w:b/>
                <w:szCs w:val="22"/>
              </w:rPr>
              <w:t>600</w:t>
            </w:r>
          </w:p>
        </w:tc>
      </w:tr>
      <w:tr w:rsidR="002B560F" w:rsidRPr="00986221" w14:paraId="5FFC8698" w14:textId="77777777" w:rsidTr="002B560F">
        <w:tc>
          <w:tcPr>
            <w:tcW w:w="3506" w:type="dxa"/>
            <w:shd w:val="clear" w:color="auto" w:fill="auto"/>
          </w:tcPr>
          <w:p w14:paraId="6BC590C3" w14:textId="77777777" w:rsidR="002B560F" w:rsidRPr="00986221" w:rsidRDefault="002B560F" w:rsidP="002B560F">
            <w:pPr>
              <w:spacing w:after="120"/>
              <w:rPr>
                <w:rFonts w:cs="Arial"/>
                <w:lang w:val="en-US"/>
              </w:rPr>
            </w:pPr>
            <w:r w:rsidRPr="00986221">
              <w:rPr>
                <w:rFonts w:cs="Arial"/>
                <w:lang w:val="en-US"/>
              </w:rPr>
              <w:t>Partner Government (Budget)</w:t>
            </w:r>
          </w:p>
        </w:tc>
        <w:tc>
          <w:tcPr>
            <w:tcW w:w="1081" w:type="dxa"/>
            <w:shd w:val="clear" w:color="auto" w:fill="auto"/>
          </w:tcPr>
          <w:p w14:paraId="154F6694" w14:textId="77777777" w:rsidR="002B560F" w:rsidRPr="00986221" w:rsidRDefault="002B560F" w:rsidP="002B560F">
            <w:pPr>
              <w:pStyle w:val="Table-normal-text"/>
              <w:ind w:left="426"/>
              <w:jc w:val="right"/>
              <w:rPr>
                <w:rFonts w:cs="Arial"/>
              </w:rPr>
            </w:pPr>
            <w:r w:rsidRPr="00986221">
              <w:rPr>
                <w:rFonts w:cs="Arial"/>
              </w:rPr>
              <w:t>25</w:t>
            </w:r>
          </w:p>
        </w:tc>
        <w:tc>
          <w:tcPr>
            <w:tcW w:w="967" w:type="dxa"/>
            <w:shd w:val="clear" w:color="auto" w:fill="auto"/>
          </w:tcPr>
          <w:p w14:paraId="221EF83C" w14:textId="77777777" w:rsidR="002B560F" w:rsidRPr="00986221" w:rsidRDefault="002B560F" w:rsidP="002B560F">
            <w:pPr>
              <w:pStyle w:val="Table-normal-text"/>
              <w:ind w:left="426"/>
              <w:jc w:val="right"/>
              <w:rPr>
                <w:rFonts w:cs="Arial"/>
              </w:rPr>
            </w:pPr>
            <w:r w:rsidRPr="00986221">
              <w:rPr>
                <w:rFonts w:cs="Arial"/>
              </w:rPr>
              <w:t>57</w:t>
            </w:r>
          </w:p>
        </w:tc>
        <w:tc>
          <w:tcPr>
            <w:tcW w:w="1070" w:type="dxa"/>
            <w:shd w:val="clear" w:color="auto" w:fill="auto"/>
          </w:tcPr>
          <w:p w14:paraId="1925DFAE" w14:textId="77777777" w:rsidR="002B560F" w:rsidRPr="00986221" w:rsidRDefault="002B560F" w:rsidP="002B560F">
            <w:pPr>
              <w:spacing w:after="120"/>
              <w:jc w:val="right"/>
              <w:rPr>
                <w:rFonts w:cs="Arial"/>
                <w:szCs w:val="22"/>
              </w:rPr>
            </w:pPr>
            <w:r w:rsidRPr="00986221">
              <w:rPr>
                <w:rFonts w:cs="Arial"/>
                <w:szCs w:val="22"/>
              </w:rPr>
              <w:t>40</w:t>
            </w:r>
          </w:p>
        </w:tc>
        <w:tc>
          <w:tcPr>
            <w:tcW w:w="1134" w:type="dxa"/>
          </w:tcPr>
          <w:p w14:paraId="5D02CD6F" w14:textId="77777777" w:rsidR="002B560F" w:rsidRPr="00986221" w:rsidRDefault="002B560F" w:rsidP="002B560F">
            <w:pPr>
              <w:spacing w:after="120"/>
              <w:jc w:val="right"/>
              <w:rPr>
                <w:rFonts w:cs="Arial"/>
                <w:b/>
                <w:szCs w:val="22"/>
              </w:rPr>
            </w:pPr>
          </w:p>
        </w:tc>
        <w:tc>
          <w:tcPr>
            <w:tcW w:w="986" w:type="dxa"/>
          </w:tcPr>
          <w:p w14:paraId="4F8FF024" w14:textId="77777777" w:rsidR="002B560F" w:rsidRPr="00986221" w:rsidRDefault="002B560F" w:rsidP="002B560F">
            <w:pPr>
              <w:spacing w:after="120"/>
              <w:jc w:val="right"/>
              <w:rPr>
                <w:rFonts w:cs="Arial"/>
                <w:b/>
                <w:szCs w:val="22"/>
              </w:rPr>
            </w:pPr>
            <w:r w:rsidRPr="00986221">
              <w:rPr>
                <w:rFonts w:cs="Arial"/>
                <w:b/>
                <w:szCs w:val="22"/>
              </w:rPr>
              <w:t>122</w:t>
            </w:r>
          </w:p>
        </w:tc>
      </w:tr>
      <w:tr w:rsidR="002B560F" w:rsidRPr="00986221" w14:paraId="665A16E7" w14:textId="77777777" w:rsidTr="002B560F">
        <w:tc>
          <w:tcPr>
            <w:tcW w:w="3506" w:type="dxa"/>
            <w:shd w:val="clear" w:color="auto" w:fill="auto"/>
          </w:tcPr>
          <w:p w14:paraId="75C4562C" w14:textId="77777777" w:rsidR="002B560F" w:rsidRPr="00986221" w:rsidRDefault="002B560F" w:rsidP="002B560F">
            <w:pPr>
              <w:spacing w:after="120"/>
              <w:rPr>
                <w:rFonts w:cs="Arial"/>
                <w:b/>
                <w:szCs w:val="22"/>
              </w:rPr>
            </w:pPr>
            <w:r w:rsidRPr="00986221">
              <w:rPr>
                <w:rFonts w:cs="Arial"/>
                <w:b/>
                <w:szCs w:val="22"/>
              </w:rPr>
              <w:t>Total</w:t>
            </w:r>
          </w:p>
        </w:tc>
        <w:tc>
          <w:tcPr>
            <w:tcW w:w="1081" w:type="dxa"/>
            <w:shd w:val="clear" w:color="auto" w:fill="auto"/>
          </w:tcPr>
          <w:p w14:paraId="082AD7D7" w14:textId="77777777" w:rsidR="002B560F" w:rsidRPr="00986221" w:rsidRDefault="002B560F" w:rsidP="002B560F">
            <w:pPr>
              <w:spacing w:after="120"/>
              <w:jc w:val="right"/>
              <w:rPr>
                <w:rFonts w:cs="Arial"/>
                <w:b/>
                <w:szCs w:val="22"/>
              </w:rPr>
            </w:pPr>
            <w:r w:rsidRPr="00986221">
              <w:rPr>
                <w:rFonts w:cs="Arial"/>
                <w:b/>
                <w:szCs w:val="22"/>
              </w:rPr>
              <w:t>1,325</w:t>
            </w:r>
          </w:p>
        </w:tc>
        <w:tc>
          <w:tcPr>
            <w:tcW w:w="967" w:type="dxa"/>
            <w:shd w:val="clear" w:color="auto" w:fill="auto"/>
          </w:tcPr>
          <w:p w14:paraId="6EA6FE56" w14:textId="77777777" w:rsidR="002B560F" w:rsidRPr="00986221" w:rsidRDefault="002B560F" w:rsidP="002B560F">
            <w:pPr>
              <w:spacing w:after="120"/>
              <w:jc w:val="right"/>
              <w:rPr>
                <w:rFonts w:cs="Arial"/>
                <w:b/>
                <w:szCs w:val="22"/>
              </w:rPr>
            </w:pPr>
            <w:r w:rsidRPr="00986221">
              <w:rPr>
                <w:rFonts w:cs="Arial"/>
                <w:b/>
                <w:szCs w:val="22"/>
              </w:rPr>
              <w:t>1,457</w:t>
            </w:r>
          </w:p>
        </w:tc>
        <w:tc>
          <w:tcPr>
            <w:tcW w:w="1070" w:type="dxa"/>
            <w:shd w:val="clear" w:color="auto" w:fill="auto"/>
          </w:tcPr>
          <w:p w14:paraId="17782208" w14:textId="77777777" w:rsidR="002B560F" w:rsidRPr="00986221" w:rsidRDefault="002B560F" w:rsidP="002B560F">
            <w:pPr>
              <w:spacing w:after="120"/>
              <w:jc w:val="right"/>
              <w:rPr>
                <w:rFonts w:cs="Arial"/>
                <w:b/>
                <w:szCs w:val="22"/>
              </w:rPr>
            </w:pPr>
            <w:r w:rsidRPr="00986221">
              <w:rPr>
                <w:rFonts w:cs="Arial"/>
                <w:b/>
                <w:szCs w:val="22"/>
              </w:rPr>
              <w:t>240</w:t>
            </w:r>
          </w:p>
        </w:tc>
        <w:tc>
          <w:tcPr>
            <w:tcW w:w="1134" w:type="dxa"/>
          </w:tcPr>
          <w:p w14:paraId="76BE38E3" w14:textId="77777777" w:rsidR="002B560F" w:rsidRPr="00986221" w:rsidRDefault="002B560F" w:rsidP="002B560F">
            <w:pPr>
              <w:spacing w:after="120"/>
              <w:jc w:val="right"/>
              <w:rPr>
                <w:rFonts w:cs="Arial"/>
                <w:b/>
                <w:szCs w:val="22"/>
              </w:rPr>
            </w:pPr>
            <w:r w:rsidRPr="00986221">
              <w:rPr>
                <w:rFonts w:cs="Arial"/>
                <w:b/>
                <w:szCs w:val="22"/>
              </w:rPr>
              <w:t>200</w:t>
            </w:r>
          </w:p>
        </w:tc>
        <w:tc>
          <w:tcPr>
            <w:tcW w:w="986" w:type="dxa"/>
          </w:tcPr>
          <w:p w14:paraId="7A994E34" w14:textId="77777777" w:rsidR="002B560F" w:rsidRPr="00986221" w:rsidRDefault="002B560F" w:rsidP="002B560F">
            <w:pPr>
              <w:spacing w:after="120"/>
              <w:jc w:val="right"/>
              <w:rPr>
                <w:rFonts w:cs="Arial"/>
                <w:b/>
                <w:szCs w:val="22"/>
              </w:rPr>
            </w:pPr>
            <w:r w:rsidRPr="00986221">
              <w:rPr>
                <w:rFonts w:cs="Arial"/>
                <w:b/>
                <w:szCs w:val="22"/>
              </w:rPr>
              <w:t>3,222</w:t>
            </w:r>
          </w:p>
        </w:tc>
      </w:tr>
    </w:tbl>
    <w:p w14:paraId="638DCB41" w14:textId="77777777" w:rsidR="002B560F" w:rsidRPr="00986221" w:rsidRDefault="002B560F" w:rsidP="002B560F">
      <w:pPr>
        <w:pStyle w:val="ListParagraph"/>
        <w:numPr>
          <w:ilvl w:val="0"/>
          <w:numId w:val="0"/>
        </w:numPr>
        <w:ind w:left="360"/>
        <w:rPr>
          <w:szCs w:val="22"/>
        </w:rPr>
      </w:pPr>
    </w:p>
    <w:p w14:paraId="292D790E" w14:textId="77777777" w:rsidR="002B560F" w:rsidRPr="00986221" w:rsidRDefault="002B560F" w:rsidP="00154C7D">
      <w:pPr>
        <w:pStyle w:val="ListParagraph"/>
        <w:numPr>
          <w:ilvl w:val="0"/>
          <w:numId w:val="24"/>
        </w:numPr>
        <w:ind w:left="360"/>
        <w:rPr>
          <w:szCs w:val="22"/>
        </w:rPr>
      </w:pPr>
      <w:r w:rsidRPr="00986221">
        <w:rPr>
          <w:szCs w:val="22"/>
        </w:rPr>
        <w:t xml:space="preserve">In addition to its financial contribution, the Partner Government undertakes to provide such human resources, office accommodation and logistical support as is required to ensure the successful implementation of the Project. </w:t>
      </w:r>
    </w:p>
    <w:p w14:paraId="5089DF75" w14:textId="77777777" w:rsidR="002B560F" w:rsidRPr="00986221" w:rsidRDefault="002B560F" w:rsidP="002B560F">
      <w:pPr>
        <w:spacing w:after="120"/>
        <w:ind w:left="426"/>
        <w:rPr>
          <w:rFonts w:cs="Arial"/>
          <w:b/>
          <w:snapToGrid w:val="0"/>
          <w:szCs w:val="22"/>
        </w:rPr>
      </w:pPr>
      <w:r w:rsidRPr="00986221">
        <w:rPr>
          <w:rFonts w:cs="Arial"/>
          <w:b/>
          <w:snapToGrid w:val="0"/>
          <w:szCs w:val="22"/>
        </w:rPr>
        <w:t>Deposit and Disbursement of GOA funds</w:t>
      </w:r>
    </w:p>
    <w:p w14:paraId="544E6F62" w14:textId="77777777" w:rsidR="002B560F" w:rsidRPr="00986221" w:rsidRDefault="002B560F" w:rsidP="00154C7D">
      <w:pPr>
        <w:pStyle w:val="ListParagraph"/>
        <w:numPr>
          <w:ilvl w:val="0"/>
          <w:numId w:val="24"/>
        </w:numPr>
        <w:ind w:left="360"/>
        <w:rPr>
          <w:snapToGrid w:val="0"/>
        </w:rPr>
      </w:pPr>
      <w:r w:rsidRPr="00986221">
        <w:rPr>
          <w:snapToGrid w:val="0"/>
        </w:rPr>
        <w:t xml:space="preserve">The Schedule for payments by GOA to the Partner Government </w:t>
      </w:r>
      <w:proofErr w:type="gramStart"/>
      <w:r w:rsidRPr="00986221">
        <w:rPr>
          <w:snapToGrid w:val="0"/>
        </w:rPr>
        <w:t>are</w:t>
      </w:r>
      <w:proofErr w:type="gramEnd"/>
      <w:r w:rsidRPr="00986221">
        <w:rPr>
          <w:snapToGrid w:val="0"/>
        </w:rPr>
        <w:t xml:space="preserve"> detailed in </w:t>
      </w:r>
      <w:r w:rsidRPr="00986221">
        <w:rPr>
          <w:b/>
          <w:i/>
          <w:snapToGrid w:val="0"/>
          <w:u w:val="single"/>
        </w:rPr>
        <w:t xml:space="preserve">Annex 2 </w:t>
      </w:r>
      <w:r w:rsidRPr="00986221">
        <w:rPr>
          <w:snapToGrid w:val="0"/>
        </w:rPr>
        <w:t>-</w:t>
      </w:r>
      <w:r w:rsidRPr="00986221">
        <w:rPr>
          <w:b/>
          <w:i/>
          <w:snapToGrid w:val="0"/>
          <w:u w:val="single"/>
        </w:rPr>
        <w:t>Payment of GOA funds</w:t>
      </w:r>
      <w:r w:rsidRPr="00986221">
        <w:rPr>
          <w:snapToGrid w:val="0"/>
        </w:rPr>
        <w:t>.</w:t>
      </w:r>
    </w:p>
    <w:p w14:paraId="6013E14F" w14:textId="77777777" w:rsidR="002B560F" w:rsidRPr="00986221" w:rsidRDefault="002B560F" w:rsidP="00154C7D">
      <w:pPr>
        <w:pStyle w:val="ListParagraph"/>
        <w:numPr>
          <w:ilvl w:val="0"/>
          <w:numId w:val="24"/>
        </w:numPr>
        <w:ind w:left="360"/>
        <w:rPr>
          <w:snapToGrid w:val="0"/>
          <w:szCs w:val="22"/>
        </w:rPr>
      </w:pPr>
      <w:r w:rsidRPr="00986221">
        <w:rPr>
          <w:lang w:val="en-GB"/>
        </w:rPr>
        <w:t>GOA contributions will be deposited in a single foreign exchange account nominated by the Partner Government (MPI) at the Vietcombank</w:t>
      </w:r>
      <w:r w:rsidRPr="00986221">
        <w:rPr>
          <w:color w:val="FF0000"/>
          <w:lang w:val="en-GB"/>
        </w:rPr>
        <w:t xml:space="preserve"> </w:t>
      </w:r>
      <w:r w:rsidRPr="00986221">
        <w:rPr>
          <w:lang w:val="en-GB"/>
        </w:rPr>
        <w:t>and held in the name of the PCU under the CIEM-MPI</w:t>
      </w:r>
      <w:r w:rsidRPr="00986221">
        <w:rPr>
          <w:i/>
          <w:lang w:val="en-GB"/>
        </w:rPr>
        <w:t xml:space="preserve">. </w:t>
      </w:r>
    </w:p>
    <w:p w14:paraId="75B78450" w14:textId="77777777" w:rsidR="002B560F" w:rsidRPr="00986221" w:rsidRDefault="002B560F" w:rsidP="00154C7D">
      <w:pPr>
        <w:pStyle w:val="ListParagraph"/>
        <w:numPr>
          <w:ilvl w:val="0"/>
          <w:numId w:val="24"/>
        </w:numPr>
        <w:ind w:left="360"/>
        <w:rPr>
          <w:snapToGrid w:val="0"/>
          <w:szCs w:val="22"/>
        </w:rPr>
      </w:pPr>
      <w:r w:rsidRPr="00986221">
        <w:rPr>
          <w:lang w:val="en-GB"/>
        </w:rPr>
        <w:t>The local currency equivalent of the GOA contribution will be calculated on the basis of the exchange rate on the date of transfer of the funds by GOA.</w:t>
      </w:r>
    </w:p>
    <w:p w14:paraId="1C5BF17E" w14:textId="77777777" w:rsidR="002B560F" w:rsidRPr="00986221" w:rsidRDefault="002B560F" w:rsidP="00154C7D">
      <w:pPr>
        <w:pStyle w:val="ListParagraph"/>
        <w:numPr>
          <w:ilvl w:val="0"/>
          <w:numId w:val="24"/>
        </w:numPr>
        <w:ind w:left="360"/>
        <w:rPr>
          <w:snapToGrid w:val="0"/>
        </w:rPr>
      </w:pPr>
      <w:r w:rsidRPr="00986221">
        <w:rPr>
          <w:lang w:val="en-GB"/>
        </w:rPr>
        <w:t xml:space="preserve">The PCU will immediately acknowledge receipt of the funds, in writing, to GOA and the local currency equivalent. The PCU will also immediately transfer to local currency bank accounts nominated by and held in the name of the VCA-MOIT and IPSARD-MARD the amounts for respective Components as detailed in </w:t>
      </w:r>
      <w:r w:rsidRPr="00986221">
        <w:rPr>
          <w:b/>
          <w:i/>
          <w:snapToGrid w:val="0"/>
          <w:u w:val="single"/>
        </w:rPr>
        <w:t xml:space="preserve">Annex 2 </w:t>
      </w:r>
      <w:r w:rsidRPr="00986221">
        <w:rPr>
          <w:snapToGrid w:val="0"/>
          <w:u w:val="single"/>
        </w:rPr>
        <w:t>-</w:t>
      </w:r>
      <w:r w:rsidRPr="00986221">
        <w:rPr>
          <w:b/>
          <w:i/>
          <w:snapToGrid w:val="0"/>
          <w:u w:val="single"/>
        </w:rPr>
        <w:t>Payment of GOA funds</w:t>
      </w:r>
      <w:r w:rsidRPr="00986221">
        <w:rPr>
          <w:snapToGrid w:val="0"/>
        </w:rPr>
        <w:t xml:space="preserve">. </w:t>
      </w:r>
      <w:r w:rsidRPr="00986221">
        <w:rPr>
          <w:lang w:val="en-GB"/>
        </w:rPr>
        <w:t>The VCA-MOIT and IPSARD-MARD will immediately acknowledge receipt of the funds, in writing, to GOA and the local currency equivalent.</w:t>
      </w:r>
    </w:p>
    <w:p w14:paraId="0E4C2F24" w14:textId="77777777" w:rsidR="002B560F" w:rsidRPr="00986221" w:rsidRDefault="002B560F" w:rsidP="00154C7D">
      <w:pPr>
        <w:pStyle w:val="ListParagraph"/>
        <w:numPr>
          <w:ilvl w:val="0"/>
          <w:numId w:val="24"/>
        </w:numPr>
        <w:ind w:left="360"/>
        <w:rPr>
          <w:snapToGrid w:val="0"/>
          <w:szCs w:val="22"/>
        </w:rPr>
      </w:pPr>
      <w:r w:rsidRPr="00986221">
        <w:rPr>
          <w:lang w:val="en-GB"/>
        </w:rPr>
        <w:t>Any interest income attributable to the GOA contribution(s) may be utilised by the Partner Government solely for the implementation of the Project.</w:t>
      </w:r>
    </w:p>
    <w:p w14:paraId="1BB92CAE" w14:textId="77777777" w:rsidR="002B560F" w:rsidRPr="00986221" w:rsidRDefault="002B560F" w:rsidP="00154C7D">
      <w:pPr>
        <w:pStyle w:val="ListParagraph"/>
        <w:numPr>
          <w:ilvl w:val="0"/>
          <w:numId w:val="24"/>
        </w:numPr>
        <w:ind w:left="360"/>
        <w:rPr>
          <w:snapToGrid w:val="0"/>
          <w:szCs w:val="22"/>
        </w:rPr>
      </w:pPr>
      <w:r w:rsidRPr="00986221">
        <w:rPr>
          <w:lang w:val="en-GB"/>
        </w:rPr>
        <w:t>Any interest income attributable to the GOA contribution will be reported to the Project Coordination Committee (PCC) on an annual basis.</w:t>
      </w:r>
    </w:p>
    <w:p w14:paraId="29F3D652" w14:textId="77777777" w:rsidR="002B560F" w:rsidRPr="00986221" w:rsidRDefault="002B560F" w:rsidP="002B560F">
      <w:pPr>
        <w:spacing w:after="120"/>
        <w:ind w:left="426"/>
        <w:rPr>
          <w:rFonts w:cs="Arial"/>
          <w:b/>
          <w:snapToGrid w:val="0"/>
          <w:szCs w:val="22"/>
        </w:rPr>
      </w:pPr>
      <w:r w:rsidRPr="00986221">
        <w:rPr>
          <w:rFonts w:cs="Arial"/>
          <w:b/>
          <w:snapToGrid w:val="0"/>
          <w:szCs w:val="22"/>
        </w:rPr>
        <w:t>Management Arrangements</w:t>
      </w:r>
    </w:p>
    <w:p w14:paraId="0A71C9BB" w14:textId="77777777" w:rsidR="002B560F" w:rsidRPr="00986221" w:rsidRDefault="002B560F" w:rsidP="00154C7D">
      <w:pPr>
        <w:pStyle w:val="ListParagraph"/>
        <w:numPr>
          <w:ilvl w:val="0"/>
          <w:numId w:val="24"/>
        </w:numPr>
        <w:ind w:left="360"/>
      </w:pPr>
      <w:r w:rsidRPr="00986221">
        <w:t xml:space="preserve">Decisions on Project </w:t>
      </w:r>
      <w:proofErr w:type="gramStart"/>
      <w:r w:rsidRPr="00986221">
        <w:t>strategy,</w:t>
      </w:r>
      <w:proofErr w:type="gramEnd"/>
      <w:r w:rsidRPr="00986221">
        <w:t xml:space="preserve"> focus and activity approval (for Flexible Fund) will be made by the Project Director (PD), who is the leader of CIEM, with the concurrence of GOA. Component implementing agencies (MOIT-VCA and MARD-IPSARD) will appoint Component Directors (CD) to be responsible for respective component. </w:t>
      </w:r>
    </w:p>
    <w:p w14:paraId="4A54B86A" w14:textId="77777777" w:rsidR="002B560F" w:rsidRPr="00986221" w:rsidRDefault="002B560F" w:rsidP="00154C7D">
      <w:pPr>
        <w:pStyle w:val="ListParagraph"/>
        <w:numPr>
          <w:ilvl w:val="0"/>
          <w:numId w:val="24"/>
        </w:numPr>
        <w:ind w:left="360"/>
        <w:rPr>
          <w:snapToGrid w:val="0"/>
          <w:szCs w:val="22"/>
        </w:rPr>
      </w:pPr>
      <w:r w:rsidRPr="00986221">
        <w:t>Once AWP have been approved (by the PD and GOA), the CDs will make operational decisions on activity implementation and accountable for fund management in order to implement the agreed work-plans.</w:t>
      </w:r>
    </w:p>
    <w:p w14:paraId="2F339E2A" w14:textId="77777777" w:rsidR="002B560F" w:rsidRPr="00986221" w:rsidRDefault="002B560F" w:rsidP="002B560F">
      <w:pPr>
        <w:ind w:firstLine="426"/>
        <w:rPr>
          <w:rFonts w:cs="Arial"/>
          <w:b/>
          <w:snapToGrid w:val="0"/>
          <w:szCs w:val="22"/>
        </w:rPr>
      </w:pPr>
      <w:r w:rsidRPr="00986221">
        <w:rPr>
          <w:rFonts w:cs="Arial"/>
          <w:b/>
          <w:snapToGrid w:val="0"/>
          <w:szCs w:val="22"/>
        </w:rPr>
        <w:t xml:space="preserve">Project Director and Component Directors </w:t>
      </w:r>
    </w:p>
    <w:p w14:paraId="6A477B0F" w14:textId="77777777" w:rsidR="002B560F" w:rsidRPr="00986221" w:rsidRDefault="002B560F" w:rsidP="002B560F">
      <w:pPr>
        <w:ind w:firstLine="426"/>
        <w:rPr>
          <w:rFonts w:cs="Arial"/>
          <w:b/>
          <w:snapToGrid w:val="0"/>
          <w:szCs w:val="22"/>
        </w:rPr>
      </w:pPr>
    </w:p>
    <w:p w14:paraId="5348EB6E" w14:textId="77777777" w:rsidR="002B560F" w:rsidRPr="00986221" w:rsidRDefault="002B560F" w:rsidP="00154C7D">
      <w:pPr>
        <w:pStyle w:val="ListParagraph"/>
        <w:numPr>
          <w:ilvl w:val="0"/>
          <w:numId w:val="24"/>
        </w:numPr>
        <w:ind w:left="360"/>
      </w:pPr>
      <w:r w:rsidRPr="00986221">
        <w:t xml:space="preserve">The PD responsibilities include: </w:t>
      </w:r>
    </w:p>
    <w:p w14:paraId="2F7CB3E7" w14:textId="77777777" w:rsidR="002B560F" w:rsidRPr="00986221" w:rsidRDefault="002B560F" w:rsidP="00154C7D">
      <w:pPr>
        <w:pStyle w:val="ListParagraphindent"/>
        <w:numPr>
          <w:ilvl w:val="2"/>
          <w:numId w:val="24"/>
        </w:numPr>
      </w:pPr>
      <w:r w:rsidRPr="00986221">
        <w:t xml:space="preserve">Ensuring that Project supported activities </w:t>
      </w:r>
      <w:proofErr w:type="gramStart"/>
      <w:r w:rsidRPr="00986221">
        <w:t>are</w:t>
      </w:r>
      <w:proofErr w:type="gramEnd"/>
      <w:r w:rsidRPr="00986221">
        <w:t xml:space="preserve"> consistent with annual MERP and SEDP priorities.</w:t>
      </w:r>
    </w:p>
    <w:p w14:paraId="5E0E6FB2" w14:textId="77777777" w:rsidR="002B560F" w:rsidRPr="00986221" w:rsidRDefault="002B560F" w:rsidP="00154C7D">
      <w:pPr>
        <w:pStyle w:val="ListParagraphindent"/>
        <w:numPr>
          <w:ilvl w:val="2"/>
          <w:numId w:val="24"/>
        </w:numPr>
      </w:pPr>
      <w:r w:rsidRPr="00986221">
        <w:t>Taking the lead in organizing regular policy dialogue on priority cross-cutting economic restructuring and macroeconomic development issues.</w:t>
      </w:r>
    </w:p>
    <w:p w14:paraId="6ADFE424" w14:textId="77777777" w:rsidR="002B560F" w:rsidRPr="00986221" w:rsidRDefault="002B560F" w:rsidP="00154C7D">
      <w:pPr>
        <w:pStyle w:val="ListParagraphindent"/>
        <w:numPr>
          <w:ilvl w:val="2"/>
          <w:numId w:val="24"/>
        </w:numPr>
      </w:pPr>
      <w:r w:rsidRPr="00986221">
        <w:t>Developing and approving (with GOA concurrence) the Project Operating Manual (OM).</w:t>
      </w:r>
    </w:p>
    <w:p w14:paraId="2A40292C" w14:textId="77777777" w:rsidR="002B560F" w:rsidRPr="00986221" w:rsidRDefault="002B560F" w:rsidP="00154C7D">
      <w:pPr>
        <w:pStyle w:val="ListParagraphindent"/>
        <w:numPr>
          <w:ilvl w:val="2"/>
          <w:numId w:val="24"/>
        </w:numPr>
      </w:pPr>
      <w:r w:rsidRPr="00986221">
        <w:t>Developing, approving (in consultation with GOA and the CDs) of consolidated AWP and approving (with GOA concurrence) any CD requests for substantive revisions to AWP.</w:t>
      </w:r>
    </w:p>
    <w:p w14:paraId="7A784CA1" w14:textId="77777777" w:rsidR="002B560F" w:rsidRPr="00986221" w:rsidRDefault="002B560F" w:rsidP="00154C7D">
      <w:pPr>
        <w:pStyle w:val="ListParagraphindent"/>
        <w:numPr>
          <w:ilvl w:val="2"/>
          <w:numId w:val="24"/>
        </w:numPr>
      </w:pPr>
      <w:r w:rsidRPr="00986221">
        <w:t xml:space="preserve">Consolidation and submission of consolidated quarterly progress reports in line with Partner Government and </w:t>
      </w:r>
      <w:proofErr w:type="spellStart"/>
      <w:r w:rsidRPr="00986221">
        <w:t>GoA</w:t>
      </w:r>
      <w:proofErr w:type="spellEnd"/>
      <w:r w:rsidRPr="00986221">
        <w:t xml:space="preserve"> requirements.</w:t>
      </w:r>
    </w:p>
    <w:p w14:paraId="7420BFE9" w14:textId="77777777" w:rsidR="002B560F" w:rsidRPr="00986221" w:rsidRDefault="002B560F" w:rsidP="00154C7D">
      <w:pPr>
        <w:pStyle w:val="ListParagraphindent"/>
        <w:numPr>
          <w:ilvl w:val="2"/>
          <w:numId w:val="24"/>
        </w:numPr>
      </w:pPr>
      <w:r w:rsidRPr="00986221">
        <w:t>Monitoring and evaluating Project implementation and results performance, including preparation and submission of an annual progress and results monitoring report.</w:t>
      </w:r>
    </w:p>
    <w:p w14:paraId="276F3E90" w14:textId="77777777" w:rsidR="002B560F" w:rsidRPr="00986221" w:rsidRDefault="002B560F" w:rsidP="00154C7D">
      <w:pPr>
        <w:pStyle w:val="ListParagraphindent"/>
        <w:numPr>
          <w:ilvl w:val="2"/>
          <w:numId w:val="24"/>
        </w:numPr>
      </w:pPr>
      <w:r w:rsidRPr="00986221">
        <w:t>Management of the Flexible Fund Component, including approval (in consultation with GOA) of funded activities.</w:t>
      </w:r>
    </w:p>
    <w:p w14:paraId="71BFE9F5" w14:textId="77777777" w:rsidR="002B560F" w:rsidRPr="00986221" w:rsidRDefault="002B560F" w:rsidP="00154C7D">
      <w:pPr>
        <w:pStyle w:val="ListParagraph"/>
        <w:numPr>
          <w:ilvl w:val="0"/>
          <w:numId w:val="24"/>
        </w:numPr>
        <w:ind w:left="360"/>
      </w:pPr>
      <w:r w:rsidRPr="00986221">
        <w:t>The CDs responsibilities include:</w:t>
      </w:r>
    </w:p>
    <w:p w14:paraId="6A7F5F6D" w14:textId="77777777" w:rsidR="002B560F" w:rsidRPr="00986221" w:rsidRDefault="002B560F" w:rsidP="00154C7D">
      <w:pPr>
        <w:pStyle w:val="ListParagraphindent"/>
        <w:numPr>
          <w:ilvl w:val="2"/>
          <w:numId w:val="24"/>
        </w:numPr>
      </w:pPr>
      <w:r w:rsidRPr="00986221">
        <w:t xml:space="preserve">Developing draft annual component work plans and budgets (and proposed revisions to these plans if needed). </w:t>
      </w:r>
    </w:p>
    <w:p w14:paraId="337CC984" w14:textId="77777777" w:rsidR="002B560F" w:rsidRPr="00986221" w:rsidRDefault="002B560F" w:rsidP="00154C7D">
      <w:pPr>
        <w:pStyle w:val="ListParagraphindent"/>
        <w:numPr>
          <w:ilvl w:val="2"/>
          <w:numId w:val="24"/>
        </w:numPr>
      </w:pPr>
      <w:r w:rsidRPr="00986221">
        <w:t xml:space="preserve">Ensuring that Project supported activities </w:t>
      </w:r>
      <w:proofErr w:type="gramStart"/>
      <w:r w:rsidRPr="00986221">
        <w:t>are</w:t>
      </w:r>
      <w:proofErr w:type="gramEnd"/>
      <w:r w:rsidRPr="00986221">
        <w:t xml:space="preserve"> consistent with established priorities.</w:t>
      </w:r>
    </w:p>
    <w:p w14:paraId="554B9C87" w14:textId="77777777" w:rsidR="002B560F" w:rsidRPr="00986221" w:rsidRDefault="002B560F" w:rsidP="00154C7D">
      <w:pPr>
        <w:pStyle w:val="ListParagraphindent"/>
        <w:numPr>
          <w:ilvl w:val="2"/>
          <w:numId w:val="24"/>
        </w:numPr>
      </w:pPr>
      <w:r w:rsidRPr="00986221">
        <w:t xml:space="preserve">Ensuring compliance with financial management, transparency and reporting requirements of the GOA and Partner Government </w:t>
      </w:r>
    </w:p>
    <w:p w14:paraId="50C0BD23" w14:textId="77777777" w:rsidR="002B560F" w:rsidRPr="00986221" w:rsidRDefault="002B560F" w:rsidP="00154C7D">
      <w:pPr>
        <w:pStyle w:val="ListParagraphindent"/>
        <w:numPr>
          <w:ilvl w:val="2"/>
          <w:numId w:val="24"/>
        </w:numPr>
      </w:pPr>
      <w:r w:rsidRPr="00986221">
        <w:t>Actively exploring opportunities to ensure project activities are inclusive, and are targeted towards inclusive outcomes.</w:t>
      </w:r>
    </w:p>
    <w:p w14:paraId="0D24B63E" w14:textId="77777777" w:rsidR="002B560F" w:rsidRPr="00986221" w:rsidRDefault="002B560F" w:rsidP="00154C7D">
      <w:pPr>
        <w:pStyle w:val="ListParagraphindent"/>
        <w:numPr>
          <w:ilvl w:val="2"/>
          <w:numId w:val="24"/>
        </w:numPr>
      </w:pPr>
      <w:r w:rsidRPr="00986221">
        <w:t>Preparing and submitting consolidated quarterly progress reports.</w:t>
      </w:r>
    </w:p>
    <w:p w14:paraId="547029C9" w14:textId="77777777" w:rsidR="002B560F" w:rsidRPr="00986221" w:rsidRDefault="002B560F" w:rsidP="00154C7D">
      <w:pPr>
        <w:pStyle w:val="ListParagraphindent"/>
        <w:numPr>
          <w:ilvl w:val="2"/>
          <w:numId w:val="24"/>
        </w:numPr>
      </w:pPr>
      <w:r w:rsidRPr="00986221">
        <w:t>Monitoring and evaluating component implementation and results performance, including preparation and submission of an annual component progress and results monitoring report.</w:t>
      </w:r>
    </w:p>
    <w:p w14:paraId="6DFFE5E0" w14:textId="77777777" w:rsidR="002B560F" w:rsidRPr="00986221" w:rsidRDefault="002B560F" w:rsidP="00154C7D">
      <w:pPr>
        <w:pStyle w:val="ListParagraphindent"/>
        <w:numPr>
          <w:ilvl w:val="2"/>
          <w:numId w:val="24"/>
        </w:numPr>
      </w:pPr>
      <w:r w:rsidRPr="00986221">
        <w:t>Developing and implementing a communications, policy dialogue, and knowledge management strategy in cooperation with the PD.</w:t>
      </w:r>
    </w:p>
    <w:p w14:paraId="0D22A4C2" w14:textId="77777777" w:rsidR="002B560F" w:rsidRPr="00986221" w:rsidRDefault="002B560F" w:rsidP="00154C7D">
      <w:pPr>
        <w:pStyle w:val="ListParagraphindent"/>
        <w:numPr>
          <w:ilvl w:val="2"/>
          <w:numId w:val="24"/>
        </w:numPr>
      </w:pPr>
      <w:r w:rsidRPr="00986221">
        <w:t>Participating in PCC meetings and other Project related consultations.</w:t>
      </w:r>
    </w:p>
    <w:p w14:paraId="05176CFD" w14:textId="77777777" w:rsidR="002B560F" w:rsidRPr="00986221" w:rsidRDefault="002B560F" w:rsidP="00154C7D">
      <w:pPr>
        <w:pStyle w:val="ListParagraphindent"/>
        <w:numPr>
          <w:ilvl w:val="2"/>
          <w:numId w:val="24"/>
        </w:numPr>
      </w:pPr>
      <w:r w:rsidRPr="00986221">
        <w:t>Supporting the PD in organizing ad hoc policy dialogue on priority economic restructuring issues.</w:t>
      </w:r>
    </w:p>
    <w:p w14:paraId="6EBCD676" w14:textId="77777777" w:rsidR="002B560F" w:rsidRPr="00986221" w:rsidRDefault="002B560F" w:rsidP="002B560F">
      <w:pPr>
        <w:ind w:left="426" w:hanging="426"/>
        <w:rPr>
          <w:b/>
          <w:snapToGrid w:val="0"/>
        </w:rPr>
      </w:pPr>
      <w:r w:rsidRPr="00986221">
        <w:rPr>
          <w:b/>
          <w:snapToGrid w:val="0"/>
        </w:rPr>
        <w:t>Local Senior Advisory Group – International Senior Technical Adviser</w:t>
      </w:r>
    </w:p>
    <w:p w14:paraId="5D7C61AE" w14:textId="77777777" w:rsidR="002B560F" w:rsidRPr="00986221" w:rsidRDefault="002B560F" w:rsidP="002B560F">
      <w:pPr>
        <w:ind w:left="426" w:hanging="426"/>
        <w:rPr>
          <w:b/>
          <w:snapToGrid w:val="0"/>
        </w:rPr>
      </w:pPr>
    </w:p>
    <w:p w14:paraId="07BC30F2" w14:textId="77777777" w:rsidR="002B560F" w:rsidRPr="00986221" w:rsidRDefault="002B560F" w:rsidP="00154C7D">
      <w:pPr>
        <w:pStyle w:val="ListParagraph"/>
        <w:numPr>
          <w:ilvl w:val="0"/>
          <w:numId w:val="24"/>
        </w:numPr>
        <w:ind w:left="360"/>
      </w:pPr>
      <w:r w:rsidRPr="00986221">
        <w:t xml:space="preserve">The PD will be provided with advisory support by the local SAG and an international STA. </w:t>
      </w:r>
    </w:p>
    <w:p w14:paraId="59AE7A7F" w14:textId="77777777" w:rsidR="002B560F" w:rsidRPr="00986221" w:rsidRDefault="002B560F" w:rsidP="00154C7D">
      <w:pPr>
        <w:pStyle w:val="ListParagraph"/>
        <w:numPr>
          <w:ilvl w:val="0"/>
          <w:numId w:val="24"/>
        </w:numPr>
        <w:ind w:left="360"/>
      </w:pPr>
      <w:r w:rsidRPr="00986221">
        <w:t xml:space="preserve">The SAG will comprise experienced, well connected local experts from a range of backgrounds. The SAG will be retained under periodic contracts with the PCU to provide the Project stakeholders with support and advice on: political economy and policy dialogue; sectoral policy issues and considerations; emerging priorities; and tactics for increasing the Project’s influence. </w:t>
      </w:r>
    </w:p>
    <w:p w14:paraId="159E3806" w14:textId="77777777" w:rsidR="002B560F" w:rsidRPr="00986221" w:rsidRDefault="002B560F" w:rsidP="00154C7D">
      <w:pPr>
        <w:pStyle w:val="ListParagraph"/>
        <w:numPr>
          <w:ilvl w:val="0"/>
          <w:numId w:val="24"/>
        </w:numPr>
        <w:ind w:left="360"/>
      </w:pPr>
      <w:r w:rsidRPr="00986221">
        <w:t xml:space="preserve">While not necessarily independent of the GoV or the CPV, SAG members must be respected Vietnamese who have been engaged in economic reforms or as advocates of economic reforms, with a track record of providing frank and useful advice and/or stimulating debate in the public arena. The SAG will help build national (including GoV/ CPV) ownership of the program, as well as building partnerships with key stakeholders to and the Australian Embassy to improve the quality of policy dialogue and engagement on economic issues between Australia and Vietnam.  </w:t>
      </w:r>
    </w:p>
    <w:p w14:paraId="71D80881" w14:textId="77777777" w:rsidR="002B560F" w:rsidRPr="00986221" w:rsidRDefault="002B560F" w:rsidP="00154C7D">
      <w:pPr>
        <w:pStyle w:val="ListParagraph"/>
        <w:numPr>
          <w:ilvl w:val="0"/>
          <w:numId w:val="24"/>
        </w:numPr>
        <w:ind w:left="360"/>
        <w:rPr>
          <w:i/>
        </w:rPr>
      </w:pPr>
      <w:r w:rsidRPr="00986221">
        <w:t xml:space="preserve">The STA will be recruited by GOA and will be accountable to both GOA and the PD. Work plans for the STA will be jointly developed and agreed between GOA and the PCU. The STA will be an experienced international expert with post-graduate qualifications in economics and extensive experience in providing support for economic policy and institutional change and development in Vietnam and the region. </w:t>
      </w:r>
    </w:p>
    <w:p w14:paraId="07CB4443" w14:textId="77777777" w:rsidR="002B560F" w:rsidRPr="00986221" w:rsidRDefault="002B560F" w:rsidP="002B560F">
      <w:pPr>
        <w:spacing w:after="120"/>
        <w:rPr>
          <w:rFonts w:cs="Arial"/>
          <w:b/>
          <w:snapToGrid w:val="0"/>
          <w:szCs w:val="22"/>
        </w:rPr>
      </w:pPr>
      <w:r w:rsidRPr="00986221">
        <w:rPr>
          <w:rFonts w:cs="Arial"/>
          <w:b/>
          <w:snapToGrid w:val="0"/>
          <w:szCs w:val="22"/>
        </w:rPr>
        <w:t xml:space="preserve">Project Coordination Unit </w:t>
      </w:r>
    </w:p>
    <w:p w14:paraId="1C067A83" w14:textId="77777777" w:rsidR="002B560F" w:rsidRPr="00986221" w:rsidRDefault="002B560F" w:rsidP="00154C7D">
      <w:pPr>
        <w:pStyle w:val="ListParagraph"/>
        <w:numPr>
          <w:ilvl w:val="0"/>
          <w:numId w:val="24"/>
        </w:numPr>
        <w:ind w:left="360"/>
        <w:rPr>
          <w:snapToGrid w:val="0"/>
          <w:szCs w:val="22"/>
        </w:rPr>
      </w:pPr>
      <w:r w:rsidRPr="00986221">
        <w:rPr>
          <w:snapToGrid w:val="0"/>
          <w:szCs w:val="22"/>
        </w:rPr>
        <w:t xml:space="preserve">The Partner Government will establish a Project Coordination Unit (PCU) within CIEM, MPI. </w:t>
      </w:r>
    </w:p>
    <w:p w14:paraId="3F96A199" w14:textId="77777777" w:rsidR="002B560F" w:rsidRPr="00986221" w:rsidRDefault="002B560F" w:rsidP="00154C7D">
      <w:pPr>
        <w:pStyle w:val="ListParagraph"/>
        <w:numPr>
          <w:ilvl w:val="0"/>
          <w:numId w:val="24"/>
        </w:numPr>
        <w:ind w:left="360"/>
        <w:rPr>
          <w:snapToGrid w:val="0"/>
          <w:szCs w:val="22"/>
        </w:rPr>
      </w:pPr>
      <w:r w:rsidRPr="00986221">
        <w:rPr>
          <w:snapToGrid w:val="0"/>
          <w:szCs w:val="22"/>
        </w:rPr>
        <w:t xml:space="preserve">The PCU will be headed by </w:t>
      </w:r>
      <w:r w:rsidRPr="00986221">
        <w:t xml:space="preserve">Senior Project Coordinator-Economist (SPC-E), and </w:t>
      </w:r>
      <w:r w:rsidRPr="00986221">
        <w:rPr>
          <w:snapToGrid w:val="0"/>
          <w:szCs w:val="22"/>
        </w:rPr>
        <w:t xml:space="preserve">staffed by Partner Government employees and contracted staff. </w:t>
      </w:r>
    </w:p>
    <w:p w14:paraId="10C2324B" w14:textId="77777777" w:rsidR="002B560F" w:rsidRPr="00986221" w:rsidRDefault="002B560F" w:rsidP="00154C7D">
      <w:pPr>
        <w:pStyle w:val="ListParagraph"/>
        <w:numPr>
          <w:ilvl w:val="0"/>
          <w:numId w:val="24"/>
        </w:numPr>
        <w:ind w:left="360"/>
        <w:rPr>
          <w:snapToGrid w:val="0"/>
          <w:szCs w:val="22"/>
        </w:rPr>
      </w:pPr>
      <w:r w:rsidRPr="00986221">
        <w:rPr>
          <w:snapToGrid w:val="0"/>
          <w:szCs w:val="22"/>
        </w:rPr>
        <w:t>The PCU will be responsible for:</w:t>
      </w:r>
    </w:p>
    <w:p w14:paraId="05101435" w14:textId="77777777" w:rsidR="002B560F" w:rsidRPr="00986221" w:rsidRDefault="002B560F" w:rsidP="00154C7D">
      <w:pPr>
        <w:pStyle w:val="ListParagraphindent"/>
        <w:numPr>
          <w:ilvl w:val="2"/>
          <w:numId w:val="24"/>
        </w:numPr>
        <w:rPr>
          <w:snapToGrid w:val="0"/>
        </w:rPr>
      </w:pPr>
      <w:r w:rsidRPr="00986221">
        <w:rPr>
          <w:snapToGrid w:val="0"/>
        </w:rPr>
        <w:t>Providing the Secretariat for the PCC including;</w:t>
      </w:r>
    </w:p>
    <w:p w14:paraId="54E3E821" w14:textId="77777777" w:rsidR="002B560F" w:rsidRPr="00986221" w:rsidRDefault="002B560F" w:rsidP="00154C7D">
      <w:pPr>
        <w:pStyle w:val="ListParagraphindent2"/>
        <w:numPr>
          <w:ilvl w:val="3"/>
          <w:numId w:val="24"/>
        </w:numPr>
        <w:rPr>
          <w:snapToGrid w:val="0"/>
        </w:rPr>
      </w:pPr>
      <w:proofErr w:type="gramStart"/>
      <w:r w:rsidRPr="00986221">
        <w:rPr>
          <w:snapToGrid w:val="0"/>
        </w:rPr>
        <w:t>the</w:t>
      </w:r>
      <w:proofErr w:type="gramEnd"/>
      <w:r w:rsidRPr="00986221">
        <w:rPr>
          <w:snapToGrid w:val="0"/>
        </w:rPr>
        <w:t xml:space="preserve"> drafting and distribution of the agenda and working papers and reports to PCC members.</w:t>
      </w:r>
    </w:p>
    <w:p w14:paraId="464D20A4" w14:textId="77777777" w:rsidR="002B560F" w:rsidRPr="00986221" w:rsidRDefault="002B560F" w:rsidP="00154C7D">
      <w:pPr>
        <w:pStyle w:val="ListParagraphindent2"/>
        <w:numPr>
          <w:ilvl w:val="3"/>
          <w:numId w:val="24"/>
        </w:numPr>
        <w:rPr>
          <w:snapToGrid w:val="0"/>
        </w:rPr>
      </w:pPr>
      <w:r w:rsidRPr="00986221">
        <w:rPr>
          <w:snapToGrid w:val="0"/>
        </w:rPr>
        <w:t>the collation, analysis and reporting of Performance indicators data;</w:t>
      </w:r>
    </w:p>
    <w:p w14:paraId="17EA0793" w14:textId="77777777" w:rsidR="002B560F" w:rsidRPr="00986221" w:rsidRDefault="002B560F" w:rsidP="00154C7D">
      <w:pPr>
        <w:pStyle w:val="ListParagraphindent2"/>
        <w:numPr>
          <w:ilvl w:val="3"/>
          <w:numId w:val="24"/>
        </w:numPr>
        <w:rPr>
          <w:snapToGrid w:val="0"/>
        </w:rPr>
      </w:pPr>
      <w:r w:rsidRPr="00986221">
        <w:rPr>
          <w:snapToGrid w:val="0"/>
        </w:rPr>
        <w:t>coordinating and distributing financial reports;</w:t>
      </w:r>
    </w:p>
    <w:p w14:paraId="08315DA2" w14:textId="77777777" w:rsidR="002B560F" w:rsidRPr="00986221" w:rsidRDefault="002B560F" w:rsidP="00154C7D">
      <w:pPr>
        <w:pStyle w:val="ListParagraphindent"/>
        <w:numPr>
          <w:ilvl w:val="2"/>
          <w:numId w:val="24"/>
        </w:numPr>
        <w:rPr>
          <w:snapToGrid w:val="0"/>
        </w:rPr>
      </w:pPr>
      <w:r w:rsidRPr="00986221">
        <w:rPr>
          <w:snapToGrid w:val="0"/>
        </w:rPr>
        <w:t>Development of the draft AWP and finalising the AWP following endorsement by the PCC;</w:t>
      </w:r>
    </w:p>
    <w:p w14:paraId="68E1D169" w14:textId="77777777" w:rsidR="002B560F" w:rsidRPr="00986221" w:rsidRDefault="002B560F" w:rsidP="00154C7D">
      <w:pPr>
        <w:pStyle w:val="ListParagraphindent"/>
        <w:numPr>
          <w:ilvl w:val="2"/>
          <w:numId w:val="24"/>
        </w:numPr>
        <w:rPr>
          <w:snapToGrid w:val="0"/>
        </w:rPr>
      </w:pPr>
      <w:r w:rsidRPr="00986221">
        <w:rPr>
          <w:snapToGrid w:val="0"/>
        </w:rPr>
        <w:t>Preparation of papers and reports for the Annual Review meeting;</w:t>
      </w:r>
    </w:p>
    <w:p w14:paraId="3A2BA6E0" w14:textId="77777777" w:rsidR="002B560F" w:rsidRPr="00986221" w:rsidRDefault="002B560F" w:rsidP="00154C7D">
      <w:pPr>
        <w:pStyle w:val="ListParagraphindent"/>
        <w:numPr>
          <w:ilvl w:val="2"/>
          <w:numId w:val="24"/>
        </w:numPr>
        <w:rPr>
          <w:snapToGrid w:val="0"/>
        </w:rPr>
      </w:pPr>
      <w:r w:rsidRPr="00986221">
        <w:rPr>
          <w:snapToGrid w:val="0"/>
        </w:rPr>
        <w:t>Updating the Risk Management Plan as requested by the PCC;</w:t>
      </w:r>
    </w:p>
    <w:p w14:paraId="37ADB146" w14:textId="77777777" w:rsidR="002B560F" w:rsidRPr="00986221" w:rsidRDefault="002B560F" w:rsidP="00154C7D">
      <w:pPr>
        <w:pStyle w:val="ListParagraphindent"/>
        <w:numPr>
          <w:ilvl w:val="2"/>
          <w:numId w:val="24"/>
        </w:numPr>
        <w:rPr>
          <w:snapToGrid w:val="0"/>
        </w:rPr>
      </w:pPr>
      <w:r w:rsidRPr="00986221">
        <w:rPr>
          <w:snapToGrid w:val="0"/>
        </w:rPr>
        <w:t>Preparation of requests for use of Flexible Fund for presentation to the PCC and management of relevant funded activities;</w:t>
      </w:r>
    </w:p>
    <w:p w14:paraId="1D76925D" w14:textId="77777777" w:rsidR="002B560F" w:rsidRPr="00986221" w:rsidRDefault="002B560F" w:rsidP="00154C7D">
      <w:pPr>
        <w:pStyle w:val="ListParagraphindent"/>
        <w:numPr>
          <w:ilvl w:val="2"/>
          <w:numId w:val="24"/>
        </w:numPr>
      </w:pPr>
      <w:r w:rsidRPr="00986221">
        <w:t>Monitoring project financial management and audit procedures in line with GOA and Vietnamese ODA guidelines;</w:t>
      </w:r>
    </w:p>
    <w:p w14:paraId="68D9BBA5" w14:textId="77777777" w:rsidR="002B560F" w:rsidRPr="00986221" w:rsidRDefault="002B560F" w:rsidP="00154C7D">
      <w:pPr>
        <w:pStyle w:val="ListParagraphindent"/>
        <w:numPr>
          <w:ilvl w:val="2"/>
          <w:numId w:val="24"/>
        </w:numPr>
        <w:rPr>
          <w:snapToGrid w:val="0"/>
        </w:rPr>
      </w:pPr>
      <w:r w:rsidRPr="00986221">
        <w:rPr>
          <w:snapToGrid w:val="0"/>
        </w:rPr>
        <w:t>Other specific responsibilities/tasks as relevant/appropriate to the Project</w:t>
      </w:r>
    </w:p>
    <w:p w14:paraId="04009C2F" w14:textId="77777777" w:rsidR="002B560F" w:rsidRPr="00986221" w:rsidRDefault="002B560F" w:rsidP="00154C7D">
      <w:pPr>
        <w:pStyle w:val="ListParagraph"/>
        <w:numPr>
          <w:ilvl w:val="0"/>
          <w:numId w:val="24"/>
        </w:numPr>
        <w:ind w:left="360"/>
        <w:rPr>
          <w:snapToGrid w:val="0"/>
          <w:szCs w:val="22"/>
        </w:rPr>
      </w:pPr>
      <w:r w:rsidRPr="00986221">
        <w:rPr>
          <w:snapToGrid w:val="0"/>
          <w:szCs w:val="22"/>
        </w:rPr>
        <w:t>The PCU may also be supported by technical assistance provided by the GOA.</w:t>
      </w:r>
    </w:p>
    <w:p w14:paraId="2674787D" w14:textId="77777777" w:rsidR="002B560F" w:rsidRPr="00986221" w:rsidRDefault="002B560F" w:rsidP="002B560F">
      <w:pPr>
        <w:rPr>
          <w:rFonts w:cs="Arial"/>
          <w:b/>
          <w:snapToGrid w:val="0"/>
          <w:szCs w:val="22"/>
        </w:rPr>
      </w:pPr>
      <w:r w:rsidRPr="00986221">
        <w:rPr>
          <w:rFonts w:cs="Arial"/>
          <w:b/>
          <w:snapToGrid w:val="0"/>
          <w:szCs w:val="22"/>
        </w:rPr>
        <w:t xml:space="preserve">Project Coordination Committee </w:t>
      </w:r>
    </w:p>
    <w:p w14:paraId="5D3F1CD7" w14:textId="77777777" w:rsidR="002B560F" w:rsidRPr="00986221" w:rsidRDefault="002B560F" w:rsidP="002B560F">
      <w:pPr>
        <w:rPr>
          <w:rFonts w:cs="Arial"/>
          <w:b/>
          <w:snapToGrid w:val="0"/>
          <w:szCs w:val="22"/>
        </w:rPr>
      </w:pPr>
    </w:p>
    <w:p w14:paraId="59423E3E" w14:textId="77777777" w:rsidR="002B560F" w:rsidRPr="00986221" w:rsidRDefault="002B560F" w:rsidP="00154C7D">
      <w:pPr>
        <w:pStyle w:val="ListParagraph"/>
        <w:numPr>
          <w:ilvl w:val="0"/>
          <w:numId w:val="24"/>
        </w:numPr>
        <w:ind w:left="360"/>
        <w:rPr>
          <w:snapToGrid w:val="0"/>
          <w:szCs w:val="22"/>
        </w:rPr>
      </w:pPr>
      <w:r w:rsidRPr="00986221">
        <w:rPr>
          <w:lang w:val="en-GB"/>
        </w:rPr>
        <w:t>The Parties acknowledge that regular consultation between the Parties is critical to the effective implementation of the Project.</w:t>
      </w:r>
    </w:p>
    <w:p w14:paraId="5D5ABE11" w14:textId="77777777" w:rsidR="002B560F" w:rsidRPr="00986221" w:rsidRDefault="002B560F" w:rsidP="00154C7D">
      <w:pPr>
        <w:pStyle w:val="ListParagraph"/>
        <w:numPr>
          <w:ilvl w:val="0"/>
          <w:numId w:val="24"/>
        </w:numPr>
        <w:ind w:left="360"/>
        <w:rPr>
          <w:snapToGrid w:val="0"/>
          <w:szCs w:val="22"/>
        </w:rPr>
      </w:pPr>
      <w:r w:rsidRPr="00986221">
        <w:rPr>
          <w:lang w:val="en-GB"/>
        </w:rPr>
        <w:t xml:space="preserve">Coordination between the Parties will be achieved through the establishment of a Project Coordination Committee (PCC) to </w:t>
      </w:r>
      <w:r w:rsidRPr="00986221">
        <w:t>ensure on-going consultation, planning, coordination and implementation of the Project. The PCC will facilitate the use of “whole of government” approaches to supporting economic restructuring and development.</w:t>
      </w:r>
    </w:p>
    <w:p w14:paraId="7D3A8171" w14:textId="77777777" w:rsidR="002B560F" w:rsidRPr="00986221" w:rsidRDefault="002B560F" w:rsidP="00154C7D">
      <w:pPr>
        <w:pStyle w:val="ListParagraph"/>
        <w:numPr>
          <w:ilvl w:val="0"/>
          <w:numId w:val="24"/>
        </w:numPr>
        <w:ind w:left="360"/>
        <w:rPr>
          <w:snapToGrid w:val="0"/>
          <w:szCs w:val="22"/>
        </w:rPr>
      </w:pPr>
      <w:r w:rsidRPr="00986221">
        <w:rPr>
          <w:lang w:val="en-GB"/>
        </w:rPr>
        <w:t xml:space="preserve">The PCC will meet at least every </w:t>
      </w:r>
      <w:r w:rsidRPr="00986221">
        <w:rPr>
          <w:i/>
          <w:lang w:val="en-GB"/>
        </w:rPr>
        <w:t xml:space="preserve">6 </w:t>
      </w:r>
      <w:r w:rsidRPr="00986221">
        <w:rPr>
          <w:lang w:val="en-GB"/>
        </w:rPr>
        <w:t xml:space="preserve">months unless an alternative time interval between meetings is </w:t>
      </w:r>
      <w:r w:rsidRPr="00986221">
        <w:t>subsequently agreed by the</w:t>
      </w:r>
      <w:r w:rsidRPr="00986221">
        <w:rPr>
          <w:lang w:val="en-GB"/>
        </w:rPr>
        <w:t xml:space="preserve"> PD and GOA. </w:t>
      </w:r>
    </w:p>
    <w:p w14:paraId="4884C223" w14:textId="77777777" w:rsidR="002B560F" w:rsidRPr="00986221" w:rsidRDefault="002B560F" w:rsidP="00154C7D">
      <w:pPr>
        <w:pStyle w:val="ListParagraph"/>
        <w:numPr>
          <w:ilvl w:val="0"/>
          <w:numId w:val="24"/>
        </w:numPr>
        <w:ind w:left="360"/>
      </w:pPr>
      <w:r w:rsidRPr="00986221">
        <w:rPr>
          <w:snapToGrid w:val="0"/>
        </w:rPr>
        <w:t xml:space="preserve">The PCC will </w:t>
      </w:r>
      <w:r w:rsidRPr="00986221">
        <w:t xml:space="preserve">comprise the PD (as its Chair), CDs and GOA. </w:t>
      </w:r>
      <w:r w:rsidRPr="00986221">
        <w:rPr>
          <w:snapToGrid w:val="0"/>
        </w:rPr>
        <w:t xml:space="preserve">In addition to the above representatives, representatives from relevant organisations or agencies, such as those from SAG, National Assembly Economic Committee, and CPV Economic Commission may be invited to attend PCC meetings with the agreement of both Parties </w:t>
      </w:r>
      <w:r w:rsidRPr="00986221">
        <w:t xml:space="preserve">in order to advance the reform agenda. </w:t>
      </w:r>
    </w:p>
    <w:p w14:paraId="28189CBF" w14:textId="77777777" w:rsidR="002B560F" w:rsidRPr="00986221" w:rsidRDefault="002B560F" w:rsidP="00154C7D">
      <w:pPr>
        <w:pStyle w:val="ListParagraph"/>
        <w:numPr>
          <w:ilvl w:val="0"/>
          <w:numId w:val="24"/>
        </w:numPr>
        <w:ind w:left="360"/>
        <w:rPr>
          <w:snapToGrid w:val="0"/>
          <w:szCs w:val="22"/>
        </w:rPr>
      </w:pPr>
      <w:r w:rsidRPr="00986221">
        <w:rPr>
          <w:lang w:val="en-GB"/>
        </w:rPr>
        <w:t>The PCU is responsible for providing the agenda and papers including reports to all PCC representatives 5 working days in advance of a meeting.</w:t>
      </w:r>
    </w:p>
    <w:p w14:paraId="534211AB" w14:textId="77777777" w:rsidR="002B560F" w:rsidRPr="00F76959" w:rsidRDefault="002B560F" w:rsidP="00154C7D">
      <w:pPr>
        <w:pStyle w:val="ListParagraph"/>
        <w:numPr>
          <w:ilvl w:val="0"/>
          <w:numId w:val="24"/>
        </w:numPr>
        <w:ind w:left="360"/>
        <w:rPr>
          <w:snapToGrid w:val="0"/>
          <w:szCs w:val="22"/>
          <w:highlight w:val="yellow"/>
        </w:rPr>
      </w:pPr>
      <w:r w:rsidRPr="00F76959">
        <w:rPr>
          <w:highlight w:val="yellow"/>
          <w:lang w:val="en-GB"/>
        </w:rPr>
        <w:t xml:space="preserve">Key subjects to be discussed by the PCC include: </w:t>
      </w:r>
    </w:p>
    <w:p w14:paraId="28ACB57F" w14:textId="77777777" w:rsidR="002B560F" w:rsidRPr="00F76959" w:rsidRDefault="002B560F" w:rsidP="00986221">
      <w:pPr>
        <w:pStyle w:val="ListParagraphindent"/>
        <w:numPr>
          <w:ilvl w:val="2"/>
          <w:numId w:val="24"/>
        </w:numPr>
        <w:ind w:left="709"/>
        <w:rPr>
          <w:highlight w:val="yellow"/>
          <w:lang w:val="en-GB"/>
        </w:rPr>
      </w:pPr>
      <w:r w:rsidRPr="00F76959">
        <w:rPr>
          <w:highlight w:val="yellow"/>
        </w:rPr>
        <w:t xml:space="preserve">Assessment/review of performance/budget execution and expenditure priorities on the basis of the indicators described in the </w:t>
      </w:r>
      <w:r w:rsidRPr="00F76959">
        <w:rPr>
          <w:b/>
          <w:i/>
          <w:highlight w:val="yellow"/>
          <w:u w:val="single"/>
        </w:rPr>
        <w:t>Performance Assessment Framework- Annex 3</w:t>
      </w:r>
      <w:r w:rsidRPr="00F76959">
        <w:rPr>
          <w:highlight w:val="yellow"/>
        </w:rPr>
        <w:t>;</w:t>
      </w:r>
    </w:p>
    <w:p w14:paraId="04BBA3F4" w14:textId="77777777" w:rsidR="002B560F" w:rsidRPr="00F76959" w:rsidRDefault="002B560F" w:rsidP="00986221">
      <w:pPr>
        <w:pStyle w:val="ListParagraphindent"/>
        <w:numPr>
          <w:ilvl w:val="2"/>
          <w:numId w:val="24"/>
        </w:numPr>
        <w:ind w:left="709"/>
        <w:rPr>
          <w:highlight w:val="yellow"/>
          <w:lang w:val="en-GB"/>
        </w:rPr>
      </w:pPr>
      <w:r w:rsidRPr="00F76959">
        <w:rPr>
          <w:highlight w:val="yellow"/>
        </w:rPr>
        <w:t>Annual review of AWP for the forthcoming calendar year/revenue and expenditure priorities; implementation of the Agreement;</w:t>
      </w:r>
    </w:p>
    <w:p w14:paraId="2D8D80D0" w14:textId="77777777" w:rsidR="002B560F" w:rsidRPr="00F76959" w:rsidRDefault="002B560F" w:rsidP="00986221">
      <w:pPr>
        <w:pStyle w:val="ListParagraphindent"/>
        <w:numPr>
          <w:ilvl w:val="2"/>
          <w:numId w:val="24"/>
        </w:numPr>
        <w:ind w:left="709"/>
        <w:rPr>
          <w:highlight w:val="yellow"/>
          <w:lang w:val="en-GB"/>
        </w:rPr>
      </w:pPr>
      <w:r w:rsidRPr="00F76959">
        <w:rPr>
          <w:highlight w:val="yellow"/>
        </w:rPr>
        <w:t xml:space="preserve">Review/update of </w:t>
      </w:r>
      <w:r w:rsidRPr="00F76959">
        <w:rPr>
          <w:b/>
          <w:i/>
          <w:highlight w:val="yellow"/>
          <w:u w:val="single"/>
        </w:rPr>
        <w:t>Project risk management plan - Annex 4</w:t>
      </w:r>
    </w:p>
    <w:p w14:paraId="289375BE" w14:textId="77777777" w:rsidR="002B560F" w:rsidRPr="00F76959" w:rsidRDefault="002B560F" w:rsidP="00986221">
      <w:pPr>
        <w:pStyle w:val="ListParagraphindent"/>
        <w:numPr>
          <w:ilvl w:val="2"/>
          <w:numId w:val="24"/>
        </w:numPr>
        <w:ind w:left="709"/>
        <w:rPr>
          <w:highlight w:val="yellow"/>
          <w:lang w:val="en-GB"/>
        </w:rPr>
      </w:pPr>
      <w:r w:rsidRPr="00F76959">
        <w:rPr>
          <w:highlight w:val="yellow"/>
        </w:rPr>
        <w:t>Consideration of audit report(s) and follow up required on audits;</w:t>
      </w:r>
    </w:p>
    <w:p w14:paraId="3C18CD1F" w14:textId="77777777" w:rsidR="002B560F" w:rsidRPr="00F76959" w:rsidRDefault="002B560F" w:rsidP="00986221">
      <w:pPr>
        <w:pStyle w:val="ListParagraphindent"/>
        <w:numPr>
          <w:ilvl w:val="2"/>
          <w:numId w:val="24"/>
        </w:numPr>
        <w:ind w:left="709"/>
        <w:rPr>
          <w:highlight w:val="yellow"/>
          <w:lang w:val="en-GB"/>
        </w:rPr>
      </w:pPr>
      <w:r w:rsidRPr="00F76959">
        <w:rPr>
          <w:highlight w:val="yellow"/>
          <w:lang w:val="en-GB"/>
        </w:rPr>
        <w:t>Share knowledge and experiences with Project implementation and on implementation of the MPER.</w:t>
      </w:r>
    </w:p>
    <w:p w14:paraId="1E81E299" w14:textId="77777777" w:rsidR="002B560F" w:rsidRPr="00F76959" w:rsidRDefault="002B560F" w:rsidP="00986221">
      <w:pPr>
        <w:pStyle w:val="ListParagraphindent"/>
        <w:numPr>
          <w:ilvl w:val="2"/>
          <w:numId w:val="24"/>
        </w:numPr>
        <w:ind w:left="709"/>
        <w:rPr>
          <w:highlight w:val="yellow"/>
          <w:lang w:val="en-GB"/>
        </w:rPr>
      </w:pPr>
      <w:r w:rsidRPr="00F76959">
        <w:rPr>
          <w:highlight w:val="yellow"/>
          <w:lang w:val="en-GB"/>
        </w:rPr>
        <w:t xml:space="preserve">Suggest priorities for policy dialogues and implementation of major policy dialogue events </w:t>
      </w:r>
    </w:p>
    <w:p w14:paraId="77DED43B" w14:textId="77777777" w:rsidR="002B560F" w:rsidRPr="00F76959" w:rsidRDefault="002B560F" w:rsidP="00986221">
      <w:pPr>
        <w:pStyle w:val="ListParagraphindent"/>
        <w:numPr>
          <w:ilvl w:val="2"/>
          <w:numId w:val="24"/>
        </w:numPr>
        <w:ind w:left="709"/>
        <w:rPr>
          <w:highlight w:val="yellow"/>
        </w:rPr>
      </w:pPr>
      <w:r w:rsidRPr="00F76959">
        <w:rPr>
          <w:highlight w:val="yellow"/>
          <w:lang w:val="en-GB"/>
        </w:rPr>
        <w:t xml:space="preserve">Suggest priorities for the use of Flexible Fund, and </w:t>
      </w:r>
      <w:r w:rsidRPr="00F76959">
        <w:rPr>
          <w:highlight w:val="yellow"/>
        </w:rPr>
        <w:t>requirements for additional technical assistance for implementation.</w:t>
      </w:r>
    </w:p>
    <w:p w14:paraId="3A80D4AB" w14:textId="77777777" w:rsidR="002B560F" w:rsidRPr="00986221" w:rsidRDefault="002B560F" w:rsidP="00154C7D">
      <w:pPr>
        <w:pStyle w:val="ListParagraph"/>
        <w:numPr>
          <w:ilvl w:val="0"/>
          <w:numId w:val="24"/>
        </w:numPr>
        <w:ind w:left="360"/>
        <w:rPr>
          <w:snapToGrid w:val="0"/>
          <w:szCs w:val="22"/>
        </w:rPr>
      </w:pPr>
      <w:r w:rsidRPr="00986221">
        <w:rPr>
          <w:lang w:val="en-GB"/>
        </w:rPr>
        <w:t>The results of the meeting will be recorded in Agreed Minutes.</w:t>
      </w:r>
    </w:p>
    <w:p w14:paraId="7B6B7A0F" w14:textId="77777777" w:rsidR="002B560F" w:rsidRPr="00986221" w:rsidRDefault="002B560F" w:rsidP="00154C7D">
      <w:pPr>
        <w:pStyle w:val="ListParagraph"/>
        <w:numPr>
          <w:ilvl w:val="0"/>
          <w:numId w:val="24"/>
        </w:numPr>
        <w:ind w:left="360"/>
        <w:rPr>
          <w:snapToGrid w:val="0"/>
          <w:szCs w:val="22"/>
        </w:rPr>
      </w:pPr>
      <w:r w:rsidRPr="00986221">
        <w:rPr>
          <w:lang w:val="en-GB"/>
        </w:rPr>
        <w:t xml:space="preserve">The Agreed Minutes will be drafted by the PCU and a draft sent to GOA and all other PCC representatives, for their comments/approvals, within 10 working days of the meeting being held. </w:t>
      </w:r>
    </w:p>
    <w:p w14:paraId="65369EC3" w14:textId="77777777" w:rsidR="002B560F" w:rsidRPr="00986221" w:rsidRDefault="002B560F" w:rsidP="00154C7D">
      <w:pPr>
        <w:pStyle w:val="ListParagraph"/>
        <w:numPr>
          <w:ilvl w:val="0"/>
          <w:numId w:val="24"/>
        </w:numPr>
        <w:ind w:left="360"/>
        <w:rPr>
          <w:snapToGrid w:val="0"/>
          <w:szCs w:val="22"/>
        </w:rPr>
      </w:pPr>
      <w:r w:rsidRPr="00986221">
        <w:rPr>
          <w:lang w:val="en-GB"/>
        </w:rPr>
        <w:t>The GOA will inform the Partner Government of their approval/comments within ten working days of receipt of the draft Minutes. If no comments are received from GOA within 10 working days it will be assumed that GOA has endorsed the Minutes.</w:t>
      </w:r>
    </w:p>
    <w:p w14:paraId="7B758EDB" w14:textId="77777777" w:rsidR="002B560F" w:rsidRPr="00986221" w:rsidRDefault="002B560F" w:rsidP="00154C7D">
      <w:pPr>
        <w:pStyle w:val="ListParagraph"/>
        <w:numPr>
          <w:ilvl w:val="0"/>
          <w:numId w:val="24"/>
        </w:numPr>
        <w:ind w:left="360"/>
        <w:rPr>
          <w:snapToGrid w:val="0"/>
          <w:szCs w:val="22"/>
        </w:rPr>
      </w:pPr>
      <w:r w:rsidRPr="00986221">
        <w:rPr>
          <w:lang w:val="en-GB"/>
        </w:rPr>
        <w:t>Additional consultation meetings may be requested by the Partner Government or GOA on any subject relevant to the implementation of the Project.</w:t>
      </w:r>
    </w:p>
    <w:p w14:paraId="67F6569A" w14:textId="77777777" w:rsidR="002B560F" w:rsidRPr="00986221" w:rsidRDefault="002B560F" w:rsidP="002B560F">
      <w:pPr>
        <w:spacing w:after="120"/>
        <w:ind w:left="426"/>
        <w:rPr>
          <w:rFonts w:cs="Arial"/>
          <w:b/>
          <w:snapToGrid w:val="0"/>
          <w:szCs w:val="22"/>
        </w:rPr>
      </w:pPr>
      <w:r w:rsidRPr="00986221">
        <w:rPr>
          <w:rFonts w:cs="Arial"/>
          <w:b/>
          <w:lang w:val="en-GB"/>
        </w:rPr>
        <w:t xml:space="preserve">Annual Project Review and Planning Meeting(s) </w:t>
      </w:r>
    </w:p>
    <w:p w14:paraId="70653346" w14:textId="77777777" w:rsidR="002B560F" w:rsidRPr="00986221" w:rsidRDefault="002B560F" w:rsidP="00154C7D">
      <w:pPr>
        <w:pStyle w:val="ListParagraph"/>
        <w:numPr>
          <w:ilvl w:val="0"/>
          <w:numId w:val="24"/>
        </w:numPr>
        <w:ind w:left="360"/>
        <w:rPr>
          <w:snapToGrid w:val="0"/>
          <w:szCs w:val="22"/>
        </w:rPr>
      </w:pPr>
      <w:r w:rsidRPr="00986221">
        <w:rPr>
          <w:snapToGrid w:val="0"/>
          <w:szCs w:val="22"/>
        </w:rPr>
        <w:t>In April 2014 and 2015, the PCC will convene an Annual Project Review and Planning meeting.</w:t>
      </w:r>
    </w:p>
    <w:p w14:paraId="756D02C2" w14:textId="77777777" w:rsidR="002B560F" w:rsidRPr="00986221" w:rsidRDefault="002B560F" w:rsidP="00154C7D">
      <w:pPr>
        <w:pStyle w:val="ListParagraph"/>
        <w:numPr>
          <w:ilvl w:val="0"/>
          <w:numId w:val="24"/>
        </w:numPr>
        <w:ind w:left="360"/>
        <w:rPr>
          <w:snapToGrid w:val="0"/>
          <w:szCs w:val="22"/>
        </w:rPr>
      </w:pPr>
      <w:r w:rsidRPr="00986221">
        <w:rPr>
          <w:snapToGrid w:val="0"/>
          <w:szCs w:val="22"/>
        </w:rPr>
        <w:t>Prior to the meeting the PCU will develop and circulate the following papers in advance of the meeting:</w:t>
      </w:r>
    </w:p>
    <w:p w14:paraId="720FAFE7" w14:textId="77777777" w:rsidR="002B560F" w:rsidRPr="00986221" w:rsidRDefault="002B560F" w:rsidP="00986221">
      <w:pPr>
        <w:pStyle w:val="ListParagraphindent"/>
        <w:numPr>
          <w:ilvl w:val="2"/>
          <w:numId w:val="24"/>
        </w:numPr>
        <w:ind w:left="709"/>
        <w:rPr>
          <w:snapToGrid w:val="0"/>
        </w:rPr>
      </w:pPr>
      <w:r w:rsidRPr="00986221">
        <w:rPr>
          <w:snapToGrid w:val="0"/>
        </w:rPr>
        <w:t>An Annual Project Management Report including:</w:t>
      </w:r>
    </w:p>
    <w:p w14:paraId="5EDC329E" w14:textId="77777777" w:rsidR="002B560F" w:rsidRPr="00986221" w:rsidRDefault="002B560F" w:rsidP="00986221">
      <w:pPr>
        <w:pStyle w:val="ListParagraphindent2"/>
        <w:numPr>
          <w:ilvl w:val="3"/>
          <w:numId w:val="26"/>
        </w:numPr>
        <w:ind w:left="993"/>
        <w:rPr>
          <w:snapToGrid w:val="0"/>
        </w:rPr>
      </w:pPr>
      <w:r w:rsidRPr="00986221">
        <w:rPr>
          <w:snapToGrid w:val="0"/>
        </w:rPr>
        <w:t>Summarising overall progress and achievements over the previous 12 months compared against the AWP for the period.</w:t>
      </w:r>
    </w:p>
    <w:p w14:paraId="408EC16C" w14:textId="77777777" w:rsidR="002B560F" w:rsidRPr="00986221" w:rsidRDefault="002B560F" w:rsidP="00986221">
      <w:pPr>
        <w:pStyle w:val="ListParagraphindent2"/>
        <w:numPr>
          <w:ilvl w:val="3"/>
          <w:numId w:val="26"/>
        </w:numPr>
        <w:ind w:left="993"/>
        <w:rPr>
          <w:snapToGrid w:val="0"/>
        </w:rPr>
      </w:pPr>
      <w:proofErr w:type="gramStart"/>
      <w:r w:rsidRPr="00986221">
        <w:rPr>
          <w:snapToGrid w:val="0"/>
        </w:rPr>
        <w:t>a</w:t>
      </w:r>
      <w:proofErr w:type="gramEnd"/>
      <w:r w:rsidRPr="00986221">
        <w:rPr>
          <w:snapToGrid w:val="0"/>
        </w:rPr>
        <w:t xml:space="preserve"> detailed Project performance report assessing progress against the agreed Performance assessment framework.</w:t>
      </w:r>
    </w:p>
    <w:p w14:paraId="3F9F26E6" w14:textId="77777777" w:rsidR="002B560F" w:rsidRPr="00986221" w:rsidRDefault="002B560F" w:rsidP="00986221">
      <w:pPr>
        <w:pStyle w:val="ListParagraphindent"/>
        <w:numPr>
          <w:ilvl w:val="2"/>
          <w:numId w:val="24"/>
        </w:numPr>
        <w:ind w:left="709"/>
        <w:rPr>
          <w:snapToGrid w:val="0"/>
        </w:rPr>
      </w:pPr>
      <w:r w:rsidRPr="00986221">
        <w:rPr>
          <w:snapToGrid w:val="0"/>
        </w:rPr>
        <w:t>A costed draft AWP for the next 12 months which identifies priorities and provides detail of proposed fund based on the agreed plan of activities approved at the PDD.</w:t>
      </w:r>
    </w:p>
    <w:p w14:paraId="57A41727" w14:textId="77777777" w:rsidR="002B560F" w:rsidRPr="00986221" w:rsidRDefault="002B560F" w:rsidP="00154C7D">
      <w:pPr>
        <w:pStyle w:val="ListParagraph"/>
        <w:numPr>
          <w:ilvl w:val="0"/>
          <w:numId w:val="24"/>
        </w:numPr>
        <w:ind w:left="360"/>
        <w:rPr>
          <w:snapToGrid w:val="0"/>
          <w:szCs w:val="22"/>
        </w:rPr>
      </w:pPr>
      <w:r w:rsidRPr="00986221">
        <w:rPr>
          <w:snapToGrid w:val="0"/>
          <w:szCs w:val="22"/>
        </w:rPr>
        <w:t>At this meeting the PCC will:</w:t>
      </w:r>
    </w:p>
    <w:p w14:paraId="4D190597" w14:textId="77777777" w:rsidR="002B560F" w:rsidRPr="00986221" w:rsidRDefault="002B560F" w:rsidP="00986221">
      <w:pPr>
        <w:pStyle w:val="ListParagraphindent"/>
        <w:numPr>
          <w:ilvl w:val="0"/>
          <w:numId w:val="25"/>
        </w:numPr>
        <w:rPr>
          <w:snapToGrid w:val="0"/>
        </w:rPr>
      </w:pPr>
      <w:r w:rsidRPr="00986221">
        <w:rPr>
          <w:snapToGrid w:val="0"/>
        </w:rPr>
        <w:t>Assess the performance of the Project against the Performance Assessment Framework indicators based on the most recent available data and/or monitoring and evaluation reports.</w:t>
      </w:r>
    </w:p>
    <w:p w14:paraId="53F84433" w14:textId="77777777" w:rsidR="002B560F" w:rsidRPr="00986221" w:rsidRDefault="002B560F" w:rsidP="00986221">
      <w:pPr>
        <w:pStyle w:val="ListParagraphindent"/>
        <w:numPr>
          <w:ilvl w:val="0"/>
          <w:numId w:val="25"/>
        </w:numPr>
        <w:rPr>
          <w:snapToGrid w:val="0"/>
        </w:rPr>
      </w:pPr>
      <w:r w:rsidRPr="00986221">
        <w:rPr>
          <w:snapToGrid w:val="0"/>
        </w:rPr>
        <w:t>Identify issues and where possible causes of concern arising from the performance assessment and, where necessary, seek to identify measures to be implemented to address these.</w:t>
      </w:r>
    </w:p>
    <w:p w14:paraId="765D4A44" w14:textId="77777777" w:rsidR="002B560F" w:rsidRPr="00986221" w:rsidRDefault="002B560F" w:rsidP="00986221">
      <w:pPr>
        <w:pStyle w:val="ListParagraphindent"/>
        <w:numPr>
          <w:ilvl w:val="0"/>
          <w:numId w:val="25"/>
        </w:numPr>
        <w:rPr>
          <w:snapToGrid w:val="0"/>
        </w:rPr>
      </w:pPr>
      <w:r w:rsidRPr="00986221">
        <w:rPr>
          <w:snapToGrid w:val="0"/>
        </w:rPr>
        <w:t>Review the proposed Partner Government AWP for the following year in relation to Project priorities and funding availability.</w:t>
      </w:r>
    </w:p>
    <w:p w14:paraId="73F70890" w14:textId="77777777" w:rsidR="002B560F" w:rsidRPr="00986221" w:rsidRDefault="002B560F" w:rsidP="00986221">
      <w:pPr>
        <w:pStyle w:val="ListParagraphindent"/>
        <w:numPr>
          <w:ilvl w:val="0"/>
          <w:numId w:val="25"/>
        </w:numPr>
        <w:rPr>
          <w:snapToGrid w:val="0"/>
        </w:rPr>
      </w:pPr>
      <w:r w:rsidRPr="00986221">
        <w:rPr>
          <w:snapToGrid w:val="0"/>
        </w:rPr>
        <w:t>Agree a final AWP for implementation.</w:t>
      </w:r>
    </w:p>
    <w:p w14:paraId="671071DF" w14:textId="77777777" w:rsidR="002B560F" w:rsidRPr="00986221" w:rsidRDefault="002B560F" w:rsidP="002B560F">
      <w:pPr>
        <w:spacing w:after="120"/>
        <w:rPr>
          <w:rFonts w:cs="Arial"/>
          <w:b/>
          <w:snapToGrid w:val="0"/>
          <w:szCs w:val="22"/>
        </w:rPr>
      </w:pPr>
      <w:r w:rsidRPr="00986221">
        <w:rPr>
          <w:rFonts w:cs="Arial"/>
          <w:b/>
          <w:snapToGrid w:val="0"/>
          <w:szCs w:val="22"/>
        </w:rPr>
        <w:t>Project Risk Management</w:t>
      </w:r>
    </w:p>
    <w:p w14:paraId="7CED7810" w14:textId="77777777" w:rsidR="002B560F" w:rsidRPr="00986221" w:rsidRDefault="002B560F" w:rsidP="00154C7D">
      <w:pPr>
        <w:pStyle w:val="ListParagraph"/>
        <w:numPr>
          <w:ilvl w:val="0"/>
          <w:numId w:val="24"/>
        </w:numPr>
        <w:ind w:left="360"/>
        <w:rPr>
          <w:snapToGrid w:val="0"/>
          <w:szCs w:val="22"/>
        </w:rPr>
      </w:pPr>
      <w:r w:rsidRPr="00986221">
        <w:rPr>
          <w:snapToGrid w:val="0"/>
          <w:szCs w:val="22"/>
        </w:rPr>
        <w:t xml:space="preserve">Both Parties are jointly responsible for managing Project risks in accordance with the Project Risk Management Plan (RMP) as detailed in </w:t>
      </w:r>
      <w:r w:rsidRPr="00986221">
        <w:rPr>
          <w:b/>
          <w:i/>
          <w:u w:val="single"/>
        </w:rPr>
        <w:t>Annex 4- Project risk management plan</w:t>
      </w:r>
      <w:r w:rsidRPr="00986221">
        <w:t xml:space="preserve">. </w:t>
      </w:r>
      <w:r w:rsidRPr="00986221">
        <w:rPr>
          <w:snapToGrid w:val="0"/>
          <w:szCs w:val="22"/>
        </w:rPr>
        <w:t xml:space="preserve"> </w:t>
      </w:r>
    </w:p>
    <w:p w14:paraId="3D23E7E9" w14:textId="77777777" w:rsidR="002B560F" w:rsidRPr="00986221" w:rsidRDefault="002B560F" w:rsidP="00154C7D">
      <w:pPr>
        <w:pStyle w:val="ListParagraph"/>
        <w:numPr>
          <w:ilvl w:val="0"/>
          <w:numId w:val="24"/>
        </w:numPr>
        <w:ind w:left="360"/>
        <w:rPr>
          <w:snapToGrid w:val="0"/>
          <w:szCs w:val="22"/>
        </w:rPr>
      </w:pPr>
      <w:r w:rsidRPr="00986221">
        <w:rPr>
          <w:snapToGrid w:val="0"/>
          <w:szCs w:val="22"/>
        </w:rPr>
        <w:t xml:space="preserve">The RMP is to be reviewed quarterly and annually by the PCC and updated as required. </w:t>
      </w:r>
    </w:p>
    <w:p w14:paraId="2584B747" w14:textId="77777777" w:rsidR="002B560F" w:rsidRPr="00986221" w:rsidRDefault="002B560F" w:rsidP="002B560F">
      <w:pPr>
        <w:spacing w:after="120"/>
        <w:rPr>
          <w:rFonts w:cs="Arial"/>
          <w:b/>
          <w:snapToGrid w:val="0"/>
          <w:szCs w:val="22"/>
        </w:rPr>
      </w:pPr>
      <w:r w:rsidRPr="00986221">
        <w:rPr>
          <w:rFonts w:cs="Arial"/>
          <w:b/>
          <w:snapToGrid w:val="0"/>
          <w:szCs w:val="22"/>
        </w:rPr>
        <w:t>Review and Evaluation</w:t>
      </w:r>
    </w:p>
    <w:p w14:paraId="6F77EC44" w14:textId="77777777" w:rsidR="002B560F" w:rsidRPr="00986221" w:rsidRDefault="002B560F" w:rsidP="00154C7D">
      <w:pPr>
        <w:pStyle w:val="ListParagraph"/>
        <w:numPr>
          <w:ilvl w:val="0"/>
          <w:numId w:val="24"/>
        </w:numPr>
        <w:ind w:left="360"/>
        <w:rPr>
          <w:snapToGrid w:val="0"/>
          <w:szCs w:val="22"/>
        </w:rPr>
      </w:pPr>
      <w:r w:rsidRPr="00986221">
        <w:rPr>
          <w:snapToGrid w:val="0"/>
          <w:szCs w:val="22"/>
        </w:rPr>
        <w:t xml:space="preserve">The Project will be reviewed at the end of 2015 to assess its effectiveness and inform the design in 2016 of the next phase of the Project to 2020. These timelines will work well with GOA decision-making process and budget cycle. </w:t>
      </w:r>
    </w:p>
    <w:p w14:paraId="66AFE5DC" w14:textId="77777777" w:rsidR="002B560F" w:rsidRPr="00986221" w:rsidRDefault="002B560F" w:rsidP="002B560F">
      <w:pPr>
        <w:spacing w:after="120"/>
        <w:rPr>
          <w:rFonts w:cs="Arial"/>
          <w:b/>
          <w:snapToGrid w:val="0"/>
          <w:szCs w:val="22"/>
        </w:rPr>
      </w:pPr>
      <w:r w:rsidRPr="00986221">
        <w:rPr>
          <w:rFonts w:cs="Arial"/>
          <w:b/>
          <w:snapToGrid w:val="0"/>
          <w:szCs w:val="22"/>
        </w:rPr>
        <w:t>Procurement</w:t>
      </w:r>
    </w:p>
    <w:p w14:paraId="05121E30" w14:textId="77777777" w:rsidR="002B560F" w:rsidRPr="00986221" w:rsidRDefault="002B560F" w:rsidP="00154C7D">
      <w:pPr>
        <w:pStyle w:val="ListParagraph"/>
        <w:numPr>
          <w:ilvl w:val="0"/>
          <w:numId w:val="24"/>
        </w:numPr>
        <w:ind w:left="360"/>
        <w:rPr>
          <w:snapToGrid w:val="0"/>
          <w:szCs w:val="22"/>
        </w:rPr>
      </w:pPr>
      <w:r w:rsidRPr="00986221">
        <w:rPr>
          <w:snapToGrid w:val="0"/>
          <w:szCs w:val="22"/>
        </w:rPr>
        <w:t>The Partner Government will be responsible for all procurement in accordance with its established rules, procedures and legislation as may be amended by the Partner Government from time to time.</w:t>
      </w:r>
    </w:p>
    <w:p w14:paraId="231CD52E" w14:textId="77777777" w:rsidR="002B560F" w:rsidRPr="00986221" w:rsidRDefault="002B560F" w:rsidP="00154C7D">
      <w:pPr>
        <w:pStyle w:val="ListParagraph"/>
        <w:numPr>
          <w:ilvl w:val="0"/>
          <w:numId w:val="24"/>
        </w:numPr>
        <w:ind w:left="360"/>
        <w:rPr>
          <w:snapToGrid w:val="0"/>
          <w:szCs w:val="22"/>
        </w:rPr>
      </w:pPr>
      <w:r w:rsidRPr="00986221">
        <w:rPr>
          <w:snapToGrid w:val="0"/>
          <w:szCs w:val="22"/>
        </w:rPr>
        <w:t>Both parties agree that a sample of major procurements may be audited periodically either independently or by the Partner Government State Audit.</w:t>
      </w:r>
    </w:p>
    <w:p w14:paraId="242B12F7" w14:textId="77777777" w:rsidR="002B560F" w:rsidRPr="00986221" w:rsidRDefault="002B560F" w:rsidP="002B560F">
      <w:pPr>
        <w:spacing w:after="120"/>
        <w:rPr>
          <w:rFonts w:cs="Arial"/>
          <w:b/>
          <w:snapToGrid w:val="0"/>
          <w:szCs w:val="22"/>
        </w:rPr>
      </w:pPr>
      <w:bookmarkStart w:id="72" w:name="OLE_LINK2"/>
      <w:bookmarkStart w:id="73" w:name="OLE_LINK3"/>
      <w:r w:rsidRPr="00986221">
        <w:rPr>
          <w:rFonts w:cs="Arial"/>
          <w:b/>
          <w:snapToGrid w:val="0"/>
          <w:szCs w:val="22"/>
        </w:rPr>
        <w:t>Environment Protection</w:t>
      </w:r>
    </w:p>
    <w:p w14:paraId="23834BA0" w14:textId="77777777" w:rsidR="002B560F" w:rsidRPr="00986221" w:rsidRDefault="002B560F" w:rsidP="00154C7D">
      <w:pPr>
        <w:pStyle w:val="ListParagraph"/>
        <w:numPr>
          <w:ilvl w:val="0"/>
          <w:numId w:val="24"/>
        </w:numPr>
        <w:ind w:left="360"/>
        <w:rPr>
          <w:snapToGrid w:val="0"/>
        </w:rPr>
      </w:pPr>
      <w:r w:rsidRPr="00986221">
        <w:rPr>
          <w:snapToGrid w:val="0"/>
        </w:rPr>
        <w:t xml:space="preserve">The Partner Government is responsible for ensuring the protection of the environment in accordance with their national/local laws, rules, regulations and standards and in accordance with their obligations at international law including under international Treaties signed or ratified by them relating to the environment. </w:t>
      </w:r>
    </w:p>
    <w:p w14:paraId="7EF8EDF2" w14:textId="77777777" w:rsidR="002B560F" w:rsidRPr="00986221" w:rsidRDefault="002B560F" w:rsidP="002B560F">
      <w:pPr>
        <w:spacing w:after="120"/>
        <w:rPr>
          <w:rFonts w:cs="Arial"/>
          <w:b/>
          <w:snapToGrid w:val="0"/>
          <w:szCs w:val="22"/>
          <w:lang w:eastAsia="en-AU"/>
        </w:rPr>
      </w:pPr>
      <w:r w:rsidRPr="00986221">
        <w:rPr>
          <w:rFonts w:cs="Arial"/>
          <w:b/>
          <w:szCs w:val="22"/>
          <w:lang w:eastAsia="en-AU"/>
        </w:rPr>
        <w:t>Project Accounts and Records</w:t>
      </w:r>
    </w:p>
    <w:p w14:paraId="2ECD5F4A" w14:textId="77777777" w:rsidR="002B560F" w:rsidRPr="00986221" w:rsidRDefault="002B560F" w:rsidP="00154C7D">
      <w:pPr>
        <w:pStyle w:val="ListParagraph"/>
        <w:numPr>
          <w:ilvl w:val="0"/>
          <w:numId w:val="24"/>
        </w:numPr>
        <w:ind w:left="360"/>
        <w:rPr>
          <w:snapToGrid w:val="0"/>
          <w:szCs w:val="22"/>
        </w:rPr>
      </w:pPr>
      <w:r w:rsidRPr="00986221">
        <w:rPr>
          <w:szCs w:val="22"/>
        </w:rPr>
        <w:t>The Partner Government agrees that it will:</w:t>
      </w:r>
    </w:p>
    <w:p w14:paraId="17CD75D3" w14:textId="77777777" w:rsidR="002B560F" w:rsidRPr="00986221" w:rsidRDefault="002B560F" w:rsidP="00986221">
      <w:pPr>
        <w:pStyle w:val="ListParagraphindent"/>
        <w:numPr>
          <w:ilvl w:val="2"/>
          <w:numId w:val="24"/>
        </w:numPr>
        <w:ind w:left="709"/>
      </w:pPr>
      <w:r w:rsidRPr="00986221">
        <w:t xml:space="preserve">Maintain a sound administrative and financial system capable of verifying all Acquittal Statements; </w:t>
      </w:r>
    </w:p>
    <w:p w14:paraId="402DCE42" w14:textId="77777777" w:rsidR="002B560F" w:rsidRPr="00986221" w:rsidRDefault="002B560F" w:rsidP="00986221">
      <w:pPr>
        <w:pStyle w:val="ListParagraphindent"/>
        <w:numPr>
          <w:ilvl w:val="2"/>
          <w:numId w:val="24"/>
        </w:numPr>
        <w:ind w:left="709"/>
      </w:pPr>
      <w:r w:rsidRPr="00986221">
        <w:t>Keep proper and detailed accounts, records and assets registers along with adequate Project management records providing clear audit trails in relation to expenditure under this Agreement;</w:t>
      </w:r>
    </w:p>
    <w:p w14:paraId="384E9311" w14:textId="77777777" w:rsidR="002B560F" w:rsidRPr="00986221" w:rsidRDefault="002B560F" w:rsidP="00986221">
      <w:pPr>
        <w:pStyle w:val="ListParagraphindent"/>
        <w:numPr>
          <w:ilvl w:val="2"/>
          <w:numId w:val="24"/>
        </w:numPr>
        <w:ind w:left="709"/>
      </w:pPr>
      <w:r w:rsidRPr="00986221">
        <w:t>Afford adequate facilities for audit and inspection of the financial records referred to in this Agreement by GOA and its authorised representatives at all reasonable times and allow copies and extracts to be taken; and</w:t>
      </w:r>
    </w:p>
    <w:p w14:paraId="396CCBE4" w14:textId="77777777" w:rsidR="002B560F" w:rsidRPr="00986221" w:rsidRDefault="002B560F" w:rsidP="00986221">
      <w:pPr>
        <w:pStyle w:val="ListParagraphindent"/>
        <w:numPr>
          <w:ilvl w:val="2"/>
          <w:numId w:val="24"/>
        </w:numPr>
        <w:ind w:left="709"/>
      </w:pPr>
      <w:r w:rsidRPr="00986221">
        <w:t>Ensure that its accounts and records are held for the term of this Agreement and for a period of three (3) years from the date of expiry or termination of this Agreement</w:t>
      </w:r>
      <w:bookmarkEnd w:id="72"/>
      <w:bookmarkEnd w:id="73"/>
      <w:r w:rsidRPr="00986221">
        <w:t>.</w:t>
      </w:r>
    </w:p>
    <w:p w14:paraId="1DD6C611" w14:textId="77777777" w:rsidR="002B560F" w:rsidRPr="00986221" w:rsidRDefault="002B560F" w:rsidP="002B560F">
      <w:pPr>
        <w:spacing w:after="120"/>
        <w:rPr>
          <w:rFonts w:cs="Arial"/>
          <w:b/>
          <w:szCs w:val="22"/>
          <w:lang w:eastAsia="ja-JP"/>
        </w:rPr>
      </w:pPr>
      <w:r w:rsidRPr="00986221">
        <w:rPr>
          <w:rFonts w:cs="Arial"/>
          <w:b/>
          <w:szCs w:val="22"/>
          <w:lang w:eastAsia="ja-JP"/>
        </w:rPr>
        <w:t>Audit</w:t>
      </w:r>
    </w:p>
    <w:p w14:paraId="537944A7" w14:textId="77777777" w:rsidR="002B560F" w:rsidRPr="00986221" w:rsidRDefault="002B560F" w:rsidP="00154C7D">
      <w:pPr>
        <w:pStyle w:val="ListParagraph"/>
        <w:numPr>
          <w:ilvl w:val="0"/>
          <w:numId w:val="24"/>
        </w:numPr>
        <w:ind w:left="360"/>
        <w:rPr>
          <w:snapToGrid w:val="0"/>
          <w:szCs w:val="22"/>
        </w:rPr>
      </w:pPr>
      <w:r w:rsidRPr="00986221">
        <w:rPr>
          <w:snapToGrid w:val="0"/>
          <w:szCs w:val="22"/>
        </w:rPr>
        <w:t xml:space="preserve">The Partner Government is responsible for ensuring that the Project and its associated funding are audited on an annual basis. </w:t>
      </w:r>
    </w:p>
    <w:p w14:paraId="6E4BA9A2" w14:textId="77777777" w:rsidR="002B560F" w:rsidRPr="00986221" w:rsidRDefault="002B560F" w:rsidP="00154C7D">
      <w:pPr>
        <w:pStyle w:val="ListParagraph"/>
        <w:numPr>
          <w:ilvl w:val="0"/>
          <w:numId w:val="24"/>
        </w:numPr>
        <w:ind w:left="360"/>
        <w:rPr>
          <w:snapToGrid w:val="0"/>
          <w:szCs w:val="22"/>
        </w:rPr>
      </w:pPr>
      <w:r w:rsidRPr="00986221">
        <w:rPr>
          <w:snapToGrid w:val="0"/>
          <w:szCs w:val="22"/>
        </w:rPr>
        <w:t>The annual audit will also examine (</w:t>
      </w:r>
      <w:proofErr w:type="spellStart"/>
      <w:r w:rsidRPr="00986221">
        <w:rPr>
          <w:snapToGrid w:val="0"/>
          <w:szCs w:val="22"/>
        </w:rPr>
        <w:t>i</w:t>
      </w:r>
      <w:proofErr w:type="spellEnd"/>
      <w:r w:rsidRPr="00986221">
        <w:rPr>
          <w:snapToGrid w:val="0"/>
          <w:szCs w:val="22"/>
        </w:rPr>
        <w:t>) procurement decisions and /or related contracts; and/or (ii) compliance with partner government procedures and regulations where GOA funds are utilised by the Partner Government for the procurement of goods and/or services.</w:t>
      </w:r>
    </w:p>
    <w:p w14:paraId="67B7AC6D" w14:textId="77777777" w:rsidR="002B560F" w:rsidRPr="00986221" w:rsidRDefault="002B560F" w:rsidP="00154C7D">
      <w:pPr>
        <w:pStyle w:val="ListParagraph"/>
        <w:numPr>
          <w:ilvl w:val="0"/>
          <w:numId w:val="24"/>
        </w:numPr>
        <w:ind w:left="360"/>
        <w:rPr>
          <w:snapToGrid w:val="0"/>
          <w:szCs w:val="22"/>
        </w:rPr>
      </w:pPr>
      <w:r w:rsidRPr="00986221">
        <w:rPr>
          <w:snapToGrid w:val="0"/>
          <w:szCs w:val="22"/>
        </w:rPr>
        <w:t>The Annual audit of the Project will be undertaken by independent auditors and, wherever possible, the Partner Government’s State Audit.</w:t>
      </w:r>
    </w:p>
    <w:p w14:paraId="0C5EC61D" w14:textId="77777777" w:rsidR="002B560F" w:rsidRPr="00986221" w:rsidRDefault="002B560F" w:rsidP="00154C7D">
      <w:pPr>
        <w:pStyle w:val="ListParagraph"/>
        <w:numPr>
          <w:ilvl w:val="0"/>
          <w:numId w:val="24"/>
        </w:numPr>
        <w:ind w:left="360"/>
        <w:rPr>
          <w:snapToGrid w:val="0"/>
          <w:szCs w:val="22"/>
        </w:rPr>
      </w:pPr>
      <w:r w:rsidRPr="00986221">
        <w:rPr>
          <w:snapToGrid w:val="0"/>
          <w:szCs w:val="22"/>
        </w:rPr>
        <w:t>The arrangements, including the terms of reference, selection method and costs, for the engagement of an independent auditor will be agreed by the PD and GOA.</w:t>
      </w:r>
    </w:p>
    <w:p w14:paraId="2AE30B52" w14:textId="77777777" w:rsidR="002B560F" w:rsidRPr="00986221" w:rsidRDefault="002B560F" w:rsidP="00154C7D">
      <w:pPr>
        <w:pStyle w:val="ListParagraph"/>
        <w:numPr>
          <w:ilvl w:val="0"/>
          <w:numId w:val="24"/>
        </w:numPr>
        <w:ind w:left="360"/>
        <w:rPr>
          <w:snapToGrid w:val="0"/>
          <w:szCs w:val="22"/>
        </w:rPr>
      </w:pPr>
      <w:r w:rsidRPr="00986221">
        <w:rPr>
          <w:snapToGrid w:val="0"/>
          <w:szCs w:val="22"/>
        </w:rPr>
        <w:t>The annual audit report will include formal advice detailing any weaknesses in the Project’s internal controls and recommendations for strengthening identified weaknesses.</w:t>
      </w:r>
    </w:p>
    <w:p w14:paraId="633618E3" w14:textId="77777777" w:rsidR="002B560F" w:rsidRPr="00986221" w:rsidRDefault="002B560F" w:rsidP="00154C7D">
      <w:pPr>
        <w:pStyle w:val="ListParagraph"/>
        <w:numPr>
          <w:ilvl w:val="0"/>
          <w:numId w:val="24"/>
        </w:numPr>
        <w:ind w:left="360"/>
        <w:rPr>
          <w:snapToGrid w:val="0"/>
          <w:szCs w:val="22"/>
        </w:rPr>
      </w:pPr>
      <w:r w:rsidRPr="00986221">
        <w:rPr>
          <w:snapToGrid w:val="0"/>
          <w:szCs w:val="22"/>
        </w:rPr>
        <w:t>The annual audit report will be provided to all representatives of the PCC and be included as an agenda item for the PCC meeting at the earliest opportunity.</w:t>
      </w:r>
    </w:p>
    <w:p w14:paraId="2D659CF9" w14:textId="77777777" w:rsidR="002B560F" w:rsidRPr="00986221" w:rsidRDefault="002B560F" w:rsidP="00154C7D">
      <w:pPr>
        <w:pStyle w:val="ListParagraph"/>
        <w:numPr>
          <w:ilvl w:val="0"/>
          <w:numId w:val="24"/>
        </w:numPr>
        <w:ind w:left="360"/>
        <w:rPr>
          <w:snapToGrid w:val="0"/>
          <w:szCs w:val="22"/>
        </w:rPr>
      </w:pPr>
      <w:r w:rsidRPr="00986221">
        <w:rPr>
          <w:snapToGrid w:val="0"/>
          <w:szCs w:val="22"/>
        </w:rPr>
        <w:t>The Partner Government agrees that GOA may commission independent audits, including financial, compliance and/or performance audits, of the Project and acknowledges that it will cooperate fully with any such audits.</w:t>
      </w:r>
    </w:p>
    <w:p w14:paraId="2E43D480" w14:textId="77777777" w:rsidR="002B560F" w:rsidRPr="00986221" w:rsidRDefault="002B560F" w:rsidP="00154C7D">
      <w:pPr>
        <w:pStyle w:val="ListParagraph"/>
        <w:numPr>
          <w:ilvl w:val="0"/>
          <w:numId w:val="24"/>
        </w:numPr>
        <w:ind w:left="360"/>
        <w:rPr>
          <w:snapToGrid w:val="0"/>
          <w:szCs w:val="22"/>
        </w:rPr>
      </w:pPr>
      <w:r w:rsidRPr="00986221">
        <w:rPr>
          <w:snapToGrid w:val="0"/>
          <w:szCs w:val="22"/>
        </w:rPr>
        <w:t>GOA agrees to provide the Partner Government with copies of any independent audit reports.</w:t>
      </w:r>
    </w:p>
    <w:p w14:paraId="7B3BF662" w14:textId="77777777" w:rsidR="002B560F" w:rsidRPr="00986221" w:rsidRDefault="002B560F" w:rsidP="002B560F">
      <w:pPr>
        <w:spacing w:after="120"/>
        <w:rPr>
          <w:rFonts w:cs="Arial"/>
          <w:b/>
          <w:szCs w:val="22"/>
          <w:lang w:eastAsia="ja-JP"/>
        </w:rPr>
      </w:pPr>
      <w:r w:rsidRPr="00986221">
        <w:rPr>
          <w:rFonts w:cs="Arial"/>
          <w:b/>
          <w:szCs w:val="22"/>
          <w:lang w:eastAsia="ja-JP"/>
        </w:rPr>
        <w:t>Fraud</w:t>
      </w:r>
    </w:p>
    <w:p w14:paraId="4667FD2B" w14:textId="77777777" w:rsidR="002B560F" w:rsidRPr="00986221" w:rsidRDefault="002B560F" w:rsidP="00154C7D">
      <w:pPr>
        <w:pStyle w:val="ListParagraph"/>
        <w:numPr>
          <w:ilvl w:val="0"/>
          <w:numId w:val="24"/>
        </w:numPr>
        <w:ind w:left="360"/>
        <w:rPr>
          <w:snapToGrid w:val="0"/>
          <w:szCs w:val="22"/>
        </w:rPr>
      </w:pPr>
      <w:r w:rsidRPr="00986221">
        <w:rPr>
          <w:szCs w:val="22"/>
        </w:rPr>
        <w:t>Fraudulent activity’ or ‘fraud’ means: Dishonestly obtaining a</w:t>
      </w:r>
      <w:r w:rsidRPr="00986221">
        <w:rPr>
          <w:snapToGrid w:val="0"/>
          <w:szCs w:val="22"/>
        </w:rPr>
        <w:t xml:space="preserve"> </w:t>
      </w:r>
      <w:r w:rsidRPr="00986221">
        <w:rPr>
          <w:szCs w:val="22"/>
        </w:rPr>
        <w:t>benefit by deception or other means.</w:t>
      </w:r>
    </w:p>
    <w:p w14:paraId="1E68464C" w14:textId="77777777" w:rsidR="002B560F" w:rsidRPr="00986221" w:rsidRDefault="002B560F" w:rsidP="00154C7D">
      <w:pPr>
        <w:pStyle w:val="ListParagraph"/>
        <w:numPr>
          <w:ilvl w:val="0"/>
          <w:numId w:val="24"/>
        </w:numPr>
        <w:ind w:left="360"/>
        <w:rPr>
          <w:snapToGrid w:val="0"/>
          <w:szCs w:val="22"/>
        </w:rPr>
      </w:pPr>
      <w:r w:rsidRPr="00986221">
        <w:rPr>
          <w:szCs w:val="22"/>
        </w:rPr>
        <w:t>The Parties are committed to preventing and detecting fraud.</w:t>
      </w:r>
    </w:p>
    <w:p w14:paraId="215D85C3" w14:textId="77777777" w:rsidR="002B560F" w:rsidRPr="00986221" w:rsidRDefault="002B560F" w:rsidP="00154C7D">
      <w:pPr>
        <w:pStyle w:val="ListParagraph"/>
        <w:numPr>
          <w:ilvl w:val="0"/>
          <w:numId w:val="24"/>
        </w:numPr>
        <w:ind w:left="360"/>
        <w:rPr>
          <w:snapToGrid w:val="0"/>
          <w:szCs w:val="22"/>
        </w:rPr>
      </w:pPr>
      <w:r w:rsidRPr="00986221">
        <w:rPr>
          <w:snapToGrid w:val="0"/>
          <w:szCs w:val="22"/>
        </w:rPr>
        <w:t xml:space="preserve">The Partner Government </w:t>
      </w:r>
      <w:r w:rsidRPr="00986221">
        <w:t xml:space="preserve">is responsible for preventing and detecting fraud involving or relating to the Project. </w:t>
      </w:r>
    </w:p>
    <w:p w14:paraId="1BE14D81" w14:textId="77777777" w:rsidR="002B560F" w:rsidRPr="00986221" w:rsidRDefault="002B560F" w:rsidP="00154C7D">
      <w:pPr>
        <w:pStyle w:val="ListParagraph"/>
        <w:numPr>
          <w:ilvl w:val="0"/>
          <w:numId w:val="24"/>
        </w:numPr>
        <w:ind w:left="360"/>
        <w:rPr>
          <w:snapToGrid w:val="0"/>
          <w:szCs w:val="22"/>
        </w:rPr>
      </w:pPr>
      <w:r w:rsidRPr="00986221">
        <w:rPr>
          <w:szCs w:val="22"/>
        </w:rPr>
        <w:t>The Partner Government must report in writing to GOA, within five (5) Business Days, any detected,</w:t>
      </w:r>
      <w:r w:rsidRPr="00986221">
        <w:rPr>
          <w:snapToGrid w:val="0"/>
          <w:szCs w:val="22"/>
        </w:rPr>
        <w:t xml:space="preserve"> </w:t>
      </w:r>
      <w:r w:rsidRPr="00986221">
        <w:rPr>
          <w:szCs w:val="22"/>
        </w:rPr>
        <w:t xml:space="preserve">suspected, or attempted fraudulent activity </w:t>
      </w:r>
      <w:r w:rsidRPr="00986221">
        <w:t>involving or relating to the Project</w:t>
      </w:r>
      <w:r w:rsidRPr="00986221">
        <w:rPr>
          <w:szCs w:val="22"/>
        </w:rPr>
        <w:t>.</w:t>
      </w:r>
    </w:p>
    <w:p w14:paraId="2D67022A" w14:textId="77777777" w:rsidR="002B560F" w:rsidRPr="00986221" w:rsidRDefault="002B560F" w:rsidP="00154C7D">
      <w:pPr>
        <w:pStyle w:val="ListParagraph"/>
        <w:numPr>
          <w:ilvl w:val="0"/>
          <w:numId w:val="24"/>
        </w:numPr>
        <w:ind w:left="360"/>
        <w:rPr>
          <w:snapToGrid w:val="0"/>
          <w:szCs w:val="22"/>
        </w:rPr>
      </w:pPr>
      <w:r w:rsidRPr="00986221">
        <w:rPr>
          <w:szCs w:val="22"/>
        </w:rPr>
        <w:t xml:space="preserve">The Partner Government is required to investigate any alleged fraud and must undertake an investigation in accordance with its own procedures and standards. </w:t>
      </w:r>
    </w:p>
    <w:p w14:paraId="63CAD6DA" w14:textId="77777777" w:rsidR="002B560F" w:rsidRPr="00986221" w:rsidRDefault="002B560F" w:rsidP="00154C7D">
      <w:pPr>
        <w:pStyle w:val="ListParagraph"/>
        <w:numPr>
          <w:ilvl w:val="0"/>
          <w:numId w:val="24"/>
        </w:numPr>
        <w:ind w:left="360"/>
        <w:rPr>
          <w:snapToGrid w:val="0"/>
          <w:szCs w:val="22"/>
        </w:rPr>
      </w:pPr>
      <w:r w:rsidRPr="00986221">
        <w:rPr>
          <w:szCs w:val="22"/>
        </w:rPr>
        <w:t xml:space="preserve">Following the conclusion of an investigation, where the investigation finds or identifies acts of a fraudulent nature Partner Government will: </w:t>
      </w:r>
    </w:p>
    <w:p w14:paraId="77A161FA" w14:textId="77777777" w:rsidR="002B560F" w:rsidRPr="00986221" w:rsidRDefault="002B560F" w:rsidP="00986221">
      <w:pPr>
        <w:pStyle w:val="ListParagraphindent"/>
        <w:numPr>
          <w:ilvl w:val="2"/>
          <w:numId w:val="24"/>
        </w:numPr>
        <w:ind w:left="709"/>
        <w:rPr>
          <w:snapToGrid w:val="0"/>
        </w:rPr>
      </w:pPr>
      <w:r w:rsidRPr="00986221">
        <w:rPr>
          <w:lang w:val="en-US"/>
        </w:rPr>
        <w:t>initiate recovery action in accordance with recovery procedures, including if appropriate civil</w:t>
      </w:r>
      <w:r w:rsidRPr="00986221">
        <w:rPr>
          <w:snapToGrid w:val="0"/>
        </w:rPr>
        <w:t xml:space="preserve"> </w:t>
      </w:r>
      <w:r w:rsidRPr="00986221">
        <w:rPr>
          <w:lang w:val="en-US"/>
        </w:rPr>
        <w:t>litigation, available in the Partner Country; and</w:t>
      </w:r>
    </w:p>
    <w:p w14:paraId="0538AC89" w14:textId="77777777" w:rsidR="002B560F" w:rsidRPr="00986221" w:rsidRDefault="002B560F" w:rsidP="00986221">
      <w:pPr>
        <w:pStyle w:val="ListParagraphindent"/>
        <w:numPr>
          <w:ilvl w:val="2"/>
          <w:numId w:val="24"/>
        </w:numPr>
        <w:ind w:left="709"/>
        <w:rPr>
          <w:snapToGrid w:val="0"/>
        </w:rPr>
      </w:pPr>
      <w:r w:rsidRPr="00986221">
        <w:rPr>
          <w:lang w:val="en-US"/>
        </w:rPr>
        <w:t>referring the matter to the relevant Partner Country police or other authorities responsible for prosecution of fraudulent activity; or</w:t>
      </w:r>
    </w:p>
    <w:p w14:paraId="6A3FA8DB" w14:textId="77777777" w:rsidR="002B560F" w:rsidRPr="00986221" w:rsidRDefault="002B560F" w:rsidP="00986221">
      <w:pPr>
        <w:pStyle w:val="ListParagraphindent"/>
        <w:numPr>
          <w:ilvl w:val="2"/>
          <w:numId w:val="24"/>
        </w:numPr>
        <w:ind w:left="709"/>
        <w:rPr>
          <w:lang w:val="en-US"/>
        </w:rPr>
      </w:pPr>
      <w:proofErr w:type="gramStart"/>
      <w:r w:rsidRPr="00986221">
        <w:rPr>
          <w:lang w:val="en-US"/>
        </w:rPr>
        <w:t>where</w:t>
      </w:r>
      <w:proofErr w:type="gramEnd"/>
      <w:r w:rsidRPr="00986221">
        <w:rPr>
          <w:lang w:val="en-US"/>
        </w:rPr>
        <w:t xml:space="preserve"> a Partner Government employee is involved in fraudulent activity, take the relevant disciplinary procedures in accordance with relevant Code of Conduct or similar Partner Government provisions where these exist.</w:t>
      </w:r>
    </w:p>
    <w:p w14:paraId="273DD664" w14:textId="77777777" w:rsidR="002B560F" w:rsidRPr="00986221" w:rsidRDefault="002B560F" w:rsidP="002B560F">
      <w:pPr>
        <w:spacing w:after="120"/>
        <w:rPr>
          <w:rFonts w:cs="Arial"/>
          <w:b/>
          <w:snapToGrid w:val="0"/>
          <w:szCs w:val="22"/>
        </w:rPr>
      </w:pPr>
      <w:r w:rsidRPr="00986221">
        <w:rPr>
          <w:rFonts w:cs="Arial"/>
          <w:b/>
          <w:snapToGrid w:val="0"/>
          <w:szCs w:val="22"/>
        </w:rPr>
        <w:t>Anti-Corruption</w:t>
      </w:r>
    </w:p>
    <w:p w14:paraId="0A568556" w14:textId="77777777" w:rsidR="002B560F" w:rsidRPr="00986221" w:rsidRDefault="002B560F" w:rsidP="00154C7D">
      <w:pPr>
        <w:pStyle w:val="ListParagraph"/>
        <w:numPr>
          <w:ilvl w:val="0"/>
          <w:numId w:val="24"/>
        </w:numPr>
        <w:ind w:left="360"/>
        <w:rPr>
          <w:b/>
          <w:snapToGrid w:val="0"/>
          <w:szCs w:val="22"/>
        </w:rPr>
      </w:pPr>
      <w:r w:rsidRPr="00986221">
        <w:rPr>
          <w:snapToGrid w:val="0"/>
          <w:szCs w:val="22"/>
        </w:rPr>
        <w:t>The Parties are committed to preventing and detecting corruption and bribery. Both Parties</w:t>
      </w:r>
      <w:r w:rsidRPr="00986221">
        <w:rPr>
          <w:b/>
          <w:snapToGrid w:val="0"/>
          <w:szCs w:val="22"/>
        </w:rPr>
        <w:t xml:space="preserve"> </w:t>
      </w:r>
      <w:r w:rsidRPr="00986221">
        <w:t xml:space="preserve">through their employees, agents or representatives will not make or cause to be made, nor will they receive or seek to receive, any offer, gift or payment, consideration or benefit of any kind, which would or could be construed as an illegal or corrupt practice, either directly or indirectly to any party, as an inducement or reward in relation to the execution of this Agreement or any arrangement or provision of funds in relation to the Project. The Parties will use their best </w:t>
      </w:r>
      <w:proofErr w:type="spellStart"/>
      <w:r w:rsidRPr="00986221">
        <w:t>endeavors</w:t>
      </w:r>
      <w:proofErr w:type="spellEnd"/>
      <w:r w:rsidRPr="00986221">
        <w:t xml:space="preserve"> to ensure that their respective employees, agents, representatives or other entities involved in the Project will also adhere to this provision.</w:t>
      </w:r>
    </w:p>
    <w:p w14:paraId="3445E0E7" w14:textId="77777777" w:rsidR="002B560F" w:rsidRPr="00986221" w:rsidRDefault="002B560F" w:rsidP="00154C7D">
      <w:pPr>
        <w:pStyle w:val="ListParagraph"/>
        <w:numPr>
          <w:ilvl w:val="0"/>
          <w:numId w:val="24"/>
        </w:numPr>
        <w:ind w:left="360"/>
        <w:rPr>
          <w:b/>
          <w:snapToGrid w:val="0"/>
          <w:szCs w:val="22"/>
        </w:rPr>
      </w:pPr>
      <w:r w:rsidRPr="00986221">
        <w:t>For the purposes of this paragraph (Anti-Corruption), the term “corrupt” includes (but is not limited to) any action or practice which would warrant disciplinary procedures being taken against an individual under applicable laws.</w:t>
      </w:r>
    </w:p>
    <w:p w14:paraId="77D1BB48" w14:textId="77777777" w:rsidR="002B560F" w:rsidRPr="00986221" w:rsidRDefault="002B560F" w:rsidP="00154C7D">
      <w:pPr>
        <w:pStyle w:val="ListParagraph"/>
        <w:numPr>
          <w:ilvl w:val="0"/>
          <w:numId w:val="24"/>
        </w:numPr>
        <w:ind w:left="360"/>
        <w:rPr>
          <w:b/>
          <w:snapToGrid w:val="0"/>
          <w:szCs w:val="22"/>
        </w:rPr>
      </w:pPr>
      <w:r w:rsidRPr="00986221">
        <w:t>In the event of alleged misuse of Project funds involving fraudulent or corrupt behaviour as defined above, GOA may reduce or suspend its funding until such time as the matter is mutually resolved by the Parties.</w:t>
      </w:r>
    </w:p>
    <w:p w14:paraId="440AB04B" w14:textId="77777777" w:rsidR="002B560F" w:rsidRPr="00986221" w:rsidRDefault="002B560F" w:rsidP="002B560F">
      <w:pPr>
        <w:spacing w:after="120"/>
        <w:rPr>
          <w:rFonts w:cs="Arial"/>
          <w:b/>
          <w:snapToGrid w:val="0"/>
          <w:szCs w:val="22"/>
        </w:rPr>
      </w:pPr>
      <w:r w:rsidRPr="00986221">
        <w:rPr>
          <w:rFonts w:cs="Arial"/>
          <w:b/>
        </w:rPr>
        <w:t>Status of Agreement</w:t>
      </w:r>
    </w:p>
    <w:p w14:paraId="6919FFE4" w14:textId="77777777" w:rsidR="002B560F" w:rsidRPr="00986221" w:rsidRDefault="002B560F" w:rsidP="00154C7D">
      <w:pPr>
        <w:pStyle w:val="ListParagraph"/>
        <w:numPr>
          <w:ilvl w:val="0"/>
          <w:numId w:val="24"/>
        </w:numPr>
        <w:ind w:left="360"/>
        <w:rPr>
          <w:b/>
          <w:snapToGrid w:val="0"/>
          <w:szCs w:val="22"/>
        </w:rPr>
      </w:pPr>
      <w:r w:rsidRPr="00986221">
        <w:rPr>
          <w:snapToGrid w:val="0"/>
          <w:szCs w:val="22"/>
        </w:rPr>
        <w:t>This Agreement serves only as a record of the Parties’ intentions and does not constitute or create (and is not intended to create) rights or obligations under domestic or international law and will not give rise to any legal process and will not be deemed to constitute or create any legally binding or enforceable rights or obligations (expressed or implied).</w:t>
      </w:r>
    </w:p>
    <w:p w14:paraId="257AB515" w14:textId="77777777" w:rsidR="002B560F" w:rsidRPr="00986221" w:rsidRDefault="002B560F" w:rsidP="002B560F">
      <w:pPr>
        <w:spacing w:after="120"/>
        <w:rPr>
          <w:rFonts w:cs="Arial"/>
          <w:b/>
          <w:snapToGrid w:val="0"/>
          <w:szCs w:val="22"/>
        </w:rPr>
      </w:pPr>
      <w:r w:rsidRPr="00986221">
        <w:rPr>
          <w:rFonts w:cs="Arial"/>
          <w:b/>
          <w:snapToGrid w:val="0"/>
          <w:szCs w:val="22"/>
        </w:rPr>
        <w:t>Settlement of Disputes</w:t>
      </w:r>
    </w:p>
    <w:p w14:paraId="6F81A5A4" w14:textId="77777777" w:rsidR="002B560F" w:rsidRPr="00986221" w:rsidRDefault="002B560F" w:rsidP="00154C7D">
      <w:pPr>
        <w:pStyle w:val="ListParagraph"/>
        <w:numPr>
          <w:ilvl w:val="0"/>
          <w:numId w:val="24"/>
        </w:numPr>
        <w:ind w:left="360"/>
        <w:rPr>
          <w:b/>
          <w:snapToGrid w:val="0"/>
          <w:szCs w:val="22"/>
        </w:rPr>
      </w:pPr>
      <w:r w:rsidRPr="00986221">
        <w:rPr>
          <w:snapToGrid w:val="0"/>
          <w:szCs w:val="22"/>
        </w:rPr>
        <w:t>Any dispute, controversy, or claim, which arises out of the interpretation or application of this Agreement will not be subject to adjudication or arbitration, but will instead be dealt with through amicable consultations and negotiations as the only method of achieving the peaceful settlement of that dispute, controversy, or claim.</w:t>
      </w:r>
    </w:p>
    <w:p w14:paraId="5BBC7B90" w14:textId="77777777" w:rsidR="002B560F" w:rsidRPr="00986221" w:rsidRDefault="002B560F" w:rsidP="002B560F">
      <w:pPr>
        <w:spacing w:after="120"/>
        <w:rPr>
          <w:rFonts w:cs="Arial"/>
          <w:b/>
          <w:snapToGrid w:val="0"/>
          <w:szCs w:val="22"/>
        </w:rPr>
      </w:pPr>
      <w:r w:rsidRPr="00986221">
        <w:rPr>
          <w:rFonts w:cs="Arial"/>
          <w:b/>
          <w:snapToGrid w:val="0"/>
          <w:szCs w:val="22"/>
        </w:rPr>
        <w:t>Extraordinary Events</w:t>
      </w:r>
    </w:p>
    <w:p w14:paraId="68DD2E3C" w14:textId="77777777" w:rsidR="002B560F" w:rsidRPr="00986221" w:rsidRDefault="002B560F" w:rsidP="00154C7D">
      <w:pPr>
        <w:pStyle w:val="ListParagraph"/>
        <w:numPr>
          <w:ilvl w:val="0"/>
          <w:numId w:val="24"/>
        </w:numPr>
        <w:ind w:left="360"/>
        <w:rPr>
          <w:szCs w:val="22"/>
        </w:rPr>
      </w:pPr>
      <w:r w:rsidRPr="00986221">
        <w:rPr>
          <w:szCs w:val="22"/>
        </w:rPr>
        <w:t>Neither the Partner Government of the GOA will be responsible for any failure to perform or any delay in performing their obligations under this Agreement where the cause of such failure of delay is beyond that Party’s reasonable control (Force majeure). The Party claiming suspension of its obligations due to an extraordinary event will immediately notify the other Party in writing of its intent and the reason(s) for suspension.</w:t>
      </w:r>
    </w:p>
    <w:p w14:paraId="0843955B" w14:textId="77777777" w:rsidR="002B560F" w:rsidRPr="00986221" w:rsidRDefault="002B560F" w:rsidP="002B560F">
      <w:pPr>
        <w:spacing w:after="120"/>
        <w:rPr>
          <w:rFonts w:cs="Arial"/>
          <w:b/>
          <w:snapToGrid w:val="0"/>
          <w:szCs w:val="22"/>
        </w:rPr>
      </w:pPr>
      <w:r w:rsidRPr="00986221">
        <w:rPr>
          <w:rFonts w:cs="Arial"/>
          <w:b/>
          <w:snapToGrid w:val="0"/>
          <w:szCs w:val="22"/>
        </w:rPr>
        <w:t>Indemnity and Insurance</w:t>
      </w:r>
    </w:p>
    <w:p w14:paraId="23C58A91" w14:textId="77777777" w:rsidR="002B560F" w:rsidRPr="00986221" w:rsidRDefault="002B560F" w:rsidP="00154C7D">
      <w:pPr>
        <w:pStyle w:val="ListParagraph"/>
        <w:numPr>
          <w:ilvl w:val="0"/>
          <w:numId w:val="24"/>
        </w:numPr>
        <w:ind w:left="360"/>
        <w:rPr>
          <w:szCs w:val="22"/>
        </w:rPr>
      </w:pPr>
      <w:r w:rsidRPr="00986221">
        <w:rPr>
          <w:szCs w:val="22"/>
        </w:rPr>
        <w:t>The Partner Government will indemnify GOA at all times against any actions, claims, liabilities, damages or expenses suffered or incurred by GOA as a result of, or arising from, the implementation of the Project.</w:t>
      </w:r>
    </w:p>
    <w:p w14:paraId="6C61B397" w14:textId="77777777" w:rsidR="002B560F" w:rsidRPr="00986221" w:rsidRDefault="002B560F" w:rsidP="00154C7D">
      <w:pPr>
        <w:pStyle w:val="ListParagraph"/>
        <w:numPr>
          <w:ilvl w:val="0"/>
          <w:numId w:val="24"/>
        </w:numPr>
        <w:ind w:left="360"/>
        <w:rPr>
          <w:szCs w:val="22"/>
        </w:rPr>
      </w:pPr>
      <w:r w:rsidRPr="00986221">
        <w:rPr>
          <w:szCs w:val="22"/>
        </w:rPr>
        <w:t>The Partner Government will be responsible for insurance cover against loss of life, personal accident and illness, loss, theft and damage to personal effects and Project supplies and assets and all Project activities and Project personnel engaged directly by the Partner Government. The GOA will have no responsibility for any insurance cover for the Partner Government personnel, property, assets and supplies or actions.</w:t>
      </w:r>
    </w:p>
    <w:p w14:paraId="7B339CAA" w14:textId="77777777" w:rsidR="002B560F" w:rsidRPr="00986221" w:rsidRDefault="002B560F" w:rsidP="002B560F">
      <w:pPr>
        <w:spacing w:after="120"/>
        <w:rPr>
          <w:rFonts w:cs="Arial"/>
          <w:b/>
          <w:szCs w:val="22"/>
        </w:rPr>
      </w:pPr>
      <w:r w:rsidRPr="00986221">
        <w:rPr>
          <w:rFonts w:cs="Arial"/>
          <w:b/>
          <w:szCs w:val="22"/>
        </w:rPr>
        <w:t>Use of Agreement Information</w:t>
      </w:r>
    </w:p>
    <w:p w14:paraId="060E2CDB" w14:textId="77777777" w:rsidR="002B560F" w:rsidRPr="00986221" w:rsidRDefault="002B560F" w:rsidP="00154C7D">
      <w:pPr>
        <w:pStyle w:val="ListParagraph"/>
        <w:numPr>
          <w:ilvl w:val="0"/>
          <w:numId w:val="24"/>
        </w:numPr>
        <w:ind w:left="360"/>
        <w:rPr>
          <w:szCs w:val="22"/>
        </w:rPr>
      </w:pPr>
      <w:r w:rsidRPr="00986221">
        <w:rPr>
          <w:szCs w:val="22"/>
        </w:rPr>
        <w:t>Both Parties will respect the confidentiality of information provided by the other as “Confidential” or “In-Confidence”. Neither Party will disclose such information to a third party without obtaining the written agreement of the other Party unless and except where the disclosure of such information is required by law or government convention.</w:t>
      </w:r>
    </w:p>
    <w:p w14:paraId="68DB9437" w14:textId="77777777" w:rsidR="002B560F" w:rsidRPr="00986221" w:rsidRDefault="002B560F" w:rsidP="00154C7D">
      <w:pPr>
        <w:pStyle w:val="ListParagraph"/>
        <w:numPr>
          <w:ilvl w:val="0"/>
          <w:numId w:val="24"/>
        </w:numPr>
        <w:ind w:left="360"/>
        <w:rPr>
          <w:szCs w:val="22"/>
        </w:rPr>
      </w:pPr>
      <w:r w:rsidRPr="00986221">
        <w:t>GOA may disclose matters relating to the Agreement, including the Agreement to governmental departments and agencies, Ministers and Parliamentary Secretaries of the Commonwealth of Australia, and to the Parliament of the Commonwealth of Australia, including responding to requests for information from Parliamentary committees or inquiries. This clause will survive termination or expiration of the Agreement.</w:t>
      </w:r>
    </w:p>
    <w:p w14:paraId="4AD1E6D5" w14:textId="77777777" w:rsidR="002B560F" w:rsidRPr="00986221" w:rsidRDefault="002B560F" w:rsidP="00154C7D">
      <w:pPr>
        <w:pStyle w:val="ListParagraph"/>
        <w:numPr>
          <w:ilvl w:val="0"/>
          <w:numId w:val="24"/>
        </w:numPr>
        <w:ind w:left="360"/>
        <w:rPr>
          <w:szCs w:val="22"/>
        </w:rPr>
      </w:pPr>
      <w:r w:rsidRPr="00986221">
        <w:t>The Partner Government may disclose matters relating to the Agreement, including the Agreement to its governmental departments and agencies, Ministers and Parliamentary Secretaries, and to the Parliament, including responding to requests for information from Parliamentary committees or inquiries.</w:t>
      </w:r>
    </w:p>
    <w:p w14:paraId="719165F3" w14:textId="77777777" w:rsidR="002B560F" w:rsidRPr="00986221" w:rsidRDefault="002B560F" w:rsidP="002B560F">
      <w:pPr>
        <w:spacing w:after="120"/>
        <w:rPr>
          <w:rFonts w:cs="Arial"/>
          <w:snapToGrid w:val="0"/>
          <w:szCs w:val="22"/>
        </w:rPr>
      </w:pPr>
      <w:r w:rsidRPr="00986221">
        <w:rPr>
          <w:rFonts w:cs="Arial"/>
          <w:b/>
          <w:snapToGrid w:val="0"/>
          <w:szCs w:val="22"/>
        </w:rPr>
        <w:t xml:space="preserve">Amendment </w:t>
      </w:r>
    </w:p>
    <w:p w14:paraId="7200FCAE" w14:textId="77777777" w:rsidR="002B560F" w:rsidRPr="00986221" w:rsidRDefault="002B560F" w:rsidP="00154C7D">
      <w:pPr>
        <w:pStyle w:val="ListParagraph"/>
        <w:numPr>
          <w:ilvl w:val="0"/>
          <w:numId w:val="24"/>
        </w:numPr>
        <w:ind w:left="360"/>
        <w:rPr>
          <w:snapToGrid w:val="0"/>
          <w:szCs w:val="22"/>
        </w:rPr>
      </w:pPr>
      <w:r w:rsidRPr="00986221">
        <w:rPr>
          <w:snapToGrid w:val="0"/>
          <w:szCs w:val="22"/>
        </w:rPr>
        <w:t>All changes to this Agreement must be mutually agreed in writing by the Parties in the form of a formal amendment to the Agreement.</w:t>
      </w:r>
    </w:p>
    <w:p w14:paraId="2AEAA483" w14:textId="77777777" w:rsidR="002B560F" w:rsidRPr="00986221" w:rsidRDefault="002B560F" w:rsidP="00154C7D">
      <w:pPr>
        <w:pStyle w:val="ListParagraph"/>
        <w:numPr>
          <w:ilvl w:val="0"/>
          <w:numId w:val="24"/>
        </w:numPr>
        <w:ind w:left="360"/>
        <w:rPr>
          <w:snapToGrid w:val="0"/>
          <w:szCs w:val="22"/>
        </w:rPr>
      </w:pPr>
      <w:r w:rsidRPr="00986221">
        <w:rPr>
          <w:snapToGrid w:val="0"/>
          <w:szCs w:val="22"/>
        </w:rPr>
        <w:t>This Agreement may be amended at any time by an Exchange of Letters between the Parties.</w:t>
      </w:r>
    </w:p>
    <w:p w14:paraId="0C89F98A" w14:textId="77777777" w:rsidR="002B560F" w:rsidRPr="00986221" w:rsidRDefault="002B560F" w:rsidP="002B560F">
      <w:pPr>
        <w:spacing w:after="120"/>
        <w:rPr>
          <w:rFonts w:cs="Arial"/>
          <w:b/>
          <w:snapToGrid w:val="0"/>
          <w:szCs w:val="22"/>
        </w:rPr>
      </w:pPr>
      <w:r w:rsidRPr="00986221">
        <w:rPr>
          <w:rFonts w:cs="Arial"/>
          <w:b/>
          <w:snapToGrid w:val="0"/>
          <w:szCs w:val="22"/>
        </w:rPr>
        <w:t>Termination</w:t>
      </w:r>
    </w:p>
    <w:p w14:paraId="2436E05A" w14:textId="77777777" w:rsidR="002B560F" w:rsidRPr="00986221" w:rsidRDefault="002B560F" w:rsidP="00154C7D">
      <w:pPr>
        <w:pStyle w:val="ListParagraph"/>
        <w:numPr>
          <w:ilvl w:val="0"/>
          <w:numId w:val="24"/>
        </w:numPr>
        <w:ind w:left="360"/>
        <w:rPr>
          <w:snapToGrid w:val="0"/>
          <w:szCs w:val="22"/>
        </w:rPr>
      </w:pPr>
      <w:r w:rsidRPr="00986221">
        <w:rPr>
          <w:szCs w:val="22"/>
          <w:lang w:eastAsia="ja-JP"/>
        </w:rPr>
        <w:t>Termination of this Agreement may be effected by one Party on giving 90 days written notice and reasons for the termination to the other Party.</w:t>
      </w:r>
    </w:p>
    <w:p w14:paraId="68499F87" w14:textId="77777777" w:rsidR="002B560F" w:rsidRPr="00986221" w:rsidRDefault="002B560F" w:rsidP="00154C7D">
      <w:pPr>
        <w:pStyle w:val="ListParagraph"/>
        <w:numPr>
          <w:ilvl w:val="0"/>
          <w:numId w:val="24"/>
        </w:numPr>
        <w:ind w:left="360"/>
        <w:rPr>
          <w:snapToGrid w:val="0"/>
          <w:szCs w:val="22"/>
        </w:rPr>
      </w:pPr>
      <w:r w:rsidRPr="00986221">
        <w:rPr>
          <w:snapToGrid w:val="0"/>
          <w:szCs w:val="22"/>
        </w:rPr>
        <w:t>In the event of any termination the Partner Government will provide an independently audited financial statement of the Project funding for the financial year during which termination occurred.</w:t>
      </w:r>
    </w:p>
    <w:p w14:paraId="6B79FF24" w14:textId="77777777" w:rsidR="002B560F" w:rsidRPr="00986221" w:rsidRDefault="002B560F" w:rsidP="002B560F">
      <w:pPr>
        <w:spacing w:after="120"/>
        <w:rPr>
          <w:rFonts w:cs="Arial"/>
          <w:szCs w:val="22"/>
          <w:lang w:eastAsia="ja-JP"/>
        </w:rPr>
      </w:pPr>
      <w:r w:rsidRPr="00986221">
        <w:rPr>
          <w:rFonts w:cs="Arial"/>
          <w:b/>
          <w:snapToGrid w:val="0"/>
          <w:szCs w:val="22"/>
        </w:rPr>
        <w:t>Provisions to Prevent Financing of Terrorism</w:t>
      </w:r>
    </w:p>
    <w:p w14:paraId="423E0702" w14:textId="77777777" w:rsidR="002B560F" w:rsidRPr="00986221" w:rsidRDefault="002B560F" w:rsidP="00154C7D">
      <w:pPr>
        <w:pStyle w:val="ListParagraph"/>
        <w:numPr>
          <w:ilvl w:val="0"/>
          <w:numId w:val="24"/>
        </w:numPr>
        <w:ind w:left="360"/>
        <w:rPr>
          <w:szCs w:val="22"/>
        </w:rPr>
      </w:pPr>
      <w:r w:rsidRPr="00986221">
        <w:rPr>
          <w:szCs w:val="22"/>
        </w:rPr>
        <w:t xml:space="preserve">The Partner Government will use its best </w:t>
      </w:r>
      <w:proofErr w:type="spellStart"/>
      <w:r w:rsidRPr="00986221">
        <w:rPr>
          <w:szCs w:val="22"/>
        </w:rPr>
        <w:t>endeavors</w:t>
      </w:r>
      <w:proofErr w:type="spellEnd"/>
      <w:r w:rsidRPr="00986221">
        <w:rPr>
          <w:szCs w:val="22"/>
        </w:rPr>
        <w:t xml:space="preserve"> to ensure that funds provided by </w:t>
      </w:r>
      <w:proofErr w:type="spellStart"/>
      <w:r w:rsidRPr="00986221">
        <w:rPr>
          <w:szCs w:val="22"/>
        </w:rPr>
        <w:t>GoA</w:t>
      </w:r>
      <w:proofErr w:type="spellEnd"/>
      <w:r w:rsidRPr="00986221">
        <w:rPr>
          <w:szCs w:val="22"/>
        </w:rPr>
        <w:t xml:space="preserve"> under the Agreement, do not provide direct or indirect support or resources to organisations and individuals associated with terrorism or listed on a ‘Relevant List’</w:t>
      </w:r>
    </w:p>
    <w:p w14:paraId="609FA62D" w14:textId="77777777" w:rsidR="002B560F" w:rsidRPr="00986221" w:rsidRDefault="002B560F" w:rsidP="00154C7D">
      <w:pPr>
        <w:pStyle w:val="ListParagraph"/>
        <w:numPr>
          <w:ilvl w:val="0"/>
          <w:numId w:val="24"/>
        </w:numPr>
        <w:ind w:left="360"/>
        <w:rPr>
          <w:szCs w:val="22"/>
        </w:rPr>
      </w:pPr>
      <w:r w:rsidRPr="00986221">
        <w:rPr>
          <w:szCs w:val="22"/>
        </w:rPr>
        <w:t>If, during the course of this Agreement, the Partner Government discovers that an organisation or individual involved in the Agreement is listed on a ‘Relevant List’ or has any link whatsoever with any organisation or individual associated with terrorism it will inform GOA immediately.</w:t>
      </w:r>
    </w:p>
    <w:p w14:paraId="67B6ED01" w14:textId="77777777" w:rsidR="002B560F" w:rsidRPr="00986221" w:rsidRDefault="002B560F" w:rsidP="00154C7D">
      <w:pPr>
        <w:pStyle w:val="ListParagraph"/>
        <w:numPr>
          <w:ilvl w:val="0"/>
          <w:numId w:val="24"/>
        </w:numPr>
        <w:ind w:left="360"/>
        <w:rPr>
          <w:szCs w:val="22"/>
        </w:rPr>
      </w:pPr>
      <w:r w:rsidRPr="00986221">
        <w:rPr>
          <w:szCs w:val="22"/>
        </w:rPr>
        <w:t>GOA may terminate this Agreement immediately by notice in writing to the Partner Government if the Partner Government breaches any of its obligations to prevent the financing of terrorism.</w:t>
      </w:r>
    </w:p>
    <w:p w14:paraId="6FAF2557" w14:textId="77777777" w:rsidR="002B560F" w:rsidRPr="00986221" w:rsidRDefault="002B560F" w:rsidP="00154C7D">
      <w:pPr>
        <w:pStyle w:val="ListParagraph"/>
        <w:numPr>
          <w:ilvl w:val="0"/>
          <w:numId w:val="24"/>
        </w:numPr>
        <w:ind w:left="360"/>
        <w:rPr>
          <w:szCs w:val="22"/>
        </w:rPr>
      </w:pPr>
      <w:r w:rsidRPr="00986221">
        <w:rPr>
          <w:szCs w:val="22"/>
        </w:rPr>
        <w:t xml:space="preserve">Notwithstanding </w:t>
      </w:r>
      <w:proofErr w:type="spellStart"/>
      <w:r w:rsidRPr="00986221">
        <w:rPr>
          <w:szCs w:val="22"/>
        </w:rPr>
        <w:t>GoA’s</w:t>
      </w:r>
      <w:proofErr w:type="spellEnd"/>
      <w:r w:rsidRPr="00986221">
        <w:rPr>
          <w:szCs w:val="22"/>
        </w:rPr>
        <w:t xml:space="preserve"> right to terminate this Agreement under </w:t>
      </w:r>
      <w:r w:rsidRPr="00986221">
        <w:rPr>
          <w:b/>
          <w:szCs w:val="22"/>
        </w:rPr>
        <w:t>Clause 95</w:t>
      </w:r>
      <w:r w:rsidRPr="00986221">
        <w:rPr>
          <w:szCs w:val="22"/>
        </w:rPr>
        <w:t xml:space="preserve"> in the event of a breach of this </w:t>
      </w:r>
      <w:r w:rsidRPr="00986221">
        <w:rPr>
          <w:b/>
          <w:szCs w:val="22"/>
        </w:rPr>
        <w:t>clause</w:t>
      </w:r>
      <w:r w:rsidRPr="00986221">
        <w:rPr>
          <w:szCs w:val="22"/>
        </w:rPr>
        <w:t>, the Partner Government</w:t>
      </w:r>
      <w:r w:rsidRPr="00986221">
        <w:rPr>
          <w:i/>
          <w:szCs w:val="22"/>
        </w:rPr>
        <w:t xml:space="preserve"> </w:t>
      </w:r>
      <w:r w:rsidRPr="00986221">
        <w:rPr>
          <w:szCs w:val="22"/>
        </w:rPr>
        <w:t>will use its best endeavours to recover an amount equivalent to the relevant funds which are found to have been paid to organisations and individuals associated with terrorism and refund that amount to GOA.</w:t>
      </w:r>
    </w:p>
    <w:p w14:paraId="2D385C9D" w14:textId="77777777" w:rsidR="002B560F" w:rsidRPr="00986221" w:rsidRDefault="002B560F" w:rsidP="00154C7D">
      <w:pPr>
        <w:pStyle w:val="ListParagraph"/>
        <w:numPr>
          <w:ilvl w:val="0"/>
          <w:numId w:val="24"/>
        </w:numPr>
        <w:ind w:left="360"/>
      </w:pPr>
      <w:r w:rsidRPr="00986221">
        <w:t xml:space="preserve">'Relevant List' means the lists of terrorist organisations made under Division 102 of the </w:t>
      </w:r>
      <w:r w:rsidRPr="00986221">
        <w:rPr>
          <w:i/>
        </w:rPr>
        <w:t>Criminal Code Act 1995</w:t>
      </w:r>
      <w:r w:rsidRPr="00986221">
        <w:t xml:space="preserve"> (</w:t>
      </w:r>
      <w:proofErr w:type="spellStart"/>
      <w:r w:rsidRPr="00986221">
        <w:t>Cth</w:t>
      </w:r>
      <w:proofErr w:type="spellEnd"/>
      <w:r w:rsidRPr="00986221">
        <w:t xml:space="preserve">) and the </w:t>
      </w:r>
      <w:r w:rsidRPr="00986221">
        <w:rPr>
          <w:i/>
        </w:rPr>
        <w:t>Charter of the UN Act 1945</w:t>
      </w:r>
      <w:r w:rsidRPr="00986221">
        <w:t xml:space="preserve"> (</w:t>
      </w:r>
      <w:proofErr w:type="spellStart"/>
      <w:r w:rsidRPr="00986221">
        <w:t>Cth</w:t>
      </w:r>
      <w:proofErr w:type="spellEnd"/>
      <w:r w:rsidRPr="00986221">
        <w:t xml:space="preserve">) posted at: </w:t>
      </w:r>
      <w:hyperlink r:id="rId30" w:history="1">
        <w:r w:rsidRPr="00986221">
          <w:rPr>
            <w:rStyle w:val="Hyperlink"/>
            <w:sz w:val="18"/>
            <w:szCs w:val="18"/>
          </w:rPr>
          <w:t>http://www.nationalsecurity.gov.au/Listedterroristorganisations/Pages/default.aspx</w:t>
        </w:r>
      </w:hyperlink>
      <w:r w:rsidRPr="00986221">
        <w:rPr>
          <w:sz w:val="18"/>
          <w:szCs w:val="18"/>
        </w:rPr>
        <w:t xml:space="preserve"> and </w:t>
      </w:r>
      <w:r w:rsidRPr="00986221">
        <w:rPr>
          <w:rStyle w:val="Hyperlink"/>
          <w:sz w:val="18"/>
          <w:szCs w:val="18"/>
        </w:rPr>
        <w:t>http://www.dfat.gov.au/sanctions/</w:t>
      </w:r>
    </w:p>
    <w:p w14:paraId="6645BCFD" w14:textId="77777777" w:rsidR="002B560F" w:rsidRPr="00986221" w:rsidRDefault="002B560F" w:rsidP="002B560F">
      <w:pPr>
        <w:spacing w:after="120"/>
        <w:rPr>
          <w:rFonts w:cs="Arial"/>
          <w:b/>
          <w:szCs w:val="22"/>
          <w:lang w:eastAsia="ja-JP"/>
        </w:rPr>
      </w:pPr>
      <w:r w:rsidRPr="00986221">
        <w:rPr>
          <w:rFonts w:cs="Arial"/>
          <w:b/>
          <w:szCs w:val="22"/>
          <w:lang w:eastAsia="ja-JP"/>
        </w:rPr>
        <w:t>Exemption from Taxation</w:t>
      </w:r>
    </w:p>
    <w:p w14:paraId="1C701A77" w14:textId="77777777" w:rsidR="002B560F" w:rsidRPr="00986221" w:rsidRDefault="002B560F" w:rsidP="00154C7D">
      <w:pPr>
        <w:pStyle w:val="ListParagraph"/>
        <w:numPr>
          <w:ilvl w:val="0"/>
          <w:numId w:val="24"/>
        </w:numPr>
        <w:ind w:left="360"/>
        <w:rPr>
          <w:snapToGrid w:val="0"/>
          <w:szCs w:val="22"/>
        </w:rPr>
      </w:pPr>
      <w:r w:rsidRPr="00986221">
        <w:rPr>
          <w:szCs w:val="22"/>
          <w:lang w:eastAsia="ja-JP"/>
        </w:rPr>
        <w:t>The Partner Government agrees that all the provisions of the MOU apply to this Project including taxation exemptions.</w:t>
      </w:r>
    </w:p>
    <w:p w14:paraId="7F06D0FC" w14:textId="77777777" w:rsidR="002B560F" w:rsidRPr="00986221" w:rsidRDefault="002B560F" w:rsidP="002B560F">
      <w:pPr>
        <w:spacing w:after="120"/>
        <w:rPr>
          <w:rFonts w:cs="Arial"/>
          <w:b/>
          <w:snapToGrid w:val="0"/>
          <w:szCs w:val="22"/>
        </w:rPr>
      </w:pPr>
      <w:r w:rsidRPr="00986221">
        <w:rPr>
          <w:rFonts w:cs="Arial"/>
          <w:b/>
          <w:szCs w:val="22"/>
          <w:lang w:eastAsia="ja-JP"/>
        </w:rPr>
        <w:t>Correspondence</w:t>
      </w:r>
    </w:p>
    <w:p w14:paraId="438C5759" w14:textId="77777777" w:rsidR="002B560F" w:rsidRPr="00986221" w:rsidRDefault="002B560F" w:rsidP="00154C7D">
      <w:pPr>
        <w:pStyle w:val="ListParagraph"/>
        <w:numPr>
          <w:ilvl w:val="0"/>
          <w:numId w:val="24"/>
        </w:numPr>
        <w:ind w:left="360"/>
        <w:rPr>
          <w:snapToGrid w:val="0"/>
          <w:szCs w:val="22"/>
        </w:rPr>
      </w:pPr>
      <w:r w:rsidRPr="00986221">
        <w:rPr>
          <w:snapToGrid w:val="0"/>
          <w:szCs w:val="22"/>
        </w:rPr>
        <w:t>All correspondence related  to the implementation of this Agreement  should be addressed to:</w:t>
      </w:r>
    </w:p>
    <w:p w14:paraId="79FFB849" w14:textId="77777777" w:rsidR="002B560F" w:rsidRPr="00986221" w:rsidRDefault="002B560F" w:rsidP="002B560F">
      <w:pPr>
        <w:spacing w:after="120"/>
        <w:ind w:left="360"/>
        <w:rPr>
          <w:rFonts w:cs="Arial"/>
          <w:snapToGrid w:val="0"/>
          <w:szCs w:val="22"/>
        </w:rPr>
      </w:pPr>
      <w:r w:rsidRPr="00986221">
        <w:rPr>
          <w:rFonts w:cs="Arial"/>
          <w:snapToGrid w:val="0"/>
          <w:szCs w:val="22"/>
        </w:rPr>
        <w:t>GOA:</w:t>
      </w:r>
      <w:r w:rsidRPr="00986221">
        <w:rPr>
          <w:rFonts w:cs="Arial"/>
          <w:snapToGrid w:val="0"/>
          <w:szCs w:val="22"/>
        </w:rPr>
        <w:tab/>
      </w:r>
      <w:r w:rsidRPr="00986221">
        <w:rPr>
          <w:rFonts w:cs="Arial"/>
          <w:snapToGrid w:val="0"/>
          <w:szCs w:val="22"/>
        </w:rPr>
        <w:tab/>
      </w:r>
      <w:r w:rsidRPr="00986221">
        <w:rPr>
          <w:rFonts w:cs="Arial"/>
          <w:snapToGrid w:val="0"/>
          <w:szCs w:val="22"/>
        </w:rPr>
        <w:tab/>
        <w:t>DFAT</w:t>
      </w:r>
    </w:p>
    <w:p w14:paraId="624DC93F" w14:textId="77777777" w:rsidR="002B560F" w:rsidRPr="00986221" w:rsidRDefault="002B560F" w:rsidP="002B560F">
      <w:pPr>
        <w:spacing w:after="120"/>
        <w:ind w:left="360"/>
        <w:rPr>
          <w:rFonts w:cs="Arial"/>
          <w:snapToGrid w:val="0"/>
          <w:szCs w:val="22"/>
        </w:rPr>
      </w:pPr>
      <w:r w:rsidRPr="00986221">
        <w:rPr>
          <w:rFonts w:cs="Arial"/>
          <w:snapToGrid w:val="0"/>
          <w:szCs w:val="22"/>
        </w:rPr>
        <w:tab/>
      </w:r>
      <w:r w:rsidRPr="00986221">
        <w:rPr>
          <w:rFonts w:cs="Arial"/>
          <w:snapToGrid w:val="0"/>
          <w:szCs w:val="22"/>
        </w:rPr>
        <w:tab/>
      </w:r>
      <w:r w:rsidRPr="00986221">
        <w:rPr>
          <w:rFonts w:cs="Arial"/>
          <w:snapToGrid w:val="0"/>
          <w:szCs w:val="22"/>
        </w:rPr>
        <w:tab/>
      </w:r>
      <w:r w:rsidRPr="00986221">
        <w:rPr>
          <w:rFonts w:cs="Arial"/>
          <w:snapToGrid w:val="0"/>
          <w:szCs w:val="22"/>
        </w:rPr>
        <w:tab/>
        <w:t xml:space="preserve">Australian Embassy, 8 Dao Tan </w:t>
      </w:r>
      <w:proofErr w:type="spellStart"/>
      <w:r w:rsidRPr="00986221">
        <w:rPr>
          <w:rFonts w:cs="Arial"/>
          <w:snapToGrid w:val="0"/>
          <w:szCs w:val="22"/>
        </w:rPr>
        <w:t>st</w:t>
      </w:r>
      <w:proofErr w:type="spellEnd"/>
      <w:r w:rsidRPr="00986221">
        <w:rPr>
          <w:rFonts w:cs="Arial"/>
          <w:snapToGrid w:val="0"/>
          <w:szCs w:val="22"/>
        </w:rPr>
        <w:t>, Hanoi</w:t>
      </w:r>
    </w:p>
    <w:p w14:paraId="5D2E521F" w14:textId="77777777" w:rsidR="002B560F" w:rsidRPr="00986221" w:rsidRDefault="002B560F" w:rsidP="002B560F">
      <w:pPr>
        <w:spacing w:after="120"/>
        <w:ind w:left="360"/>
        <w:rPr>
          <w:rFonts w:cs="Arial"/>
          <w:snapToGrid w:val="0"/>
          <w:szCs w:val="22"/>
        </w:rPr>
      </w:pPr>
      <w:r w:rsidRPr="00986221">
        <w:rPr>
          <w:rFonts w:cs="Arial"/>
          <w:snapToGrid w:val="0"/>
          <w:szCs w:val="22"/>
        </w:rPr>
        <w:tab/>
      </w:r>
      <w:r w:rsidRPr="00986221">
        <w:rPr>
          <w:rFonts w:cs="Arial"/>
          <w:snapToGrid w:val="0"/>
          <w:szCs w:val="22"/>
        </w:rPr>
        <w:tab/>
      </w:r>
      <w:r w:rsidRPr="00986221">
        <w:rPr>
          <w:rFonts w:cs="Arial"/>
          <w:snapToGrid w:val="0"/>
          <w:szCs w:val="22"/>
        </w:rPr>
        <w:tab/>
      </w:r>
      <w:r w:rsidRPr="00986221">
        <w:rPr>
          <w:rFonts w:cs="Arial"/>
          <w:snapToGrid w:val="0"/>
          <w:szCs w:val="22"/>
        </w:rPr>
        <w:tab/>
        <w:t>84 4 3771076</w:t>
      </w:r>
    </w:p>
    <w:p w14:paraId="5511601A" w14:textId="77777777" w:rsidR="002B560F" w:rsidRPr="00986221" w:rsidRDefault="002B560F" w:rsidP="002B560F">
      <w:pPr>
        <w:spacing w:after="120"/>
        <w:ind w:left="2880"/>
        <w:rPr>
          <w:rFonts w:cs="Arial"/>
          <w:snapToGrid w:val="0"/>
          <w:szCs w:val="22"/>
        </w:rPr>
      </w:pPr>
      <w:r w:rsidRPr="00986221">
        <w:rPr>
          <w:rFonts w:cs="Arial"/>
          <w:snapToGrid w:val="0"/>
          <w:szCs w:val="22"/>
        </w:rPr>
        <w:t>Attention Ms Nguyen Mai Chi, Senior Project Manager (Development Cooperation): Restructuring for a more Competitive Vietnam Project</w:t>
      </w:r>
    </w:p>
    <w:p w14:paraId="16A0B46B" w14:textId="77777777" w:rsidR="002B560F" w:rsidRPr="00986221" w:rsidRDefault="002B560F" w:rsidP="002B560F">
      <w:pPr>
        <w:spacing w:after="120"/>
        <w:ind w:left="360"/>
        <w:rPr>
          <w:color w:val="FF0000"/>
          <w:szCs w:val="22"/>
        </w:rPr>
      </w:pPr>
      <w:r w:rsidRPr="00986221">
        <w:rPr>
          <w:rFonts w:cs="Arial"/>
          <w:snapToGrid w:val="0"/>
          <w:szCs w:val="22"/>
        </w:rPr>
        <w:t>Partner Government</w:t>
      </w:r>
      <w:r w:rsidRPr="00986221">
        <w:rPr>
          <w:rFonts w:cs="Arial"/>
          <w:snapToGrid w:val="0"/>
          <w:szCs w:val="22"/>
        </w:rPr>
        <w:tab/>
        <w:t xml:space="preserve">CIEM </w:t>
      </w:r>
    </w:p>
    <w:p w14:paraId="2E3620B9" w14:textId="77777777" w:rsidR="002B560F" w:rsidRPr="00986221" w:rsidRDefault="002B560F" w:rsidP="002B560F">
      <w:pPr>
        <w:spacing w:after="120"/>
        <w:ind w:left="360"/>
        <w:rPr>
          <w:rFonts w:cs="Arial"/>
          <w:snapToGrid w:val="0"/>
          <w:color w:val="FF0000"/>
          <w:szCs w:val="22"/>
        </w:rPr>
      </w:pPr>
      <w:r w:rsidRPr="00986221">
        <w:rPr>
          <w:rFonts w:cs="Arial"/>
          <w:snapToGrid w:val="0"/>
          <w:szCs w:val="22"/>
        </w:rPr>
        <w:tab/>
      </w:r>
      <w:r w:rsidRPr="00986221">
        <w:rPr>
          <w:rFonts w:cs="Arial"/>
          <w:snapToGrid w:val="0"/>
          <w:szCs w:val="22"/>
        </w:rPr>
        <w:tab/>
      </w:r>
      <w:r w:rsidRPr="00986221">
        <w:rPr>
          <w:rFonts w:cs="Arial"/>
          <w:snapToGrid w:val="0"/>
          <w:szCs w:val="22"/>
        </w:rPr>
        <w:tab/>
      </w:r>
      <w:r w:rsidRPr="00986221">
        <w:rPr>
          <w:rFonts w:cs="Arial"/>
          <w:snapToGrid w:val="0"/>
          <w:szCs w:val="22"/>
        </w:rPr>
        <w:tab/>
        <w:t xml:space="preserve">68 </w:t>
      </w:r>
      <w:proofErr w:type="spellStart"/>
      <w:r w:rsidRPr="00986221">
        <w:rPr>
          <w:rFonts w:cs="Arial"/>
          <w:snapToGrid w:val="0"/>
          <w:szCs w:val="22"/>
        </w:rPr>
        <w:t>Phan</w:t>
      </w:r>
      <w:proofErr w:type="spellEnd"/>
      <w:r w:rsidRPr="00986221">
        <w:rPr>
          <w:rFonts w:cs="Arial"/>
          <w:snapToGrid w:val="0"/>
          <w:szCs w:val="22"/>
        </w:rPr>
        <w:t xml:space="preserve"> Dinh </w:t>
      </w:r>
      <w:proofErr w:type="spellStart"/>
      <w:r w:rsidRPr="00986221">
        <w:rPr>
          <w:rFonts w:cs="Arial"/>
          <w:snapToGrid w:val="0"/>
          <w:szCs w:val="22"/>
        </w:rPr>
        <w:t>Phung</w:t>
      </w:r>
      <w:proofErr w:type="spellEnd"/>
      <w:r w:rsidRPr="00986221">
        <w:rPr>
          <w:rFonts w:cs="Arial"/>
          <w:snapToGrid w:val="0"/>
          <w:szCs w:val="22"/>
        </w:rPr>
        <w:t xml:space="preserve"> </w:t>
      </w:r>
      <w:proofErr w:type="spellStart"/>
      <w:r w:rsidRPr="00986221">
        <w:rPr>
          <w:rFonts w:cs="Arial"/>
          <w:snapToGrid w:val="0"/>
          <w:szCs w:val="22"/>
        </w:rPr>
        <w:t>st</w:t>
      </w:r>
      <w:proofErr w:type="spellEnd"/>
      <w:r w:rsidRPr="00986221">
        <w:rPr>
          <w:rFonts w:cs="Arial"/>
          <w:snapToGrid w:val="0"/>
          <w:szCs w:val="22"/>
        </w:rPr>
        <w:t xml:space="preserve">, Hanoi </w:t>
      </w:r>
    </w:p>
    <w:p w14:paraId="6D92275B" w14:textId="77777777" w:rsidR="002B560F" w:rsidRPr="00986221" w:rsidRDefault="002B560F" w:rsidP="002B560F">
      <w:pPr>
        <w:spacing w:after="120"/>
        <w:ind w:left="360"/>
        <w:rPr>
          <w:rFonts w:cs="Arial"/>
          <w:snapToGrid w:val="0"/>
          <w:szCs w:val="22"/>
        </w:rPr>
      </w:pPr>
      <w:r w:rsidRPr="00986221">
        <w:rPr>
          <w:rFonts w:cs="Arial"/>
          <w:snapToGrid w:val="0"/>
          <w:color w:val="FF0000"/>
          <w:szCs w:val="22"/>
        </w:rPr>
        <w:tab/>
      </w:r>
      <w:r w:rsidRPr="00986221">
        <w:rPr>
          <w:rFonts w:cs="Arial"/>
          <w:snapToGrid w:val="0"/>
          <w:color w:val="FF0000"/>
          <w:szCs w:val="22"/>
        </w:rPr>
        <w:tab/>
      </w:r>
      <w:r w:rsidRPr="00986221">
        <w:rPr>
          <w:rFonts w:cs="Arial"/>
          <w:snapToGrid w:val="0"/>
          <w:color w:val="FF0000"/>
          <w:szCs w:val="22"/>
        </w:rPr>
        <w:tab/>
      </w:r>
      <w:r w:rsidRPr="00986221">
        <w:rPr>
          <w:rFonts w:cs="Arial"/>
          <w:snapToGrid w:val="0"/>
          <w:color w:val="FF0000"/>
          <w:szCs w:val="22"/>
        </w:rPr>
        <w:tab/>
      </w:r>
      <w:r w:rsidRPr="00986221">
        <w:rPr>
          <w:rFonts w:cs="Arial"/>
          <w:snapToGrid w:val="0"/>
          <w:szCs w:val="22"/>
        </w:rPr>
        <w:t xml:space="preserve">84 4 </w:t>
      </w:r>
      <w:r w:rsidRPr="00986221">
        <w:rPr>
          <w:rFonts w:eastAsia="MS PGothic"/>
          <w:lang w:val="en-US" w:eastAsia="ja-JP"/>
        </w:rPr>
        <w:t>3845 6795</w:t>
      </w:r>
    </w:p>
    <w:p w14:paraId="1AFCB935" w14:textId="77777777" w:rsidR="002B560F" w:rsidRPr="00986221" w:rsidRDefault="002B560F" w:rsidP="002B560F">
      <w:pPr>
        <w:spacing w:after="120"/>
        <w:ind w:left="2880"/>
        <w:rPr>
          <w:rFonts w:cs="Arial"/>
          <w:snapToGrid w:val="0"/>
          <w:szCs w:val="22"/>
        </w:rPr>
      </w:pPr>
      <w:r w:rsidRPr="00986221">
        <w:rPr>
          <w:rFonts w:cs="Arial"/>
          <w:snapToGrid w:val="0"/>
          <w:szCs w:val="22"/>
        </w:rPr>
        <w:t>Attention Mr Nguyen Dinh Cung, President, Project Director: Restructuring for a more Competitive Vietnam Project</w:t>
      </w:r>
    </w:p>
    <w:p w14:paraId="6C59F680" w14:textId="77777777" w:rsidR="002B560F" w:rsidRPr="00986221" w:rsidRDefault="002B560F" w:rsidP="002B560F">
      <w:pPr>
        <w:spacing w:after="120"/>
        <w:ind w:left="360"/>
        <w:rPr>
          <w:rFonts w:cs="Arial"/>
          <w:snapToGrid w:val="0"/>
          <w:szCs w:val="22"/>
        </w:rPr>
      </w:pPr>
    </w:p>
    <w:p w14:paraId="52527AF2" w14:textId="77777777" w:rsidR="002B560F" w:rsidRPr="00986221" w:rsidRDefault="002B560F" w:rsidP="002B560F">
      <w:pPr>
        <w:spacing w:after="120"/>
        <w:rPr>
          <w:rFonts w:cs="Arial"/>
          <w:snapToGrid w:val="0"/>
          <w:szCs w:val="22"/>
        </w:rPr>
      </w:pPr>
      <w:r w:rsidRPr="00986221">
        <w:rPr>
          <w:rFonts w:cs="Arial"/>
          <w:snapToGrid w:val="0"/>
          <w:szCs w:val="22"/>
        </w:rPr>
        <w:t>ANNEXURES to this Agreement form an integral part of it.</w:t>
      </w:r>
    </w:p>
    <w:p w14:paraId="414365DD" w14:textId="77777777" w:rsidR="002B560F" w:rsidRPr="00986221" w:rsidRDefault="002B560F" w:rsidP="002B560F">
      <w:pPr>
        <w:spacing w:after="120"/>
        <w:rPr>
          <w:rFonts w:cs="Arial"/>
          <w:snapToGrid w:val="0"/>
          <w:szCs w:val="22"/>
        </w:rPr>
      </w:pPr>
      <w:r w:rsidRPr="00986221">
        <w:rPr>
          <w:rFonts w:cs="Arial"/>
          <w:snapToGrid w:val="0"/>
          <w:szCs w:val="22"/>
        </w:rPr>
        <w:t>IN WITNESS THEREOF, the undersigned have signed this Agreement.</w:t>
      </w:r>
    </w:p>
    <w:p w14:paraId="51A7A1DB" w14:textId="77777777" w:rsidR="002B560F" w:rsidRPr="00986221" w:rsidRDefault="002B560F" w:rsidP="002B560F">
      <w:pPr>
        <w:spacing w:after="480"/>
        <w:rPr>
          <w:rFonts w:cs="Arial"/>
          <w:snapToGrid w:val="0"/>
          <w:szCs w:val="22"/>
        </w:rPr>
      </w:pPr>
      <w:proofErr w:type="gramStart"/>
      <w:r w:rsidRPr="00986221">
        <w:rPr>
          <w:rFonts w:cs="Arial"/>
          <w:snapToGrid w:val="0"/>
          <w:szCs w:val="22"/>
        </w:rPr>
        <w:t>Signed in duplication the [number] day of [month] in the year of 2014 in two (2) originals in the English language, both of the texts being equally authentic.</w:t>
      </w:r>
      <w:proofErr w:type="gramEnd"/>
    </w:p>
    <w:p w14:paraId="26F92ED8" w14:textId="77777777" w:rsidR="002B560F" w:rsidRPr="00986221" w:rsidRDefault="002B560F" w:rsidP="002B560F">
      <w:pPr>
        <w:rPr>
          <w:rFonts w:cs="Arial"/>
          <w:snapToGrid w:val="0"/>
          <w:szCs w:val="22"/>
        </w:rPr>
      </w:pPr>
      <w:r w:rsidRPr="00986221">
        <w:rPr>
          <w:rFonts w:cs="Arial"/>
          <w:noProof/>
          <w:lang w:eastAsia="en-AU"/>
        </w:rPr>
        <mc:AlternateContent>
          <mc:Choice Requires="wps">
            <w:drawing>
              <wp:anchor distT="0" distB="0" distL="114300" distR="114300" simplePos="0" relativeHeight="251691008" behindDoc="0" locked="0" layoutInCell="1" allowOverlap="1" wp14:anchorId="0C3B0069" wp14:editId="4E8B6102">
                <wp:simplePos x="0" y="0"/>
                <wp:positionH relativeFrom="column">
                  <wp:posOffset>3204376</wp:posOffset>
                </wp:positionH>
                <wp:positionV relativeFrom="paragraph">
                  <wp:posOffset>132963</wp:posOffset>
                </wp:positionV>
                <wp:extent cx="2590800" cy="4055166"/>
                <wp:effectExtent l="0" t="0" r="0" b="254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40551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BB8B68" w14:textId="77777777" w:rsidR="00AB4539" w:rsidRPr="002B17E6" w:rsidRDefault="00AB4539" w:rsidP="002B560F">
                            <w:pPr>
                              <w:jc w:val="center"/>
                              <w:rPr>
                                <w:rFonts w:ascii="Calibri" w:hAnsi="Calibri"/>
                                <w:b/>
                                <w:snapToGrid w:val="0"/>
                              </w:rPr>
                            </w:pPr>
                            <w:r w:rsidRPr="002B17E6">
                              <w:rPr>
                                <w:rFonts w:ascii="Calibri" w:hAnsi="Calibri"/>
                                <w:b/>
                                <w:snapToGrid w:val="0"/>
                              </w:rPr>
                              <w:t xml:space="preserve">FOR THE GOVERNMENT OF </w:t>
                            </w:r>
                            <w:r>
                              <w:rPr>
                                <w:rFonts w:ascii="Calibri" w:hAnsi="Calibri"/>
                                <w:b/>
                                <w:snapToGrid w:val="0"/>
                              </w:rPr>
                              <w:t>VIETNAM</w:t>
                            </w:r>
                          </w:p>
                          <w:p w14:paraId="5DDFF716" w14:textId="77777777" w:rsidR="00AB4539" w:rsidRPr="002B17E6" w:rsidRDefault="00AB4539" w:rsidP="002B560F">
                            <w:pPr>
                              <w:jc w:val="center"/>
                              <w:rPr>
                                <w:rFonts w:ascii="Calibri" w:hAnsi="Calibri"/>
                                <w:snapToGrid w:val="0"/>
                              </w:rPr>
                            </w:pPr>
                          </w:p>
                          <w:p w14:paraId="7416ECD1" w14:textId="77777777" w:rsidR="00AB4539" w:rsidRPr="002B17E6" w:rsidRDefault="00AB4539" w:rsidP="002B560F">
                            <w:pPr>
                              <w:jc w:val="center"/>
                              <w:rPr>
                                <w:rFonts w:ascii="Calibri" w:hAnsi="Calibri"/>
                                <w:snapToGrid w:val="0"/>
                              </w:rPr>
                            </w:pPr>
                            <w:r w:rsidRPr="002B17E6">
                              <w:rPr>
                                <w:rFonts w:ascii="Calibri" w:hAnsi="Calibri"/>
                                <w:snapToGrid w:val="0"/>
                              </w:rPr>
                              <w:t>………………….</w:t>
                            </w:r>
                          </w:p>
                          <w:p w14:paraId="2E88085C" w14:textId="77777777" w:rsidR="00AB4539" w:rsidRPr="002B17E6" w:rsidRDefault="00AB4539" w:rsidP="002B560F">
                            <w:pPr>
                              <w:jc w:val="center"/>
                              <w:rPr>
                                <w:rFonts w:ascii="Calibri" w:hAnsi="Calibri"/>
                                <w:snapToGrid w:val="0"/>
                              </w:rPr>
                            </w:pPr>
                            <w:r w:rsidRPr="002B17E6">
                              <w:rPr>
                                <w:rFonts w:ascii="Calibri" w:hAnsi="Calibri"/>
                                <w:snapToGrid w:val="0"/>
                              </w:rPr>
                              <w:t>(Signature)</w:t>
                            </w:r>
                          </w:p>
                          <w:p w14:paraId="33B583C5" w14:textId="77777777" w:rsidR="00AB4539" w:rsidRPr="002B17E6" w:rsidRDefault="00AB4539" w:rsidP="002B560F">
                            <w:pPr>
                              <w:jc w:val="center"/>
                              <w:rPr>
                                <w:rFonts w:ascii="Calibri" w:hAnsi="Calibri"/>
                                <w:snapToGrid w:val="0"/>
                              </w:rPr>
                            </w:pPr>
                          </w:p>
                          <w:p w14:paraId="558CE7F1" w14:textId="77777777" w:rsidR="00AB4539" w:rsidRDefault="00AB4539" w:rsidP="002B560F">
                            <w:pPr>
                              <w:jc w:val="center"/>
                              <w:rPr>
                                <w:rFonts w:ascii="Calibri" w:hAnsi="Calibri"/>
                              </w:rPr>
                            </w:pPr>
                            <w:r>
                              <w:rPr>
                                <w:rFonts w:ascii="Calibri" w:hAnsi="Calibri"/>
                              </w:rPr>
                              <w:t xml:space="preserve">Ministry of Planning and Investment </w:t>
                            </w:r>
                          </w:p>
                          <w:p w14:paraId="19AAFE6A" w14:textId="77777777" w:rsidR="00AB4539" w:rsidRPr="002B17E6" w:rsidRDefault="00AB4539" w:rsidP="002B560F">
                            <w:pPr>
                              <w:jc w:val="center"/>
                              <w:rPr>
                                <w:rFonts w:ascii="Calibri" w:hAnsi="Calibri"/>
                              </w:rPr>
                            </w:pPr>
                            <w:proofErr w:type="gramStart"/>
                            <w:r>
                              <w:rPr>
                                <w:rFonts w:ascii="Calibri" w:hAnsi="Calibri"/>
                              </w:rPr>
                              <w:t>as</w:t>
                            </w:r>
                            <w:proofErr w:type="gramEnd"/>
                            <w:r>
                              <w:rPr>
                                <w:rFonts w:ascii="Calibri" w:hAnsi="Calibri"/>
                              </w:rPr>
                              <w:t xml:space="preserve"> Partner Government Ministry with primary responsibility for implementation</w:t>
                            </w:r>
                          </w:p>
                          <w:p w14:paraId="4FEEF7A2" w14:textId="77777777" w:rsidR="00AB4539" w:rsidRDefault="00AB4539" w:rsidP="002B560F">
                            <w:pPr>
                              <w:jc w:val="center"/>
                            </w:pPr>
                          </w:p>
                          <w:p w14:paraId="1D9ED480" w14:textId="77777777" w:rsidR="00AB4539" w:rsidRPr="002B17E6" w:rsidRDefault="00AB4539" w:rsidP="002B560F">
                            <w:pPr>
                              <w:jc w:val="center"/>
                              <w:rPr>
                                <w:rFonts w:ascii="Calibri" w:hAnsi="Calibri"/>
                                <w:snapToGrid w:val="0"/>
                              </w:rPr>
                            </w:pPr>
                            <w:r w:rsidRPr="002B17E6">
                              <w:rPr>
                                <w:rFonts w:ascii="Calibri" w:hAnsi="Calibri"/>
                                <w:snapToGrid w:val="0"/>
                              </w:rPr>
                              <w:t>………………….</w:t>
                            </w:r>
                          </w:p>
                          <w:p w14:paraId="714AF363" w14:textId="77777777" w:rsidR="00AB4539" w:rsidRPr="002B17E6" w:rsidRDefault="00AB4539" w:rsidP="002B560F">
                            <w:pPr>
                              <w:jc w:val="center"/>
                              <w:rPr>
                                <w:rFonts w:ascii="Calibri" w:hAnsi="Calibri"/>
                                <w:snapToGrid w:val="0"/>
                              </w:rPr>
                            </w:pPr>
                            <w:r w:rsidRPr="002B17E6">
                              <w:rPr>
                                <w:rFonts w:ascii="Calibri" w:hAnsi="Calibri"/>
                                <w:snapToGrid w:val="0"/>
                              </w:rPr>
                              <w:t>(Signature)</w:t>
                            </w:r>
                          </w:p>
                          <w:p w14:paraId="63680257" w14:textId="77777777" w:rsidR="00AB4539" w:rsidRPr="002B17E6" w:rsidRDefault="00AB4539" w:rsidP="002B560F">
                            <w:pPr>
                              <w:jc w:val="center"/>
                              <w:rPr>
                                <w:rFonts w:ascii="Calibri" w:hAnsi="Calibri"/>
                              </w:rPr>
                            </w:pPr>
                            <w:r>
                              <w:rPr>
                                <w:rFonts w:ascii="Calibri" w:hAnsi="Calibri"/>
                              </w:rPr>
                              <w:t>Ministry of Industry and Trade</w:t>
                            </w:r>
                          </w:p>
                          <w:p w14:paraId="282EBAAB" w14:textId="77777777" w:rsidR="00AB4539" w:rsidRDefault="00AB4539" w:rsidP="002B560F">
                            <w:pPr>
                              <w:jc w:val="center"/>
                            </w:pPr>
                          </w:p>
                          <w:p w14:paraId="23BBFDA7" w14:textId="77777777" w:rsidR="00AB4539" w:rsidRDefault="00AB4539" w:rsidP="002B560F">
                            <w:pPr>
                              <w:jc w:val="center"/>
                            </w:pPr>
                          </w:p>
                          <w:p w14:paraId="7DFEA6BD" w14:textId="77777777" w:rsidR="00AB4539" w:rsidRPr="002B17E6" w:rsidRDefault="00AB4539" w:rsidP="002B560F">
                            <w:pPr>
                              <w:jc w:val="center"/>
                              <w:rPr>
                                <w:rFonts w:ascii="Calibri" w:hAnsi="Calibri"/>
                                <w:snapToGrid w:val="0"/>
                              </w:rPr>
                            </w:pPr>
                            <w:r w:rsidRPr="002B17E6">
                              <w:rPr>
                                <w:rFonts w:ascii="Calibri" w:hAnsi="Calibri"/>
                                <w:snapToGrid w:val="0"/>
                              </w:rPr>
                              <w:t>………………….</w:t>
                            </w:r>
                          </w:p>
                          <w:p w14:paraId="2D4F8DE8" w14:textId="77777777" w:rsidR="00AB4539" w:rsidRPr="002B17E6" w:rsidRDefault="00AB4539" w:rsidP="002B560F">
                            <w:pPr>
                              <w:jc w:val="center"/>
                              <w:rPr>
                                <w:rFonts w:ascii="Calibri" w:hAnsi="Calibri"/>
                                <w:snapToGrid w:val="0"/>
                              </w:rPr>
                            </w:pPr>
                            <w:r w:rsidRPr="002B17E6">
                              <w:rPr>
                                <w:rFonts w:ascii="Calibri" w:hAnsi="Calibri"/>
                                <w:snapToGrid w:val="0"/>
                              </w:rPr>
                              <w:t>(Signature)</w:t>
                            </w:r>
                          </w:p>
                          <w:p w14:paraId="6003D0D3" w14:textId="77777777" w:rsidR="00AB4539" w:rsidRPr="002B17E6" w:rsidRDefault="00AB4539" w:rsidP="002B560F">
                            <w:pPr>
                              <w:jc w:val="center"/>
                              <w:rPr>
                                <w:rFonts w:ascii="Calibri" w:hAnsi="Calibri"/>
                              </w:rPr>
                            </w:pPr>
                            <w:r>
                              <w:rPr>
                                <w:rFonts w:ascii="Calibri" w:hAnsi="Calibri"/>
                              </w:rPr>
                              <w:t>Ministry of Agriculture and Rural Development</w:t>
                            </w:r>
                          </w:p>
                          <w:p w14:paraId="0D6F1CCD" w14:textId="77777777" w:rsidR="00AB4539" w:rsidRDefault="00AB4539" w:rsidP="002B560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0" type="#_x0000_t202" style="position:absolute;margin-left:252.3pt;margin-top:10.45pt;width:204pt;height:319.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" stroked="f">
                <v:textbox>
                  <w:txbxContent>
                    <w:p w14:paraId="48BB8B68" w14:textId="77777777" w:rsidR="00AB4539" w:rsidRPr="002B17E6" w:rsidRDefault="00AB4539" w:rsidP="002B560F">
                      <w:pPr>
                        <w:jc w:val="center"/>
                        <w:rPr>
                          <w:rFonts w:ascii="Calibri" w:hAnsi="Calibri"/>
                          <w:b/>
                          <w:snapToGrid w:val="0"/>
                        </w:rPr>
                      </w:pPr>
                      <w:r w:rsidRPr="002B17E6">
                        <w:rPr>
                          <w:rFonts w:ascii="Calibri" w:hAnsi="Calibri"/>
                          <w:b/>
                          <w:snapToGrid w:val="0"/>
                        </w:rPr>
                        <w:t xml:space="preserve">FOR THE GOVERNMENT OF </w:t>
                      </w:r>
                      <w:r>
                        <w:rPr>
                          <w:rFonts w:ascii="Calibri" w:hAnsi="Calibri"/>
                          <w:b/>
                          <w:snapToGrid w:val="0"/>
                        </w:rPr>
                        <w:t>VIETNAM</w:t>
                      </w:r>
                    </w:p>
                    <w:p w14:paraId="5DDFF716" w14:textId="77777777" w:rsidR="00AB4539" w:rsidRPr="002B17E6" w:rsidRDefault="00AB4539" w:rsidP="002B560F">
                      <w:pPr>
                        <w:jc w:val="center"/>
                        <w:rPr>
                          <w:rFonts w:ascii="Calibri" w:hAnsi="Calibri"/>
                          <w:snapToGrid w:val="0"/>
                        </w:rPr>
                      </w:pPr>
                    </w:p>
                    <w:p w14:paraId="7416ECD1" w14:textId="77777777" w:rsidR="00AB4539" w:rsidRPr="002B17E6" w:rsidRDefault="00AB4539" w:rsidP="002B560F">
                      <w:pPr>
                        <w:jc w:val="center"/>
                        <w:rPr>
                          <w:rFonts w:ascii="Calibri" w:hAnsi="Calibri"/>
                          <w:snapToGrid w:val="0"/>
                        </w:rPr>
                      </w:pPr>
                      <w:r w:rsidRPr="002B17E6">
                        <w:rPr>
                          <w:rFonts w:ascii="Calibri" w:hAnsi="Calibri"/>
                          <w:snapToGrid w:val="0"/>
                        </w:rPr>
                        <w:t>………………….</w:t>
                      </w:r>
                    </w:p>
                    <w:p w14:paraId="2E88085C" w14:textId="77777777" w:rsidR="00AB4539" w:rsidRPr="002B17E6" w:rsidRDefault="00AB4539" w:rsidP="002B560F">
                      <w:pPr>
                        <w:jc w:val="center"/>
                        <w:rPr>
                          <w:rFonts w:ascii="Calibri" w:hAnsi="Calibri"/>
                          <w:snapToGrid w:val="0"/>
                        </w:rPr>
                      </w:pPr>
                      <w:r w:rsidRPr="002B17E6">
                        <w:rPr>
                          <w:rFonts w:ascii="Calibri" w:hAnsi="Calibri"/>
                          <w:snapToGrid w:val="0"/>
                        </w:rPr>
                        <w:t>(Signature)</w:t>
                      </w:r>
                    </w:p>
                    <w:p w14:paraId="33B583C5" w14:textId="77777777" w:rsidR="00AB4539" w:rsidRPr="002B17E6" w:rsidRDefault="00AB4539" w:rsidP="002B560F">
                      <w:pPr>
                        <w:jc w:val="center"/>
                        <w:rPr>
                          <w:rFonts w:ascii="Calibri" w:hAnsi="Calibri"/>
                          <w:snapToGrid w:val="0"/>
                        </w:rPr>
                      </w:pPr>
                    </w:p>
                    <w:p w14:paraId="558CE7F1" w14:textId="77777777" w:rsidR="00AB4539" w:rsidRDefault="00AB4539" w:rsidP="002B560F">
                      <w:pPr>
                        <w:jc w:val="center"/>
                        <w:rPr>
                          <w:rFonts w:ascii="Calibri" w:hAnsi="Calibri"/>
                        </w:rPr>
                      </w:pPr>
                      <w:r>
                        <w:rPr>
                          <w:rFonts w:ascii="Calibri" w:hAnsi="Calibri"/>
                        </w:rPr>
                        <w:t xml:space="preserve">Ministry of Planning and Investment </w:t>
                      </w:r>
                    </w:p>
                    <w:p w14:paraId="19AAFE6A" w14:textId="77777777" w:rsidR="00AB4539" w:rsidRPr="002B17E6" w:rsidRDefault="00AB4539" w:rsidP="002B560F">
                      <w:pPr>
                        <w:jc w:val="center"/>
                        <w:rPr>
                          <w:rFonts w:ascii="Calibri" w:hAnsi="Calibri"/>
                        </w:rPr>
                      </w:pPr>
                      <w:proofErr w:type="gramStart"/>
                      <w:r>
                        <w:rPr>
                          <w:rFonts w:ascii="Calibri" w:hAnsi="Calibri"/>
                        </w:rPr>
                        <w:t>as</w:t>
                      </w:r>
                      <w:proofErr w:type="gramEnd"/>
                      <w:r>
                        <w:rPr>
                          <w:rFonts w:ascii="Calibri" w:hAnsi="Calibri"/>
                        </w:rPr>
                        <w:t xml:space="preserve"> Partner Government Ministry with primary responsibility for implementation</w:t>
                      </w:r>
                    </w:p>
                    <w:p w14:paraId="4FEEF7A2" w14:textId="77777777" w:rsidR="00AB4539" w:rsidRDefault="00AB4539" w:rsidP="002B560F">
                      <w:pPr>
                        <w:jc w:val="center"/>
                      </w:pPr>
                    </w:p>
                    <w:p w14:paraId="1D9ED480" w14:textId="77777777" w:rsidR="00AB4539" w:rsidRPr="002B17E6" w:rsidRDefault="00AB4539" w:rsidP="002B560F">
                      <w:pPr>
                        <w:jc w:val="center"/>
                        <w:rPr>
                          <w:rFonts w:ascii="Calibri" w:hAnsi="Calibri"/>
                          <w:snapToGrid w:val="0"/>
                        </w:rPr>
                      </w:pPr>
                      <w:r w:rsidRPr="002B17E6">
                        <w:rPr>
                          <w:rFonts w:ascii="Calibri" w:hAnsi="Calibri"/>
                          <w:snapToGrid w:val="0"/>
                        </w:rPr>
                        <w:t>………………….</w:t>
                      </w:r>
                    </w:p>
                    <w:p w14:paraId="714AF363" w14:textId="77777777" w:rsidR="00AB4539" w:rsidRPr="002B17E6" w:rsidRDefault="00AB4539" w:rsidP="002B560F">
                      <w:pPr>
                        <w:jc w:val="center"/>
                        <w:rPr>
                          <w:rFonts w:ascii="Calibri" w:hAnsi="Calibri"/>
                          <w:snapToGrid w:val="0"/>
                        </w:rPr>
                      </w:pPr>
                      <w:r w:rsidRPr="002B17E6">
                        <w:rPr>
                          <w:rFonts w:ascii="Calibri" w:hAnsi="Calibri"/>
                          <w:snapToGrid w:val="0"/>
                        </w:rPr>
                        <w:t>(Signature)</w:t>
                      </w:r>
                    </w:p>
                    <w:p w14:paraId="63680257" w14:textId="77777777" w:rsidR="00AB4539" w:rsidRPr="002B17E6" w:rsidRDefault="00AB4539" w:rsidP="002B560F">
                      <w:pPr>
                        <w:jc w:val="center"/>
                        <w:rPr>
                          <w:rFonts w:ascii="Calibri" w:hAnsi="Calibri"/>
                        </w:rPr>
                      </w:pPr>
                      <w:r>
                        <w:rPr>
                          <w:rFonts w:ascii="Calibri" w:hAnsi="Calibri"/>
                        </w:rPr>
                        <w:t>Ministry of Industry and Trade</w:t>
                      </w:r>
                    </w:p>
                    <w:p w14:paraId="282EBAAB" w14:textId="77777777" w:rsidR="00AB4539" w:rsidRDefault="00AB4539" w:rsidP="002B560F">
                      <w:pPr>
                        <w:jc w:val="center"/>
                      </w:pPr>
                    </w:p>
                    <w:p w14:paraId="23BBFDA7" w14:textId="77777777" w:rsidR="00AB4539" w:rsidRDefault="00AB4539" w:rsidP="002B560F">
                      <w:pPr>
                        <w:jc w:val="center"/>
                      </w:pPr>
                    </w:p>
                    <w:p w14:paraId="7DFEA6BD" w14:textId="77777777" w:rsidR="00AB4539" w:rsidRPr="002B17E6" w:rsidRDefault="00AB4539" w:rsidP="002B560F">
                      <w:pPr>
                        <w:jc w:val="center"/>
                        <w:rPr>
                          <w:rFonts w:ascii="Calibri" w:hAnsi="Calibri"/>
                          <w:snapToGrid w:val="0"/>
                        </w:rPr>
                      </w:pPr>
                      <w:r w:rsidRPr="002B17E6">
                        <w:rPr>
                          <w:rFonts w:ascii="Calibri" w:hAnsi="Calibri"/>
                          <w:snapToGrid w:val="0"/>
                        </w:rPr>
                        <w:t>………………….</w:t>
                      </w:r>
                    </w:p>
                    <w:p w14:paraId="2D4F8DE8" w14:textId="77777777" w:rsidR="00AB4539" w:rsidRPr="002B17E6" w:rsidRDefault="00AB4539" w:rsidP="002B560F">
                      <w:pPr>
                        <w:jc w:val="center"/>
                        <w:rPr>
                          <w:rFonts w:ascii="Calibri" w:hAnsi="Calibri"/>
                          <w:snapToGrid w:val="0"/>
                        </w:rPr>
                      </w:pPr>
                      <w:r w:rsidRPr="002B17E6">
                        <w:rPr>
                          <w:rFonts w:ascii="Calibri" w:hAnsi="Calibri"/>
                          <w:snapToGrid w:val="0"/>
                        </w:rPr>
                        <w:t>(Signature)</w:t>
                      </w:r>
                    </w:p>
                    <w:p w14:paraId="6003D0D3" w14:textId="77777777" w:rsidR="00AB4539" w:rsidRPr="002B17E6" w:rsidRDefault="00AB4539" w:rsidP="002B560F">
                      <w:pPr>
                        <w:jc w:val="center"/>
                        <w:rPr>
                          <w:rFonts w:ascii="Calibri" w:hAnsi="Calibri"/>
                        </w:rPr>
                      </w:pPr>
                      <w:r>
                        <w:rPr>
                          <w:rFonts w:ascii="Calibri" w:hAnsi="Calibri"/>
                        </w:rPr>
                        <w:t>Ministry of Agriculture and Rural Development</w:t>
                      </w:r>
                    </w:p>
                    <w:p w14:paraId="0D6F1CCD" w14:textId="77777777" w:rsidR="00AB4539" w:rsidRDefault="00AB4539" w:rsidP="002B560F">
                      <w:pPr>
                        <w:jc w:val="center"/>
                      </w:pPr>
                    </w:p>
                  </w:txbxContent>
                </v:textbox>
              </v:shape>
            </w:pict>
          </mc:Fallback>
        </mc:AlternateContent>
      </w:r>
      <w:r w:rsidRPr="00986221">
        <w:rPr>
          <w:rFonts w:cs="Arial"/>
          <w:noProof/>
          <w:lang w:eastAsia="en-AU"/>
        </w:rPr>
        <mc:AlternateContent>
          <mc:Choice Requires="wps">
            <w:drawing>
              <wp:anchor distT="0" distB="0" distL="114300" distR="114300" simplePos="0" relativeHeight="251689984" behindDoc="0" locked="0" layoutInCell="1" allowOverlap="1" wp14:anchorId="541571A7" wp14:editId="55B5EB09">
                <wp:simplePos x="0" y="0"/>
                <wp:positionH relativeFrom="column">
                  <wp:posOffset>0</wp:posOffset>
                </wp:positionH>
                <wp:positionV relativeFrom="paragraph">
                  <wp:posOffset>125730</wp:posOffset>
                </wp:positionV>
                <wp:extent cx="2590800" cy="2156460"/>
                <wp:effectExtent l="0" t="0" r="0" b="254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156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B09865" w14:textId="77777777" w:rsidR="00AB4539" w:rsidRPr="002B17E6" w:rsidRDefault="00AB4539" w:rsidP="002B560F">
                            <w:pPr>
                              <w:jc w:val="center"/>
                              <w:rPr>
                                <w:rFonts w:ascii="Calibri" w:hAnsi="Calibri"/>
                                <w:b/>
                                <w:snapToGrid w:val="0"/>
                              </w:rPr>
                            </w:pPr>
                            <w:r w:rsidRPr="002B17E6">
                              <w:rPr>
                                <w:rFonts w:ascii="Calibri" w:hAnsi="Calibri"/>
                                <w:b/>
                                <w:snapToGrid w:val="0"/>
                              </w:rPr>
                              <w:t>FOR THE GOVERNMENT OF AUSTRALIA</w:t>
                            </w:r>
                          </w:p>
                          <w:p w14:paraId="63D3562C" w14:textId="77777777" w:rsidR="00AB4539" w:rsidRPr="002B17E6" w:rsidRDefault="00AB4539" w:rsidP="002B560F">
                            <w:pPr>
                              <w:rPr>
                                <w:rFonts w:ascii="Calibri" w:hAnsi="Calibri"/>
                                <w:snapToGrid w:val="0"/>
                              </w:rPr>
                            </w:pPr>
                          </w:p>
                          <w:p w14:paraId="3D9DBD03" w14:textId="77777777" w:rsidR="00AB4539" w:rsidRPr="002B17E6" w:rsidRDefault="00AB4539" w:rsidP="002B560F">
                            <w:pPr>
                              <w:jc w:val="center"/>
                              <w:rPr>
                                <w:rFonts w:ascii="Calibri" w:hAnsi="Calibri"/>
                                <w:snapToGrid w:val="0"/>
                              </w:rPr>
                            </w:pPr>
                            <w:r w:rsidRPr="002B17E6">
                              <w:rPr>
                                <w:rFonts w:ascii="Calibri" w:hAnsi="Calibri"/>
                                <w:snapToGrid w:val="0"/>
                              </w:rPr>
                              <w:t>………………….</w:t>
                            </w:r>
                          </w:p>
                          <w:p w14:paraId="6768EC90" w14:textId="77777777" w:rsidR="00AB4539" w:rsidRPr="002B17E6" w:rsidRDefault="00AB4539" w:rsidP="002B560F">
                            <w:pPr>
                              <w:jc w:val="center"/>
                              <w:rPr>
                                <w:rFonts w:ascii="Calibri" w:hAnsi="Calibri"/>
                                <w:snapToGrid w:val="0"/>
                              </w:rPr>
                            </w:pPr>
                            <w:r w:rsidRPr="002B17E6">
                              <w:rPr>
                                <w:rFonts w:ascii="Calibri" w:hAnsi="Calibri"/>
                                <w:snapToGrid w:val="0"/>
                              </w:rPr>
                              <w:t>(Signature)</w:t>
                            </w:r>
                          </w:p>
                          <w:p w14:paraId="3F482D4D" w14:textId="77777777" w:rsidR="00AB4539" w:rsidRPr="002B17E6" w:rsidRDefault="00AB4539" w:rsidP="002B560F">
                            <w:pPr>
                              <w:jc w:val="center"/>
                              <w:rPr>
                                <w:rFonts w:ascii="Calibri" w:hAnsi="Calibri"/>
                                <w:snapToGrid w:val="0"/>
                              </w:rPr>
                            </w:pPr>
                          </w:p>
                          <w:p w14:paraId="4EFEA668" w14:textId="77777777" w:rsidR="00AB4539" w:rsidRPr="002B17E6" w:rsidRDefault="00AB4539" w:rsidP="002B560F">
                            <w:pPr>
                              <w:jc w:val="center"/>
                              <w:rPr>
                                <w:rFonts w:ascii="Calibri" w:hAnsi="Calibri"/>
                              </w:rPr>
                            </w:pPr>
                            <w:r>
                              <w:rPr>
                                <w:rFonts w:ascii="Calibri" w:hAnsi="Calibri"/>
                              </w:rPr>
                              <w:t>Michael Wilson, Minister Counsellor, Development Cooperation, DFAT Hanoi</w:t>
                            </w:r>
                          </w:p>
                          <w:p w14:paraId="1A42CFE8" w14:textId="77777777" w:rsidR="00AB4539" w:rsidRPr="002B17E6" w:rsidRDefault="00AB4539" w:rsidP="002B560F">
                            <w:pPr>
                              <w:jc w:val="center"/>
                              <w:rPr>
                                <w:rFonts w:ascii="Calibri" w:hAnsi="Calibri"/>
                              </w:rPr>
                            </w:pPr>
                            <w:proofErr w:type="gramStart"/>
                            <w:r w:rsidRPr="002B17E6">
                              <w:rPr>
                                <w:rFonts w:ascii="Calibri" w:hAnsi="Calibri"/>
                              </w:rPr>
                              <w:t>s44</w:t>
                            </w:r>
                            <w:proofErr w:type="gramEnd"/>
                            <w:r w:rsidRPr="002B17E6">
                              <w:rPr>
                                <w:rFonts w:ascii="Calibri" w:hAnsi="Calibri"/>
                              </w:rPr>
                              <w:t xml:space="preserve"> Delegate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1" type="#_x0000_t202" style="position:absolute;margin-left:0;margin-top:9.9pt;width:204pt;height:169.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" stroked="f">
                <v:textbox>
                  <w:txbxContent>
                    <w:p w14:paraId="7AB09865" w14:textId="77777777" w:rsidR="00AB4539" w:rsidRPr="002B17E6" w:rsidRDefault="00AB4539" w:rsidP="002B560F">
                      <w:pPr>
                        <w:jc w:val="center"/>
                        <w:rPr>
                          <w:rFonts w:ascii="Calibri" w:hAnsi="Calibri"/>
                          <w:b/>
                          <w:snapToGrid w:val="0"/>
                        </w:rPr>
                      </w:pPr>
                      <w:r w:rsidRPr="002B17E6">
                        <w:rPr>
                          <w:rFonts w:ascii="Calibri" w:hAnsi="Calibri"/>
                          <w:b/>
                          <w:snapToGrid w:val="0"/>
                        </w:rPr>
                        <w:t>FOR THE GOVERNMENT OF AUSTRALIA</w:t>
                      </w:r>
                    </w:p>
                    <w:p w14:paraId="63D3562C" w14:textId="77777777" w:rsidR="00AB4539" w:rsidRPr="002B17E6" w:rsidRDefault="00AB4539" w:rsidP="002B560F">
                      <w:pPr>
                        <w:rPr>
                          <w:rFonts w:ascii="Calibri" w:hAnsi="Calibri"/>
                          <w:snapToGrid w:val="0"/>
                        </w:rPr>
                      </w:pPr>
                    </w:p>
                    <w:p w14:paraId="3D9DBD03" w14:textId="77777777" w:rsidR="00AB4539" w:rsidRPr="002B17E6" w:rsidRDefault="00AB4539" w:rsidP="002B560F">
                      <w:pPr>
                        <w:jc w:val="center"/>
                        <w:rPr>
                          <w:rFonts w:ascii="Calibri" w:hAnsi="Calibri"/>
                          <w:snapToGrid w:val="0"/>
                        </w:rPr>
                      </w:pPr>
                      <w:r w:rsidRPr="002B17E6">
                        <w:rPr>
                          <w:rFonts w:ascii="Calibri" w:hAnsi="Calibri"/>
                          <w:snapToGrid w:val="0"/>
                        </w:rPr>
                        <w:t>………………….</w:t>
                      </w:r>
                    </w:p>
                    <w:p w14:paraId="6768EC90" w14:textId="77777777" w:rsidR="00AB4539" w:rsidRPr="002B17E6" w:rsidRDefault="00AB4539" w:rsidP="002B560F">
                      <w:pPr>
                        <w:jc w:val="center"/>
                        <w:rPr>
                          <w:rFonts w:ascii="Calibri" w:hAnsi="Calibri"/>
                          <w:snapToGrid w:val="0"/>
                        </w:rPr>
                      </w:pPr>
                      <w:r w:rsidRPr="002B17E6">
                        <w:rPr>
                          <w:rFonts w:ascii="Calibri" w:hAnsi="Calibri"/>
                          <w:snapToGrid w:val="0"/>
                        </w:rPr>
                        <w:t>(Signature)</w:t>
                      </w:r>
                    </w:p>
                    <w:p w14:paraId="3F482D4D" w14:textId="77777777" w:rsidR="00AB4539" w:rsidRPr="002B17E6" w:rsidRDefault="00AB4539" w:rsidP="002B560F">
                      <w:pPr>
                        <w:jc w:val="center"/>
                        <w:rPr>
                          <w:rFonts w:ascii="Calibri" w:hAnsi="Calibri"/>
                          <w:snapToGrid w:val="0"/>
                        </w:rPr>
                      </w:pPr>
                    </w:p>
                    <w:p w14:paraId="4EFEA668" w14:textId="77777777" w:rsidR="00AB4539" w:rsidRPr="002B17E6" w:rsidRDefault="00AB4539" w:rsidP="002B560F">
                      <w:pPr>
                        <w:jc w:val="center"/>
                        <w:rPr>
                          <w:rFonts w:ascii="Calibri" w:hAnsi="Calibri"/>
                        </w:rPr>
                      </w:pPr>
                      <w:r>
                        <w:rPr>
                          <w:rFonts w:ascii="Calibri" w:hAnsi="Calibri"/>
                        </w:rPr>
                        <w:t>Michael Wilson, Minister Counsellor, Development Cooperation, DFAT Hanoi</w:t>
                      </w:r>
                    </w:p>
                    <w:p w14:paraId="1A42CFE8" w14:textId="77777777" w:rsidR="00AB4539" w:rsidRPr="002B17E6" w:rsidRDefault="00AB4539" w:rsidP="002B560F">
                      <w:pPr>
                        <w:jc w:val="center"/>
                        <w:rPr>
                          <w:rFonts w:ascii="Calibri" w:hAnsi="Calibri"/>
                        </w:rPr>
                      </w:pPr>
                      <w:proofErr w:type="gramStart"/>
                      <w:r w:rsidRPr="002B17E6">
                        <w:rPr>
                          <w:rFonts w:ascii="Calibri" w:hAnsi="Calibri"/>
                        </w:rPr>
                        <w:t>s44</w:t>
                      </w:r>
                      <w:proofErr w:type="gramEnd"/>
                      <w:r w:rsidRPr="002B17E6">
                        <w:rPr>
                          <w:rFonts w:ascii="Calibri" w:hAnsi="Calibri"/>
                        </w:rPr>
                        <w:t xml:space="preserve"> Delegate</w:t>
                      </w:r>
                    </w:p>
                  </w:txbxContent>
                </v:textbox>
              </v:shape>
            </w:pict>
          </mc:Fallback>
        </mc:AlternateContent>
      </w:r>
    </w:p>
    <w:p w14:paraId="4086D79B" w14:textId="77777777" w:rsidR="002B560F" w:rsidRPr="00986221" w:rsidRDefault="002B560F" w:rsidP="002B560F">
      <w:pPr>
        <w:rPr>
          <w:rFonts w:cs="Arial"/>
          <w:szCs w:val="22"/>
        </w:rPr>
      </w:pPr>
    </w:p>
    <w:p w14:paraId="100A258F" w14:textId="77777777" w:rsidR="002B560F" w:rsidRPr="00986221" w:rsidRDefault="002B560F" w:rsidP="002B560F"/>
    <w:p w14:paraId="704FA707" w14:textId="77777777" w:rsidR="002B560F" w:rsidRPr="00986221" w:rsidRDefault="002B560F" w:rsidP="002B560F"/>
    <w:p w14:paraId="3AC7ADB5" w14:textId="77777777" w:rsidR="002B560F" w:rsidRPr="00986221" w:rsidRDefault="002B560F" w:rsidP="002B560F"/>
    <w:p w14:paraId="195FBD77" w14:textId="77777777" w:rsidR="002B560F" w:rsidRPr="00986221" w:rsidRDefault="002B560F" w:rsidP="002B560F"/>
    <w:p w14:paraId="08F4475D" w14:textId="77777777" w:rsidR="002B560F" w:rsidRPr="00986221" w:rsidRDefault="002B560F" w:rsidP="002B560F"/>
    <w:p w14:paraId="1E62790E" w14:textId="77777777" w:rsidR="002B560F" w:rsidRPr="00986221" w:rsidRDefault="002B560F" w:rsidP="002B560F"/>
    <w:p w14:paraId="42CABF64" w14:textId="77777777" w:rsidR="002B560F" w:rsidRPr="00986221" w:rsidRDefault="002B560F" w:rsidP="002B560F"/>
    <w:p w14:paraId="771D26BB" w14:textId="77777777" w:rsidR="002B560F" w:rsidRPr="00986221" w:rsidRDefault="002B560F" w:rsidP="002B560F"/>
    <w:p w14:paraId="3463D81C" w14:textId="77777777" w:rsidR="002B560F" w:rsidRPr="00986221" w:rsidRDefault="002B560F" w:rsidP="002B560F"/>
    <w:p w14:paraId="75666D88" w14:textId="77777777" w:rsidR="002B560F" w:rsidRPr="00986221" w:rsidRDefault="002B560F" w:rsidP="002B560F">
      <w:pPr>
        <w:spacing w:before="0" w:after="200" w:line="276" w:lineRule="auto"/>
      </w:pPr>
      <w:r w:rsidRPr="00986221">
        <w:br w:type="page"/>
      </w:r>
    </w:p>
    <w:p w14:paraId="7584DF8E" w14:textId="77777777" w:rsidR="002B560F" w:rsidRPr="00986221" w:rsidRDefault="002B560F" w:rsidP="002B560F">
      <w:pPr>
        <w:spacing w:after="120"/>
        <w:rPr>
          <w:rFonts w:asciiTheme="minorHAnsi" w:hAnsiTheme="minorHAnsi"/>
          <w:b/>
          <w:sz w:val="24"/>
        </w:rPr>
      </w:pPr>
      <w:r w:rsidRPr="00986221">
        <w:rPr>
          <w:rFonts w:asciiTheme="minorHAnsi" w:hAnsiTheme="minorHAnsi"/>
          <w:b/>
          <w:sz w:val="24"/>
          <w:u w:val="single"/>
        </w:rPr>
        <w:t>Annex 1</w:t>
      </w:r>
      <w:r w:rsidRPr="00986221">
        <w:rPr>
          <w:rFonts w:asciiTheme="minorHAnsi" w:hAnsiTheme="minorHAnsi"/>
          <w:b/>
          <w:sz w:val="24"/>
        </w:rPr>
        <w:t>: Summary outline of the Project</w:t>
      </w:r>
    </w:p>
    <w:p w14:paraId="0581532F" w14:textId="77777777" w:rsidR="002B560F" w:rsidRPr="00986221" w:rsidRDefault="002B560F" w:rsidP="009F01DA">
      <w:bookmarkStart w:id="74" w:name="_Toc381803549"/>
    </w:p>
    <w:p w14:paraId="4D60EAA5" w14:textId="77777777" w:rsidR="002B560F" w:rsidRPr="00986221" w:rsidRDefault="002B560F" w:rsidP="002B560F">
      <w:pPr>
        <w:pStyle w:val="Heading2"/>
        <w:rPr>
          <w:bCs/>
          <w:sz w:val="20"/>
          <w:szCs w:val="20"/>
        </w:rPr>
      </w:pPr>
      <w:bookmarkStart w:id="75" w:name="_Toc387322688"/>
      <w:r w:rsidRPr="00986221">
        <w:rPr>
          <w:sz w:val="20"/>
          <w:szCs w:val="20"/>
        </w:rPr>
        <w:t>Planned Development Outcomes</w:t>
      </w:r>
      <w:bookmarkEnd w:id="74"/>
      <w:bookmarkEnd w:id="75"/>
    </w:p>
    <w:p w14:paraId="1A169B1A" w14:textId="77777777" w:rsidR="002B560F" w:rsidRPr="00986221" w:rsidRDefault="002B560F" w:rsidP="002B560F">
      <w:pPr>
        <w:pStyle w:val="ListParagraph"/>
        <w:numPr>
          <w:ilvl w:val="0"/>
          <w:numId w:val="0"/>
        </w:numPr>
        <w:ind w:left="360"/>
      </w:pPr>
    </w:p>
    <w:p w14:paraId="70490225" w14:textId="6D65F198" w:rsidR="002B560F" w:rsidRPr="00986221" w:rsidRDefault="002B560F" w:rsidP="00154C7D">
      <w:pPr>
        <w:pStyle w:val="ListParagraph"/>
        <w:numPr>
          <w:ilvl w:val="3"/>
          <w:numId w:val="24"/>
        </w:numPr>
        <w:ind w:left="426"/>
      </w:pPr>
      <w:r w:rsidRPr="00986221">
        <w:t xml:space="preserve">The Restructuring for a Competitive Vietnam (RCV) Project has been designed to support implementation of selected elements of the Government Master Plan on Economic Restructuring (MPER, 2013-2020). MPER goals supported by RCV are: </w:t>
      </w:r>
    </w:p>
    <w:p w14:paraId="3BE42D25" w14:textId="77777777" w:rsidR="002B560F" w:rsidRPr="00986221" w:rsidRDefault="002B560F" w:rsidP="00154C7D">
      <w:pPr>
        <w:pStyle w:val="ListParagraphindent"/>
        <w:numPr>
          <w:ilvl w:val="2"/>
          <w:numId w:val="24"/>
        </w:numPr>
      </w:pPr>
      <w:r w:rsidRPr="00986221">
        <w:t xml:space="preserve">Increased national economic competitiveness. </w:t>
      </w:r>
    </w:p>
    <w:p w14:paraId="3BA4A6E7" w14:textId="77777777" w:rsidR="002B560F" w:rsidRPr="00986221" w:rsidRDefault="002B560F" w:rsidP="00154C7D">
      <w:pPr>
        <w:pStyle w:val="ListParagraphindent"/>
        <w:numPr>
          <w:ilvl w:val="2"/>
          <w:numId w:val="24"/>
        </w:numPr>
      </w:pPr>
      <w:r w:rsidRPr="00986221">
        <w:t>Accelerated growth in labour productivity, employment and incomes.</w:t>
      </w:r>
    </w:p>
    <w:p w14:paraId="36A3CA2E" w14:textId="77777777" w:rsidR="002B560F" w:rsidRPr="00986221" w:rsidRDefault="002B560F" w:rsidP="00154C7D">
      <w:pPr>
        <w:pStyle w:val="ListParagraphindent"/>
        <w:numPr>
          <w:ilvl w:val="2"/>
          <w:numId w:val="24"/>
        </w:numPr>
      </w:pPr>
      <w:r w:rsidRPr="00986221">
        <w:t>Improved transparency in business regulation and reduced corruption.</w:t>
      </w:r>
    </w:p>
    <w:p w14:paraId="44900D85" w14:textId="3A0B6E1C" w:rsidR="002B560F" w:rsidRPr="00986221" w:rsidRDefault="002B560F" w:rsidP="00154C7D">
      <w:pPr>
        <w:pStyle w:val="ListParagraph"/>
        <w:numPr>
          <w:ilvl w:val="0"/>
          <w:numId w:val="21"/>
        </w:numPr>
      </w:pPr>
      <w:r w:rsidRPr="00986221">
        <w:t>Key results expected from the program by August 2016 are:</w:t>
      </w:r>
    </w:p>
    <w:p w14:paraId="656373BE" w14:textId="77777777" w:rsidR="002B560F" w:rsidRPr="00986221" w:rsidRDefault="002B560F" w:rsidP="00154C7D">
      <w:pPr>
        <w:pStyle w:val="ListParagraphindent"/>
        <w:numPr>
          <w:ilvl w:val="2"/>
          <w:numId w:val="21"/>
        </w:numPr>
      </w:pPr>
      <w:r w:rsidRPr="00986221">
        <w:t>Reductions in business compliance costs (following approval of revisions to the Enterprise and Investment Laws).</w:t>
      </w:r>
    </w:p>
    <w:p w14:paraId="335C245B" w14:textId="77777777" w:rsidR="002B560F" w:rsidRPr="00986221" w:rsidRDefault="002B560F" w:rsidP="00154C7D">
      <w:pPr>
        <w:pStyle w:val="ListParagraphindent"/>
        <w:numPr>
          <w:ilvl w:val="2"/>
          <w:numId w:val="21"/>
        </w:numPr>
      </w:pPr>
      <w:r w:rsidRPr="00986221">
        <w:t>Increase in the quantity and quality of the cases handled by the Vietnam Competition Agency.</w:t>
      </w:r>
    </w:p>
    <w:p w14:paraId="70EB72D9" w14:textId="77777777" w:rsidR="002B560F" w:rsidRPr="00986221" w:rsidRDefault="002B560F" w:rsidP="00154C7D">
      <w:pPr>
        <w:pStyle w:val="ListParagraphindent"/>
        <w:numPr>
          <w:ilvl w:val="2"/>
          <w:numId w:val="21"/>
        </w:numPr>
      </w:pPr>
      <w:r w:rsidRPr="00986221">
        <w:t>Concrete actions taken by GoV to begin restructuring the rice value chain at national and central level.</w:t>
      </w:r>
    </w:p>
    <w:p w14:paraId="13A1ED17" w14:textId="77777777" w:rsidR="002B560F" w:rsidRPr="00986221" w:rsidRDefault="002B560F" w:rsidP="00154C7D">
      <w:pPr>
        <w:pStyle w:val="ListParagraphindent"/>
        <w:numPr>
          <w:ilvl w:val="2"/>
          <w:numId w:val="21"/>
        </w:numPr>
      </w:pPr>
      <w:r w:rsidRPr="00986221">
        <w:t>Policy recommendation resulted in GoV, CPV’s strategic documents dealing with economic restructuring including restructuring of the rural economy.</w:t>
      </w:r>
    </w:p>
    <w:p w14:paraId="46114161" w14:textId="77777777" w:rsidR="002B560F" w:rsidRPr="00986221" w:rsidRDefault="002B560F" w:rsidP="00154C7D">
      <w:pPr>
        <w:pStyle w:val="ListParagraph"/>
        <w:numPr>
          <w:ilvl w:val="0"/>
          <w:numId w:val="21"/>
        </w:numPr>
      </w:pPr>
      <w:r w:rsidRPr="00986221">
        <w:t xml:space="preserve">The program will help the GoV achieve these objectives via three targeted components and a flexible fund to respond to emerging priority issues linked to the economic restructuring program. The three components and planned outputs are: </w:t>
      </w:r>
    </w:p>
    <w:p w14:paraId="1F05FEA8" w14:textId="77777777" w:rsidR="002B560F" w:rsidRPr="00986221" w:rsidRDefault="002B560F" w:rsidP="00154C7D">
      <w:pPr>
        <w:pStyle w:val="ListParagraphindent"/>
        <w:numPr>
          <w:ilvl w:val="2"/>
          <w:numId w:val="21"/>
        </w:numPr>
      </w:pPr>
      <w:r w:rsidRPr="00986221">
        <w:rPr>
          <w:u w:val="single"/>
        </w:rPr>
        <w:t>Enhanced business competitiveness and transparency</w:t>
      </w:r>
      <w:r w:rsidRPr="00986221">
        <w:t>. This Central Institute for Economic Management (CIEM)- Ministry of Planning and Investment (MPI) led component will result in:</w:t>
      </w:r>
    </w:p>
    <w:p w14:paraId="44073365" w14:textId="77777777" w:rsidR="002B560F" w:rsidRPr="00986221" w:rsidRDefault="002B560F" w:rsidP="00154C7D">
      <w:pPr>
        <w:pStyle w:val="ListParagraphindent2"/>
        <w:numPr>
          <w:ilvl w:val="3"/>
          <w:numId w:val="21"/>
        </w:numPr>
      </w:pPr>
      <w:r w:rsidRPr="00986221">
        <w:t>More business friendly Enterprise and Investment Law approved by National Assembly (in late 2014, with key implementing regulations approved by the GoV by 2015).</w:t>
      </w:r>
    </w:p>
    <w:p w14:paraId="634B84A7" w14:textId="77777777" w:rsidR="002B560F" w:rsidRPr="00986221" w:rsidRDefault="002B560F" w:rsidP="00154C7D">
      <w:pPr>
        <w:pStyle w:val="ListParagraphindent2"/>
        <w:numPr>
          <w:ilvl w:val="3"/>
          <w:numId w:val="21"/>
        </w:numPr>
      </w:pPr>
      <w:r w:rsidRPr="00986221">
        <w:t>Diagnostic report on impediments to private sector development and to implementation of international economic commitments submitted to GoV (by end 2015).</w:t>
      </w:r>
    </w:p>
    <w:p w14:paraId="632CE823" w14:textId="77777777" w:rsidR="002B560F" w:rsidRPr="00986221" w:rsidRDefault="002B560F" w:rsidP="00154C7D">
      <w:pPr>
        <w:pStyle w:val="ListParagraphindent2"/>
        <w:numPr>
          <w:ilvl w:val="3"/>
          <w:numId w:val="21"/>
        </w:numPr>
      </w:pPr>
      <w:r w:rsidRPr="00986221">
        <w:t xml:space="preserve">Quarterly and annual reports on progress and issues with MPER used by GoV to sustain pressures to implement the </w:t>
      </w:r>
      <w:proofErr w:type="gramStart"/>
      <w:r w:rsidRPr="00986221">
        <w:t>MPER,</w:t>
      </w:r>
      <w:proofErr w:type="gramEnd"/>
      <w:r w:rsidRPr="00986221">
        <w:t xml:space="preserve"> and to adapt MPER priority actions to meet changing circumstance.</w:t>
      </w:r>
    </w:p>
    <w:p w14:paraId="4CD26F04" w14:textId="77777777" w:rsidR="002B560F" w:rsidRPr="00986221" w:rsidRDefault="002B560F" w:rsidP="00154C7D">
      <w:pPr>
        <w:pStyle w:val="ListParagraphindent2"/>
        <w:numPr>
          <w:ilvl w:val="3"/>
          <w:numId w:val="21"/>
        </w:numPr>
      </w:pPr>
      <w:r w:rsidRPr="00986221">
        <w:t>At least two high quality analytical reports on priority macro-economic and broader economic development issues submitted by the MPI to the national leadership and widely discussed in mass media (by 2016).</w:t>
      </w:r>
    </w:p>
    <w:p w14:paraId="3FF9C04C" w14:textId="77777777" w:rsidR="002B560F" w:rsidRPr="00986221" w:rsidRDefault="002B560F" w:rsidP="00154C7D">
      <w:pPr>
        <w:pStyle w:val="ListParagraphindent"/>
        <w:numPr>
          <w:ilvl w:val="2"/>
          <w:numId w:val="21"/>
        </w:numPr>
      </w:pPr>
      <w:r w:rsidRPr="00986221">
        <w:rPr>
          <w:u w:val="single"/>
        </w:rPr>
        <w:t>Restructuring competition institutions in line with international commitments</w:t>
      </w:r>
      <w:r w:rsidRPr="00986221">
        <w:t>. The intended outputs of this Vietnam Competition Agency (VCA)- Ministry of Industry and Trade (MOIT) led component are:</w:t>
      </w:r>
    </w:p>
    <w:p w14:paraId="6B530743" w14:textId="77777777" w:rsidR="002B560F" w:rsidRPr="00986221" w:rsidRDefault="002B560F" w:rsidP="00154C7D">
      <w:pPr>
        <w:pStyle w:val="ListParagraphindent2"/>
        <w:numPr>
          <w:ilvl w:val="3"/>
          <w:numId w:val="21"/>
        </w:numPr>
      </w:pPr>
      <w:r w:rsidRPr="00986221">
        <w:t>Enhanced evidence base, information and skill to enforce competition policy.</w:t>
      </w:r>
    </w:p>
    <w:p w14:paraId="6B4A8581" w14:textId="77777777" w:rsidR="002B560F" w:rsidRPr="00986221" w:rsidRDefault="002B560F" w:rsidP="00154C7D">
      <w:pPr>
        <w:pStyle w:val="ListParagraphindent2"/>
        <w:numPr>
          <w:ilvl w:val="3"/>
          <w:numId w:val="21"/>
        </w:numPr>
      </w:pPr>
      <w:r w:rsidRPr="00986221">
        <w:t>Enhanced policies, systems and support to minimize the negative impact of anti-dumping actions and other trade remedies.</w:t>
      </w:r>
    </w:p>
    <w:p w14:paraId="24F0A2EC" w14:textId="77777777" w:rsidR="002B560F" w:rsidRPr="00986221" w:rsidRDefault="002B560F" w:rsidP="00154C7D">
      <w:pPr>
        <w:pStyle w:val="ListParagraphindent2"/>
        <w:numPr>
          <w:ilvl w:val="3"/>
          <w:numId w:val="21"/>
        </w:numPr>
      </w:pPr>
      <w:r w:rsidRPr="00986221">
        <w:t>Expanded early warning systems on potential trade defence cases.</w:t>
      </w:r>
    </w:p>
    <w:p w14:paraId="3EA6F15B" w14:textId="77777777" w:rsidR="002B560F" w:rsidRPr="00986221" w:rsidRDefault="002B560F" w:rsidP="00154C7D">
      <w:pPr>
        <w:pStyle w:val="ListParagraphindent"/>
        <w:numPr>
          <w:ilvl w:val="2"/>
          <w:numId w:val="21"/>
        </w:numPr>
      </w:pPr>
      <w:r w:rsidRPr="00986221">
        <w:rPr>
          <w:u w:val="single"/>
        </w:rPr>
        <w:t>Restructuring the rural economy to increase value added</w:t>
      </w:r>
      <w:r w:rsidRPr="00986221">
        <w:t>. This Institute for Policy and Strategy of Agriculture and Rural Development (IPSARD)- Ministry of Agriculture and Rural Development (MARD) led component will result in the following outputs:</w:t>
      </w:r>
    </w:p>
    <w:p w14:paraId="2585FDB0" w14:textId="77777777" w:rsidR="002B560F" w:rsidRPr="00986221" w:rsidRDefault="002B560F" w:rsidP="00154C7D">
      <w:pPr>
        <w:pStyle w:val="ListParagraphindent2"/>
        <w:numPr>
          <w:ilvl w:val="3"/>
          <w:numId w:val="21"/>
        </w:numPr>
      </w:pPr>
      <w:r w:rsidRPr="00986221">
        <w:t>Analysis and reports contribute to improved institutional structure for rice value chain collaboration in Dong Thap supported by representatives of all stages of the rice value chain.</w:t>
      </w:r>
    </w:p>
    <w:p w14:paraId="2062034F" w14:textId="77777777" w:rsidR="002B560F" w:rsidRPr="00986221" w:rsidRDefault="002B560F" w:rsidP="00154C7D">
      <w:pPr>
        <w:pStyle w:val="ListParagraphindent2"/>
        <w:numPr>
          <w:ilvl w:val="3"/>
          <w:numId w:val="21"/>
        </w:numPr>
      </w:pPr>
      <w:r w:rsidRPr="00986221">
        <w:t>Reports on modelling of impacts of rice value chain restructuring (including proposed reforms to paddy land reservation policies, and proposed reforms to increase competition in rice exports in line with international commitments) submitted to Minister, Ministry of Agriculture and Rural Development (MARD).</w:t>
      </w:r>
    </w:p>
    <w:p w14:paraId="6B25B448" w14:textId="77777777" w:rsidR="002B560F" w:rsidRPr="00986221" w:rsidRDefault="002B560F" w:rsidP="00154C7D">
      <w:pPr>
        <w:pStyle w:val="ListParagraphindent2"/>
        <w:numPr>
          <w:ilvl w:val="3"/>
          <w:numId w:val="21"/>
        </w:numPr>
      </w:pPr>
      <w:r w:rsidRPr="00986221">
        <w:t xml:space="preserve">Policy dialogue on rice value chain restructuring issues reflected in media coverage and public awareness of issues and policy options. </w:t>
      </w:r>
    </w:p>
    <w:p w14:paraId="20820C0B" w14:textId="77777777" w:rsidR="002B560F" w:rsidRPr="00986221" w:rsidRDefault="002B560F" w:rsidP="002B560F">
      <w:pPr>
        <w:pStyle w:val="Heading2"/>
        <w:rPr>
          <w:bCs/>
          <w:sz w:val="20"/>
          <w:szCs w:val="20"/>
        </w:rPr>
      </w:pPr>
      <w:bookmarkStart w:id="76" w:name="_Toc381803550"/>
      <w:bookmarkStart w:id="77" w:name="_Toc387322689"/>
      <w:r w:rsidRPr="00986221">
        <w:rPr>
          <w:sz w:val="20"/>
          <w:szCs w:val="20"/>
        </w:rPr>
        <w:t>Timeframe and Resource Commitments</w:t>
      </w:r>
      <w:bookmarkEnd w:id="76"/>
      <w:bookmarkEnd w:id="77"/>
    </w:p>
    <w:p w14:paraId="3814CC67" w14:textId="77777777" w:rsidR="002B560F" w:rsidRPr="00986221" w:rsidRDefault="002B560F" w:rsidP="002B560F">
      <w:pPr>
        <w:rPr>
          <w:lang w:eastAsia="en-AU"/>
        </w:rPr>
      </w:pPr>
    </w:p>
    <w:p w14:paraId="10F24D0F" w14:textId="77777777" w:rsidR="002B560F" w:rsidRPr="00986221" w:rsidRDefault="002B560F" w:rsidP="00154C7D">
      <w:pPr>
        <w:pStyle w:val="ListParagraph"/>
        <w:numPr>
          <w:ilvl w:val="0"/>
          <w:numId w:val="21"/>
        </w:numPr>
      </w:pPr>
      <w:r w:rsidRPr="00986221">
        <w:t>The initial pilot program will be implemented during 2 years 8 months from April 2014 to December 2016 with the budget up to AUD 3,100,000. The Government of Australia will provide grant financing of AUD 2,500,000, technical assistance including supervision/evaluation and design of the new phase of AUD 600,000. The GoV will provide, through the implementing agencies, the counter funding of AUD 122,000. Considerable in-kind contributions (mostly in the form of people’s time) are expected from the private sector, media, business associations, research institutes, and the broader community.</w:t>
      </w:r>
    </w:p>
    <w:p w14:paraId="3A82F06C" w14:textId="77777777" w:rsidR="002B560F" w:rsidRPr="00986221" w:rsidRDefault="002B560F" w:rsidP="00154C7D">
      <w:pPr>
        <w:pStyle w:val="ListParagraph"/>
        <w:numPr>
          <w:ilvl w:val="0"/>
          <w:numId w:val="21"/>
        </w:numPr>
      </w:pPr>
      <w:r w:rsidRPr="00986221">
        <w:t>Component 4- the Flexible Fund is estimated of AUD600</w:t>
      </w:r>
      <w:proofErr w:type="gramStart"/>
      <w:r w:rsidRPr="00986221">
        <w:t>,000</w:t>
      </w:r>
      <w:proofErr w:type="gramEnd"/>
      <w:r w:rsidRPr="00986221">
        <w:t xml:space="preserve"> in value out of the total program budget of AUD3,100,000. The PD is responsible for endorsing proposals for financing using of flexible fund. The PD will submit endorsed proposals for funding greater than AUD 20,000 to DFAT for no objection (i.e. final clearance to proceed with implementation). DFAT, the SAG, and/or the PCC members may suggest priority areas to the PD through the PCU. STA and relevant SAG members will appraise these proposals against a limited set of key selection criteria, including relevance to targeted criteria; design logic; expected impacts and beneficiaries; contributions to promoting inclusive/equitable outcomes; cost effectiveness (value for money) and risk. Clear criteria for section of activities from the Flexible Fund, appraisal and approval process will be detailed in the Program Operational Manual. Possible activities are policy dialogues led by the Economic Commissions of the National Assembly or the Communist Party of Vietnam; impact assessment activities and practical pilot project at the local level on priorities emerging issues that are identified as the result of improved quality monitoring of the MEPR. </w:t>
      </w:r>
    </w:p>
    <w:p w14:paraId="4C4E2D02" w14:textId="77777777" w:rsidR="002B560F" w:rsidRPr="00986221" w:rsidRDefault="002B560F" w:rsidP="00154C7D">
      <w:pPr>
        <w:pStyle w:val="ListParagraph"/>
        <w:numPr>
          <w:ilvl w:val="0"/>
          <w:numId w:val="21"/>
        </w:numPr>
      </w:pPr>
      <w:r w:rsidRPr="00986221">
        <w:t>A review of the program will be conducted in late 2015 to assess the effectiveness of the program and design a new phase to 2020 to support priorities of the new National Socio-economic Development Plan (SEDP 2016-2020).</w:t>
      </w:r>
    </w:p>
    <w:p w14:paraId="6E219465" w14:textId="77777777" w:rsidR="002B560F" w:rsidRPr="00986221" w:rsidRDefault="002B560F" w:rsidP="002B560F">
      <w:pPr>
        <w:pStyle w:val="Heading2"/>
        <w:rPr>
          <w:bCs/>
          <w:sz w:val="20"/>
          <w:szCs w:val="20"/>
        </w:rPr>
      </w:pPr>
      <w:bookmarkStart w:id="78" w:name="_Toc381803551"/>
      <w:bookmarkStart w:id="79" w:name="_Toc387322690"/>
      <w:r w:rsidRPr="00986221">
        <w:rPr>
          <w:sz w:val="20"/>
          <w:szCs w:val="20"/>
        </w:rPr>
        <w:t>Delivery Approach and Key Partnerships</w:t>
      </w:r>
      <w:bookmarkEnd w:id="78"/>
      <w:bookmarkEnd w:id="79"/>
    </w:p>
    <w:p w14:paraId="1946CB66" w14:textId="77777777" w:rsidR="002B560F" w:rsidRPr="00986221" w:rsidRDefault="002B560F" w:rsidP="002B560F">
      <w:pPr>
        <w:rPr>
          <w:lang w:eastAsia="en-AU"/>
        </w:rPr>
      </w:pPr>
    </w:p>
    <w:p w14:paraId="4BF5C053" w14:textId="77777777" w:rsidR="002B560F" w:rsidRPr="00986221" w:rsidRDefault="002B560F" w:rsidP="00154C7D">
      <w:pPr>
        <w:pStyle w:val="ListParagraph"/>
        <w:numPr>
          <w:ilvl w:val="0"/>
          <w:numId w:val="21"/>
        </w:numPr>
      </w:pPr>
      <w:r w:rsidRPr="00986221">
        <w:t xml:space="preserve">CIEM will be the lead agency responsible for overall program delivery. CIEM will appoint a Project Director (PD) to oversee the program. CIEM, VCA and IPSARD will be responsible and accountable for effective and efficient delivery of component outputs as discussed above. Component implementing agencies will appoint Component Directors (CDs). CIEM will be responsible for the overall program management and coordination, and for the implementation of the Flexible Fund to respond quickly to emerging policy issues. </w:t>
      </w:r>
    </w:p>
    <w:p w14:paraId="2DE019CD" w14:textId="77777777" w:rsidR="002B560F" w:rsidRPr="00986221" w:rsidRDefault="002B560F" w:rsidP="00154C7D">
      <w:pPr>
        <w:pStyle w:val="ListParagraph"/>
        <w:numPr>
          <w:ilvl w:val="0"/>
          <w:numId w:val="21"/>
        </w:numPr>
      </w:pPr>
      <w:r w:rsidRPr="00986221">
        <w:t>A Project Coordination Committee (PCC) will be established and meet at least every six months to review progress and implementation issues. PD, CDs and GOA will participate in the PCC. The PD and GOA may decide to invite other observers (such as representative of Senior Advisory Group (SAG), National Assembly (NA) or CPV) if that is seen as advancing the Project objectives.</w:t>
      </w:r>
    </w:p>
    <w:p w14:paraId="094AABA9" w14:textId="77777777" w:rsidR="002B560F" w:rsidRPr="00986221" w:rsidRDefault="002B560F" w:rsidP="00154C7D">
      <w:pPr>
        <w:pStyle w:val="ListParagraph"/>
        <w:numPr>
          <w:ilvl w:val="0"/>
          <w:numId w:val="21"/>
        </w:numPr>
      </w:pPr>
      <w:r w:rsidRPr="00986221">
        <w:t>GOA will be involved in program planning and strategy decisions, including approval of the Operational Manual (OM), key program personnel in the Project Support Unit (PCU) (including the Senior Program Manager-Economist (SPME), the SAG, and decisions on the use of the Flexible Fund.</w:t>
      </w:r>
    </w:p>
    <w:p w14:paraId="10A8323D" w14:textId="77777777" w:rsidR="002B560F" w:rsidRPr="00986221" w:rsidRDefault="002B560F" w:rsidP="00154C7D">
      <w:pPr>
        <w:pStyle w:val="ListParagraph"/>
        <w:numPr>
          <w:ilvl w:val="0"/>
          <w:numId w:val="21"/>
        </w:numPr>
      </w:pPr>
      <w:r w:rsidRPr="00986221">
        <w:t>The local SAG and the international Senior Technical Advisor (STA) will play an important role in planning, policy dialogue, communications and quality control over program activities.</w:t>
      </w:r>
    </w:p>
    <w:p w14:paraId="1F9BF859" w14:textId="77777777" w:rsidR="002B560F" w:rsidRPr="00986221" w:rsidRDefault="002B560F" w:rsidP="002B560F">
      <w:pPr>
        <w:spacing w:before="0" w:after="200" w:line="276" w:lineRule="auto"/>
        <w:rPr>
          <w:rFonts w:asciiTheme="minorHAnsi" w:hAnsiTheme="minorHAnsi"/>
          <w:b/>
          <w:sz w:val="24"/>
        </w:rPr>
      </w:pPr>
      <w:r w:rsidRPr="00986221">
        <w:rPr>
          <w:rFonts w:asciiTheme="minorHAnsi" w:hAnsiTheme="minorHAnsi"/>
          <w:b/>
          <w:sz w:val="24"/>
        </w:rPr>
        <w:br w:type="page"/>
      </w:r>
    </w:p>
    <w:p w14:paraId="3D932BEC" w14:textId="77777777" w:rsidR="002B560F" w:rsidRPr="00986221" w:rsidRDefault="002B560F" w:rsidP="002B560F">
      <w:pPr>
        <w:spacing w:after="120"/>
        <w:rPr>
          <w:rFonts w:asciiTheme="minorHAnsi" w:hAnsiTheme="minorHAnsi"/>
          <w:b/>
          <w:sz w:val="24"/>
        </w:rPr>
      </w:pPr>
      <w:r w:rsidRPr="00986221">
        <w:rPr>
          <w:rFonts w:asciiTheme="minorHAnsi" w:hAnsiTheme="minorHAnsi"/>
          <w:b/>
          <w:sz w:val="24"/>
          <w:u w:val="single"/>
        </w:rPr>
        <w:t>Annex 2</w:t>
      </w:r>
      <w:r w:rsidRPr="00986221">
        <w:rPr>
          <w:rFonts w:asciiTheme="minorHAnsi" w:hAnsiTheme="minorHAnsi"/>
          <w:b/>
          <w:sz w:val="24"/>
        </w:rPr>
        <w:t xml:space="preserve">: Payment of GOA funds </w:t>
      </w:r>
    </w:p>
    <w:p w14:paraId="5208E269" w14:textId="77777777" w:rsidR="002B560F" w:rsidRPr="00986221" w:rsidRDefault="002B560F" w:rsidP="002B560F">
      <w:pPr>
        <w:spacing w:after="120"/>
        <w:rPr>
          <w:rFonts w:asciiTheme="minorHAnsi" w:hAnsiTheme="minorHAnsi"/>
          <w:b/>
          <w:szCs w:val="22"/>
        </w:rPr>
      </w:pPr>
    </w:p>
    <w:p w14:paraId="39E2C2A4" w14:textId="77777777" w:rsidR="002B560F" w:rsidRPr="00986221" w:rsidRDefault="002B560F" w:rsidP="00154C7D">
      <w:pPr>
        <w:pStyle w:val="ListParagraph"/>
        <w:numPr>
          <w:ilvl w:val="0"/>
          <w:numId w:val="22"/>
        </w:numPr>
        <w:spacing w:after="120"/>
        <w:rPr>
          <w:rFonts w:asciiTheme="minorHAnsi" w:hAnsiTheme="minorHAnsi"/>
          <w:b/>
          <w:szCs w:val="22"/>
        </w:rPr>
      </w:pPr>
      <w:r w:rsidRPr="00986221">
        <w:t>Total GOA funds for this Project is AUD3,100,000 in which AUD2,500,000 is for direct grant to Partner Government and AUD600,000 is for</w:t>
      </w:r>
      <w:r w:rsidRPr="00986221">
        <w:rPr>
          <w:szCs w:val="22"/>
        </w:rPr>
        <w:t xml:space="preserve"> technical assistance and related support for the implementation of the Project and design of the new phase either through a separate Agreement with a contracted service provider and/or by direct contracting by GOA. </w:t>
      </w:r>
    </w:p>
    <w:p w14:paraId="4B51E804" w14:textId="77777777" w:rsidR="002B560F" w:rsidRPr="00986221" w:rsidRDefault="002B560F" w:rsidP="00154C7D">
      <w:pPr>
        <w:pStyle w:val="ListParagraph"/>
        <w:numPr>
          <w:ilvl w:val="0"/>
          <w:numId w:val="22"/>
        </w:numPr>
        <w:spacing w:after="120"/>
        <w:rPr>
          <w:rFonts w:asciiTheme="minorHAnsi" w:hAnsiTheme="minorHAnsi"/>
          <w:b/>
          <w:szCs w:val="22"/>
        </w:rPr>
      </w:pPr>
      <w:r w:rsidRPr="00986221">
        <w:t xml:space="preserve">GOA will pay the Partner Government up to a maximum of </w:t>
      </w:r>
      <w:r w:rsidRPr="00986221">
        <w:rPr>
          <w:b/>
        </w:rPr>
        <w:t>AUD2,500,000</w:t>
      </w:r>
      <w:r w:rsidRPr="00986221">
        <w:t xml:space="preserve">, </w:t>
      </w:r>
      <w:r w:rsidRPr="00986221">
        <w:rPr>
          <w:b/>
        </w:rPr>
        <w:t xml:space="preserve"> </w:t>
      </w:r>
      <w:r w:rsidRPr="00986221">
        <w:t>in tranches divided as follows: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890"/>
        <w:gridCol w:w="3218"/>
      </w:tblGrid>
      <w:tr w:rsidR="002B560F" w:rsidRPr="00986221" w14:paraId="72350501" w14:textId="77777777" w:rsidTr="002B560F">
        <w:tc>
          <w:tcPr>
            <w:tcW w:w="1696" w:type="dxa"/>
          </w:tcPr>
          <w:p w14:paraId="203EC483" w14:textId="77777777" w:rsidR="002B560F" w:rsidRPr="00986221" w:rsidRDefault="002B560F" w:rsidP="002B560F">
            <w:pPr>
              <w:jc w:val="center"/>
              <w:rPr>
                <w:b/>
              </w:rPr>
            </w:pPr>
            <w:r w:rsidRPr="00986221">
              <w:rPr>
                <w:b/>
              </w:rPr>
              <w:t>Indicative Date</w:t>
            </w:r>
          </w:p>
        </w:tc>
        <w:tc>
          <w:tcPr>
            <w:tcW w:w="1890" w:type="dxa"/>
          </w:tcPr>
          <w:p w14:paraId="23058E03" w14:textId="77777777" w:rsidR="002B560F" w:rsidRPr="00986221" w:rsidRDefault="002B560F" w:rsidP="002B560F">
            <w:pPr>
              <w:jc w:val="center"/>
              <w:rPr>
                <w:b/>
              </w:rPr>
            </w:pPr>
            <w:r w:rsidRPr="00986221">
              <w:rPr>
                <w:b/>
              </w:rPr>
              <w:t>Tranche Number</w:t>
            </w:r>
          </w:p>
        </w:tc>
        <w:tc>
          <w:tcPr>
            <w:tcW w:w="3218" w:type="dxa"/>
          </w:tcPr>
          <w:p w14:paraId="2725DA50" w14:textId="77777777" w:rsidR="002B560F" w:rsidRPr="00986221" w:rsidRDefault="002B560F" w:rsidP="002B560F">
            <w:pPr>
              <w:jc w:val="center"/>
              <w:rPr>
                <w:b/>
              </w:rPr>
            </w:pPr>
            <w:r w:rsidRPr="00986221">
              <w:rPr>
                <w:b/>
              </w:rPr>
              <w:t>Amount of Grant Funds</w:t>
            </w:r>
          </w:p>
        </w:tc>
      </w:tr>
      <w:tr w:rsidR="002B560F" w:rsidRPr="00986221" w14:paraId="707978C0" w14:textId="77777777" w:rsidTr="002B560F">
        <w:trPr>
          <w:trHeight w:val="575"/>
        </w:trPr>
        <w:tc>
          <w:tcPr>
            <w:tcW w:w="1696" w:type="dxa"/>
          </w:tcPr>
          <w:p w14:paraId="770DDE50" w14:textId="77777777" w:rsidR="002B560F" w:rsidRPr="00986221" w:rsidRDefault="002B560F" w:rsidP="002B560F">
            <w:pPr>
              <w:jc w:val="center"/>
            </w:pPr>
            <w:bookmarkStart w:id="80" w:name="OLE_LINK6"/>
            <w:r w:rsidRPr="00986221">
              <w:t xml:space="preserve">May 2014  </w:t>
            </w:r>
            <w:bookmarkEnd w:id="80"/>
          </w:p>
        </w:tc>
        <w:tc>
          <w:tcPr>
            <w:tcW w:w="1890" w:type="dxa"/>
          </w:tcPr>
          <w:p w14:paraId="6A169314" w14:textId="77777777" w:rsidR="002B560F" w:rsidRPr="00986221" w:rsidRDefault="002B560F" w:rsidP="002B560F">
            <w:pPr>
              <w:jc w:val="center"/>
            </w:pPr>
            <w:r w:rsidRPr="00986221">
              <w:t>1</w:t>
            </w:r>
          </w:p>
        </w:tc>
        <w:tc>
          <w:tcPr>
            <w:tcW w:w="3218" w:type="dxa"/>
          </w:tcPr>
          <w:p w14:paraId="7F155561" w14:textId="77777777" w:rsidR="002B560F" w:rsidRPr="00986221" w:rsidRDefault="002B560F" w:rsidP="002B560F">
            <w:r w:rsidRPr="00986221">
              <w:t>AUD 1,300,000</w:t>
            </w:r>
          </w:p>
        </w:tc>
      </w:tr>
      <w:tr w:rsidR="002B560F" w:rsidRPr="00986221" w14:paraId="52CA4599" w14:textId="77777777" w:rsidTr="002B560F">
        <w:trPr>
          <w:trHeight w:val="528"/>
        </w:trPr>
        <w:tc>
          <w:tcPr>
            <w:tcW w:w="1696" w:type="dxa"/>
          </w:tcPr>
          <w:p w14:paraId="7F1A4A2B" w14:textId="77777777" w:rsidR="002B560F" w:rsidRPr="00986221" w:rsidRDefault="002B560F" w:rsidP="002B560F">
            <w:pPr>
              <w:jc w:val="center"/>
            </w:pPr>
            <w:r w:rsidRPr="00986221">
              <w:t xml:space="preserve">May 2015 </w:t>
            </w:r>
          </w:p>
        </w:tc>
        <w:tc>
          <w:tcPr>
            <w:tcW w:w="1890" w:type="dxa"/>
          </w:tcPr>
          <w:p w14:paraId="2E9C4D88" w14:textId="77777777" w:rsidR="002B560F" w:rsidRPr="00986221" w:rsidRDefault="002B560F" w:rsidP="002B560F">
            <w:pPr>
              <w:jc w:val="center"/>
            </w:pPr>
            <w:r w:rsidRPr="00986221">
              <w:t>2</w:t>
            </w:r>
          </w:p>
        </w:tc>
        <w:tc>
          <w:tcPr>
            <w:tcW w:w="3218" w:type="dxa"/>
          </w:tcPr>
          <w:p w14:paraId="3D572243" w14:textId="77777777" w:rsidR="002B560F" w:rsidRPr="00986221" w:rsidRDefault="002B560F" w:rsidP="002B560F">
            <w:r w:rsidRPr="00986221">
              <w:t>Up to AUD 1,200,000</w:t>
            </w:r>
          </w:p>
        </w:tc>
      </w:tr>
    </w:tbl>
    <w:p w14:paraId="34DCCF95" w14:textId="77777777" w:rsidR="002B560F" w:rsidRPr="00986221" w:rsidRDefault="002B560F" w:rsidP="002B560F">
      <w:pPr>
        <w:pStyle w:val="ListParagraph"/>
        <w:numPr>
          <w:ilvl w:val="0"/>
          <w:numId w:val="0"/>
        </w:numPr>
        <w:spacing w:after="120"/>
        <w:ind w:left="720"/>
        <w:rPr>
          <w:rFonts w:asciiTheme="minorHAnsi" w:hAnsiTheme="minorHAnsi"/>
          <w:b/>
          <w:szCs w:val="22"/>
        </w:rPr>
      </w:pPr>
    </w:p>
    <w:p w14:paraId="1614482B" w14:textId="77777777" w:rsidR="002B560F" w:rsidRPr="00986221" w:rsidRDefault="002B560F" w:rsidP="00154C7D">
      <w:pPr>
        <w:pStyle w:val="ListParagraph"/>
        <w:numPr>
          <w:ilvl w:val="0"/>
          <w:numId w:val="22"/>
        </w:numPr>
        <w:spacing w:after="120"/>
        <w:rPr>
          <w:rFonts w:asciiTheme="minorHAnsi" w:hAnsiTheme="minorHAnsi"/>
          <w:b/>
          <w:szCs w:val="22"/>
        </w:rPr>
      </w:pPr>
      <w:r w:rsidRPr="00986221">
        <w:t>GOA will pay Tranche 1 within thirty (30) days of the date of this Agreement and subject to receipt of a valid invoice.</w:t>
      </w:r>
    </w:p>
    <w:p w14:paraId="23216693" w14:textId="77777777" w:rsidR="002B560F" w:rsidRPr="00986221" w:rsidRDefault="002B560F" w:rsidP="00154C7D">
      <w:pPr>
        <w:pStyle w:val="ListParagraph"/>
        <w:numPr>
          <w:ilvl w:val="0"/>
          <w:numId w:val="22"/>
        </w:numPr>
        <w:spacing w:after="120"/>
        <w:rPr>
          <w:rFonts w:asciiTheme="minorHAnsi" w:hAnsiTheme="minorHAnsi"/>
          <w:b/>
          <w:szCs w:val="22"/>
        </w:rPr>
      </w:pPr>
      <w:bookmarkStart w:id="81" w:name="_Ref210796086"/>
      <w:r w:rsidRPr="00986221">
        <w:t>GOA will pay subsequent tranche at the date indicated above subject to the Partner Government:</w:t>
      </w:r>
    </w:p>
    <w:p w14:paraId="5368DDC8" w14:textId="77777777" w:rsidR="002B560F" w:rsidRPr="00986221" w:rsidRDefault="002B560F" w:rsidP="00154C7D">
      <w:pPr>
        <w:pStyle w:val="CONLevela"/>
        <w:numPr>
          <w:ilvl w:val="2"/>
          <w:numId w:val="23"/>
        </w:numPr>
        <w:tabs>
          <w:tab w:val="clear" w:pos="1531"/>
          <w:tab w:val="num" w:pos="1134"/>
        </w:tabs>
        <w:ind w:left="1134" w:hanging="436"/>
        <w:rPr>
          <w:rFonts w:ascii="Arial" w:hAnsi="Arial" w:cs="Arial"/>
          <w:sz w:val="20"/>
          <w:szCs w:val="20"/>
          <w:lang w:val="en-US" w:eastAsia="en-AU"/>
        </w:rPr>
      </w:pPr>
      <w:r w:rsidRPr="00986221">
        <w:rPr>
          <w:rFonts w:ascii="Arial" w:hAnsi="Arial" w:cs="Arial"/>
          <w:sz w:val="20"/>
          <w:szCs w:val="20"/>
          <w:lang w:val="en-US" w:eastAsia="en-AU"/>
        </w:rPr>
        <w:t>submitting AWP and an annual project management report approved by GOA; and</w:t>
      </w:r>
    </w:p>
    <w:p w14:paraId="79112D53" w14:textId="77777777" w:rsidR="002B560F" w:rsidRPr="00986221" w:rsidRDefault="002B560F" w:rsidP="00154C7D">
      <w:pPr>
        <w:pStyle w:val="CONLevela"/>
        <w:numPr>
          <w:ilvl w:val="2"/>
          <w:numId w:val="23"/>
        </w:numPr>
        <w:tabs>
          <w:tab w:val="clear" w:pos="1531"/>
          <w:tab w:val="num" w:pos="1134"/>
        </w:tabs>
        <w:ind w:left="1134" w:hanging="436"/>
        <w:rPr>
          <w:rFonts w:ascii="Arial" w:hAnsi="Arial" w:cs="Arial"/>
          <w:sz w:val="20"/>
          <w:szCs w:val="20"/>
          <w:lang w:val="en-US" w:eastAsia="en-AU"/>
        </w:rPr>
      </w:pPr>
      <w:proofErr w:type="gramStart"/>
      <w:r w:rsidRPr="00986221">
        <w:rPr>
          <w:rFonts w:ascii="Arial" w:hAnsi="Arial" w:cs="Arial"/>
          <w:sz w:val="20"/>
          <w:szCs w:val="20"/>
          <w:lang w:val="en-US" w:eastAsia="en-AU"/>
        </w:rPr>
        <w:t>submitting</w:t>
      </w:r>
      <w:proofErr w:type="gramEnd"/>
      <w:r w:rsidRPr="00986221">
        <w:rPr>
          <w:rFonts w:ascii="Arial" w:hAnsi="Arial" w:cs="Arial"/>
          <w:sz w:val="20"/>
          <w:szCs w:val="20"/>
          <w:lang w:val="en-US" w:eastAsia="en-AU"/>
        </w:rPr>
        <w:t xml:space="preserve"> a valid invoice.</w:t>
      </w:r>
    </w:p>
    <w:p w14:paraId="2304CA08" w14:textId="77777777" w:rsidR="002B560F" w:rsidRPr="00986221" w:rsidRDefault="002B560F" w:rsidP="002B560F">
      <w:pPr>
        <w:rPr>
          <w:lang w:val="en-US" w:eastAsia="en-AU"/>
        </w:rPr>
      </w:pPr>
    </w:p>
    <w:bookmarkEnd w:id="81"/>
    <w:p w14:paraId="09C75892" w14:textId="77777777" w:rsidR="002B560F" w:rsidRPr="00986221" w:rsidRDefault="002B560F" w:rsidP="00154C7D">
      <w:pPr>
        <w:pStyle w:val="ListParagraph"/>
        <w:numPr>
          <w:ilvl w:val="0"/>
          <w:numId w:val="22"/>
        </w:numPr>
      </w:pPr>
      <w:r w:rsidRPr="00986221">
        <w:rPr>
          <w:lang w:val="en-GB"/>
        </w:rPr>
        <w:t>GOA contributions will be deposited in a single foreign exchange account nominated by the Partner Government (MPI) at the Vietcombank</w:t>
      </w:r>
      <w:r w:rsidRPr="00986221">
        <w:rPr>
          <w:color w:val="FF0000"/>
          <w:lang w:val="en-GB"/>
        </w:rPr>
        <w:t xml:space="preserve"> </w:t>
      </w:r>
      <w:r w:rsidRPr="00986221">
        <w:rPr>
          <w:lang w:val="en-GB"/>
        </w:rPr>
        <w:t>and held in the name of the PCU under the CIEM-MPI</w:t>
      </w:r>
      <w:r w:rsidRPr="00986221">
        <w:rPr>
          <w:i/>
          <w:lang w:val="en-GB"/>
        </w:rPr>
        <w:t xml:space="preserve">. </w:t>
      </w:r>
    </w:p>
    <w:p w14:paraId="3F9D8D57" w14:textId="77777777" w:rsidR="002B560F" w:rsidRPr="00986221" w:rsidRDefault="002B560F" w:rsidP="00154C7D">
      <w:pPr>
        <w:pStyle w:val="ListParagraph"/>
        <w:numPr>
          <w:ilvl w:val="0"/>
          <w:numId w:val="22"/>
        </w:numPr>
      </w:pPr>
      <w:r w:rsidRPr="00986221">
        <w:rPr>
          <w:lang w:val="en-GB"/>
        </w:rPr>
        <w:t>The local currency equivalent of the GOA contribution will be calculated on the basis of the exchange rate on the date of transfer of the funds by GOA.</w:t>
      </w:r>
    </w:p>
    <w:p w14:paraId="1A441434" w14:textId="77777777" w:rsidR="002B560F" w:rsidRPr="00986221" w:rsidRDefault="002B560F" w:rsidP="00154C7D">
      <w:pPr>
        <w:pStyle w:val="ListParagraph"/>
        <w:numPr>
          <w:ilvl w:val="0"/>
          <w:numId w:val="22"/>
        </w:numPr>
      </w:pPr>
      <w:r w:rsidRPr="00986221">
        <w:rPr>
          <w:lang w:val="en-GB"/>
        </w:rPr>
        <w:t>The PCU will immediately acknowledge receipt of the funds, in writing, to GOA and the local currency equivalent. The PCU will also immediately transfer the amounts for respective Components to local currency bank accounts nominated by and held in the name of the IPSARD-MARD and the VCA-MOIT. The IPSARD-MARD and the VCA-MOIT will immediately acknowledge receipt of the funds, in writing, to GOA and the local currency equivalent.</w:t>
      </w:r>
    </w:p>
    <w:p w14:paraId="4F1B8C68" w14:textId="69A5F2DE" w:rsidR="002B560F" w:rsidRPr="00986221" w:rsidRDefault="002B560F" w:rsidP="00154C7D">
      <w:pPr>
        <w:pStyle w:val="ListParagraph"/>
        <w:numPr>
          <w:ilvl w:val="0"/>
          <w:numId w:val="22"/>
        </w:numPr>
        <w:spacing w:after="120"/>
        <w:rPr>
          <w:lang w:val="en-US"/>
        </w:rPr>
      </w:pPr>
      <w:r w:rsidRPr="00986221">
        <w:t xml:space="preserve">The allocation of grants to respective Components is detailed below based on schedule of activity implementation of the Investment Design. However, these </w:t>
      </w:r>
      <w:r w:rsidRPr="00986221">
        <w:rPr>
          <w:snapToGrid w:val="0"/>
        </w:rPr>
        <w:t xml:space="preserve">amounts for Tranche Number 2 might be changed subject to the amount approved by </w:t>
      </w:r>
      <w:r w:rsidR="000C6986">
        <w:rPr>
          <w:snapToGrid w:val="0"/>
        </w:rPr>
        <w:t>GOA</w:t>
      </w:r>
      <w:r w:rsidRPr="00986221">
        <w:rPr>
          <w:snapToGrid w:val="0"/>
        </w:rPr>
        <w:t xml:space="preserve"> for the AWP of Year 2 for each Component.</w:t>
      </w:r>
    </w:p>
    <w:p w14:paraId="6EE66385" w14:textId="57BA2774" w:rsidR="002B560F" w:rsidRPr="00986221" w:rsidRDefault="002B560F" w:rsidP="002B560F">
      <w:pPr>
        <w:pStyle w:val="ListParagraphindent"/>
        <w:numPr>
          <w:ilvl w:val="0"/>
          <w:numId w:val="0"/>
        </w:numPr>
        <w:ind w:left="1134"/>
      </w:pPr>
    </w:p>
    <w:p w14:paraId="1784DB2E" w14:textId="77777777" w:rsidR="002B560F" w:rsidRPr="00986221" w:rsidRDefault="002B560F" w:rsidP="002B560F">
      <w:pPr>
        <w:pStyle w:val="CONLevela"/>
        <w:numPr>
          <w:ilvl w:val="0"/>
          <w:numId w:val="0"/>
        </w:numPr>
        <w:ind w:left="720"/>
        <w:rPr>
          <w:rFonts w:ascii="Arial" w:hAnsi="Arial" w:cs="Arial"/>
          <w:sz w:val="20"/>
          <w:szCs w:val="20"/>
          <w:lang w:val="en-US" w:eastAsia="en-AU"/>
        </w:rPr>
      </w:pPr>
    </w:p>
    <w:p w14:paraId="5ED942E9" w14:textId="77777777" w:rsidR="002B560F" w:rsidRPr="00986221" w:rsidRDefault="002B560F" w:rsidP="002B560F">
      <w:pPr>
        <w:spacing w:before="0" w:after="200" w:line="276" w:lineRule="auto"/>
        <w:rPr>
          <w:rFonts w:cs="Arial"/>
          <w:szCs w:val="20"/>
          <w:lang w:val="en-US" w:eastAsia="en-AU"/>
        </w:rPr>
      </w:pPr>
      <w:r w:rsidRPr="00986221">
        <w:br w:type="page"/>
      </w:r>
    </w:p>
    <w:p w14:paraId="4FE8BE42" w14:textId="77777777" w:rsidR="002B560F" w:rsidRPr="00986221" w:rsidRDefault="002B560F" w:rsidP="002B560F">
      <w:pPr>
        <w:pStyle w:val="ListParagraph"/>
        <w:numPr>
          <w:ilvl w:val="0"/>
          <w:numId w:val="0"/>
        </w:numPr>
        <w:spacing w:after="120"/>
        <w:ind w:left="720"/>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890"/>
        <w:gridCol w:w="4636"/>
      </w:tblGrid>
      <w:tr w:rsidR="002B560F" w:rsidRPr="00986221" w14:paraId="1B992FD4" w14:textId="77777777" w:rsidTr="002B560F">
        <w:tc>
          <w:tcPr>
            <w:tcW w:w="1696" w:type="dxa"/>
          </w:tcPr>
          <w:p w14:paraId="2ED7CD1C" w14:textId="77777777" w:rsidR="002B560F" w:rsidRPr="00986221" w:rsidRDefault="002B560F" w:rsidP="002B560F">
            <w:pPr>
              <w:jc w:val="center"/>
              <w:rPr>
                <w:b/>
              </w:rPr>
            </w:pPr>
            <w:r w:rsidRPr="00986221">
              <w:rPr>
                <w:b/>
              </w:rPr>
              <w:t>Indicative Date</w:t>
            </w:r>
          </w:p>
        </w:tc>
        <w:tc>
          <w:tcPr>
            <w:tcW w:w="1890" w:type="dxa"/>
          </w:tcPr>
          <w:p w14:paraId="27E46A90" w14:textId="77777777" w:rsidR="002B560F" w:rsidRPr="00986221" w:rsidRDefault="002B560F" w:rsidP="002B560F">
            <w:pPr>
              <w:jc w:val="center"/>
              <w:rPr>
                <w:b/>
              </w:rPr>
            </w:pPr>
            <w:r w:rsidRPr="00986221">
              <w:rPr>
                <w:b/>
              </w:rPr>
              <w:t>Tranche Number</w:t>
            </w:r>
          </w:p>
        </w:tc>
        <w:tc>
          <w:tcPr>
            <w:tcW w:w="4636" w:type="dxa"/>
          </w:tcPr>
          <w:p w14:paraId="00D8E36B" w14:textId="77777777" w:rsidR="002B560F" w:rsidRPr="00986221" w:rsidRDefault="002B560F" w:rsidP="002B560F">
            <w:pPr>
              <w:jc w:val="center"/>
              <w:rPr>
                <w:b/>
              </w:rPr>
            </w:pPr>
            <w:r w:rsidRPr="00986221">
              <w:rPr>
                <w:b/>
              </w:rPr>
              <w:t>Amount of Grant Funds</w:t>
            </w:r>
          </w:p>
        </w:tc>
      </w:tr>
      <w:tr w:rsidR="002B560F" w:rsidRPr="00986221" w14:paraId="60A45D5B" w14:textId="77777777" w:rsidTr="002B560F">
        <w:trPr>
          <w:trHeight w:val="575"/>
        </w:trPr>
        <w:tc>
          <w:tcPr>
            <w:tcW w:w="1696" w:type="dxa"/>
          </w:tcPr>
          <w:p w14:paraId="5ECC9515" w14:textId="77777777" w:rsidR="002B560F" w:rsidRPr="00986221" w:rsidRDefault="002B560F" w:rsidP="002B560F">
            <w:pPr>
              <w:jc w:val="center"/>
            </w:pPr>
            <w:r w:rsidRPr="00986221">
              <w:t xml:space="preserve">May 2014  </w:t>
            </w:r>
          </w:p>
        </w:tc>
        <w:tc>
          <w:tcPr>
            <w:tcW w:w="1890" w:type="dxa"/>
          </w:tcPr>
          <w:p w14:paraId="69802D64" w14:textId="77777777" w:rsidR="002B560F" w:rsidRPr="00986221" w:rsidRDefault="002B560F" w:rsidP="002B560F">
            <w:pPr>
              <w:jc w:val="center"/>
            </w:pPr>
            <w:r w:rsidRPr="00986221">
              <w:t>1</w:t>
            </w:r>
          </w:p>
        </w:tc>
        <w:tc>
          <w:tcPr>
            <w:tcW w:w="4636" w:type="dxa"/>
          </w:tcPr>
          <w:p w14:paraId="755A46EB" w14:textId="77777777" w:rsidR="002B560F" w:rsidRPr="00986221" w:rsidRDefault="002B560F" w:rsidP="002B560F">
            <w:r w:rsidRPr="00986221">
              <w:t>AUD 1,300,000, in which:</w:t>
            </w:r>
          </w:p>
          <w:p w14:paraId="235F8D4C" w14:textId="77777777" w:rsidR="002B560F" w:rsidRPr="00986221" w:rsidRDefault="002B560F" w:rsidP="002B560F">
            <w:r w:rsidRPr="00986221">
              <w:t>- Component 1-CIEM:      400,000</w:t>
            </w:r>
          </w:p>
          <w:p w14:paraId="23BC740E" w14:textId="77777777" w:rsidR="002B560F" w:rsidRPr="00986221" w:rsidRDefault="002B560F" w:rsidP="002B560F">
            <w:r w:rsidRPr="00986221">
              <w:t>- Component 2- VCA:       300,000</w:t>
            </w:r>
          </w:p>
          <w:p w14:paraId="0FBCEF97" w14:textId="77777777" w:rsidR="002B560F" w:rsidRPr="00986221" w:rsidRDefault="002B560F" w:rsidP="002B560F">
            <w:r w:rsidRPr="00986221">
              <w:t>- Component 3- IPSARD: 200,000</w:t>
            </w:r>
          </w:p>
          <w:p w14:paraId="5E4037AA" w14:textId="77777777" w:rsidR="002B560F" w:rsidRPr="00986221" w:rsidRDefault="002B560F" w:rsidP="002B560F">
            <w:r w:rsidRPr="00986221">
              <w:t>- Component 4 - CIEM:    400,000</w:t>
            </w:r>
          </w:p>
        </w:tc>
      </w:tr>
      <w:tr w:rsidR="002B560F" w:rsidRPr="00986221" w14:paraId="65E62EF0" w14:textId="77777777" w:rsidTr="002B560F">
        <w:trPr>
          <w:trHeight w:val="528"/>
        </w:trPr>
        <w:tc>
          <w:tcPr>
            <w:tcW w:w="1696" w:type="dxa"/>
          </w:tcPr>
          <w:p w14:paraId="1C9E5BC7" w14:textId="77777777" w:rsidR="002B560F" w:rsidRPr="00986221" w:rsidRDefault="002B560F" w:rsidP="002B560F">
            <w:pPr>
              <w:jc w:val="center"/>
            </w:pPr>
            <w:r w:rsidRPr="00986221">
              <w:t xml:space="preserve">May 2015 </w:t>
            </w:r>
          </w:p>
        </w:tc>
        <w:tc>
          <w:tcPr>
            <w:tcW w:w="1890" w:type="dxa"/>
          </w:tcPr>
          <w:p w14:paraId="0233B478" w14:textId="77777777" w:rsidR="002B560F" w:rsidRPr="00986221" w:rsidRDefault="002B560F" w:rsidP="002B560F">
            <w:pPr>
              <w:jc w:val="center"/>
            </w:pPr>
            <w:r w:rsidRPr="00986221">
              <w:t>2</w:t>
            </w:r>
          </w:p>
        </w:tc>
        <w:tc>
          <w:tcPr>
            <w:tcW w:w="4636" w:type="dxa"/>
          </w:tcPr>
          <w:p w14:paraId="149F0489" w14:textId="77777777" w:rsidR="002B560F" w:rsidRPr="00986221" w:rsidRDefault="002B560F" w:rsidP="002B560F">
            <w:r w:rsidRPr="00986221">
              <w:t>Up to AUD 1,200,000, in which:</w:t>
            </w:r>
          </w:p>
          <w:p w14:paraId="337DC44E" w14:textId="77777777" w:rsidR="002B560F" w:rsidRPr="00986221" w:rsidRDefault="002B560F" w:rsidP="002B560F">
            <w:r w:rsidRPr="00986221">
              <w:t>- Component 1-CIEM:      300,000</w:t>
            </w:r>
          </w:p>
          <w:p w14:paraId="7AE0A838" w14:textId="77777777" w:rsidR="002B560F" w:rsidRPr="00986221" w:rsidRDefault="002B560F" w:rsidP="002B560F">
            <w:r w:rsidRPr="00986221">
              <w:t xml:space="preserve">- Component 2- VCA:       200,000  </w:t>
            </w:r>
          </w:p>
          <w:p w14:paraId="17A25BEA" w14:textId="77777777" w:rsidR="002B560F" w:rsidRPr="00986221" w:rsidRDefault="002B560F" w:rsidP="002B560F">
            <w:r w:rsidRPr="00986221">
              <w:t>- Component 3- IPSARD: 100,000</w:t>
            </w:r>
          </w:p>
          <w:p w14:paraId="4AACE551" w14:textId="77777777" w:rsidR="002B560F" w:rsidRPr="00986221" w:rsidRDefault="002B560F" w:rsidP="002B560F">
            <w:r w:rsidRPr="00986221">
              <w:t>- Component 4 - CIEM:    600,000</w:t>
            </w:r>
          </w:p>
        </w:tc>
      </w:tr>
    </w:tbl>
    <w:p w14:paraId="65E3EED0" w14:textId="77777777" w:rsidR="00F15C5A" w:rsidRDefault="00F15C5A" w:rsidP="009F01DA"/>
    <w:p w14:paraId="744D8CEF" w14:textId="77777777" w:rsidR="00F15C5A" w:rsidRDefault="00F15C5A" w:rsidP="009F01DA"/>
    <w:p w14:paraId="5E2491D3" w14:textId="77777777" w:rsidR="00F15C5A" w:rsidRDefault="00F15C5A" w:rsidP="009F01DA"/>
    <w:p w14:paraId="1C3425DD" w14:textId="77777777" w:rsidR="00F15C5A" w:rsidRDefault="00F15C5A" w:rsidP="009F01DA"/>
    <w:p w14:paraId="179D54E5" w14:textId="77777777" w:rsidR="00F15C5A" w:rsidRDefault="00F15C5A" w:rsidP="009F01DA"/>
    <w:p w14:paraId="09CEA538" w14:textId="77777777" w:rsidR="00F15C5A" w:rsidRDefault="00F15C5A" w:rsidP="009F01DA"/>
    <w:p w14:paraId="57A50885" w14:textId="77777777" w:rsidR="00F15C5A" w:rsidRDefault="00F15C5A" w:rsidP="009F01DA"/>
    <w:p w14:paraId="7144B27A" w14:textId="77777777" w:rsidR="00F15C5A" w:rsidRDefault="00F15C5A" w:rsidP="009F01DA"/>
    <w:p w14:paraId="737FDC31" w14:textId="77777777" w:rsidR="00F15C5A" w:rsidRDefault="00F15C5A" w:rsidP="009F01DA"/>
    <w:p w14:paraId="13FCD77F" w14:textId="3792DAA4" w:rsidR="00F15C5A" w:rsidRPr="00F15C5A" w:rsidRDefault="00F15C5A" w:rsidP="00F15C5A">
      <w:pPr>
        <w:spacing w:before="0"/>
        <w:rPr>
          <w:rFonts w:asciiTheme="majorHAnsi" w:eastAsiaTheme="majorEastAsia" w:hAnsiTheme="majorHAnsi" w:cstheme="majorBidi"/>
          <w:b/>
          <w:bCs/>
          <w:color w:val="345A8A" w:themeColor="accent1" w:themeShade="B5"/>
          <w:sz w:val="32"/>
          <w:szCs w:val="32"/>
        </w:rPr>
      </w:pPr>
      <w:r>
        <w:br w:type="page"/>
      </w:r>
    </w:p>
    <w:p w14:paraId="425B31C3" w14:textId="77777777" w:rsidR="00586D77" w:rsidRDefault="00586D77" w:rsidP="009F01DA">
      <w:pPr>
        <w:sectPr w:rsidR="00586D77" w:rsidSect="002B560F">
          <w:headerReference w:type="default" r:id="rId31"/>
          <w:footerReference w:type="default" r:id="rId32"/>
          <w:pgSz w:w="11906" w:h="16838"/>
          <w:pgMar w:top="1440" w:right="1440" w:bottom="709" w:left="1440" w:header="708" w:footer="708" w:gutter="0"/>
          <w:cols w:space="708"/>
          <w:docGrid w:linePitch="360"/>
        </w:sectPr>
      </w:pPr>
    </w:p>
    <w:tbl>
      <w:tblPr>
        <w:tblW w:w="15537" w:type="dxa"/>
        <w:tblInd w:w="-318" w:type="dxa"/>
        <w:tblLayout w:type="fixed"/>
        <w:tblLook w:val="04A0" w:firstRow="1" w:lastRow="0" w:firstColumn="1" w:lastColumn="0" w:noHBand="0" w:noVBand="1"/>
      </w:tblPr>
      <w:tblGrid>
        <w:gridCol w:w="1575"/>
        <w:gridCol w:w="3827"/>
        <w:gridCol w:w="1417"/>
        <w:gridCol w:w="2552"/>
        <w:gridCol w:w="496"/>
        <w:gridCol w:w="567"/>
        <w:gridCol w:w="567"/>
        <w:gridCol w:w="567"/>
        <w:gridCol w:w="567"/>
        <w:gridCol w:w="567"/>
        <w:gridCol w:w="567"/>
        <w:gridCol w:w="567"/>
        <w:gridCol w:w="567"/>
        <w:gridCol w:w="567"/>
        <w:gridCol w:w="567"/>
      </w:tblGrid>
      <w:tr w:rsidR="00F15C5A" w:rsidRPr="00586D77" w14:paraId="2179D7C6" w14:textId="77777777" w:rsidTr="00F15C5A">
        <w:trPr>
          <w:trHeight w:val="290"/>
        </w:trPr>
        <w:tc>
          <w:tcPr>
            <w:tcW w:w="1575" w:type="dxa"/>
            <w:tcBorders>
              <w:top w:val="nil"/>
              <w:left w:val="nil"/>
              <w:bottom w:val="nil"/>
              <w:right w:val="nil"/>
            </w:tcBorders>
            <w:shd w:val="clear" w:color="auto" w:fill="auto"/>
          </w:tcPr>
          <w:p w14:paraId="79A32484" w14:textId="77777777" w:rsidR="00F15C5A" w:rsidRPr="00586D77" w:rsidRDefault="00F15C5A" w:rsidP="00586D77">
            <w:pPr>
              <w:spacing w:before="0"/>
              <w:rPr>
                <w:rFonts w:ascii="Calibri" w:hAnsi="Calibri" w:cs="Calibri"/>
                <w:b/>
                <w:bCs/>
                <w:color w:val="000000"/>
                <w:sz w:val="22"/>
                <w:szCs w:val="22"/>
                <w:lang w:eastAsia="en-AU"/>
              </w:rPr>
            </w:pPr>
          </w:p>
        </w:tc>
        <w:tc>
          <w:tcPr>
            <w:tcW w:w="11694" w:type="dxa"/>
            <w:gridSpan w:val="10"/>
            <w:tcBorders>
              <w:top w:val="nil"/>
              <w:left w:val="nil"/>
              <w:bottom w:val="nil"/>
              <w:right w:val="nil"/>
            </w:tcBorders>
            <w:shd w:val="clear" w:color="auto" w:fill="auto"/>
          </w:tcPr>
          <w:p w14:paraId="3DEDAD37" w14:textId="454D0A59" w:rsidR="00F15C5A" w:rsidRPr="00F15C5A" w:rsidRDefault="00F15C5A" w:rsidP="00F15C5A">
            <w:pPr>
              <w:spacing w:before="0"/>
              <w:jc w:val="both"/>
              <w:rPr>
                <w:rFonts w:cs="Arial"/>
                <w:b/>
                <w:bCs/>
                <w:sz w:val="28"/>
                <w:szCs w:val="28"/>
                <w:lang w:val="en-GB"/>
              </w:rPr>
            </w:pPr>
            <w:r w:rsidRPr="00F15C5A">
              <w:rPr>
                <w:rFonts w:cs="Arial"/>
                <w:b/>
                <w:bCs/>
                <w:sz w:val="28"/>
                <w:szCs w:val="28"/>
                <w:lang w:val="en-GB"/>
              </w:rPr>
              <w:t xml:space="preserve">Appendix </w:t>
            </w:r>
            <w:r>
              <w:rPr>
                <w:rFonts w:cs="Arial"/>
                <w:b/>
                <w:bCs/>
                <w:sz w:val="28"/>
                <w:szCs w:val="28"/>
                <w:lang w:val="en-GB"/>
              </w:rPr>
              <w:t>7</w:t>
            </w:r>
            <w:r w:rsidRPr="00F15C5A">
              <w:rPr>
                <w:rFonts w:cs="Arial"/>
                <w:b/>
                <w:bCs/>
                <w:sz w:val="28"/>
                <w:szCs w:val="28"/>
                <w:lang w:val="en-GB"/>
              </w:rPr>
              <w:t xml:space="preserve">: </w:t>
            </w:r>
            <w:r>
              <w:rPr>
                <w:rFonts w:cs="Arial"/>
                <w:b/>
                <w:bCs/>
                <w:sz w:val="28"/>
                <w:szCs w:val="28"/>
                <w:lang w:val="en-GB"/>
              </w:rPr>
              <w:t>Component implementation schedule</w:t>
            </w:r>
          </w:p>
        </w:tc>
        <w:tc>
          <w:tcPr>
            <w:tcW w:w="567" w:type="dxa"/>
            <w:tcBorders>
              <w:top w:val="nil"/>
              <w:left w:val="nil"/>
              <w:bottom w:val="nil"/>
              <w:right w:val="nil"/>
            </w:tcBorders>
            <w:shd w:val="clear" w:color="auto" w:fill="auto"/>
          </w:tcPr>
          <w:p w14:paraId="621AF65D" w14:textId="77777777" w:rsidR="00F15C5A" w:rsidRPr="00586D77" w:rsidRDefault="00F15C5A" w:rsidP="00586D77">
            <w:pPr>
              <w:spacing w:before="0"/>
              <w:jc w:val="both"/>
              <w:rPr>
                <w:rFonts w:ascii="Calibri" w:hAnsi="Calibri" w:cs="Calibri"/>
                <w:color w:val="000000"/>
                <w:sz w:val="22"/>
                <w:szCs w:val="22"/>
                <w:lang w:eastAsia="en-AU"/>
              </w:rPr>
            </w:pPr>
          </w:p>
        </w:tc>
        <w:tc>
          <w:tcPr>
            <w:tcW w:w="567" w:type="dxa"/>
            <w:tcBorders>
              <w:top w:val="nil"/>
              <w:left w:val="nil"/>
              <w:bottom w:val="nil"/>
              <w:right w:val="nil"/>
            </w:tcBorders>
            <w:shd w:val="clear" w:color="auto" w:fill="auto"/>
          </w:tcPr>
          <w:p w14:paraId="3F6A4765" w14:textId="77777777" w:rsidR="00F15C5A" w:rsidRPr="00586D77" w:rsidRDefault="00F15C5A" w:rsidP="00586D77">
            <w:pPr>
              <w:spacing w:before="0"/>
              <w:jc w:val="both"/>
              <w:rPr>
                <w:rFonts w:ascii="Calibri" w:hAnsi="Calibri" w:cs="Calibri"/>
                <w:color w:val="000000"/>
                <w:sz w:val="22"/>
                <w:szCs w:val="22"/>
                <w:lang w:eastAsia="en-AU"/>
              </w:rPr>
            </w:pPr>
          </w:p>
        </w:tc>
        <w:tc>
          <w:tcPr>
            <w:tcW w:w="567" w:type="dxa"/>
            <w:tcBorders>
              <w:top w:val="nil"/>
              <w:left w:val="nil"/>
              <w:bottom w:val="nil"/>
              <w:right w:val="nil"/>
            </w:tcBorders>
          </w:tcPr>
          <w:p w14:paraId="6B41BFF6" w14:textId="77777777" w:rsidR="00F15C5A" w:rsidRPr="00586D77" w:rsidRDefault="00F15C5A" w:rsidP="00586D77">
            <w:pPr>
              <w:spacing w:before="0"/>
              <w:jc w:val="both"/>
              <w:rPr>
                <w:rFonts w:ascii="Calibri" w:hAnsi="Calibri" w:cs="Calibri"/>
                <w:color w:val="000000"/>
                <w:sz w:val="22"/>
                <w:szCs w:val="22"/>
                <w:lang w:eastAsia="en-AU"/>
              </w:rPr>
            </w:pPr>
          </w:p>
        </w:tc>
        <w:tc>
          <w:tcPr>
            <w:tcW w:w="567" w:type="dxa"/>
            <w:tcBorders>
              <w:top w:val="nil"/>
              <w:left w:val="nil"/>
              <w:bottom w:val="nil"/>
              <w:right w:val="nil"/>
            </w:tcBorders>
          </w:tcPr>
          <w:p w14:paraId="546E2B24" w14:textId="77777777" w:rsidR="00F15C5A" w:rsidRPr="00586D77" w:rsidRDefault="00F15C5A" w:rsidP="00586D77">
            <w:pPr>
              <w:spacing w:before="0"/>
              <w:jc w:val="both"/>
              <w:rPr>
                <w:rFonts w:ascii="Calibri" w:hAnsi="Calibri" w:cs="Calibri"/>
                <w:color w:val="000000"/>
                <w:sz w:val="22"/>
                <w:szCs w:val="22"/>
                <w:lang w:eastAsia="en-AU"/>
              </w:rPr>
            </w:pPr>
          </w:p>
        </w:tc>
      </w:tr>
      <w:tr w:rsidR="00A45628" w:rsidRPr="00586D77" w14:paraId="3F4EE7C8" w14:textId="5A237BA8" w:rsidTr="00F15C5A">
        <w:trPr>
          <w:trHeight w:val="290"/>
        </w:trPr>
        <w:tc>
          <w:tcPr>
            <w:tcW w:w="1575" w:type="dxa"/>
            <w:tcBorders>
              <w:top w:val="nil"/>
              <w:left w:val="nil"/>
              <w:bottom w:val="nil"/>
              <w:right w:val="nil"/>
            </w:tcBorders>
            <w:shd w:val="clear" w:color="auto" w:fill="auto"/>
            <w:hideMark/>
          </w:tcPr>
          <w:p w14:paraId="53F094E6" w14:textId="77777777" w:rsidR="00A45628" w:rsidRPr="00586D77" w:rsidRDefault="00A45628" w:rsidP="00586D77">
            <w:pPr>
              <w:spacing w:before="0"/>
              <w:rPr>
                <w:rFonts w:ascii="Calibri" w:hAnsi="Calibri" w:cs="Calibri"/>
                <w:b/>
                <w:bCs/>
                <w:color w:val="000000"/>
                <w:sz w:val="22"/>
                <w:szCs w:val="22"/>
                <w:lang w:eastAsia="en-AU"/>
              </w:rPr>
            </w:pPr>
            <w:r w:rsidRPr="00586D77">
              <w:rPr>
                <w:rFonts w:ascii="Calibri" w:hAnsi="Calibri" w:cs="Calibri"/>
                <w:b/>
                <w:bCs/>
                <w:color w:val="000000"/>
                <w:sz w:val="22"/>
                <w:szCs w:val="22"/>
                <w:lang w:eastAsia="en-AU"/>
              </w:rPr>
              <w:t>CIEM</w:t>
            </w:r>
          </w:p>
        </w:tc>
        <w:tc>
          <w:tcPr>
            <w:tcW w:w="3827" w:type="dxa"/>
            <w:tcBorders>
              <w:top w:val="nil"/>
              <w:left w:val="nil"/>
              <w:bottom w:val="nil"/>
              <w:right w:val="nil"/>
            </w:tcBorders>
            <w:shd w:val="clear" w:color="auto" w:fill="auto"/>
            <w:hideMark/>
          </w:tcPr>
          <w:p w14:paraId="4F8D202F" w14:textId="77777777" w:rsidR="00A45628" w:rsidRPr="00586D77" w:rsidRDefault="00A45628" w:rsidP="00586D77">
            <w:pPr>
              <w:spacing w:before="0"/>
              <w:jc w:val="both"/>
              <w:rPr>
                <w:rFonts w:ascii="Calibri" w:hAnsi="Calibri" w:cs="Calibri"/>
                <w:color w:val="000000"/>
                <w:sz w:val="22"/>
                <w:szCs w:val="22"/>
                <w:lang w:eastAsia="en-AU"/>
              </w:rPr>
            </w:pPr>
          </w:p>
        </w:tc>
        <w:tc>
          <w:tcPr>
            <w:tcW w:w="1417" w:type="dxa"/>
            <w:tcBorders>
              <w:top w:val="nil"/>
              <w:left w:val="nil"/>
              <w:bottom w:val="nil"/>
              <w:right w:val="nil"/>
            </w:tcBorders>
            <w:shd w:val="clear" w:color="auto" w:fill="auto"/>
            <w:hideMark/>
          </w:tcPr>
          <w:p w14:paraId="741882BD" w14:textId="77777777" w:rsidR="00A45628" w:rsidRPr="00586D77" w:rsidRDefault="00A45628" w:rsidP="00586D77">
            <w:pPr>
              <w:spacing w:before="0"/>
              <w:rPr>
                <w:rFonts w:ascii="Calibri" w:hAnsi="Calibri" w:cs="Calibri"/>
                <w:color w:val="000000"/>
                <w:sz w:val="22"/>
                <w:szCs w:val="22"/>
                <w:lang w:eastAsia="en-AU"/>
              </w:rPr>
            </w:pPr>
          </w:p>
        </w:tc>
        <w:tc>
          <w:tcPr>
            <w:tcW w:w="2552" w:type="dxa"/>
            <w:tcBorders>
              <w:top w:val="nil"/>
              <w:left w:val="nil"/>
              <w:bottom w:val="nil"/>
              <w:right w:val="nil"/>
            </w:tcBorders>
            <w:shd w:val="clear" w:color="auto" w:fill="auto"/>
            <w:hideMark/>
          </w:tcPr>
          <w:p w14:paraId="6B5C7A6E" w14:textId="77777777" w:rsidR="00A45628" w:rsidRPr="00586D77" w:rsidRDefault="00A45628" w:rsidP="00586D77">
            <w:pPr>
              <w:spacing w:before="0"/>
              <w:jc w:val="both"/>
              <w:rPr>
                <w:rFonts w:ascii="Calibri" w:hAnsi="Calibri" w:cs="Calibri"/>
                <w:color w:val="000000"/>
                <w:sz w:val="22"/>
                <w:szCs w:val="22"/>
                <w:lang w:eastAsia="en-AU"/>
              </w:rPr>
            </w:pPr>
          </w:p>
        </w:tc>
        <w:tc>
          <w:tcPr>
            <w:tcW w:w="496" w:type="dxa"/>
            <w:tcBorders>
              <w:top w:val="nil"/>
              <w:left w:val="nil"/>
              <w:bottom w:val="nil"/>
              <w:right w:val="nil"/>
            </w:tcBorders>
            <w:shd w:val="clear" w:color="auto" w:fill="auto"/>
            <w:hideMark/>
          </w:tcPr>
          <w:p w14:paraId="7623DBCB" w14:textId="77777777" w:rsidR="00A45628" w:rsidRPr="00586D77" w:rsidRDefault="00A45628" w:rsidP="00586D77">
            <w:pPr>
              <w:spacing w:before="0"/>
              <w:jc w:val="both"/>
              <w:rPr>
                <w:rFonts w:ascii="Calibri" w:hAnsi="Calibri" w:cs="Calibri"/>
                <w:color w:val="000000"/>
                <w:sz w:val="22"/>
                <w:szCs w:val="22"/>
                <w:lang w:eastAsia="en-AU"/>
              </w:rPr>
            </w:pPr>
          </w:p>
        </w:tc>
        <w:tc>
          <w:tcPr>
            <w:tcW w:w="567" w:type="dxa"/>
            <w:tcBorders>
              <w:top w:val="nil"/>
              <w:left w:val="nil"/>
              <w:bottom w:val="nil"/>
              <w:right w:val="nil"/>
            </w:tcBorders>
            <w:shd w:val="clear" w:color="auto" w:fill="auto"/>
            <w:hideMark/>
          </w:tcPr>
          <w:p w14:paraId="58B3FF71" w14:textId="77777777" w:rsidR="00A45628" w:rsidRPr="00586D77" w:rsidRDefault="00A45628" w:rsidP="00586D77">
            <w:pPr>
              <w:spacing w:before="0"/>
              <w:jc w:val="both"/>
              <w:rPr>
                <w:rFonts w:ascii="Calibri" w:hAnsi="Calibri" w:cs="Calibri"/>
                <w:color w:val="000000"/>
                <w:sz w:val="22"/>
                <w:szCs w:val="22"/>
                <w:lang w:eastAsia="en-AU"/>
              </w:rPr>
            </w:pPr>
          </w:p>
        </w:tc>
        <w:tc>
          <w:tcPr>
            <w:tcW w:w="567" w:type="dxa"/>
            <w:tcBorders>
              <w:top w:val="nil"/>
              <w:left w:val="nil"/>
              <w:bottom w:val="nil"/>
              <w:right w:val="nil"/>
            </w:tcBorders>
            <w:shd w:val="clear" w:color="auto" w:fill="auto"/>
            <w:hideMark/>
          </w:tcPr>
          <w:p w14:paraId="0C5B8645" w14:textId="77777777" w:rsidR="00A45628" w:rsidRPr="00586D77" w:rsidRDefault="00A45628" w:rsidP="00586D77">
            <w:pPr>
              <w:spacing w:before="0"/>
              <w:jc w:val="both"/>
              <w:rPr>
                <w:rFonts w:ascii="Calibri" w:hAnsi="Calibri" w:cs="Calibri"/>
                <w:color w:val="000000"/>
                <w:sz w:val="22"/>
                <w:szCs w:val="22"/>
                <w:lang w:eastAsia="en-AU"/>
              </w:rPr>
            </w:pPr>
          </w:p>
        </w:tc>
        <w:tc>
          <w:tcPr>
            <w:tcW w:w="567" w:type="dxa"/>
            <w:tcBorders>
              <w:top w:val="nil"/>
              <w:left w:val="nil"/>
              <w:bottom w:val="nil"/>
              <w:right w:val="nil"/>
            </w:tcBorders>
            <w:shd w:val="clear" w:color="auto" w:fill="auto"/>
            <w:hideMark/>
          </w:tcPr>
          <w:p w14:paraId="2E3AADFB" w14:textId="77777777" w:rsidR="00A45628" w:rsidRPr="00586D77" w:rsidRDefault="00A45628" w:rsidP="00586D77">
            <w:pPr>
              <w:spacing w:before="0"/>
              <w:jc w:val="both"/>
              <w:rPr>
                <w:rFonts w:ascii="Calibri" w:hAnsi="Calibri" w:cs="Calibri"/>
                <w:color w:val="000000"/>
                <w:sz w:val="22"/>
                <w:szCs w:val="22"/>
                <w:lang w:eastAsia="en-AU"/>
              </w:rPr>
            </w:pPr>
          </w:p>
        </w:tc>
        <w:tc>
          <w:tcPr>
            <w:tcW w:w="567" w:type="dxa"/>
            <w:tcBorders>
              <w:top w:val="nil"/>
              <w:left w:val="nil"/>
              <w:bottom w:val="nil"/>
              <w:right w:val="nil"/>
            </w:tcBorders>
            <w:shd w:val="clear" w:color="auto" w:fill="auto"/>
            <w:hideMark/>
          </w:tcPr>
          <w:p w14:paraId="1C313068" w14:textId="77777777" w:rsidR="00A45628" w:rsidRPr="00586D77" w:rsidRDefault="00A45628" w:rsidP="00586D77">
            <w:pPr>
              <w:spacing w:before="0"/>
              <w:jc w:val="both"/>
              <w:rPr>
                <w:rFonts w:ascii="Calibri" w:hAnsi="Calibri" w:cs="Calibri"/>
                <w:color w:val="000000"/>
                <w:sz w:val="22"/>
                <w:szCs w:val="22"/>
                <w:lang w:eastAsia="en-AU"/>
              </w:rPr>
            </w:pPr>
          </w:p>
        </w:tc>
        <w:tc>
          <w:tcPr>
            <w:tcW w:w="567" w:type="dxa"/>
            <w:tcBorders>
              <w:top w:val="nil"/>
              <w:left w:val="nil"/>
              <w:bottom w:val="nil"/>
              <w:right w:val="nil"/>
            </w:tcBorders>
            <w:shd w:val="clear" w:color="auto" w:fill="auto"/>
            <w:hideMark/>
          </w:tcPr>
          <w:p w14:paraId="261ABE6E" w14:textId="77777777" w:rsidR="00A45628" w:rsidRPr="00586D77" w:rsidRDefault="00A45628" w:rsidP="00586D77">
            <w:pPr>
              <w:spacing w:before="0"/>
              <w:jc w:val="both"/>
              <w:rPr>
                <w:rFonts w:ascii="Calibri" w:hAnsi="Calibri" w:cs="Calibri"/>
                <w:color w:val="000000"/>
                <w:sz w:val="22"/>
                <w:szCs w:val="22"/>
                <w:lang w:eastAsia="en-AU"/>
              </w:rPr>
            </w:pPr>
          </w:p>
        </w:tc>
        <w:tc>
          <w:tcPr>
            <w:tcW w:w="567" w:type="dxa"/>
            <w:tcBorders>
              <w:top w:val="nil"/>
              <w:left w:val="nil"/>
              <w:bottom w:val="nil"/>
              <w:right w:val="nil"/>
            </w:tcBorders>
            <w:shd w:val="clear" w:color="auto" w:fill="auto"/>
            <w:hideMark/>
          </w:tcPr>
          <w:p w14:paraId="6B0841B9" w14:textId="77777777" w:rsidR="00A45628" w:rsidRPr="00586D77" w:rsidRDefault="00A45628" w:rsidP="00586D77">
            <w:pPr>
              <w:spacing w:before="0"/>
              <w:jc w:val="both"/>
              <w:rPr>
                <w:rFonts w:ascii="Calibri" w:hAnsi="Calibri" w:cs="Calibri"/>
                <w:color w:val="000000"/>
                <w:sz w:val="22"/>
                <w:szCs w:val="22"/>
                <w:lang w:eastAsia="en-AU"/>
              </w:rPr>
            </w:pPr>
          </w:p>
        </w:tc>
        <w:tc>
          <w:tcPr>
            <w:tcW w:w="567" w:type="dxa"/>
            <w:tcBorders>
              <w:top w:val="nil"/>
              <w:left w:val="nil"/>
              <w:bottom w:val="nil"/>
              <w:right w:val="nil"/>
            </w:tcBorders>
            <w:shd w:val="clear" w:color="auto" w:fill="auto"/>
            <w:hideMark/>
          </w:tcPr>
          <w:p w14:paraId="36CE4627" w14:textId="77777777" w:rsidR="00A45628" w:rsidRPr="00586D77" w:rsidRDefault="00A45628" w:rsidP="00586D77">
            <w:pPr>
              <w:spacing w:before="0"/>
              <w:jc w:val="both"/>
              <w:rPr>
                <w:rFonts w:ascii="Calibri" w:hAnsi="Calibri" w:cs="Calibri"/>
                <w:color w:val="000000"/>
                <w:sz w:val="22"/>
                <w:szCs w:val="22"/>
                <w:lang w:eastAsia="en-AU"/>
              </w:rPr>
            </w:pPr>
          </w:p>
        </w:tc>
        <w:tc>
          <w:tcPr>
            <w:tcW w:w="567" w:type="dxa"/>
            <w:tcBorders>
              <w:top w:val="nil"/>
              <w:left w:val="nil"/>
              <w:bottom w:val="nil"/>
              <w:right w:val="nil"/>
            </w:tcBorders>
            <w:shd w:val="clear" w:color="auto" w:fill="auto"/>
            <w:hideMark/>
          </w:tcPr>
          <w:p w14:paraId="22660808" w14:textId="77777777" w:rsidR="00A45628" w:rsidRPr="00586D77" w:rsidRDefault="00A45628" w:rsidP="00586D77">
            <w:pPr>
              <w:spacing w:before="0"/>
              <w:jc w:val="both"/>
              <w:rPr>
                <w:rFonts w:ascii="Calibri" w:hAnsi="Calibri" w:cs="Calibri"/>
                <w:color w:val="000000"/>
                <w:sz w:val="22"/>
                <w:szCs w:val="22"/>
                <w:lang w:eastAsia="en-AU"/>
              </w:rPr>
            </w:pPr>
          </w:p>
        </w:tc>
        <w:tc>
          <w:tcPr>
            <w:tcW w:w="567" w:type="dxa"/>
            <w:tcBorders>
              <w:top w:val="nil"/>
              <w:left w:val="nil"/>
              <w:bottom w:val="nil"/>
              <w:right w:val="nil"/>
            </w:tcBorders>
          </w:tcPr>
          <w:p w14:paraId="1E4BC934" w14:textId="77777777" w:rsidR="00A45628" w:rsidRPr="00586D77" w:rsidRDefault="00A45628" w:rsidP="00586D77">
            <w:pPr>
              <w:spacing w:before="0"/>
              <w:jc w:val="both"/>
              <w:rPr>
                <w:rFonts w:ascii="Calibri" w:hAnsi="Calibri" w:cs="Calibri"/>
                <w:color w:val="000000"/>
                <w:sz w:val="22"/>
                <w:szCs w:val="22"/>
                <w:lang w:eastAsia="en-AU"/>
              </w:rPr>
            </w:pPr>
          </w:p>
        </w:tc>
        <w:tc>
          <w:tcPr>
            <w:tcW w:w="567" w:type="dxa"/>
            <w:tcBorders>
              <w:top w:val="nil"/>
              <w:left w:val="nil"/>
              <w:bottom w:val="nil"/>
              <w:right w:val="nil"/>
            </w:tcBorders>
          </w:tcPr>
          <w:p w14:paraId="5C729C51" w14:textId="77777777" w:rsidR="00A45628" w:rsidRPr="00586D77" w:rsidRDefault="00A45628" w:rsidP="00586D77">
            <w:pPr>
              <w:spacing w:before="0"/>
              <w:jc w:val="both"/>
              <w:rPr>
                <w:rFonts w:ascii="Calibri" w:hAnsi="Calibri" w:cs="Calibri"/>
                <w:color w:val="000000"/>
                <w:sz w:val="22"/>
                <w:szCs w:val="22"/>
                <w:lang w:eastAsia="en-AU"/>
              </w:rPr>
            </w:pPr>
          </w:p>
        </w:tc>
      </w:tr>
      <w:tr w:rsidR="00A45628" w:rsidRPr="00586D77" w14:paraId="0C19F76A" w14:textId="33E3B3C1" w:rsidTr="00F15C5A">
        <w:trPr>
          <w:trHeight w:val="315"/>
        </w:trPr>
        <w:tc>
          <w:tcPr>
            <w:tcW w:w="1575" w:type="dxa"/>
            <w:vMerge w:val="restart"/>
            <w:tcBorders>
              <w:top w:val="single" w:sz="4" w:space="0" w:color="auto"/>
              <w:left w:val="single" w:sz="4" w:space="0" w:color="auto"/>
              <w:bottom w:val="single" w:sz="4" w:space="0" w:color="auto"/>
              <w:right w:val="single" w:sz="4" w:space="0" w:color="auto"/>
            </w:tcBorders>
            <w:shd w:val="clear" w:color="000000" w:fill="C5D9F1"/>
            <w:hideMark/>
          </w:tcPr>
          <w:p w14:paraId="511ECB6E" w14:textId="77777777" w:rsidR="00A45628" w:rsidRPr="00586D77" w:rsidRDefault="00A45628" w:rsidP="00586D77">
            <w:pPr>
              <w:spacing w:before="0"/>
              <w:jc w:val="center"/>
              <w:rPr>
                <w:rFonts w:ascii="Calibri" w:hAnsi="Calibri" w:cs="Calibri"/>
                <w:b/>
                <w:bCs/>
                <w:sz w:val="22"/>
                <w:szCs w:val="22"/>
                <w:lang w:eastAsia="en-AU"/>
              </w:rPr>
            </w:pPr>
            <w:r w:rsidRPr="00586D77">
              <w:rPr>
                <w:rFonts w:ascii="Calibri" w:hAnsi="Calibri" w:cs="Calibri"/>
                <w:b/>
                <w:bCs/>
                <w:sz w:val="22"/>
                <w:szCs w:val="22"/>
                <w:lang w:eastAsia="en-AU"/>
              </w:rPr>
              <w:t>Summary Description</w:t>
            </w:r>
          </w:p>
        </w:tc>
        <w:tc>
          <w:tcPr>
            <w:tcW w:w="3827" w:type="dxa"/>
            <w:vMerge w:val="restart"/>
            <w:tcBorders>
              <w:top w:val="single" w:sz="4" w:space="0" w:color="auto"/>
              <w:left w:val="single" w:sz="4" w:space="0" w:color="auto"/>
              <w:bottom w:val="single" w:sz="4" w:space="0" w:color="auto"/>
              <w:right w:val="single" w:sz="4" w:space="0" w:color="auto"/>
            </w:tcBorders>
            <w:shd w:val="clear" w:color="000000" w:fill="C5D9F1"/>
            <w:hideMark/>
          </w:tcPr>
          <w:p w14:paraId="256F2AC2" w14:textId="77777777" w:rsidR="00A45628" w:rsidRPr="00586D77" w:rsidRDefault="00A45628" w:rsidP="00586D77">
            <w:pPr>
              <w:spacing w:before="0"/>
              <w:jc w:val="center"/>
              <w:rPr>
                <w:rFonts w:ascii="Calibri" w:hAnsi="Calibri" w:cs="Calibri"/>
                <w:b/>
                <w:bCs/>
                <w:sz w:val="22"/>
                <w:szCs w:val="22"/>
                <w:lang w:eastAsia="en-AU"/>
              </w:rPr>
            </w:pPr>
            <w:r w:rsidRPr="00586D77">
              <w:rPr>
                <w:rFonts w:ascii="Calibri" w:hAnsi="Calibri" w:cs="Calibri"/>
                <w:b/>
                <w:bCs/>
                <w:sz w:val="22"/>
                <w:szCs w:val="22"/>
                <w:lang w:eastAsia="en-AU"/>
              </w:rPr>
              <w:t>Performance/target Indicators</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C5D9F1"/>
            <w:hideMark/>
          </w:tcPr>
          <w:p w14:paraId="34C80841" w14:textId="77777777" w:rsidR="00A45628" w:rsidRPr="00586D77" w:rsidRDefault="00A45628" w:rsidP="00586D77">
            <w:pPr>
              <w:spacing w:before="0"/>
              <w:jc w:val="center"/>
              <w:rPr>
                <w:rFonts w:ascii="Calibri" w:hAnsi="Calibri" w:cs="Calibri"/>
                <w:b/>
                <w:bCs/>
                <w:sz w:val="22"/>
                <w:szCs w:val="22"/>
                <w:lang w:eastAsia="en-AU"/>
              </w:rPr>
            </w:pPr>
            <w:r w:rsidRPr="00586D77">
              <w:rPr>
                <w:rFonts w:ascii="Calibri" w:hAnsi="Calibri" w:cs="Calibri"/>
                <w:b/>
                <w:bCs/>
                <w:sz w:val="22"/>
                <w:szCs w:val="22"/>
                <w:lang w:eastAsia="en-AU"/>
              </w:rPr>
              <w:t>Data sources to verify progress</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C5D9F1"/>
            <w:hideMark/>
          </w:tcPr>
          <w:p w14:paraId="78F16CCB" w14:textId="77777777" w:rsidR="00A45628" w:rsidRPr="00586D77" w:rsidRDefault="00A45628" w:rsidP="00586D77">
            <w:pPr>
              <w:spacing w:before="0"/>
              <w:jc w:val="center"/>
              <w:rPr>
                <w:rFonts w:ascii="Calibri" w:hAnsi="Calibri" w:cs="Calibri"/>
                <w:b/>
                <w:bCs/>
                <w:sz w:val="22"/>
                <w:szCs w:val="22"/>
                <w:lang w:eastAsia="en-AU"/>
              </w:rPr>
            </w:pPr>
            <w:r w:rsidRPr="00586D77">
              <w:rPr>
                <w:rFonts w:ascii="Calibri" w:hAnsi="Calibri" w:cs="Calibri"/>
                <w:b/>
                <w:bCs/>
                <w:sz w:val="22"/>
                <w:szCs w:val="22"/>
                <w:lang w:eastAsia="en-AU"/>
              </w:rPr>
              <w:t>Key assumptions</w:t>
            </w:r>
          </w:p>
        </w:tc>
        <w:tc>
          <w:tcPr>
            <w:tcW w:w="6166" w:type="dxa"/>
            <w:gridSpan w:val="11"/>
            <w:tcBorders>
              <w:top w:val="single" w:sz="4" w:space="0" w:color="auto"/>
              <w:left w:val="nil"/>
              <w:bottom w:val="single" w:sz="4" w:space="0" w:color="auto"/>
              <w:right w:val="single" w:sz="4" w:space="0" w:color="auto"/>
            </w:tcBorders>
            <w:shd w:val="clear" w:color="000000" w:fill="C5D9F1"/>
            <w:hideMark/>
          </w:tcPr>
          <w:p w14:paraId="13C98FF6" w14:textId="4FDD1AE3" w:rsidR="00A45628" w:rsidRPr="00586D77" w:rsidRDefault="00A45628" w:rsidP="00586D77">
            <w:pPr>
              <w:spacing w:before="0"/>
              <w:jc w:val="center"/>
              <w:rPr>
                <w:rFonts w:ascii="Calibri" w:hAnsi="Calibri" w:cs="Calibri"/>
                <w:b/>
                <w:bCs/>
                <w:sz w:val="22"/>
                <w:szCs w:val="22"/>
                <w:lang w:eastAsia="en-AU"/>
              </w:rPr>
            </w:pPr>
            <w:r w:rsidRPr="00586D77">
              <w:rPr>
                <w:rFonts w:ascii="Calibri" w:hAnsi="Calibri" w:cs="Calibri"/>
                <w:b/>
                <w:bCs/>
                <w:sz w:val="22"/>
                <w:szCs w:val="22"/>
                <w:lang w:eastAsia="en-AU"/>
              </w:rPr>
              <w:t>Timeline</w:t>
            </w:r>
          </w:p>
        </w:tc>
      </w:tr>
      <w:tr w:rsidR="00A45628" w:rsidRPr="00586D77" w14:paraId="723D8FD1" w14:textId="36A48651" w:rsidTr="00F15C5A">
        <w:trPr>
          <w:trHeight w:val="773"/>
        </w:trPr>
        <w:tc>
          <w:tcPr>
            <w:tcW w:w="1575" w:type="dxa"/>
            <w:vMerge/>
            <w:tcBorders>
              <w:top w:val="single" w:sz="4" w:space="0" w:color="auto"/>
              <w:left w:val="single" w:sz="4" w:space="0" w:color="auto"/>
              <w:bottom w:val="single" w:sz="4" w:space="0" w:color="auto"/>
              <w:right w:val="single" w:sz="4" w:space="0" w:color="auto"/>
            </w:tcBorders>
            <w:vAlign w:val="center"/>
            <w:hideMark/>
          </w:tcPr>
          <w:p w14:paraId="5B355FE5" w14:textId="77777777" w:rsidR="00A45628" w:rsidRPr="00586D77" w:rsidRDefault="00A45628" w:rsidP="00586D77">
            <w:pPr>
              <w:spacing w:before="0"/>
              <w:rPr>
                <w:rFonts w:ascii="Calibri" w:hAnsi="Calibri" w:cs="Calibri"/>
                <w:b/>
                <w:bCs/>
                <w:sz w:val="22"/>
                <w:szCs w:val="22"/>
                <w:lang w:eastAsia="en-AU"/>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29ACAB7C" w14:textId="77777777" w:rsidR="00A45628" w:rsidRPr="00586D77" w:rsidRDefault="00A45628" w:rsidP="00586D77">
            <w:pPr>
              <w:spacing w:before="0"/>
              <w:rPr>
                <w:rFonts w:ascii="Calibri" w:hAnsi="Calibri" w:cs="Calibri"/>
                <w:b/>
                <w:bCs/>
                <w:sz w:val="22"/>
                <w:szCs w:val="22"/>
                <w:lang w:eastAsia="en-A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603B7EF9" w14:textId="77777777" w:rsidR="00A45628" w:rsidRPr="00586D77" w:rsidRDefault="00A45628" w:rsidP="00586D77">
            <w:pPr>
              <w:spacing w:before="0"/>
              <w:rPr>
                <w:rFonts w:ascii="Calibri" w:hAnsi="Calibri" w:cs="Calibri"/>
                <w:b/>
                <w:bCs/>
                <w:sz w:val="22"/>
                <w:szCs w:val="22"/>
                <w:lang w:eastAsia="en-A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58308DF" w14:textId="77777777" w:rsidR="00A45628" w:rsidRPr="00586D77" w:rsidRDefault="00A45628" w:rsidP="00586D77">
            <w:pPr>
              <w:spacing w:before="0"/>
              <w:rPr>
                <w:rFonts w:ascii="Calibri" w:hAnsi="Calibri" w:cs="Calibri"/>
                <w:b/>
                <w:bCs/>
                <w:sz w:val="22"/>
                <w:szCs w:val="22"/>
                <w:lang w:eastAsia="en-AU"/>
              </w:rPr>
            </w:pPr>
          </w:p>
        </w:tc>
        <w:tc>
          <w:tcPr>
            <w:tcW w:w="496" w:type="dxa"/>
            <w:tcBorders>
              <w:top w:val="nil"/>
              <w:left w:val="nil"/>
              <w:bottom w:val="single" w:sz="4" w:space="0" w:color="auto"/>
              <w:right w:val="single" w:sz="4" w:space="0" w:color="auto"/>
            </w:tcBorders>
            <w:shd w:val="clear" w:color="000000" w:fill="C5D9F1"/>
            <w:hideMark/>
          </w:tcPr>
          <w:p w14:paraId="09148183" w14:textId="77777777" w:rsidR="00A45628" w:rsidRDefault="00A45628" w:rsidP="00586D77">
            <w:pPr>
              <w:spacing w:before="0"/>
              <w:jc w:val="both"/>
              <w:rPr>
                <w:rFonts w:ascii="Calibri" w:hAnsi="Calibri" w:cs="Calibri"/>
                <w:b/>
                <w:bCs/>
                <w:sz w:val="22"/>
                <w:szCs w:val="22"/>
                <w:lang w:eastAsia="en-AU"/>
              </w:rPr>
            </w:pPr>
            <w:r w:rsidRPr="00586D77">
              <w:rPr>
                <w:rFonts w:ascii="Calibri" w:hAnsi="Calibri" w:cs="Calibri"/>
                <w:b/>
                <w:bCs/>
                <w:sz w:val="22"/>
                <w:szCs w:val="22"/>
                <w:lang w:eastAsia="en-AU"/>
              </w:rPr>
              <w:t>Q2</w:t>
            </w:r>
          </w:p>
          <w:p w14:paraId="75E20FAA" w14:textId="443019F4" w:rsidR="00A45628" w:rsidRPr="00586D77" w:rsidRDefault="00A45628" w:rsidP="00586D77">
            <w:pPr>
              <w:spacing w:before="0"/>
              <w:jc w:val="both"/>
              <w:rPr>
                <w:rFonts w:ascii="Calibri" w:hAnsi="Calibri" w:cs="Calibri"/>
                <w:b/>
                <w:bCs/>
                <w:sz w:val="22"/>
                <w:szCs w:val="22"/>
                <w:lang w:eastAsia="en-AU"/>
              </w:rPr>
            </w:pPr>
            <w:r w:rsidRPr="00586D77">
              <w:rPr>
                <w:rFonts w:ascii="Calibri" w:hAnsi="Calibri" w:cs="Calibri"/>
                <w:b/>
                <w:bCs/>
                <w:sz w:val="22"/>
                <w:szCs w:val="22"/>
                <w:lang w:eastAsia="en-AU"/>
              </w:rPr>
              <w:t>14</w:t>
            </w:r>
          </w:p>
        </w:tc>
        <w:tc>
          <w:tcPr>
            <w:tcW w:w="567" w:type="dxa"/>
            <w:tcBorders>
              <w:top w:val="nil"/>
              <w:left w:val="nil"/>
              <w:bottom w:val="single" w:sz="4" w:space="0" w:color="auto"/>
              <w:right w:val="single" w:sz="4" w:space="0" w:color="auto"/>
            </w:tcBorders>
            <w:shd w:val="clear" w:color="000000" w:fill="C5D9F1"/>
            <w:hideMark/>
          </w:tcPr>
          <w:p w14:paraId="0535614A" w14:textId="77777777" w:rsidR="00A45628" w:rsidRDefault="00A45628" w:rsidP="00586D77">
            <w:pPr>
              <w:spacing w:before="0"/>
              <w:jc w:val="both"/>
              <w:rPr>
                <w:rFonts w:ascii="Calibri" w:hAnsi="Calibri" w:cs="Calibri"/>
                <w:b/>
                <w:bCs/>
                <w:sz w:val="22"/>
                <w:szCs w:val="22"/>
                <w:lang w:eastAsia="en-AU"/>
              </w:rPr>
            </w:pPr>
            <w:r w:rsidRPr="00586D77">
              <w:rPr>
                <w:rFonts w:ascii="Calibri" w:hAnsi="Calibri" w:cs="Calibri"/>
                <w:b/>
                <w:bCs/>
                <w:sz w:val="22"/>
                <w:szCs w:val="22"/>
                <w:lang w:eastAsia="en-AU"/>
              </w:rPr>
              <w:t>Q3</w:t>
            </w:r>
          </w:p>
          <w:p w14:paraId="7C7FE1A5" w14:textId="6BE211B2" w:rsidR="00A45628" w:rsidRPr="00586D77" w:rsidRDefault="00A45628" w:rsidP="00586D77">
            <w:pPr>
              <w:spacing w:before="0"/>
              <w:jc w:val="both"/>
              <w:rPr>
                <w:rFonts w:ascii="Calibri" w:hAnsi="Calibri" w:cs="Calibri"/>
                <w:b/>
                <w:bCs/>
                <w:sz w:val="22"/>
                <w:szCs w:val="22"/>
                <w:lang w:eastAsia="en-AU"/>
              </w:rPr>
            </w:pPr>
            <w:r w:rsidRPr="00586D77">
              <w:rPr>
                <w:rFonts w:ascii="Calibri" w:hAnsi="Calibri" w:cs="Calibri"/>
                <w:b/>
                <w:bCs/>
                <w:sz w:val="22"/>
                <w:szCs w:val="22"/>
                <w:lang w:eastAsia="en-AU"/>
              </w:rPr>
              <w:t>14</w:t>
            </w:r>
          </w:p>
        </w:tc>
        <w:tc>
          <w:tcPr>
            <w:tcW w:w="567" w:type="dxa"/>
            <w:tcBorders>
              <w:top w:val="nil"/>
              <w:left w:val="nil"/>
              <w:bottom w:val="single" w:sz="4" w:space="0" w:color="auto"/>
              <w:right w:val="single" w:sz="4" w:space="0" w:color="auto"/>
            </w:tcBorders>
            <w:shd w:val="clear" w:color="000000" w:fill="C5D9F1"/>
            <w:hideMark/>
          </w:tcPr>
          <w:p w14:paraId="25545506" w14:textId="77777777" w:rsidR="00A45628" w:rsidRDefault="00A45628" w:rsidP="00586D77">
            <w:pPr>
              <w:spacing w:before="0"/>
              <w:jc w:val="both"/>
              <w:rPr>
                <w:rFonts w:ascii="Calibri" w:hAnsi="Calibri" w:cs="Calibri"/>
                <w:b/>
                <w:bCs/>
                <w:sz w:val="22"/>
                <w:szCs w:val="22"/>
                <w:lang w:eastAsia="en-AU"/>
              </w:rPr>
            </w:pPr>
            <w:r w:rsidRPr="00586D77">
              <w:rPr>
                <w:rFonts w:ascii="Calibri" w:hAnsi="Calibri" w:cs="Calibri"/>
                <w:b/>
                <w:bCs/>
                <w:sz w:val="22"/>
                <w:szCs w:val="22"/>
                <w:lang w:eastAsia="en-AU"/>
              </w:rPr>
              <w:t>Q4</w:t>
            </w:r>
          </w:p>
          <w:p w14:paraId="51005E91" w14:textId="2F4E7C61" w:rsidR="00A45628" w:rsidRPr="00586D77" w:rsidRDefault="00A45628" w:rsidP="00586D77">
            <w:pPr>
              <w:spacing w:before="0"/>
              <w:jc w:val="both"/>
              <w:rPr>
                <w:rFonts w:ascii="Calibri" w:hAnsi="Calibri" w:cs="Calibri"/>
                <w:b/>
                <w:bCs/>
                <w:sz w:val="22"/>
                <w:szCs w:val="22"/>
                <w:lang w:eastAsia="en-AU"/>
              </w:rPr>
            </w:pPr>
            <w:r w:rsidRPr="00586D77">
              <w:rPr>
                <w:rFonts w:ascii="Calibri" w:hAnsi="Calibri" w:cs="Calibri"/>
                <w:b/>
                <w:bCs/>
                <w:sz w:val="22"/>
                <w:szCs w:val="22"/>
                <w:lang w:eastAsia="en-AU"/>
              </w:rPr>
              <w:t>14</w:t>
            </w:r>
          </w:p>
        </w:tc>
        <w:tc>
          <w:tcPr>
            <w:tcW w:w="567" w:type="dxa"/>
            <w:tcBorders>
              <w:top w:val="nil"/>
              <w:left w:val="nil"/>
              <w:bottom w:val="single" w:sz="4" w:space="0" w:color="auto"/>
              <w:right w:val="single" w:sz="4" w:space="0" w:color="auto"/>
            </w:tcBorders>
            <w:shd w:val="clear" w:color="000000" w:fill="C5D9F1"/>
            <w:hideMark/>
          </w:tcPr>
          <w:p w14:paraId="1EAC6645" w14:textId="77777777" w:rsidR="00A45628" w:rsidRDefault="00A45628" w:rsidP="00586D77">
            <w:pPr>
              <w:spacing w:before="0"/>
              <w:jc w:val="both"/>
              <w:rPr>
                <w:rFonts w:ascii="Calibri" w:hAnsi="Calibri" w:cs="Calibri"/>
                <w:b/>
                <w:bCs/>
                <w:sz w:val="22"/>
                <w:szCs w:val="22"/>
                <w:lang w:eastAsia="en-AU"/>
              </w:rPr>
            </w:pPr>
            <w:r w:rsidRPr="00586D77">
              <w:rPr>
                <w:rFonts w:ascii="Calibri" w:hAnsi="Calibri" w:cs="Calibri"/>
                <w:b/>
                <w:bCs/>
                <w:sz w:val="22"/>
                <w:szCs w:val="22"/>
                <w:lang w:eastAsia="en-AU"/>
              </w:rPr>
              <w:t>Q1</w:t>
            </w:r>
          </w:p>
          <w:p w14:paraId="1638C29C" w14:textId="56DC158B" w:rsidR="00A45628" w:rsidRPr="00586D77" w:rsidRDefault="00A45628" w:rsidP="00586D77">
            <w:pPr>
              <w:spacing w:before="0"/>
              <w:jc w:val="both"/>
              <w:rPr>
                <w:rFonts w:ascii="Calibri" w:hAnsi="Calibri" w:cs="Calibri"/>
                <w:b/>
                <w:bCs/>
                <w:sz w:val="22"/>
                <w:szCs w:val="22"/>
                <w:lang w:eastAsia="en-AU"/>
              </w:rPr>
            </w:pPr>
            <w:r w:rsidRPr="00586D77">
              <w:rPr>
                <w:rFonts w:ascii="Calibri" w:hAnsi="Calibri" w:cs="Calibri"/>
                <w:b/>
                <w:bCs/>
                <w:sz w:val="22"/>
                <w:szCs w:val="22"/>
                <w:lang w:eastAsia="en-AU"/>
              </w:rPr>
              <w:t>15</w:t>
            </w:r>
          </w:p>
        </w:tc>
        <w:tc>
          <w:tcPr>
            <w:tcW w:w="567" w:type="dxa"/>
            <w:tcBorders>
              <w:top w:val="nil"/>
              <w:left w:val="nil"/>
              <w:bottom w:val="single" w:sz="4" w:space="0" w:color="auto"/>
              <w:right w:val="single" w:sz="4" w:space="0" w:color="auto"/>
            </w:tcBorders>
            <w:shd w:val="clear" w:color="000000" w:fill="C5D9F1"/>
            <w:hideMark/>
          </w:tcPr>
          <w:p w14:paraId="5276E562" w14:textId="77777777" w:rsidR="00A45628" w:rsidRDefault="00A45628" w:rsidP="00586D77">
            <w:pPr>
              <w:spacing w:before="0"/>
              <w:jc w:val="both"/>
              <w:rPr>
                <w:rFonts w:ascii="Calibri" w:hAnsi="Calibri" w:cs="Calibri"/>
                <w:b/>
                <w:bCs/>
                <w:sz w:val="22"/>
                <w:szCs w:val="22"/>
                <w:lang w:eastAsia="en-AU"/>
              </w:rPr>
            </w:pPr>
            <w:r w:rsidRPr="00586D77">
              <w:rPr>
                <w:rFonts w:ascii="Calibri" w:hAnsi="Calibri" w:cs="Calibri"/>
                <w:b/>
                <w:bCs/>
                <w:sz w:val="22"/>
                <w:szCs w:val="22"/>
                <w:lang w:eastAsia="en-AU"/>
              </w:rPr>
              <w:t>Q2</w:t>
            </w:r>
          </w:p>
          <w:p w14:paraId="1A8E9DA9" w14:textId="364AC635" w:rsidR="00A45628" w:rsidRPr="00586D77" w:rsidRDefault="00A45628" w:rsidP="00586D77">
            <w:pPr>
              <w:spacing w:before="0"/>
              <w:jc w:val="both"/>
              <w:rPr>
                <w:rFonts w:ascii="Calibri" w:hAnsi="Calibri" w:cs="Calibri"/>
                <w:b/>
                <w:bCs/>
                <w:sz w:val="22"/>
                <w:szCs w:val="22"/>
                <w:lang w:eastAsia="en-AU"/>
              </w:rPr>
            </w:pPr>
            <w:r w:rsidRPr="00586D77">
              <w:rPr>
                <w:rFonts w:ascii="Calibri" w:hAnsi="Calibri" w:cs="Calibri"/>
                <w:b/>
                <w:bCs/>
                <w:sz w:val="22"/>
                <w:szCs w:val="22"/>
                <w:lang w:eastAsia="en-AU"/>
              </w:rPr>
              <w:t>15</w:t>
            </w:r>
          </w:p>
        </w:tc>
        <w:tc>
          <w:tcPr>
            <w:tcW w:w="567" w:type="dxa"/>
            <w:tcBorders>
              <w:top w:val="nil"/>
              <w:left w:val="nil"/>
              <w:bottom w:val="single" w:sz="4" w:space="0" w:color="auto"/>
              <w:right w:val="single" w:sz="4" w:space="0" w:color="auto"/>
            </w:tcBorders>
            <w:shd w:val="clear" w:color="000000" w:fill="C5D9F1"/>
            <w:hideMark/>
          </w:tcPr>
          <w:p w14:paraId="6DA29E6A" w14:textId="77777777" w:rsidR="00A45628" w:rsidRDefault="00A45628" w:rsidP="00586D77">
            <w:pPr>
              <w:spacing w:before="0"/>
              <w:jc w:val="both"/>
              <w:rPr>
                <w:rFonts w:ascii="Calibri" w:hAnsi="Calibri" w:cs="Calibri"/>
                <w:b/>
                <w:bCs/>
                <w:sz w:val="22"/>
                <w:szCs w:val="22"/>
                <w:lang w:eastAsia="en-AU"/>
              </w:rPr>
            </w:pPr>
            <w:r w:rsidRPr="00586D77">
              <w:rPr>
                <w:rFonts w:ascii="Calibri" w:hAnsi="Calibri" w:cs="Calibri"/>
                <w:b/>
                <w:bCs/>
                <w:sz w:val="22"/>
                <w:szCs w:val="22"/>
                <w:lang w:eastAsia="en-AU"/>
              </w:rPr>
              <w:t>Q3</w:t>
            </w:r>
          </w:p>
          <w:p w14:paraId="6C431EB4" w14:textId="443B57CB" w:rsidR="00A45628" w:rsidRPr="00586D77" w:rsidRDefault="00A45628" w:rsidP="00586D77">
            <w:pPr>
              <w:spacing w:before="0"/>
              <w:jc w:val="both"/>
              <w:rPr>
                <w:rFonts w:ascii="Calibri" w:hAnsi="Calibri" w:cs="Calibri"/>
                <w:b/>
                <w:bCs/>
                <w:sz w:val="22"/>
                <w:szCs w:val="22"/>
                <w:lang w:eastAsia="en-AU"/>
              </w:rPr>
            </w:pPr>
            <w:r w:rsidRPr="00586D77">
              <w:rPr>
                <w:rFonts w:ascii="Calibri" w:hAnsi="Calibri" w:cs="Calibri"/>
                <w:b/>
                <w:bCs/>
                <w:sz w:val="22"/>
                <w:szCs w:val="22"/>
                <w:lang w:eastAsia="en-AU"/>
              </w:rPr>
              <w:t>15</w:t>
            </w:r>
          </w:p>
        </w:tc>
        <w:tc>
          <w:tcPr>
            <w:tcW w:w="567" w:type="dxa"/>
            <w:tcBorders>
              <w:top w:val="nil"/>
              <w:left w:val="nil"/>
              <w:bottom w:val="single" w:sz="4" w:space="0" w:color="auto"/>
              <w:right w:val="single" w:sz="4" w:space="0" w:color="auto"/>
            </w:tcBorders>
            <w:shd w:val="clear" w:color="000000" w:fill="C5D9F1"/>
            <w:hideMark/>
          </w:tcPr>
          <w:p w14:paraId="2E8767B6" w14:textId="77777777" w:rsidR="00A45628" w:rsidRDefault="00A45628" w:rsidP="00586D77">
            <w:pPr>
              <w:spacing w:before="0"/>
              <w:jc w:val="both"/>
              <w:rPr>
                <w:rFonts w:ascii="Calibri" w:hAnsi="Calibri" w:cs="Calibri"/>
                <w:b/>
                <w:bCs/>
                <w:sz w:val="22"/>
                <w:szCs w:val="22"/>
                <w:lang w:eastAsia="en-AU"/>
              </w:rPr>
            </w:pPr>
            <w:r w:rsidRPr="00586D77">
              <w:rPr>
                <w:rFonts w:ascii="Calibri" w:hAnsi="Calibri" w:cs="Calibri"/>
                <w:b/>
                <w:bCs/>
                <w:sz w:val="22"/>
                <w:szCs w:val="22"/>
                <w:lang w:eastAsia="en-AU"/>
              </w:rPr>
              <w:t>Q4</w:t>
            </w:r>
          </w:p>
          <w:p w14:paraId="65FDD613" w14:textId="1BA285F0" w:rsidR="00A45628" w:rsidRPr="00586D77" w:rsidRDefault="00A45628" w:rsidP="00586D77">
            <w:pPr>
              <w:spacing w:before="0"/>
              <w:jc w:val="both"/>
              <w:rPr>
                <w:rFonts w:ascii="Calibri" w:hAnsi="Calibri" w:cs="Calibri"/>
                <w:b/>
                <w:bCs/>
                <w:sz w:val="22"/>
                <w:szCs w:val="22"/>
                <w:lang w:eastAsia="en-AU"/>
              </w:rPr>
            </w:pPr>
            <w:r w:rsidRPr="00586D77">
              <w:rPr>
                <w:rFonts w:ascii="Calibri" w:hAnsi="Calibri" w:cs="Calibri"/>
                <w:b/>
                <w:bCs/>
                <w:sz w:val="22"/>
                <w:szCs w:val="22"/>
                <w:lang w:eastAsia="en-AU"/>
              </w:rPr>
              <w:t>15</w:t>
            </w:r>
          </w:p>
        </w:tc>
        <w:tc>
          <w:tcPr>
            <w:tcW w:w="567" w:type="dxa"/>
            <w:tcBorders>
              <w:top w:val="nil"/>
              <w:left w:val="nil"/>
              <w:bottom w:val="single" w:sz="4" w:space="0" w:color="auto"/>
              <w:right w:val="single" w:sz="4" w:space="0" w:color="auto"/>
            </w:tcBorders>
            <w:shd w:val="clear" w:color="000000" w:fill="C5D9F1"/>
            <w:hideMark/>
          </w:tcPr>
          <w:p w14:paraId="2267D191" w14:textId="77777777" w:rsidR="00A45628" w:rsidRDefault="00A45628" w:rsidP="00586D77">
            <w:pPr>
              <w:spacing w:before="0"/>
              <w:jc w:val="both"/>
              <w:rPr>
                <w:rFonts w:ascii="Calibri" w:hAnsi="Calibri" w:cs="Calibri"/>
                <w:b/>
                <w:bCs/>
                <w:sz w:val="22"/>
                <w:szCs w:val="22"/>
                <w:lang w:eastAsia="en-AU"/>
              </w:rPr>
            </w:pPr>
            <w:r w:rsidRPr="00586D77">
              <w:rPr>
                <w:rFonts w:ascii="Calibri" w:hAnsi="Calibri" w:cs="Calibri"/>
                <w:b/>
                <w:bCs/>
                <w:sz w:val="22"/>
                <w:szCs w:val="22"/>
                <w:lang w:eastAsia="en-AU"/>
              </w:rPr>
              <w:t>Q1</w:t>
            </w:r>
          </w:p>
          <w:p w14:paraId="560A8C50" w14:textId="03DF5CCE" w:rsidR="00A45628" w:rsidRPr="00586D77" w:rsidRDefault="00A45628" w:rsidP="00586D77">
            <w:pPr>
              <w:spacing w:before="0"/>
              <w:jc w:val="both"/>
              <w:rPr>
                <w:rFonts w:ascii="Calibri" w:hAnsi="Calibri" w:cs="Calibri"/>
                <w:b/>
                <w:bCs/>
                <w:sz w:val="22"/>
                <w:szCs w:val="22"/>
                <w:lang w:eastAsia="en-AU"/>
              </w:rPr>
            </w:pPr>
            <w:r w:rsidRPr="00586D77">
              <w:rPr>
                <w:rFonts w:ascii="Calibri" w:hAnsi="Calibri" w:cs="Calibri"/>
                <w:b/>
                <w:bCs/>
                <w:sz w:val="22"/>
                <w:szCs w:val="22"/>
                <w:lang w:eastAsia="en-AU"/>
              </w:rPr>
              <w:t>16</w:t>
            </w:r>
          </w:p>
        </w:tc>
        <w:tc>
          <w:tcPr>
            <w:tcW w:w="567" w:type="dxa"/>
            <w:tcBorders>
              <w:top w:val="nil"/>
              <w:left w:val="nil"/>
              <w:bottom w:val="single" w:sz="4" w:space="0" w:color="auto"/>
              <w:right w:val="single" w:sz="4" w:space="0" w:color="auto"/>
            </w:tcBorders>
            <w:shd w:val="clear" w:color="000000" w:fill="C5D9F1"/>
            <w:hideMark/>
          </w:tcPr>
          <w:p w14:paraId="05A50318" w14:textId="77777777" w:rsidR="00A45628" w:rsidRDefault="00A45628" w:rsidP="00586D77">
            <w:pPr>
              <w:spacing w:before="0"/>
              <w:jc w:val="both"/>
              <w:rPr>
                <w:rFonts w:ascii="Calibri" w:hAnsi="Calibri" w:cs="Calibri"/>
                <w:b/>
                <w:bCs/>
                <w:sz w:val="22"/>
                <w:szCs w:val="22"/>
                <w:lang w:eastAsia="en-AU"/>
              </w:rPr>
            </w:pPr>
            <w:r w:rsidRPr="00586D77">
              <w:rPr>
                <w:rFonts w:ascii="Calibri" w:hAnsi="Calibri" w:cs="Calibri"/>
                <w:b/>
                <w:bCs/>
                <w:sz w:val="22"/>
                <w:szCs w:val="22"/>
                <w:lang w:eastAsia="en-AU"/>
              </w:rPr>
              <w:t>Q2</w:t>
            </w:r>
          </w:p>
          <w:p w14:paraId="6DB5CB1A" w14:textId="26745FD3" w:rsidR="00A45628" w:rsidRPr="00586D77" w:rsidRDefault="00A45628" w:rsidP="00586D77">
            <w:pPr>
              <w:spacing w:before="0"/>
              <w:jc w:val="both"/>
              <w:rPr>
                <w:rFonts w:ascii="Calibri" w:hAnsi="Calibri" w:cs="Calibri"/>
                <w:b/>
                <w:bCs/>
                <w:sz w:val="22"/>
                <w:szCs w:val="22"/>
                <w:lang w:eastAsia="en-AU"/>
              </w:rPr>
            </w:pPr>
            <w:r w:rsidRPr="00586D77">
              <w:rPr>
                <w:rFonts w:ascii="Calibri" w:hAnsi="Calibri" w:cs="Calibri"/>
                <w:b/>
                <w:bCs/>
                <w:sz w:val="22"/>
                <w:szCs w:val="22"/>
                <w:lang w:eastAsia="en-AU"/>
              </w:rPr>
              <w:t>16</w:t>
            </w:r>
          </w:p>
        </w:tc>
        <w:tc>
          <w:tcPr>
            <w:tcW w:w="567" w:type="dxa"/>
            <w:tcBorders>
              <w:top w:val="nil"/>
              <w:left w:val="nil"/>
              <w:bottom w:val="single" w:sz="4" w:space="0" w:color="auto"/>
              <w:right w:val="single" w:sz="4" w:space="0" w:color="auto"/>
            </w:tcBorders>
            <w:shd w:val="clear" w:color="000000" w:fill="C5D9F1"/>
          </w:tcPr>
          <w:p w14:paraId="0ED60312" w14:textId="495F78AC" w:rsidR="00A45628" w:rsidRDefault="00A45628" w:rsidP="00586D77">
            <w:pPr>
              <w:spacing w:before="0"/>
              <w:jc w:val="both"/>
              <w:rPr>
                <w:rFonts w:ascii="Calibri" w:hAnsi="Calibri" w:cs="Calibri"/>
                <w:b/>
                <w:bCs/>
                <w:sz w:val="22"/>
                <w:szCs w:val="22"/>
                <w:lang w:eastAsia="en-AU"/>
              </w:rPr>
            </w:pPr>
            <w:r w:rsidRPr="00586D77">
              <w:rPr>
                <w:rFonts w:ascii="Calibri" w:hAnsi="Calibri" w:cs="Calibri"/>
                <w:b/>
                <w:bCs/>
                <w:sz w:val="22"/>
                <w:szCs w:val="22"/>
                <w:lang w:eastAsia="en-AU"/>
              </w:rPr>
              <w:t>Q</w:t>
            </w:r>
            <w:r>
              <w:rPr>
                <w:rFonts w:ascii="Calibri" w:hAnsi="Calibri" w:cs="Calibri"/>
                <w:b/>
                <w:bCs/>
                <w:sz w:val="22"/>
                <w:szCs w:val="22"/>
                <w:lang w:eastAsia="en-AU"/>
              </w:rPr>
              <w:t>3</w:t>
            </w:r>
          </w:p>
          <w:p w14:paraId="60C1A2DF" w14:textId="434076A5" w:rsidR="00A45628" w:rsidRPr="00586D77" w:rsidRDefault="00A45628" w:rsidP="00586D77">
            <w:pPr>
              <w:spacing w:before="0"/>
              <w:jc w:val="both"/>
              <w:rPr>
                <w:rFonts w:ascii="Calibri" w:hAnsi="Calibri" w:cs="Calibri"/>
                <w:b/>
                <w:bCs/>
                <w:sz w:val="22"/>
                <w:szCs w:val="22"/>
                <w:lang w:eastAsia="en-AU"/>
              </w:rPr>
            </w:pPr>
            <w:r w:rsidRPr="00586D77">
              <w:rPr>
                <w:rFonts w:ascii="Calibri" w:hAnsi="Calibri" w:cs="Calibri"/>
                <w:b/>
                <w:bCs/>
                <w:sz w:val="22"/>
                <w:szCs w:val="22"/>
                <w:lang w:eastAsia="en-AU"/>
              </w:rPr>
              <w:t>16</w:t>
            </w:r>
          </w:p>
        </w:tc>
        <w:tc>
          <w:tcPr>
            <w:tcW w:w="567" w:type="dxa"/>
            <w:tcBorders>
              <w:top w:val="nil"/>
              <w:left w:val="nil"/>
              <w:bottom w:val="single" w:sz="4" w:space="0" w:color="auto"/>
              <w:right w:val="single" w:sz="4" w:space="0" w:color="auto"/>
            </w:tcBorders>
            <w:shd w:val="clear" w:color="000000" w:fill="C5D9F1"/>
          </w:tcPr>
          <w:p w14:paraId="1B147F1F" w14:textId="77777777" w:rsidR="00A45628" w:rsidRDefault="00A45628" w:rsidP="00586D77">
            <w:pPr>
              <w:spacing w:before="0"/>
              <w:jc w:val="both"/>
              <w:rPr>
                <w:rFonts w:ascii="Calibri" w:hAnsi="Calibri" w:cs="Calibri"/>
                <w:b/>
                <w:bCs/>
                <w:sz w:val="22"/>
                <w:szCs w:val="22"/>
                <w:lang w:eastAsia="en-AU"/>
              </w:rPr>
            </w:pPr>
            <w:r w:rsidRPr="00586D77">
              <w:rPr>
                <w:rFonts w:ascii="Calibri" w:hAnsi="Calibri" w:cs="Calibri"/>
                <w:b/>
                <w:bCs/>
                <w:sz w:val="22"/>
                <w:szCs w:val="22"/>
                <w:lang w:eastAsia="en-AU"/>
              </w:rPr>
              <w:t>Q2</w:t>
            </w:r>
          </w:p>
          <w:p w14:paraId="7F922FDB" w14:textId="7C5D804E" w:rsidR="00A45628" w:rsidRPr="00586D77" w:rsidRDefault="00A45628" w:rsidP="00586D77">
            <w:pPr>
              <w:spacing w:before="0"/>
              <w:jc w:val="both"/>
              <w:rPr>
                <w:rFonts w:ascii="Calibri" w:hAnsi="Calibri" w:cs="Calibri"/>
                <w:b/>
                <w:bCs/>
                <w:sz w:val="22"/>
                <w:szCs w:val="22"/>
                <w:lang w:eastAsia="en-AU"/>
              </w:rPr>
            </w:pPr>
            <w:r w:rsidRPr="00586D77">
              <w:rPr>
                <w:rFonts w:ascii="Calibri" w:hAnsi="Calibri" w:cs="Calibri"/>
                <w:b/>
                <w:bCs/>
                <w:sz w:val="22"/>
                <w:szCs w:val="22"/>
                <w:lang w:eastAsia="en-AU"/>
              </w:rPr>
              <w:t>16</w:t>
            </w:r>
          </w:p>
        </w:tc>
      </w:tr>
      <w:tr w:rsidR="00A45628" w:rsidRPr="00586D77" w14:paraId="4EA726DE" w14:textId="182E9754" w:rsidTr="00F15C5A">
        <w:trPr>
          <w:trHeight w:val="3770"/>
        </w:trPr>
        <w:tc>
          <w:tcPr>
            <w:tcW w:w="1575" w:type="dxa"/>
            <w:tcBorders>
              <w:top w:val="nil"/>
              <w:left w:val="single" w:sz="4" w:space="0" w:color="auto"/>
              <w:bottom w:val="single" w:sz="4" w:space="0" w:color="auto"/>
              <w:right w:val="single" w:sz="4" w:space="0" w:color="auto"/>
            </w:tcBorders>
            <w:shd w:val="clear" w:color="auto" w:fill="auto"/>
            <w:hideMark/>
          </w:tcPr>
          <w:p w14:paraId="103F543D" w14:textId="77777777" w:rsidR="00A45628" w:rsidRPr="00586D77" w:rsidRDefault="00A45628" w:rsidP="00586D77">
            <w:pPr>
              <w:spacing w:before="0"/>
              <w:rPr>
                <w:rFonts w:ascii="Calibri" w:hAnsi="Calibri" w:cs="Calibri"/>
                <w:sz w:val="22"/>
                <w:szCs w:val="22"/>
                <w:lang w:eastAsia="en-AU"/>
              </w:rPr>
            </w:pPr>
            <w:r w:rsidRPr="00586D77">
              <w:rPr>
                <w:rFonts w:ascii="Calibri" w:hAnsi="Calibri" w:cs="Calibri"/>
                <w:sz w:val="22"/>
                <w:szCs w:val="22"/>
                <w:lang w:eastAsia="en-AU"/>
              </w:rPr>
              <w:t>Activity 1.1: Periodical reports</w:t>
            </w:r>
          </w:p>
        </w:tc>
        <w:tc>
          <w:tcPr>
            <w:tcW w:w="3827" w:type="dxa"/>
            <w:tcBorders>
              <w:top w:val="nil"/>
              <w:left w:val="nil"/>
              <w:bottom w:val="single" w:sz="4" w:space="0" w:color="auto"/>
              <w:right w:val="single" w:sz="4" w:space="0" w:color="auto"/>
            </w:tcBorders>
            <w:shd w:val="clear" w:color="auto" w:fill="auto"/>
            <w:hideMark/>
          </w:tcPr>
          <w:p w14:paraId="688F5DBB" w14:textId="77777777" w:rsidR="00A45628" w:rsidRPr="00586D77" w:rsidRDefault="00A45628" w:rsidP="00586D77">
            <w:pPr>
              <w:spacing w:before="0"/>
              <w:rPr>
                <w:rFonts w:ascii="Calibri" w:hAnsi="Calibri" w:cs="Calibri"/>
                <w:sz w:val="22"/>
                <w:szCs w:val="22"/>
                <w:lang w:eastAsia="en-AU"/>
              </w:rPr>
            </w:pPr>
            <w:r w:rsidRPr="00586D77">
              <w:rPr>
                <w:rFonts w:ascii="Calibri" w:hAnsi="Calibri" w:cs="Calibri"/>
                <w:sz w:val="22"/>
                <w:szCs w:val="22"/>
                <w:lang w:eastAsia="en-AU"/>
              </w:rPr>
              <w:t>(1) Drafting 2 periodical thematic reports:  recruiting 02 senior national consultants for each report;</w:t>
            </w:r>
            <w:r w:rsidRPr="00586D77">
              <w:rPr>
                <w:rFonts w:ascii="Calibri" w:hAnsi="Calibri" w:cs="Calibri"/>
                <w:sz w:val="22"/>
                <w:szCs w:val="22"/>
                <w:lang w:eastAsia="en-AU"/>
              </w:rPr>
              <w:br/>
              <w:t xml:space="preserve">  (2) Organizing </w:t>
            </w:r>
            <w:proofErr w:type="spellStart"/>
            <w:r w:rsidRPr="00586D77">
              <w:rPr>
                <w:rFonts w:ascii="Calibri" w:hAnsi="Calibri" w:cs="Calibri"/>
                <w:sz w:val="22"/>
                <w:szCs w:val="22"/>
                <w:lang w:eastAsia="en-AU"/>
              </w:rPr>
              <w:t>fieldvisits</w:t>
            </w:r>
            <w:proofErr w:type="spellEnd"/>
            <w:r w:rsidRPr="00586D77">
              <w:rPr>
                <w:rFonts w:ascii="Calibri" w:hAnsi="Calibri" w:cs="Calibri"/>
                <w:sz w:val="22"/>
                <w:szCs w:val="22"/>
                <w:lang w:eastAsia="en-AU"/>
              </w:rPr>
              <w:t xml:space="preserve"> to provinces in 3 regions for each report;</w:t>
            </w:r>
            <w:r w:rsidRPr="00586D77">
              <w:rPr>
                <w:rFonts w:ascii="Calibri" w:hAnsi="Calibri" w:cs="Calibri"/>
                <w:sz w:val="22"/>
                <w:szCs w:val="22"/>
                <w:lang w:eastAsia="en-AU"/>
              </w:rPr>
              <w:br/>
              <w:t xml:space="preserve">  (3) Organizing 01 consultation workshop for each report;</w:t>
            </w:r>
            <w:r w:rsidRPr="00586D77">
              <w:rPr>
                <w:rFonts w:ascii="Calibri" w:hAnsi="Calibri" w:cs="Calibri"/>
                <w:sz w:val="22"/>
                <w:szCs w:val="22"/>
                <w:lang w:eastAsia="en-AU"/>
              </w:rPr>
              <w:br/>
              <w:t xml:space="preserve">  (4) Peer-review: Recruiting 02 senior national experts and 1 senior international expert for each report;</w:t>
            </w:r>
            <w:r w:rsidRPr="00586D77">
              <w:rPr>
                <w:rFonts w:ascii="Calibri" w:hAnsi="Calibri" w:cs="Calibri"/>
                <w:sz w:val="22"/>
                <w:szCs w:val="22"/>
                <w:lang w:eastAsia="en-AU"/>
              </w:rPr>
              <w:br/>
              <w:t xml:space="preserve">  (5) Organizing 02 national conference for report dissemination (for 02 report);</w:t>
            </w:r>
            <w:r w:rsidRPr="00586D77">
              <w:rPr>
                <w:rFonts w:ascii="Calibri" w:hAnsi="Calibri" w:cs="Calibri"/>
                <w:sz w:val="22"/>
                <w:szCs w:val="22"/>
                <w:lang w:eastAsia="en-AU"/>
              </w:rPr>
              <w:br/>
              <w:t xml:space="preserve">  (6) Publication of 02 final reports.</w:t>
            </w:r>
          </w:p>
        </w:tc>
        <w:tc>
          <w:tcPr>
            <w:tcW w:w="1417" w:type="dxa"/>
            <w:tcBorders>
              <w:top w:val="nil"/>
              <w:left w:val="nil"/>
              <w:bottom w:val="single" w:sz="4" w:space="0" w:color="auto"/>
              <w:right w:val="single" w:sz="4" w:space="0" w:color="auto"/>
            </w:tcBorders>
            <w:shd w:val="clear" w:color="auto" w:fill="auto"/>
            <w:hideMark/>
          </w:tcPr>
          <w:p w14:paraId="5F0BCA44" w14:textId="77777777" w:rsidR="00A45628" w:rsidRPr="00586D77" w:rsidRDefault="00A45628" w:rsidP="00586D77">
            <w:pPr>
              <w:spacing w:before="0"/>
              <w:rPr>
                <w:rFonts w:ascii="Calibri" w:hAnsi="Calibri" w:cs="Calibri"/>
                <w:sz w:val="22"/>
                <w:szCs w:val="22"/>
                <w:lang w:eastAsia="en-AU"/>
              </w:rPr>
            </w:pPr>
            <w:r w:rsidRPr="00586D77">
              <w:rPr>
                <w:rFonts w:ascii="Calibri" w:hAnsi="Calibri" w:cs="Calibri"/>
                <w:sz w:val="22"/>
                <w:szCs w:val="22"/>
                <w:lang w:eastAsia="en-AU"/>
              </w:rPr>
              <w:t>Periodical reports</w:t>
            </w:r>
          </w:p>
        </w:tc>
        <w:tc>
          <w:tcPr>
            <w:tcW w:w="2552" w:type="dxa"/>
            <w:tcBorders>
              <w:top w:val="nil"/>
              <w:left w:val="nil"/>
              <w:bottom w:val="single" w:sz="4" w:space="0" w:color="auto"/>
              <w:right w:val="single" w:sz="4" w:space="0" w:color="auto"/>
            </w:tcBorders>
            <w:shd w:val="clear" w:color="auto" w:fill="auto"/>
            <w:hideMark/>
          </w:tcPr>
          <w:p w14:paraId="625B6BCB" w14:textId="17DA850C" w:rsidR="00A45628" w:rsidRPr="00586D77" w:rsidRDefault="00A45628" w:rsidP="00586D77">
            <w:pPr>
              <w:spacing w:before="0"/>
              <w:rPr>
                <w:rFonts w:ascii="Calibri" w:hAnsi="Calibri" w:cs="Calibri"/>
                <w:sz w:val="22"/>
                <w:szCs w:val="22"/>
                <w:lang w:eastAsia="en-AU"/>
              </w:rPr>
            </w:pPr>
            <w:r w:rsidRPr="00586D77">
              <w:rPr>
                <w:rFonts w:ascii="Calibri" w:hAnsi="Calibri" w:cs="Calibri"/>
                <w:sz w:val="22"/>
                <w:szCs w:val="22"/>
                <w:lang w:eastAsia="en-AU"/>
              </w:rPr>
              <w:t>Reports on implementation of economic restructuring undertaken by ministries, central and local government agencies, enterprises</w:t>
            </w:r>
            <w:proofErr w:type="gramStart"/>
            <w:r w:rsidRPr="00586D77">
              <w:rPr>
                <w:rFonts w:ascii="Calibri" w:hAnsi="Calibri" w:cs="Calibri"/>
                <w:sz w:val="22"/>
                <w:szCs w:val="22"/>
                <w:lang w:eastAsia="en-AU"/>
              </w:rPr>
              <w:t>;</w:t>
            </w:r>
            <w:proofErr w:type="gramEnd"/>
            <w:r w:rsidRPr="00586D77">
              <w:rPr>
                <w:rFonts w:ascii="Calibri" w:hAnsi="Calibri" w:cs="Calibri"/>
                <w:sz w:val="22"/>
                <w:szCs w:val="22"/>
                <w:lang w:eastAsia="en-AU"/>
              </w:rPr>
              <w:br/>
              <w:t>Statistic data;</w:t>
            </w:r>
            <w:r w:rsidRPr="00586D77">
              <w:rPr>
                <w:rFonts w:ascii="Calibri" w:hAnsi="Calibri" w:cs="Calibri"/>
                <w:sz w:val="22"/>
                <w:szCs w:val="22"/>
                <w:lang w:eastAsia="en-AU"/>
              </w:rPr>
              <w:br/>
              <w:t>In</w:t>
            </w:r>
            <w:r w:rsidR="00F15C5A">
              <w:rPr>
                <w:rFonts w:ascii="Calibri" w:hAnsi="Calibri" w:cs="Calibri"/>
                <w:sz w:val="22"/>
                <w:szCs w:val="22"/>
                <w:lang w:eastAsia="en-AU"/>
              </w:rPr>
              <w:t>-</w:t>
            </w:r>
            <w:r w:rsidRPr="00586D77">
              <w:rPr>
                <w:rFonts w:ascii="Calibri" w:hAnsi="Calibri" w:cs="Calibri"/>
                <w:sz w:val="22"/>
                <w:szCs w:val="22"/>
                <w:lang w:eastAsia="en-AU"/>
              </w:rPr>
              <w:t>depth interviews;</w:t>
            </w:r>
            <w:r w:rsidRPr="00586D77">
              <w:rPr>
                <w:rFonts w:ascii="Calibri" w:hAnsi="Calibri" w:cs="Calibri"/>
                <w:sz w:val="22"/>
                <w:szCs w:val="22"/>
                <w:lang w:eastAsia="en-AU"/>
              </w:rPr>
              <w:br/>
              <w:t>Experts.</w:t>
            </w:r>
          </w:p>
        </w:tc>
        <w:tc>
          <w:tcPr>
            <w:tcW w:w="496" w:type="dxa"/>
            <w:tcBorders>
              <w:top w:val="nil"/>
              <w:left w:val="nil"/>
              <w:bottom w:val="single" w:sz="4" w:space="0" w:color="auto"/>
              <w:right w:val="single" w:sz="4" w:space="0" w:color="auto"/>
            </w:tcBorders>
            <w:shd w:val="clear" w:color="auto" w:fill="auto"/>
            <w:hideMark/>
          </w:tcPr>
          <w:p w14:paraId="0858D04B" w14:textId="77777777" w:rsidR="00A45628" w:rsidRPr="00586D77" w:rsidRDefault="00A4562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523B6FA3" w14:textId="77777777" w:rsidR="00A45628" w:rsidRPr="00586D77" w:rsidRDefault="00A4562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4D36A85D" w14:textId="77777777" w:rsidR="00A45628" w:rsidRPr="00586D77" w:rsidRDefault="00A4562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44E5E40E" w14:textId="77777777" w:rsidR="00A45628" w:rsidRPr="00586D77" w:rsidRDefault="00A4562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426AD8FC" w14:textId="77777777" w:rsidR="00A45628" w:rsidRPr="00586D77" w:rsidRDefault="00A4562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1813049B" w14:textId="77777777" w:rsidR="00A45628" w:rsidRPr="00586D77" w:rsidRDefault="00A4562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2CA4659B" w14:textId="77777777" w:rsidR="00A45628" w:rsidRPr="00586D77" w:rsidRDefault="00A4562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39DAC719" w14:textId="77777777" w:rsidR="00A45628" w:rsidRPr="00586D77" w:rsidRDefault="00A4562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1914D11E" w14:textId="77777777" w:rsidR="00A45628" w:rsidRPr="00586D77" w:rsidRDefault="00A4562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tcPr>
          <w:p w14:paraId="4E7040CA" w14:textId="77777777" w:rsidR="00A45628" w:rsidRPr="00586D77" w:rsidRDefault="00A45628" w:rsidP="00586D77">
            <w:pPr>
              <w:spacing w:before="0"/>
              <w:rPr>
                <w:rFonts w:ascii="Calibri" w:hAnsi="Calibri" w:cs="Calibri"/>
                <w:sz w:val="22"/>
                <w:szCs w:val="22"/>
                <w:lang w:eastAsia="en-AU"/>
              </w:rPr>
            </w:pPr>
          </w:p>
        </w:tc>
        <w:tc>
          <w:tcPr>
            <w:tcW w:w="567" w:type="dxa"/>
            <w:tcBorders>
              <w:top w:val="nil"/>
              <w:left w:val="nil"/>
              <w:bottom w:val="single" w:sz="4" w:space="0" w:color="auto"/>
              <w:right w:val="single" w:sz="4" w:space="0" w:color="auto"/>
            </w:tcBorders>
          </w:tcPr>
          <w:p w14:paraId="437265F7" w14:textId="77777777" w:rsidR="00A45628" w:rsidRPr="00586D77" w:rsidRDefault="00A45628" w:rsidP="00586D77">
            <w:pPr>
              <w:spacing w:before="0"/>
              <w:rPr>
                <w:rFonts w:ascii="Calibri" w:hAnsi="Calibri" w:cs="Calibri"/>
                <w:sz w:val="22"/>
                <w:szCs w:val="22"/>
                <w:lang w:eastAsia="en-AU"/>
              </w:rPr>
            </w:pPr>
          </w:p>
        </w:tc>
      </w:tr>
      <w:tr w:rsidR="00A45628" w:rsidRPr="00586D77" w14:paraId="6DDB7694" w14:textId="16BE93BE" w:rsidTr="00F15C5A">
        <w:trPr>
          <w:trHeight w:val="2080"/>
        </w:trPr>
        <w:tc>
          <w:tcPr>
            <w:tcW w:w="1575" w:type="dxa"/>
            <w:tcBorders>
              <w:top w:val="nil"/>
              <w:left w:val="single" w:sz="4" w:space="0" w:color="auto"/>
              <w:bottom w:val="single" w:sz="4" w:space="0" w:color="auto"/>
              <w:right w:val="single" w:sz="4" w:space="0" w:color="auto"/>
            </w:tcBorders>
            <w:shd w:val="clear" w:color="auto" w:fill="auto"/>
            <w:hideMark/>
          </w:tcPr>
          <w:p w14:paraId="7D8AEA9C" w14:textId="77777777" w:rsidR="00A45628" w:rsidRPr="00586D77" w:rsidRDefault="00A45628" w:rsidP="00F15C5A">
            <w:pPr>
              <w:spacing w:before="0"/>
              <w:rPr>
                <w:rFonts w:ascii="Calibri" w:hAnsi="Calibri" w:cs="Calibri"/>
                <w:sz w:val="22"/>
                <w:szCs w:val="22"/>
                <w:lang w:eastAsia="en-AU"/>
              </w:rPr>
            </w:pPr>
            <w:r w:rsidRPr="00586D77">
              <w:rPr>
                <w:rFonts w:ascii="Calibri" w:hAnsi="Calibri" w:cs="Calibri"/>
                <w:sz w:val="22"/>
                <w:szCs w:val="22"/>
                <w:lang w:eastAsia="en-AU"/>
              </w:rPr>
              <w:t>Activity 1.2: Ad hoc reports</w:t>
            </w:r>
          </w:p>
        </w:tc>
        <w:tc>
          <w:tcPr>
            <w:tcW w:w="3827" w:type="dxa"/>
            <w:tcBorders>
              <w:top w:val="nil"/>
              <w:left w:val="nil"/>
              <w:bottom w:val="single" w:sz="4" w:space="0" w:color="auto"/>
              <w:right w:val="single" w:sz="4" w:space="0" w:color="auto"/>
            </w:tcBorders>
            <w:shd w:val="clear" w:color="auto" w:fill="auto"/>
            <w:hideMark/>
          </w:tcPr>
          <w:p w14:paraId="55576C50" w14:textId="77777777" w:rsidR="00A45628" w:rsidRPr="00586D77" w:rsidRDefault="00A45628" w:rsidP="00586D77">
            <w:pPr>
              <w:spacing w:before="0"/>
              <w:rPr>
                <w:rFonts w:ascii="Calibri" w:hAnsi="Calibri" w:cs="Calibri"/>
                <w:sz w:val="22"/>
                <w:szCs w:val="22"/>
                <w:lang w:eastAsia="en-AU"/>
              </w:rPr>
            </w:pPr>
            <w:r w:rsidRPr="00586D77">
              <w:rPr>
                <w:rFonts w:ascii="Calibri" w:hAnsi="Calibri" w:cs="Calibri"/>
                <w:sz w:val="22"/>
                <w:szCs w:val="22"/>
                <w:lang w:eastAsia="en-AU"/>
              </w:rPr>
              <w:t xml:space="preserve">  (1) Drafting 01 thematic report:  recruiting 02 national consultants;</w:t>
            </w:r>
            <w:r w:rsidRPr="00586D77">
              <w:rPr>
                <w:rFonts w:ascii="Calibri" w:hAnsi="Calibri" w:cs="Calibri"/>
                <w:sz w:val="22"/>
                <w:szCs w:val="22"/>
                <w:lang w:eastAsia="en-AU"/>
              </w:rPr>
              <w:br/>
              <w:t xml:space="preserve">  (2) Organizing 01 consultation workshop;</w:t>
            </w:r>
            <w:r w:rsidRPr="00586D77">
              <w:rPr>
                <w:rFonts w:ascii="Calibri" w:hAnsi="Calibri" w:cs="Calibri"/>
                <w:sz w:val="22"/>
                <w:szCs w:val="22"/>
                <w:lang w:eastAsia="en-AU"/>
              </w:rPr>
              <w:br/>
              <w:t xml:space="preserve">  (3) Peer-review: Recruiting 01 senior national experts and 1 senior international expert;</w:t>
            </w:r>
            <w:r w:rsidRPr="00586D77">
              <w:rPr>
                <w:rFonts w:ascii="Calibri" w:hAnsi="Calibri" w:cs="Calibri"/>
                <w:sz w:val="22"/>
                <w:szCs w:val="22"/>
                <w:lang w:eastAsia="en-AU"/>
              </w:rPr>
              <w:br/>
              <w:t xml:space="preserve">  (4) Publication of the final report</w:t>
            </w:r>
          </w:p>
        </w:tc>
        <w:tc>
          <w:tcPr>
            <w:tcW w:w="1417" w:type="dxa"/>
            <w:tcBorders>
              <w:top w:val="nil"/>
              <w:left w:val="nil"/>
              <w:bottom w:val="single" w:sz="4" w:space="0" w:color="auto"/>
              <w:right w:val="single" w:sz="4" w:space="0" w:color="auto"/>
            </w:tcBorders>
            <w:shd w:val="clear" w:color="auto" w:fill="auto"/>
            <w:hideMark/>
          </w:tcPr>
          <w:p w14:paraId="15E32CD4" w14:textId="77777777" w:rsidR="00A45628" w:rsidRPr="00586D77" w:rsidRDefault="00A45628" w:rsidP="00586D77">
            <w:pPr>
              <w:spacing w:before="0"/>
              <w:rPr>
                <w:rFonts w:ascii="Calibri" w:hAnsi="Calibri" w:cs="Calibri"/>
                <w:sz w:val="22"/>
                <w:szCs w:val="22"/>
                <w:lang w:eastAsia="en-AU"/>
              </w:rPr>
            </w:pPr>
            <w:r w:rsidRPr="00586D77">
              <w:rPr>
                <w:rFonts w:ascii="Calibri" w:hAnsi="Calibri" w:cs="Calibri"/>
                <w:sz w:val="22"/>
                <w:szCs w:val="22"/>
                <w:lang w:eastAsia="en-AU"/>
              </w:rPr>
              <w:t>Ad-hoc reports</w:t>
            </w:r>
          </w:p>
        </w:tc>
        <w:tc>
          <w:tcPr>
            <w:tcW w:w="2552" w:type="dxa"/>
            <w:tcBorders>
              <w:top w:val="nil"/>
              <w:left w:val="nil"/>
              <w:bottom w:val="single" w:sz="4" w:space="0" w:color="auto"/>
              <w:right w:val="single" w:sz="4" w:space="0" w:color="auto"/>
            </w:tcBorders>
            <w:shd w:val="clear" w:color="auto" w:fill="auto"/>
            <w:hideMark/>
          </w:tcPr>
          <w:p w14:paraId="473B8CD8" w14:textId="352ECB11" w:rsidR="00A45628" w:rsidRPr="00586D77" w:rsidRDefault="00A45628" w:rsidP="00586D77">
            <w:pPr>
              <w:spacing w:before="0"/>
              <w:rPr>
                <w:rFonts w:ascii="Calibri" w:hAnsi="Calibri" w:cs="Calibri"/>
                <w:sz w:val="22"/>
                <w:szCs w:val="22"/>
                <w:lang w:eastAsia="en-AU"/>
              </w:rPr>
            </w:pPr>
            <w:r w:rsidRPr="00586D77">
              <w:rPr>
                <w:rFonts w:ascii="Calibri" w:hAnsi="Calibri" w:cs="Calibri"/>
                <w:sz w:val="22"/>
                <w:szCs w:val="22"/>
                <w:lang w:eastAsia="en-AU"/>
              </w:rPr>
              <w:t xml:space="preserve">Reports provided by ministries, central and </w:t>
            </w:r>
            <w:proofErr w:type="gramStart"/>
            <w:r w:rsidRPr="00586D77">
              <w:rPr>
                <w:rFonts w:ascii="Calibri" w:hAnsi="Calibri" w:cs="Calibri"/>
                <w:sz w:val="22"/>
                <w:szCs w:val="22"/>
                <w:lang w:eastAsia="en-AU"/>
              </w:rPr>
              <w:t>local  government</w:t>
            </w:r>
            <w:proofErr w:type="gramEnd"/>
            <w:r w:rsidRPr="00586D77">
              <w:rPr>
                <w:rFonts w:ascii="Calibri" w:hAnsi="Calibri" w:cs="Calibri"/>
                <w:sz w:val="22"/>
                <w:szCs w:val="22"/>
                <w:lang w:eastAsia="en-AU"/>
              </w:rPr>
              <w:t xml:space="preserve"> agencies, enterprises;</w:t>
            </w:r>
            <w:r w:rsidRPr="00586D77">
              <w:rPr>
                <w:rFonts w:ascii="Calibri" w:hAnsi="Calibri" w:cs="Calibri"/>
                <w:sz w:val="22"/>
                <w:szCs w:val="22"/>
                <w:lang w:eastAsia="en-AU"/>
              </w:rPr>
              <w:br/>
              <w:t>Statistic data;</w:t>
            </w:r>
            <w:r w:rsidRPr="00586D77">
              <w:rPr>
                <w:rFonts w:ascii="Calibri" w:hAnsi="Calibri" w:cs="Calibri"/>
                <w:sz w:val="22"/>
                <w:szCs w:val="22"/>
                <w:lang w:eastAsia="en-AU"/>
              </w:rPr>
              <w:br/>
              <w:t>In</w:t>
            </w:r>
            <w:r w:rsidR="00F15C5A">
              <w:rPr>
                <w:rFonts w:ascii="Calibri" w:hAnsi="Calibri" w:cs="Calibri"/>
                <w:sz w:val="22"/>
                <w:szCs w:val="22"/>
                <w:lang w:eastAsia="en-AU"/>
              </w:rPr>
              <w:t>-</w:t>
            </w:r>
            <w:r w:rsidRPr="00586D77">
              <w:rPr>
                <w:rFonts w:ascii="Calibri" w:hAnsi="Calibri" w:cs="Calibri"/>
                <w:sz w:val="22"/>
                <w:szCs w:val="22"/>
                <w:lang w:eastAsia="en-AU"/>
              </w:rPr>
              <w:t>depth interviews;</w:t>
            </w:r>
            <w:r w:rsidRPr="00586D77">
              <w:rPr>
                <w:rFonts w:ascii="Calibri" w:hAnsi="Calibri" w:cs="Calibri"/>
                <w:sz w:val="22"/>
                <w:szCs w:val="22"/>
                <w:lang w:eastAsia="en-AU"/>
              </w:rPr>
              <w:br/>
              <w:t>Experts.</w:t>
            </w:r>
          </w:p>
        </w:tc>
        <w:tc>
          <w:tcPr>
            <w:tcW w:w="496" w:type="dxa"/>
            <w:tcBorders>
              <w:top w:val="nil"/>
              <w:left w:val="nil"/>
              <w:bottom w:val="single" w:sz="4" w:space="0" w:color="auto"/>
              <w:right w:val="single" w:sz="4" w:space="0" w:color="auto"/>
            </w:tcBorders>
            <w:shd w:val="clear" w:color="auto" w:fill="auto"/>
            <w:hideMark/>
          </w:tcPr>
          <w:p w14:paraId="4914C3F6"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3CAE867D"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0E6A4640"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1E15BAC0"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000000" w:fill="FFFF00"/>
            <w:hideMark/>
          </w:tcPr>
          <w:p w14:paraId="42AA25C0"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000000" w:fill="FFFF00"/>
            <w:hideMark/>
          </w:tcPr>
          <w:p w14:paraId="147713F7"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37459CB5"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0499AB84"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16559FAD"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tcPr>
          <w:p w14:paraId="28369FCA" w14:textId="77777777" w:rsidR="00A45628" w:rsidRPr="00586D77" w:rsidRDefault="00A45628" w:rsidP="00586D77">
            <w:pPr>
              <w:spacing w:before="0"/>
              <w:jc w:val="both"/>
              <w:rPr>
                <w:rFonts w:ascii="Times New Roman" w:hAnsi="Times New Roman"/>
                <w:color w:val="000000"/>
                <w:sz w:val="24"/>
                <w:lang w:eastAsia="en-AU"/>
              </w:rPr>
            </w:pPr>
          </w:p>
        </w:tc>
        <w:tc>
          <w:tcPr>
            <w:tcW w:w="567" w:type="dxa"/>
            <w:tcBorders>
              <w:top w:val="nil"/>
              <w:left w:val="nil"/>
              <w:bottom w:val="single" w:sz="4" w:space="0" w:color="auto"/>
              <w:right w:val="single" w:sz="4" w:space="0" w:color="auto"/>
            </w:tcBorders>
          </w:tcPr>
          <w:p w14:paraId="529CD1F6" w14:textId="77777777" w:rsidR="00A45628" w:rsidRPr="00586D77" w:rsidRDefault="00A45628" w:rsidP="00586D77">
            <w:pPr>
              <w:spacing w:before="0"/>
              <w:jc w:val="both"/>
              <w:rPr>
                <w:rFonts w:ascii="Times New Roman" w:hAnsi="Times New Roman"/>
                <w:color w:val="000000"/>
                <w:sz w:val="24"/>
                <w:lang w:eastAsia="en-AU"/>
              </w:rPr>
            </w:pPr>
          </w:p>
        </w:tc>
      </w:tr>
      <w:tr w:rsidR="00A45628" w:rsidRPr="00586D77" w14:paraId="19026361" w14:textId="4EB75F3C" w:rsidTr="00F15C5A">
        <w:trPr>
          <w:trHeight w:val="2710"/>
        </w:trPr>
        <w:tc>
          <w:tcPr>
            <w:tcW w:w="1575" w:type="dxa"/>
            <w:tcBorders>
              <w:top w:val="nil"/>
              <w:left w:val="single" w:sz="4" w:space="0" w:color="auto"/>
              <w:bottom w:val="single" w:sz="4" w:space="0" w:color="auto"/>
              <w:right w:val="single" w:sz="4" w:space="0" w:color="auto"/>
            </w:tcBorders>
            <w:shd w:val="clear" w:color="auto" w:fill="auto"/>
            <w:hideMark/>
          </w:tcPr>
          <w:p w14:paraId="72176833" w14:textId="77777777" w:rsidR="00A45628" w:rsidRPr="00586D77" w:rsidRDefault="00A45628" w:rsidP="00586D77">
            <w:pPr>
              <w:spacing w:before="0"/>
              <w:rPr>
                <w:rFonts w:ascii="Calibri" w:hAnsi="Calibri" w:cs="Calibri"/>
                <w:sz w:val="22"/>
                <w:szCs w:val="22"/>
                <w:lang w:eastAsia="en-AU"/>
              </w:rPr>
            </w:pPr>
            <w:r w:rsidRPr="00586D77">
              <w:rPr>
                <w:rFonts w:ascii="Calibri" w:hAnsi="Calibri" w:cs="Calibri"/>
                <w:sz w:val="22"/>
                <w:szCs w:val="22"/>
                <w:lang w:eastAsia="en-AU"/>
              </w:rPr>
              <w:t xml:space="preserve">Activity 2.1: Thematic studies for the meetings of the Enterprise Law Drafting Committee and the Investment Law drafting Committee </w:t>
            </w:r>
          </w:p>
        </w:tc>
        <w:tc>
          <w:tcPr>
            <w:tcW w:w="3827" w:type="dxa"/>
            <w:tcBorders>
              <w:top w:val="nil"/>
              <w:left w:val="nil"/>
              <w:bottom w:val="single" w:sz="4" w:space="0" w:color="auto"/>
              <w:right w:val="single" w:sz="4" w:space="0" w:color="auto"/>
            </w:tcBorders>
            <w:shd w:val="clear" w:color="auto" w:fill="auto"/>
            <w:hideMark/>
          </w:tcPr>
          <w:p w14:paraId="07056A56" w14:textId="77777777" w:rsidR="00A45628" w:rsidRPr="00586D77" w:rsidRDefault="00A45628" w:rsidP="00586D77">
            <w:pPr>
              <w:spacing w:before="0"/>
              <w:rPr>
                <w:rFonts w:ascii="Calibri" w:hAnsi="Calibri" w:cs="Calibri"/>
                <w:sz w:val="22"/>
                <w:szCs w:val="22"/>
                <w:lang w:eastAsia="en-AU"/>
              </w:rPr>
            </w:pPr>
            <w:r w:rsidRPr="00586D77">
              <w:rPr>
                <w:rFonts w:ascii="Calibri" w:hAnsi="Calibri" w:cs="Calibri"/>
                <w:sz w:val="22"/>
                <w:szCs w:val="22"/>
                <w:lang w:eastAsia="en-AU"/>
              </w:rPr>
              <w:t xml:space="preserve">  (1) Drafting 2 thematic reports:  recruiting 01 senior national consultants for each report;</w:t>
            </w:r>
            <w:r w:rsidRPr="00586D77">
              <w:rPr>
                <w:rFonts w:ascii="Calibri" w:hAnsi="Calibri" w:cs="Calibri"/>
                <w:sz w:val="22"/>
                <w:szCs w:val="22"/>
                <w:lang w:eastAsia="en-AU"/>
              </w:rPr>
              <w:br/>
              <w:t xml:space="preserve">  (2) Organizing 01 consultation workshop for each report;</w:t>
            </w:r>
            <w:r w:rsidRPr="00586D77">
              <w:rPr>
                <w:rFonts w:ascii="Calibri" w:hAnsi="Calibri" w:cs="Calibri"/>
                <w:sz w:val="22"/>
                <w:szCs w:val="22"/>
                <w:lang w:eastAsia="en-AU"/>
              </w:rPr>
              <w:br/>
              <w:t xml:space="preserve">  (3) Peer-review: Recruiting 01 senior national experts and 1 senior international expert for each report;</w:t>
            </w:r>
            <w:r w:rsidRPr="00586D77">
              <w:rPr>
                <w:rFonts w:ascii="Calibri" w:hAnsi="Calibri" w:cs="Calibri"/>
                <w:sz w:val="22"/>
                <w:szCs w:val="22"/>
                <w:lang w:eastAsia="en-AU"/>
              </w:rPr>
              <w:br/>
              <w:t xml:space="preserve">  (4) Publication of the final reports.</w:t>
            </w:r>
          </w:p>
        </w:tc>
        <w:tc>
          <w:tcPr>
            <w:tcW w:w="1417" w:type="dxa"/>
            <w:tcBorders>
              <w:top w:val="nil"/>
              <w:left w:val="nil"/>
              <w:bottom w:val="single" w:sz="4" w:space="0" w:color="auto"/>
              <w:right w:val="single" w:sz="4" w:space="0" w:color="auto"/>
            </w:tcBorders>
            <w:shd w:val="clear" w:color="auto" w:fill="auto"/>
            <w:hideMark/>
          </w:tcPr>
          <w:p w14:paraId="75CD17D1" w14:textId="77777777" w:rsidR="00A45628" w:rsidRPr="00586D77" w:rsidRDefault="00A45628" w:rsidP="00586D77">
            <w:pPr>
              <w:spacing w:before="0"/>
              <w:rPr>
                <w:rFonts w:ascii="Calibri" w:hAnsi="Calibri" w:cs="Calibri"/>
                <w:sz w:val="22"/>
                <w:szCs w:val="22"/>
                <w:lang w:eastAsia="en-AU"/>
              </w:rPr>
            </w:pPr>
            <w:r w:rsidRPr="00586D77">
              <w:rPr>
                <w:rFonts w:ascii="Calibri" w:hAnsi="Calibri" w:cs="Calibri"/>
                <w:sz w:val="22"/>
                <w:szCs w:val="22"/>
                <w:lang w:eastAsia="en-AU"/>
              </w:rPr>
              <w:t>Reports as inputs for the Enterprise Law and the Investment Law</w:t>
            </w:r>
          </w:p>
        </w:tc>
        <w:tc>
          <w:tcPr>
            <w:tcW w:w="2552" w:type="dxa"/>
            <w:tcBorders>
              <w:top w:val="nil"/>
              <w:left w:val="nil"/>
              <w:bottom w:val="single" w:sz="4" w:space="0" w:color="auto"/>
              <w:right w:val="single" w:sz="4" w:space="0" w:color="auto"/>
            </w:tcBorders>
            <w:shd w:val="clear" w:color="auto" w:fill="auto"/>
            <w:hideMark/>
          </w:tcPr>
          <w:p w14:paraId="58179E11" w14:textId="5F311D5F" w:rsidR="00A45628" w:rsidRPr="00586D77" w:rsidRDefault="00A45628" w:rsidP="00586D77">
            <w:pPr>
              <w:spacing w:before="0"/>
              <w:rPr>
                <w:rFonts w:ascii="Calibri" w:hAnsi="Calibri" w:cs="Calibri"/>
                <w:sz w:val="22"/>
                <w:szCs w:val="22"/>
                <w:lang w:eastAsia="en-AU"/>
              </w:rPr>
            </w:pPr>
            <w:r w:rsidRPr="00586D77">
              <w:rPr>
                <w:rFonts w:ascii="Calibri" w:hAnsi="Calibri" w:cs="Calibri"/>
                <w:sz w:val="22"/>
                <w:szCs w:val="22"/>
                <w:lang w:eastAsia="en-AU"/>
              </w:rPr>
              <w:t>Literature review</w:t>
            </w:r>
            <w:r w:rsidRPr="00586D77">
              <w:rPr>
                <w:rFonts w:ascii="Calibri" w:hAnsi="Calibri" w:cs="Calibri"/>
                <w:sz w:val="22"/>
                <w:szCs w:val="22"/>
                <w:lang w:eastAsia="en-AU"/>
              </w:rPr>
              <w:br/>
              <w:t xml:space="preserve">Reports provided by ministries, central and </w:t>
            </w:r>
            <w:proofErr w:type="gramStart"/>
            <w:r w:rsidRPr="00586D77">
              <w:rPr>
                <w:rFonts w:ascii="Calibri" w:hAnsi="Calibri" w:cs="Calibri"/>
                <w:sz w:val="22"/>
                <w:szCs w:val="22"/>
                <w:lang w:eastAsia="en-AU"/>
              </w:rPr>
              <w:t>local  government</w:t>
            </w:r>
            <w:proofErr w:type="gramEnd"/>
            <w:r w:rsidRPr="00586D77">
              <w:rPr>
                <w:rFonts w:ascii="Calibri" w:hAnsi="Calibri" w:cs="Calibri"/>
                <w:sz w:val="22"/>
                <w:szCs w:val="22"/>
                <w:lang w:eastAsia="en-AU"/>
              </w:rPr>
              <w:t xml:space="preserve"> agencies, enterprises;</w:t>
            </w:r>
            <w:r w:rsidRPr="00586D77">
              <w:rPr>
                <w:rFonts w:ascii="Calibri" w:hAnsi="Calibri" w:cs="Calibri"/>
                <w:sz w:val="22"/>
                <w:szCs w:val="22"/>
                <w:lang w:eastAsia="en-AU"/>
              </w:rPr>
              <w:br/>
              <w:t>Statistic data;</w:t>
            </w:r>
            <w:r w:rsidRPr="00586D77">
              <w:rPr>
                <w:rFonts w:ascii="Calibri" w:hAnsi="Calibri" w:cs="Calibri"/>
                <w:sz w:val="22"/>
                <w:szCs w:val="22"/>
                <w:lang w:eastAsia="en-AU"/>
              </w:rPr>
              <w:br/>
              <w:t>In</w:t>
            </w:r>
            <w:r w:rsidR="00F15C5A">
              <w:rPr>
                <w:rFonts w:ascii="Calibri" w:hAnsi="Calibri" w:cs="Calibri"/>
                <w:sz w:val="22"/>
                <w:szCs w:val="22"/>
                <w:lang w:eastAsia="en-AU"/>
              </w:rPr>
              <w:t>-</w:t>
            </w:r>
            <w:r w:rsidRPr="00586D77">
              <w:rPr>
                <w:rFonts w:ascii="Calibri" w:hAnsi="Calibri" w:cs="Calibri"/>
                <w:sz w:val="22"/>
                <w:szCs w:val="22"/>
                <w:lang w:eastAsia="en-AU"/>
              </w:rPr>
              <w:t>depth interviews;</w:t>
            </w:r>
            <w:r w:rsidRPr="00586D77">
              <w:rPr>
                <w:rFonts w:ascii="Calibri" w:hAnsi="Calibri" w:cs="Calibri"/>
                <w:sz w:val="22"/>
                <w:szCs w:val="22"/>
                <w:lang w:eastAsia="en-AU"/>
              </w:rPr>
              <w:br/>
              <w:t>Experts.</w:t>
            </w:r>
          </w:p>
        </w:tc>
        <w:tc>
          <w:tcPr>
            <w:tcW w:w="496" w:type="dxa"/>
            <w:tcBorders>
              <w:top w:val="nil"/>
              <w:left w:val="nil"/>
              <w:bottom w:val="single" w:sz="4" w:space="0" w:color="auto"/>
              <w:right w:val="single" w:sz="4" w:space="0" w:color="auto"/>
            </w:tcBorders>
            <w:shd w:val="clear" w:color="000000" w:fill="FFFF00"/>
            <w:hideMark/>
          </w:tcPr>
          <w:p w14:paraId="11BA4046"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000000" w:fill="FFFF00"/>
            <w:hideMark/>
          </w:tcPr>
          <w:p w14:paraId="314074E1"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000000" w:fill="FFFF00"/>
            <w:hideMark/>
          </w:tcPr>
          <w:p w14:paraId="10D09F1A"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2E74673D"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42A94AE1"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73AA6AA8"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6BCAB5D3"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5AAE5729"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6D52B54E"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tcPr>
          <w:p w14:paraId="6BCD68F2" w14:textId="77777777" w:rsidR="00A45628" w:rsidRPr="00586D77" w:rsidRDefault="00A45628" w:rsidP="00586D77">
            <w:pPr>
              <w:spacing w:before="0"/>
              <w:jc w:val="both"/>
              <w:rPr>
                <w:rFonts w:ascii="Times New Roman" w:hAnsi="Times New Roman"/>
                <w:color w:val="000000"/>
                <w:sz w:val="24"/>
                <w:lang w:eastAsia="en-AU"/>
              </w:rPr>
            </w:pPr>
          </w:p>
        </w:tc>
        <w:tc>
          <w:tcPr>
            <w:tcW w:w="567" w:type="dxa"/>
            <w:tcBorders>
              <w:top w:val="nil"/>
              <w:left w:val="nil"/>
              <w:bottom w:val="single" w:sz="4" w:space="0" w:color="auto"/>
              <w:right w:val="single" w:sz="4" w:space="0" w:color="auto"/>
            </w:tcBorders>
          </w:tcPr>
          <w:p w14:paraId="423FF830" w14:textId="77777777" w:rsidR="00A45628" w:rsidRPr="00586D77" w:rsidRDefault="00A45628" w:rsidP="00586D77">
            <w:pPr>
              <w:spacing w:before="0"/>
              <w:jc w:val="both"/>
              <w:rPr>
                <w:rFonts w:ascii="Times New Roman" w:hAnsi="Times New Roman"/>
                <w:color w:val="000000"/>
                <w:sz w:val="24"/>
                <w:lang w:eastAsia="en-AU"/>
              </w:rPr>
            </w:pPr>
          </w:p>
        </w:tc>
      </w:tr>
      <w:tr w:rsidR="00A45628" w:rsidRPr="00586D77" w14:paraId="2AA0F320" w14:textId="2B210F0C" w:rsidTr="00F15C5A">
        <w:trPr>
          <w:trHeight w:val="3547"/>
        </w:trPr>
        <w:tc>
          <w:tcPr>
            <w:tcW w:w="1575" w:type="dxa"/>
            <w:tcBorders>
              <w:top w:val="nil"/>
              <w:left w:val="single" w:sz="4" w:space="0" w:color="auto"/>
              <w:bottom w:val="single" w:sz="4" w:space="0" w:color="auto"/>
              <w:right w:val="single" w:sz="4" w:space="0" w:color="auto"/>
            </w:tcBorders>
            <w:shd w:val="clear" w:color="auto" w:fill="auto"/>
            <w:hideMark/>
          </w:tcPr>
          <w:p w14:paraId="0BAB4567" w14:textId="77777777" w:rsidR="00A45628" w:rsidRPr="00586D77" w:rsidRDefault="00A45628" w:rsidP="00586D77">
            <w:pPr>
              <w:spacing w:before="0"/>
              <w:rPr>
                <w:rFonts w:ascii="Calibri" w:hAnsi="Calibri" w:cs="Calibri"/>
                <w:sz w:val="22"/>
                <w:szCs w:val="22"/>
                <w:lang w:eastAsia="en-AU"/>
              </w:rPr>
            </w:pPr>
            <w:r w:rsidRPr="00586D77">
              <w:rPr>
                <w:rFonts w:ascii="Calibri" w:hAnsi="Calibri" w:cs="Calibri"/>
                <w:sz w:val="22"/>
                <w:szCs w:val="22"/>
                <w:lang w:eastAsia="en-AU"/>
              </w:rPr>
              <w:t>Activity 2.2: Public consultation workshops for getting comments on the Enterprise Law and the Investment Law</w:t>
            </w:r>
          </w:p>
        </w:tc>
        <w:tc>
          <w:tcPr>
            <w:tcW w:w="3827" w:type="dxa"/>
            <w:tcBorders>
              <w:top w:val="nil"/>
              <w:left w:val="nil"/>
              <w:bottom w:val="single" w:sz="4" w:space="0" w:color="auto"/>
              <w:right w:val="single" w:sz="4" w:space="0" w:color="auto"/>
            </w:tcBorders>
            <w:shd w:val="clear" w:color="auto" w:fill="auto"/>
            <w:hideMark/>
          </w:tcPr>
          <w:p w14:paraId="449226A2" w14:textId="77777777" w:rsidR="00A45628" w:rsidRPr="00586D77" w:rsidRDefault="00A45628" w:rsidP="00586D77">
            <w:pPr>
              <w:spacing w:before="0"/>
              <w:rPr>
                <w:rFonts w:ascii="Calibri" w:hAnsi="Calibri" w:cs="Calibri"/>
                <w:sz w:val="22"/>
                <w:szCs w:val="22"/>
                <w:lang w:eastAsia="en-AU"/>
              </w:rPr>
            </w:pPr>
            <w:r w:rsidRPr="00586D77">
              <w:rPr>
                <w:rFonts w:ascii="Calibri" w:hAnsi="Calibri" w:cs="Calibri"/>
                <w:sz w:val="22"/>
                <w:szCs w:val="22"/>
                <w:lang w:eastAsia="en-AU"/>
              </w:rPr>
              <w:t>Organize 5 workshops in 3 regions for each law. Of which</w:t>
            </w:r>
            <w:proofErr w:type="gramStart"/>
            <w:r w:rsidRPr="00586D77">
              <w:rPr>
                <w:rFonts w:ascii="Calibri" w:hAnsi="Calibri" w:cs="Calibri"/>
                <w:sz w:val="22"/>
                <w:szCs w:val="22"/>
                <w:lang w:eastAsia="en-AU"/>
              </w:rPr>
              <w:t>:</w:t>
            </w:r>
            <w:proofErr w:type="gramEnd"/>
            <w:r w:rsidRPr="00586D77">
              <w:rPr>
                <w:rFonts w:ascii="Calibri" w:hAnsi="Calibri" w:cs="Calibri"/>
                <w:sz w:val="22"/>
                <w:szCs w:val="22"/>
                <w:lang w:eastAsia="en-AU"/>
              </w:rPr>
              <w:br/>
              <w:t>- 03 workshops in Hanoi:</w:t>
            </w:r>
            <w:r w:rsidRPr="00586D77">
              <w:rPr>
                <w:rFonts w:ascii="Calibri" w:hAnsi="Calibri" w:cs="Calibri"/>
                <w:sz w:val="22"/>
                <w:szCs w:val="22"/>
                <w:lang w:eastAsia="en-AU"/>
              </w:rPr>
              <w:br/>
              <w:t xml:space="preserve">   + 01 workshop for staff of central government agencies;</w:t>
            </w:r>
            <w:r w:rsidRPr="00586D77">
              <w:rPr>
                <w:rFonts w:ascii="Calibri" w:hAnsi="Calibri" w:cs="Calibri"/>
                <w:sz w:val="22"/>
                <w:szCs w:val="22"/>
                <w:lang w:eastAsia="en-AU"/>
              </w:rPr>
              <w:br/>
              <w:t xml:space="preserve">   + 01 workshop for staff of local government agencies;</w:t>
            </w:r>
            <w:r w:rsidRPr="00586D77">
              <w:rPr>
                <w:rFonts w:ascii="Calibri" w:hAnsi="Calibri" w:cs="Calibri"/>
                <w:sz w:val="22"/>
                <w:szCs w:val="22"/>
                <w:lang w:eastAsia="en-AU"/>
              </w:rPr>
              <w:br/>
              <w:t xml:space="preserve">   + 01 workshop for </w:t>
            </w:r>
            <w:proofErr w:type="spellStart"/>
            <w:r w:rsidRPr="00586D77">
              <w:rPr>
                <w:rFonts w:ascii="Calibri" w:hAnsi="Calibri" w:cs="Calibri"/>
                <w:sz w:val="22"/>
                <w:szCs w:val="22"/>
                <w:lang w:eastAsia="en-AU"/>
              </w:rPr>
              <w:t>bussiness</w:t>
            </w:r>
            <w:proofErr w:type="spellEnd"/>
            <w:r w:rsidRPr="00586D77">
              <w:rPr>
                <w:rFonts w:ascii="Calibri" w:hAnsi="Calibri" w:cs="Calibri"/>
                <w:sz w:val="22"/>
                <w:szCs w:val="22"/>
                <w:lang w:eastAsia="en-AU"/>
              </w:rPr>
              <w:t xml:space="preserve"> and community.</w:t>
            </w:r>
            <w:r w:rsidRPr="00586D77">
              <w:rPr>
                <w:rFonts w:ascii="Calibri" w:hAnsi="Calibri" w:cs="Calibri"/>
                <w:sz w:val="22"/>
                <w:szCs w:val="22"/>
                <w:lang w:eastAsia="en-AU"/>
              </w:rPr>
              <w:br/>
              <w:t>- 01 workshop in the Central (for all audience)</w:t>
            </w:r>
            <w:r w:rsidRPr="00586D77">
              <w:rPr>
                <w:rFonts w:ascii="Calibri" w:hAnsi="Calibri" w:cs="Calibri"/>
                <w:sz w:val="22"/>
                <w:szCs w:val="22"/>
                <w:lang w:eastAsia="en-AU"/>
              </w:rPr>
              <w:br/>
              <w:t>- 01 workshop in the South (for all audience)</w:t>
            </w:r>
          </w:p>
        </w:tc>
        <w:tc>
          <w:tcPr>
            <w:tcW w:w="1417" w:type="dxa"/>
            <w:tcBorders>
              <w:top w:val="nil"/>
              <w:left w:val="nil"/>
              <w:bottom w:val="single" w:sz="4" w:space="0" w:color="auto"/>
              <w:right w:val="single" w:sz="4" w:space="0" w:color="auto"/>
            </w:tcBorders>
            <w:shd w:val="clear" w:color="auto" w:fill="auto"/>
            <w:hideMark/>
          </w:tcPr>
          <w:p w14:paraId="35E0E0C1" w14:textId="77777777" w:rsidR="00A45628" w:rsidRPr="00586D77" w:rsidRDefault="00A45628" w:rsidP="00586D77">
            <w:pPr>
              <w:spacing w:before="0"/>
              <w:rPr>
                <w:rFonts w:ascii="Calibri" w:hAnsi="Calibri" w:cs="Calibri"/>
                <w:sz w:val="22"/>
                <w:szCs w:val="22"/>
                <w:lang w:eastAsia="en-AU"/>
              </w:rPr>
            </w:pPr>
            <w:r w:rsidRPr="00586D77">
              <w:rPr>
                <w:rFonts w:ascii="Calibri" w:hAnsi="Calibri" w:cs="Calibri"/>
                <w:sz w:val="22"/>
                <w:szCs w:val="22"/>
                <w:lang w:eastAsia="en-AU"/>
              </w:rPr>
              <w:t>Public consultation workshops for getting comments on the two laws.</w:t>
            </w:r>
          </w:p>
        </w:tc>
        <w:tc>
          <w:tcPr>
            <w:tcW w:w="2552" w:type="dxa"/>
            <w:tcBorders>
              <w:top w:val="nil"/>
              <w:left w:val="nil"/>
              <w:bottom w:val="single" w:sz="4" w:space="0" w:color="auto"/>
              <w:right w:val="single" w:sz="4" w:space="0" w:color="auto"/>
            </w:tcBorders>
            <w:shd w:val="clear" w:color="auto" w:fill="auto"/>
            <w:hideMark/>
          </w:tcPr>
          <w:p w14:paraId="0F1B2608" w14:textId="1DAC602B" w:rsidR="00A45628" w:rsidRPr="00586D77" w:rsidRDefault="00A45628" w:rsidP="00586D77">
            <w:pPr>
              <w:spacing w:before="0"/>
              <w:rPr>
                <w:rFonts w:ascii="Calibri" w:hAnsi="Calibri" w:cs="Calibri"/>
                <w:sz w:val="22"/>
                <w:szCs w:val="22"/>
                <w:lang w:eastAsia="en-AU"/>
              </w:rPr>
            </w:pPr>
            <w:r w:rsidRPr="00586D77">
              <w:rPr>
                <w:rFonts w:ascii="Calibri" w:hAnsi="Calibri" w:cs="Calibri"/>
                <w:sz w:val="22"/>
                <w:szCs w:val="22"/>
                <w:lang w:eastAsia="en-AU"/>
              </w:rPr>
              <w:t xml:space="preserve">The audience includes: staff of government agencies at both central and local level, </w:t>
            </w:r>
            <w:r w:rsidR="00F15C5A" w:rsidRPr="00586D77">
              <w:rPr>
                <w:rFonts w:ascii="Calibri" w:hAnsi="Calibri" w:cs="Calibri"/>
                <w:sz w:val="22"/>
                <w:szCs w:val="22"/>
                <w:lang w:eastAsia="en-AU"/>
              </w:rPr>
              <w:t>business</w:t>
            </w:r>
            <w:r w:rsidRPr="00586D77">
              <w:rPr>
                <w:rFonts w:ascii="Calibri" w:hAnsi="Calibri" w:cs="Calibri"/>
                <w:sz w:val="22"/>
                <w:szCs w:val="22"/>
                <w:lang w:eastAsia="en-AU"/>
              </w:rPr>
              <w:t xml:space="preserve"> and community.</w:t>
            </w:r>
          </w:p>
        </w:tc>
        <w:tc>
          <w:tcPr>
            <w:tcW w:w="496" w:type="dxa"/>
            <w:tcBorders>
              <w:top w:val="nil"/>
              <w:left w:val="nil"/>
              <w:bottom w:val="single" w:sz="4" w:space="0" w:color="auto"/>
              <w:right w:val="single" w:sz="4" w:space="0" w:color="auto"/>
            </w:tcBorders>
            <w:shd w:val="clear" w:color="000000" w:fill="FFFF00"/>
            <w:hideMark/>
          </w:tcPr>
          <w:p w14:paraId="12C3E992"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000000" w:fill="FFFF00"/>
            <w:hideMark/>
          </w:tcPr>
          <w:p w14:paraId="00E44E46"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000000" w:fill="FFFF00"/>
            <w:hideMark/>
          </w:tcPr>
          <w:p w14:paraId="519B8ACD"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5728BD3A"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50F04ECF"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2E0C34E4"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2555D291"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687BBFF1"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6E7F7463"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tcPr>
          <w:p w14:paraId="2E4B0F62" w14:textId="77777777" w:rsidR="00A45628" w:rsidRPr="00586D77" w:rsidRDefault="00A45628" w:rsidP="00586D77">
            <w:pPr>
              <w:spacing w:before="0"/>
              <w:jc w:val="both"/>
              <w:rPr>
                <w:rFonts w:ascii="Times New Roman" w:hAnsi="Times New Roman"/>
                <w:color w:val="000000"/>
                <w:sz w:val="24"/>
                <w:lang w:eastAsia="en-AU"/>
              </w:rPr>
            </w:pPr>
          </w:p>
        </w:tc>
        <w:tc>
          <w:tcPr>
            <w:tcW w:w="567" w:type="dxa"/>
            <w:tcBorders>
              <w:top w:val="nil"/>
              <w:left w:val="nil"/>
              <w:bottom w:val="single" w:sz="4" w:space="0" w:color="auto"/>
              <w:right w:val="single" w:sz="4" w:space="0" w:color="auto"/>
            </w:tcBorders>
          </w:tcPr>
          <w:p w14:paraId="1099FC25" w14:textId="77777777" w:rsidR="00A45628" w:rsidRPr="00586D77" w:rsidRDefault="00A45628" w:rsidP="00586D77">
            <w:pPr>
              <w:spacing w:before="0"/>
              <w:jc w:val="both"/>
              <w:rPr>
                <w:rFonts w:ascii="Times New Roman" w:hAnsi="Times New Roman"/>
                <w:color w:val="000000"/>
                <w:sz w:val="24"/>
                <w:lang w:eastAsia="en-AU"/>
              </w:rPr>
            </w:pPr>
          </w:p>
        </w:tc>
      </w:tr>
      <w:tr w:rsidR="00A45628" w:rsidRPr="00586D77" w14:paraId="3C371109" w14:textId="7E6ACD3D" w:rsidTr="00F15C5A">
        <w:trPr>
          <w:trHeight w:val="4101"/>
        </w:trPr>
        <w:tc>
          <w:tcPr>
            <w:tcW w:w="1575" w:type="dxa"/>
            <w:tcBorders>
              <w:top w:val="nil"/>
              <w:left w:val="single" w:sz="4" w:space="0" w:color="auto"/>
              <w:bottom w:val="single" w:sz="4" w:space="0" w:color="auto"/>
              <w:right w:val="single" w:sz="4" w:space="0" w:color="auto"/>
            </w:tcBorders>
            <w:shd w:val="clear" w:color="auto" w:fill="auto"/>
            <w:hideMark/>
          </w:tcPr>
          <w:p w14:paraId="7B9BE185" w14:textId="77777777" w:rsidR="00A45628" w:rsidRPr="00586D77" w:rsidRDefault="00A45628" w:rsidP="00586D77">
            <w:pPr>
              <w:spacing w:before="0"/>
              <w:rPr>
                <w:rFonts w:ascii="Calibri" w:hAnsi="Calibri" w:cs="Calibri"/>
                <w:sz w:val="22"/>
                <w:szCs w:val="22"/>
                <w:lang w:eastAsia="en-AU"/>
              </w:rPr>
            </w:pPr>
            <w:r w:rsidRPr="00586D77">
              <w:rPr>
                <w:rFonts w:ascii="Calibri" w:hAnsi="Calibri" w:cs="Calibri"/>
                <w:sz w:val="22"/>
                <w:szCs w:val="22"/>
                <w:lang w:eastAsia="en-AU"/>
              </w:rPr>
              <w:t>Activity 2.3: Learning international experiences - Study tour to Australia</w:t>
            </w:r>
          </w:p>
        </w:tc>
        <w:tc>
          <w:tcPr>
            <w:tcW w:w="3827" w:type="dxa"/>
            <w:tcBorders>
              <w:top w:val="nil"/>
              <w:left w:val="nil"/>
              <w:bottom w:val="single" w:sz="4" w:space="0" w:color="auto"/>
              <w:right w:val="single" w:sz="4" w:space="0" w:color="auto"/>
            </w:tcBorders>
            <w:shd w:val="clear" w:color="auto" w:fill="auto"/>
            <w:hideMark/>
          </w:tcPr>
          <w:p w14:paraId="2627B5C9" w14:textId="77777777" w:rsidR="00A45628" w:rsidRPr="00586D77" w:rsidRDefault="00A45628" w:rsidP="00586D77">
            <w:pPr>
              <w:spacing w:before="0"/>
              <w:rPr>
                <w:rFonts w:ascii="Calibri" w:hAnsi="Calibri" w:cs="Calibri"/>
                <w:sz w:val="22"/>
                <w:szCs w:val="22"/>
                <w:lang w:eastAsia="en-AU"/>
              </w:rPr>
            </w:pPr>
            <w:r w:rsidRPr="00586D77">
              <w:rPr>
                <w:rFonts w:ascii="Calibri" w:hAnsi="Calibri" w:cs="Calibri"/>
                <w:sz w:val="22"/>
                <w:szCs w:val="22"/>
                <w:lang w:eastAsia="en-AU"/>
              </w:rPr>
              <w:t>(1) Study tour to Australia is to study Australia's experiences in enabling the business environment, enhancing fair competition among different types of business; role of SOEs in Australia and their compliance of the standard principles of corporate governance</w:t>
            </w:r>
            <w:proofErr w:type="gramStart"/>
            <w:r w:rsidRPr="00586D77">
              <w:rPr>
                <w:rFonts w:ascii="Calibri" w:hAnsi="Calibri" w:cs="Calibri"/>
                <w:sz w:val="22"/>
                <w:szCs w:val="22"/>
                <w:lang w:eastAsia="en-AU"/>
              </w:rPr>
              <w:t>;</w:t>
            </w:r>
            <w:proofErr w:type="gramEnd"/>
            <w:r w:rsidRPr="00586D77">
              <w:rPr>
                <w:rFonts w:ascii="Calibri" w:hAnsi="Calibri" w:cs="Calibri"/>
                <w:sz w:val="22"/>
                <w:szCs w:val="22"/>
                <w:lang w:eastAsia="en-AU"/>
              </w:rPr>
              <w:br/>
              <w:t>(2) Workshop on sharing the results of the study-tour.</w:t>
            </w:r>
          </w:p>
        </w:tc>
        <w:tc>
          <w:tcPr>
            <w:tcW w:w="1417" w:type="dxa"/>
            <w:tcBorders>
              <w:top w:val="nil"/>
              <w:left w:val="nil"/>
              <w:bottom w:val="single" w:sz="4" w:space="0" w:color="auto"/>
              <w:right w:val="single" w:sz="4" w:space="0" w:color="auto"/>
            </w:tcBorders>
            <w:shd w:val="clear" w:color="auto" w:fill="auto"/>
            <w:hideMark/>
          </w:tcPr>
          <w:p w14:paraId="5C75AD45" w14:textId="77777777" w:rsidR="00A45628" w:rsidRPr="00586D77" w:rsidRDefault="00A45628" w:rsidP="00586D77">
            <w:pPr>
              <w:spacing w:before="0"/>
              <w:rPr>
                <w:rFonts w:ascii="Calibri" w:hAnsi="Calibri" w:cs="Calibri"/>
                <w:sz w:val="22"/>
                <w:szCs w:val="22"/>
                <w:lang w:eastAsia="en-AU"/>
              </w:rPr>
            </w:pPr>
            <w:r w:rsidRPr="00586D77">
              <w:rPr>
                <w:rFonts w:ascii="Calibri" w:hAnsi="Calibri" w:cs="Calibri"/>
                <w:sz w:val="22"/>
                <w:szCs w:val="22"/>
                <w:lang w:eastAsia="en-AU"/>
              </w:rPr>
              <w:t>Study tour</w:t>
            </w:r>
            <w:r w:rsidRPr="00586D77">
              <w:rPr>
                <w:rFonts w:ascii="Calibri" w:hAnsi="Calibri" w:cs="Calibri"/>
                <w:sz w:val="22"/>
                <w:szCs w:val="22"/>
                <w:lang w:eastAsia="en-AU"/>
              </w:rPr>
              <w:br/>
              <w:t>Summary report of the study tour</w:t>
            </w:r>
          </w:p>
        </w:tc>
        <w:tc>
          <w:tcPr>
            <w:tcW w:w="2552" w:type="dxa"/>
            <w:tcBorders>
              <w:top w:val="nil"/>
              <w:left w:val="nil"/>
              <w:bottom w:val="single" w:sz="4" w:space="0" w:color="auto"/>
              <w:right w:val="single" w:sz="4" w:space="0" w:color="auto"/>
            </w:tcBorders>
            <w:shd w:val="clear" w:color="auto" w:fill="auto"/>
            <w:hideMark/>
          </w:tcPr>
          <w:p w14:paraId="29851452" w14:textId="462C6DD9" w:rsidR="00A45628" w:rsidRPr="00586D77" w:rsidRDefault="00A45628" w:rsidP="00A45628">
            <w:pPr>
              <w:spacing w:before="0"/>
              <w:ind w:right="-108"/>
              <w:rPr>
                <w:rFonts w:ascii="Calibri" w:hAnsi="Calibri" w:cs="Calibri"/>
                <w:sz w:val="22"/>
                <w:szCs w:val="22"/>
                <w:lang w:eastAsia="en-AU"/>
              </w:rPr>
            </w:pPr>
            <w:r w:rsidRPr="00586D77">
              <w:rPr>
                <w:rFonts w:ascii="Calibri" w:hAnsi="Calibri" w:cs="Calibri"/>
                <w:sz w:val="22"/>
                <w:szCs w:val="22"/>
                <w:lang w:eastAsia="en-AU"/>
              </w:rPr>
              <w:t>Organizing a delegation of 10 persons from the following agencies:</w:t>
            </w:r>
            <w:r w:rsidRPr="00586D77">
              <w:rPr>
                <w:rFonts w:ascii="Calibri" w:hAnsi="Calibri" w:cs="Calibri"/>
                <w:sz w:val="22"/>
                <w:szCs w:val="22"/>
                <w:lang w:eastAsia="en-AU"/>
              </w:rPr>
              <w:br/>
              <w:t>- National Assembly;</w:t>
            </w:r>
            <w:r w:rsidRPr="00586D77">
              <w:rPr>
                <w:rFonts w:ascii="Calibri" w:hAnsi="Calibri" w:cs="Calibri"/>
                <w:sz w:val="22"/>
                <w:szCs w:val="22"/>
                <w:lang w:eastAsia="en-AU"/>
              </w:rPr>
              <w:br/>
              <w:t>- Party's agencies;</w:t>
            </w:r>
            <w:r w:rsidRPr="00586D77">
              <w:rPr>
                <w:rFonts w:ascii="Calibri" w:hAnsi="Calibri" w:cs="Calibri"/>
                <w:sz w:val="22"/>
                <w:szCs w:val="22"/>
                <w:lang w:eastAsia="en-AU"/>
              </w:rPr>
              <w:br/>
              <w:t>- Government agencies;</w:t>
            </w:r>
            <w:r w:rsidRPr="00586D77">
              <w:rPr>
                <w:rFonts w:ascii="Calibri" w:hAnsi="Calibri" w:cs="Calibri"/>
                <w:sz w:val="22"/>
                <w:szCs w:val="22"/>
                <w:lang w:eastAsia="en-AU"/>
              </w:rPr>
              <w:br/>
              <w:t>- Project management Committee;</w:t>
            </w:r>
            <w:r w:rsidRPr="00586D77">
              <w:rPr>
                <w:rFonts w:ascii="Calibri" w:hAnsi="Calibri" w:cs="Calibri"/>
                <w:sz w:val="22"/>
                <w:szCs w:val="22"/>
                <w:lang w:eastAsia="en-AU"/>
              </w:rPr>
              <w:br/>
              <w:t>- CIEM</w:t>
            </w:r>
            <w:r w:rsidRPr="00586D77">
              <w:rPr>
                <w:rFonts w:ascii="Calibri" w:hAnsi="Calibri" w:cs="Calibri"/>
                <w:sz w:val="22"/>
                <w:szCs w:val="22"/>
                <w:lang w:eastAsia="en-AU"/>
              </w:rPr>
              <w:br/>
              <w:t>The delegation plans to visit Australia's state government departments/agencies, business organizations, and some enterprises</w:t>
            </w:r>
          </w:p>
        </w:tc>
        <w:tc>
          <w:tcPr>
            <w:tcW w:w="496" w:type="dxa"/>
            <w:tcBorders>
              <w:top w:val="nil"/>
              <w:left w:val="nil"/>
              <w:bottom w:val="single" w:sz="4" w:space="0" w:color="auto"/>
              <w:right w:val="single" w:sz="4" w:space="0" w:color="auto"/>
            </w:tcBorders>
            <w:shd w:val="clear" w:color="auto" w:fill="auto"/>
            <w:hideMark/>
          </w:tcPr>
          <w:p w14:paraId="6A2B3950"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000000" w:fill="FFFF00"/>
            <w:hideMark/>
          </w:tcPr>
          <w:p w14:paraId="1742AD79"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7405B4A6"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19F03F44"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30B7CA07"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15CE3C79"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23F29DD7"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2D9DF735"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20216547"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tcPr>
          <w:p w14:paraId="62508708" w14:textId="77777777" w:rsidR="00A45628" w:rsidRPr="00586D77" w:rsidRDefault="00A45628" w:rsidP="00586D77">
            <w:pPr>
              <w:spacing w:before="0"/>
              <w:jc w:val="both"/>
              <w:rPr>
                <w:rFonts w:ascii="Times New Roman" w:hAnsi="Times New Roman"/>
                <w:color w:val="000000"/>
                <w:sz w:val="24"/>
                <w:lang w:eastAsia="en-AU"/>
              </w:rPr>
            </w:pPr>
          </w:p>
        </w:tc>
        <w:tc>
          <w:tcPr>
            <w:tcW w:w="567" w:type="dxa"/>
            <w:tcBorders>
              <w:top w:val="nil"/>
              <w:left w:val="nil"/>
              <w:bottom w:val="single" w:sz="4" w:space="0" w:color="auto"/>
              <w:right w:val="single" w:sz="4" w:space="0" w:color="auto"/>
            </w:tcBorders>
          </w:tcPr>
          <w:p w14:paraId="46593112" w14:textId="77777777" w:rsidR="00A45628" w:rsidRPr="00586D77" w:rsidRDefault="00A45628" w:rsidP="00586D77">
            <w:pPr>
              <w:spacing w:before="0"/>
              <w:jc w:val="both"/>
              <w:rPr>
                <w:rFonts w:ascii="Times New Roman" w:hAnsi="Times New Roman"/>
                <w:color w:val="000000"/>
                <w:sz w:val="24"/>
                <w:lang w:eastAsia="en-AU"/>
              </w:rPr>
            </w:pPr>
          </w:p>
        </w:tc>
      </w:tr>
      <w:tr w:rsidR="00A45628" w:rsidRPr="00586D77" w14:paraId="495CE1C0" w14:textId="66BC6058" w:rsidTr="00F15C5A">
        <w:trPr>
          <w:trHeight w:val="1080"/>
        </w:trPr>
        <w:tc>
          <w:tcPr>
            <w:tcW w:w="1575" w:type="dxa"/>
            <w:tcBorders>
              <w:top w:val="nil"/>
              <w:left w:val="single" w:sz="4" w:space="0" w:color="auto"/>
              <w:bottom w:val="single" w:sz="4" w:space="0" w:color="auto"/>
              <w:right w:val="single" w:sz="4" w:space="0" w:color="auto"/>
            </w:tcBorders>
            <w:shd w:val="clear" w:color="auto" w:fill="auto"/>
            <w:hideMark/>
          </w:tcPr>
          <w:p w14:paraId="2795619C" w14:textId="77777777" w:rsidR="00A45628" w:rsidRPr="00586D77" w:rsidRDefault="00A45628" w:rsidP="00586D77">
            <w:pPr>
              <w:spacing w:before="0"/>
              <w:rPr>
                <w:rFonts w:ascii="Calibri" w:hAnsi="Calibri" w:cs="Calibri"/>
                <w:sz w:val="22"/>
                <w:szCs w:val="22"/>
                <w:lang w:eastAsia="en-AU"/>
              </w:rPr>
            </w:pPr>
            <w:r w:rsidRPr="00586D77">
              <w:rPr>
                <w:rFonts w:ascii="Calibri" w:hAnsi="Calibri" w:cs="Calibri"/>
                <w:sz w:val="22"/>
                <w:szCs w:val="22"/>
                <w:lang w:eastAsia="en-AU"/>
              </w:rPr>
              <w:t>Activity 2.4: Laws publication/ printing</w:t>
            </w:r>
          </w:p>
        </w:tc>
        <w:tc>
          <w:tcPr>
            <w:tcW w:w="3827" w:type="dxa"/>
            <w:tcBorders>
              <w:top w:val="nil"/>
              <w:left w:val="nil"/>
              <w:bottom w:val="single" w:sz="4" w:space="0" w:color="auto"/>
              <w:right w:val="single" w:sz="4" w:space="0" w:color="auto"/>
            </w:tcBorders>
            <w:shd w:val="clear" w:color="auto" w:fill="auto"/>
            <w:hideMark/>
          </w:tcPr>
          <w:p w14:paraId="28CE6142" w14:textId="77777777" w:rsidR="00A45628" w:rsidRPr="00586D77" w:rsidRDefault="00A45628" w:rsidP="00586D77">
            <w:pPr>
              <w:spacing w:before="0"/>
              <w:rPr>
                <w:rFonts w:ascii="Calibri" w:hAnsi="Calibri" w:cs="Calibri"/>
                <w:sz w:val="22"/>
                <w:szCs w:val="22"/>
                <w:lang w:eastAsia="en-AU"/>
              </w:rPr>
            </w:pPr>
            <w:r w:rsidRPr="00586D77">
              <w:rPr>
                <w:rFonts w:ascii="Calibri" w:hAnsi="Calibri" w:cs="Calibri"/>
                <w:sz w:val="22"/>
                <w:szCs w:val="22"/>
                <w:lang w:eastAsia="en-AU"/>
              </w:rPr>
              <w:t>Printing 2000 items of the Enterprise Law submitted to the National Assembly and government agencies</w:t>
            </w:r>
          </w:p>
        </w:tc>
        <w:tc>
          <w:tcPr>
            <w:tcW w:w="1417" w:type="dxa"/>
            <w:tcBorders>
              <w:top w:val="nil"/>
              <w:left w:val="nil"/>
              <w:bottom w:val="single" w:sz="4" w:space="0" w:color="auto"/>
              <w:right w:val="single" w:sz="4" w:space="0" w:color="auto"/>
            </w:tcBorders>
            <w:shd w:val="clear" w:color="auto" w:fill="auto"/>
            <w:hideMark/>
          </w:tcPr>
          <w:p w14:paraId="1075F4AD" w14:textId="77777777" w:rsidR="00A45628" w:rsidRPr="00586D77" w:rsidRDefault="00A4562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2552" w:type="dxa"/>
            <w:tcBorders>
              <w:top w:val="nil"/>
              <w:left w:val="nil"/>
              <w:bottom w:val="single" w:sz="4" w:space="0" w:color="auto"/>
              <w:right w:val="single" w:sz="4" w:space="0" w:color="auto"/>
            </w:tcBorders>
            <w:shd w:val="clear" w:color="auto" w:fill="auto"/>
            <w:hideMark/>
          </w:tcPr>
          <w:p w14:paraId="18384035" w14:textId="77777777" w:rsidR="00A45628" w:rsidRPr="00586D77" w:rsidRDefault="00A4562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496" w:type="dxa"/>
            <w:tcBorders>
              <w:top w:val="nil"/>
              <w:left w:val="nil"/>
              <w:bottom w:val="single" w:sz="4" w:space="0" w:color="auto"/>
              <w:right w:val="single" w:sz="4" w:space="0" w:color="auto"/>
            </w:tcBorders>
            <w:shd w:val="clear" w:color="auto" w:fill="auto"/>
            <w:hideMark/>
          </w:tcPr>
          <w:p w14:paraId="43AB2E12"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1913362B"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1111C9FE"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000000" w:fill="FFFF00"/>
            <w:hideMark/>
          </w:tcPr>
          <w:p w14:paraId="727EDBDA"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07C53E73"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34F965D2"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5EC3EAED"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1D18646F"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4BD1C419"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tcPr>
          <w:p w14:paraId="63C903E2" w14:textId="77777777" w:rsidR="00A45628" w:rsidRPr="00586D77" w:rsidRDefault="00A45628" w:rsidP="00586D77">
            <w:pPr>
              <w:spacing w:before="0"/>
              <w:jc w:val="both"/>
              <w:rPr>
                <w:rFonts w:ascii="Times New Roman" w:hAnsi="Times New Roman"/>
                <w:color w:val="000000"/>
                <w:sz w:val="24"/>
                <w:lang w:eastAsia="en-AU"/>
              </w:rPr>
            </w:pPr>
          </w:p>
        </w:tc>
        <w:tc>
          <w:tcPr>
            <w:tcW w:w="567" w:type="dxa"/>
            <w:tcBorders>
              <w:top w:val="nil"/>
              <w:left w:val="nil"/>
              <w:bottom w:val="single" w:sz="4" w:space="0" w:color="auto"/>
              <w:right w:val="single" w:sz="4" w:space="0" w:color="auto"/>
            </w:tcBorders>
          </w:tcPr>
          <w:p w14:paraId="31A6CEDE" w14:textId="77777777" w:rsidR="00A45628" w:rsidRPr="00586D77" w:rsidRDefault="00A45628" w:rsidP="00586D77">
            <w:pPr>
              <w:spacing w:before="0"/>
              <w:jc w:val="both"/>
              <w:rPr>
                <w:rFonts w:ascii="Times New Roman" w:hAnsi="Times New Roman"/>
                <w:color w:val="000000"/>
                <w:sz w:val="24"/>
                <w:lang w:eastAsia="en-AU"/>
              </w:rPr>
            </w:pPr>
          </w:p>
        </w:tc>
      </w:tr>
      <w:tr w:rsidR="00A45628" w:rsidRPr="00586D77" w14:paraId="4AAD79A2" w14:textId="675AE55A" w:rsidTr="00F15C5A">
        <w:trPr>
          <w:trHeight w:val="2472"/>
        </w:trPr>
        <w:tc>
          <w:tcPr>
            <w:tcW w:w="1575" w:type="dxa"/>
            <w:tcBorders>
              <w:top w:val="nil"/>
              <w:left w:val="single" w:sz="4" w:space="0" w:color="auto"/>
              <w:bottom w:val="single" w:sz="4" w:space="0" w:color="auto"/>
              <w:right w:val="single" w:sz="4" w:space="0" w:color="auto"/>
            </w:tcBorders>
            <w:shd w:val="clear" w:color="auto" w:fill="auto"/>
            <w:hideMark/>
          </w:tcPr>
          <w:p w14:paraId="0B4D6775" w14:textId="77777777" w:rsidR="00A45628" w:rsidRPr="00586D77" w:rsidRDefault="00A45628" w:rsidP="00586D77">
            <w:pPr>
              <w:spacing w:before="0"/>
              <w:rPr>
                <w:rFonts w:ascii="Calibri" w:hAnsi="Calibri" w:cs="Calibri"/>
                <w:sz w:val="22"/>
                <w:szCs w:val="22"/>
                <w:lang w:eastAsia="en-AU"/>
              </w:rPr>
            </w:pPr>
            <w:r w:rsidRPr="00586D77">
              <w:rPr>
                <w:rFonts w:ascii="Calibri" w:hAnsi="Calibri" w:cs="Calibri"/>
                <w:sz w:val="22"/>
                <w:szCs w:val="22"/>
                <w:lang w:eastAsia="en-AU"/>
              </w:rPr>
              <w:t>Activity 2.5: Thematic studies for drafting the Decree of guiding the implementation of the Enterprise Law</w:t>
            </w:r>
          </w:p>
        </w:tc>
        <w:tc>
          <w:tcPr>
            <w:tcW w:w="3827" w:type="dxa"/>
            <w:tcBorders>
              <w:top w:val="nil"/>
              <w:left w:val="nil"/>
              <w:bottom w:val="single" w:sz="4" w:space="0" w:color="auto"/>
              <w:right w:val="single" w:sz="4" w:space="0" w:color="auto"/>
            </w:tcBorders>
            <w:shd w:val="clear" w:color="auto" w:fill="auto"/>
            <w:hideMark/>
          </w:tcPr>
          <w:p w14:paraId="3386ABC7" w14:textId="77777777" w:rsidR="00A45628" w:rsidRPr="00586D77" w:rsidRDefault="00A45628" w:rsidP="00586D77">
            <w:pPr>
              <w:spacing w:before="0"/>
              <w:rPr>
                <w:rFonts w:ascii="Calibri" w:hAnsi="Calibri" w:cs="Calibri"/>
                <w:sz w:val="22"/>
                <w:szCs w:val="22"/>
                <w:lang w:eastAsia="en-AU"/>
              </w:rPr>
            </w:pPr>
            <w:r w:rsidRPr="00586D77">
              <w:rPr>
                <w:rFonts w:ascii="Calibri" w:hAnsi="Calibri" w:cs="Calibri"/>
                <w:sz w:val="22"/>
                <w:szCs w:val="22"/>
                <w:lang w:eastAsia="en-AU"/>
              </w:rPr>
              <w:t xml:space="preserve">  (1) Drafting 01 thematic report: recruiting 01 senior national consultant</w:t>
            </w:r>
            <w:r w:rsidRPr="00586D77">
              <w:rPr>
                <w:rFonts w:ascii="Calibri" w:hAnsi="Calibri" w:cs="Calibri"/>
                <w:sz w:val="22"/>
                <w:szCs w:val="22"/>
                <w:lang w:eastAsia="en-AU"/>
              </w:rPr>
              <w:br/>
              <w:t xml:space="preserve">  (2) Organizing 01 consultation workshop;</w:t>
            </w:r>
            <w:r w:rsidRPr="00586D77">
              <w:rPr>
                <w:rFonts w:ascii="Calibri" w:hAnsi="Calibri" w:cs="Calibri"/>
                <w:sz w:val="22"/>
                <w:szCs w:val="22"/>
                <w:lang w:eastAsia="en-AU"/>
              </w:rPr>
              <w:br/>
              <w:t xml:space="preserve">  (3) Peer-review: Recruiting 01 senior national experts and 1 senior international expert for each report;</w:t>
            </w:r>
            <w:r w:rsidRPr="00586D77">
              <w:rPr>
                <w:rFonts w:ascii="Calibri" w:hAnsi="Calibri" w:cs="Calibri"/>
                <w:sz w:val="22"/>
                <w:szCs w:val="22"/>
                <w:lang w:eastAsia="en-AU"/>
              </w:rPr>
              <w:br/>
              <w:t xml:space="preserve">  (4) Publication of the final report</w:t>
            </w:r>
          </w:p>
        </w:tc>
        <w:tc>
          <w:tcPr>
            <w:tcW w:w="1417" w:type="dxa"/>
            <w:tcBorders>
              <w:top w:val="nil"/>
              <w:left w:val="nil"/>
              <w:bottom w:val="single" w:sz="4" w:space="0" w:color="auto"/>
              <w:right w:val="single" w:sz="4" w:space="0" w:color="auto"/>
            </w:tcBorders>
            <w:shd w:val="clear" w:color="auto" w:fill="auto"/>
            <w:hideMark/>
          </w:tcPr>
          <w:p w14:paraId="5078B494" w14:textId="3FC1DAF6" w:rsidR="00A45628" w:rsidRPr="00586D77" w:rsidRDefault="00A45628" w:rsidP="00A45628">
            <w:pPr>
              <w:spacing w:before="0"/>
              <w:rPr>
                <w:rFonts w:ascii="Calibri" w:hAnsi="Calibri" w:cs="Calibri"/>
                <w:sz w:val="22"/>
                <w:szCs w:val="22"/>
                <w:lang w:eastAsia="en-AU"/>
              </w:rPr>
            </w:pPr>
            <w:r w:rsidRPr="00586D77">
              <w:rPr>
                <w:rFonts w:ascii="Calibri" w:hAnsi="Calibri" w:cs="Calibri"/>
                <w:sz w:val="22"/>
                <w:szCs w:val="22"/>
                <w:lang w:eastAsia="en-AU"/>
              </w:rPr>
              <w:t>Report as inputs for the decree guiding the implementation of the Enterprise Law</w:t>
            </w:r>
          </w:p>
        </w:tc>
        <w:tc>
          <w:tcPr>
            <w:tcW w:w="2552" w:type="dxa"/>
            <w:tcBorders>
              <w:top w:val="nil"/>
              <w:left w:val="nil"/>
              <w:bottom w:val="single" w:sz="4" w:space="0" w:color="auto"/>
              <w:right w:val="single" w:sz="4" w:space="0" w:color="auto"/>
            </w:tcBorders>
            <w:shd w:val="clear" w:color="auto" w:fill="auto"/>
            <w:hideMark/>
          </w:tcPr>
          <w:p w14:paraId="41B46FF3" w14:textId="6CB16D05" w:rsidR="00A45628" w:rsidRPr="00586D77" w:rsidRDefault="00A45628" w:rsidP="00586D77">
            <w:pPr>
              <w:spacing w:before="0"/>
              <w:rPr>
                <w:rFonts w:ascii="Calibri" w:hAnsi="Calibri" w:cs="Calibri"/>
                <w:sz w:val="22"/>
                <w:szCs w:val="22"/>
                <w:lang w:eastAsia="en-AU"/>
              </w:rPr>
            </w:pPr>
            <w:r w:rsidRPr="00586D77">
              <w:rPr>
                <w:rFonts w:ascii="Calibri" w:hAnsi="Calibri" w:cs="Calibri"/>
                <w:sz w:val="22"/>
                <w:szCs w:val="22"/>
                <w:lang w:eastAsia="en-AU"/>
              </w:rPr>
              <w:t>Literature review</w:t>
            </w:r>
            <w:r w:rsidRPr="00586D77">
              <w:rPr>
                <w:rFonts w:ascii="Calibri" w:hAnsi="Calibri" w:cs="Calibri"/>
                <w:sz w:val="22"/>
                <w:szCs w:val="22"/>
                <w:lang w:eastAsia="en-AU"/>
              </w:rPr>
              <w:br/>
              <w:t xml:space="preserve">Reports provided by ministries, central and </w:t>
            </w:r>
            <w:proofErr w:type="gramStart"/>
            <w:r w:rsidRPr="00586D77">
              <w:rPr>
                <w:rFonts w:ascii="Calibri" w:hAnsi="Calibri" w:cs="Calibri"/>
                <w:sz w:val="22"/>
                <w:szCs w:val="22"/>
                <w:lang w:eastAsia="en-AU"/>
              </w:rPr>
              <w:t>local  government</w:t>
            </w:r>
            <w:proofErr w:type="gramEnd"/>
            <w:r w:rsidRPr="00586D77">
              <w:rPr>
                <w:rFonts w:ascii="Calibri" w:hAnsi="Calibri" w:cs="Calibri"/>
                <w:sz w:val="22"/>
                <w:szCs w:val="22"/>
                <w:lang w:eastAsia="en-AU"/>
              </w:rPr>
              <w:t xml:space="preserve"> agencies, enterprises;</w:t>
            </w:r>
            <w:r w:rsidRPr="00586D77">
              <w:rPr>
                <w:rFonts w:ascii="Calibri" w:hAnsi="Calibri" w:cs="Calibri"/>
                <w:sz w:val="22"/>
                <w:szCs w:val="22"/>
                <w:lang w:eastAsia="en-AU"/>
              </w:rPr>
              <w:br/>
              <w:t>Statistic data;</w:t>
            </w:r>
            <w:r w:rsidRPr="00586D77">
              <w:rPr>
                <w:rFonts w:ascii="Calibri" w:hAnsi="Calibri" w:cs="Calibri"/>
                <w:sz w:val="22"/>
                <w:szCs w:val="22"/>
                <w:lang w:eastAsia="en-AU"/>
              </w:rPr>
              <w:br/>
              <w:t>In</w:t>
            </w:r>
            <w:r>
              <w:rPr>
                <w:rFonts w:ascii="Calibri" w:hAnsi="Calibri" w:cs="Calibri"/>
                <w:sz w:val="22"/>
                <w:szCs w:val="22"/>
                <w:lang w:eastAsia="en-AU"/>
              </w:rPr>
              <w:t>-</w:t>
            </w:r>
            <w:r w:rsidRPr="00586D77">
              <w:rPr>
                <w:rFonts w:ascii="Calibri" w:hAnsi="Calibri" w:cs="Calibri"/>
                <w:sz w:val="22"/>
                <w:szCs w:val="22"/>
                <w:lang w:eastAsia="en-AU"/>
              </w:rPr>
              <w:t>depth interviews;</w:t>
            </w:r>
            <w:r w:rsidRPr="00586D77">
              <w:rPr>
                <w:rFonts w:ascii="Calibri" w:hAnsi="Calibri" w:cs="Calibri"/>
                <w:sz w:val="22"/>
                <w:szCs w:val="22"/>
                <w:lang w:eastAsia="en-AU"/>
              </w:rPr>
              <w:br/>
              <w:t>Experts.</w:t>
            </w:r>
          </w:p>
        </w:tc>
        <w:tc>
          <w:tcPr>
            <w:tcW w:w="496" w:type="dxa"/>
            <w:tcBorders>
              <w:top w:val="nil"/>
              <w:left w:val="nil"/>
              <w:bottom w:val="single" w:sz="4" w:space="0" w:color="auto"/>
              <w:right w:val="single" w:sz="4" w:space="0" w:color="auto"/>
            </w:tcBorders>
            <w:shd w:val="clear" w:color="auto" w:fill="auto"/>
            <w:hideMark/>
          </w:tcPr>
          <w:p w14:paraId="46CF9963"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253C50CB"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15F44FD2"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000000" w:fill="FFFF00"/>
            <w:hideMark/>
          </w:tcPr>
          <w:p w14:paraId="58A6D71F"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000000" w:fill="FFFF00"/>
            <w:hideMark/>
          </w:tcPr>
          <w:p w14:paraId="1397A412"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3B7DF7EB"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6A9CC0BE"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1A9B3914"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4FE97800"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tcPr>
          <w:p w14:paraId="251D8B35" w14:textId="77777777" w:rsidR="00A45628" w:rsidRPr="00586D77" w:rsidRDefault="00A45628" w:rsidP="00586D77">
            <w:pPr>
              <w:spacing w:before="0"/>
              <w:jc w:val="both"/>
              <w:rPr>
                <w:rFonts w:ascii="Times New Roman" w:hAnsi="Times New Roman"/>
                <w:color w:val="000000"/>
                <w:sz w:val="24"/>
                <w:lang w:eastAsia="en-AU"/>
              </w:rPr>
            </w:pPr>
          </w:p>
        </w:tc>
        <w:tc>
          <w:tcPr>
            <w:tcW w:w="567" w:type="dxa"/>
            <w:tcBorders>
              <w:top w:val="nil"/>
              <w:left w:val="nil"/>
              <w:bottom w:val="single" w:sz="4" w:space="0" w:color="auto"/>
              <w:right w:val="single" w:sz="4" w:space="0" w:color="auto"/>
            </w:tcBorders>
          </w:tcPr>
          <w:p w14:paraId="79723E1A" w14:textId="77777777" w:rsidR="00A45628" w:rsidRPr="00586D77" w:rsidRDefault="00A45628" w:rsidP="00586D77">
            <w:pPr>
              <w:spacing w:before="0"/>
              <w:jc w:val="both"/>
              <w:rPr>
                <w:rFonts w:ascii="Times New Roman" w:hAnsi="Times New Roman"/>
                <w:color w:val="000000"/>
                <w:sz w:val="24"/>
                <w:lang w:eastAsia="en-AU"/>
              </w:rPr>
            </w:pPr>
          </w:p>
        </w:tc>
      </w:tr>
      <w:tr w:rsidR="00A45628" w:rsidRPr="00586D77" w14:paraId="2188556E" w14:textId="2EC56116" w:rsidTr="00F15C5A">
        <w:trPr>
          <w:trHeight w:val="2690"/>
        </w:trPr>
        <w:tc>
          <w:tcPr>
            <w:tcW w:w="1575" w:type="dxa"/>
            <w:tcBorders>
              <w:top w:val="nil"/>
              <w:left w:val="single" w:sz="4" w:space="0" w:color="auto"/>
              <w:bottom w:val="single" w:sz="4" w:space="0" w:color="auto"/>
              <w:right w:val="single" w:sz="4" w:space="0" w:color="auto"/>
            </w:tcBorders>
            <w:shd w:val="clear" w:color="auto" w:fill="auto"/>
            <w:hideMark/>
          </w:tcPr>
          <w:p w14:paraId="7C200953" w14:textId="77777777" w:rsidR="00A45628" w:rsidRPr="00586D77" w:rsidRDefault="00A45628" w:rsidP="00586D77">
            <w:pPr>
              <w:spacing w:before="0"/>
              <w:rPr>
                <w:rFonts w:ascii="Calibri" w:hAnsi="Calibri" w:cs="Calibri"/>
                <w:sz w:val="22"/>
                <w:szCs w:val="22"/>
                <w:lang w:eastAsia="en-AU"/>
              </w:rPr>
            </w:pPr>
            <w:r w:rsidRPr="00586D77">
              <w:rPr>
                <w:rFonts w:ascii="Calibri" w:hAnsi="Calibri" w:cs="Calibri"/>
                <w:sz w:val="22"/>
                <w:szCs w:val="22"/>
                <w:lang w:eastAsia="en-AU"/>
              </w:rPr>
              <w:t>Activity 2.6: Training on the Enterprise Law and the Investment Law for local staff and enterprises</w:t>
            </w:r>
          </w:p>
        </w:tc>
        <w:tc>
          <w:tcPr>
            <w:tcW w:w="3827" w:type="dxa"/>
            <w:tcBorders>
              <w:top w:val="nil"/>
              <w:left w:val="nil"/>
              <w:bottom w:val="single" w:sz="4" w:space="0" w:color="auto"/>
              <w:right w:val="single" w:sz="4" w:space="0" w:color="auto"/>
            </w:tcBorders>
            <w:shd w:val="clear" w:color="auto" w:fill="auto"/>
            <w:hideMark/>
          </w:tcPr>
          <w:p w14:paraId="7412AE4F" w14:textId="77777777" w:rsidR="00A45628" w:rsidRPr="00586D77" w:rsidRDefault="00A45628" w:rsidP="00586D77">
            <w:pPr>
              <w:spacing w:before="0"/>
              <w:rPr>
                <w:rFonts w:ascii="Calibri" w:hAnsi="Calibri" w:cs="Calibri"/>
                <w:sz w:val="22"/>
                <w:szCs w:val="22"/>
                <w:lang w:eastAsia="en-AU"/>
              </w:rPr>
            </w:pPr>
            <w:r w:rsidRPr="00586D77">
              <w:rPr>
                <w:rFonts w:ascii="Calibri" w:hAnsi="Calibri" w:cs="Calibri"/>
                <w:sz w:val="22"/>
                <w:szCs w:val="22"/>
                <w:lang w:eastAsia="en-AU"/>
              </w:rPr>
              <w:t>(1) Building training materials of guiding specific contents of the Enterprise Law and the decree.</w:t>
            </w:r>
            <w:r w:rsidRPr="00586D77">
              <w:rPr>
                <w:rFonts w:ascii="Calibri" w:hAnsi="Calibri" w:cs="Calibri"/>
                <w:sz w:val="22"/>
                <w:szCs w:val="22"/>
                <w:lang w:eastAsia="en-AU"/>
              </w:rPr>
              <w:br/>
              <w:t>(2) Organizing 03 training workshops in 3 regions for People Committees/ Government Departments/ agencies at local levels</w:t>
            </w:r>
            <w:r w:rsidRPr="00586D77">
              <w:rPr>
                <w:rFonts w:ascii="Calibri" w:hAnsi="Calibri" w:cs="Calibri"/>
                <w:sz w:val="22"/>
                <w:szCs w:val="22"/>
                <w:lang w:eastAsia="en-AU"/>
              </w:rPr>
              <w:br/>
              <w:t>(3) Organizing 6 training workshops in 3 regions for enterprises and community</w:t>
            </w:r>
          </w:p>
        </w:tc>
        <w:tc>
          <w:tcPr>
            <w:tcW w:w="1417" w:type="dxa"/>
            <w:tcBorders>
              <w:top w:val="nil"/>
              <w:left w:val="nil"/>
              <w:bottom w:val="single" w:sz="4" w:space="0" w:color="auto"/>
              <w:right w:val="single" w:sz="4" w:space="0" w:color="auto"/>
            </w:tcBorders>
            <w:shd w:val="clear" w:color="auto" w:fill="auto"/>
            <w:hideMark/>
          </w:tcPr>
          <w:p w14:paraId="0BB601F7" w14:textId="77777777" w:rsidR="00A45628" w:rsidRPr="00586D77" w:rsidRDefault="00A45628" w:rsidP="00586D77">
            <w:pPr>
              <w:spacing w:before="0"/>
              <w:rPr>
                <w:rFonts w:ascii="Calibri" w:hAnsi="Calibri" w:cs="Calibri"/>
                <w:sz w:val="22"/>
                <w:szCs w:val="22"/>
                <w:lang w:eastAsia="en-AU"/>
              </w:rPr>
            </w:pPr>
            <w:r w:rsidRPr="00586D77">
              <w:rPr>
                <w:rFonts w:ascii="Calibri" w:hAnsi="Calibri" w:cs="Calibri"/>
                <w:sz w:val="22"/>
                <w:szCs w:val="22"/>
                <w:lang w:eastAsia="en-AU"/>
              </w:rPr>
              <w:t>Training workshops</w:t>
            </w:r>
          </w:p>
        </w:tc>
        <w:tc>
          <w:tcPr>
            <w:tcW w:w="2552" w:type="dxa"/>
            <w:tcBorders>
              <w:top w:val="nil"/>
              <w:left w:val="nil"/>
              <w:bottom w:val="single" w:sz="4" w:space="0" w:color="auto"/>
              <w:right w:val="single" w:sz="4" w:space="0" w:color="auto"/>
            </w:tcBorders>
            <w:shd w:val="clear" w:color="auto" w:fill="auto"/>
            <w:hideMark/>
          </w:tcPr>
          <w:p w14:paraId="60761E8B" w14:textId="77777777" w:rsidR="00A45628" w:rsidRPr="00586D77" w:rsidRDefault="00A4562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496" w:type="dxa"/>
            <w:tcBorders>
              <w:top w:val="nil"/>
              <w:left w:val="nil"/>
              <w:bottom w:val="single" w:sz="4" w:space="0" w:color="auto"/>
              <w:right w:val="single" w:sz="4" w:space="0" w:color="auto"/>
            </w:tcBorders>
            <w:shd w:val="clear" w:color="auto" w:fill="auto"/>
            <w:hideMark/>
          </w:tcPr>
          <w:p w14:paraId="6317449E"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0EB039E4"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19A9A72A"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000000" w:fill="FFFF00"/>
            <w:hideMark/>
          </w:tcPr>
          <w:p w14:paraId="1C7EA6BD"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000000" w:fill="FFFF00"/>
            <w:hideMark/>
          </w:tcPr>
          <w:p w14:paraId="41CF6824"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000000" w:fill="FFFF00"/>
            <w:hideMark/>
          </w:tcPr>
          <w:p w14:paraId="4CDB11DB"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0B48E42A"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0665DE6D"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0D12B3CC"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tcPr>
          <w:p w14:paraId="652A435C" w14:textId="77777777" w:rsidR="00A45628" w:rsidRPr="00586D77" w:rsidRDefault="00A45628" w:rsidP="00586D77">
            <w:pPr>
              <w:spacing w:before="0"/>
              <w:jc w:val="both"/>
              <w:rPr>
                <w:rFonts w:ascii="Times New Roman" w:hAnsi="Times New Roman"/>
                <w:color w:val="000000"/>
                <w:sz w:val="24"/>
                <w:lang w:eastAsia="en-AU"/>
              </w:rPr>
            </w:pPr>
          </w:p>
        </w:tc>
        <w:tc>
          <w:tcPr>
            <w:tcW w:w="567" w:type="dxa"/>
            <w:tcBorders>
              <w:top w:val="nil"/>
              <w:left w:val="nil"/>
              <w:bottom w:val="single" w:sz="4" w:space="0" w:color="auto"/>
              <w:right w:val="single" w:sz="4" w:space="0" w:color="auto"/>
            </w:tcBorders>
          </w:tcPr>
          <w:p w14:paraId="21670D5F" w14:textId="77777777" w:rsidR="00A45628" w:rsidRPr="00586D77" w:rsidRDefault="00A45628" w:rsidP="00586D77">
            <w:pPr>
              <w:spacing w:before="0"/>
              <w:jc w:val="both"/>
              <w:rPr>
                <w:rFonts w:ascii="Times New Roman" w:hAnsi="Times New Roman"/>
                <w:color w:val="000000"/>
                <w:sz w:val="24"/>
                <w:lang w:eastAsia="en-AU"/>
              </w:rPr>
            </w:pPr>
          </w:p>
        </w:tc>
      </w:tr>
      <w:tr w:rsidR="00A45628" w:rsidRPr="00586D77" w14:paraId="1BBF1CA3" w14:textId="0978AD0A" w:rsidTr="00F15C5A">
        <w:trPr>
          <w:trHeight w:val="4140"/>
        </w:trPr>
        <w:tc>
          <w:tcPr>
            <w:tcW w:w="1575" w:type="dxa"/>
            <w:tcBorders>
              <w:top w:val="nil"/>
              <w:left w:val="single" w:sz="4" w:space="0" w:color="auto"/>
              <w:bottom w:val="single" w:sz="4" w:space="0" w:color="auto"/>
              <w:right w:val="single" w:sz="4" w:space="0" w:color="auto"/>
            </w:tcBorders>
            <w:shd w:val="clear" w:color="auto" w:fill="auto"/>
            <w:hideMark/>
          </w:tcPr>
          <w:p w14:paraId="064218E8" w14:textId="77777777" w:rsidR="00A45628" w:rsidRPr="00586D77" w:rsidRDefault="00A45628" w:rsidP="00586D77">
            <w:pPr>
              <w:spacing w:before="0"/>
              <w:rPr>
                <w:rFonts w:ascii="Calibri" w:hAnsi="Calibri" w:cs="Calibri"/>
                <w:sz w:val="22"/>
                <w:szCs w:val="22"/>
                <w:lang w:eastAsia="en-AU"/>
              </w:rPr>
            </w:pPr>
            <w:r w:rsidRPr="00586D77">
              <w:rPr>
                <w:rFonts w:ascii="Calibri" w:hAnsi="Calibri" w:cs="Calibri"/>
                <w:sz w:val="22"/>
                <w:szCs w:val="22"/>
                <w:lang w:eastAsia="en-AU"/>
              </w:rPr>
              <w:t>Activity 2.7: Monitoring and evaluating the implementation of the Enterprise Law, the Investment Law and the decrees</w:t>
            </w:r>
          </w:p>
        </w:tc>
        <w:tc>
          <w:tcPr>
            <w:tcW w:w="3827" w:type="dxa"/>
            <w:tcBorders>
              <w:top w:val="nil"/>
              <w:left w:val="nil"/>
              <w:bottom w:val="single" w:sz="4" w:space="0" w:color="auto"/>
              <w:right w:val="single" w:sz="4" w:space="0" w:color="auto"/>
            </w:tcBorders>
            <w:shd w:val="clear" w:color="auto" w:fill="auto"/>
            <w:hideMark/>
          </w:tcPr>
          <w:p w14:paraId="30C23BBF" w14:textId="77777777" w:rsidR="00A45628" w:rsidRPr="00586D77" w:rsidRDefault="00A45628" w:rsidP="00586D77">
            <w:pPr>
              <w:spacing w:before="0"/>
              <w:rPr>
                <w:rFonts w:ascii="Calibri" w:hAnsi="Calibri" w:cs="Calibri"/>
                <w:sz w:val="22"/>
                <w:szCs w:val="22"/>
                <w:lang w:eastAsia="en-AU"/>
              </w:rPr>
            </w:pPr>
            <w:r w:rsidRPr="00586D77">
              <w:rPr>
                <w:rFonts w:ascii="Calibri" w:hAnsi="Calibri" w:cs="Calibri"/>
                <w:sz w:val="22"/>
                <w:szCs w:val="22"/>
                <w:lang w:eastAsia="en-AU"/>
              </w:rPr>
              <w:t>(1) Conducting 01 report on assessing SOEs’ compliance with the standard principles of corporate governance stipulated in the Enterprise Law;</w:t>
            </w:r>
            <w:r w:rsidRPr="00586D77">
              <w:rPr>
                <w:rFonts w:ascii="Calibri" w:hAnsi="Calibri" w:cs="Calibri"/>
                <w:sz w:val="22"/>
                <w:szCs w:val="22"/>
                <w:lang w:eastAsia="en-AU"/>
              </w:rPr>
              <w:br/>
              <w:t>(2) Conducting 02 thematic reports as inputs for the 6-month report and the annual report on the implementation of the Enterprise Law:</w:t>
            </w:r>
            <w:r w:rsidRPr="00586D77">
              <w:rPr>
                <w:rFonts w:ascii="Calibri" w:hAnsi="Calibri" w:cs="Calibri"/>
                <w:sz w:val="22"/>
                <w:szCs w:val="22"/>
                <w:lang w:eastAsia="en-AU"/>
              </w:rPr>
              <w:br/>
              <w:t xml:space="preserve">(3) </w:t>
            </w:r>
            <w:proofErr w:type="spellStart"/>
            <w:r w:rsidRPr="00586D77">
              <w:rPr>
                <w:rFonts w:ascii="Calibri" w:hAnsi="Calibri" w:cs="Calibri"/>
                <w:sz w:val="22"/>
                <w:szCs w:val="22"/>
                <w:lang w:eastAsia="en-AU"/>
              </w:rPr>
              <w:t>Fieldvisits</w:t>
            </w:r>
            <w:proofErr w:type="spellEnd"/>
            <w:r w:rsidRPr="00586D77">
              <w:rPr>
                <w:rFonts w:ascii="Calibri" w:hAnsi="Calibri" w:cs="Calibri"/>
                <w:sz w:val="22"/>
                <w:szCs w:val="22"/>
                <w:lang w:eastAsia="en-AU"/>
              </w:rPr>
              <w:t xml:space="preserve"> to provinces of 3 regions;</w:t>
            </w:r>
            <w:r w:rsidRPr="00586D77">
              <w:rPr>
                <w:rFonts w:ascii="Calibri" w:hAnsi="Calibri" w:cs="Calibri"/>
                <w:sz w:val="22"/>
                <w:szCs w:val="22"/>
                <w:lang w:eastAsia="en-AU"/>
              </w:rPr>
              <w:br/>
              <w:t>(4) Consultation workshops for reports;</w:t>
            </w:r>
            <w:r w:rsidRPr="00586D77">
              <w:rPr>
                <w:rFonts w:ascii="Calibri" w:hAnsi="Calibri" w:cs="Calibri"/>
                <w:sz w:val="22"/>
                <w:szCs w:val="22"/>
                <w:lang w:eastAsia="en-AU"/>
              </w:rPr>
              <w:br/>
              <w:t>(5) Peer-review for reports;</w:t>
            </w:r>
            <w:r w:rsidRPr="00586D77">
              <w:rPr>
                <w:rFonts w:ascii="Calibri" w:hAnsi="Calibri" w:cs="Calibri"/>
                <w:sz w:val="22"/>
                <w:szCs w:val="22"/>
                <w:lang w:eastAsia="en-AU"/>
              </w:rPr>
              <w:br/>
              <w:t>(6) Organizing 02 national conferences on the reports on implementation of the Enterprise law and the decrees.</w:t>
            </w:r>
          </w:p>
        </w:tc>
        <w:tc>
          <w:tcPr>
            <w:tcW w:w="1417" w:type="dxa"/>
            <w:tcBorders>
              <w:top w:val="nil"/>
              <w:left w:val="nil"/>
              <w:bottom w:val="single" w:sz="4" w:space="0" w:color="auto"/>
              <w:right w:val="single" w:sz="4" w:space="0" w:color="auto"/>
            </w:tcBorders>
            <w:shd w:val="clear" w:color="auto" w:fill="auto"/>
            <w:hideMark/>
          </w:tcPr>
          <w:p w14:paraId="267AE275" w14:textId="77777777" w:rsidR="00A45628" w:rsidRPr="00586D77" w:rsidRDefault="00A45628" w:rsidP="00586D77">
            <w:pPr>
              <w:spacing w:before="0"/>
              <w:rPr>
                <w:rFonts w:ascii="Calibri" w:hAnsi="Calibri" w:cs="Calibri"/>
                <w:sz w:val="22"/>
                <w:szCs w:val="22"/>
                <w:lang w:eastAsia="en-AU"/>
              </w:rPr>
            </w:pPr>
            <w:r w:rsidRPr="00586D77">
              <w:rPr>
                <w:rFonts w:ascii="Calibri" w:hAnsi="Calibri" w:cs="Calibri"/>
                <w:sz w:val="22"/>
                <w:szCs w:val="22"/>
                <w:lang w:eastAsia="en-AU"/>
              </w:rPr>
              <w:t>Reports and conferences</w:t>
            </w:r>
          </w:p>
        </w:tc>
        <w:tc>
          <w:tcPr>
            <w:tcW w:w="2552" w:type="dxa"/>
            <w:tcBorders>
              <w:top w:val="nil"/>
              <w:left w:val="nil"/>
              <w:bottom w:val="single" w:sz="4" w:space="0" w:color="auto"/>
              <w:right w:val="single" w:sz="4" w:space="0" w:color="auto"/>
            </w:tcBorders>
            <w:shd w:val="clear" w:color="auto" w:fill="auto"/>
            <w:hideMark/>
          </w:tcPr>
          <w:p w14:paraId="534E74B3" w14:textId="77777777" w:rsidR="00A45628" w:rsidRPr="00586D77" w:rsidRDefault="00A4562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496" w:type="dxa"/>
            <w:tcBorders>
              <w:top w:val="nil"/>
              <w:left w:val="nil"/>
              <w:bottom w:val="single" w:sz="4" w:space="0" w:color="auto"/>
              <w:right w:val="single" w:sz="4" w:space="0" w:color="auto"/>
            </w:tcBorders>
            <w:shd w:val="clear" w:color="auto" w:fill="auto"/>
            <w:hideMark/>
          </w:tcPr>
          <w:p w14:paraId="13FA74A4"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0A596AE8"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23670A05"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42F81D16"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4380A278"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000000" w:fill="FFFF00"/>
            <w:hideMark/>
          </w:tcPr>
          <w:p w14:paraId="38E5A864"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000000" w:fill="FFFF00"/>
            <w:hideMark/>
          </w:tcPr>
          <w:p w14:paraId="5D79D327"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000000" w:fill="FFFF00"/>
            <w:hideMark/>
          </w:tcPr>
          <w:p w14:paraId="25A65C4E"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000000" w:fill="FFFF00"/>
            <w:hideMark/>
          </w:tcPr>
          <w:p w14:paraId="7A2FEDB4"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000000" w:fill="FFFF00"/>
          </w:tcPr>
          <w:p w14:paraId="7592FC98" w14:textId="77777777" w:rsidR="00A45628" w:rsidRPr="00586D77" w:rsidRDefault="00A45628" w:rsidP="00586D77">
            <w:pPr>
              <w:spacing w:before="0"/>
              <w:jc w:val="both"/>
              <w:rPr>
                <w:rFonts w:ascii="Times New Roman" w:hAnsi="Times New Roman"/>
                <w:color w:val="000000"/>
                <w:sz w:val="24"/>
                <w:lang w:eastAsia="en-AU"/>
              </w:rPr>
            </w:pPr>
          </w:p>
        </w:tc>
        <w:tc>
          <w:tcPr>
            <w:tcW w:w="567" w:type="dxa"/>
            <w:tcBorders>
              <w:top w:val="nil"/>
              <w:left w:val="nil"/>
              <w:bottom w:val="single" w:sz="4" w:space="0" w:color="auto"/>
              <w:right w:val="single" w:sz="4" w:space="0" w:color="auto"/>
            </w:tcBorders>
            <w:shd w:val="clear" w:color="000000" w:fill="FFFF00"/>
          </w:tcPr>
          <w:p w14:paraId="22F15A9E" w14:textId="77777777" w:rsidR="00A45628" w:rsidRPr="00586D77" w:rsidRDefault="00A45628" w:rsidP="00586D77">
            <w:pPr>
              <w:spacing w:before="0"/>
              <w:jc w:val="both"/>
              <w:rPr>
                <w:rFonts w:ascii="Times New Roman" w:hAnsi="Times New Roman"/>
                <w:color w:val="000000"/>
                <w:sz w:val="24"/>
                <w:lang w:eastAsia="en-AU"/>
              </w:rPr>
            </w:pPr>
          </w:p>
        </w:tc>
      </w:tr>
    </w:tbl>
    <w:p w14:paraId="1E4BC97C" w14:textId="77777777" w:rsidR="00A45628" w:rsidRDefault="00A45628">
      <w:r>
        <w:br w:type="page"/>
      </w:r>
    </w:p>
    <w:tbl>
      <w:tblPr>
        <w:tblW w:w="15537" w:type="dxa"/>
        <w:tblInd w:w="93" w:type="dxa"/>
        <w:tblLayout w:type="fixed"/>
        <w:tblLook w:val="04A0" w:firstRow="1" w:lastRow="0" w:firstColumn="1" w:lastColumn="0" w:noHBand="0" w:noVBand="1"/>
      </w:tblPr>
      <w:tblGrid>
        <w:gridCol w:w="1575"/>
        <w:gridCol w:w="3827"/>
        <w:gridCol w:w="1417"/>
        <w:gridCol w:w="2552"/>
        <w:gridCol w:w="496"/>
        <w:gridCol w:w="567"/>
        <w:gridCol w:w="567"/>
        <w:gridCol w:w="567"/>
        <w:gridCol w:w="567"/>
        <w:gridCol w:w="567"/>
        <w:gridCol w:w="567"/>
        <w:gridCol w:w="567"/>
        <w:gridCol w:w="567"/>
        <w:gridCol w:w="567"/>
        <w:gridCol w:w="567"/>
      </w:tblGrid>
      <w:tr w:rsidR="00A45628" w:rsidRPr="00586D77" w14:paraId="07352DE1" w14:textId="0306F180" w:rsidTr="00EB1FEE">
        <w:trPr>
          <w:trHeight w:val="3610"/>
        </w:trPr>
        <w:tc>
          <w:tcPr>
            <w:tcW w:w="1575" w:type="dxa"/>
            <w:tcBorders>
              <w:top w:val="nil"/>
              <w:left w:val="single" w:sz="4" w:space="0" w:color="auto"/>
              <w:bottom w:val="single" w:sz="4" w:space="0" w:color="auto"/>
              <w:right w:val="single" w:sz="4" w:space="0" w:color="auto"/>
            </w:tcBorders>
            <w:shd w:val="clear" w:color="auto" w:fill="auto"/>
            <w:hideMark/>
          </w:tcPr>
          <w:p w14:paraId="42EFBDA1" w14:textId="77777777" w:rsidR="00A45628" w:rsidRPr="00586D77" w:rsidRDefault="00A45628" w:rsidP="00586D77">
            <w:pPr>
              <w:spacing w:before="0"/>
              <w:rPr>
                <w:rFonts w:ascii="Calibri" w:hAnsi="Calibri" w:cs="Calibri"/>
                <w:sz w:val="22"/>
                <w:szCs w:val="22"/>
                <w:lang w:eastAsia="en-AU"/>
              </w:rPr>
            </w:pPr>
            <w:r w:rsidRPr="00586D77">
              <w:rPr>
                <w:rFonts w:ascii="Calibri" w:hAnsi="Calibri" w:cs="Calibri"/>
                <w:sz w:val="22"/>
                <w:szCs w:val="22"/>
                <w:lang w:eastAsia="en-AU"/>
              </w:rPr>
              <w:t>Activity 3.1: Identifying the market distortion caused by SOEs and their impacts on the business environment, resource allocation; and solutions on imposing hard budget for SOEs</w:t>
            </w:r>
          </w:p>
        </w:tc>
        <w:tc>
          <w:tcPr>
            <w:tcW w:w="3827" w:type="dxa"/>
            <w:tcBorders>
              <w:top w:val="nil"/>
              <w:left w:val="nil"/>
              <w:bottom w:val="single" w:sz="4" w:space="0" w:color="auto"/>
              <w:right w:val="single" w:sz="4" w:space="0" w:color="auto"/>
            </w:tcBorders>
            <w:shd w:val="clear" w:color="auto" w:fill="auto"/>
            <w:hideMark/>
          </w:tcPr>
          <w:p w14:paraId="024AB072" w14:textId="77777777" w:rsidR="00A45628" w:rsidRPr="00586D77" w:rsidRDefault="00A45628" w:rsidP="00586D77">
            <w:pPr>
              <w:spacing w:before="0"/>
              <w:rPr>
                <w:rFonts w:ascii="Calibri" w:hAnsi="Calibri" w:cs="Calibri"/>
                <w:sz w:val="22"/>
                <w:szCs w:val="22"/>
                <w:lang w:eastAsia="en-AU"/>
              </w:rPr>
            </w:pPr>
            <w:r w:rsidRPr="00586D77">
              <w:rPr>
                <w:rFonts w:ascii="Calibri" w:hAnsi="Calibri" w:cs="Calibri"/>
                <w:sz w:val="22"/>
                <w:szCs w:val="22"/>
                <w:lang w:eastAsia="en-AU"/>
              </w:rPr>
              <w:t xml:space="preserve">  (1) Drafting reports;</w:t>
            </w:r>
            <w:r w:rsidRPr="00586D77">
              <w:rPr>
                <w:rFonts w:ascii="Calibri" w:hAnsi="Calibri" w:cs="Calibri"/>
                <w:sz w:val="22"/>
                <w:szCs w:val="22"/>
                <w:lang w:eastAsia="en-AU"/>
              </w:rPr>
              <w:br/>
              <w:t xml:space="preserve">  (2) </w:t>
            </w:r>
            <w:proofErr w:type="spellStart"/>
            <w:r w:rsidRPr="00586D77">
              <w:rPr>
                <w:rFonts w:ascii="Calibri" w:hAnsi="Calibri" w:cs="Calibri"/>
                <w:sz w:val="22"/>
                <w:szCs w:val="22"/>
                <w:lang w:eastAsia="en-AU"/>
              </w:rPr>
              <w:t>Fieldvisit</w:t>
            </w:r>
            <w:proofErr w:type="spellEnd"/>
            <w:r w:rsidRPr="00586D77">
              <w:rPr>
                <w:rFonts w:ascii="Calibri" w:hAnsi="Calibri" w:cs="Calibri"/>
                <w:sz w:val="22"/>
                <w:szCs w:val="22"/>
                <w:lang w:eastAsia="en-AU"/>
              </w:rPr>
              <w:t xml:space="preserve"> to provinces in the North and the South;</w:t>
            </w:r>
            <w:r w:rsidRPr="00586D77">
              <w:rPr>
                <w:rFonts w:ascii="Calibri" w:hAnsi="Calibri" w:cs="Calibri"/>
                <w:sz w:val="22"/>
                <w:szCs w:val="22"/>
                <w:lang w:eastAsia="en-AU"/>
              </w:rPr>
              <w:br/>
              <w:t xml:space="preserve">  (3) Organizing 01 consultation workshop;</w:t>
            </w:r>
            <w:r w:rsidRPr="00586D77">
              <w:rPr>
                <w:rFonts w:ascii="Calibri" w:hAnsi="Calibri" w:cs="Calibri"/>
                <w:sz w:val="22"/>
                <w:szCs w:val="22"/>
                <w:lang w:eastAsia="en-AU"/>
              </w:rPr>
              <w:br/>
              <w:t xml:space="preserve">  (4) Peer review on reports;</w:t>
            </w:r>
            <w:r w:rsidRPr="00586D77">
              <w:rPr>
                <w:rFonts w:ascii="Calibri" w:hAnsi="Calibri" w:cs="Calibri"/>
                <w:sz w:val="22"/>
                <w:szCs w:val="22"/>
                <w:lang w:eastAsia="en-AU"/>
              </w:rPr>
              <w:br/>
              <w:t xml:space="preserve">  (5) Organizing 01 national conferences;</w:t>
            </w:r>
            <w:r w:rsidRPr="00586D77">
              <w:rPr>
                <w:rFonts w:ascii="Calibri" w:hAnsi="Calibri" w:cs="Calibri"/>
                <w:sz w:val="22"/>
                <w:szCs w:val="22"/>
                <w:lang w:eastAsia="en-AU"/>
              </w:rPr>
              <w:br/>
              <w:t xml:space="preserve">  (6) Publication</w:t>
            </w:r>
          </w:p>
        </w:tc>
        <w:tc>
          <w:tcPr>
            <w:tcW w:w="1417" w:type="dxa"/>
            <w:tcBorders>
              <w:top w:val="nil"/>
              <w:left w:val="nil"/>
              <w:bottom w:val="single" w:sz="4" w:space="0" w:color="auto"/>
              <w:right w:val="single" w:sz="4" w:space="0" w:color="auto"/>
            </w:tcBorders>
            <w:shd w:val="clear" w:color="auto" w:fill="auto"/>
            <w:hideMark/>
          </w:tcPr>
          <w:p w14:paraId="065FA88F" w14:textId="77777777" w:rsidR="00A45628" w:rsidRPr="00586D77" w:rsidRDefault="00A45628" w:rsidP="00586D77">
            <w:pPr>
              <w:spacing w:before="0"/>
              <w:rPr>
                <w:rFonts w:ascii="Calibri" w:hAnsi="Calibri" w:cs="Calibri"/>
                <w:sz w:val="22"/>
                <w:szCs w:val="22"/>
                <w:lang w:eastAsia="en-AU"/>
              </w:rPr>
            </w:pPr>
            <w:r w:rsidRPr="00586D77">
              <w:rPr>
                <w:rFonts w:ascii="Calibri" w:hAnsi="Calibri" w:cs="Calibri"/>
                <w:sz w:val="22"/>
                <w:szCs w:val="22"/>
                <w:lang w:eastAsia="en-AU"/>
              </w:rPr>
              <w:t>Report and recommendations on imposing hard budget for SOEs</w:t>
            </w:r>
          </w:p>
        </w:tc>
        <w:tc>
          <w:tcPr>
            <w:tcW w:w="2552" w:type="dxa"/>
            <w:tcBorders>
              <w:top w:val="nil"/>
              <w:left w:val="nil"/>
              <w:bottom w:val="single" w:sz="4" w:space="0" w:color="auto"/>
              <w:right w:val="single" w:sz="4" w:space="0" w:color="auto"/>
            </w:tcBorders>
            <w:shd w:val="clear" w:color="auto" w:fill="auto"/>
            <w:hideMark/>
          </w:tcPr>
          <w:p w14:paraId="1ED230B3" w14:textId="77777777" w:rsidR="00A45628" w:rsidRPr="00586D77" w:rsidRDefault="00A4562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496" w:type="dxa"/>
            <w:tcBorders>
              <w:top w:val="nil"/>
              <w:left w:val="nil"/>
              <w:bottom w:val="single" w:sz="4" w:space="0" w:color="auto"/>
              <w:right w:val="single" w:sz="4" w:space="0" w:color="auto"/>
            </w:tcBorders>
            <w:shd w:val="clear" w:color="000000" w:fill="FFFF00"/>
            <w:hideMark/>
          </w:tcPr>
          <w:p w14:paraId="520F2194"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000000" w:fill="FFFF00"/>
            <w:hideMark/>
          </w:tcPr>
          <w:p w14:paraId="29881371"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645EA65F"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1E217FED"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063572C7"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4B81014D"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2F1BCBFA"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586D09F7"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6A2421E5"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tcPr>
          <w:p w14:paraId="3C6B6E60" w14:textId="77777777" w:rsidR="00A45628" w:rsidRPr="00586D77" w:rsidRDefault="00A45628" w:rsidP="00586D77">
            <w:pPr>
              <w:spacing w:before="0"/>
              <w:jc w:val="both"/>
              <w:rPr>
                <w:rFonts w:ascii="Times New Roman" w:hAnsi="Times New Roman"/>
                <w:color w:val="000000"/>
                <w:sz w:val="24"/>
                <w:lang w:eastAsia="en-AU"/>
              </w:rPr>
            </w:pPr>
          </w:p>
        </w:tc>
        <w:tc>
          <w:tcPr>
            <w:tcW w:w="567" w:type="dxa"/>
            <w:tcBorders>
              <w:top w:val="nil"/>
              <w:left w:val="nil"/>
              <w:bottom w:val="single" w:sz="4" w:space="0" w:color="auto"/>
              <w:right w:val="single" w:sz="4" w:space="0" w:color="auto"/>
            </w:tcBorders>
          </w:tcPr>
          <w:p w14:paraId="00763F89" w14:textId="77777777" w:rsidR="00A45628" w:rsidRPr="00586D77" w:rsidRDefault="00A45628" w:rsidP="00586D77">
            <w:pPr>
              <w:spacing w:before="0"/>
              <w:jc w:val="both"/>
              <w:rPr>
                <w:rFonts w:ascii="Times New Roman" w:hAnsi="Times New Roman"/>
                <w:color w:val="000000"/>
                <w:sz w:val="24"/>
                <w:lang w:eastAsia="en-AU"/>
              </w:rPr>
            </w:pPr>
          </w:p>
        </w:tc>
      </w:tr>
      <w:tr w:rsidR="00A45628" w:rsidRPr="00586D77" w14:paraId="17B04364" w14:textId="5370090A" w:rsidTr="00EB1FEE">
        <w:trPr>
          <w:trHeight w:val="3480"/>
        </w:trPr>
        <w:tc>
          <w:tcPr>
            <w:tcW w:w="1575" w:type="dxa"/>
            <w:tcBorders>
              <w:top w:val="nil"/>
              <w:left w:val="single" w:sz="4" w:space="0" w:color="auto"/>
              <w:bottom w:val="single" w:sz="4" w:space="0" w:color="auto"/>
              <w:right w:val="single" w:sz="4" w:space="0" w:color="auto"/>
            </w:tcBorders>
            <w:shd w:val="clear" w:color="auto" w:fill="auto"/>
            <w:hideMark/>
          </w:tcPr>
          <w:p w14:paraId="1E2DC27E" w14:textId="77777777" w:rsidR="00A45628" w:rsidRPr="00586D77" w:rsidRDefault="00A45628" w:rsidP="00586D77">
            <w:pPr>
              <w:spacing w:before="0"/>
              <w:rPr>
                <w:rFonts w:ascii="Calibri" w:hAnsi="Calibri" w:cs="Calibri"/>
                <w:sz w:val="22"/>
                <w:szCs w:val="22"/>
                <w:lang w:eastAsia="en-AU"/>
              </w:rPr>
            </w:pPr>
            <w:r w:rsidRPr="00586D77">
              <w:rPr>
                <w:rFonts w:ascii="Calibri" w:hAnsi="Calibri" w:cs="Calibri"/>
                <w:sz w:val="22"/>
                <w:szCs w:val="22"/>
                <w:lang w:eastAsia="en-AU"/>
              </w:rPr>
              <w:t>Activity 3.2: Assessing the real situation of market entry according to Doing Business report (World Bank) and policy implications of reducing time and cost of market entry</w:t>
            </w:r>
          </w:p>
        </w:tc>
        <w:tc>
          <w:tcPr>
            <w:tcW w:w="3827" w:type="dxa"/>
            <w:tcBorders>
              <w:top w:val="nil"/>
              <w:left w:val="nil"/>
              <w:bottom w:val="single" w:sz="4" w:space="0" w:color="auto"/>
              <w:right w:val="single" w:sz="4" w:space="0" w:color="auto"/>
            </w:tcBorders>
            <w:shd w:val="clear" w:color="auto" w:fill="auto"/>
            <w:hideMark/>
          </w:tcPr>
          <w:p w14:paraId="5C8B26A0" w14:textId="77777777" w:rsidR="00A45628" w:rsidRPr="00586D77" w:rsidRDefault="00A45628" w:rsidP="00586D77">
            <w:pPr>
              <w:spacing w:before="0"/>
              <w:rPr>
                <w:rFonts w:ascii="Calibri" w:hAnsi="Calibri" w:cs="Calibri"/>
                <w:sz w:val="22"/>
                <w:szCs w:val="22"/>
                <w:lang w:eastAsia="en-AU"/>
              </w:rPr>
            </w:pPr>
            <w:r w:rsidRPr="00586D77">
              <w:rPr>
                <w:rFonts w:ascii="Calibri" w:hAnsi="Calibri" w:cs="Calibri"/>
                <w:sz w:val="22"/>
                <w:szCs w:val="22"/>
                <w:lang w:eastAsia="en-AU"/>
              </w:rPr>
              <w:t xml:space="preserve">  (1) Drafting reports;</w:t>
            </w:r>
            <w:r w:rsidRPr="00586D77">
              <w:rPr>
                <w:rFonts w:ascii="Calibri" w:hAnsi="Calibri" w:cs="Calibri"/>
                <w:sz w:val="22"/>
                <w:szCs w:val="22"/>
                <w:lang w:eastAsia="en-AU"/>
              </w:rPr>
              <w:br/>
              <w:t xml:space="preserve">  (2) </w:t>
            </w:r>
            <w:proofErr w:type="spellStart"/>
            <w:r w:rsidRPr="00586D77">
              <w:rPr>
                <w:rFonts w:ascii="Calibri" w:hAnsi="Calibri" w:cs="Calibri"/>
                <w:sz w:val="22"/>
                <w:szCs w:val="22"/>
                <w:lang w:eastAsia="en-AU"/>
              </w:rPr>
              <w:t>Fieldvisit</w:t>
            </w:r>
            <w:proofErr w:type="spellEnd"/>
            <w:r w:rsidRPr="00586D77">
              <w:rPr>
                <w:rFonts w:ascii="Calibri" w:hAnsi="Calibri" w:cs="Calibri"/>
                <w:sz w:val="22"/>
                <w:szCs w:val="22"/>
                <w:lang w:eastAsia="en-AU"/>
              </w:rPr>
              <w:t xml:space="preserve"> to provinces in the North and the South;</w:t>
            </w:r>
            <w:r w:rsidRPr="00586D77">
              <w:rPr>
                <w:rFonts w:ascii="Calibri" w:hAnsi="Calibri" w:cs="Calibri"/>
                <w:sz w:val="22"/>
                <w:szCs w:val="22"/>
                <w:lang w:eastAsia="en-AU"/>
              </w:rPr>
              <w:br/>
              <w:t xml:space="preserve">  (3) Organizing 01 consultation workshop;</w:t>
            </w:r>
            <w:r w:rsidRPr="00586D77">
              <w:rPr>
                <w:rFonts w:ascii="Calibri" w:hAnsi="Calibri" w:cs="Calibri"/>
                <w:sz w:val="22"/>
                <w:szCs w:val="22"/>
                <w:lang w:eastAsia="en-AU"/>
              </w:rPr>
              <w:br/>
              <w:t xml:space="preserve">  (4) Peer review on reports;</w:t>
            </w:r>
            <w:r w:rsidRPr="00586D77">
              <w:rPr>
                <w:rFonts w:ascii="Calibri" w:hAnsi="Calibri" w:cs="Calibri"/>
                <w:sz w:val="22"/>
                <w:szCs w:val="22"/>
                <w:lang w:eastAsia="en-AU"/>
              </w:rPr>
              <w:br/>
              <w:t xml:space="preserve">  (5) Organizing 01 national conferences;</w:t>
            </w:r>
            <w:r w:rsidRPr="00586D77">
              <w:rPr>
                <w:rFonts w:ascii="Calibri" w:hAnsi="Calibri" w:cs="Calibri"/>
                <w:sz w:val="22"/>
                <w:szCs w:val="22"/>
                <w:lang w:eastAsia="en-AU"/>
              </w:rPr>
              <w:br/>
              <w:t xml:space="preserve">  (6) Publication</w:t>
            </w:r>
          </w:p>
        </w:tc>
        <w:tc>
          <w:tcPr>
            <w:tcW w:w="1417" w:type="dxa"/>
            <w:tcBorders>
              <w:top w:val="nil"/>
              <w:left w:val="nil"/>
              <w:bottom w:val="single" w:sz="4" w:space="0" w:color="auto"/>
              <w:right w:val="single" w:sz="4" w:space="0" w:color="auto"/>
            </w:tcBorders>
            <w:shd w:val="clear" w:color="auto" w:fill="auto"/>
            <w:hideMark/>
          </w:tcPr>
          <w:p w14:paraId="6155B392" w14:textId="77777777" w:rsidR="00A45628" w:rsidRPr="00586D77" w:rsidRDefault="00A45628" w:rsidP="00586D77">
            <w:pPr>
              <w:spacing w:before="0"/>
              <w:rPr>
                <w:rFonts w:ascii="Calibri" w:hAnsi="Calibri" w:cs="Calibri"/>
                <w:sz w:val="22"/>
                <w:szCs w:val="22"/>
                <w:lang w:eastAsia="en-AU"/>
              </w:rPr>
            </w:pPr>
            <w:r w:rsidRPr="00586D77">
              <w:rPr>
                <w:rFonts w:ascii="Calibri" w:hAnsi="Calibri" w:cs="Calibri"/>
                <w:sz w:val="22"/>
                <w:szCs w:val="22"/>
                <w:lang w:eastAsia="en-AU"/>
              </w:rPr>
              <w:t>Report and recommendations on reducing time and cost of market entry</w:t>
            </w:r>
          </w:p>
        </w:tc>
        <w:tc>
          <w:tcPr>
            <w:tcW w:w="2552" w:type="dxa"/>
            <w:tcBorders>
              <w:top w:val="nil"/>
              <w:left w:val="nil"/>
              <w:bottom w:val="single" w:sz="4" w:space="0" w:color="auto"/>
              <w:right w:val="single" w:sz="4" w:space="0" w:color="auto"/>
            </w:tcBorders>
            <w:shd w:val="clear" w:color="auto" w:fill="auto"/>
            <w:hideMark/>
          </w:tcPr>
          <w:p w14:paraId="2FD6D403" w14:textId="77777777" w:rsidR="00A45628" w:rsidRPr="00586D77" w:rsidRDefault="00A4562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496" w:type="dxa"/>
            <w:tcBorders>
              <w:top w:val="nil"/>
              <w:left w:val="nil"/>
              <w:bottom w:val="single" w:sz="4" w:space="0" w:color="auto"/>
              <w:right w:val="single" w:sz="4" w:space="0" w:color="auto"/>
            </w:tcBorders>
            <w:shd w:val="clear" w:color="000000" w:fill="FFFF00"/>
            <w:hideMark/>
          </w:tcPr>
          <w:p w14:paraId="036D9E11"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000000" w:fill="FFFF00"/>
            <w:hideMark/>
          </w:tcPr>
          <w:p w14:paraId="1F55B5B0"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3627EDAA"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34D56C99"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7AB3FB40"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65BAC600"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494AE2AA"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58E6667A"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19F6448B"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tcPr>
          <w:p w14:paraId="0C17AD2A" w14:textId="77777777" w:rsidR="00A45628" w:rsidRPr="00586D77" w:rsidRDefault="00A45628" w:rsidP="00586D77">
            <w:pPr>
              <w:spacing w:before="0"/>
              <w:jc w:val="both"/>
              <w:rPr>
                <w:rFonts w:ascii="Times New Roman" w:hAnsi="Times New Roman"/>
                <w:color w:val="000000"/>
                <w:sz w:val="24"/>
                <w:lang w:eastAsia="en-AU"/>
              </w:rPr>
            </w:pPr>
          </w:p>
        </w:tc>
        <w:tc>
          <w:tcPr>
            <w:tcW w:w="567" w:type="dxa"/>
            <w:tcBorders>
              <w:top w:val="nil"/>
              <w:left w:val="nil"/>
              <w:bottom w:val="single" w:sz="4" w:space="0" w:color="auto"/>
              <w:right w:val="single" w:sz="4" w:space="0" w:color="auto"/>
            </w:tcBorders>
          </w:tcPr>
          <w:p w14:paraId="035ACBC0" w14:textId="77777777" w:rsidR="00A45628" w:rsidRPr="00586D77" w:rsidRDefault="00A45628" w:rsidP="00586D77">
            <w:pPr>
              <w:spacing w:before="0"/>
              <w:jc w:val="both"/>
              <w:rPr>
                <w:rFonts w:ascii="Times New Roman" w:hAnsi="Times New Roman"/>
                <w:color w:val="000000"/>
                <w:sz w:val="24"/>
                <w:lang w:eastAsia="en-AU"/>
              </w:rPr>
            </w:pPr>
          </w:p>
        </w:tc>
      </w:tr>
      <w:tr w:rsidR="00A45628" w:rsidRPr="00586D77" w14:paraId="6D333AE9" w14:textId="4D472DA9" w:rsidTr="00EB1FEE">
        <w:trPr>
          <w:trHeight w:val="4060"/>
        </w:trPr>
        <w:tc>
          <w:tcPr>
            <w:tcW w:w="1575" w:type="dxa"/>
            <w:tcBorders>
              <w:top w:val="nil"/>
              <w:left w:val="single" w:sz="4" w:space="0" w:color="auto"/>
              <w:bottom w:val="single" w:sz="4" w:space="0" w:color="auto"/>
              <w:right w:val="single" w:sz="4" w:space="0" w:color="auto"/>
            </w:tcBorders>
            <w:shd w:val="clear" w:color="auto" w:fill="auto"/>
            <w:hideMark/>
          </w:tcPr>
          <w:p w14:paraId="60162453" w14:textId="77777777" w:rsidR="00A45628" w:rsidRPr="00586D77" w:rsidRDefault="00A45628" w:rsidP="00586D77">
            <w:pPr>
              <w:spacing w:before="0"/>
              <w:rPr>
                <w:rFonts w:ascii="Calibri" w:hAnsi="Calibri" w:cs="Calibri"/>
                <w:sz w:val="22"/>
                <w:szCs w:val="22"/>
                <w:lang w:eastAsia="en-AU"/>
              </w:rPr>
            </w:pPr>
            <w:r w:rsidRPr="00586D77">
              <w:rPr>
                <w:rFonts w:ascii="Calibri" w:hAnsi="Calibri" w:cs="Calibri"/>
                <w:sz w:val="22"/>
                <w:szCs w:val="22"/>
                <w:lang w:eastAsia="en-AU"/>
              </w:rPr>
              <w:t>Activity 3.3: Assessing administrative procedures for cross-border trade activities and solutions for reducing the number of days and the cost of completing the export and import procedures</w:t>
            </w:r>
          </w:p>
        </w:tc>
        <w:tc>
          <w:tcPr>
            <w:tcW w:w="3827" w:type="dxa"/>
            <w:tcBorders>
              <w:top w:val="nil"/>
              <w:left w:val="nil"/>
              <w:bottom w:val="single" w:sz="4" w:space="0" w:color="auto"/>
              <w:right w:val="single" w:sz="4" w:space="0" w:color="auto"/>
            </w:tcBorders>
            <w:shd w:val="clear" w:color="auto" w:fill="auto"/>
            <w:hideMark/>
          </w:tcPr>
          <w:p w14:paraId="4C7C6B8E" w14:textId="77777777" w:rsidR="00A45628" w:rsidRPr="00586D77" w:rsidRDefault="00A45628" w:rsidP="00586D77">
            <w:pPr>
              <w:spacing w:before="0"/>
              <w:rPr>
                <w:rFonts w:ascii="Calibri" w:hAnsi="Calibri" w:cs="Calibri"/>
                <w:sz w:val="22"/>
                <w:szCs w:val="22"/>
                <w:lang w:eastAsia="en-AU"/>
              </w:rPr>
            </w:pPr>
            <w:r w:rsidRPr="00586D77">
              <w:rPr>
                <w:rFonts w:ascii="Calibri" w:hAnsi="Calibri" w:cs="Calibri"/>
                <w:sz w:val="22"/>
                <w:szCs w:val="22"/>
                <w:lang w:eastAsia="en-AU"/>
              </w:rPr>
              <w:t xml:space="preserve">  (1) Drafting reports;</w:t>
            </w:r>
            <w:r w:rsidRPr="00586D77">
              <w:rPr>
                <w:rFonts w:ascii="Calibri" w:hAnsi="Calibri" w:cs="Calibri"/>
                <w:sz w:val="22"/>
                <w:szCs w:val="22"/>
                <w:lang w:eastAsia="en-AU"/>
              </w:rPr>
              <w:br/>
              <w:t xml:space="preserve">  (2) </w:t>
            </w:r>
            <w:proofErr w:type="spellStart"/>
            <w:r w:rsidRPr="00586D77">
              <w:rPr>
                <w:rFonts w:ascii="Calibri" w:hAnsi="Calibri" w:cs="Calibri"/>
                <w:sz w:val="22"/>
                <w:szCs w:val="22"/>
                <w:lang w:eastAsia="en-AU"/>
              </w:rPr>
              <w:t>Fieldvisit</w:t>
            </w:r>
            <w:proofErr w:type="spellEnd"/>
            <w:r w:rsidRPr="00586D77">
              <w:rPr>
                <w:rFonts w:ascii="Calibri" w:hAnsi="Calibri" w:cs="Calibri"/>
                <w:sz w:val="22"/>
                <w:szCs w:val="22"/>
                <w:lang w:eastAsia="en-AU"/>
              </w:rPr>
              <w:t xml:space="preserve"> to provinces in the North and the South;</w:t>
            </w:r>
            <w:r w:rsidRPr="00586D77">
              <w:rPr>
                <w:rFonts w:ascii="Calibri" w:hAnsi="Calibri" w:cs="Calibri"/>
                <w:sz w:val="22"/>
                <w:szCs w:val="22"/>
                <w:lang w:eastAsia="en-AU"/>
              </w:rPr>
              <w:br/>
              <w:t xml:space="preserve">  (3) Organizing 01 consultation workshop;</w:t>
            </w:r>
            <w:r w:rsidRPr="00586D77">
              <w:rPr>
                <w:rFonts w:ascii="Calibri" w:hAnsi="Calibri" w:cs="Calibri"/>
                <w:sz w:val="22"/>
                <w:szCs w:val="22"/>
                <w:lang w:eastAsia="en-AU"/>
              </w:rPr>
              <w:br/>
              <w:t xml:space="preserve">  (4) Peer review on reports;</w:t>
            </w:r>
            <w:r w:rsidRPr="00586D77">
              <w:rPr>
                <w:rFonts w:ascii="Calibri" w:hAnsi="Calibri" w:cs="Calibri"/>
                <w:sz w:val="22"/>
                <w:szCs w:val="22"/>
                <w:lang w:eastAsia="en-AU"/>
              </w:rPr>
              <w:br/>
              <w:t xml:space="preserve">  (5) Organizing 01 national conferences;</w:t>
            </w:r>
            <w:r w:rsidRPr="00586D77">
              <w:rPr>
                <w:rFonts w:ascii="Calibri" w:hAnsi="Calibri" w:cs="Calibri"/>
                <w:sz w:val="22"/>
                <w:szCs w:val="22"/>
                <w:lang w:eastAsia="en-AU"/>
              </w:rPr>
              <w:br/>
              <w:t xml:space="preserve">  (6) Publication</w:t>
            </w:r>
          </w:p>
        </w:tc>
        <w:tc>
          <w:tcPr>
            <w:tcW w:w="1417" w:type="dxa"/>
            <w:tcBorders>
              <w:top w:val="nil"/>
              <w:left w:val="nil"/>
              <w:bottom w:val="single" w:sz="4" w:space="0" w:color="auto"/>
              <w:right w:val="single" w:sz="4" w:space="0" w:color="auto"/>
            </w:tcBorders>
            <w:shd w:val="clear" w:color="auto" w:fill="auto"/>
            <w:hideMark/>
          </w:tcPr>
          <w:p w14:paraId="5C36F389" w14:textId="77777777" w:rsidR="00A45628" w:rsidRPr="00586D77" w:rsidRDefault="00A4562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2552" w:type="dxa"/>
            <w:tcBorders>
              <w:top w:val="nil"/>
              <w:left w:val="nil"/>
              <w:bottom w:val="single" w:sz="4" w:space="0" w:color="auto"/>
              <w:right w:val="single" w:sz="4" w:space="0" w:color="auto"/>
            </w:tcBorders>
            <w:shd w:val="clear" w:color="auto" w:fill="auto"/>
            <w:hideMark/>
          </w:tcPr>
          <w:p w14:paraId="4329BD84" w14:textId="77777777" w:rsidR="00A45628" w:rsidRPr="00586D77" w:rsidRDefault="00A4562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496" w:type="dxa"/>
            <w:tcBorders>
              <w:top w:val="nil"/>
              <w:left w:val="nil"/>
              <w:bottom w:val="single" w:sz="4" w:space="0" w:color="auto"/>
              <w:right w:val="single" w:sz="4" w:space="0" w:color="auto"/>
            </w:tcBorders>
            <w:shd w:val="clear" w:color="auto" w:fill="auto"/>
            <w:hideMark/>
          </w:tcPr>
          <w:p w14:paraId="1276CF39"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000000" w:fill="FFFF00"/>
            <w:hideMark/>
          </w:tcPr>
          <w:p w14:paraId="72F87201"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000000" w:fill="FFFF00"/>
            <w:hideMark/>
          </w:tcPr>
          <w:p w14:paraId="403A8853"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208CAAA7"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4F7B7B9E"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4F424A05"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3D1E71B1"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53FC5EE7"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13D1A853"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tcPr>
          <w:p w14:paraId="3EAF8CFA" w14:textId="77777777" w:rsidR="00A45628" w:rsidRPr="00586D77" w:rsidRDefault="00A45628" w:rsidP="00586D77">
            <w:pPr>
              <w:spacing w:before="0"/>
              <w:jc w:val="both"/>
              <w:rPr>
                <w:rFonts w:ascii="Times New Roman" w:hAnsi="Times New Roman"/>
                <w:color w:val="000000"/>
                <w:sz w:val="24"/>
                <w:lang w:eastAsia="en-AU"/>
              </w:rPr>
            </w:pPr>
          </w:p>
        </w:tc>
        <w:tc>
          <w:tcPr>
            <w:tcW w:w="567" w:type="dxa"/>
            <w:tcBorders>
              <w:top w:val="nil"/>
              <w:left w:val="nil"/>
              <w:bottom w:val="single" w:sz="4" w:space="0" w:color="auto"/>
              <w:right w:val="single" w:sz="4" w:space="0" w:color="auto"/>
            </w:tcBorders>
          </w:tcPr>
          <w:p w14:paraId="6FC031D4" w14:textId="77777777" w:rsidR="00A45628" w:rsidRPr="00586D77" w:rsidRDefault="00A45628" w:rsidP="00586D77">
            <w:pPr>
              <w:spacing w:before="0"/>
              <w:jc w:val="both"/>
              <w:rPr>
                <w:rFonts w:ascii="Times New Roman" w:hAnsi="Times New Roman"/>
                <w:color w:val="000000"/>
                <w:sz w:val="24"/>
                <w:lang w:eastAsia="en-AU"/>
              </w:rPr>
            </w:pPr>
          </w:p>
        </w:tc>
      </w:tr>
      <w:tr w:rsidR="00A45628" w:rsidRPr="00586D77" w14:paraId="2868028F" w14:textId="3B447825" w:rsidTr="00EB1FEE">
        <w:trPr>
          <w:trHeight w:val="4427"/>
        </w:trPr>
        <w:tc>
          <w:tcPr>
            <w:tcW w:w="1575" w:type="dxa"/>
            <w:tcBorders>
              <w:top w:val="nil"/>
              <w:left w:val="single" w:sz="4" w:space="0" w:color="auto"/>
              <w:bottom w:val="single" w:sz="4" w:space="0" w:color="auto"/>
              <w:right w:val="single" w:sz="4" w:space="0" w:color="auto"/>
            </w:tcBorders>
            <w:shd w:val="clear" w:color="auto" w:fill="auto"/>
            <w:hideMark/>
          </w:tcPr>
          <w:p w14:paraId="6167F6C7" w14:textId="77777777" w:rsidR="00A45628" w:rsidRPr="00586D77" w:rsidRDefault="00A45628" w:rsidP="00586D77">
            <w:pPr>
              <w:spacing w:before="0"/>
              <w:rPr>
                <w:rFonts w:ascii="Calibri" w:hAnsi="Calibri" w:cs="Calibri"/>
                <w:sz w:val="22"/>
                <w:szCs w:val="22"/>
                <w:lang w:eastAsia="en-AU"/>
              </w:rPr>
            </w:pPr>
            <w:r w:rsidRPr="00586D77">
              <w:rPr>
                <w:rFonts w:ascii="Calibri" w:hAnsi="Calibri" w:cs="Calibri"/>
                <w:sz w:val="22"/>
                <w:szCs w:val="22"/>
                <w:lang w:eastAsia="en-AU"/>
              </w:rPr>
              <w:t>Activity 3.4: Identifying and assessing impacts of TFAs (such as TPP and RCEP) on economic restructuring, and key recommendations towards domestic reforms in line with deeper economic integration.</w:t>
            </w:r>
          </w:p>
        </w:tc>
        <w:tc>
          <w:tcPr>
            <w:tcW w:w="3827" w:type="dxa"/>
            <w:tcBorders>
              <w:top w:val="nil"/>
              <w:left w:val="nil"/>
              <w:bottom w:val="single" w:sz="4" w:space="0" w:color="auto"/>
              <w:right w:val="single" w:sz="4" w:space="0" w:color="auto"/>
            </w:tcBorders>
            <w:shd w:val="clear" w:color="auto" w:fill="auto"/>
            <w:hideMark/>
          </w:tcPr>
          <w:p w14:paraId="6C730D20" w14:textId="77777777" w:rsidR="00A45628" w:rsidRPr="00586D77" w:rsidRDefault="00A45628" w:rsidP="00586D77">
            <w:pPr>
              <w:spacing w:before="0"/>
              <w:rPr>
                <w:rFonts w:ascii="Calibri" w:hAnsi="Calibri" w:cs="Calibri"/>
                <w:sz w:val="22"/>
                <w:szCs w:val="22"/>
                <w:lang w:eastAsia="en-AU"/>
              </w:rPr>
            </w:pPr>
            <w:r w:rsidRPr="00586D77">
              <w:rPr>
                <w:rFonts w:ascii="Calibri" w:hAnsi="Calibri" w:cs="Calibri"/>
                <w:sz w:val="22"/>
                <w:szCs w:val="22"/>
                <w:lang w:eastAsia="en-AU"/>
              </w:rPr>
              <w:t xml:space="preserve">  (1) Drafting reports;</w:t>
            </w:r>
            <w:r w:rsidRPr="00586D77">
              <w:rPr>
                <w:rFonts w:ascii="Calibri" w:hAnsi="Calibri" w:cs="Calibri"/>
                <w:sz w:val="22"/>
                <w:szCs w:val="22"/>
                <w:lang w:eastAsia="en-AU"/>
              </w:rPr>
              <w:br/>
              <w:t xml:space="preserve">  (2) </w:t>
            </w:r>
            <w:proofErr w:type="spellStart"/>
            <w:r w:rsidRPr="00586D77">
              <w:rPr>
                <w:rFonts w:ascii="Calibri" w:hAnsi="Calibri" w:cs="Calibri"/>
                <w:sz w:val="22"/>
                <w:szCs w:val="22"/>
                <w:lang w:eastAsia="en-AU"/>
              </w:rPr>
              <w:t>Fieldvisit</w:t>
            </w:r>
            <w:proofErr w:type="spellEnd"/>
            <w:r w:rsidRPr="00586D77">
              <w:rPr>
                <w:rFonts w:ascii="Calibri" w:hAnsi="Calibri" w:cs="Calibri"/>
                <w:sz w:val="22"/>
                <w:szCs w:val="22"/>
                <w:lang w:eastAsia="en-AU"/>
              </w:rPr>
              <w:t xml:space="preserve"> to provinces in the North and the South;</w:t>
            </w:r>
            <w:r w:rsidRPr="00586D77">
              <w:rPr>
                <w:rFonts w:ascii="Calibri" w:hAnsi="Calibri" w:cs="Calibri"/>
                <w:sz w:val="22"/>
                <w:szCs w:val="22"/>
                <w:lang w:eastAsia="en-AU"/>
              </w:rPr>
              <w:br/>
              <w:t xml:space="preserve">  (3) Organizing 01 consultation workshop;</w:t>
            </w:r>
            <w:r w:rsidRPr="00586D77">
              <w:rPr>
                <w:rFonts w:ascii="Calibri" w:hAnsi="Calibri" w:cs="Calibri"/>
                <w:sz w:val="22"/>
                <w:szCs w:val="22"/>
                <w:lang w:eastAsia="en-AU"/>
              </w:rPr>
              <w:br/>
              <w:t xml:space="preserve">  (4) Peer review on reports;</w:t>
            </w:r>
            <w:r w:rsidRPr="00586D77">
              <w:rPr>
                <w:rFonts w:ascii="Calibri" w:hAnsi="Calibri" w:cs="Calibri"/>
                <w:sz w:val="22"/>
                <w:szCs w:val="22"/>
                <w:lang w:eastAsia="en-AU"/>
              </w:rPr>
              <w:br/>
              <w:t xml:space="preserve">  (5) Organizing 01 national conferences;</w:t>
            </w:r>
            <w:r w:rsidRPr="00586D77">
              <w:rPr>
                <w:rFonts w:ascii="Calibri" w:hAnsi="Calibri" w:cs="Calibri"/>
                <w:sz w:val="22"/>
                <w:szCs w:val="22"/>
                <w:lang w:eastAsia="en-AU"/>
              </w:rPr>
              <w:br/>
              <w:t xml:space="preserve">  (6) Publication</w:t>
            </w:r>
          </w:p>
        </w:tc>
        <w:tc>
          <w:tcPr>
            <w:tcW w:w="1417" w:type="dxa"/>
            <w:tcBorders>
              <w:top w:val="nil"/>
              <w:left w:val="nil"/>
              <w:bottom w:val="single" w:sz="4" w:space="0" w:color="auto"/>
              <w:right w:val="single" w:sz="4" w:space="0" w:color="auto"/>
            </w:tcBorders>
            <w:shd w:val="clear" w:color="auto" w:fill="auto"/>
            <w:hideMark/>
          </w:tcPr>
          <w:p w14:paraId="14CB86DA" w14:textId="77777777" w:rsidR="00A45628" w:rsidRPr="00586D77" w:rsidRDefault="00A4562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2552" w:type="dxa"/>
            <w:tcBorders>
              <w:top w:val="nil"/>
              <w:left w:val="nil"/>
              <w:bottom w:val="single" w:sz="4" w:space="0" w:color="auto"/>
              <w:right w:val="single" w:sz="4" w:space="0" w:color="auto"/>
            </w:tcBorders>
            <w:shd w:val="clear" w:color="auto" w:fill="auto"/>
            <w:hideMark/>
          </w:tcPr>
          <w:p w14:paraId="5F012758" w14:textId="37A6AE7A" w:rsidR="00A45628" w:rsidRPr="00586D77" w:rsidRDefault="00A45628" w:rsidP="00A45628">
            <w:pPr>
              <w:spacing w:before="0"/>
              <w:ind w:right="-108"/>
              <w:rPr>
                <w:rFonts w:ascii="Calibri" w:hAnsi="Calibri" w:cs="Calibri"/>
                <w:sz w:val="22"/>
                <w:szCs w:val="22"/>
                <w:lang w:eastAsia="en-AU"/>
              </w:rPr>
            </w:pPr>
            <w:r w:rsidRPr="00586D77">
              <w:rPr>
                <w:rFonts w:ascii="Calibri" w:hAnsi="Calibri" w:cs="Calibri"/>
                <w:sz w:val="22"/>
                <w:szCs w:val="22"/>
                <w:lang w:eastAsia="en-AU"/>
              </w:rPr>
              <w:t>• Survey of key at-the-border and behind-the-border impediments to Vietnam's trade with TPP</w:t>
            </w:r>
            <w:r>
              <w:rPr>
                <w:rFonts w:ascii="Calibri" w:hAnsi="Calibri" w:cs="Calibri"/>
                <w:sz w:val="22"/>
                <w:szCs w:val="22"/>
                <w:lang w:eastAsia="en-AU"/>
              </w:rPr>
              <w:t>,</w:t>
            </w:r>
            <w:r w:rsidRPr="00586D77">
              <w:rPr>
                <w:rFonts w:ascii="Calibri" w:hAnsi="Calibri" w:cs="Calibri"/>
                <w:sz w:val="22"/>
                <w:szCs w:val="22"/>
                <w:lang w:eastAsia="en-AU"/>
              </w:rPr>
              <w:t>RCEP partners</w:t>
            </w:r>
            <w:r w:rsidRPr="00586D77">
              <w:rPr>
                <w:rFonts w:ascii="Calibri" w:hAnsi="Calibri" w:cs="Calibri"/>
                <w:sz w:val="22"/>
                <w:szCs w:val="22"/>
                <w:lang w:eastAsia="en-AU"/>
              </w:rPr>
              <w:br/>
              <w:t>• Consultations on approaches and policies to facilitate Vietnam's trade with TPP</w:t>
            </w:r>
            <w:r>
              <w:rPr>
                <w:rFonts w:ascii="Calibri" w:hAnsi="Calibri" w:cs="Calibri"/>
                <w:sz w:val="22"/>
                <w:szCs w:val="22"/>
                <w:lang w:eastAsia="en-AU"/>
              </w:rPr>
              <w:t>,</w:t>
            </w:r>
            <w:r w:rsidRPr="00586D77">
              <w:rPr>
                <w:rFonts w:ascii="Calibri" w:hAnsi="Calibri" w:cs="Calibri"/>
                <w:sz w:val="22"/>
                <w:szCs w:val="22"/>
                <w:lang w:eastAsia="en-AU"/>
              </w:rPr>
              <w:t xml:space="preserve"> RCEP partners</w:t>
            </w:r>
            <w:r w:rsidRPr="00586D77">
              <w:rPr>
                <w:rFonts w:ascii="Calibri" w:hAnsi="Calibri" w:cs="Calibri"/>
                <w:sz w:val="22"/>
                <w:szCs w:val="22"/>
                <w:lang w:eastAsia="en-AU"/>
              </w:rPr>
              <w:br/>
              <w:t>• Research on harmonizing implementation of TPP</w:t>
            </w:r>
            <w:r>
              <w:rPr>
                <w:rFonts w:ascii="Calibri" w:hAnsi="Calibri" w:cs="Calibri"/>
                <w:sz w:val="22"/>
                <w:szCs w:val="22"/>
                <w:lang w:eastAsia="en-AU"/>
              </w:rPr>
              <w:t>,</w:t>
            </w:r>
            <w:r w:rsidRPr="00586D77">
              <w:rPr>
                <w:rFonts w:ascii="Calibri" w:hAnsi="Calibri" w:cs="Calibri"/>
                <w:sz w:val="22"/>
                <w:szCs w:val="22"/>
                <w:lang w:eastAsia="en-AU"/>
              </w:rPr>
              <w:t xml:space="preserve"> RCEP commitments and preparations for FTAAP (Free Trade Area of Asia-Pacific)</w:t>
            </w:r>
          </w:p>
        </w:tc>
        <w:tc>
          <w:tcPr>
            <w:tcW w:w="496" w:type="dxa"/>
            <w:tcBorders>
              <w:top w:val="nil"/>
              <w:left w:val="nil"/>
              <w:bottom w:val="single" w:sz="4" w:space="0" w:color="auto"/>
              <w:right w:val="single" w:sz="4" w:space="0" w:color="auto"/>
            </w:tcBorders>
            <w:shd w:val="clear" w:color="auto" w:fill="auto"/>
            <w:hideMark/>
          </w:tcPr>
          <w:p w14:paraId="1AFC6326"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5F745A7B"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000000" w:fill="FFFF00"/>
            <w:hideMark/>
          </w:tcPr>
          <w:p w14:paraId="0DC00AEF"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000000" w:fill="FFFF00"/>
            <w:hideMark/>
          </w:tcPr>
          <w:p w14:paraId="1B703C08"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000000" w:fill="FFFF00"/>
            <w:hideMark/>
          </w:tcPr>
          <w:p w14:paraId="3BBBC424" w14:textId="77777777" w:rsidR="00A45628" w:rsidRPr="00586D77" w:rsidRDefault="00A45628" w:rsidP="00586D77">
            <w:pPr>
              <w:spacing w:before="0"/>
              <w:jc w:val="both"/>
              <w:rPr>
                <w:rFonts w:ascii="Times New Roman" w:hAnsi="Times New Roman"/>
                <w:color w:val="FF0000"/>
                <w:sz w:val="24"/>
                <w:lang w:eastAsia="en-AU"/>
              </w:rPr>
            </w:pPr>
            <w:r w:rsidRPr="00586D77">
              <w:rPr>
                <w:rFonts w:ascii="Times New Roman" w:hAnsi="Times New Roman"/>
                <w:color w:val="FF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2D606CA0"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6733FDE7"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50A08792"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397DC129"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tcPr>
          <w:p w14:paraId="4CC1ED18" w14:textId="77777777" w:rsidR="00A45628" w:rsidRPr="00586D77" w:rsidRDefault="00A45628" w:rsidP="00586D77">
            <w:pPr>
              <w:spacing w:before="0"/>
              <w:jc w:val="both"/>
              <w:rPr>
                <w:rFonts w:ascii="Times New Roman" w:hAnsi="Times New Roman"/>
                <w:color w:val="000000"/>
                <w:sz w:val="24"/>
                <w:lang w:eastAsia="en-AU"/>
              </w:rPr>
            </w:pPr>
          </w:p>
        </w:tc>
        <w:tc>
          <w:tcPr>
            <w:tcW w:w="567" w:type="dxa"/>
            <w:tcBorders>
              <w:top w:val="nil"/>
              <w:left w:val="nil"/>
              <w:bottom w:val="single" w:sz="4" w:space="0" w:color="auto"/>
              <w:right w:val="single" w:sz="4" w:space="0" w:color="auto"/>
            </w:tcBorders>
          </w:tcPr>
          <w:p w14:paraId="46B1A0C3" w14:textId="77777777" w:rsidR="00A45628" w:rsidRPr="00586D77" w:rsidRDefault="00A45628" w:rsidP="00586D77">
            <w:pPr>
              <w:spacing w:before="0"/>
              <w:jc w:val="both"/>
              <w:rPr>
                <w:rFonts w:ascii="Times New Roman" w:hAnsi="Times New Roman"/>
                <w:color w:val="000000"/>
                <w:sz w:val="24"/>
                <w:lang w:eastAsia="en-AU"/>
              </w:rPr>
            </w:pPr>
          </w:p>
        </w:tc>
      </w:tr>
      <w:tr w:rsidR="00A45628" w:rsidRPr="00586D77" w14:paraId="43259CD2" w14:textId="3B9BDCDF" w:rsidTr="00EB1FEE">
        <w:trPr>
          <w:trHeight w:val="3350"/>
        </w:trPr>
        <w:tc>
          <w:tcPr>
            <w:tcW w:w="1575" w:type="dxa"/>
            <w:tcBorders>
              <w:top w:val="nil"/>
              <w:left w:val="single" w:sz="4" w:space="0" w:color="auto"/>
              <w:bottom w:val="single" w:sz="4" w:space="0" w:color="auto"/>
              <w:right w:val="single" w:sz="4" w:space="0" w:color="auto"/>
            </w:tcBorders>
            <w:shd w:val="clear" w:color="auto" w:fill="auto"/>
            <w:hideMark/>
          </w:tcPr>
          <w:p w14:paraId="4DAB6224" w14:textId="77777777" w:rsidR="00A45628" w:rsidRPr="00586D77" w:rsidRDefault="00A45628" w:rsidP="00586D77">
            <w:pPr>
              <w:spacing w:before="0"/>
              <w:rPr>
                <w:rFonts w:ascii="Calibri" w:hAnsi="Calibri" w:cs="Calibri"/>
                <w:sz w:val="22"/>
                <w:szCs w:val="22"/>
                <w:lang w:eastAsia="en-AU"/>
              </w:rPr>
            </w:pPr>
            <w:r w:rsidRPr="00586D77">
              <w:rPr>
                <w:rFonts w:ascii="Calibri" w:hAnsi="Calibri" w:cs="Calibri"/>
                <w:sz w:val="22"/>
                <w:szCs w:val="22"/>
                <w:lang w:eastAsia="en-AU"/>
              </w:rPr>
              <w:t>Activity 4.1: Quarterly reports on the independent assessments of macro-economic changes in Vietnam for high-level policy discussion/ dialogues</w:t>
            </w:r>
          </w:p>
        </w:tc>
        <w:tc>
          <w:tcPr>
            <w:tcW w:w="3827" w:type="dxa"/>
            <w:tcBorders>
              <w:top w:val="nil"/>
              <w:left w:val="nil"/>
              <w:bottom w:val="single" w:sz="4" w:space="0" w:color="auto"/>
              <w:right w:val="single" w:sz="4" w:space="0" w:color="auto"/>
            </w:tcBorders>
            <w:shd w:val="clear" w:color="auto" w:fill="auto"/>
            <w:hideMark/>
          </w:tcPr>
          <w:p w14:paraId="42E0EB33" w14:textId="77777777" w:rsidR="00A45628" w:rsidRPr="00586D77" w:rsidRDefault="00A45628" w:rsidP="00586D77">
            <w:pPr>
              <w:spacing w:before="0"/>
              <w:rPr>
                <w:rFonts w:ascii="Calibri" w:hAnsi="Calibri" w:cs="Calibri"/>
                <w:sz w:val="22"/>
                <w:szCs w:val="22"/>
                <w:lang w:eastAsia="en-AU"/>
              </w:rPr>
            </w:pPr>
            <w:r w:rsidRPr="00586D77">
              <w:rPr>
                <w:rFonts w:ascii="Calibri" w:hAnsi="Calibri" w:cs="Calibri"/>
                <w:sz w:val="22"/>
                <w:szCs w:val="22"/>
                <w:lang w:eastAsia="en-AU"/>
              </w:rPr>
              <w:t xml:space="preserve">  (1) Drafting reports;</w:t>
            </w:r>
            <w:r w:rsidRPr="00586D77">
              <w:rPr>
                <w:rFonts w:ascii="Calibri" w:hAnsi="Calibri" w:cs="Calibri"/>
                <w:sz w:val="22"/>
                <w:szCs w:val="22"/>
                <w:lang w:eastAsia="en-AU"/>
              </w:rPr>
              <w:br/>
              <w:t xml:space="preserve">  (2) Organizing 01 consultation workshop/report;</w:t>
            </w:r>
            <w:r w:rsidRPr="00586D77">
              <w:rPr>
                <w:rFonts w:ascii="Calibri" w:hAnsi="Calibri" w:cs="Calibri"/>
                <w:sz w:val="22"/>
                <w:szCs w:val="22"/>
                <w:lang w:eastAsia="en-AU"/>
              </w:rPr>
              <w:br/>
              <w:t xml:space="preserve">  (3) Peer review on reports</w:t>
            </w:r>
          </w:p>
        </w:tc>
        <w:tc>
          <w:tcPr>
            <w:tcW w:w="1417" w:type="dxa"/>
            <w:tcBorders>
              <w:top w:val="nil"/>
              <w:left w:val="nil"/>
              <w:bottom w:val="single" w:sz="4" w:space="0" w:color="auto"/>
              <w:right w:val="single" w:sz="4" w:space="0" w:color="auto"/>
            </w:tcBorders>
            <w:shd w:val="clear" w:color="auto" w:fill="auto"/>
            <w:hideMark/>
          </w:tcPr>
          <w:p w14:paraId="49ABE17D" w14:textId="77777777" w:rsidR="00A45628" w:rsidRPr="00586D77" w:rsidRDefault="00A45628" w:rsidP="00A45628">
            <w:pPr>
              <w:spacing w:before="0"/>
              <w:ind w:right="-28"/>
              <w:rPr>
                <w:rFonts w:ascii="Calibri" w:hAnsi="Calibri" w:cs="Calibri"/>
                <w:sz w:val="22"/>
                <w:szCs w:val="22"/>
                <w:lang w:eastAsia="en-AU"/>
              </w:rPr>
            </w:pPr>
            <w:r w:rsidRPr="00586D77">
              <w:rPr>
                <w:rFonts w:ascii="Calibri" w:hAnsi="Calibri" w:cs="Calibri"/>
                <w:sz w:val="22"/>
                <w:szCs w:val="22"/>
                <w:lang w:eastAsia="en-AU"/>
              </w:rPr>
              <w:t>Quarterly reports on the independent assessments of macro-economic changes in Vietnam</w:t>
            </w:r>
          </w:p>
        </w:tc>
        <w:tc>
          <w:tcPr>
            <w:tcW w:w="2552" w:type="dxa"/>
            <w:tcBorders>
              <w:top w:val="nil"/>
              <w:left w:val="nil"/>
              <w:bottom w:val="single" w:sz="4" w:space="0" w:color="auto"/>
              <w:right w:val="single" w:sz="4" w:space="0" w:color="auto"/>
            </w:tcBorders>
            <w:shd w:val="clear" w:color="auto" w:fill="auto"/>
            <w:hideMark/>
          </w:tcPr>
          <w:p w14:paraId="61F649B5" w14:textId="10805F81" w:rsidR="00A45628" w:rsidRPr="00586D77" w:rsidRDefault="00A45628" w:rsidP="00586D77">
            <w:pPr>
              <w:spacing w:before="0"/>
              <w:rPr>
                <w:rFonts w:ascii="Calibri" w:hAnsi="Calibri" w:cs="Calibri"/>
                <w:sz w:val="22"/>
                <w:szCs w:val="22"/>
                <w:lang w:eastAsia="en-AU"/>
              </w:rPr>
            </w:pPr>
            <w:r w:rsidRPr="00586D77">
              <w:rPr>
                <w:rFonts w:ascii="Calibri" w:hAnsi="Calibri" w:cs="Calibri"/>
                <w:sz w:val="22"/>
                <w:szCs w:val="22"/>
                <w:lang w:eastAsia="en-AU"/>
              </w:rPr>
              <w:t>Data framework</w:t>
            </w:r>
            <w:r w:rsidRPr="00586D77">
              <w:rPr>
                <w:rFonts w:ascii="Calibri" w:hAnsi="Calibri" w:cs="Calibri"/>
                <w:sz w:val="22"/>
                <w:szCs w:val="22"/>
                <w:lang w:eastAsia="en-AU"/>
              </w:rPr>
              <w:br/>
              <w:t xml:space="preserve">Use </w:t>
            </w:r>
            <w:proofErr w:type="spellStart"/>
            <w:r w:rsidRPr="00586D77">
              <w:rPr>
                <w:rFonts w:ascii="Calibri" w:hAnsi="Calibri" w:cs="Calibri"/>
                <w:sz w:val="22"/>
                <w:szCs w:val="22"/>
                <w:lang w:eastAsia="en-AU"/>
              </w:rPr>
              <w:t>macroeconometric</w:t>
            </w:r>
            <w:proofErr w:type="spellEnd"/>
            <w:r w:rsidRPr="00586D77">
              <w:rPr>
                <w:rFonts w:ascii="Calibri" w:hAnsi="Calibri" w:cs="Calibri"/>
                <w:sz w:val="22"/>
                <w:szCs w:val="22"/>
                <w:lang w:eastAsia="en-AU"/>
              </w:rPr>
              <w:t xml:space="preserve"> model with quarterly data (structural, using SNA data) to provide macroeconomic judgments and forecast</w:t>
            </w:r>
            <w:r w:rsidRPr="00586D77">
              <w:rPr>
                <w:rFonts w:ascii="Calibri" w:hAnsi="Calibri" w:cs="Calibri"/>
                <w:sz w:val="22"/>
                <w:szCs w:val="22"/>
                <w:lang w:eastAsia="en-AU"/>
              </w:rPr>
              <w:br/>
              <w:t>Trainings of practical econometric model</w:t>
            </w:r>
            <w:r>
              <w:rPr>
                <w:rFonts w:ascii="Calibri" w:hAnsi="Calibri" w:cs="Calibri"/>
                <w:sz w:val="22"/>
                <w:szCs w:val="22"/>
                <w:lang w:eastAsia="en-AU"/>
              </w:rPr>
              <w:t>l</w:t>
            </w:r>
            <w:r w:rsidRPr="00586D77">
              <w:rPr>
                <w:rFonts w:ascii="Calibri" w:hAnsi="Calibri" w:cs="Calibri"/>
                <w:sz w:val="22"/>
                <w:szCs w:val="22"/>
                <w:lang w:eastAsia="en-AU"/>
              </w:rPr>
              <w:t>ing</w:t>
            </w:r>
          </w:p>
        </w:tc>
        <w:tc>
          <w:tcPr>
            <w:tcW w:w="496" w:type="dxa"/>
            <w:tcBorders>
              <w:top w:val="nil"/>
              <w:left w:val="nil"/>
              <w:bottom w:val="single" w:sz="4" w:space="0" w:color="auto"/>
              <w:right w:val="single" w:sz="4" w:space="0" w:color="auto"/>
            </w:tcBorders>
            <w:shd w:val="clear" w:color="000000" w:fill="FFFF00"/>
            <w:hideMark/>
          </w:tcPr>
          <w:p w14:paraId="03031FBD"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000000" w:fill="FFFF00"/>
            <w:hideMark/>
          </w:tcPr>
          <w:p w14:paraId="29E54CE2"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000000" w:fill="FFFF00"/>
            <w:hideMark/>
          </w:tcPr>
          <w:p w14:paraId="5CC34EEC"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000000" w:fill="FFFF00"/>
            <w:hideMark/>
          </w:tcPr>
          <w:p w14:paraId="4BB795E4"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000000" w:fill="FFFF00"/>
            <w:hideMark/>
          </w:tcPr>
          <w:p w14:paraId="5CFE23B8"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000000" w:fill="FFFF00"/>
            <w:hideMark/>
          </w:tcPr>
          <w:p w14:paraId="1CAD2628"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000000" w:fill="FFFF00"/>
            <w:hideMark/>
          </w:tcPr>
          <w:p w14:paraId="399D9DFB"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000000" w:fill="FFFF00"/>
            <w:hideMark/>
          </w:tcPr>
          <w:p w14:paraId="6EC26AAA"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000000" w:fill="FFFF00"/>
            <w:hideMark/>
          </w:tcPr>
          <w:p w14:paraId="3382FCB6"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000000" w:fill="FFFF00"/>
          </w:tcPr>
          <w:p w14:paraId="657522EA" w14:textId="77777777" w:rsidR="00A45628" w:rsidRPr="00586D77" w:rsidRDefault="00A45628" w:rsidP="00586D77">
            <w:pPr>
              <w:spacing w:before="0"/>
              <w:jc w:val="both"/>
              <w:rPr>
                <w:rFonts w:ascii="Times New Roman" w:hAnsi="Times New Roman"/>
                <w:color w:val="000000"/>
                <w:sz w:val="24"/>
                <w:lang w:eastAsia="en-AU"/>
              </w:rPr>
            </w:pPr>
          </w:p>
        </w:tc>
        <w:tc>
          <w:tcPr>
            <w:tcW w:w="567" w:type="dxa"/>
            <w:tcBorders>
              <w:top w:val="nil"/>
              <w:left w:val="nil"/>
              <w:bottom w:val="single" w:sz="4" w:space="0" w:color="auto"/>
              <w:right w:val="single" w:sz="4" w:space="0" w:color="auto"/>
            </w:tcBorders>
            <w:shd w:val="clear" w:color="000000" w:fill="FFFF00"/>
          </w:tcPr>
          <w:p w14:paraId="59C944EC" w14:textId="77777777" w:rsidR="00A45628" w:rsidRPr="00586D77" w:rsidRDefault="00A45628" w:rsidP="00586D77">
            <w:pPr>
              <w:spacing w:before="0"/>
              <w:jc w:val="both"/>
              <w:rPr>
                <w:rFonts w:ascii="Times New Roman" w:hAnsi="Times New Roman"/>
                <w:color w:val="000000"/>
                <w:sz w:val="24"/>
                <w:lang w:eastAsia="en-AU"/>
              </w:rPr>
            </w:pPr>
          </w:p>
        </w:tc>
      </w:tr>
      <w:tr w:rsidR="00A45628" w:rsidRPr="00586D77" w14:paraId="0FFFC87C" w14:textId="1965EA61" w:rsidTr="00EB1FEE">
        <w:trPr>
          <w:trHeight w:val="870"/>
        </w:trPr>
        <w:tc>
          <w:tcPr>
            <w:tcW w:w="1575" w:type="dxa"/>
            <w:tcBorders>
              <w:top w:val="nil"/>
              <w:left w:val="single" w:sz="4" w:space="0" w:color="auto"/>
              <w:bottom w:val="single" w:sz="4" w:space="0" w:color="auto"/>
              <w:right w:val="single" w:sz="4" w:space="0" w:color="auto"/>
            </w:tcBorders>
            <w:shd w:val="clear" w:color="auto" w:fill="auto"/>
            <w:hideMark/>
          </w:tcPr>
          <w:p w14:paraId="14FE01CD" w14:textId="77777777" w:rsidR="00A45628" w:rsidRPr="00586D77" w:rsidRDefault="00A45628" w:rsidP="00586D77">
            <w:pPr>
              <w:spacing w:before="0"/>
              <w:rPr>
                <w:rFonts w:ascii="Calibri" w:hAnsi="Calibri" w:cs="Calibri"/>
                <w:sz w:val="22"/>
                <w:szCs w:val="22"/>
                <w:lang w:eastAsia="en-AU"/>
              </w:rPr>
            </w:pPr>
            <w:r w:rsidRPr="00586D77">
              <w:rPr>
                <w:rFonts w:ascii="Calibri" w:hAnsi="Calibri" w:cs="Calibri"/>
                <w:sz w:val="22"/>
                <w:szCs w:val="22"/>
                <w:lang w:eastAsia="en-AU"/>
              </w:rPr>
              <w:t>Activity 4.2: High-level policy dialogues</w:t>
            </w:r>
          </w:p>
        </w:tc>
        <w:tc>
          <w:tcPr>
            <w:tcW w:w="3827" w:type="dxa"/>
            <w:tcBorders>
              <w:top w:val="nil"/>
              <w:left w:val="nil"/>
              <w:bottom w:val="single" w:sz="4" w:space="0" w:color="auto"/>
              <w:right w:val="single" w:sz="4" w:space="0" w:color="auto"/>
            </w:tcBorders>
            <w:shd w:val="clear" w:color="auto" w:fill="auto"/>
            <w:hideMark/>
          </w:tcPr>
          <w:p w14:paraId="6F97E352" w14:textId="77777777" w:rsidR="00A45628" w:rsidRPr="00586D77" w:rsidRDefault="00A45628" w:rsidP="00586D77">
            <w:pPr>
              <w:spacing w:before="0"/>
              <w:rPr>
                <w:rFonts w:ascii="Calibri" w:hAnsi="Calibri" w:cs="Calibri"/>
                <w:sz w:val="22"/>
                <w:szCs w:val="22"/>
                <w:lang w:eastAsia="en-AU"/>
              </w:rPr>
            </w:pPr>
            <w:r w:rsidRPr="00586D77">
              <w:rPr>
                <w:rFonts w:ascii="Calibri" w:hAnsi="Calibri" w:cs="Calibri"/>
                <w:sz w:val="22"/>
                <w:szCs w:val="22"/>
                <w:lang w:eastAsia="en-AU"/>
              </w:rPr>
              <w:t>05 policy dialogues and report  publication</w:t>
            </w:r>
          </w:p>
        </w:tc>
        <w:tc>
          <w:tcPr>
            <w:tcW w:w="1417" w:type="dxa"/>
            <w:tcBorders>
              <w:top w:val="nil"/>
              <w:left w:val="nil"/>
              <w:bottom w:val="single" w:sz="4" w:space="0" w:color="auto"/>
              <w:right w:val="single" w:sz="4" w:space="0" w:color="auto"/>
            </w:tcBorders>
            <w:shd w:val="clear" w:color="auto" w:fill="auto"/>
            <w:hideMark/>
          </w:tcPr>
          <w:p w14:paraId="30F8B66E" w14:textId="77777777" w:rsidR="00A45628" w:rsidRPr="00586D77" w:rsidRDefault="00A4562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2552" w:type="dxa"/>
            <w:tcBorders>
              <w:top w:val="nil"/>
              <w:left w:val="nil"/>
              <w:bottom w:val="single" w:sz="4" w:space="0" w:color="auto"/>
              <w:right w:val="single" w:sz="4" w:space="0" w:color="auto"/>
            </w:tcBorders>
            <w:shd w:val="clear" w:color="auto" w:fill="auto"/>
            <w:hideMark/>
          </w:tcPr>
          <w:p w14:paraId="507B5454" w14:textId="77777777" w:rsidR="00A45628" w:rsidRPr="00586D77" w:rsidRDefault="00A4562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496" w:type="dxa"/>
            <w:tcBorders>
              <w:top w:val="nil"/>
              <w:left w:val="nil"/>
              <w:bottom w:val="single" w:sz="4" w:space="0" w:color="auto"/>
              <w:right w:val="single" w:sz="4" w:space="0" w:color="auto"/>
            </w:tcBorders>
            <w:shd w:val="clear" w:color="000000" w:fill="FFFF00"/>
            <w:hideMark/>
          </w:tcPr>
          <w:p w14:paraId="7FD21170"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000000" w:fill="FFFF00"/>
            <w:hideMark/>
          </w:tcPr>
          <w:p w14:paraId="38F3FD15"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000000" w:fill="FFFF00"/>
            <w:hideMark/>
          </w:tcPr>
          <w:p w14:paraId="0340F12A"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000000" w:fill="FFFF00"/>
            <w:hideMark/>
          </w:tcPr>
          <w:p w14:paraId="6D708643"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000000" w:fill="FFFF00"/>
            <w:hideMark/>
          </w:tcPr>
          <w:p w14:paraId="10DBA66A"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000000" w:fill="FFFF00"/>
            <w:hideMark/>
          </w:tcPr>
          <w:p w14:paraId="558BF477"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000000" w:fill="FFFF00"/>
            <w:hideMark/>
          </w:tcPr>
          <w:p w14:paraId="752E6FC4"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000000" w:fill="FFFF00"/>
            <w:hideMark/>
          </w:tcPr>
          <w:p w14:paraId="118299AF"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000000" w:fill="FFFF00"/>
            <w:hideMark/>
          </w:tcPr>
          <w:p w14:paraId="5A4E7C34"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000000" w:fill="FFFF00"/>
          </w:tcPr>
          <w:p w14:paraId="75DD3A24" w14:textId="77777777" w:rsidR="00A45628" w:rsidRPr="00586D77" w:rsidRDefault="00A45628" w:rsidP="00586D77">
            <w:pPr>
              <w:spacing w:before="0"/>
              <w:jc w:val="both"/>
              <w:rPr>
                <w:rFonts w:ascii="Times New Roman" w:hAnsi="Times New Roman"/>
                <w:color w:val="000000"/>
                <w:sz w:val="24"/>
                <w:lang w:eastAsia="en-AU"/>
              </w:rPr>
            </w:pPr>
          </w:p>
        </w:tc>
        <w:tc>
          <w:tcPr>
            <w:tcW w:w="567" w:type="dxa"/>
            <w:tcBorders>
              <w:top w:val="nil"/>
              <w:left w:val="nil"/>
              <w:bottom w:val="single" w:sz="4" w:space="0" w:color="auto"/>
              <w:right w:val="single" w:sz="4" w:space="0" w:color="auto"/>
            </w:tcBorders>
            <w:shd w:val="clear" w:color="000000" w:fill="FFFF00"/>
          </w:tcPr>
          <w:p w14:paraId="430C6C0B" w14:textId="77777777" w:rsidR="00A45628" w:rsidRPr="00586D77" w:rsidRDefault="00A45628" w:rsidP="00586D77">
            <w:pPr>
              <w:spacing w:before="0"/>
              <w:jc w:val="both"/>
              <w:rPr>
                <w:rFonts w:ascii="Times New Roman" w:hAnsi="Times New Roman"/>
                <w:color w:val="000000"/>
                <w:sz w:val="24"/>
                <w:lang w:eastAsia="en-AU"/>
              </w:rPr>
            </w:pPr>
          </w:p>
        </w:tc>
      </w:tr>
      <w:tr w:rsidR="00A45628" w:rsidRPr="00586D77" w14:paraId="2097AA5D" w14:textId="4E99AA4D" w:rsidTr="00EB1FEE">
        <w:trPr>
          <w:trHeight w:val="3770"/>
        </w:trPr>
        <w:tc>
          <w:tcPr>
            <w:tcW w:w="1575" w:type="dxa"/>
            <w:tcBorders>
              <w:top w:val="nil"/>
              <w:left w:val="single" w:sz="4" w:space="0" w:color="auto"/>
              <w:bottom w:val="single" w:sz="4" w:space="0" w:color="auto"/>
              <w:right w:val="single" w:sz="4" w:space="0" w:color="auto"/>
            </w:tcBorders>
            <w:shd w:val="clear" w:color="auto" w:fill="auto"/>
            <w:hideMark/>
          </w:tcPr>
          <w:p w14:paraId="62BAFE9B" w14:textId="37C73955" w:rsidR="00A45628" w:rsidRPr="00586D77" w:rsidRDefault="00A45628" w:rsidP="00A45628">
            <w:pPr>
              <w:spacing w:before="0"/>
              <w:rPr>
                <w:rFonts w:ascii="Calibri" w:hAnsi="Calibri" w:cs="Calibri"/>
                <w:sz w:val="22"/>
                <w:szCs w:val="22"/>
                <w:lang w:eastAsia="en-AU"/>
              </w:rPr>
            </w:pPr>
            <w:r w:rsidRPr="00586D77">
              <w:rPr>
                <w:rFonts w:ascii="Calibri" w:hAnsi="Calibri" w:cs="Calibri"/>
                <w:sz w:val="22"/>
                <w:szCs w:val="22"/>
                <w:lang w:eastAsia="en-AU"/>
              </w:rPr>
              <w:t xml:space="preserve">Activity 4.3: Reports on recommendations for improving the effectiveness of the State's macro-economic management submitted to the MPI, the PM and other </w:t>
            </w:r>
            <w:r>
              <w:rPr>
                <w:rFonts w:ascii="Calibri" w:hAnsi="Calibri" w:cs="Calibri"/>
                <w:sz w:val="22"/>
                <w:szCs w:val="22"/>
                <w:lang w:eastAsia="en-AU"/>
              </w:rPr>
              <w:t xml:space="preserve">GoV </w:t>
            </w:r>
            <w:r w:rsidRPr="00586D77">
              <w:rPr>
                <w:rFonts w:ascii="Calibri" w:hAnsi="Calibri" w:cs="Calibri"/>
                <w:sz w:val="22"/>
                <w:szCs w:val="22"/>
                <w:lang w:eastAsia="en-AU"/>
              </w:rPr>
              <w:t>agencies</w:t>
            </w:r>
          </w:p>
        </w:tc>
        <w:tc>
          <w:tcPr>
            <w:tcW w:w="3827" w:type="dxa"/>
            <w:tcBorders>
              <w:top w:val="nil"/>
              <w:left w:val="nil"/>
              <w:bottom w:val="single" w:sz="4" w:space="0" w:color="auto"/>
              <w:right w:val="single" w:sz="4" w:space="0" w:color="auto"/>
            </w:tcBorders>
            <w:shd w:val="clear" w:color="auto" w:fill="auto"/>
            <w:hideMark/>
          </w:tcPr>
          <w:p w14:paraId="3AC67E0A" w14:textId="77777777" w:rsidR="00A45628" w:rsidRPr="00586D77" w:rsidRDefault="00A45628" w:rsidP="00586D77">
            <w:pPr>
              <w:spacing w:before="0"/>
              <w:rPr>
                <w:rFonts w:ascii="Calibri" w:hAnsi="Calibri" w:cs="Calibri"/>
                <w:sz w:val="22"/>
                <w:szCs w:val="22"/>
                <w:lang w:eastAsia="en-AU"/>
              </w:rPr>
            </w:pPr>
            <w:r w:rsidRPr="00586D77">
              <w:rPr>
                <w:rFonts w:ascii="Calibri" w:hAnsi="Calibri" w:cs="Calibri"/>
                <w:sz w:val="22"/>
                <w:szCs w:val="22"/>
                <w:lang w:eastAsia="en-AU"/>
              </w:rPr>
              <w:t xml:space="preserve">  (1) Drafting reports (4 reports for 2 years 2014-2016);</w:t>
            </w:r>
            <w:r w:rsidRPr="00586D77">
              <w:rPr>
                <w:rFonts w:ascii="Calibri" w:hAnsi="Calibri" w:cs="Calibri"/>
                <w:sz w:val="22"/>
                <w:szCs w:val="22"/>
                <w:lang w:eastAsia="en-AU"/>
              </w:rPr>
              <w:br/>
              <w:t xml:space="preserve">  (2) Organizing 01 consultation workshop/report;</w:t>
            </w:r>
            <w:r w:rsidRPr="00586D77">
              <w:rPr>
                <w:rFonts w:ascii="Calibri" w:hAnsi="Calibri" w:cs="Calibri"/>
                <w:sz w:val="22"/>
                <w:szCs w:val="22"/>
                <w:lang w:eastAsia="en-AU"/>
              </w:rPr>
              <w:br/>
              <w:t xml:space="preserve">  (3) Peer review on reports</w:t>
            </w:r>
          </w:p>
        </w:tc>
        <w:tc>
          <w:tcPr>
            <w:tcW w:w="1417" w:type="dxa"/>
            <w:tcBorders>
              <w:top w:val="nil"/>
              <w:left w:val="nil"/>
              <w:bottom w:val="single" w:sz="4" w:space="0" w:color="auto"/>
              <w:right w:val="single" w:sz="4" w:space="0" w:color="auto"/>
            </w:tcBorders>
            <w:shd w:val="clear" w:color="auto" w:fill="auto"/>
            <w:hideMark/>
          </w:tcPr>
          <w:p w14:paraId="6BDE1787" w14:textId="77777777" w:rsidR="00A45628" w:rsidRPr="00586D77" w:rsidRDefault="00A4562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2552" w:type="dxa"/>
            <w:tcBorders>
              <w:top w:val="nil"/>
              <w:left w:val="nil"/>
              <w:bottom w:val="single" w:sz="4" w:space="0" w:color="auto"/>
              <w:right w:val="single" w:sz="4" w:space="0" w:color="auto"/>
            </w:tcBorders>
            <w:shd w:val="clear" w:color="auto" w:fill="auto"/>
            <w:hideMark/>
          </w:tcPr>
          <w:p w14:paraId="42398456" w14:textId="77777777" w:rsidR="00A45628" w:rsidRPr="00586D77" w:rsidRDefault="00A45628" w:rsidP="00586D77">
            <w:pPr>
              <w:spacing w:before="0"/>
              <w:rPr>
                <w:rFonts w:ascii="Calibri" w:hAnsi="Calibri" w:cs="Calibri"/>
                <w:sz w:val="22"/>
                <w:szCs w:val="22"/>
                <w:lang w:eastAsia="en-AU"/>
              </w:rPr>
            </w:pPr>
            <w:r w:rsidRPr="00586D77">
              <w:rPr>
                <w:rFonts w:ascii="Calibri" w:hAnsi="Calibri" w:cs="Calibri"/>
                <w:sz w:val="22"/>
                <w:szCs w:val="22"/>
                <w:lang w:eastAsia="en-AU"/>
              </w:rPr>
              <w:t>Data framework</w:t>
            </w:r>
            <w:r w:rsidRPr="00586D77">
              <w:rPr>
                <w:rFonts w:ascii="Calibri" w:hAnsi="Calibri" w:cs="Calibri"/>
                <w:sz w:val="22"/>
                <w:szCs w:val="22"/>
                <w:lang w:eastAsia="en-AU"/>
              </w:rPr>
              <w:br/>
              <w:t xml:space="preserve">Use </w:t>
            </w:r>
            <w:proofErr w:type="spellStart"/>
            <w:r w:rsidRPr="00586D77">
              <w:rPr>
                <w:rFonts w:ascii="Calibri" w:hAnsi="Calibri" w:cs="Calibri"/>
                <w:sz w:val="22"/>
                <w:szCs w:val="22"/>
                <w:lang w:eastAsia="en-AU"/>
              </w:rPr>
              <w:t>macroeconometric</w:t>
            </w:r>
            <w:proofErr w:type="spellEnd"/>
            <w:r w:rsidRPr="00586D77">
              <w:rPr>
                <w:rFonts w:ascii="Calibri" w:hAnsi="Calibri" w:cs="Calibri"/>
                <w:sz w:val="22"/>
                <w:szCs w:val="22"/>
                <w:lang w:eastAsia="en-AU"/>
              </w:rPr>
              <w:t xml:space="preserve"> model </w:t>
            </w:r>
            <w:r w:rsidRPr="00586D77">
              <w:rPr>
                <w:rFonts w:ascii="Calibri" w:hAnsi="Calibri" w:cs="Calibri"/>
                <w:sz w:val="22"/>
                <w:szCs w:val="22"/>
                <w:lang w:eastAsia="en-AU"/>
              </w:rPr>
              <w:br/>
              <w:t>Conclusions from high-level policy dialogues</w:t>
            </w:r>
          </w:p>
        </w:tc>
        <w:tc>
          <w:tcPr>
            <w:tcW w:w="496" w:type="dxa"/>
            <w:tcBorders>
              <w:top w:val="nil"/>
              <w:left w:val="nil"/>
              <w:bottom w:val="single" w:sz="4" w:space="0" w:color="auto"/>
              <w:right w:val="single" w:sz="4" w:space="0" w:color="auto"/>
            </w:tcBorders>
            <w:shd w:val="clear" w:color="auto" w:fill="auto"/>
            <w:hideMark/>
          </w:tcPr>
          <w:p w14:paraId="545C825E"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7C023FF0"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000000" w:fill="FFFF00"/>
            <w:hideMark/>
          </w:tcPr>
          <w:p w14:paraId="7D5BDAB0"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47E17F8F"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000000" w:fill="FFFF00"/>
            <w:hideMark/>
          </w:tcPr>
          <w:p w14:paraId="30E760E6"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377D2A20"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000000" w:fill="FFFF00"/>
            <w:hideMark/>
          </w:tcPr>
          <w:p w14:paraId="57C5EDE8"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auto" w:fill="auto"/>
            <w:hideMark/>
          </w:tcPr>
          <w:p w14:paraId="5F44C6C7"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000000" w:fill="FFFF00"/>
            <w:hideMark/>
          </w:tcPr>
          <w:p w14:paraId="6C8AB6E7"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000000" w:fill="FFFF00"/>
          </w:tcPr>
          <w:p w14:paraId="782730AC" w14:textId="77777777" w:rsidR="00A45628" w:rsidRPr="00586D77" w:rsidRDefault="00A45628" w:rsidP="00586D77">
            <w:pPr>
              <w:spacing w:before="0"/>
              <w:jc w:val="both"/>
              <w:rPr>
                <w:rFonts w:ascii="Times New Roman" w:hAnsi="Times New Roman"/>
                <w:color w:val="000000"/>
                <w:sz w:val="24"/>
                <w:lang w:eastAsia="en-AU"/>
              </w:rPr>
            </w:pPr>
          </w:p>
        </w:tc>
        <w:tc>
          <w:tcPr>
            <w:tcW w:w="567" w:type="dxa"/>
            <w:tcBorders>
              <w:top w:val="nil"/>
              <w:left w:val="nil"/>
              <w:bottom w:val="single" w:sz="4" w:space="0" w:color="auto"/>
              <w:right w:val="single" w:sz="4" w:space="0" w:color="auto"/>
            </w:tcBorders>
            <w:shd w:val="clear" w:color="000000" w:fill="FFFF00"/>
          </w:tcPr>
          <w:p w14:paraId="12833B7C" w14:textId="77777777" w:rsidR="00A45628" w:rsidRPr="00586D77" w:rsidRDefault="00A45628" w:rsidP="00586D77">
            <w:pPr>
              <w:spacing w:before="0"/>
              <w:jc w:val="both"/>
              <w:rPr>
                <w:rFonts w:ascii="Times New Roman" w:hAnsi="Times New Roman"/>
                <w:color w:val="000000"/>
                <w:sz w:val="24"/>
                <w:lang w:eastAsia="en-AU"/>
              </w:rPr>
            </w:pPr>
          </w:p>
        </w:tc>
      </w:tr>
    </w:tbl>
    <w:p w14:paraId="6A9D67E4" w14:textId="77777777" w:rsidR="00EB1FEE" w:rsidRDefault="00EB1FEE">
      <w:r>
        <w:br w:type="page"/>
      </w:r>
    </w:p>
    <w:tbl>
      <w:tblPr>
        <w:tblW w:w="15537" w:type="dxa"/>
        <w:tblInd w:w="93" w:type="dxa"/>
        <w:tblLayout w:type="fixed"/>
        <w:tblLook w:val="04A0" w:firstRow="1" w:lastRow="0" w:firstColumn="1" w:lastColumn="0" w:noHBand="0" w:noVBand="1"/>
      </w:tblPr>
      <w:tblGrid>
        <w:gridCol w:w="1575"/>
        <w:gridCol w:w="3827"/>
        <w:gridCol w:w="1417"/>
        <w:gridCol w:w="2552"/>
        <w:gridCol w:w="496"/>
        <w:gridCol w:w="567"/>
        <w:gridCol w:w="567"/>
        <w:gridCol w:w="567"/>
        <w:gridCol w:w="567"/>
        <w:gridCol w:w="567"/>
        <w:gridCol w:w="567"/>
        <w:gridCol w:w="567"/>
        <w:gridCol w:w="567"/>
        <w:gridCol w:w="567"/>
        <w:gridCol w:w="567"/>
      </w:tblGrid>
      <w:tr w:rsidR="00A45628" w:rsidRPr="00586D77" w14:paraId="162CF88A" w14:textId="61F6EC34" w:rsidTr="00EB1FEE">
        <w:trPr>
          <w:trHeight w:val="435"/>
        </w:trPr>
        <w:tc>
          <w:tcPr>
            <w:tcW w:w="1575" w:type="dxa"/>
            <w:tcBorders>
              <w:top w:val="nil"/>
              <w:left w:val="single" w:sz="4" w:space="0" w:color="auto"/>
              <w:bottom w:val="single" w:sz="4" w:space="0" w:color="auto"/>
              <w:right w:val="single" w:sz="4" w:space="0" w:color="auto"/>
            </w:tcBorders>
            <w:shd w:val="clear" w:color="auto" w:fill="auto"/>
            <w:hideMark/>
          </w:tcPr>
          <w:p w14:paraId="548FB415" w14:textId="6C53EC4E" w:rsidR="00A45628" w:rsidRPr="00586D77" w:rsidRDefault="00A45628" w:rsidP="00586D77">
            <w:pPr>
              <w:spacing w:before="0"/>
              <w:rPr>
                <w:rFonts w:ascii="Calibri" w:hAnsi="Calibri" w:cs="Calibri"/>
                <w:sz w:val="22"/>
                <w:szCs w:val="22"/>
                <w:lang w:eastAsia="en-AU"/>
              </w:rPr>
            </w:pPr>
            <w:r w:rsidRPr="00586D77">
              <w:rPr>
                <w:rFonts w:ascii="Calibri" w:hAnsi="Calibri" w:cs="Calibri"/>
                <w:sz w:val="22"/>
                <w:szCs w:val="22"/>
                <w:lang w:eastAsia="en-AU"/>
              </w:rPr>
              <w:t>Contingency</w:t>
            </w:r>
          </w:p>
        </w:tc>
        <w:tc>
          <w:tcPr>
            <w:tcW w:w="3827" w:type="dxa"/>
            <w:tcBorders>
              <w:top w:val="nil"/>
              <w:left w:val="nil"/>
              <w:bottom w:val="single" w:sz="4" w:space="0" w:color="auto"/>
              <w:right w:val="single" w:sz="4" w:space="0" w:color="auto"/>
            </w:tcBorders>
            <w:shd w:val="clear" w:color="auto" w:fill="auto"/>
            <w:hideMark/>
          </w:tcPr>
          <w:p w14:paraId="27FC5AB4" w14:textId="77777777" w:rsidR="00A45628" w:rsidRPr="00586D77" w:rsidRDefault="00A45628" w:rsidP="00586D77">
            <w:pPr>
              <w:spacing w:before="0"/>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1417" w:type="dxa"/>
            <w:tcBorders>
              <w:top w:val="nil"/>
              <w:left w:val="nil"/>
              <w:bottom w:val="single" w:sz="4" w:space="0" w:color="auto"/>
              <w:right w:val="single" w:sz="4" w:space="0" w:color="auto"/>
            </w:tcBorders>
            <w:shd w:val="clear" w:color="auto" w:fill="auto"/>
            <w:hideMark/>
          </w:tcPr>
          <w:p w14:paraId="17307366" w14:textId="77777777" w:rsidR="00A45628" w:rsidRPr="00586D77" w:rsidRDefault="00A45628" w:rsidP="00586D77">
            <w:pPr>
              <w:spacing w:before="0"/>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2552" w:type="dxa"/>
            <w:tcBorders>
              <w:top w:val="nil"/>
              <w:left w:val="nil"/>
              <w:bottom w:val="single" w:sz="4" w:space="0" w:color="auto"/>
              <w:right w:val="single" w:sz="4" w:space="0" w:color="auto"/>
            </w:tcBorders>
            <w:shd w:val="clear" w:color="auto" w:fill="auto"/>
            <w:hideMark/>
          </w:tcPr>
          <w:p w14:paraId="38C7D8E3" w14:textId="77777777" w:rsidR="00A45628" w:rsidRPr="00586D77" w:rsidRDefault="00A45628" w:rsidP="00586D77">
            <w:pPr>
              <w:spacing w:before="0"/>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496" w:type="dxa"/>
            <w:tcBorders>
              <w:top w:val="nil"/>
              <w:left w:val="nil"/>
              <w:bottom w:val="single" w:sz="4" w:space="0" w:color="auto"/>
              <w:right w:val="single" w:sz="4" w:space="0" w:color="auto"/>
            </w:tcBorders>
            <w:shd w:val="clear" w:color="000000" w:fill="FFFF00"/>
            <w:hideMark/>
          </w:tcPr>
          <w:p w14:paraId="37E3970C"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000000" w:fill="FFFF00"/>
            <w:hideMark/>
          </w:tcPr>
          <w:p w14:paraId="31266CE5"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000000" w:fill="FFFF00"/>
            <w:hideMark/>
          </w:tcPr>
          <w:p w14:paraId="2A2C5640"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000000" w:fill="FFFF00"/>
            <w:hideMark/>
          </w:tcPr>
          <w:p w14:paraId="01F58C8D"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000000" w:fill="FFFF00"/>
            <w:hideMark/>
          </w:tcPr>
          <w:p w14:paraId="441DB2A6"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000000" w:fill="FFFF00"/>
            <w:hideMark/>
          </w:tcPr>
          <w:p w14:paraId="425B5157"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000000" w:fill="FFFF00"/>
            <w:hideMark/>
          </w:tcPr>
          <w:p w14:paraId="444C4894"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000000" w:fill="FFFF00"/>
            <w:hideMark/>
          </w:tcPr>
          <w:p w14:paraId="3D8924AA"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000000" w:fill="FFFF00"/>
            <w:hideMark/>
          </w:tcPr>
          <w:p w14:paraId="515071DC"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000000" w:fill="FFFF00"/>
          </w:tcPr>
          <w:p w14:paraId="58D06752" w14:textId="77777777" w:rsidR="00A45628" w:rsidRPr="00586D77" w:rsidRDefault="00A45628" w:rsidP="00586D77">
            <w:pPr>
              <w:spacing w:before="0"/>
              <w:jc w:val="both"/>
              <w:rPr>
                <w:rFonts w:ascii="Times New Roman" w:hAnsi="Times New Roman"/>
                <w:color w:val="000000"/>
                <w:sz w:val="24"/>
                <w:lang w:eastAsia="en-AU"/>
              </w:rPr>
            </w:pPr>
          </w:p>
        </w:tc>
        <w:tc>
          <w:tcPr>
            <w:tcW w:w="567" w:type="dxa"/>
            <w:tcBorders>
              <w:top w:val="nil"/>
              <w:left w:val="nil"/>
              <w:bottom w:val="single" w:sz="4" w:space="0" w:color="auto"/>
              <w:right w:val="single" w:sz="4" w:space="0" w:color="auto"/>
            </w:tcBorders>
            <w:shd w:val="clear" w:color="000000" w:fill="FFFF00"/>
          </w:tcPr>
          <w:p w14:paraId="4E18AC39" w14:textId="77777777" w:rsidR="00A45628" w:rsidRPr="00586D77" w:rsidRDefault="00A45628" w:rsidP="00586D77">
            <w:pPr>
              <w:spacing w:before="0"/>
              <w:jc w:val="both"/>
              <w:rPr>
                <w:rFonts w:ascii="Times New Roman" w:hAnsi="Times New Roman"/>
                <w:color w:val="000000"/>
                <w:sz w:val="24"/>
                <w:lang w:eastAsia="en-AU"/>
              </w:rPr>
            </w:pPr>
          </w:p>
        </w:tc>
      </w:tr>
      <w:tr w:rsidR="00A45628" w:rsidRPr="00586D77" w14:paraId="306E5BB9" w14:textId="3A8FD5F8" w:rsidTr="00EB1FEE">
        <w:trPr>
          <w:trHeight w:val="580"/>
        </w:trPr>
        <w:tc>
          <w:tcPr>
            <w:tcW w:w="1575" w:type="dxa"/>
            <w:tcBorders>
              <w:top w:val="nil"/>
              <w:left w:val="single" w:sz="4" w:space="0" w:color="auto"/>
              <w:bottom w:val="single" w:sz="4" w:space="0" w:color="auto"/>
              <w:right w:val="single" w:sz="4" w:space="0" w:color="auto"/>
            </w:tcBorders>
            <w:shd w:val="clear" w:color="auto" w:fill="auto"/>
            <w:hideMark/>
          </w:tcPr>
          <w:p w14:paraId="005AB32A" w14:textId="77777777" w:rsidR="00A45628" w:rsidRPr="00586D77" w:rsidRDefault="00A45628" w:rsidP="00586D77">
            <w:pPr>
              <w:spacing w:before="0"/>
              <w:rPr>
                <w:rFonts w:ascii="Calibri" w:hAnsi="Calibri" w:cs="Calibri"/>
                <w:sz w:val="22"/>
                <w:szCs w:val="22"/>
                <w:lang w:eastAsia="en-AU"/>
              </w:rPr>
            </w:pPr>
            <w:r w:rsidRPr="00586D77">
              <w:rPr>
                <w:rFonts w:ascii="Calibri" w:hAnsi="Calibri" w:cs="Calibri"/>
                <w:sz w:val="22"/>
                <w:szCs w:val="22"/>
                <w:lang w:eastAsia="en-AU"/>
              </w:rPr>
              <w:t>Activity: Flexible reports</w:t>
            </w:r>
          </w:p>
        </w:tc>
        <w:tc>
          <w:tcPr>
            <w:tcW w:w="3827" w:type="dxa"/>
            <w:tcBorders>
              <w:top w:val="nil"/>
              <w:left w:val="nil"/>
              <w:bottom w:val="single" w:sz="4" w:space="0" w:color="auto"/>
              <w:right w:val="single" w:sz="4" w:space="0" w:color="auto"/>
            </w:tcBorders>
            <w:shd w:val="clear" w:color="auto" w:fill="auto"/>
            <w:hideMark/>
          </w:tcPr>
          <w:p w14:paraId="329807D5"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1417" w:type="dxa"/>
            <w:tcBorders>
              <w:top w:val="nil"/>
              <w:left w:val="nil"/>
              <w:bottom w:val="single" w:sz="4" w:space="0" w:color="auto"/>
              <w:right w:val="single" w:sz="4" w:space="0" w:color="auto"/>
            </w:tcBorders>
            <w:shd w:val="clear" w:color="auto" w:fill="auto"/>
            <w:hideMark/>
          </w:tcPr>
          <w:p w14:paraId="0D714B5A" w14:textId="77777777" w:rsidR="00A45628" w:rsidRPr="00586D77" w:rsidRDefault="00A45628" w:rsidP="00586D77">
            <w:pPr>
              <w:spacing w:before="0"/>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2552" w:type="dxa"/>
            <w:tcBorders>
              <w:top w:val="nil"/>
              <w:left w:val="nil"/>
              <w:bottom w:val="single" w:sz="4" w:space="0" w:color="auto"/>
              <w:right w:val="single" w:sz="4" w:space="0" w:color="auto"/>
            </w:tcBorders>
            <w:shd w:val="clear" w:color="auto" w:fill="auto"/>
            <w:hideMark/>
          </w:tcPr>
          <w:p w14:paraId="4E647CCF"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496" w:type="dxa"/>
            <w:tcBorders>
              <w:top w:val="nil"/>
              <w:left w:val="nil"/>
              <w:bottom w:val="single" w:sz="4" w:space="0" w:color="auto"/>
              <w:right w:val="single" w:sz="4" w:space="0" w:color="auto"/>
            </w:tcBorders>
            <w:shd w:val="clear" w:color="000000" w:fill="FFFF00"/>
            <w:hideMark/>
          </w:tcPr>
          <w:p w14:paraId="5E82CC5D"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000000" w:fill="FFFF00"/>
            <w:hideMark/>
          </w:tcPr>
          <w:p w14:paraId="5AE6F06A"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000000" w:fill="FFFF00"/>
            <w:hideMark/>
          </w:tcPr>
          <w:p w14:paraId="68A1EA2C"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000000" w:fill="FFFF00"/>
            <w:hideMark/>
          </w:tcPr>
          <w:p w14:paraId="26A187C2"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000000" w:fill="FFFF00"/>
            <w:hideMark/>
          </w:tcPr>
          <w:p w14:paraId="1DE1D4ED"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000000" w:fill="FFFF00"/>
            <w:hideMark/>
          </w:tcPr>
          <w:p w14:paraId="7BB24B74"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000000" w:fill="FFFF00"/>
            <w:hideMark/>
          </w:tcPr>
          <w:p w14:paraId="0205ACA9"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000000" w:fill="FFFF00"/>
            <w:hideMark/>
          </w:tcPr>
          <w:p w14:paraId="2EBD8B43"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000000" w:fill="FFFF00"/>
            <w:hideMark/>
          </w:tcPr>
          <w:p w14:paraId="38946834" w14:textId="77777777" w:rsidR="00A45628" w:rsidRPr="00586D77" w:rsidRDefault="00A45628" w:rsidP="00586D77">
            <w:pPr>
              <w:spacing w:before="0"/>
              <w:jc w:val="both"/>
              <w:rPr>
                <w:rFonts w:ascii="Times New Roman" w:hAnsi="Times New Roman"/>
                <w:color w:val="000000"/>
                <w:sz w:val="24"/>
                <w:lang w:eastAsia="en-AU"/>
              </w:rPr>
            </w:pPr>
            <w:r w:rsidRPr="00586D77">
              <w:rPr>
                <w:rFonts w:ascii="Times New Roman" w:hAnsi="Times New Roman"/>
                <w:color w:val="000000"/>
                <w:sz w:val="24"/>
                <w:lang w:eastAsia="en-AU"/>
              </w:rPr>
              <w:t> </w:t>
            </w:r>
          </w:p>
        </w:tc>
        <w:tc>
          <w:tcPr>
            <w:tcW w:w="567" w:type="dxa"/>
            <w:tcBorders>
              <w:top w:val="nil"/>
              <w:left w:val="nil"/>
              <w:bottom w:val="single" w:sz="4" w:space="0" w:color="auto"/>
              <w:right w:val="single" w:sz="4" w:space="0" w:color="auto"/>
            </w:tcBorders>
            <w:shd w:val="clear" w:color="000000" w:fill="FFFF00"/>
          </w:tcPr>
          <w:p w14:paraId="3B1057F9" w14:textId="77777777" w:rsidR="00A45628" w:rsidRPr="00586D77" w:rsidRDefault="00A45628" w:rsidP="00586D77">
            <w:pPr>
              <w:spacing w:before="0"/>
              <w:jc w:val="both"/>
              <w:rPr>
                <w:rFonts w:ascii="Times New Roman" w:hAnsi="Times New Roman"/>
                <w:color w:val="000000"/>
                <w:sz w:val="24"/>
                <w:lang w:eastAsia="en-AU"/>
              </w:rPr>
            </w:pPr>
          </w:p>
        </w:tc>
        <w:tc>
          <w:tcPr>
            <w:tcW w:w="567" w:type="dxa"/>
            <w:tcBorders>
              <w:top w:val="nil"/>
              <w:left w:val="nil"/>
              <w:bottom w:val="single" w:sz="4" w:space="0" w:color="auto"/>
              <w:right w:val="single" w:sz="4" w:space="0" w:color="auto"/>
            </w:tcBorders>
            <w:shd w:val="clear" w:color="000000" w:fill="FFFF00"/>
          </w:tcPr>
          <w:p w14:paraId="7D0BACDE" w14:textId="77777777" w:rsidR="00A45628" w:rsidRPr="00586D77" w:rsidRDefault="00A45628" w:rsidP="00586D77">
            <w:pPr>
              <w:spacing w:before="0"/>
              <w:jc w:val="both"/>
              <w:rPr>
                <w:rFonts w:ascii="Times New Roman" w:hAnsi="Times New Roman"/>
                <w:color w:val="000000"/>
                <w:sz w:val="24"/>
                <w:lang w:eastAsia="en-AU"/>
              </w:rPr>
            </w:pPr>
          </w:p>
        </w:tc>
      </w:tr>
      <w:tr w:rsidR="00A45628" w:rsidRPr="00586D77" w14:paraId="32599807" w14:textId="43F3B071" w:rsidTr="00EB1FEE">
        <w:trPr>
          <w:trHeight w:val="290"/>
        </w:trPr>
        <w:tc>
          <w:tcPr>
            <w:tcW w:w="1575" w:type="dxa"/>
            <w:tcBorders>
              <w:top w:val="nil"/>
              <w:left w:val="nil"/>
              <w:bottom w:val="nil"/>
              <w:right w:val="nil"/>
            </w:tcBorders>
            <w:shd w:val="clear" w:color="auto" w:fill="auto"/>
            <w:hideMark/>
          </w:tcPr>
          <w:p w14:paraId="14C190F7" w14:textId="77777777" w:rsidR="00A45628" w:rsidRPr="00586D77" w:rsidRDefault="00A45628" w:rsidP="00586D77">
            <w:pPr>
              <w:spacing w:before="0"/>
              <w:rPr>
                <w:rFonts w:ascii="Calibri" w:hAnsi="Calibri" w:cs="Calibri"/>
                <w:color w:val="000000"/>
                <w:sz w:val="22"/>
                <w:szCs w:val="22"/>
                <w:lang w:eastAsia="en-AU"/>
              </w:rPr>
            </w:pPr>
          </w:p>
        </w:tc>
        <w:tc>
          <w:tcPr>
            <w:tcW w:w="3827" w:type="dxa"/>
            <w:tcBorders>
              <w:top w:val="nil"/>
              <w:left w:val="nil"/>
              <w:bottom w:val="nil"/>
              <w:right w:val="nil"/>
            </w:tcBorders>
            <w:shd w:val="clear" w:color="auto" w:fill="auto"/>
            <w:hideMark/>
          </w:tcPr>
          <w:p w14:paraId="60E31584" w14:textId="77777777" w:rsidR="00A45628" w:rsidRPr="00586D77" w:rsidRDefault="00A45628" w:rsidP="00586D77">
            <w:pPr>
              <w:spacing w:before="0"/>
              <w:jc w:val="both"/>
              <w:rPr>
                <w:rFonts w:ascii="Calibri" w:hAnsi="Calibri" w:cs="Calibri"/>
                <w:color w:val="000000"/>
                <w:sz w:val="22"/>
                <w:szCs w:val="22"/>
                <w:lang w:eastAsia="en-AU"/>
              </w:rPr>
            </w:pPr>
          </w:p>
        </w:tc>
        <w:tc>
          <w:tcPr>
            <w:tcW w:w="1417" w:type="dxa"/>
            <w:tcBorders>
              <w:top w:val="nil"/>
              <w:left w:val="nil"/>
              <w:bottom w:val="nil"/>
              <w:right w:val="nil"/>
            </w:tcBorders>
            <w:shd w:val="clear" w:color="auto" w:fill="auto"/>
            <w:hideMark/>
          </w:tcPr>
          <w:p w14:paraId="02BD553B" w14:textId="77777777" w:rsidR="00A45628" w:rsidRPr="00586D77" w:rsidRDefault="00A45628" w:rsidP="00586D77">
            <w:pPr>
              <w:spacing w:before="0"/>
              <w:rPr>
                <w:rFonts w:ascii="Calibri" w:hAnsi="Calibri" w:cs="Calibri"/>
                <w:color w:val="000000"/>
                <w:sz w:val="22"/>
                <w:szCs w:val="22"/>
                <w:lang w:eastAsia="en-AU"/>
              </w:rPr>
            </w:pPr>
          </w:p>
        </w:tc>
        <w:tc>
          <w:tcPr>
            <w:tcW w:w="2552" w:type="dxa"/>
            <w:tcBorders>
              <w:top w:val="nil"/>
              <w:left w:val="nil"/>
              <w:bottom w:val="nil"/>
              <w:right w:val="nil"/>
            </w:tcBorders>
            <w:shd w:val="clear" w:color="auto" w:fill="auto"/>
            <w:hideMark/>
          </w:tcPr>
          <w:p w14:paraId="347B579B" w14:textId="77777777" w:rsidR="00A45628" w:rsidRPr="00586D77" w:rsidRDefault="00A45628" w:rsidP="00586D77">
            <w:pPr>
              <w:spacing w:before="0"/>
              <w:jc w:val="both"/>
              <w:rPr>
                <w:rFonts w:ascii="Calibri" w:hAnsi="Calibri" w:cs="Calibri"/>
                <w:color w:val="000000"/>
                <w:sz w:val="22"/>
                <w:szCs w:val="22"/>
                <w:lang w:eastAsia="en-AU"/>
              </w:rPr>
            </w:pPr>
          </w:p>
        </w:tc>
        <w:tc>
          <w:tcPr>
            <w:tcW w:w="496" w:type="dxa"/>
            <w:tcBorders>
              <w:top w:val="nil"/>
              <w:left w:val="nil"/>
              <w:bottom w:val="nil"/>
              <w:right w:val="nil"/>
            </w:tcBorders>
            <w:shd w:val="clear" w:color="auto" w:fill="auto"/>
            <w:hideMark/>
          </w:tcPr>
          <w:p w14:paraId="2B98F093" w14:textId="77777777" w:rsidR="00A45628" w:rsidRPr="00586D77" w:rsidRDefault="00A45628" w:rsidP="00586D77">
            <w:pPr>
              <w:spacing w:before="0"/>
              <w:jc w:val="both"/>
              <w:rPr>
                <w:rFonts w:ascii="Calibri" w:hAnsi="Calibri" w:cs="Calibri"/>
                <w:color w:val="000000"/>
                <w:sz w:val="22"/>
                <w:szCs w:val="22"/>
                <w:lang w:eastAsia="en-AU"/>
              </w:rPr>
            </w:pPr>
          </w:p>
        </w:tc>
        <w:tc>
          <w:tcPr>
            <w:tcW w:w="567" w:type="dxa"/>
            <w:tcBorders>
              <w:top w:val="nil"/>
              <w:left w:val="nil"/>
              <w:bottom w:val="nil"/>
              <w:right w:val="nil"/>
            </w:tcBorders>
            <w:shd w:val="clear" w:color="auto" w:fill="auto"/>
            <w:hideMark/>
          </w:tcPr>
          <w:p w14:paraId="2552064E" w14:textId="77777777" w:rsidR="00A45628" w:rsidRPr="00586D77" w:rsidRDefault="00A45628" w:rsidP="00586D77">
            <w:pPr>
              <w:spacing w:before="0"/>
              <w:jc w:val="both"/>
              <w:rPr>
                <w:rFonts w:ascii="Calibri" w:hAnsi="Calibri" w:cs="Calibri"/>
                <w:color w:val="000000"/>
                <w:sz w:val="22"/>
                <w:szCs w:val="22"/>
                <w:lang w:eastAsia="en-AU"/>
              </w:rPr>
            </w:pPr>
          </w:p>
        </w:tc>
        <w:tc>
          <w:tcPr>
            <w:tcW w:w="567" w:type="dxa"/>
            <w:tcBorders>
              <w:top w:val="nil"/>
              <w:left w:val="nil"/>
              <w:bottom w:val="nil"/>
              <w:right w:val="nil"/>
            </w:tcBorders>
            <w:shd w:val="clear" w:color="auto" w:fill="auto"/>
            <w:hideMark/>
          </w:tcPr>
          <w:p w14:paraId="56C89C13" w14:textId="77777777" w:rsidR="00A45628" w:rsidRPr="00586D77" w:rsidRDefault="00A45628" w:rsidP="00586D77">
            <w:pPr>
              <w:spacing w:before="0"/>
              <w:jc w:val="both"/>
              <w:rPr>
                <w:rFonts w:ascii="Calibri" w:hAnsi="Calibri" w:cs="Calibri"/>
                <w:color w:val="000000"/>
                <w:sz w:val="22"/>
                <w:szCs w:val="22"/>
                <w:lang w:eastAsia="en-AU"/>
              </w:rPr>
            </w:pPr>
          </w:p>
        </w:tc>
        <w:tc>
          <w:tcPr>
            <w:tcW w:w="567" w:type="dxa"/>
            <w:tcBorders>
              <w:top w:val="nil"/>
              <w:left w:val="nil"/>
              <w:bottom w:val="nil"/>
              <w:right w:val="nil"/>
            </w:tcBorders>
            <w:shd w:val="clear" w:color="auto" w:fill="auto"/>
            <w:hideMark/>
          </w:tcPr>
          <w:p w14:paraId="69187884" w14:textId="77777777" w:rsidR="00A45628" w:rsidRPr="00586D77" w:rsidRDefault="00A45628" w:rsidP="00586D77">
            <w:pPr>
              <w:spacing w:before="0"/>
              <w:jc w:val="both"/>
              <w:rPr>
                <w:rFonts w:ascii="Calibri" w:hAnsi="Calibri" w:cs="Calibri"/>
                <w:color w:val="000000"/>
                <w:sz w:val="22"/>
                <w:szCs w:val="22"/>
                <w:lang w:eastAsia="en-AU"/>
              </w:rPr>
            </w:pPr>
          </w:p>
        </w:tc>
        <w:tc>
          <w:tcPr>
            <w:tcW w:w="567" w:type="dxa"/>
            <w:tcBorders>
              <w:top w:val="nil"/>
              <w:left w:val="nil"/>
              <w:bottom w:val="nil"/>
              <w:right w:val="nil"/>
            </w:tcBorders>
            <w:shd w:val="clear" w:color="auto" w:fill="auto"/>
            <w:hideMark/>
          </w:tcPr>
          <w:p w14:paraId="6AD44434" w14:textId="77777777" w:rsidR="00A45628" w:rsidRPr="00586D77" w:rsidRDefault="00A45628" w:rsidP="00586D77">
            <w:pPr>
              <w:spacing w:before="0"/>
              <w:jc w:val="both"/>
              <w:rPr>
                <w:rFonts w:ascii="Calibri" w:hAnsi="Calibri" w:cs="Calibri"/>
                <w:color w:val="000000"/>
                <w:sz w:val="22"/>
                <w:szCs w:val="22"/>
                <w:lang w:eastAsia="en-AU"/>
              </w:rPr>
            </w:pPr>
          </w:p>
        </w:tc>
        <w:tc>
          <w:tcPr>
            <w:tcW w:w="567" w:type="dxa"/>
            <w:tcBorders>
              <w:top w:val="nil"/>
              <w:left w:val="nil"/>
              <w:bottom w:val="nil"/>
              <w:right w:val="nil"/>
            </w:tcBorders>
            <w:shd w:val="clear" w:color="auto" w:fill="auto"/>
            <w:hideMark/>
          </w:tcPr>
          <w:p w14:paraId="6C498070" w14:textId="77777777" w:rsidR="00A45628" w:rsidRPr="00586D77" w:rsidRDefault="00A45628" w:rsidP="00586D77">
            <w:pPr>
              <w:spacing w:before="0"/>
              <w:jc w:val="both"/>
              <w:rPr>
                <w:rFonts w:ascii="Calibri" w:hAnsi="Calibri" w:cs="Calibri"/>
                <w:color w:val="000000"/>
                <w:sz w:val="22"/>
                <w:szCs w:val="22"/>
                <w:lang w:eastAsia="en-AU"/>
              </w:rPr>
            </w:pPr>
          </w:p>
        </w:tc>
        <w:tc>
          <w:tcPr>
            <w:tcW w:w="567" w:type="dxa"/>
            <w:tcBorders>
              <w:top w:val="nil"/>
              <w:left w:val="nil"/>
              <w:bottom w:val="nil"/>
              <w:right w:val="nil"/>
            </w:tcBorders>
            <w:shd w:val="clear" w:color="auto" w:fill="auto"/>
            <w:hideMark/>
          </w:tcPr>
          <w:p w14:paraId="5AD14B23" w14:textId="77777777" w:rsidR="00A45628" w:rsidRPr="00586D77" w:rsidRDefault="00A45628" w:rsidP="00586D77">
            <w:pPr>
              <w:spacing w:before="0"/>
              <w:jc w:val="both"/>
              <w:rPr>
                <w:rFonts w:ascii="Calibri" w:hAnsi="Calibri" w:cs="Calibri"/>
                <w:color w:val="000000"/>
                <w:sz w:val="22"/>
                <w:szCs w:val="22"/>
                <w:lang w:eastAsia="en-AU"/>
              </w:rPr>
            </w:pPr>
          </w:p>
        </w:tc>
        <w:tc>
          <w:tcPr>
            <w:tcW w:w="567" w:type="dxa"/>
            <w:tcBorders>
              <w:top w:val="nil"/>
              <w:left w:val="nil"/>
              <w:bottom w:val="nil"/>
              <w:right w:val="nil"/>
            </w:tcBorders>
            <w:shd w:val="clear" w:color="auto" w:fill="auto"/>
            <w:hideMark/>
          </w:tcPr>
          <w:p w14:paraId="2A3C60B2" w14:textId="77777777" w:rsidR="00A45628" w:rsidRPr="00586D77" w:rsidRDefault="00A45628" w:rsidP="00586D77">
            <w:pPr>
              <w:spacing w:before="0"/>
              <w:jc w:val="both"/>
              <w:rPr>
                <w:rFonts w:ascii="Calibri" w:hAnsi="Calibri" w:cs="Calibri"/>
                <w:color w:val="000000"/>
                <w:sz w:val="22"/>
                <w:szCs w:val="22"/>
                <w:lang w:eastAsia="en-AU"/>
              </w:rPr>
            </w:pPr>
          </w:p>
        </w:tc>
        <w:tc>
          <w:tcPr>
            <w:tcW w:w="567" w:type="dxa"/>
            <w:tcBorders>
              <w:top w:val="nil"/>
              <w:left w:val="nil"/>
              <w:bottom w:val="nil"/>
              <w:right w:val="nil"/>
            </w:tcBorders>
            <w:shd w:val="clear" w:color="auto" w:fill="auto"/>
            <w:hideMark/>
          </w:tcPr>
          <w:p w14:paraId="6956647A" w14:textId="77777777" w:rsidR="00A45628" w:rsidRPr="00586D77" w:rsidRDefault="00A45628" w:rsidP="00586D77">
            <w:pPr>
              <w:spacing w:before="0"/>
              <w:jc w:val="both"/>
              <w:rPr>
                <w:rFonts w:ascii="Calibri" w:hAnsi="Calibri" w:cs="Calibri"/>
                <w:color w:val="000000"/>
                <w:sz w:val="22"/>
                <w:szCs w:val="22"/>
                <w:lang w:eastAsia="en-AU"/>
              </w:rPr>
            </w:pPr>
          </w:p>
        </w:tc>
        <w:tc>
          <w:tcPr>
            <w:tcW w:w="567" w:type="dxa"/>
            <w:tcBorders>
              <w:top w:val="nil"/>
              <w:left w:val="nil"/>
              <w:bottom w:val="nil"/>
              <w:right w:val="nil"/>
            </w:tcBorders>
          </w:tcPr>
          <w:p w14:paraId="76C4B930" w14:textId="77777777" w:rsidR="00A45628" w:rsidRPr="00586D77" w:rsidRDefault="00A45628" w:rsidP="00586D77">
            <w:pPr>
              <w:spacing w:before="0"/>
              <w:jc w:val="both"/>
              <w:rPr>
                <w:rFonts w:ascii="Calibri" w:hAnsi="Calibri" w:cs="Calibri"/>
                <w:color w:val="000000"/>
                <w:sz w:val="22"/>
                <w:szCs w:val="22"/>
                <w:lang w:eastAsia="en-AU"/>
              </w:rPr>
            </w:pPr>
          </w:p>
        </w:tc>
        <w:tc>
          <w:tcPr>
            <w:tcW w:w="567" w:type="dxa"/>
            <w:tcBorders>
              <w:top w:val="nil"/>
              <w:left w:val="nil"/>
              <w:bottom w:val="nil"/>
              <w:right w:val="nil"/>
            </w:tcBorders>
          </w:tcPr>
          <w:p w14:paraId="740153FB" w14:textId="77777777" w:rsidR="00A45628" w:rsidRPr="00586D77" w:rsidRDefault="00A45628" w:rsidP="00586D77">
            <w:pPr>
              <w:spacing w:before="0"/>
              <w:jc w:val="both"/>
              <w:rPr>
                <w:rFonts w:ascii="Calibri" w:hAnsi="Calibri" w:cs="Calibri"/>
                <w:color w:val="000000"/>
                <w:sz w:val="22"/>
                <w:szCs w:val="22"/>
                <w:lang w:eastAsia="en-AU"/>
              </w:rPr>
            </w:pPr>
          </w:p>
        </w:tc>
      </w:tr>
    </w:tbl>
    <w:p w14:paraId="190484BE" w14:textId="77777777" w:rsidR="00A45628" w:rsidRDefault="00A45628">
      <w:r>
        <w:br w:type="page"/>
      </w:r>
    </w:p>
    <w:tbl>
      <w:tblPr>
        <w:tblW w:w="14686" w:type="dxa"/>
        <w:tblInd w:w="93" w:type="dxa"/>
        <w:tblLayout w:type="fixed"/>
        <w:tblLook w:val="04A0" w:firstRow="1" w:lastRow="0" w:firstColumn="1" w:lastColumn="0" w:noHBand="0" w:noVBand="1"/>
      </w:tblPr>
      <w:tblGrid>
        <w:gridCol w:w="567"/>
        <w:gridCol w:w="567"/>
        <w:gridCol w:w="441"/>
        <w:gridCol w:w="126"/>
        <w:gridCol w:w="2992"/>
        <w:gridCol w:w="1072"/>
        <w:gridCol w:w="2755"/>
        <w:gridCol w:w="496"/>
        <w:gridCol w:w="567"/>
        <w:gridCol w:w="567"/>
        <w:gridCol w:w="567"/>
        <w:gridCol w:w="567"/>
        <w:gridCol w:w="567"/>
        <w:gridCol w:w="567"/>
        <w:gridCol w:w="567"/>
        <w:gridCol w:w="567"/>
        <w:gridCol w:w="567"/>
        <w:gridCol w:w="567"/>
      </w:tblGrid>
      <w:tr w:rsidR="00EB1FEE" w:rsidRPr="00586D77" w14:paraId="75BF968C" w14:textId="71FFB399" w:rsidTr="003161F8">
        <w:trPr>
          <w:trHeight w:val="416"/>
        </w:trPr>
        <w:tc>
          <w:tcPr>
            <w:tcW w:w="4693" w:type="dxa"/>
            <w:gridSpan w:val="5"/>
            <w:tcBorders>
              <w:top w:val="nil"/>
              <w:left w:val="nil"/>
              <w:bottom w:val="nil"/>
              <w:right w:val="nil"/>
            </w:tcBorders>
            <w:shd w:val="clear" w:color="auto" w:fill="auto"/>
            <w:hideMark/>
          </w:tcPr>
          <w:p w14:paraId="14388EA6" w14:textId="169D4ABD" w:rsidR="00EB1FEE" w:rsidRPr="00586D77" w:rsidRDefault="00EB1FEE" w:rsidP="00586D77">
            <w:pPr>
              <w:spacing w:before="0"/>
              <w:jc w:val="both"/>
              <w:rPr>
                <w:rFonts w:ascii="Calibri" w:hAnsi="Calibri" w:cs="Calibri"/>
                <w:color w:val="000000"/>
                <w:sz w:val="22"/>
                <w:szCs w:val="22"/>
                <w:lang w:eastAsia="en-AU"/>
              </w:rPr>
            </w:pPr>
            <w:r w:rsidRPr="00586D77">
              <w:rPr>
                <w:rFonts w:ascii="Calibri" w:hAnsi="Calibri" w:cs="Calibri"/>
                <w:b/>
                <w:bCs/>
                <w:color w:val="000000"/>
                <w:sz w:val="22"/>
                <w:szCs w:val="22"/>
                <w:lang w:eastAsia="en-AU"/>
              </w:rPr>
              <w:t>COMPONENT 2: VCA</w:t>
            </w:r>
          </w:p>
        </w:tc>
        <w:tc>
          <w:tcPr>
            <w:tcW w:w="1072" w:type="dxa"/>
            <w:tcBorders>
              <w:top w:val="nil"/>
              <w:left w:val="nil"/>
              <w:bottom w:val="nil"/>
              <w:right w:val="nil"/>
            </w:tcBorders>
            <w:shd w:val="clear" w:color="auto" w:fill="auto"/>
            <w:hideMark/>
          </w:tcPr>
          <w:p w14:paraId="58C52E0D" w14:textId="77777777" w:rsidR="00EB1FEE" w:rsidRPr="00586D77" w:rsidRDefault="00EB1FEE" w:rsidP="00586D77">
            <w:pPr>
              <w:spacing w:before="0"/>
              <w:rPr>
                <w:rFonts w:ascii="Calibri" w:hAnsi="Calibri" w:cs="Calibri"/>
                <w:color w:val="000000"/>
                <w:sz w:val="22"/>
                <w:szCs w:val="22"/>
                <w:lang w:eastAsia="en-AU"/>
              </w:rPr>
            </w:pPr>
          </w:p>
        </w:tc>
        <w:tc>
          <w:tcPr>
            <w:tcW w:w="2755" w:type="dxa"/>
            <w:tcBorders>
              <w:top w:val="nil"/>
              <w:left w:val="nil"/>
              <w:bottom w:val="nil"/>
              <w:right w:val="nil"/>
            </w:tcBorders>
            <w:shd w:val="clear" w:color="auto" w:fill="auto"/>
            <w:hideMark/>
          </w:tcPr>
          <w:p w14:paraId="1F8487F5" w14:textId="77777777" w:rsidR="00EB1FEE" w:rsidRPr="00586D77" w:rsidRDefault="00EB1FEE" w:rsidP="00586D77">
            <w:pPr>
              <w:spacing w:before="0"/>
              <w:jc w:val="both"/>
              <w:rPr>
                <w:rFonts w:ascii="Calibri" w:hAnsi="Calibri" w:cs="Calibri"/>
                <w:color w:val="000000"/>
                <w:sz w:val="22"/>
                <w:szCs w:val="22"/>
                <w:lang w:eastAsia="en-AU"/>
              </w:rPr>
            </w:pPr>
          </w:p>
        </w:tc>
        <w:tc>
          <w:tcPr>
            <w:tcW w:w="496" w:type="dxa"/>
            <w:tcBorders>
              <w:top w:val="nil"/>
              <w:left w:val="nil"/>
              <w:bottom w:val="nil"/>
              <w:right w:val="nil"/>
            </w:tcBorders>
            <w:shd w:val="clear" w:color="auto" w:fill="auto"/>
            <w:hideMark/>
          </w:tcPr>
          <w:p w14:paraId="43EAD703"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nil"/>
              <w:left w:val="nil"/>
              <w:bottom w:val="nil"/>
              <w:right w:val="nil"/>
            </w:tcBorders>
            <w:shd w:val="clear" w:color="auto" w:fill="auto"/>
            <w:hideMark/>
          </w:tcPr>
          <w:p w14:paraId="234768D5"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nil"/>
              <w:left w:val="nil"/>
              <w:bottom w:val="nil"/>
              <w:right w:val="nil"/>
            </w:tcBorders>
            <w:shd w:val="clear" w:color="auto" w:fill="auto"/>
            <w:hideMark/>
          </w:tcPr>
          <w:p w14:paraId="058D6596"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nil"/>
              <w:left w:val="nil"/>
              <w:bottom w:val="nil"/>
              <w:right w:val="nil"/>
            </w:tcBorders>
            <w:shd w:val="clear" w:color="auto" w:fill="auto"/>
            <w:hideMark/>
          </w:tcPr>
          <w:p w14:paraId="1C7ED36E"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nil"/>
              <w:left w:val="nil"/>
              <w:bottom w:val="nil"/>
              <w:right w:val="nil"/>
            </w:tcBorders>
            <w:shd w:val="clear" w:color="auto" w:fill="auto"/>
            <w:hideMark/>
          </w:tcPr>
          <w:p w14:paraId="4881F5AE"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nil"/>
              <w:left w:val="nil"/>
              <w:bottom w:val="nil"/>
              <w:right w:val="nil"/>
            </w:tcBorders>
            <w:shd w:val="clear" w:color="auto" w:fill="auto"/>
            <w:hideMark/>
          </w:tcPr>
          <w:p w14:paraId="3CBB026E"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nil"/>
              <w:left w:val="nil"/>
              <w:bottom w:val="nil"/>
              <w:right w:val="nil"/>
            </w:tcBorders>
            <w:shd w:val="clear" w:color="auto" w:fill="auto"/>
            <w:hideMark/>
          </w:tcPr>
          <w:p w14:paraId="6D591737"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nil"/>
              <w:left w:val="nil"/>
              <w:bottom w:val="nil"/>
              <w:right w:val="nil"/>
            </w:tcBorders>
            <w:shd w:val="clear" w:color="auto" w:fill="auto"/>
            <w:hideMark/>
          </w:tcPr>
          <w:p w14:paraId="0DDC9058"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nil"/>
              <w:left w:val="nil"/>
              <w:bottom w:val="nil"/>
              <w:right w:val="nil"/>
            </w:tcBorders>
            <w:shd w:val="clear" w:color="auto" w:fill="auto"/>
            <w:hideMark/>
          </w:tcPr>
          <w:p w14:paraId="619A4114"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nil"/>
              <w:left w:val="nil"/>
              <w:bottom w:val="nil"/>
              <w:right w:val="nil"/>
            </w:tcBorders>
          </w:tcPr>
          <w:p w14:paraId="7999F8AD"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nil"/>
              <w:left w:val="nil"/>
              <w:bottom w:val="nil"/>
              <w:right w:val="nil"/>
            </w:tcBorders>
          </w:tcPr>
          <w:p w14:paraId="22E60E0B" w14:textId="77777777" w:rsidR="00EB1FEE" w:rsidRPr="00586D77" w:rsidRDefault="00EB1FEE" w:rsidP="00586D77">
            <w:pPr>
              <w:spacing w:before="0"/>
              <w:jc w:val="both"/>
              <w:rPr>
                <w:rFonts w:ascii="Calibri" w:hAnsi="Calibri" w:cs="Calibri"/>
                <w:color w:val="000000"/>
                <w:sz w:val="22"/>
                <w:szCs w:val="22"/>
                <w:lang w:eastAsia="en-AU"/>
              </w:rPr>
            </w:pPr>
          </w:p>
        </w:tc>
      </w:tr>
      <w:tr w:rsidR="00EB1FEE" w:rsidRPr="00586D77" w14:paraId="366CED21" w14:textId="28FDAD89" w:rsidTr="003161F8">
        <w:trPr>
          <w:trHeight w:val="870"/>
        </w:trPr>
        <w:tc>
          <w:tcPr>
            <w:tcW w:w="1575" w:type="dxa"/>
            <w:gridSpan w:val="3"/>
            <w:tcBorders>
              <w:top w:val="nil"/>
              <w:left w:val="single" w:sz="4" w:space="0" w:color="auto"/>
              <w:bottom w:val="single" w:sz="4" w:space="0" w:color="auto"/>
              <w:right w:val="single" w:sz="4" w:space="0" w:color="auto"/>
            </w:tcBorders>
            <w:shd w:val="clear" w:color="000000" w:fill="C5D9F1"/>
            <w:vAlign w:val="center"/>
            <w:hideMark/>
          </w:tcPr>
          <w:p w14:paraId="475B4868" w14:textId="77777777" w:rsidR="00EB1FEE" w:rsidRPr="00586D77" w:rsidRDefault="00EB1FEE" w:rsidP="00586D77">
            <w:pPr>
              <w:spacing w:before="0"/>
              <w:rPr>
                <w:rFonts w:ascii="Calibri" w:hAnsi="Calibri" w:cs="Calibri"/>
                <w:b/>
                <w:bCs/>
                <w:sz w:val="22"/>
                <w:szCs w:val="22"/>
                <w:lang w:eastAsia="en-AU"/>
              </w:rPr>
            </w:pPr>
            <w:r w:rsidRPr="00586D77">
              <w:rPr>
                <w:rFonts w:ascii="Calibri" w:hAnsi="Calibri" w:cs="Calibri"/>
                <w:b/>
                <w:bCs/>
                <w:sz w:val="22"/>
                <w:szCs w:val="22"/>
                <w:lang w:eastAsia="en-AU"/>
              </w:rPr>
              <w:t>Activity</w:t>
            </w:r>
          </w:p>
        </w:tc>
        <w:tc>
          <w:tcPr>
            <w:tcW w:w="3118" w:type="dxa"/>
            <w:gridSpan w:val="2"/>
            <w:tcBorders>
              <w:top w:val="nil"/>
              <w:left w:val="nil"/>
              <w:bottom w:val="single" w:sz="4" w:space="0" w:color="auto"/>
              <w:right w:val="single" w:sz="4" w:space="0" w:color="auto"/>
            </w:tcBorders>
            <w:shd w:val="clear" w:color="000000" w:fill="C5D9F1"/>
            <w:vAlign w:val="center"/>
            <w:hideMark/>
          </w:tcPr>
          <w:p w14:paraId="13F59AB2" w14:textId="77777777" w:rsidR="00EB1FEE" w:rsidRPr="00586D77" w:rsidRDefault="00EB1FEE" w:rsidP="00586D77">
            <w:pPr>
              <w:spacing w:before="0"/>
              <w:rPr>
                <w:rFonts w:ascii="Calibri" w:hAnsi="Calibri" w:cs="Calibri"/>
                <w:b/>
                <w:bCs/>
                <w:sz w:val="22"/>
                <w:szCs w:val="22"/>
                <w:lang w:eastAsia="en-AU"/>
              </w:rPr>
            </w:pPr>
            <w:r w:rsidRPr="00586D77">
              <w:rPr>
                <w:rFonts w:ascii="Calibri" w:hAnsi="Calibri" w:cs="Calibri"/>
                <w:b/>
                <w:bCs/>
                <w:sz w:val="22"/>
                <w:szCs w:val="22"/>
                <w:lang w:eastAsia="en-AU"/>
              </w:rPr>
              <w:t>Activity description</w:t>
            </w:r>
          </w:p>
        </w:tc>
        <w:tc>
          <w:tcPr>
            <w:tcW w:w="1072" w:type="dxa"/>
            <w:tcBorders>
              <w:top w:val="nil"/>
              <w:left w:val="nil"/>
              <w:bottom w:val="single" w:sz="4" w:space="0" w:color="auto"/>
              <w:right w:val="single" w:sz="4" w:space="0" w:color="auto"/>
            </w:tcBorders>
            <w:shd w:val="clear" w:color="000000" w:fill="C5D9F1"/>
            <w:vAlign w:val="center"/>
            <w:hideMark/>
          </w:tcPr>
          <w:p w14:paraId="503C5B21" w14:textId="77777777" w:rsidR="00EB1FEE" w:rsidRPr="00586D77" w:rsidRDefault="00EB1FEE" w:rsidP="00586D77">
            <w:pPr>
              <w:spacing w:before="0"/>
              <w:rPr>
                <w:rFonts w:ascii="Calibri" w:hAnsi="Calibri" w:cs="Calibri"/>
                <w:b/>
                <w:bCs/>
                <w:sz w:val="22"/>
                <w:szCs w:val="22"/>
                <w:lang w:eastAsia="en-AU"/>
              </w:rPr>
            </w:pPr>
            <w:r w:rsidRPr="00586D77">
              <w:rPr>
                <w:rFonts w:ascii="Calibri" w:hAnsi="Calibri" w:cs="Calibri"/>
                <w:b/>
                <w:bCs/>
                <w:sz w:val="22"/>
                <w:szCs w:val="22"/>
                <w:lang w:eastAsia="en-AU"/>
              </w:rPr>
              <w:t>Inputs needed</w:t>
            </w:r>
          </w:p>
        </w:tc>
        <w:tc>
          <w:tcPr>
            <w:tcW w:w="2755" w:type="dxa"/>
            <w:tcBorders>
              <w:top w:val="nil"/>
              <w:left w:val="nil"/>
              <w:bottom w:val="single" w:sz="4" w:space="0" w:color="auto"/>
              <w:right w:val="single" w:sz="4" w:space="0" w:color="auto"/>
            </w:tcBorders>
            <w:shd w:val="clear" w:color="000000" w:fill="C5D9F1"/>
            <w:vAlign w:val="center"/>
            <w:hideMark/>
          </w:tcPr>
          <w:p w14:paraId="3680F13B" w14:textId="77777777" w:rsidR="00EB1FEE" w:rsidRPr="00586D77" w:rsidRDefault="00EB1FEE" w:rsidP="00586D77">
            <w:pPr>
              <w:spacing w:before="0"/>
              <w:rPr>
                <w:rFonts w:ascii="Calibri" w:hAnsi="Calibri" w:cs="Calibri"/>
                <w:b/>
                <w:bCs/>
                <w:sz w:val="22"/>
                <w:szCs w:val="22"/>
                <w:lang w:eastAsia="en-AU"/>
              </w:rPr>
            </w:pPr>
            <w:r w:rsidRPr="00586D77">
              <w:rPr>
                <w:rFonts w:ascii="Calibri" w:hAnsi="Calibri" w:cs="Calibri"/>
                <w:b/>
                <w:bCs/>
                <w:sz w:val="22"/>
                <w:szCs w:val="22"/>
                <w:lang w:eastAsia="en-AU"/>
              </w:rPr>
              <w:t>Outputs</w:t>
            </w:r>
          </w:p>
        </w:tc>
        <w:tc>
          <w:tcPr>
            <w:tcW w:w="496" w:type="dxa"/>
            <w:tcBorders>
              <w:top w:val="nil"/>
              <w:left w:val="nil"/>
              <w:bottom w:val="single" w:sz="4" w:space="0" w:color="auto"/>
              <w:right w:val="single" w:sz="4" w:space="0" w:color="auto"/>
            </w:tcBorders>
            <w:shd w:val="clear" w:color="auto" w:fill="auto"/>
            <w:hideMark/>
          </w:tcPr>
          <w:p w14:paraId="3CF93432" w14:textId="77777777" w:rsidR="00EB1FEE" w:rsidRDefault="00EB1FEE" w:rsidP="00EB1FEE">
            <w:pPr>
              <w:spacing w:before="0"/>
              <w:jc w:val="both"/>
              <w:rPr>
                <w:rFonts w:ascii="Calibri" w:hAnsi="Calibri" w:cs="Calibri"/>
                <w:b/>
                <w:bCs/>
                <w:sz w:val="22"/>
                <w:szCs w:val="22"/>
                <w:lang w:eastAsia="en-AU"/>
              </w:rPr>
            </w:pPr>
            <w:r w:rsidRPr="00586D77">
              <w:rPr>
                <w:rFonts w:ascii="Calibri" w:hAnsi="Calibri" w:cs="Calibri"/>
                <w:b/>
                <w:bCs/>
                <w:sz w:val="22"/>
                <w:szCs w:val="22"/>
                <w:lang w:eastAsia="en-AU"/>
              </w:rPr>
              <w:t>Q2</w:t>
            </w:r>
          </w:p>
          <w:p w14:paraId="3884CE5E" w14:textId="3F5424ED" w:rsidR="00EB1FEE" w:rsidRPr="00586D77" w:rsidRDefault="00EB1FEE" w:rsidP="00586D77">
            <w:pPr>
              <w:spacing w:before="0"/>
              <w:rPr>
                <w:rFonts w:ascii="Calibri" w:hAnsi="Calibri" w:cs="Calibri"/>
                <w:b/>
                <w:bCs/>
                <w:sz w:val="22"/>
                <w:szCs w:val="22"/>
                <w:lang w:eastAsia="en-AU"/>
              </w:rPr>
            </w:pPr>
            <w:r w:rsidRPr="00586D77">
              <w:rPr>
                <w:rFonts w:ascii="Calibri" w:hAnsi="Calibri" w:cs="Calibri"/>
                <w:b/>
                <w:bCs/>
                <w:sz w:val="22"/>
                <w:szCs w:val="22"/>
                <w:lang w:eastAsia="en-AU"/>
              </w:rPr>
              <w:t>14</w:t>
            </w:r>
          </w:p>
        </w:tc>
        <w:tc>
          <w:tcPr>
            <w:tcW w:w="567" w:type="dxa"/>
            <w:tcBorders>
              <w:top w:val="nil"/>
              <w:left w:val="nil"/>
              <w:bottom w:val="single" w:sz="4" w:space="0" w:color="auto"/>
              <w:right w:val="single" w:sz="4" w:space="0" w:color="auto"/>
            </w:tcBorders>
            <w:shd w:val="clear" w:color="auto" w:fill="auto"/>
            <w:hideMark/>
          </w:tcPr>
          <w:p w14:paraId="5C4C0055" w14:textId="77777777" w:rsidR="00EB1FEE" w:rsidRDefault="00EB1FEE" w:rsidP="00EB1FEE">
            <w:pPr>
              <w:spacing w:before="0"/>
              <w:jc w:val="both"/>
              <w:rPr>
                <w:rFonts w:ascii="Calibri" w:hAnsi="Calibri" w:cs="Calibri"/>
                <w:b/>
                <w:bCs/>
                <w:sz w:val="22"/>
                <w:szCs w:val="22"/>
                <w:lang w:eastAsia="en-AU"/>
              </w:rPr>
            </w:pPr>
            <w:r w:rsidRPr="00586D77">
              <w:rPr>
                <w:rFonts w:ascii="Calibri" w:hAnsi="Calibri" w:cs="Calibri"/>
                <w:b/>
                <w:bCs/>
                <w:sz w:val="22"/>
                <w:szCs w:val="22"/>
                <w:lang w:eastAsia="en-AU"/>
              </w:rPr>
              <w:t>Q3</w:t>
            </w:r>
          </w:p>
          <w:p w14:paraId="59EDCD2E" w14:textId="6AB5B12A" w:rsidR="00EB1FEE" w:rsidRPr="00586D77" w:rsidRDefault="00EB1FEE" w:rsidP="00586D77">
            <w:pPr>
              <w:spacing w:before="0"/>
              <w:rPr>
                <w:rFonts w:ascii="Calibri" w:hAnsi="Calibri" w:cs="Calibri"/>
                <w:b/>
                <w:bCs/>
                <w:sz w:val="22"/>
                <w:szCs w:val="22"/>
                <w:lang w:eastAsia="en-AU"/>
              </w:rPr>
            </w:pPr>
            <w:r w:rsidRPr="00586D77">
              <w:rPr>
                <w:rFonts w:ascii="Calibri" w:hAnsi="Calibri" w:cs="Calibri"/>
                <w:b/>
                <w:bCs/>
                <w:sz w:val="22"/>
                <w:szCs w:val="22"/>
                <w:lang w:eastAsia="en-AU"/>
              </w:rPr>
              <w:t>14</w:t>
            </w:r>
          </w:p>
        </w:tc>
        <w:tc>
          <w:tcPr>
            <w:tcW w:w="567" w:type="dxa"/>
            <w:tcBorders>
              <w:top w:val="nil"/>
              <w:left w:val="nil"/>
              <w:bottom w:val="single" w:sz="4" w:space="0" w:color="auto"/>
              <w:right w:val="single" w:sz="4" w:space="0" w:color="auto"/>
            </w:tcBorders>
            <w:shd w:val="clear" w:color="auto" w:fill="auto"/>
            <w:hideMark/>
          </w:tcPr>
          <w:p w14:paraId="490DBEBF" w14:textId="77777777" w:rsidR="00EB1FEE" w:rsidRDefault="00EB1FEE" w:rsidP="00EB1FEE">
            <w:pPr>
              <w:spacing w:before="0"/>
              <w:jc w:val="both"/>
              <w:rPr>
                <w:rFonts w:ascii="Calibri" w:hAnsi="Calibri" w:cs="Calibri"/>
                <w:b/>
                <w:bCs/>
                <w:sz w:val="22"/>
                <w:szCs w:val="22"/>
                <w:lang w:eastAsia="en-AU"/>
              </w:rPr>
            </w:pPr>
            <w:r w:rsidRPr="00586D77">
              <w:rPr>
                <w:rFonts w:ascii="Calibri" w:hAnsi="Calibri" w:cs="Calibri"/>
                <w:b/>
                <w:bCs/>
                <w:sz w:val="22"/>
                <w:szCs w:val="22"/>
                <w:lang w:eastAsia="en-AU"/>
              </w:rPr>
              <w:t>Q4</w:t>
            </w:r>
          </w:p>
          <w:p w14:paraId="12E5402B" w14:textId="2F5B84C6" w:rsidR="00EB1FEE" w:rsidRPr="00586D77" w:rsidRDefault="00EB1FEE" w:rsidP="00586D77">
            <w:pPr>
              <w:spacing w:before="0"/>
              <w:rPr>
                <w:rFonts w:ascii="Calibri" w:hAnsi="Calibri" w:cs="Calibri"/>
                <w:b/>
                <w:bCs/>
                <w:sz w:val="22"/>
                <w:szCs w:val="22"/>
                <w:lang w:eastAsia="en-AU"/>
              </w:rPr>
            </w:pPr>
            <w:r w:rsidRPr="00586D77">
              <w:rPr>
                <w:rFonts w:ascii="Calibri" w:hAnsi="Calibri" w:cs="Calibri"/>
                <w:b/>
                <w:bCs/>
                <w:sz w:val="22"/>
                <w:szCs w:val="22"/>
                <w:lang w:eastAsia="en-AU"/>
              </w:rPr>
              <w:t>14</w:t>
            </w:r>
          </w:p>
        </w:tc>
        <w:tc>
          <w:tcPr>
            <w:tcW w:w="567" w:type="dxa"/>
            <w:tcBorders>
              <w:top w:val="nil"/>
              <w:left w:val="nil"/>
              <w:bottom w:val="single" w:sz="4" w:space="0" w:color="auto"/>
              <w:right w:val="single" w:sz="4" w:space="0" w:color="auto"/>
            </w:tcBorders>
            <w:shd w:val="clear" w:color="auto" w:fill="auto"/>
            <w:hideMark/>
          </w:tcPr>
          <w:p w14:paraId="0039DF54" w14:textId="77777777" w:rsidR="00EB1FEE" w:rsidRDefault="00EB1FEE" w:rsidP="00EB1FEE">
            <w:pPr>
              <w:spacing w:before="0"/>
              <w:jc w:val="both"/>
              <w:rPr>
                <w:rFonts w:ascii="Calibri" w:hAnsi="Calibri" w:cs="Calibri"/>
                <w:b/>
                <w:bCs/>
                <w:sz w:val="22"/>
                <w:szCs w:val="22"/>
                <w:lang w:eastAsia="en-AU"/>
              </w:rPr>
            </w:pPr>
            <w:r w:rsidRPr="00586D77">
              <w:rPr>
                <w:rFonts w:ascii="Calibri" w:hAnsi="Calibri" w:cs="Calibri"/>
                <w:b/>
                <w:bCs/>
                <w:sz w:val="22"/>
                <w:szCs w:val="22"/>
                <w:lang w:eastAsia="en-AU"/>
              </w:rPr>
              <w:t>Q1</w:t>
            </w:r>
          </w:p>
          <w:p w14:paraId="7FDB7F05" w14:textId="473936BD" w:rsidR="00EB1FEE" w:rsidRPr="00586D77" w:rsidRDefault="00EB1FEE" w:rsidP="00586D77">
            <w:pPr>
              <w:spacing w:before="0"/>
              <w:rPr>
                <w:rFonts w:ascii="Calibri" w:hAnsi="Calibri" w:cs="Calibri"/>
                <w:b/>
                <w:bCs/>
                <w:sz w:val="22"/>
                <w:szCs w:val="22"/>
                <w:lang w:eastAsia="en-AU"/>
              </w:rPr>
            </w:pPr>
            <w:r w:rsidRPr="00586D77">
              <w:rPr>
                <w:rFonts w:ascii="Calibri" w:hAnsi="Calibri" w:cs="Calibri"/>
                <w:b/>
                <w:bCs/>
                <w:sz w:val="22"/>
                <w:szCs w:val="22"/>
                <w:lang w:eastAsia="en-AU"/>
              </w:rPr>
              <w:t>15</w:t>
            </w:r>
          </w:p>
        </w:tc>
        <w:tc>
          <w:tcPr>
            <w:tcW w:w="567" w:type="dxa"/>
            <w:tcBorders>
              <w:top w:val="nil"/>
              <w:left w:val="nil"/>
              <w:bottom w:val="single" w:sz="4" w:space="0" w:color="auto"/>
              <w:right w:val="single" w:sz="4" w:space="0" w:color="auto"/>
            </w:tcBorders>
            <w:shd w:val="clear" w:color="auto" w:fill="auto"/>
            <w:hideMark/>
          </w:tcPr>
          <w:p w14:paraId="077ABB2B" w14:textId="77777777" w:rsidR="00EB1FEE" w:rsidRDefault="00EB1FEE" w:rsidP="00EB1FEE">
            <w:pPr>
              <w:spacing w:before="0"/>
              <w:jc w:val="both"/>
              <w:rPr>
                <w:rFonts w:ascii="Calibri" w:hAnsi="Calibri" w:cs="Calibri"/>
                <w:b/>
                <w:bCs/>
                <w:sz w:val="22"/>
                <w:szCs w:val="22"/>
                <w:lang w:eastAsia="en-AU"/>
              </w:rPr>
            </w:pPr>
            <w:r w:rsidRPr="00586D77">
              <w:rPr>
                <w:rFonts w:ascii="Calibri" w:hAnsi="Calibri" w:cs="Calibri"/>
                <w:b/>
                <w:bCs/>
                <w:sz w:val="22"/>
                <w:szCs w:val="22"/>
                <w:lang w:eastAsia="en-AU"/>
              </w:rPr>
              <w:t>Q2</w:t>
            </w:r>
          </w:p>
          <w:p w14:paraId="22A4D502" w14:textId="0A6B0783" w:rsidR="00EB1FEE" w:rsidRPr="00586D77" w:rsidRDefault="00EB1FEE" w:rsidP="00586D77">
            <w:pPr>
              <w:spacing w:before="0"/>
              <w:rPr>
                <w:rFonts w:ascii="Calibri" w:hAnsi="Calibri" w:cs="Calibri"/>
                <w:b/>
                <w:bCs/>
                <w:sz w:val="22"/>
                <w:szCs w:val="22"/>
                <w:lang w:eastAsia="en-AU"/>
              </w:rPr>
            </w:pPr>
            <w:r w:rsidRPr="00586D77">
              <w:rPr>
                <w:rFonts w:ascii="Calibri" w:hAnsi="Calibri" w:cs="Calibri"/>
                <w:b/>
                <w:bCs/>
                <w:sz w:val="22"/>
                <w:szCs w:val="22"/>
                <w:lang w:eastAsia="en-AU"/>
              </w:rPr>
              <w:t>15</w:t>
            </w:r>
          </w:p>
        </w:tc>
        <w:tc>
          <w:tcPr>
            <w:tcW w:w="567" w:type="dxa"/>
            <w:tcBorders>
              <w:top w:val="nil"/>
              <w:left w:val="nil"/>
              <w:bottom w:val="single" w:sz="4" w:space="0" w:color="auto"/>
              <w:right w:val="single" w:sz="4" w:space="0" w:color="auto"/>
            </w:tcBorders>
            <w:shd w:val="clear" w:color="auto" w:fill="auto"/>
            <w:hideMark/>
          </w:tcPr>
          <w:p w14:paraId="2F2F4BDF" w14:textId="77777777" w:rsidR="00EB1FEE" w:rsidRDefault="00EB1FEE" w:rsidP="00EB1FEE">
            <w:pPr>
              <w:spacing w:before="0"/>
              <w:jc w:val="both"/>
              <w:rPr>
                <w:rFonts w:ascii="Calibri" w:hAnsi="Calibri" w:cs="Calibri"/>
                <w:b/>
                <w:bCs/>
                <w:sz w:val="22"/>
                <w:szCs w:val="22"/>
                <w:lang w:eastAsia="en-AU"/>
              </w:rPr>
            </w:pPr>
            <w:r w:rsidRPr="00586D77">
              <w:rPr>
                <w:rFonts w:ascii="Calibri" w:hAnsi="Calibri" w:cs="Calibri"/>
                <w:b/>
                <w:bCs/>
                <w:sz w:val="22"/>
                <w:szCs w:val="22"/>
                <w:lang w:eastAsia="en-AU"/>
              </w:rPr>
              <w:t>Q3</w:t>
            </w:r>
          </w:p>
          <w:p w14:paraId="288C80AD" w14:textId="447E8606" w:rsidR="00EB1FEE" w:rsidRPr="00586D77" w:rsidRDefault="00EB1FEE" w:rsidP="00586D77">
            <w:pPr>
              <w:spacing w:before="0"/>
              <w:rPr>
                <w:rFonts w:ascii="Calibri" w:hAnsi="Calibri" w:cs="Calibri"/>
                <w:b/>
                <w:bCs/>
                <w:sz w:val="22"/>
                <w:szCs w:val="22"/>
                <w:lang w:eastAsia="en-AU"/>
              </w:rPr>
            </w:pPr>
            <w:r w:rsidRPr="00586D77">
              <w:rPr>
                <w:rFonts w:ascii="Calibri" w:hAnsi="Calibri" w:cs="Calibri"/>
                <w:b/>
                <w:bCs/>
                <w:sz w:val="22"/>
                <w:szCs w:val="22"/>
                <w:lang w:eastAsia="en-AU"/>
              </w:rPr>
              <w:t>15</w:t>
            </w:r>
          </w:p>
        </w:tc>
        <w:tc>
          <w:tcPr>
            <w:tcW w:w="567" w:type="dxa"/>
            <w:tcBorders>
              <w:top w:val="nil"/>
              <w:left w:val="nil"/>
              <w:bottom w:val="single" w:sz="4" w:space="0" w:color="auto"/>
              <w:right w:val="single" w:sz="4" w:space="0" w:color="auto"/>
            </w:tcBorders>
            <w:shd w:val="clear" w:color="auto" w:fill="auto"/>
            <w:hideMark/>
          </w:tcPr>
          <w:p w14:paraId="242203DF" w14:textId="77777777" w:rsidR="00EB1FEE" w:rsidRDefault="00EB1FEE" w:rsidP="00EB1FEE">
            <w:pPr>
              <w:spacing w:before="0"/>
              <w:jc w:val="both"/>
              <w:rPr>
                <w:rFonts w:ascii="Calibri" w:hAnsi="Calibri" w:cs="Calibri"/>
                <w:b/>
                <w:bCs/>
                <w:sz w:val="22"/>
                <w:szCs w:val="22"/>
                <w:lang w:eastAsia="en-AU"/>
              </w:rPr>
            </w:pPr>
            <w:r w:rsidRPr="00586D77">
              <w:rPr>
                <w:rFonts w:ascii="Calibri" w:hAnsi="Calibri" w:cs="Calibri"/>
                <w:b/>
                <w:bCs/>
                <w:sz w:val="22"/>
                <w:szCs w:val="22"/>
                <w:lang w:eastAsia="en-AU"/>
              </w:rPr>
              <w:t>Q4</w:t>
            </w:r>
          </w:p>
          <w:p w14:paraId="3131233F" w14:textId="47FB34BD" w:rsidR="00EB1FEE" w:rsidRPr="00586D77" w:rsidRDefault="00EB1FEE" w:rsidP="00586D77">
            <w:pPr>
              <w:spacing w:before="0"/>
              <w:rPr>
                <w:rFonts w:ascii="Calibri" w:hAnsi="Calibri" w:cs="Calibri"/>
                <w:b/>
                <w:bCs/>
                <w:sz w:val="22"/>
                <w:szCs w:val="22"/>
                <w:lang w:eastAsia="en-AU"/>
              </w:rPr>
            </w:pPr>
            <w:r w:rsidRPr="00586D77">
              <w:rPr>
                <w:rFonts w:ascii="Calibri" w:hAnsi="Calibri" w:cs="Calibri"/>
                <w:b/>
                <w:bCs/>
                <w:sz w:val="22"/>
                <w:szCs w:val="22"/>
                <w:lang w:eastAsia="en-AU"/>
              </w:rPr>
              <w:t>15</w:t>
            </w:r>
          </w:p>
        </w:tc>
        <w:tc>
          <w:tcPr>
            <w:tcW w:w="567" w:type="dxa"/>
            <w:tcBorders>
              <w:top w:val="nil"/>
              <w:left w:val="nil"/>
              <w:bottom w:val="single" w:sz="4" w:space="0" w:color="auto"/>
              <w:right w:val="single" w:sz="4" w:space="0" w:color="auto"/>
            </w:tcBorders>
            <w:shd w:val="clear" w:color="auto" w:fill="auto"/>
            <w:hideMark/>
          </w:tcPr>
          <w:p w14:paraId="5B11B21C" w14:textId="77777777" w:rsidR="00EB1FEE" w:rsidRDefault="00EB1FEE" w:rsidP="00EB1FEE">
            <w:pPr>
              <w:spacing w:before="0"/>
              <w:jc w:val="both"/>
              <w:rPr>
                <w:rFonts w:ascii="Calibri" w:hAnsi="Calibri" w:cs="Calibri"/>
                <w:b/>
                <w:bCs/>
                <w:sz w:val="22"/>
                <w:szCs w:val="22"/>
                <w:lang w:eastAsia="en-AU"/>
              </w:rPr>
            </w:pPr>
            <w:r w:rsidRPr="00586D77">
              <w:rPr>
                <w:rFonts w:ascii="Calibri" w:hAnsi="Calibri" w:cs="Calibri"/>
                <w:b/>
                <w:bCs/>
                <w:sz w:val="22"/>
                <w:szCs w:val="22"/>
                <w:lang w:eastAsia="en-AU"/>
              </w:rPr>
              <w:t>Q1</w:t>
            </w:r>
          </w:p>
          <w:p w14:paraId="4521FCC8" w14:textId="50EACD03" w:rsidR="00EB1FEE" w:rsidRPr="00586D77" w:rsidRDefault="00EB1FEE" w:rsidP="00586D77">
            <w:pPr>
              <w:spacing w:before="0"/>
              <w:rPr>
                <w:rFonts w:ascii="Calibri" w:hAnsi="Calibri" w:cs="Calibri"/>
                <w:b/>
                <w:bCs/>
                <w:sz w:val="22"/>
                <w:szCs w:val="22"/>
                <w:lang w:eastAsia="en-AU"/>
              </w:rPr>
            </w:pPr>
            <w:r w:rsidRPr="00586D77">
              <w:rPr>
                <w:rFonts w:ascii="Calibri" w:hAnsi="Calibri" w:cs="Calibri"/>
                <w:b/>
                <w:bCs/>
                <w:sz w:val="22"/>
                <w:szCs w:val="22"/>
                <w:lang w:eastAsia="en-AU"/>
              </w:rPr>
              <w:t>16</w:t>
            </w:r>
          </w:p>
        </w:tc>
        <w:tc>
          <w:tcPr>
            <w:tcW w:w="567" w:type="dxa"/>
            <w:tcBorders>
              <w:top w:val="nil"/>
              <w:left w:val="nil"/>
              <w:bottom w:val="nil"/>
              <w:right w:val="nil"/>
            </w:tcBorders>
            <w:shd w:val="clear" w:color="auto" w:fill="auto"/>
            <w:hideMark/>
          </w:tcPr>
          <w:p w14:paraId="5AC7DB0F" w14:textId="77777777" w:rsidR="00EB1FEE" w:rsidRDefault="00EB1FEE" w:rsidP="00EB1FEE">
            <w:pPr>
              <w:spacing w:before="0"/>
              <w:jc w:val="both"/>
              <w:rPr>
                <w:rFonts w:ascii="Calibri" w:hAnsi="Calibri" w:cs="Calibri"/>
                <w:b/>
                <w:bCs/>
                <w:sz w:val="22"/>
                <w:szCs w:val="22"/>
                <w:lang w:eastAsia="en-AU"/>
              </w:rPr>
            </w:pPr>
            <w:r w:rsidRPr="00586D77">
              <w:rPr>
                <w:rFonts w:ascii="Calibri" w:hAnsi="Calibri" w:cs="Calibri"/>
                <w:b/>
                <w:bCs/>
                <w:sz w:val="22"/>
                <w:szCs w:val="22"/>
                <w:lang w:eastAsia="en-AU"/>
              </w:rPr>
              <w:t>Q2</w:t>
            </w:r>
          </w:p>
          <w:p w14:paraId="43EB56C7" w14:textId="402BA8AA" w:rsidR="00EB1FEE" w:rsidRPr="00586D77" w:rsidRDefault="00EB1FEE" w:rsidP="00586D77">
            <w:pPr>
              <w:spacing w:before="0"/>
              <w:jc w:val="both"/>
              <w:rPr>
                <w:rFonts w:ascii="Calibri" w:hAnsi="Calibri" w:cs="Calibri"/>
                <w:color w:val="000000"/>
                <w:sz w:val="22"/>
                <w:szCs w:val="22"/>
                <w:lang w:eastAsia="en-AU"/>
              </w:rPr>
            </w:pPr>
            <w:r w:rsidRPr="00586D77">
              <w:rPr>
                <w:rFonts w:ascii="Calibri" w:hAnsi="Calibri" w:cs="Calibri"/>
                <w:b/>
                <w:bCs/>
                <w:sz w:val="22"/>
                <w:szCs w:val="22"/>
                <w:lang w:eastAsia="en-AU"/>
              </w:rPr>
              <w:t>16</w:t>
            </w:r>
          </w:p>
        </w:tc>
        <w:tc>
          <w:tcPr>
            <w:tcW w:w="567" w:type="dxa"/>
            <w:tcBorders>
              <w:top w:val="nil"/>
              <w:left w:val="nil"/>
              <w:bottom w:val="nil"/>
              <w:right w:val="nil"/>
            </w:tcBorders>
          </w:tcPr>
          <w:p w14:paraId="65F24FE8" w14:textId="77777777" w:rsidR="00EB1FEE" w:rsidRDefault="00EB1FEE" w:rsidP="00EB1FEE">
            <w:pPr>
              <w:spacing w:before="0"/>
              <w:jc w:val="both"/>
              <w:rPr>
                <w:rFonts w:ascii="Calibri" w:hAnsi="Calibri" w:cs="Calibri"/>
                <w:b/>
                <w:bCs/>
                <w:sz w:val="22"/>
                <w:szCs w:val="22"/>
                <w:lang w:eastAsia="en-AU"/>
              </w:rPr>
            </w:pPr>
            <w:r w:rsidRPr="00586D77">
              <w:rPr>
                <w:rFonts w:ascii="Calibri" w:hAnsi="Calibri" w:cs="Calibri"/>
                <w:b/>
                <w:bCs/>
                <w:sz w:val="22"/>
                <w:szCs w:val="22"/>
                <w:lang w:eastAsia="en-AU"/>
              </w:rPr>
              <w:t>Q</w:t>
            </w:r>
            <w:r>
              <w:rPr>
                <w:rFonts w:ascii="Calibri" w:hAnsi="Calibri" w:cs="Calibri"/>
                <w:b/>
                <w:bCs/>
                <w:sz w:val="22"/>
                <w:szCs w:val="22"/>
                <w:lang w:eastAsia="en-AU"/>
              </w:rPr>
              <w:t>3</w:t>
            </w:r>
          </w:p>
          <w:p w14:paraId="26F7361D" w14:textId="1BF0626E" w:rsidR="00EB1FEE" w:rsidRPr="00586D77" w:rsidRDefault="00EB1FEE" w:rsidP="00586D77">
            <w:pPr>
              <w:spacing w:before="0"/>
              <w:jc w:val="both"/>
              <w:rPr>
                <w:rFonts w:ascii="Calibri" w:hAnsi="Calibri" w:cs="Calibri"/>
                <w:color w:val="000000"/>
                <w:sz w:val="22"/>
                <w:szCs w:val="22"/>
                <w:lang w:eastAsia="en-AU"/>
              </w:rPr>
            </w:pPr>
            <w:r w:rsidRPr="00586D77">
              <w:rPr>
                <w:rFonts w:ascii="Calibri" w:hAnsi="Calibri" w:cs="Calibri"/>
                <w:b/>
                <w:bCs/>
                <w:sz w:val="22"/>
                <w:szCs w:val="22"/>
                <w:lang w:eastAsia="en-AU"/>
              </w:rPr>
              <w:t>16</w:t>
            </w:r>
          </w:p>
        </w:tc>
        <w:tc>
          <w:tcPr>
            <w:tcW w:w="567" w:type="dxa"/>
            <w:tcBorders>
              <w:top w:val="nil"/>
              <w:left w:val="nil"/>
              <w:bottom w:val="nil"/>
              <w:right w:val="nil"/>
            </w:tcBorders>
          </w:tcPr>
          <w:p w14:paraId="6FFCE60F" w14:textId="77777777" w:rsidR="00EB1FEE" w:rsidRDefault="00EB1FEE" w:rsidP="00EB1FEE">
            <w:pPr>
              <w:spacing w:before="0"/>
              <w:jc w:val="both"/>
              <w:rPr>
                <w:rFonts w:ascii="Calibri" w:hAnsi="Calibri" w:cs="Calibri"/>
                <w:b/>
                <w:bCs/>
                <w:sz w:val="22"/>
                <w:szCs w:val="22"/>
                <w:lang w:eastAsia="en-AU"/>
              </w:rPr>
            </w:pPr>
            <w:r w:rsidRPr="00586D77">
              <w:rPr>
                <w:rFonts w:ascii="Calibri" w:hAnsi="Calibri" w:cs="Calibri"/>
                <w:b/>
                <w:bCs/>
                <w:sz w:val="22"/>
                <w:szCs w:val="22"/>
                <w:lang w:eastAsia="en-AU"/>
              </w:rPr>
              <w:t>Q2</w:t>
            </w:r>
          </w:p>
          <w:p w14:paraId="74E3CC1A" w14:textId="5412ADF5" w:rsidR="00EB1FEE" w:rsidRPr="00586D77" w:rsidRDefault="00EB1FEE" w:rsidP="00586D77">
            <w:pPr>
              <w:spacing w:before="0"/>
              <w:jc w:val="both"/>
              <w:rPr>
                <w:rFonts w:ascii="Calibri" w:hAnsi="Calibri" w:cs="Calibri"/>
                <w:color w:val="000000"/>
                <w:sz w:val="22"/>
                <w:szCs w:val="22"/>
                <w:lang w:eastAsia="en-AU"/>
              </w:rPr>
            </w:pPr>
            <w:r w:rsidRPr="00586D77">
              <w:rPr>
                <w:rFonts w:ascii="Calibri" w:hAnsi="Calibri" w:cs="Calibri"/>
                <w:b/>
                <w:bCs/>
                <w:sz w:val="22"/>
                <w:szCs w:val="22"/>
                <w:lang w:eastAsia="en-AU"/>
              </w:rPr>
              <w:t>16</w:t>
            </w:r>
          </w:p>
        </w:tc>
      </w:tr>
      <w:tr w:rsidR="00EB1FEE" w:rsidRPr="00586D77" w14:paraId="132AE661" w14:textId="6219EBEB" w:rsidTr="003161F8">
        <w:trPr>
          <w:gridAfter w:val="14"/>
          <w:wAfter w:w="12985" w:type="dxa"/>
          <w:trHeight w:val="290"/>
        </w:trPr>
        <w:tc>
          <w:tcPr>
            <w:tcW w:w="567" w:type="dxa"/>
            <w:tcBorders>
              <w:top w:val="nil"/>
              <w:left w:val="nil"/>
              <w:bottom w:val="nil"/>
              <w:right w:val="nil"/>
            </w:tcBorders>
            <w:shd w:val="clear" w:color="auto" w:fill="auto"/>
            <w:hideMark/>
          </w:tcPr>
          <w:p w14:paraId="0E920733"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nil"/>
              <w:left w:val="nil"/>
              <w:bottom w:val="nil"/>
              <w:right w:val="nil"/>
            </w:tcBorders>
          </w:tcPr>
          <w:p w14:paraId="177C748F"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gridSpan w:val="2"/>
            <w:tcBorders>
              <w:top w:val="nil"/>
              <w:left w:val="nil"/>
              <w:bottom w:val="nil"/>
              <w:right w:val="nil"/>
            </w:tcBorders>
          </w:tcPr>
          <w:p w14:paraId="1C9051CA" w14:textId="77777777" w:rsidR="00EB1FEE" w:rsidRPr="00586D77" w:rsidRDefault="00EB1FEE" w:rsidP="00586D77">
            <w:pPr>
              <w:spacing w:before="0"/>
              <w:jc w:val="both"/>
              <w:rPr>
                <w:rFonts w:ascii="Calibri" w:hAnsi="Calibri" w:cs="Calibri"/>
                <w:color w:val="000000"/>
                <w:sz w:val="22"/>
                <w:szCs w:val="22"/>
                <w:lang w:eastAsia="en-AU"/>
              </w:rPr>
            </w:pPr>
          </w:p>
        </w:tc>
      </w:tr>
      <w:tr w:rsidR="00EB1FEE" w:rsidRPr="00586D77" w14:paraId="1B79E6FD" w14:textId="679E82EE" w:rsidTr="003161F8">
        <w:trPr>
          <w:trHeight w:val="290"/>
        </w:trPr>
        <w:tc>
          <w:tcPr>
            <w:tcW w:w="15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D4C936"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xml:space="preserve">Activity 1.1.  Research on pillars to be revised and options for consideration in the Competition Law and other guiding legal documents  </w:t>
            </w:r>
          </w:p>
        </w:tc>
        <w:tc>
          <w:tcPr>
            <w:tcW w:w="31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3822BD"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xml:space="preserve">• Research on pillars to be revised and options for consideration and organize a seminar to public results of report </w:t>
            </w:r>
            <w:r w:rsidRPr="00586D77">
              <w:rPr>
                <w:rFonts w:ascii="Calibri" w:hAnsi="Calibri" w:cs="Calibri"/>
                <w:sz w:val="22"/>
                <w:szCs w:val="22"/>
                <w:lang w:eastAsia="en-AU"/>
              </w:rPr>
              <w:br/>
              <w:t xml:space="preserve"> in the Competition law and other guiding legal documents </w:t>
            </w:r>
            <w:r w:rsidRPr="00586D77">
              <w:rPr>
                <w:rFonts w:ascii="Calibri" w:hAnsi="Calibri" w:cs="Calibri"/>
                <w:sz w:val="22"/>
                <w:szCs w:val="22"/>
                <w:lang w:eastAsia="en-AU"/>
              </w:rPr>
              <w:br/>
              <w:t>• Studies on the enforcement and effectiveness of the Vietnamese competition law</w:t>
            </w:r>
            <w:r w:rsidRPr="00586D77">
              <w:rPr>
                <w:rFonts w:ascii="Calibri" w:hAnsi="Calibri" w:cs="Calibri"/>
                <w:sz w:val="22"/>
                <w:szCs w:val="22"/>
                <w:lang w:eastAsia="en-AU"/>
              </w:rPr>
              <w:br/>
              <w:t xml:space="preserve">• Studies on international experience to build the competition law </w:t>
            </w:r>
            <w:r w:rsidRPr="00586D77">
              <w:rPr>
                <w:rFonts w:ascii="Calibri" w:hAnsi="Calibri" w:cs="Calibri"/>
                <w:sz w:val="22"/>
                <w:szCs w:val="22"/>
                <w:lang w:eastAsia="en-AU"/>
              </w:rPr>
              <w:br/>
              <w:t xml:space="preserve">• Other studies upon the request of the Government and the National Assembly </w:t>
            </w:r>
          </w:p>
        </w:tc>
        <w:tc>
          <w:tcPr>
            <w:tcW w:w="10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998BE4"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xml:space="preserve">• Local experts </w:t>
            </w:r>
            <w:r w:rsidRPr="00586D77">
              <w:rPr>
                <w:rFonts w:ascii="Calibri" w:hAnsi="Calibri" w:cs="Calibri"/>
                <w:sz w:val="22"/>
                <w:szCs w:val="22"/>
                <w:lang w:eastAsia="en-AU"/>
              </w:rPr>
              <w:br/>
              <w:t xml:space="preserve">• International experts </w:t>
            </w:r>
            <w:r w:rsidRPr="00586D77">
              <w:rPr>
                <w:rFonts w:ascii="Calibri" w:hAnsi="Calibri" w:cs="Calibri"/>
                <w:sz w:val="22"/>
                <w:szCs w:val="22"/>
                <w:lang w:eastAsia="en-AU"/>
              </w:rPr>
              <w:br/>
              <w:t>• Publications</w:t>
            </w:r>
          </w:p>
        </w:tc>
        <w:tc>
          <w:tcPr>
            <w:tcW w:w="27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98A4DD"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Study report</w:t>
            </w:r>
          </w:p>
        </w:tc>
        <w:tc>
          <w:tcPr>
            <w:tcW w:w="496" w:type="dxa"/>
            <w:tcBorders>
              <w:top w:val="single" w:sz="4" w:space="0" w:color="auto"/>
              <w:left w:val="single" w:sz="4" w:space="0" w:color="auto"/>
              <w:bottom w:val="single" w:sz="4" w:space="0" w:color="auto"/>
              <w:right w:val="single" w:sz="4" w:space="0" w:color="auto"/>
            </w:tcBorders>
            <w:shd w:val="clear" w:color="auto" w:fill="auto"/>
            <w:hideMark/>
          </w:tcPr>
          <w:p w14:paraId="6D92038B"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59EEB2D"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CB0E49C"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93EDE2E"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BDE7CAC"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161DD54"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274A952"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0908569"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35ABFB9"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4711C86A"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10427030" w14:textId="77777777" w:rsidR="00EB1FEE" w:rsidRPr="00586D77" w:rsidRDefault="00EB1FEE" w:rsidP="00586D77">
            <w:pPr>
              <w:spacing w:before="0"/>
              <w:jc w:val="both"/>
              <w:rPr>
                <w:rFonts w:ascii="Calibri" w:hAnsi="Calibri" w:cs="Calibri"/>
                <w:color w:val="000000"/>
                <w:sz w:val="22"/>
                <w:szCs w:val="22"/>
                <w:lang w:eastAsia="en-AU"/>
              </w:rPr>
            </w:pPr>
          </w:p>
        </w:tc>
      </w:tr>
      <w:tr w:rsidR="00EB1FEE" w:rsidRPr="00586D77" w14:paraId="3F94B79B" w14:textId="5FD6A792" w:rsidTr="003161F8">
        <w:trPr>
          <w:trHeight w:val="2900"/>
        </w:trPr>
        <w:tc>
          <w:tcPr>
            <w:tcW w:w="15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9F3607"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xml:space="preserve">1.1.1. Conducting research on pillars to be revised and options for consideration in the Competition Law and other guiding legal documents  </w:t>
            </w: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14:paraId="2CE87446" w14:textId="77777777" w:rsidR="00EB1FEE" w:rsidRPr="00586D77" w:rsidRDefault="00EB1FEE" w:rsidP="00586D77">
            <w:pPr>
              <w:spacing w:before="0"/>
              <w:rPr>
                <w:rFonts w:ascii="Calibri" w:hAnsi="Calibri" w:cs="Calibri"/>
                <w:sz w:val="22"/>
                <w:szCs w:val="22"/>
                <w:lang w:eastAsia="en-AU"/>
              </w:rPr>
            </w:pPr>
          </w:p>
        </w:tc>
        <w:tc>
          <w:tcPr>
            <w:tcW w:w="1072" w:type="dxa"/>
            <w:vMerge/>
            <w:tcBorders>
              <w:top w:val="single" w:sz="4" w:space="0" w:color="auto"/>
              <w:left w:val="single" w:sz="4" w:space="0" w:color="auto"/>
              <w:bottom w:val="single" w:sz="4" w:space="0" w:color="auto"/>
              <w:right w:val="single" w:sz="4" w:space="0" w:color="auto"/>
            </w:tcBorders>
            <w:vAlign w:val="center"/>
            <w:hideMark/>
          </w:tcPr>
          <w:p w14:paraId="6CC17113" w14:textId="77777777" w:rsidR="00EB1FEE" w:rsidRPr="00586D77" w:rsidRDefault="00EB1FEE" w:rsidP="00586D77">
            <w:pPr>
              <w:spacing w:before="0"/>
              <w:rPr>
                <w:rFonts w:ascii="Calibri" w:hAnsi="Calibri" w:cs="Calibri"/>
                <w:sz w:val="22"/>
                <w:szCs w:val="22"/>
                <w:lang w:eastAsia="en-AU"/>
              </w:rPr>
            </w:pPr>
          </w:p>
        </w:tc>
        <w:tc>
          <w:tcPr>
            <w:tcW w:w="2755" w:type="dxa"/>
            <w:vMerge/>
            <w:tcBorders>
              <w:top w:val="single" w:sz="4" w:space="0" w:color="auto"/>
              <w:left w:val="single" w:sz="4" w:space="0" w:color="auto"/>
              <w:bottom w:val="single" w:sz="4" w:space="0" w:color="auto"/>
              <w:right w:val="single" w:sz="4" w:space="0" w:color="auto"/>
            </w:tcBorders>
            <w:vAlign w:val="center"/>
            <w:hideMark/>
          </w:tcPr>
          <w:p w14:paraId="541BE953" w14:textId="77777777" w:rsidR="00EB1FEE" w:rsidRPr="00586D77" w:rsidRDefault="00EB1FEE" w:rsidP="00586D77">
            <w:pPr>
              <w:spacing w:before="0"/>
              <w:rPr>
                <w:rFonts w:ascii="Calibri" w:hAnsi="Calibri" w:cs="Calibri"/>
                <w:sz w:val="22"/>
                <w:szCs w:val="22"/>
                <w:lang w:eastAsia="en-AU"/>
              </w:rPr>
            </w:pPr>
          </w:p>
        </w:tc>
        <w:tc>
          <w:tcPr>
            <w:tcW w:w="496" w:type="dxa"/>
            <w:tcBorders>
              <w:top w:val="single" w:sz="4" w:space="0" w:color="auto"/>
              <w:left w:val="single" w:sz="4" w:space="0" w:color="auto"/>
              <w:bottom w:val="single" w:sz="4" w:space="0" w:color="auto"/>
              <w:right w:val="single" w:sz="4" w:space="0" w:color="auto"/>
            </w:tcBorders>
            <w:shd w:val="clear" w:color="000000" w:fill="FFFF00"/>
            <w:hideMark/>
          </w:tcPr>
          <w:p w14:paraId="1D1D1EA1"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000000" w:fill="FFFF00"/>
            <w:hideMark/>
          </w:tcPr>
          <w:p w14:paraId="012CD504"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000000" w:fill="FFFF00"/>
            <w:hideMark/>
          </w:tcPr>
          <w:p w14:paraId="2FF4BBB8"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AD23D56"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E87FA20"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19372BE"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0A5CA0D"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3452533"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EB0CC26"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48E7667A"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7053395F" w14:textId="77777777" w:rsidR="00EB1FEE" w:rsidRPr="00586D77" w:rsidRDefault="00EB1FEE" w:rsidP="00586D77">
            <w:pPr>
              <w:spacing w:before="0"/>
              <w:jc w:val="both"/>
              <w:rPr>
                <w:rFonts w:ascii="Calibri" w:hAnsi="Calibri" w:cs="Calibri"/>
                <w:color w:val="000000"/>
                <w:sz w:val="22"/>
                <w:szCs w:val="22"/>
                <w:lang w:eastAsia="en-AU"/>
              </w:rPr>
            </w:pPr>
          </w:p>
        </w:tc>
      </w:tr>
      <w:tr w:rsidR="00EB1FEE" w:rsidRPr="00586D77" w14:paraId="1F93BC73" w14:textId="43CCF6A9" w:rsidTr="003161F8">
        <w:trPr>
          <w:trHeight w:val="290"/>
        </w:trPr>
        <w:tc>
          <w:tcPr>
            <w:tcW w:w="15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547B11"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1.1.2. Printing</w:t>
            </w: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14:paraId="0F021924" w14:textId="77777777" w:rsidR="00EB1FEE" w:rsidRPr="00586D77" w:rsidRDefault="00EB1FEE" w:rsidP="00586D77">
            <w:pPr>
              <w:spacing w:before="0"/>
              <w:rPr>
                <w:rFonts w:ascii="Calibri" w:hAnsi="Calibri" w:cs="Calibri"/>
                <w:sz w:val="22"/>
                <w:szCs w:val="22"/>
                <w:lang w:eastAsia="en-AU"/>
              </w:rPr>
            </w:pPr>
          </w:p>
        </w:tc>
        <w:tc>
          <w:tcPr>
            <w:tcW w:w="1072" w:type="dxa"/>
            <w:vMerge/>
            <w:tcBorders>
              <w:top w:val="single" w:sz="4" w:space="0" w:color="auto"/>
              <w:left w:val="single" w:sz="4" w:space="0" w:color="auto"/>
              <w:bottom w:val="single" w:sz="4" w:space="0" w:color="auto"/>
              <w:right w:val="single" w:sz="4" w:space="0" w:color="auto"/>
            </w:tcBorders>
            <w:vAlign w:val="center"/>
            <w:hideMark/>
          </w:tcPr>
          <w:p w14:paraId="5E8B2503" w14:textId="77777777" w:rsidR="00EB1FEE" w:rsidRPr="00586D77" w:rsidRDefault="00EB1FEE" w:rsidP="00586D77">
            <w:pPr>
              <w:spacing w:before="0"/>
              <w:rPr>
                <w:rFonts w:ascii="Calibri" w:hAnsi="Calibri" w:cs="Calibri"/>
                <w:sz w:val="22"/>
                <w:szCs w:val="22"/>
                <w:lang w:eastAsia="en-AU"/>
              </w:rPr>
            </w:pPr>
          </w:p>
        </w:tc>
        <w:tc>
          <w:tcPr>
            <w:tcW w:w="2755" w:type="dxa"/>
            <w:vMerge/>
            <w:tcBorders>
              <w:top w:val="single" w:sz="4" w:space="0" w:color="auto"/>
              <w:left w:val="single" w:sz="4" w:space="0" w:color="auto"/>
              <w:bottom w:val="single" w:sz="4" w:space="0" w:color="auto"/>
              <w:right w:val="single" w:sz="4" w:space="0" w:color="auto"/>
            </w:tcBorders>
            <w:vAlign w:val="center"/>
            <w:hideMark/>
          </w:tcPr>
          <w:p w14:paraId="1B17C101" w14:textId="77777777" w:rsidR="00EB1FEE" w:rsidRPr="00586D77" w:rsidRDefault="00EB1FEE" w:rsidP="00586D77">
            <w:pPr>
              <w:spacing w:before="0"/>
              <w:rPr>
                <w:rFonts w:ascii="Calibri" w:hAnsi="Calibri" w:cs="Calibri"/>
                <w:sz w:val="22"/>
                <w:szCs w:val="22"/>
                <w:lang w:eastAsia="en-AU"/>
              </w:rPr>
            </w:pPr>
          </w:p>
        </w:tc>
        <w:tc>
          <w:tcPr>
            <w:tcW w:w="496" w:type="dxa"/>
            <w:tcBorders>
              <w:top w:val="single" w:sz="4" w:space="0" w:color="auto"/>
              <w:left w:val="single" w:sz="4" w:space="0" w:color="auto"/>
              <w:bottom w:val="single" w:sz="4" w:space="0" w:color="auto"/>
              <w:right w:val="single" w:sz="4" w:space="0" w:color="auto"/>
            </w:tcBorders>
            <w:shd w:val="clear" w:color="auto" w:fill="auto"/>
            <w:hideMark/>
          </w:tcPr>
          <w:p w14:paraId="2468B9B7"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0A95DDF"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C831D49"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000000" w:fill="FFFF00"/>
            <w:hideMark/>
          </w:tcPr>
          <w:p w14:paraId="2D075B3A"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E439485"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1A55AA1"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F92A1B0"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751B68D"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4D5225B"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291F82B2"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38E59D36" w14:textId="77777777" w:rsidR="00EB1FEE" w:rsidRPr="00586D77" w:rsidRDefault="00EB1FEE" w:rsidP="00586D77">
            <w:pPr>
              <w:spacing w:before="0"/>
              <w:jc w:val="both"/>
              <w:rPr>
                <w:rFonts w:ascii="Calibri" w:hAnsi="Calibri" w:cs="Calibri"/>
                <w:color w:val="000000"/>
                <w:sz w:val="22"/>
                <w:szCs w:val="22"/>
                <w:lang w:eastAsia="en-AU"/>
              </w:rPr>
            </w:pPr>
          </w:p>
        </w:tc>
      </w:tr>
      <w:tr w:rsidR="00EB1FEE" w:rsidRPr="00586D77" w14:paraId="622FC4DB" w14:textId="5BCD0372" w:rsidTr="003161F8">
        <w:trPr>
          <w:trHeight w:val="2030"/>
        </w:trPr>
        <w:tc>
          <w:tcPr>
            <w:tcW w:w="1575" w:type="dxa"/>
            <w:gridSpan w:val="3"/>
            <w:tcBorders>
              <w:top w:val="single" w:sz="4" w:space="0" w:color="auto"/>
              <w:left w:val="single" w:sz="4" w:space="0" w:color="auto"/>
              <w:bottom w:val="single" w:sz="4" w:space="0" w:color="auto"/>
              <w:right w:val="single" w:sz="4" w:space="0" w:color="auto"/>
            </w:tcBorders>
            <w:shd w:val="clear" w:color="auto" w:fill="auto"/>
            <w:hideMark/>
          </w:tcPr>
          <w:p w14:paraId="01B154E2"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xml:space="preserve">Activity 1.2. Report on reviewing the conflicts between Sectoral Laws and Vietnam Competition Law </w:t>
            </w:r>
          </w:p>
        </w:tc>
        <w:tc>
          <w:tcPr>
            <w:tcW w:w="3118" w:type="dxa"/>
            <w:gridSpan w:val="2"/>
            <w:tcBorders>
              <w:top w:val="single" w:sz="4" w:space="0" w:color="auto"/>
              <w:left w:val="nil"/>
              <w:bottom w:val="single" w:sz="4" w:space="0" w:color="auto"/>
              <w:right w:val="single" w:sz="4" w:space="0" w:color="auto"/>
            </w:tcBorders>
            <w:shd w:val="clear" w:color="auto" w:fill="auto"/>
            <w:hideMark/>
          </w:tcPr>
          <w:p w14:paraId="0B12120F"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xml:space="preserve">Report on reviewing the conflicts between Sectoral Laws and Vietnam Competition Law </w:t>
            </w:r>
          </w:p>
        </w:tc>
        <w:tc>
          <w:tcPr>
            <w:tcW w:w="1072" w:type="dxa"/>
            <w:tcBorders>
              <w:top w:val="single" w:sz="4" w:space="0" w:color="auto"/>
              <w:left w:val="nil"/>
              <w:bottom w:val="single" w:sz="4" w:space="0" w:color="auto"/>
              <w:right w:val="single" w:sz="4" w:space="0" w:color="auto"/>
            </w:tcBorders>
            <w:shd w:val="clear" w:color="auto" w:fill="auto"/>
            <w:hideMark/>
          </w:tcPr>
          <w:p w14:paraId="4F4B8684"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Local experts</w:t>
            </w:r>
          </w:p>
        </w:tc>
        <w:tc>
          <w:tcPr>
            <w:tcW w:w="2755" w:type="dxa"/>
            <w:tcBorders>
              <w:top w:val="single" w:sz="4" w:space="0" w:color="auto"/>
              <w:left w:val="nil"/>
              <w:bottom w:val="single" w:sz="4" w:space="0" w:color="auto"/>
              <w:right w:val="single" w:sz="4" w:space="0" w:color="auto"/>
            </w:tcBorders>
            <w:shd w:val="clear" w:color="auto" w:fill="auto"/>
            <w:hideMark/>
          </w:tcPr>
          <w:p w14:paraId="1F746836"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Report on reviewing the conflicts between Sectoral Laws and Vietnam Competition Law</w:t>
            </w:r>
          </w:p>
        </w:tc>
        <w:tc>
          <w:tcPr>
            <w:tcW w:w="496" w:type="dxa"/>
            <w:tcBorders>
              <w:top w:val="single" w:sz="4" w:space="0" w:color="auto"/>
              <w:left w:val="nil"/>
              <w:bottom w:val="single" w:sz="4" w:space="0" w:color="auto"/>
              <w:right w:val="single" w:sz="4" w:space="0" w:color="auto"/>
            </w:tcBorders>
            <w:shd w:val="clear" w:color="000000" w:fill="FFFF00"/>
            <w:hideMark/>
          </w:tcPr>
          <w:p w14:paraId="538492EE"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000000" w:fill="FFFF00"/>
            <w:hideMark/>
          </w:tcPr>
          <w:p w14:paraId="2005A9BA"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144D0250"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695E8450"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6A06D550"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23325F9E"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5E8AE60C"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11A8364D"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7D37D693"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630A1CA8"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15FA369F" w14:textId="77777777" w:rsidR="00EB1FEE" w:rsidRPr="00586D77" w:rsidRDefault="00EB1FEE" w:rsidP="00586D77">
            <w:pPr>
              <w:spacing w:before="0"/>
              <w:jc w:val="both"/>
              <w:rPr>
                <w:rFonts w:ascii="Calibri" w:hAnsi="Calibri" w:cs="Calibri"/>
                <w:color w:val="000000"/>
                <w:sz w:val="22"/>
                <w:szCs w:val="22"/>
                <w:lang w:eastAsia="en-AU"/>
              </w:rPr>
            </w:pPr>
          </w:p>
        </w:tc>
      </w:tr>
      <w:tr w:rsidR="00EB1FEE" w:rsidRPr="00586D77" w14:paraId="09B529B3" w14:textId="3B0E2038" w:rsidTr="003161F8">
        <w:trPr>
          <w:trHeight w:val="3000"/>
        </w:trPr>
        <w:tc>
          <w:tcPr>
            <w:tcW w:w="1575" w:type="dxa"/>
            <w:gridSpan w:val="3"/>
            <w:tcBorders>
              <w:top w:val="nil"/>
              <w:left w:val="single" w:sz="4" w:space="0" w:color="auto"/>
              <w:bottom w:val="single" w:sz="4" w:space="0" w:color="auto"/>
              <w:right w:val="single" w:sz="4" w:space="0" w:color="auto"/>
            </w:tcBorders>
            <w:shd w:val="clear" w:color="auto" w:fill="auto"/>
            <w:hideMark/>
          </w:tcPr>
          <w:p w14:paraId="5D9FDE59"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xml:space="preserve">Activity 1.3. Conducting advocacy activities of the competition law in order to increase the compliance level of the law within the business community  </w:t>
            </w:r>
          </w:p>
        </w:tc>
        <w:tc>
          <w:tcPr>
            <w:tcW w:w="3118" w:type="dxa"/>
            <w:gridSpan w:val="2"/>
            <w:vMerge w:val="restart"/>
            <w:tcBorders>
              <w:top w:val="nil"/>
              <w:left w:val="single" w:sz="4" w:space="0" w:color="auto"/>
              <w:bottom w:val="single" w:sz="4" w:space="0" w:color="000000"/>
              <w:right w:val="single" w:sz="4" w:space="0" w:color="auto"/>
            </w:tcBorders>
            <w:shd w:val="clear" w:color="auto" w:fill="auto"/>
            <w:hideMark/>
          </w:tcPr>
          <w:p w14:paraId="5921DF89"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xml:space="preserve">• Survey on the awareness of competition law </w:t>
            </w:r>
            <w:r w:rsidRPr="00586D77">
              <w:rPr>
                <w:rFonts w:ascii="Calibri" w:hAnsi="Calibri" w:cs="Calibri"/>
                <w:sz w:val="22"/>
                <w:szCs w:val="22"/>
                <w:lang w:eastAsia="en-AU"/>
              </w:rPr>
              <w:br/>
              <w:t xml:space="preserve">• Building the advocacy strategy and compliance strategy for the competition law </w:t>
            </w:r>
            <w:r w:rsidRPr="00586D77">
              <w:rPr>
                <w:rFonts w:ascii="Calibri" w:hAnsi="Calibri" w:cs="Calibri"/>
                <w:sz w:val="22"/>
                <w:szCs w:val="22"/>
                <w:lang w:eastAsia="en-AU"/>
              </w:rPr>
              <w:br/>
              <w:t xml:space="preserve">• Building tools/ advocacy materials for the competition law </w:t>
            </w:r>
            <w:r w:rsidRPr="00586D77">
              <w:rPr>
                <w:rFonts w:ascii="Calibri" w:hAnsi="Calibri" w:cs="Calibri"/>
                <w:sz w:val="22"/>
                <w:szCs w:val="22"/>
                <w:lang w:eastAsia="en-AU"/>
              </w:rPr>
              <w:br/>
              <w:t xml:space="preserve">• Conducting advocacy seminars </w:t>
            </w:r>
          </w:p>
        </w:tc>
        <w:tc>
          <w:tcPr>
            <w:tcW w:w="1072" w:type="dxa"/>
            <w:vMerge w:val="restart"/>
            <w:tcBorders>
              <w:top w:val="nil"/>
              <w:left w:val="single" w:sz="4" w:space="0" w:color="auto"/>
              <w:bottom w:val="single" w:sz="4" w:space="0" w:color="000000"/>
              <w:right w:val="single" w:sz="4" w:space="0" w:color="auto"/>
            </w:tcBorders>
            <w:shd w:val="clear" w:color="auto" w:fill="auto"/>
            <w:hideMark/>
          </w:tcPr>
          <w:p w14:paraId="0389777F"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Local experts</w:t>
            </w:r>
            <w:r w:rsidRPr="00586D77">
              <w:rPr>
                <w:rFonts w:ascii="Calibri" w:hAnsi="Calibri" w:cs="Calibri"/>
                <w:sz w:val="22"/>
                <w:szCs w:val="22"/>
                <w:lang w:eastAsia="en-AU"/>
              </w:rPr>
              <w:br/>
              <w:t xml:space="preserve">• International experts </w:t>
            </w:r>
            <w:r w:rsidRPr="00586D77">
              <w:rPr>
                <w:rFonts w:ascii="Calibri" w:hAnsi="Calibri" w:cs="Calibri"/>
                <w:sz w:val="22"/>
                <w:szCs w:val="22"/>
                <w:lang w:eastAsia="en-AU"/>
              </w:rPr>
              <w:br/>
              <w:t>• Questionnaires</w:t>
            </w:r>
            <w:r w:rsidRPr="00586D77">
              <w:rPr>
                <w:rFonts w:ascii="Calibri" w:hAnsi="Calibri" w:cs="Calibri"/>
                <w:sz w:val="22"/>
                <w:szCs w:val="22"/>
                <w:lang w:eastAsia="en-AU"/>
              </w:rPr>
              <w:br/>
              <w:t>• Seminars</w:t>
            </w:r>
            <w:r w:rsidRPr="00586D77">
              <w:rPr>
                <w:rFonts w:ascii="Calibri" w:hAnsi="Calibri" w:cs="Calibri"/>
                <w:sz w:val="22"/>
                <w:szCs w:val="22"/>
                <w:lang w:eastAsia="en-AU"/>
              </w:rPr>
              <w:br/>
              <w:t>• Publications</w:t>
            </w:r>
          </w:p>
        </w:tc>
        <w:tc>
          <w:tcPr>
            <w:tcW w:w="2755" w:type="dxa"/>
            <w:vMerge w:val="restart"/>
            <w:tcBorders>
              <w:top w:val="nil"/>
              <w:left w:val="single" w:sz="4" w:space="0" w:color="auto"/>
              <w:bottom w:val="single" w:sz="4" w:space="0" w:color="000000"/>
              <w:right w:val="single" w:sz="4" w:space="0" w:color="auto"/>
            </w:tcBorders>
            <w:shd w:val="clear" w:color="auto" w:fill="auto"/>
            <w:hideMark/>
          </w:tcPr>
          <w:p w14:paraId="4BB9E5C1"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xml:space="preserve">• Report on the level of awareness about the competition law </w:t>
            </w:r>
            <w:r w:rsidRPr="00586D77">
              <w:rPr>
                <w:rFonts w:ascii="Calibri" w:hAnsi="Calibri" w:cs="Calibri"/>
                <w:sz w:val="22"/>
                <w:szCs w:val="22"/>
                <w:lang w:eastAsia="en-AU"/>
              </w:rPr>
              <w:br/>
              <w:t xml:space="preserve">• Advocacy tools reach the business community </w:t>
            </w:r>
          </w:p>
        </w:tc>
        <w:tc>
          <w:tcPr>
            <w:tcW w:w="496" w:type="dxa"/>
            <w:tcBorders>
              <w:top w:val="nil"/>
              <w:left w:val="nil"/>
              <w:bottom w:val="single" w:sz="4" w:space="0" w:color="auto"/>
              <w:right w:val="single" w:sz="4" w:space="0" w:color="auto"/>
            </w:tcBorders>
            <w:shd w:val="clear" w:color="auto" w:fill="auto"/>
            <w:hideMark/>
          </w:tcPr>
          <w:p w14:paraId="52CE370B"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4C2285D9"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6375C267"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37AFCAD3"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6E04DF96"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4C025CA7"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11A94086"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251CFD98"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64396A70"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27F6CF80"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42831C18" w14:textId="77777777" w:rsidR="00EB1FEE" w:rsidRPr="00586D77" w:rsidRDefault="00EB1FEE" w:rsidP="00586D77">
            <w:pPr>
              <w:spacing w:before="0"/>
              <w:jc w:val="both"/>
              <w:rPr>
                <w:rFonts w:ascii="Calibri" w:hAnsi="Calibri" w:cs="Calibri"/>
                <w:color w:val="000000"/>
                <w:sz w:val="22"/>
                <w:szCs w:val="22"/>
                <w:lang w:eastAsia="en-AU"/>
              </w:rPr>
            </w:pPr>
          </w:p>
        </w:tc>
      </w:tr>
      <w:tr w:rsidR="00EB1FEE" w:rsidRPr="00586D77" w14:paraId="331F1960" w14:textId="3AD9A035" w:rsidTr="003161F8">
        <w:trPr>
          <w:trHeight w:val="1160"/>
        </w:trPr>
        <w:tc>
          <w:tcPr>
            <w:tcW w:w="1575" w:type="dxa"/>
            <w:gridSpan w:val="3"/>
            <w:tcBorders>
              <w:top w:val="nil"/>
              <w:left w:val="single" w:sz="4" w:space="0" w:color="auto"/>
              <w:bottom w:val="single" w:sz="4" w:space="0" w:color="auto"/>
              <w:right w:val="single" w:sz="4" w:space="0" w:color="auto"/>
            </w:tcBorders>
            <w:shd w:val="clear" w:color="auto" w:fill="auto"/>
            <w:vAlign w:val="center"/>
            <w:hideMark/>
          </w:tcPr>
          <w:p w14:paraId="060D77CC"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xml:space="preserve">1.3.1. Building leaflet advocacy for the competition law </w:t>
            </w:r>
          </w:p>
        </w:tc>
        <w:tc>
          <w:tcPr>
            <w:tcW w:w="3118" w:type="dxa"/>
            <w:gridSpan w:val="2"/>
            <w:vMerge/>
            <w:tcBorders>
              <w:top w:val="nil"/>
              <w:left w:val="single" w:sz="4" w:space="0" w:color="auto"/>
              <w:bottom w:val="single" w:sz="4" w:space="0" w:color="000000"/>
              <w:right w:val="single" w:sz="4" w:space="0" w:color="auto"/>
            </w:tcBorders>
            <w:vAlign w:val="center"/>
            <w:hideMark/>
          </w:tcPr>
          <w:p w14:paraId="4DB97053" w14:textId="77777777" w:rsidR="00EB1FEE" w:rsidRPr="00586D77" w:rsidRDefault="00EB1FEE" w:rsidP="00586D77">
            <w:pPr>
              <w:spacing w:before="0"/>
              <w:rPr>
                <w:rFonts w:ascii="Calibri" w:hAnsi="Calibri" w:cs="Calibri"/>
                <w:sz w:val="22"/>
                <w:szCs w:val="22"/>
                <w:lang w:eastAsia="en-AU"/>
              </w:rPr>
            </w:pPr>
          </w:p>
        </w:tc>
        <w:tc>
          <w:tcPr>
            <w:tcW w:w="1072" w:type="dxa"/>
            <w:vMerge/>
            <w:tcBorders>
              <w:top w:val="nil"/>
              <w:left w:val="single" w:sz="4" w:space="0" w:color="auto"/>
              <w:bottom w:val="single" w:sz="4" w:space="0" w:color="000000"/>
              <w:right w:val="single" w:sz="4" w:space="0" w:color="auto"/>
            </w:tcBorders>
            <w:vAlign w:val="center"/>
            <w:hideMark/>
          </w:tcPr>
          <w:p w14:paraId="5E17083A" w14:textId="77777777" w:rsidR="00EB1FEE" w:rsidRPr="00586D77" w:rsidRDefault="00EB1FEE" w:rsidP="00586D77">
            <w:pPr>
              <w:spacing w:before="0"/>
              <w:rPr>
                <w:rFonts w:ascii="Calibri" w:hAnsi="Calibri" w:cs="Calibri"/>
                <w:sz w:val="22"/>
                <w:szCs w:val="22"/>
                <w:lang w:eastAsia="en-AU"/>
              </w:rPr>
            </w:pPr>
          </w:p>
        </w:tc>
        <w:tc>
          <w:tcPr>
            <w:tcW w:w="2755" w:type="dxa"/>
            <w:vMerge/>
            <w:tcBorders>
              <w:top w:val="nil"/>
              <w:left w:val="single" w:sz="4" w:space="0" w:color="auto"/>
              <w:bottom w:val="single" w:sz="4" w:space="0" w:color="000000"/>
              <w:right w:val="single" w:sz="4" w:space="0" w:color="auto"/>
            </w:tcBorders>
            <w:vAlign w:val="center"/>
            <w:hideMark/>
          </w:tcPr>
          <w:p w14:paraId="34A37E60" w14:textId="77777777" w:rsidR="00EB1FEE" w:rsidRPr="00586D77" w:rsidRDefault="00EB1FEE" w:rsidP="00586D77">
            <w:pPr>
              <w:spacing w:before="0"/>
              <w:rPr>
                <w:rFonts w:ascii="Calibri" w:hAnsi="Calibri" w:cs="Calibri"/>
                <w:sz w:val="22"/>
                <w:szCs w:val="22"/>
                <w:lang w:eastAsia="en-AU"/>
              </w:rPr>
            </w:pPr>
          </w:p>
        </w:tc>
        <w:tc>
          <w:tcPr>
            <w:tcW w:w="496" w:type="dxa"/>
            <w:tcBorders>
              <w:top w:val="nil"/>
              <w:left w:val="nil"/>
              <w:bottom w:val="single" w:sz="4" w:space="0" w:color="auto"/>
              <w:right w:val="single" w:sz="4" w:space="0" w:color="auto"/>
            </w:tcBorders>
            <w:shd w:val="clear" w:color="000000" w:fill="FFFF00"/>
            <w:hideMark/>
          </w:tcPr>
          <w:p w14:paraId="29CB7153"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7CC7551D"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0619432F"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1233091D"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4AF1695D"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2A63E7BB"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55BDCDB2"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6D88FA8E"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3B011212"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49E3E2C7"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467FB7BF" w14:textId="77777777" w:rsidR="00EB1FEE" w:rsidRPr="00586D77" w:rsidRDefault="00EB1FEE" w:rsidP="00586D77">
            <w:pPr>
              <w:spacing w:before="0"/>
              <w:jc w:val="both"/>
              <w:rPr>
                <w:rFonts w:ascii="Calibri" w:hAnsi="Calibri" w:cs="Calibri"/>
                <w:color w:val="000000"/>
                <w:sz w:val="22"/>
                <w:szCs w:val="22"/>
                <w:lang w:eastAsia="en-AU"/>
              </w:rPr>
            </w:pPr>
          </w:p>
        </w:tc>
      </w:tr>
      <w:tr w:rsidR="00EB1FEE" w:rsidRPr="00586D77" w14:paraId="1529D2CC" w14:textId="2CB8F0DB" w:rsidTr="003161F8">
        <w:trPr>
          <w:trHeight w:val="1160"/>
        </w:trPr>
        <w:tc>
          <w:tcPr>
            <w:tcW w:w="1575" w:type="dxa"/>
            <w:gridSpan w:val="3"/>
            <w:tcBorders>
              <w:top w:val="nil"/>
              <w:left w:val="single" w:sz="4" w:space="0" w:color="auto"/>
              <w:bottom w:val="single" w:sz="4" w:space="0" w:color="auto"/>
              <w:right w:val="single" w:sz="4" w:space="0" w:color="auto"/>
            </w:tcBorders>
            <w:shd w:val="clear" w:color="auto" w:fill="auto"/>
            <w:vAlign w:val="center"/>
            <w:hideMark/>
          </w:tcPr>
          <w:p w14:paraId="4B1D53BD"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xml:space="preserve">1.3.2. Making a short video to advocate on cartel (5 minutes) </w:t>
            </w:r>
          </w:p>
        </w:tc>
        <w:tc>
          <w:tcPr>
            <w:tcW w:w="3118" w:type="dxa"/>
            <w:gridSpan w:val="2"/>
            <w:vMerge/>
            <w:tcBorders>
              <w:top w:val="nil"/>
              <w:left w:val="single" w:sz="4" w:space="0" w:color="auto"/>
              <w:bottom w:val="single" w:sz="4" w:space="0" w:color="000000"/>
              <w:right w:val="single" w:sz="4" w:space="0" w:color="auto"/>
            </w:tcBorders>
            <w:vAlign w:val="center"/>
            <w:hideMark/>
          </w:tcPr>
          <w:p w14:paraId="3F2247A9" w14:textId="77777777" w:rsidR="00EB1FEE" w:rsidRPr="00586D77" w:rsidRDefault="00EB1FEE" w:rsidP="00586D77">
            <w:pPr>
              <w:spacing w:before="0"/>
              <w:rPr>
                <w:rFonts w:ascii="Calibri" w:hAnsi="Calibri" w:cs="Calibri"/>
                <w:sz w:val="22"/>
                <w:szCs w:val="22"/>
                <w:lang w:eastAsia="en-AU"/>
              </w:rPr>
            </w:pPr>
          </w:p>
        </w:tc>
        <w:tc>
          <w:tcPr>
            <w:tcW w:w="1072" w:type="dxa"/>
            <w:vMerge/>
            <w:tcBorders>
              <w:top w:val="nil"/>
              <w:left w:val="single" w:sz="4" w:space="0" w:color="auto"/>
              <w:bottom w:val="single" w:sz="4" w:space="0" w:color="000000"/>
              <w:right w:val="single" w:sz="4" w:space="0" w:color="auto"/>
            </w:tcBorders>
            <w:vAlign w:val="center"/>
            <w:hideMark/>
          </w:tcPr>
          <w:p w14:paraId="2123FB9C" w14:textId="77777777" w:rsidR="00EB1FEE" w:rsidRPr="00586D77" w:rsidRDefault="00EB1FEE" w:rsidP="00586D77">
            <w:pPr>
              <w:spacing w:before="0"/>
              <w:rPr>
                <w:rFonts w:ascii="Calibri" w:hAnsi="Calibri" w:cs="Calibri"/>
                <w:sz w:val="22"/>
                <w:szCs w:val="22"/>
                <w:lang w:eastAsia="en-AU"/>
              </w:rPr>
            </w:pPr>
          </w:p>
        </w:tc>
        <w:tc>
          <w:tcPr>
            <w:tcW w:w="2755" w:type="dxa"/>
            <w:vMerge/>
            <w:tcBorders>
              <w:top w:val="nil"/>
              <w:left w:val="single" w:sz="4" w:space="0" w:color="auto"/>
              <w:bottom w:val="single" w:sz="4" w:space="0" w:color="000000"/>
              <w:right w:val="single" w:sz="4" w:space="0" w:color="auto"/>
            </w:tcBorders>
            <w:vAlign w:val="center"/>
            <w:hideMark/>
          </w:tcPr>
          <w:p w14:paraId="7C7841A5" w14:textId="77777777" w:rsidR="00EB1FEE" w:rsidRPr="00586D77" w:rsidRDefault="00EB1FEE" w:rsidP="00586D77">
            <w:pPr>
              <w:spacing w:before="0"/>
              <w:rPr>
                <w:rFonts w:ascii="Calibri" w:hAnsi="Calibri" w:cs="Calibri"/>
                <w:sz w:val="22"/>
                <w:szCs w:val="22"/>
                <w:lang w:eastAsia="en-AU"/>
              </w:rPr>
            </w:pPr>
          </w:p>
        </w:tc>
        <w:tc>
          <w:tcPr>
            <w:tcW w:w="496" w:type="dxa"/>
            <w:tcBorders>
              <w:top w:val="nil"/>
              <w:left w:val="nil"/>
              <w:bottom w:val="single" w:sz="4" w:space="0" w:color="auto"/>
              <w:right w:val="single" w:sz="4" w:space="0" w:color="auto"/>
            </w:tcBorders>
            <w:shd w:val="clear" w:color="000000" w:fill="FFFF00"/>
            <w:hideMark/>
          </w:tcPr>
          <w:p w14:paraId="175DB708"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000000" w:fill="FFFF00"/>
            <w:hideMark/>
          </w:tcPr>
          <w:p w14:paraId="01436B20"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12716D77"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2481229C"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09197861"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312BD7D3"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7A038CC8"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753CD604"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39EB5BB4"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4DFCCC90"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76408354" w14:textId="77777777" w:rsidR="00EB1FEE" w:rsidRPr="00586D77" w:rsidRDefault="00EB1FEE" w:rsidP="00586D77">
            <w:pPr>
              <w:spacing w:before="0"/>
              <w:jc w:val="both"/>
              <w:rPr>
                <w:rFonts w:ascii="Calibri" w:hAnsi="Calibri" w:cs="Calibri"/>
                <w:color w:val="000000"/>
                <w:sz w:val="22"/>
                <w:szCs w:val="22"/>
                <w:lang w:eastAsia="en-AU"/>
              </w:rPr>
            </w:pPr>
          </w:p>
        </w:tc>
      </w:tr>
      <w:tr w:rsidR="00EB1FEE" w:rsidRPr="00586D77" w14:paraId="53D3572D" w14:textId="23FB379C" w:rsidTr="003161F8">
        <w:trPr>
          <w:trHeight w:val="2900"/>
        </w:trPr>
        <w:tc>
          <w:tcPr>
            <w:tcW w:w="1575" w:type="dxa"/>
            <w:gridSpan w:val="3"/>
            <w:tcBorders>
              <w:top w:val="nil"/>
              <w:left w:val="single" w:sz="4" w:space="0" w:color="auto"/>
              <w:bottom w:val="single" w:sz="4" w:space="0" w:color="auto"/>
              <w:right w:val="single" w:sz="4" w:space="0" w:color="auto"/>
            </w:tcBorders>
            <w:shd w:val="clear" w:color="auto" w:fill="auto"/>
            <w:hideMark/>
          </w:tcPr>
          <w:p w14:paraId="00889DC0"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xml:space="preserve"> Activity 1.4: Organize three advanced training courses on competition investigating skills aiming at representatives of VCA and relevant agencies</w:t>
            </w:r>
          </w:p>
        </w:tc>
        <w:tc>
          <w:tcPr>
            <w:tcW w:w="3118" w:type="dxa"/>
            <w:gridSpan w:val="2"/>
            <w:vMerge w:val="restart"/>
            <w:tcBorders>
              <w:top w:val="nil"/>
              <w:left w:val="single" w:sz="4" w:space="0" w:color="auto"/>
              <w:bottom w:val="single" w:sz="4" w:space="0" w:color="000000"/>
              <w:right w:val="single" w:sz="4" w:space="0" w:color="auto"/>
            </w:tcBorders>
            <w:shd w:val="clear" w:color="auto" w:fill="auto"/>
            <w:hideMark/>
          </w:tcPr>
          <w:p w14:paraId="141886B9"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xml:space="preserve">• Training courses on investigation skills for VCA staff </w:t>
            </w:r>
            <w:r w:rsidRPr="00586D77">
              <w:rPr>
                <w:rFonts w:ascii="Calibri" w:hAnsi="Calibri" w:cs="Calibri"/>
                <w:sz w:val="22"/>
                <w:szCs w:val="22"/>
                <w:lang w:eastAsia="en-AU"/>
              </w:rPr>
              <w:br/>
              <w:t xml:space="preserve">• Tools/ guidelines on investigating and handling competition cases </w:t>
            </w:r>
          </w:p>
        </w:tc>
        <w:tc>
          <w:tcPr>
            <w:tcW w:w="1072" w:type="dxa"/>
            <w:vMerge w:val="restart"/>
            <w:tcBorders>
              <w:top w:val="nil"/>
              <w:left w:val="single" w:sz="4" w:space="0" w:color="auto"/>
              <w:bottom w:val="single" w:sz="4" w:space="0" w:color="000000"/>
              <w:right w:val="single" w:sz="4" w:space="0" w:color="auto"/>
            </w:tcBorders>
            <w:shd w:val="clear" w:color="auto" w:fill="auto"/>
            <w:hideMark/>
          </w:tcPr>
          <w:p w14:paraId="0BF534FD"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xml:space="preserve">• Local experts </w:t>
            </w:r>
            <w:r w:rsidRPr="00586D77">
              <w:rPr>
                <w:rFonts w:ascii="Calibri" w:hAnsi="Calibri" w:cs="Calibri"/>
                <w:sz w:val="22"/>
                <w:szCs w:val="22"/>
                <w:lang w:eastAsia="en-AU"/>
              </w:rPr>
              <w:br/>
              <w:t xml:space="preserve">• International experts </w:t>
            </w:r>
            <w:r w:rsidRPr="00586D77">
              <w:rPr>
                <w:rFonts w:ascii="Calibri" w:hAnsi="Calibri" w:cs="Calibri"/>
                <w:sz w:val="22"/>
                <w:szCs w:val="22"/>
                <w:lang w:eastAsia="en-AU"/>
              </w:rPr>
              <w:br/>
              <w:t xml:space="preserve">• Training </w:t>
            </w:r>
            <w:r w:rsidRPr="00586D77">
              <w:rPr>
                <w:rFonts w:ascii="Calibri" w:hAnsi="Calibri" w:cs="Calibri"/>
                <w:sz w:val="22"/>
                <w:szCs w:val="22"/>
                <w:lang w:eastAsia="en-AU"/>
              </w:rPr>
              <w:br/>
              <w:t xml:space="preserve">• Printing costs </w:t>
            </w:r>
          </w:p>
        </w:tc>
        <w:tc>
          <w:tcPr>
            <w:tcW w:w="2755" w:type="dxa"/>
            <w:vMerge w:val="restart"/>
            <w:tcBorders>
              <w:top w:val="nil"/>
              <w:left w:val="single" w:sz="4" w:space="0" w:color="auto"/>
              <w:bottom w:val="single" w:sz="4" w:space="0" w:color="000000"/>
              <w:right w:val="single" w:sz="4" w:space="0" w:color="auto"/>
            </w:tcBorders>
            <w:shd w:val="clear" w:color="auto" w:fill="auto"/>
            <w:hideMark/>
          </w:tcPr>
          <w:p w14:paraId="58FE7B5A"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xml:space="preserve">• Investigators are equipped with knowledge/ investigation skills </w:t>
            </w:r>
            <w:r w:rsidRPr="00586D77">
              <w:rPr>
                <w:rFonts w:ascii="Calibri" w:hAnsi="Calibri" w:cs="Calibri"/>
                <w:sz w:val="22"/>
                <w:szCs w:val="22"/>
                <w:lang w:eastAsia="en-AU"/>
              </w:rPr>
              <w:br/>
              <w:t xml:space="preserve">• Tools/ Guidelines for investigators are built </w:t>
            </w:r>
          </w:p>
        </w:tc>
        <w:tc>
          <w:tcPr>
            <w:tcW w:w="496" w:type="dxa"/>
            <w:tcBorders>
              <w:top w:val="nil"/>
              <w:left w:val="nil"/>
              <w:bottom w:val="single" w:sz="4" w:space="0" w:color="auto"/>
              <w:right w:val="single" w:sz="4" w:space="0" w:color="auto"/>
            </w:tcBorders>
            <w:shd w:val="clear" w:color="auto" w:fill="auto"/>
            <w:hideMark/>
          </w:tcPr>
          <w:p w14:paraId="67537246"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0753D760"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367A3F97"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0AE642CC"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3E9D55C4"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34F008E2"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7791A748"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29CB658D"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7B039761"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77912C84"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1765C3C9" w14:textId="77777777" w:rsidR="00EB1FEE" w:rsidRPr="00586D77" w:rsidRDefault="00EB1FEE" w:rsidP="00586D77">
            <w:pPr>
              <w:spacing w:before="0"/>
              <w:jc w:val="both"/>
              <w:rPr>
                <w:rFonts w:ascii="Calibri" w:hAnsi="Calibri" w:cs="Calibri"/>
                <w:color w:val="000000"/>
                <w:sz w:val="22"/>
                <w:szCs w:val="22"/>
                <w:lang w:eastAsia="en-AU"/>
              </w:rPr>
            </w:pPr>
          </w:p>
        </w:tc>
      </w:tr>
      <w:tr w:rsidR="00EB1FEE" w:rsidRPr="00586D77" w14:paraId="54D75548" w14:textId="3614A500" w:rsidTr="003161F8">
        <w:trPr>
          <w:trHeight w:val="1160"/>
        </w:trPr>
        <w:tc>
          <w:tcPr>
            <w:tcW w:w="1575" w:type="dxa"/>
            <w:gridSpan w:val="3"/>
            <w:tcBorders>
              <w:top w:val="nil"/>
              <w:left w:val="single" w:sz="4" w:space="0" w:color="auto"/>
              <w:bottom w:val="single" w:sz="4" w:space="0" w:color="auto"/>
              <w:right w:val="single" w:sz="4" w:space="0" w:color="auto"/>
            </w:tcBorders>
            <w:shd w:val="clear" w:color="auto" w:fill="auto"/>
            <w:vAlign w:val="center"/>
            <w:hideMark/>
          </w:tcPr>
          <w:p w14:paraId="6DC44BC3"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xml:space="preserve">1.4.1. Hiring experts to prepare the training materials </w:t>
            </w:r>
          </w:p>
        </w:tc>
        <w:tc>
          <w:tcPr>
            <w:tcW w:w="3118" w:type="dxa"/>
            <w:gridSpan w:val="2"/>
            <w:vMerge/>
            <w:tcBorders>
              <w:top w:val="nil"/>
              <w:left w:val="single" w:sz="4" w:space="0" w:color="auto"/>
              <w:bottom w:val="single" w:sz="4" w:space="0" w:color="000000"/>
              <w:right w:val="single" w:sz="4" w:space="0" w:color="auto"/>
            </w:tcBorders>
            <w:vAlign w:val="center"/>
            <w:hideMark/>
          </w:tcPr>
          <w:p w14:paraId="1E9B5FB1" w14:textId="77777777" w:rsidR="00EB1FEE" w:rsidRPr="00586D77" w:rsidRDefault="00EB1FEE" w:rsidP="00586D77">
            <w:pPr>
              <w:spacing w:before="0"/>
              <w:rPr>
                <w:rFonts w:ascii="Calibri" w:hAnsi="Calibri" w:cs="Calibri"/>
                <w:sz w:val="22"/>
                <w:szCs w:val="22"/>
                <w:lang w:eastAsia="en-AU"/>
              </w:rPr>
            </w:pPr>
          </w:p>
        </w:tc>
        <w:tc>
          <w:tcPr>
            <w:tcW w:w="1072" w:type="dxa"/>
            <w:vMerge/>
            <w:tcBorders>
              <w:top w:val="nil"/>
              <w:left w:val="single" w:sz="4" w:space="0" w:color="auto"/>
              <w:bottom w:val="single" w:sz="4" w:space="0" w:color="000000"/>
              <w:right w:val="single" w:sz="4" w:space="0" w:color="auto"/>
            </w:tcBorders>
            <w:vAlign w:val="center"/>
            <w:hideMark/>
          </w:tcPr>
          <w:p w14:paraId="49B2D9D9" w14:textId="77777777" w:rsidR="00EB1FEE" w:rsidRPr="00586D77" w:rsidRDefault="00EB1FEE" w:rsidP="00586D77">
            <w:pPr>
              <w:spacing w:before="0"/>
              <w:rPr>
                <w:rFonts w:ascii="Calibri" w:hAnsi="Calibri" w:cs="Calibri"/>
                <w:sz w:val="22"/>
                <w:szCs w:val="22"/>
                <w:lang w:eastAsia="en-AU"/>
              </w:rPr>
            </w:pPr>
          </w:p>
        </w:tc>
        <w:tc>
          <w:tcPr>
            <w:tcW w:w="2755" w:type="dxa"/>
            <w:vMerge/>
            <w:tcBorders>
              <w:top w:val="nil"/>
              <w:left w:val="single" w:sz="4" w:space="0" w:color="auto"/>
              <w:bottom w:val="single" w:sz="4" w:space="0" w:color="000000"/>
              <w:right w:val="single" w:sz="4" w:space="0" w:color="auto"/>
            </w:tcBorders>
            <w:vAlign w:val="center"/>
            <w:hideMark/>
          </w:tcPr>
          <w:p w14:paraId="6D5C3DC9" w14:textId="77777777" w:rsidR="00EB1FEE" w:rsidRPr="00586D77" w:rsidRDefault="00EB1FEE" w:rsidP="00586D77">
            <w:pPr>
              <w:spacing w:before="0"/>
              <w:rPr>
                <w:rFonts w:ascii="Calibri" w:hAnsi="Calibri" w:cs="Calibri"/>
                <w:sz w:val="22"/>
                <w:szCs w:val="22"/>
                <w:lang w:eastAsia="en-AU"/>
              </w:rPr>
            </w:pPr>
          </w:p>
        </w:tc>
        <w:tc>
          <w:tcPr>
            <w:tcW w:w="496" w:type="dxa"/>
            <w:tcBorders>
              <w:top w:val="nil"/>
              <w:left w:val="nil"/>
              <w:bottom w:val="single" w:sz="4" w:space="0" w:color="auto"/>
              <w:right w:val="single" w:sz="4" w:space="0" w:color="auto"/>
            </w:tcBorders>
            <w:shd w:val="clear" w:color="000000" w:fill="FFFF00"/>
            <w:hideMark/>
          </w:tcPr>
          <w:p w14:paraId="655DC934"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59FCAED3"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4DCBB3D0"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1ABE0044"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061CF20B"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1F7E5276"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4C2E30C3"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23119603"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74B4BD84"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510AC691"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25709327" w14:textId="77777777" w:rsidR="00EB1FEE" w:rsidRPr="00586D77" w:rsidRDefault="00EB1FEE" w:rsidP="00586D77">
            <w:pPr>
              <w:spacing w:before="0"/>
              <w:jc w:val="both"/>
              <w:rPr>
                <w:rFonts w:ascii="Calibri" w:hAnsi="Calibri" w:cs="Calibri"/>
                <w:color w:val="000000"/>
                <w:sz w:val="22"/>
                <w:szCs w:val="22"/>
                <w:lang w:eastAsia="en-AU"/>
              </w:rPr>
            </w:pPr>
          </w:p>
        </w:tc>
      </w:tr>
      <w:tr w:rsidR="00EB1FEE" w:rsidRPr="00586D77" w14:paraId="7E43FD29" w14:textId="6AC9F6EA" w:rsidTr="003161F8">
        <w:trPr>
          <w:trHeight w:val="580"/>
        </w:trPr>
        <w:tc>
          <w:tcPr>
            <w:tcW w:w="1575" w:type="dxa"/>
            <w:gridSpan w:val="3"/>
            <w:tcBorders>
              <w:top w:val="nil"/>
              <w:left w:val="single" w:sz="4" w:space="0" w:color="auto"/>
              <w:bottom w:val="single" w:sz="4" w:space="0" w:color="auto"/>
              <w:right w:val="single" w:sz="4" w:space="0" w:color="auto"/>
            </w:tcBorders>
            <w:shd w:val="clear" w:color="auto" w:fill="auto"/>
            <w:vAlign w:val="center"/>
            <w:hideMark/>
          </w:tcPr>
          <w:p w14:paraId="63EF8D63"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xml:space="preserve">1.4.2. Conducting 3 training courses </w:t>
            </w:r>
          </w:p>
        </w:tc>
        <w:tc>
          <w:tcPr>
            <w:tcW w:w="3118" w:type="dxa"/>
            <w:gridSpan w:val="2"/>
            <w:vMerge/>
            <w:tcBorders>
              <w:top w:val="nil"/>
              <w:left w:val="single" w:sz="4" w:space="0" w:color="auto"/>
              <w:bottom w:val="single" w:sz="4" w:space="0" w:color="000000"/>
              <w:right w:val="single" w:sz="4" w:space="0" w:color="auto"/>
            </w:tcBorders>
            <w:vAlign w:val="center"/>
            <w:hideMark/>
          </w:tcPr>
          <w:p w14:paraId="780FEDD2" w14:textId="77777777" w:rsidR="00EB1FEE" w:rsidRPr="00586D77" w:rsidRDefault="00EB1FEE" w:rsidP="00586D77">
            <w:pPr>
              <w:spacing w:before="0"/>
              <w:rPr>
                <w:rFonts w:ascii="Calibri" w:hAnsi="Calibri" w:cs="Calibri"/>
                <w:sz w:val="22"/>
                <w:szCs w:val="22"/>
                <w:lang w:eastAsia="en-AU"/>
              </w:rPr>
            </w:pPr>
          </w:p>
        </w:tc>
        <w:tc>
          <w:tcPr>
            <w:tcW w:w="1072" w:type="dxa"/>
            <w:vMerge/>
            <w:tcBorders>
              <w:top w:val="nil"/>
              <w:left w:val="single" w:sz="4" w:space="0" w:color="auto"/>
              <w:bottom w:val="single" w:sz="4" w:space="0" w:color="000000"/>
              <w:right w:val="single" w:sz="4" w:space="0" w:color="auto"/>
            </w:tcBorders>
            <w:vAlign w:val="center"/>
            <w:hideMark/>
          </w:tcPr>
          <w:p w14:paraId="16238FD9" w14:textId="77777777" w:rsidR="00EB1FEE" w:rsidRPr="00586D77" w:rsidRDefault="00EB1FEE" w:rsidP="00586D77">
            <w:pPr>
              <w:spacing w:before="0"/>
              <w:rPr>
                <w:rFonts w:ascii="Calibri" w:hAnsi="Calibri" w:cs="Calibri"/>
                <w:sz w:val="22"/>
                <w:szCs w:val="22"/>
                <w:lang w:eastAsia="en-AU"/>
              </w:rPr>
            </w:pPr>
          </w:p>
        </w:tc>
        <w:tc>
          <w:tcPr>
            <w:tcW w:w="2755" w:type="dxa"/>
            <w:vMerge/>
            <w:tcBorders>
              <w:top w:val="nil"/>
              <w:left w:val="single" w:sz="4" w:space="0" w:color="auto"/>
              <w:bottom w:val="single" w:sz="4" w:space="0" w:color="000000"/>
              <w:right w:val="single" w:sz="4" w:space="0" w:color="auto"/>
            </w:tcBorders>
            <w:vAlign w:val="center"/>
            <w:hideMark/>
          </w:tcPr>
          <w:p w14:paraId="6D52235D" w14:textId="77777777" w:rsidR="00EB1FEE" w:rsidRPr="00586D77" w:rsidRDefault="00EB1FEE" w:rsidP="00586D77">
            <w:pPr>
              <w:spacing w:before="0"/>
              <w:rPr>
                <w:rFonts w:ascii="Calibri" w:hAnsi="Calibri" w:cs="Calibri"/>
                <w:sz w:val="22"/>
                <w:szCs w:val="22"/>
                <w:lang w:eastAsia="en-AU"/>
              </w:rPr>
            </w:pPr>
          </w:p>
        </w:tc>
        <w:tc>
          <w:tcPr>
            <w:tcW w:w="496" w:type="dxa"/>
            <w:tcBorders>
              <w:top w:val="nil"/>
              <w:left w:val="nil"/>
              <w:bottom w:val="single" w:sz="4" w:space="0" w:color="auto"/>
              <w:right w:val="single" w:sz="4" w:space="0" w:color="auto"/>
            </w:tcBorders>
            <w:shd w:val="clear" w:color="000000" w:fill="FFFF00"/>
            <w:hideMark/>
          </w:tcPr>
          <w:p w14:paraId="332196A7"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2A9D5D13"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72087961"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000000" w:fill="FFFF00"/>
            <w:hideMark/>
          </w:tcPr>
          <w:p w14:paraId="4A256DC5"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18F0F39D"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6EBE87BA"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000000" w:fill="FFFF00"/>
            <w:hideMark/>
          </w:tcPr>
          <w:p w14:paraId="1E69E588"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5F9748BA"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49CDFBDC"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61124E3D"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16507545" w14:textId="77777777" w:rsidR="00EB1FEE" w:rsidRPr="00586D77" w:rsidRDefault="00EB1FEE" w:rsidP="00586D77">
            <w:pPr>
              <w:spacing w:before="0"/>
              <w:jc w:val="both"/>
              <w:rPr>
                <w:rFonts w:ascii="Calibri" w:hAnsi="Calibri" w:cs="Calibri"/>
                <w:color w:val="000000"/>
                <w:sz w:val="22"/>
                <w:szCs w:val="22"/>
                <w:lang w:eastAsia="en-AU"/>
              </w:rPr>
            </w:pPr>
          </w:p>
        </w:tc>
      </w:tr>
      <w:tr w:rsidR="00EB1FEE" w:rsidRPr="00586D77" w14:paraId="2F6340FF" w14:textId="28AA6A89" w:rsidTr="003161F8">
        <w:trPr>
          <w:trHeight w:val="2030"/>
        </w:trPr>
        <w:tc>
          <w:tcPr>
            <w:tcW w:w="15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26BD4F7"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xml:space="preserve">Activity 2.1.Comparative reports to assess the competition environment in selected economic sectors. </w:t>
            </w:r>
          </w:p>
        </w:tc>
        <w:tc>
          <w:tcPr>
            <w:tcW w:w="31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D5F26E"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Based on the on-going built database, a report to evaluate the competitiveness of the environment in specific sectors is conducted (similar to the PCI report done by VCCI</w:t>
            </w:r>
            <w:proofErr w:type="gramStart"/>
            <w:r w:rsidRPr="00586D77">
              <w:rPr>
                <w:rFonts w:ascii="Calibri" w:hAnsi="Calibri" w:cs="Calibri"/>
                <w:sz w:val="22"/>
                <w:szCs w:val="22"/>
                <w:lang w:eastAsia="en-AU"/>
              </w:rPr>
              <w:t xml:space="preserve">)  </w:t>
            </w:r>
            <w:proofErr w:type="gramEnd"/>
            <w:r w:rsidRPr="00586D77">
              <w:rPr>
                <w:rFonts w:ascii="Calibri" w:hAnsi="Calibri" w:cs="Calibri"/>
                <w:sz w:val="22"/>
                <w:szCs w:val="22"/>
                <w:lang w:eastAsia="en-AU"/>
              </w:rPr>
              <w:br/>
              <w:t xml:space="preserve">• Exchange/ discuss/ consult with sectoral regulators on evaluating the competitiveness of the market in their sectors.  </w:t>
            </w:r>
            <w:r w:rsidRPr="00586D77">
              <w:rPr>
                <w:rFonts w:ascii="Calibri" w:hAnsi="Calibri" w:cs="Calibri"/>
                <w:sz w:val="22"/>
                <w:szCs w:val="22"/>
                <w:lang w:eastAsia="en-AU"/>
              </w:rPr>
              <w:br/>
              <w:t xml:space="preserve">• Conference/ Seminar to publish the study results </w:t>
            </w:r>
            <w:r w:rsidRPr="00586D77">
              <w:rPr>
                <w:rFonts w:ascii="Calibri" w:hAnsi="Calibri" w:cs="Calibri"/>
                <w:sz w:val="22"/>
                <w:szCs w:val="22"/>
                <w:lang w:eastAsia="en-AU"/>
              </w:rPr>
              <w:br/>
              <w:t xml:space="preserve">• Report publications </w:t>
            </w:r>
          </w:p>
        </w:tc>
        <w:tc>
          <w:tcPr>
            <w:tcW w:w="10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C2329E"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xml:space="preserve">•  Local experts </w:t>
            </w:r>
            <w:r w:rsidRPr="00586D77">
              <w:rPr>
                <w:rFonts w:ascii="Calibri" w:hAnsi="Calibri" w:cs="Calibri"/>
                <w:sz w:val="22"/>
                <w:szCs w:val="22"/>
                <w:lang w:eastAsia="en-AU"/>
              </w:rPr>
              <w:br/>
              <w:t>• International experts</w:t>
            </w:r>
            <w:r w:rsidRPr="00586D77">
              <w:rPr>
                <w:rFonts w:ascii="Calibri" w:hAnsi="Calibri" w:cs="Calibri"/>
                <w:sz w:val="22"/>
                <w:szCs w:val="22"/>
                <w:lang w:eastAsia="en-AU"/>
              </w:rPr>
              <w:br/>
              <w:t xml:space="preserve">• Conference </w:t>
            </w:r>
            <w:r w:rsidRPr="00586D77">
              <w:rPr>
                <w:rFonts w:ascii="Calibri" w:hAnsi="Calibri" w:cs="Calibri"/>
                <w:sz w:val="22"/>
                <w:szCs w:val="22"/>
                <w:lang w:eastAsia="en-AU"/>
              </w:rPr>
              <w:br/>
              <w:t xml:space="preserve">• Printing cost  </w:t>
            </w:r>
          </w:p>
        </w:tc>
        <w:tc>
          <w:tcPr>
            <w:tcW w:w="27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1C83E8"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xml:space="preserve">• The report on the competitiveness of environment in specific sectors is published </w:t>
            </w:r>
          </w:p>
        </w:tc>
        <w:tc>
          <w:tcPr>
            <w:tcW w:w="496" w:type="dxa"/>
            <w:tcBorders>
              <w:top w:val="single" w:sz="4" w:space="0" w:color="auto"/>
              <w:left w:val="nil"/>
              <w:bottom w:val="single" w:sz="4" w:space="0" w:color="auto"/>
              <w:right w:val="single" w:sz="4" w:space="0" w:color="auto"/>
            </w:tcBorders>
            <w:shd w:val="clear" w:color="auto" w:fill="auto"/>
            <w:hideMark/>
          </w:tcPr>
          <w:p w14:paraId="6321CF1E"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23139242"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40DEB815"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3B48C9C2"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7270DFEE"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6F4BA019"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4349DBFD"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03894AF6"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450D6EDF"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2CC5C38A"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39EB60B2" w14:textId="77777777" w:rsidR="00EB1FEE" w:rsidRPr="00586D77" w:rsidRDefault="00EB1FEE" w:rsidP="00586D77">
            <w:pPr>
              <w:spacing w:before="0"/>
              <w:jc w:val="both"/>
              <w:rPr>
                <w:rFonts w:ascii="Calibri" w:hAnsi="Calibri" w:cs="Calibri"/>
                <w:color w:val="000000"/>
                <w:sz w:val="22"/>
                <w:szCs w:val="22"/>
                <w:lang w:eastAsia="en-AU"/>
              </w:rPr>
            </w:pPr>
          </w:p>
        </w:tc>
      </w:tr>
      <w:tr w:rsidR="00EB1FEE" w:rsidRPr="00586D77" w14:paraId="37BC8A3B" w14:textId="15E96528" w:rsidTr="003161F8">
        <w:trPr>
          <w:trHeight w:val="2030"/>
        </w:trPr>
        <w:tc>
          <w:tcPr>
            <w:tcW w:w="15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C14444"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2.1.1. Conducting comparative reports to assess the competition environment in selected economic sectors</w:t>
            </w:r>
          </w:p>
        </w:tc>
        <w:tc>
          <w:tcPr>
            <w:tcW w:w="3118" w:type="dxa"/>
            <w:gridSpan w:val="2"/>
            <w:vMerge/>
            <w:tcBorders>
              <w:top w:val="single" w:sz="4" w:space="0" w:color="auto"/>
              <w:left w:val="single" w:sz="4" w:space="0" w:color="auto"/>
              <w:bottom w:val="single" w:sz="4" w:space="0" w:color="000000"/>
              <w:right w:val="single" w:sz="4" w:space="0" w:color="auto"/>
            </w:tcBorders>
            <w:vAlign w:val="center"/>
            <w:hideMark/>
          </w:tcPr>
          <w:p w14:paraId="4A649F12" w14:textId="77777777" w:rsidR="00EB1FEE" w:rsidRPr="00586D77" w:rsidRDefault="00EB1FEE" w:rsidP="00586D77">
            <w:pPr>
              <w:spacing w:before="0"/>
              <w:rPr>
                <w:rFonts w:ascii="Calibri" w:hAnsi="Calibri" w:cs="Calibri"/>
                <w:sz w:val="22"/>
                <w:szCs w:val="22"/>
                <w:lang w:eastAsia="en-AU"/>
              </w:rPr>
            </w:pPr>
          </w:p>
        </w:tc>
        <w:tc>
          <w:tcPr>
            <w:tcW w:w="1072" w:type="dxa"/>
            <w:vMerge/>
            <w:tcBorders>
              <w:top w:val="single" w:sz="4" w:space="0" w:color="auto"/>
              <w:left w:val="single" w:sz="4" w:space="0" w:color="auto"/>
              <w:bottom w:val="single" w:sz="4" w:space="0" w:color="000000"/>
              <w:right w:val="single" w:sz="4" w:space="0" w:color="auto"/>
            </w:tcBorders>
            <w:vAlign w:val="center"/>
            <w:hideMark/>
          </w:tcPr>
          <w:p w14:paraId="1137627D" w14:textId="77777777" w:rsidR="00EB1FEE" w:rsidRPr="00586D77" w:rsidRDefault="00EB1FEE" w:rsidP="00586D77">
            <w:pPr>
              <w:spacing w:before="0"/>
              <w:rPr>
                <w:rFonts w:ascii="Calibri" w:hAnsi="Calibri" w:cs="Calibri"/>
                <w:sz w:val="22"/>
                <w:szCs w:val="22"/>
                <w:lang w:eastAsia="en-AU"/>
              </w:rPr>
            </w:pPr>
          </w:p>
        </w:tc>
        <w:tc>
          <w:tcPr>
            <w:tcW w:w="2755" w:type="dxa"/>
            <w:vMerge/>
            <w:tcBorders>
              <w:top w:val="single" w:sz="4" w:space="0" w:color="auto"/>
              <w:left w:val="single" w:sz="4" w:space="0" w:color="auto"/>
              <w:bottom w:val="single" w:sz="4" w:space="0" w:color="000000"/>
              <w:right w:val="single" w:sz="4" w:space="0" w:color="auto"/>
            </w:tcBorders>
            <w:vAlign w:val="center"/>
            <w:hideMark/>
          </w:tcPr>
          <w:p w14:paraId="14CA0CEF" w14:textId="77777777" w:rsidR="00EB1FEE" w:rsidRPr="00586D77" w:rsidRDefault="00EB1FEE" w:rsidP="00586D77">
            <w:pPr>
              <w:spacing w:before="0"/>
              <w:rPr>
                <w:rFonts w:ascii="Calibri" w:hAnsi="Calibri" w:cs="Calibri"/>
                <w:sz w:val="22"/>
                <w:szCs w:val="22"/>
                <w:lang w:eastAsia="en-AU"/>
              </w:rPr>
            </w:pPr>
          </w:p>
        </w:tc>
        <w:tc>
          <w:tcPr>
            <w:tcW w:w="496" w:type="dxa"/>
            <w:tcBorders>
              <w:top w:val="single" w:sz="4" w:space="0" w:color="auto"/>
              <w:left w:val="nil"/>
              <w:bottom w:val="single" w:sz="4" w:space="0" w:color="auto"/>
              <w:right w:val="single" w:sz="4" w:space="0" w:color="auto"/>
            </w:tcBorders>
            <w:shd w:val="clear" w:color="auto" w:fill="auto"/>
            <w:hideMark/>
          </w:tcPr>
          <w:p w14:paraId="3E42AAFC"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000000" w:fill="FFFF00"/>
            <w:hideMark/>
          </w:tcPr>
          <w:p w14:paraId="1EA652F3"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000000" w:fill="FFFF00"/>
            <w:hideMark/>
          </w:tcPr>
          <w:p w14:paraId="6DC9001A"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000000" w:fill="FFFF00"/>
            <w:hideMark/>
          </w:tcPr>
          <w:p w14:paraId="5315DEC1"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000000" w:fill="FFFF00"/>
            <w:hideMark/>
          </w:tcPr>
          <w:p w14:paraId="090F6EF4"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000000" w:fill="FFFF00"/>
            <w:hideMark/>
          </w:tcPr>
          <w:p w14:paraId="30203C24"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5FAFFF14"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7DD97F79"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1BFC43AA"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35DA76DD"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190ED321" w14:textId="77777777" w:rsidR="00EB1FEE" w:rsidRPr="00586D77" w:rsidRDefault="00EB1FEE" w:rsidP="00586D77">
            <w:pPr>
              <w:spacing w:before="0"/>
              <w:jc w:val="both"/>
              <w:rPr>
                <w:rFonts w:ascii="Calibri" w:hAnsi="Calibri" w:cs="Calibri"/>
                <w:color w:val="000000"/>
                <w:sz w:val="22"/>
                <w:szCs w:val="22"/>
                <w:lang w:eastAsia="en-AU"/>
              </w:rPr>
            </w:pPr>
          </w:p>
        </w:tc>
      </w:tr>
      <w:tr w:rsidR="00EB1FEE" w:rsidRPr="00586D77" w14:paraId="4D0F9D8A" w14:textId="68C66078" w:rsidTr="003161F8">
        <w:trPr>
          <w:trHeight w:val="290"/>
        </w:trPr>
        <w:tc>
          <w:tcPr>
            <w:tcW w:w="1575" w:type="dxa"/>
            <w:gridSpan w:val="3"/>
            <w:tcBorders>
              <w:top w:val="nil"/>
              <w:left w:val="single" w:sz="4" w:space="0" w:color="auto"/>
              <w:bottom w:val="single" w:sz="4" w:space="0" w:color="auto"/>
              <w:right w:val="single" w:sz="4" w:space="0" w:color="auto"/>
            </w:tcBorders>
            <w:shd w:val="clear" w:color="auto" w:fill="auto"/>
            <w:vAlign w:val="center"/>
            <w:hideMark/>
          </w:tcPr>
          <w:p w14:paraId="570FB91F"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2.1.2. Printing</w:t>
            </w:r>
          </w:p>
        </w:tc>
        <w:tc>
          <w:tcPr>
            <w:tcW w:w="3118" w:type="dxa"/>
            <w:gridSpan w:val="2"/>
            <w:vMerge/>
            <w:tcBorders>
              <w:top w:val="nil"/>
              <w:left w:val="single" w:sz="4" w:space="0" w:color="auto"/>
              <w:bottom w:val="single" w:sz="4" w:space="0" w:color="000000"/>
              <w:right w:val="single" w:sz="4" w:space="0" w:color="auto"/>
            </w:tcBorders>
            <w:vAlign w:val="center"/>
            <w:hideMark/>
          </w:tcPr>
          <w:p w14:paraId="113DC33D" w14:textId="77777777" w:rsidR="00EB1FEE" w:rsidRPr="00586D77" w:rsidRDefault="00EB1FEE" w:rsidP="00586D77">
            <w:pPr>
              <w:spacing w:before="0"/>
              <w:rPr>
                <w:rFonts w:ascii="Calibri" w:hAnsi="Calibri" w:cs="Calibri"/>
                <w:sz w:val="22"/>
                <w:szCs w:val="22"/>
                <w:lang w:eastAsia="en-AU"/>
              </w:rPr>
            </w:pPr>
          </w:p>
        </w:tc>
        <w:tc>
          <w:tcPr>
            <w:tcW w:w="1072" w:type="dxa"/>
            <w:vMerge/>
            <w:tcBorders>
              <w:top w:val="nil"/>
              <w:left w:val="single" w:sz="4" w:space="0" w:color="auto"/>
              <w:bottom w:val="single" w:sz="4" w:space="0" w:color="000000"/>
              <w:right w:val="single" w:sz="4" w:space="0" w:color="auto"/>
            </w:tcBorders>
            <w:vAlign w:val="center"/>
            <w:hideMark/>
          </w:tcPr>
          <w:p w14:paraId="0977C0FF" w14:textId="77777777" w:rsidR="00EB1FEE" w:rsidRPr="00586D77" w:rsidRDefault="00EB1FEE" w:rsidP="00586D77">
            <w:pPr>
              <w:spacing w:before="0"/>
              <w:rPr>
                <w:rFonts w:ascii="Calibri" w:hAnsi="Calibri" w:cs="Calibri"/>
                <w:sz w:val="22"/>
                <w:szCs w:val="22"/>
                <w:lang w:eastAsia="en-AU"/>
              </w:rPr>
            </w:pPr>
          </w:p>
        </w:tc>
        <w:tc>
          <w:tcPr>
            <w:tcW w:w="2755" w:type="dxa"/>
            <w:vMerge/>
            <w:tcBorders>
              <w:top w:val="nil"/>
              <w:left w:val="single" w:sz="4" w:space="0" w:color="auto"/>
              <w:bottom w:val="single" w:sz="4" w:space="0" w:color="000000"/>
              <w:right w:val="single" w:sz="4" w:space="0" w:color="auto"/>
            </w:tcBorders>
            <w:vAlign w:val="center"/>
            <w:hideMark/>
          </w:tcPr>
          <w:p w14:paraId="5233B533" w14:textId="77777777" w:rsidR="00EB1FEE" w:rsidRPr="00586D77" w:rsidRDefault="00EB1FEE" w:rsidP="00586D77">
            <w:pPr>
              <w:spacing w:before="0"/>
              <w:rPr>
                <w:rFonts w:ascii="Calibri" w:hAnsi="Calibri" w:cs="Calibri"/>
                <w:sz w:val="22"/>
                <w:szCs w:val="22"/>
                <w:lang w:eastAsia="en-AU"/>
              </w:rPr>
            </w:pPr>
          </w:p>
        </w:tc>
        <w:tc>
          <w:tcPr>
            <w:tcW w:w="496" w:type="dxa"/>
            <w:tcBorders>
              <w:top w:val="nil"/>
              <w:left w:val="nil"/>
              <w:bottom w:val="single" w:sz="4" w:space="0" w:color="auto"/>
              <w:right w:val="single" w:sz="4" w:space="0" w:color="auto"/>
            </w:tcBorders>
            <w:shd w:val="clear" w:color="auto" w:fill="auto"/>
            <w:hideMark/>
          </w:tcPr>
          <w:p w14:paraId="481B942D"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65105DFC"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3FF26C01"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52264BF0"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223C0D68"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000000" w:fill="FFFF00"/>
            <w:hideMark/>
          </w:tcPr>
          <w:p w14:paraId="74DB12BD"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136AD333"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04350CCB"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0238833E"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1D6FC060"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6333E21D" w14:textId="77777777" w:rsidR="00EB1FEE" w:rsidRPr="00586D77" w:rsidRDefault="00EB1FEE" w:rsidP="00586D77">
            <w:pPr>
              <w:spacing w:before="0"/>
              <w:jc w:val="both"/>
              <w:rPr>
                <w:rFonts w:ascii="Calibri" w:hAnsi="Calibri" w:cs="Calibri"/>
                <w:color w:val="000000"/>
                <w:sz w:val="22"/>
                <w:szCs w:val="22"/>
                <w:lang w:eastAsia="en-AU"/>
              </w:rPr>
            </w:pPr>
          </w:p>
        </w:tc>
      </w:tr>
      <w:tr w:rsidR="00EB1FEE" w:rsidRPr="00586D77" w14:paraId="2C1F8E07" w14:textId="58765810" w:rsidTr="003161F8">
        <w:trPr>
          <w:trHeight w:val="1450"/>
        </w:trPr>
        <w:tc>
          <w:tcPr>
            <w:tcW w:w="1575" w:type="dxa"/>
            <w:gridSpan w:val="3"/>
            <w:tcBorders>
              <w:top w:val="nil"/>
              <w:left w:val="single" w:sz="4" w:space="0" w:color="auto"/>
              <w:bottom w:val="single" w:sz="4" w:space="0" w:color="auto"/>
              <w:right w:val="single" w:sz="4" w:space="0" w:color="auto"/>
            </w:tcBorders>
            <w:shd w:val="clear" w:color="auto" w:fill="auto"/>
            <w:vAlign w:val="center"/>
            <w:hideMark/>
          </w:tcPr>
          <w:p w14:paraId="6B1BA3EE"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xml:space="preserve">2.1.3. Seminar/ Conference to publish the report in Ho Chi Minh city and Hanoi </w:t>
            </w:r>
          </w:p>
        </w:tc>
        <w:tc>
          <w:tcPr>
            <w:tcW w:w="3118" w:type="dxa"/>
            <w:gridSpan w:val="2"/>
            <w:vMerge/>
            <w:tcBorders>
              <w:top w:val="nil"/>
              <w:left w:val="single" w:sz="4" w:space="0" w:color="auto"/>
              <w:bottom w:val="single" w:sz="4" w:space="0" w:color="000000"/>
              <w:right w:val="single" w:sz="4" w:space="0" w:color="auto"/>
            </w:tcBorders>
            <w:vAlign w:val="center"/>
            <w:hideMark/>
          </w:tcPr>
          <w:p w14:paraId="1E6CC86A" w14:textId="77777777" w:rsidR="00EB1FEE" w:rsidRPr="00586D77" w:rsidRDefault="00EB1FEE" w:rsidP="00586D77">
            <w:pPr>
              <w:spacing w:before="0"/>
              <w:rPr>
                <w:rFonts w:ascii="Calibri" w:hAnsi="Calibri" w:cs="Calibri"/>
                <w:sz w:val="22"/>
                <w:szCs w:val="22"/>
                <w:lang w:eastAsia="en-AU"/>
              </w:rPr>
            </w:pPr>
          </w:p>
        </w:tc>
        <w:tc>
          <w:tcPr>
            <w:tcW w:w="1072" w:type="dxa"/>
            <w:vMerge/>
            <w:tcBorders>
              <w:top w:val="nil"/>
              <w:left w:val="single" w:sz="4" w:space="0" w:color="auto"/>
              <w:bottom w:val="single" w:sz="4" w:space="0" w:color="000000"/>
              <w:right w:val="single" w:sz="4" w:space="0" w:color="auto"/>
            </w:tcBorders>
            <w:vAlign w:val="center"/>
            <w:hideMark/>
          </w:tcPr>
          <w:p w14:paraId="4E515429" w14:textId="77777777" w:rsidR="00EB1FEE" w:rsidRPr="00586D77" w:rsidRDefault="00EB1FEE" w:rsidP="00586D77">
            <w:pPr>
              <w:spacing w:before="0"/>
              <w:rPr>
                <w:rFonts w:ascii="Calibri" w:hAnsi="Calibri" w:cs="Calibri"/>
                <w:sz w:val="22"/>
                <w:szCs w:val="22"/>
                <w:lang w:eastAsia="en-AU"/>
              </w:rPr>
            </w:pPr>
          </w:p>
        </w:tc>
        <w:tc>
          <w:tcPr>
            <w:tcW w:w="2755" w:type="dxa"/>
            <w:vMerge/>
            <w:tcBorders>
              <w:top w:val="nil"/>
              <w:left w:val="single" w:sz="4" w:space="0" w:color="auto"/>
              <w:bottom w:val="single" w:sz="4" w:space="0" w:color="000000"/>
              <w:right w:val="single" w:sz="4" w:space="0" w:color="auto"/>
            </w:tcBorders>
            <w:vAlign w:val="center"/>
            <w:hideMark/>
          </w:tcPr>
          <w:p w14:paraId="211697F1" w14:textId="77777777" w:rsidR="00EB1FEE" w:rsidRPr="00586D77" w:rsidRDefault="00EB1FEE" w:rsidP="00586D77">
            <w:pPr>
              <w:spacing w:before="0"/>
              <w:rPr>
                <w:rFonts w:ascii="Calibri" w:hAnsi="Calibri" w:cs="Calibri"/>
                <w:sz w:val="22"/>
                <w:szCs w:val="22"/>
                <w:lang w:eastAsia="en-AU"/>
              </w:rPr>
            </w:pPr>
          </w:p>
        </w:tc>
        <w:tc>
          <w:tcPr>
            <w:tcW w:w="496" w:type="dxa"/>
            <w:tcBorders>
              <w:top w:val="nil"/>
              <w:left w:val="nil"/>
              <w:bottom w:val="single" w:sz="4" w:space="0" w:color="auto"/>
              <w:right w:val="single" w:sz="4" w:space="0" w:color="auto"/>
            </w:tcBorders>
            <w:shd w:val="clear" w:color="auto" w:fill="auto"/>
            <w:hideMark/>
          </w:tcPr>
          <w:p w14:paraId="481152A8"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5B9CC39B"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28090393"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7CDAF850"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77751410"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618FA584"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000000" w:fill="FFFF00"/>
            <w:hideMark/>
          </w:tcPr>
          <w:p w14:paraId="5ECDB4F5"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14A40C73"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747E4B66"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4F1D3C5F"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2FA1EB32" w14:textId="77777777" w:rsidR="00EB1FEE" w:rsidRPr="00586D77" w:rsidRDefault="00EB1FEE" w:rsidP="00586D77">
            <w:pPr>
              <w:spacing w:before="0"/>
              <w:jc w:val="both"/>
              <w:rPr>
                <w:rFonts w:ascii="Calibri" w:hAnsi="Calibri" w:cs="Calibri"/>
                <w:color w:val="000000"/>
                <w:sz w:val="22"/>
                <w:szCs w:val="22"/>
                <w:lang w:eastAsia="en-AU"/>
              </w:rPr>
            </w:pPr>
          </w:p>
        </w:tc>
      </w:tr>
      <w:tr w:rsidR="00EB1FEE" w:rsidRPr="00586D77" w14:paraId="250A8257" w14:textId="71C8991B" w:rsidTr="003161F8">
        <w:trPr>
          <w:trHeight w:val="3080"/>
        </w:trPr>
        <w:tc>
          <w:tcPr>
            <w:tcW w:w="1575" w:type="dxa"/>
            <w:gridSpan w:val="3"/>
            <w:tcBorders>
              <w:top w:val="nil"/>
              <w:left w:val="single" w:sz="4" w:space="0" w:color="auto"/>
              <w:bottom w:val="single" w:sz="4" w:space="0" w:color="auto"/>
              <w:right w:val="single" w:sz="4" w:space="0" w:color="auto"/>
            </w:tcBorders>
            <w:shd w:val="clear" w:color="auto" w:fill="auto"/>
            <w:vAlign w:val="center"/>
            <w:hideMark/>
          </w:tcPr>
          <w:p w14:paraId="519873B1"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xml:space="preserve">Activity 2.2. Activities to support effective control of economic concentration in Vietnam in the context of the economic restructure  </w:t>
            </w:r>
          </w:p>
        </w:tc>
        <w:tc>
          <w:tcPr>
            <w:tcW w:w="3118" w:type="dxa"/>
            <w:gridSpan w:val="2"/>
            <w:vMerge w:val="restart"/>
            <w:tcBorders>
              <w:top w:val="nil"/>
              <w:left w:val="single" w:sz="4" w:space="0" w:color="auto"/>
              <w:bottom w:val="single" w:sz="4" w:space="0" w:color="000000"/>
              <w:right w:val="single" w:sz="4" w:space="0" w:color="auto"/>
            </w:tcBorders>
            <w:shd w:val="clear" w:color="auto" w:fill="auto"/>
            <w:hideMark/>
          </w:tcPr>
          <w:p w14:paraId="609B1C46"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xml:space="preserve">• Collecting and compiling statistics related to the economic concentration activities in Vietnam </w:t>
            </w:r>
            <w:r w:rsidRPr="00586D77">
              <w:rPr>
                <w:rFonts w:ascii="Calibri" w:hAnsi="Calibri" w:cs="Calibri"/>
                <w:sz w:val="22"/>
                <w:szCs w:val="22"/>
                <w:lang w:eastAsia="en-AU"/>
              </w:rPr>
              <w:br/>
              <w:t xml:space="preserve">• Reviewing the legal documents related to the economic concentration </w:t>
            </w:r>
            <w:r w:rsidRPr="00586D77">
              <w:rPr>
                <w:rFonts w:ascii="Calibri" w:hAnsi="Calibri" w:cs="Calibri"/>
                <w:sz w:val="22"/>
                <w:szCs w:val="22"/>
                <w:lang w:eastAsia="en-AU"/>
              </w:rPr>
              <w:br/>
              <w:t xml:space="preserve">• Consulting/ Exchanging information with the Department of Planning and Investment about the procedure for the enterprises to register/ notify their economic concentration plan </w:t>
            </w:r>
            <w:r w:rsidRPr="00586D77">
              <w:rPr>
                <w:rFonts w:ascii="Calibri" w:hAnsi="Calibri" w:cs="Calibri"/>
                <w:sz w:val="22"/>
                <w:szCs w:val="22"/>
                <w:lang w:eastAsia="en-AU"/>
              </w:rPr>
              <w:br/>
              <w:t xml:space="preserve">• Working with sectoral regulators about cooperating regime to control the economic concentration </w:t>
            </w:r>
            <w:r w:rsidRPr="00586D77">
              <w:rPr>
                <w:rFonts w:ascii="Calibri" w:hAnsi="Calibri" w:cs="Calibri"/>
                <w:sz w:val="22"/>
                <w:szCs w:val="22"/>
                <w:lang w:eastAsia="en-AU"/>
              </w:rPr>
              <w:br/>
              <w:t xml:space="preserve">• Conducting a report on M&amp;As in Vietnam with view of competition and organize a Seminar to public results of report </w:t>
            </w:r>
            <w:r w:rsidRPr="00586D77">
              <w:rPr>
                <w:rFonts w:ascii="Calibri" w:hAnsi="Calibri" w:cs="Calibri"/>
                <w:sz w:val="22"/>
                <w:szCs w:val="22"/>
                <w:lang w:eastAsia="en-AU"/>
              </w:rPr>
              <w:br/>
              <w:t>• Organizing national conference and seminar to publish the study results.                             • Report publications</w:t>
            </w:r>
          </w:p>
        </w:tc>
        <w:tc>
          <w:tcPr>
            <w:tcW w:w="1072" w:type="dxa"/>
            <w:vMerge w:val="restart"/>
            <w:tcBorders>
              <w:top w:val="nil"/>
              <w:left w:val="single" w:sz="4" w:space="0" w:color="auto"/>
              <w:bottom w:val="single" w:sz="4" w:space="0" w:color="000000"/>
              <w:right w:val="single" w:sz="4" w:space="0" w:color="auto"/>
            </w:tcBorders>
            <w:shd w:val="clear" w:color="auto" w:fill="auto"/>
            <w:hideMark/>
          </w:tcPr>
          <w:p w14:paraId="39989481"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xml:space="preserve">•  Local experts </w:t>
            </w:r>
            <w:r w:rsidRPr="00586D77">
              <w:rPr>
                <w:rFonts w:ascii="Calibri" w:hAnsi="Calibri" w:cs="Calibri"/>
                <w:sz w:val="22"/>
                <w:szCs w:val="22"/>
                <w:lang w:eastAsia="en-AU"/>
              </w:rPr>
              <w:br/>
              <w:t>• International experts</w:t>
            </w:r>
            <w:r w:rsidRPr="00586D77">
              <w:rPr>
                <w:rFonts w:ascii="Calibri" w:hAnsi="Calibri" w:cs="Calibri"/>
                <w:sz w:val="22"/>
                <w:szCs w:val="22"/>
                <w:lang w:eastAsia="en-AU"/>
              </w:rPr>
              <w:br/>
              <w:t xml:space="preserve">• Conference </w:t>
            </w:r>
            <w:r w:rsidRPr="00586D77">
              <w:rPr>
                <w:rFonts w:ascii="Calibri" w:hAnsi="Calibri" w:cs="Calibri"/>
                <w:sz w:val="22"/>
                <w:szCs w:val="22"/>
                <w:lang w:eastAsia="en-AU"/>
              </w:rPr>
              <w:br/>
              <w:t xml:space="preserve">• Printing cost  </w:t>
            </w:r>
            <w:r w:rsidRPr="00586D77">
              <w:rPr>
                <w:rFonts w:ascii="Calibri" w:hAnsi="Calibri" w:cs="Calibri"/>
                <w:sz w:val="22"/>
                <w:szCs w:val="22"/>
                <w:lang w:eastAsia="en-AU"/>
              </w:rPr>
              <w:br/>
              <w:t>• Statistics</w:t>
            </w:r>
          </w:p>
        </w:tc>
        <w:tc>
          <w:tcPr>
            <w:tcW w:w="2755" w:type="dxa"/>
            <w:vMerge w:val="restart"/>
            <w:tcBorders>
              <w:top w:val="nil"/>
              <w:left w:val="single" w:sz="4" w:space="0" w:color="auto"/>
              <w:bottom w:val="single" w:sz="4" w:space="0" w:color="000000"/>
              <w:right w:val="single" w:sz="4" w:space="0" w:color="auto"/>
            </w:tcBorders>
            <w:shd w:val="clear" w:color="auto" w:fill="auto"/>
            <w:hideMark/>
          </w:tcPr>
          <w:p w14:paraId="2D85E1FF"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Report on M&amp;A published</w:t>
            </w:r>
            <w:r w:rsidRPr="00586D77">
              <w:rPr>
                <w:rFonts w:ascii="Calibri" w:hAnsi="Calibri" w:cs="Calibri"/>
                <w:sz w:val="22"/>
                <w:szCs w:val="22"/>
                <w:lang w:eastAsia="en-AU"/>
              </w:rPr>
              <w:br/>
              <w:t>• Cooperation Procedure between VCA and DPIs over M&amp;As built up</w:t>
            </w:r>
            <w:r w:rsidRPr="00586D77">
              <w:rPr>
                <w:rFonts w:ascii="Calibri" w:hAnsi="Calibri" w:cs="Calibri"/>
                <w:sz w:val="22"/>
                <w:szCs w:val="22"/>
                <w:lang w:eastAsia="en-AU"/>
              </w:rPr>
              <w:br/>
              <w:t xml:space="preserve">- Enhancing capacity in control M&amp;A transactions in Vietnam </w:t>
            </w:r>
            <w:r w:rsidRPr="00586D77">
              <w:rPr>
                <w:rFonts w:ascii="Calibri" w:hAnsi="Calibri" w:cs="Calibri"/>
                <w:sz w:val="22"/>
                <w:szCs w:val="22"/>
                <w:lang w:eastAsia="en-AU"/>
              </w:rPr>
              <w:br/>
              <w:t>- Database on M&amp;A set up</w:t>
            </w:r>
          </w:p>
        </w:tc>
        <w:tc>
          <w:tcPr>
            <w:tcW w:w="496" w:type="dxa"/>
            <w:tcBorders>
              <w:top w:val="nil"/>
              <w:left w:val="nil"/>
              <w:bottom w:val="single" w:sz="4" w:space="0" w:color="auto"/>
              <w:right w:val="single" w:sz="4" w:space="0" w:color="auto"/>
            </w:tcBorders>
            <w:shd w:val="clear" w:color="auto" w:fill="auto"/>
            <w:hideMark/>
          </w:tcPr>
          <w:p w14:paraId="7A49BBE5"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79BA445D"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79DD990B"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4545458A"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0D89936E"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71E9A3B2"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2B39E178"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668B9188"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135AFF8D"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37A686A3"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0A87EF5D" w14:textId="77777777" w:rsidR="00EB1FEE" w:rsidRPr="00586D77" w:rsidRDefault="00EB1FEE" w:rsidP="00586D77">
            <w:pPr>
              <w:spacing w:before="0"/>
              <w:jc w:val="both"/>
              <w:rPr>
                <w:rFonts w:ascii="Calibri" w:hAnsi="Calibri" w:cs="Calibri"/>
                <w:color w:val="000000"/>
                <w:sz w:val="22"/>
                <w:szCs w:val="22"/>
                <w:lang w:eastAsia="en-AU"/>
              </w:rPr>
            </w:pPr>
          </w:p>
        </w:tc>
      </w:tr>
      <w:tr w:rsidR="00EB1FEE" w:rsidRPr="00586D77" w14:paraId="3131606F" w14:textId="1BF67597" w:rsidTr="003161F8">
        <w:trPr>
          <w:trHeight w:val="580"/>
        </w:trPr>
        <w:tc>
          <w:tcPr>
            <w:tcW w:w="1575" w:type="dxa"/>
            <w:gridSpan w:val="3"/>
            <w:tcBorders>
              <w:top w:val="nil"/>
              <w:left w:val="single" w:sz="4" w:space="0" w:color="auto"/>
              <w:bottom w:val="single" w:sz="4" w:space="0" w:color="auto"/>
              <w:right w:val="single" w:sz="4" w:space="0" w:color="auto"/>
            </w:tcBorders>
            <w:shd w:val="clear" w:color="auto" w:fill="auto"/>
            <w:vAlign w:val="center"/>
            <w:hideMark/>
          </w:tcPr>
          <w:p w14:paraId="1F370D56"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2.2.1. Building report</w:t>
            </w:r>
          </w:p>
        </w:tc>
        <w:tc>
          <w:tcPr>
            <w:tcW w:w="3118" w:type="dxa"/>
            <w:gridSpan w:val="2"/>
            <w:vMerge/>
            <w:tcBorders>
              <w:top w:val="nil"/>
              <w:left w:val="single" w:sz="4" w:space="0" w:color="auto"/>
              <w:bottom w:val="single" w:sz="4" w:space="0" w:color="000000"/>
              <w:right w:val="single" w:sz="4" w:space="0" w:color="auto"/>
            </w:tcBorders>
            <w:vAlign w:val="center"/>
            <w:hideMark/>
          </w:tcPr>
          <w:p w14:paraId="1E076BE5" w14:textId="77777777" w:rsidR="00EB1FEE" w:rsidRPr="00586D77" w:rsidRDefault="00EB1FEE" w:rsidP="00586D77">
            <w:pPr>
              <w:spacing w:before="0"/>
              <w:rPr>
                <w:rFonts w:ascii="Calibri" w:hAnsi="Calibri" w:cs="Calibri"/>
                <w:sz w:val="22"/>
                <w:szCs w:val="22"/>
                <w:lang w:eastAsia="en-AU"/>
              </w:rPr>
            </w:pPr>
          </w:p>
        </w:tc>
        <w:tc>
          <w:tcPr>
            <w:tcW w:w="1072" w:type="dxa"/>
            <w:vMerge/>
            <w:tcBorders>
              <w:top w:val="nil"/>
              <w:left w:val="single" w:sz="4" w:space="0" w:color="auto"/>
              <w:bottom w:val="single" w:sz="4" w:space="0" w:color="000000"/>
              <w:right w:val="single" w:sz="4" w:space="0" w:color="auto"/>
            </w:tcBorders>
            <w:vAlign w:val="center"/>
            <w:hideMark/>
          </w:tcPr>
          <w:p w14:paraId="1DC2E6E4" w14:textId="77777777" w:rsidR="00EB1FEE" w:rsidRPr="00586D77" w:rsidRDefault="00EB1FEE" w:rsidP="00586D77">
            <w:pPr>
              <w:spacing w:before="0"/>
              <w:rPr>
                <w:rFonts w:ascii="Calibri" w:hAnsi="Calibri" w:cs="Calibri"/>
                <w:sz w:val="22"/>
                <w:szCs w:val="22"/>
                <w:lang w:eastAsia="en-AU"/>
              </w:rPr>
            </w:pPr>
          </w:p>
        </w:tc>
        <w:tc>
          <w:tcPr>
            <w:tcW w:w="2755" w:type="dxa"/>
            <w:vMerge/>
            <w:tcBorders>
              <w:top w:val="nil"/>
              <w:left w:val="single" w:sz="4" w:space="0" w:color="auto"/>
              <w:bottom w:val="single" w:sz="4" w:space="0" w:color="000000"/>
              <w:right w:val="single" w:sz="4" w:space="0" w:color="auto"/>
            </w:tcBorders>
            <w:vAlign w:val="center"/>
            <w:hideMark/>
          </w:tcPr>
          <w:p w14:paraId="5920833B" w14:textId="77777777" w:rsidR="00EB1FEE" w:rsidRPr="00586D77" w:rsidRDefault="00EB1FEE" w:rsidP="00586D77">
            <w:pPr>
              <w:spacing w:before="0"/>
              <w:rPr>
                <w:rFonts w:ascii="Calibri" w:hAnsi="Calibri" w:cs="Calibri"/>
                <w:sz w:val="22"/>
                <w:szCs w:val="22"/>
                <w:lang w:eastAsia="en-AU"/>
              </w:rPr>
            </w:pPr>
          </w:p>
        </w:tc>
        <w:tc>
          <w:tcPr>
            <w:tcW w:w="496" w:type="dxa"/>
            <w:tcBorders>
              <w:top w:val="nil"/>
              <w:left w:val="nil"/>
              <w:bottom w:val="single" w:sz="4" w:space="0" w:color="auto"/>
              <w:right w:val="single" w:sz="4" w:space="0" w:color="auto"/>
            </w:tcBorders>
            <w:shd w:val="clear" w:color="000000" w:fill="FFFF00"/>
            <w:hideMark/>
          </w:tcPr>
          <w:p w14:paraId="45EE272C"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000000" w:fill="FFFF00"/>
            <w:hideMark/>
          </w:tcPr>
          <w:p w14:paraId="5C618B4A"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25297A97"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4350AB20"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08C1D447"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0EF95F9E"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0FD5F03E"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1D6E24B6"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258317B6"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5909DB2D"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6A2A2576" w14:textId="77777777" w:rsidR="00EB1FEE" w:rsidRPr="00586D77" w:rsidRDefault="00EB1FEE" w:rsidP="00586D77">
            <w:pPr>
              <w:spacing w:before="0"/>
              <w:jc w:val="both"/>
              <w:rPr>
                <w:rFonts w:ascii="Calibri" w:hAnsi="Calibri" w:cs="Calibri"/>
                <w:color w:val="000000"/>
                <w:sz w:val="22"/>
                <w:szCs w:val="22"/>
                <w:lang w:eastAsia="en-AU"/>
              </w:rPr>
            </w:pPr>
          </w:p>
        </w:tc>
      </w:tr>
      <w:tr w:rsidR="00EB1FEE" w:rsidRPr="00586D77" w14:paraId="2EBB3946" w14:textId="6DEC1115" w:rsidTr="003161F8">
        <w:trPr>
          <w:trHeight w:val="290"/>
        </w:trPr>
        <w:tc>
          <w:tcPr>
            <w:tcW w:w="1575" w:type="dxa"/>
            <w:gridSpan w:val="3"/>
            <w:tcBorders>
              <w:top w:val="nil"/>
              <w:left w:val="single" w:sz="4" w:space="0" w:color="auto"/>
              <w:bottom w:val="single" w:sz="4" w:space="0" w:color="auto"/>
              <w:right w:val="single" w:sz="4" w:space="0" w:color="auto"/>
            </w:tcBorders>
            <w:shd w:val="clear" w:color="auto" w:fill="auto"/>
            <w:vAlign w:val="center"/>
            <w:hideMark/>
          </w:tcPr>
          <w:p w14:paraId="4E4D4875"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2.2.2. Printing</w:t>
            </w:r>
          </w:p>
        </w:tc>
        <w:tc>
          <w:tcPr>
            <w:tcW w:w="3118" w:type="dxa"/>
            <w:gridSpan w:val="2"/>
            <w:vMerge/>
            <w:tcBorders>
              <w:top w:val="nil"/>
              <w:left w:val="single" w:sz="4" w:space="0" w:color="auto"/>
              <w:bottom w:val="single" w:sz="4" w:space="0" w:color="auto"/>
              <w:right w:val="single" w:sz="4" w:space="0" w:color="auto"/>
            </w:tcBorders>
            <w:vAlign w:val="center"/>
            <w:hideMark/>
          </w:tcPr>
          <w:p w14:paraId="05E18AF2" w14:textId="77777777" w:rsidR="00EB1FEE" w:rsidRPr="00586D77" w:rsidRDefault="00EB1FEE" w:rsidP="00586D77">
            <w:pPr>
              <w:spacing w:before="0"/>
              <w:rPr>
                <w:rFonts w:ascii="Calibri" w:hAnsi="Calibri" w:cs="Calibri"/>
                <w:sz w:val="22"/>
                <w:szCs w:val="22"/>
                <w:lang w:eastAsia="en-AU"/>
              </w:rPr>
            </w:pPr>
          </w:p>
        </w:tc>
        <w:tc>
          <w:tcPr>
            <w:tcW w:w="1072" w:type="dxa"/>
            <w:vMerge/>
            <w:tcBorders>
              <w:top w:val="nil"/>
              <w:left w:val="single" w:sz="4" w:space="0" w:color="auto"/>
              <w:bottom w:val="single" w:sz="4" w:space="0" w:color="auto"/>
              <w:right w:val="single" w:sz="4" w:space="0" w:color="auto"/>
            </w:tcBorders>
            <w:vAlign w:val="center"/>
            <w:hideMark/>
          </w:tcPr>
          <w:p w14:paraId="389C229B" w14:textId="77777777" w:rsidR="00EB1FEE" w:rsidRPr="00586D77" w:rsidRDefault="00EB1FEE" w:rsidP="00586D77">
            <w:pPr>
              <w:spacing w:before="0"/>
              <w:rPr>
                <w:rFonts w:ascii="Calibri" w:hAnsi="Calibri" w:cs="Calibri"/>
                <w:sz w:val="22"/>
                <w:szCs w:val="22"/>
                <w:lang w:eastAsia="en-AU"/>
              </w:rPr>
            </w:pPr>
          </w:p>
        </w:tc>
        <w:tc>
          <w:tcPr>
            <w:tcW w:w="2755" w:type="dxa"/>
            <w:vMerge/>
            <w:tcBorders>
              <w:top w:val="nil"/>
              <w:left w:val="single" w:sz="4" w:space="0" w:color="auto"/>
              <w:bottom w:val="single" w:sz="4" w:space="0" w:color="auto"/>
              <w:right w:val="single" w:sz="4" w:space="0" w:color="auto"/>
            </w:tcBorders>
            <w:vAlign w:val="center"/>
            <w:hideMark/>
          </w:tcPr>
          <w:p w14:paraId="58E87317" w14:textId="77777777" w:rsidR="00EB1FEE" w:rsidRPr="00586D77" w:rsidRDefault="00EB1FEE" w:rsidP="00586D77">
            <w:pPr>
              <w:spacing w:before="0"/>
              <w:rPr>
                <w:rFonts w:ascii="Calibri" w:hAnsi="Calibri" w:cs="Calibri"/>
                <w:sz w:val="22"/>
                <w:szCs w:val="22"/>
                <w:lang w:eastAsia="en-AU"/>
              </w:rPr>
            </w:pPr>
          </w:p>
        </w:tc>
        <w:tc>
          <w:tcPr>
            <w:tcW w:w="496" w:type="dxa"/>
            <w:tcBorders>
              <w:top w:val="nil"/>
              <w:left w:val="nil"/>
              <w:bottom w:val="single" w:sz="4" w:space="0" w:color="auto"/>
              <w:right w:val="single" w:sz="4" w:space="0" w:color="auto"/>
            </w:tcBorders>
            <w:shd w:val="clear" w:color="auto" w:fill="auto"/>
            <w:hideMark/>
          </w:tcPr>
          <w:p w14:paraId="13C3BFBA"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579F0C13"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000000" w:fill="FFFF00"/>
            <w:hideMark/>
          </w:tcPr>
          <w:p w14:paraId="0B9F1603"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711C3426"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62098572"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22515922"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25D5245A"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7CE0509B"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44814830"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14583E14"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18524B07" w14:textId="77777777" w:rsidR="00EB1FEE" w:rsidRPr="00586D77" w:rsidRDefault="00EB1FEE" w:rsidP="00586D77">
            <w:pPr>
              <w:spacing w:before="0"/>
              <w:jc w:val="both"/>
              <w:rPr>
                <w:rFonts w:ascii="Calibri" w:hAnsi="Calibri" w:cs="Calibri"/>
                <w:color w:val="000000"/>
                <w:sz w:val="22"/>
                <w:szCs w:val="22"/>
                <w:lang w:eastAsia="en-AU"/>
              </w:rPr>
            </w:pPr>
          </w:p>
        </w:tc>
      </w:tr>
      <w:tr w:rsidR="00EB1FEE" w:rsidRPr="00586D77" w14:paraId="0CB81951" w14:textId="28150324" w:rsidTr="003161F8">
        <w:trPr>
          <w:trHeight w:val="1160"/>
        </w:trPr>
        <w:tc>
          <w:tcPr>
            <w:tcW w:w="15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90F21E"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xml:space="preserve">2.2.3. Conference/ Seminar to publish report  </w:t>
            </w: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14:paraId="56A551DF" w14:textId="77777777" w:rsidR="00EB1FEE" w:rsidRPr="00586D77" w:rsidRDefault="00EB1FEE" w:rsidP="00586D77">
            <w:pPr>
              <w:spacing w:before="0"/>
              <w:rPr>
                <w:rFonts w:ascii="Calibri" w:hAnsi="Calibri" w:cs="Calibri"/>
                <w:sz w:val="22"/>
                <w:szCs w:val="22"/>
                <w:lang w:eastAsia="en-AU"/>
              </w:rPr>
            </w:pPr>
          </w:p>
        </w:tc>
        <w:tc>
          <w:tcPr>
            <w:tcW w:w="1072" w:type="dxa"/>
            <w:vMerge/>
            <w:tcBorders>
              <w:top w:val="single" w:sz="4" w:space="0" w:color="auto"/>
              <w:left w:val="single" w:sz="4" w:space="0" w:color="auto"/>
              <w:bottom w:val="single" w:sz="4" w:space="0" w:color="auto"/>
              <w:right w:val="single" w:sz="4" w:space="0" w:color="auto"/>
            </w:tcBorders>
            <w:vAlign w:val="center"/>
            <w:hideMark/>
          </w:tcPr>
          <w:p w14:paraId="1F42C436" w14:textId="77777777" w:rsidR="00EB1FEE" w:rsidRPr="00586D77" w:rsidRDefault="00EB1FEE" w:rsidP="00586D77">
            <w:pPr>
              <w:spacing w:before="0"/>
              <w:rPr>
                <w:rFonts w:ascii="Calibri" w:hAnsi="Calibri" w:cs="Calibri"/>
                <w:sz w:val="22"/>
                <w:szCs w:val="22"/>
                <w:lang w:eastAsia="en-AU"/>
              </w:rPr>
            </w:pPr>
          </w:p>
        </w:tc>
        <w:tc>
          <w:tcPr>
            <w:tcW w:w="2755" w:type="dxa"/>
            <w:vMerge/>
            <w:tcBorders>
              <w:top w:val="single" w:sz="4" w:space="0" w:color="auto"/>
              <w:left w:val="single" w:sz="4" w:space="0" w:color="auto"/>
              <w:bottom w:val="single" w:sz="4" w:space="0" w:color="auto"/>
              <w:right w:val="single" w:sz="4" w:space="0" w:color="auto"/>
            </w:tcBorders>
            <w:vAlign w:val="center"/>
            <w:hideMark/>
          </w:tcPr>
          <w:p w14:paraId="5F6E0A2E" w14:textId="77777777" w:rsidR="00EB1FEE" w:rsidRPr="00586D77" w:rsidRDefault="00EB1FEE" w:rsidP="00586D77">
            <w:pPr>
              <w:spacing w:before="0"/>
              <w:rPr>
                <w:rFonts w:ascii="Calibri" w:hAnsi="Calibri" w:cs="Calibri"/>
                <w:sz w:val="22"/>
                <w:szCs w:val="22"/>
                <w:lang w:eastAsia="en-AU"/>
              </w:rPr>
            </w:pPr>
          </w:p>
        </w:tc>
        <w:tc>
          <w:tcPr>
            <w:tcW w:w="496" w:type="dxa"/>
            <w:tcBorders>
              <w:top w:val="single" w:sz="4" w:space="0" w:color="auto"/>
              <w:left w:val="nil"/>
              <w:bottom w:val="single" w:sz="4" w:space="0" w:color="auto"/>
              <w:right w:val="single" w:sz="4" w:space="0" w:color="auto"/>
            </w:tcBorders>
            <w:shd w:val="clear" w:color="auto" w:fill="auto"/>
            <w:hideMark/>
          </w:tcPr>
          <w:p w14:paraId="6B845513"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4EC0BBE7"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000000" w:fill="FFFF00"/>
            <w:hideMark/>
          </w:tcPr>
          <w:p w14:paraId="52F56C73"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2C4E6852"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5704E4E2"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71CD9CCC"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7805311F"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A3A6B91"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E3D9CE0"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49264D60"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5D7338C9" w14:textId="77777777" w:rsidR="00EB1FEE" w:rsidRPr="00586D77" w:rsidRDefault="00EB1FEE" w:rsidP="00586D77">
            <w:pPr>
              <w:spacing w:before="0"/>
              <w:jc w:val="both"/>
              <w:rPr>
                <w:rFonts w:ascii="Calibri" w:hAnsi="Calibri" w:cs="Calibri"/>
                <w:color w:val="000000"/>
                <w:sz w:val="22"/>
                <w:szCs w:val="22"/>
                <w:lang w:eastAsia="en-AU"/>
              </w:rPr>
            </w:pPr>
          </w:p>
        </w:tc>
      </w:tr>
      <w:tr w:rsidR="00EB1FEE" w:rsidRPr="00586D77" w14:paraId="6392E90F" w14:textId="1022483B" w:rsidTr="003161F8">
        <w:trPr>
          <w:trHeight w:val="6090"/>
        </w:trPr>
        <w:tc>
          <w:tcPr>
            <w:tcW w:w="15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7EDF1EE"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Activity 3.1.  Reviewing report on three Ordinances related to Vietnamese trade remedy, taking into account the comparison with the commitments of economic integration, specifically those related to WTO; recommendations so that the Vietnamese legal documents are in accordance with the mentioned commitments</w:t>
            </w:r>
          </w:p>
        </w:tc>
        <w:tc>
          <w:tcPr>
            <w:tcW w:w="311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7E672860"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Reviewing report on  three Ordinances (anti-dumping, anti- subsidiary, and Countervailing) and other legal guidelines on implementation</w:t>
            </w:r>
            <w:r w:rsidRPr="00586D77">
              <w:rPr>
                <w:rFonts w:ascii="Calibri" w:hAnsi="Calibri" w:cs="Calibri"/>
                <w:sz w:val="22"/>
                <w:szCs w:val="22"/>
                <w:lang w:eastAsia="en-AU"/>
              </w:rPr>
              <w:br/>
              <w:t xml:space="preserve">• Reviewing report on other legal documents related to trade </w:t>
            </w:r>
            <w:proofErr w:type="spellStart"/>
            <w:r w:rsidRPr="00586D77">
              <w:rPr>
                <w:rFonts w:ascii="Calibri" w:hAnsi="Calibri" w:cs="Calibri"/>
                <w:sz w:val="22"/>
                <w:szCs w:val="22"/>
                <w:lang w:eastAsia="en-AU"/>
              </w:rPr>
              <w:t>defense</w:t>
            </w:r>
            <w:proofErr w:type="spellEnd"/>
            <w:r w:rsidRPr="00586D77">
              <w:rPr>
                <w:rFonts w:ascii="Calibri" w:hAnsi="Calibri" w:cs="Calibri"/>
                <w:sz w:val="22"/>
                <w:szCs w:val="22"/>
                <w:lang w:eastAsia="en-AU"/>
              </w:rPr>
              <w:t xml:space="preserve"> </w:t>
            </w:r>
            <w:r w:rsidRPr="00586D77">
              <w:rPr>
                <w:rFonts w:ascii="Calibri" w:hAnsi="Calibri" w:cs="Calibri"/>
                <w:sz w:val="22"/>
                <w:szCs w:val="22"/>
                <w:lang w:eastAsia="en-AU"/>
              </w:rPr>
              <w:br/>
              <w:t xml:space="preserve">• Reviewing report on Vietnam's commitments to apply trade remedies or trade dispute resolution body at WTO stated in its Agreements (both bilateral and multilateral) </w:t>
            </w:r>
            <w:r w:rsidRPr="00586D77">
              <w:rPr>
                <w:rFonts w:ascii="Calibri" w:hAnsi="Calibri" w:cs="Calibri"/>
                <w:sz w:val="22"/>
                <w:szCs w:val="22"/>
                <w:lang w:eastAsia="en-AU"/>
              </w:rPr>
              <w:br/>
              <w:t>• Recommendations to complete the legal documents so as to ensure the legal system in Vietnam in line with the Vietnam's commitments regarding the international economic integration.</w:t>
            </w:r>
            <w:r w:rsidRPr="00586D77">
              <w:rPr>
                <w:rFonts w:ascii="Calibri" w:hAnsi="Calibri" w:cs="Calibri"/>
                <w:sz w:val="22"/>
                <w:szCs w:val="22"/>
                <w:lang w:eastAsia="en-AU"/>
              </w:rPr>
              <w:br/>
              <w:t xml:space="preserve">• Organizing seminars discussing issues related to trade </w:t>
            </w:r>
            <w:proofErr w:type="spellStart"/>
            <w:r w:rsidRPr="00586D77">
              <w:rPr>
                <w:rFonts w:ascii="Calibri" w:hAnsi="Calibri" w:cs="Calibri"/>
                <w:sz w:val="22"/>
                <w:szCs w:val="22"/>
                <w:lang w:eastAsia="en-AU"/>
              </w:rPr>
              <w:t>defense</w:t>
            </w:r>
            <w:proofErr w:type="spellEnd"/>
            <w:r w:rsidRPr="00586D77">
              <w:rPr>
                <w:rFonts w:ascii="Calibri" w:hAnsi="Calibri" w:cs="Calibri"/>
                <w:sz w:val="22"/>
                <w:szCs w:val="22"/>
                <w:lang w:eastAsia="en-AU"/>
              </w:rPr>
              <w:t xml:space="preserve"> </w:t>
            </w:r>
          </w:p>
        </w:tc>
        <w:tc>
          <w:tcPr>
            <w:tcW w:w="10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84E0E3"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xml:space="preserve">• Local experts </w:t>
            </w:r>
            <w:r w:rsidRPr="00586D77">
              <w:rPr>
                <w:rFonts w:ascii="Calibri" w:hAnsi="Calibri" w:cs="Calibri"/>
                <w:sz w:val="22"/>
                <w:szCs w:val="22"/>
                <w:lang w:eastAsia="en-AU"/>
              </w:rPr>
              <w:br/>
              <w:t>• International experts</w:t>
            </w:r>
            <w:r w:rsidRPr="00586D77">
              <w:rPr>
                <w:rFonts w:ascii="Calibri" w:hAnsi="Calibri" w:cs="Calibri"/>
                <w:sz w:val="22"/>
                <w:szCs w:val="22"/>
                <w:lang w:eastAsia="en-AU"/>
              </w:rPr>
              <w:br/>
              <w:t xml:space="preserve">• Conference </w:t>
            </w:r>
          </w:p>
        </w:tc>
        <w:tc>
          <w:tcPr>
            <w:tcW w:w="27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B4419A"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xml:space="preserve">• Reports are built and might be sent to the Government/ National Assembly (in case a recommendation to revise the Ordinances is made)  </w:t>
            </w:r>
            <w:r w:rsidRPr="00586D77">
              <w:rPr>
                <w:rFonts w:ascii="Calibri" w:hAnsi="Calibri" w:cs="Calibri"/>
                <w:sz w:val="22"/>
                <w:szCs w:val="22"/>
                <w:lang w:eastAsia="en-AU"/>
              </w:rPr>
              <w:br/>
              <w:t xml:space="preserve">• Recommendations are made and sent to related state agencies </w:t>
            </w:r>
          </w:p>
        </w:tc>
        <w:tc>
          <w:tcPr>
            <w:tcW w:w="496" w:type="dxa"/>
            <w:tcBorders>
              <w:top w:val="single" w:sz="4" w:space="0" w:color="auto"/>
              <w:left w:val="nil"/>
              <w:bottom w:val="single" w:sz="4" w:space="0" w:color="auto"/>
              <w:right w:val="single" w:sz="4" w:space="0" w:color="auto"/>
            </w:tcBorders>
            <w:shd w:val="clear" w:color="auto" w:fill="auto"/>
            <w:hideMark/>
          </w:tcPr>
          <w:p w14:paraId="07C72C0D"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7EF1929C"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14926B1A"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502384CF"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7DAAD429"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1D9A165E"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3B58D629"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5A1CBDB5"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1BA6A84A"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0E39CA97"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5A1DBD73" w14:textId="77777777" w:rsidR="00EB1FEE" w:rsidRPr="00586D77" w:rsidRDefault="00EB1FEE" w:rsidP="00586D77">
            <w:pPr>
              <w:spacing w:before="0"/>
              <w:jc w:val="both"/>
              <w:rPr>
                <w:rFonts w:ascii="Calibri" w:hAnsi="Calibri" w:cs="Calibri"/>
                <w:color w:val="000000"/>
                <w:sz w:val="22"/>
                <w:szCs w:val="22"/>
                <w:lang w:eastAsia="en-AU"/>
              </w:rPr>
            </w:pPr>
          </w:p>
        </w:tc>
      </w:tr>
      <w:tr w:rsidR="00EB1FEE" w:rsidRPr="00586D77" w14:paraId="1CA01DE9" w14:textId="41F9C044" w:rsidTr="003161F8">
        <w:trPr>
          <w:trHeight w:val="580"/>
        </w:trPr>
        <w:tc>
          <w:tcPr>
            <w:tcW w:w="15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603DDE9"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xml:space="preserve">3.1.1. Building report </w:t>
            </w: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14:paraId="2D64F7FB" w14:textId="77777777" w:rsidR="00EB1FEE" w:rsidRPr="00586D77" w:rsidRDefault="00EB1FEE" w:rsidP="00586D77">
            <w:pPr>
              <w:spacing w:before="0"/>
              <w:rPr>
                <w:rFonts w:ascii="Calibri" w:hAnsi="Calibri" w:cs="Calibri"/>
                <w:sz w:val="22"/>
                <w:szCs w:val="22"/>
                <w:lang w:eastAsia="en-AU"/>
              </w:rPr>
            </w:pPr>
          </w:p>
        </w:tc>
        <w:tc>
          <w:tcPr>
            <w:tcW w:w="1072" w:type="dxa"/>
            <w:vMerge/>
            <w:tcBorders>
              <w:top w:val="single" w:sz="4" w:space="0" w:color="auto"/>
              <w:left w:val="single" w:sz="4" w:space="0" w:color="auto"/>
              <w:bottom w:val="single" w:sz="4" w:space="0" w:color="auto"/>
              <w:right w:val="single" w:sz="4" w:space="0" w:color="auto"/>
            </w:tcBorders>
            <w:vAlign w:val="center"/>
            <w:hideMark/>
          </w:tcPr>
          <w:p w14:paraId="158A24D7" w14:textId="77777777" w:rsidR="00EB1FEE" w:rsidRPr="00586D77" w:rsidRDefault="00EB1FEE" w:rsidP="00586D77">
            <w:pPr>
              <w:spacing w:before="0"/>
              <w:rPr>
                <w:rFonts w:ascii="Calibri" w:hAnsi="Calibri" w:cs="Calibri"/>
                <w:sz w:val="22"/>
                <w:szCs w:val="22"/>
                <w:lang w:eastAsia="en-AU"/>
              </w:rPr>
            </w:pPr>
          </w:p>
        </w:tc>
        <w:tc>
          <w:tcPr>
            <w:tcW w:w="2755" w:type="dxa"/>
            <w:vMerge/>
            <w:tcBorders>
              <w:top w:val="single" w:sz="4" w:space="0" w:color="auto"/>
              <w:left w:val="single" w:sz="4" w:space="0" w:color="auto"/>
              <w:bottom w:val="single" w:sz="4" w:space="0" w:color="auto"/>
              <w:right w:val="single" w:sz="4" w:space="0" w:color="auto"/>
            </w:tcBorders>
            <w:vAlign w:val="center"/>
            <w:hideMark/>
          </w:tcPr>
          <w:p w14:paraId="6FB3F89C" w14:textId="77777777" w:rsidR="00EB1FEE" w:rsidRPr="00586D77" w:rsidRDefault="00EB1FEE" w:rsidP="00586D77">
            <w:pPr>
              <w:spacing w:before="0"/>
              <w:rPr>
                <w:rFonts w:ascii="Calibri" w:hAnsi="Calibri" w:cs="Calibri"/>
                <w:sz w:val="22"/>
                <w:szCs w:val="22"/>
                <w:lang w:eastAsia="en-AU"/>
              </w:rPr>
            </w:pPr>
          </w:p>
        </w:tc>
        <w:tc>
          <w:tcPr>
            <w:tcW w:w="496" w:type="dxa"/>
            <w:tcBorders>
              <w:top w:val="single" w:sz="4" w:space="0" w:color="auto"/>
              <w:left w:val="nil"/>
              <w:bottom w:val="single" w:sz="4" w:space="0" w:color="auto"/>
              <w:right w:val="single" w:sz="4" w:space="0" w:color="auto"/>
            </w:tcBorders>
            <w:shd w:val="clear" w:color="auto" w:fill="auto"/>
            <w:hideMark/>
          </w:tcPr>
          <w:p w14:paraId="15765E87"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791516EA"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000000" w:fill="FFFF00"/>
            <w:hideMark/>
          </w:tcPr>
          <w:p w14:paraId="391CFFDA"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000000" w:fill="FFFF00"/>
            <w:hideMark/>
          </w:tcPr>
          <w:p w14:paraId="289016F4"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3ACD506E"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719351DE"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3BB89D8C"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3480CCEA"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4C420AAB"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2551C23A"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4C94F686" w14:textId="77777777" w:rsidR="00EB1FEE" w:rsidRPr="00586D77" w:rsidRDefault="00EB1FEE" w:rsidP="00586D77">
            <w:pPr>
              <w:spacing w:before="0"/>
              <w:jc w:val="both"/>
              <w:rPr>
                <w:rFonts w:ascii="Calibri" w:hAnsi="Calibri" w:cs="Calibri"/>
                <w:color w:val="000000"/>
                <w:sz w:val="22"/>
                <w:szCs w:val="22"/>
                <w:lang w:eastAsia="en-AU"/>
              </w:rPr>
            </w:pPr>
          </w:p>
        </w:tc>
      </w:tr>
      <w:tr w:rsidR="00EB1FEE" w:rsidRPr="00586D77" w14:paraId="30387149" w14:textId="09C24927" w:rsidTr="003161F8">
        <w:trPr>
          <w:trHeight w:val="4350"/>
        </w:trPr>
        <w:tc>
          <w:tcPr>
            <w:tcW w:w="15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5A83AAD"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xml:space="preserve">Activity 3.2. Building the Handbook and software on investigation procedure, calculation method for dumping margin and injury in the anti-dumping cases in line with international trade law and good practices  </w:t>
            </w:r>
          </w:p>
        </w:tc>
        <w:tc>
          <w:tcPr>
            <w:tcW w:w="311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1DFE02E"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Building Reports on international practices regarding the investigation, including the calculation method in the anti-dumping cases</w:t>
            </w:r>
            <w:r w:rsidRPr="00586D77">
              <w:rPr>
                <w:rFonts w:ascii="Calibri" w:hAnsi="Calibri" w:cs="Calibri"/>
                <w:sz w:val="22"/>
                <w:szCs w:val="22"/>
                <w:lang w:eastAsia="en-AU"/>
              </w:rPr>
              <w:br/>
              <w:t>• Building handbook on investigation procedure and the software program on calculating the dumping margin in line with the international law and good practices.</w:t>
            </w:r>
            <w:r w:rsidRPr="00586D77">
              <w:rPr>
                <w:rFonts w:ascii="Calibri" w:hAnsi="Calibri" w:cs="Calibri"/>
                <w:sz w:val="22"/>
                <w:szCs w:val="22"/>
                <w:lang w:eastAsia="en-AU"/>
              </w:rPr>
              <w:br/>
              <w:t xml:space="preserve">• Building the handbook on investigation procedure and the software program on calculating the injury in the anti-dumping cases in line with international law and good practices.  </w:t>
            </w:r>
          </w:p>
        </w:tc>
        <w:tc>
          <w:tcPr>
            <w:tcW w:w="10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A81CAD"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xml:space="preserve">•  Local experts </w:t>
            </w:r>
            <w:r w:rsidRPr="00586D77">
              <w:rPr>
                <w:rFonts w:ascii="Calibri" w:hAnsi="Calibri" w:cs="Calibri"/>
                <w:sz w:val="22"/>
                <w:szCs w:val="22"/>
                <w:lang w:eastAsia="en-AU"/>
              </w:rPr>
              <w:br/>
              <w:t>• International experts</w:t>
            </w:r>
            <w:r w:rsidRPr="00586D77">
              <w:rPr>
                <w:rFonts w:ascii="Calibri" w:hAnsi="Calibri" w:cs="Calibri"/>
                <w:sz w:val="22"/>
                <w:szCs w:val="22"/>
                <w:lang w:eastAsia="en-AU"/>
              </w:rPr>
              <w:br/>
              <w:t>• Printing cost</w:t>
            </w:r>
          </w:p>
        </w:tc>
        <w:tc>
          <w:tcPr>
            <w:tcW w:w="27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60FC21"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xml:space="preserve">• Handbook for investigator in the anti-dumping field is built </w:t>
            </w:r>
            <w:r w:rsidRPr="00586D77">
              <w:rPr>
                <w:rFonts w:ascii="Calibri" w:hAnsi="Calibri" w:cs="Calibri"/>
                <w:sz w:val="22"/>
                <w:szCs w:val="22"/>
                <w:lang w:eastAsia="en-AU"/>
              </w:rPr>
              <w:br/>
              <w:t xml:space="preserve">• Software program on calculating the dumping margin and injury in the anti-dumping cases is built </w:t>
            </w:r>
          </w:p>
        </w:tc>
        <w:tc>
          <w:tcPr>
            <w:tcW w:w="496" w:type="dxa"/>
            <w:tcBorders>
              <w:top w:val="single" w:sz="4" w:space="0" w:color="auto"/>
              <w:left w:val="single" w:sz="4" w:space="0" w:color="auto"/>
              <w:bottom w:val="single" w:sz="4" w:space="0" w:color="auto"/>
              <w:right w:val="single" w:sz="4" w:space="0" w:color="auto"/>
            </w:tcBorders>
            <w:shd w:val="clear" w:color="auto" w:fill="auto"/>
            <w:hideMark/>
          </w:tcPr>
          <w:p w14:paraId="1C4AF297"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24940E2"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F4AD027"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4204EE7"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67F9928"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82377EF"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3BCF4F4"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30DE20C"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6A5C30B"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7D7D01CE"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3FBB3538" w14:textId="77777777" w:rsidR="00EB1FEE" w:rsidRPr="00586D77" w:rsidRDefault="00EB1FEE" w:rsidP="00586D77">
            <w:pPr>
              <w:spacing w:before="0"/>
              <w:jc w:val="both"/>
              <w:rPr>
                <w:rFonts w:ascii="Calibri" w:hAnsi="Calibri" w:cs="Calibri"/>
                <w:color w:val="000000"/>
                <w:sz w:val="22"/>
                <w:szCs w:val="22"/>
                <w:lang w:eastAsia="en-AU"/>
              </w:rPr>
            </w:pPr>
          </w:p>
        </w:tc>
      </w:tr>
      <w:tr w:rsidR="00EB1FEE" w:rsidRPr="00586D77" w14:paraId="7285A243" w14:textId="0BF58914" w:rsidTr="003161F8">
        <w:trPr>
          <w:trHeight w:val="1450"/>
        </w:trPr>
        <w:tc>
          <w:tcPr>
            <w:tcW w:w="15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05ED3C4"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3.2.1.  Build the Handbook on investigation procedure in anti-dumping cases</w:t>
            </w: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14:paraId="50EEBC4D" w14:textId="77777777" w:rsidR="00EB1FEE" w:rsidRPr="00586D77" w:rsidRDefault="00EB1FEE" w:rsidP="00586D77">
            <w:pPr>
              <w:spacing w:before="0"/>
              <w:rPr>
                <w:rFonts w:ascii="Calibri" w:hAnsi="Calibri" w:cs="Calibri"/>
                <w:sz w:val="22"/>
                <w:szCs w:val="22"/>
                <w:lang w:eastAsia="en-AU"/>
              </w:rPr>
            </w:pPr>
          </w:p>
        </w:tc>
        <w:tc>
          <w:tcPr>
            <w:tcW w:w="1072" w:type="dxa"/>
            <w:vMerge/>
            <w:tcBorders>
              <w:top w:val="single" w:sz="4" w:space="0" w:color="auto"/>
              <w:left w:val="single" w:sz="4" w:space="0" w:color="auto"/>
              <w:bottom w:val="single" w:sz="4" w:space="0" w:color="auto"/>
              <w:right w:val="single" w:sz="4" w:space="0" w:color="auto"/>
            </w:tcBorders>
            <w:vAlign w:val="center"/>
            <w:hideMark/>
          </w:tcPr>
          <w:p w14:paraId="71BAB55B" w14:textId="77777777" w:rsidR="00EB1FEE" w:rsidRPr="00586D77" w:rsidRDefault="00EB1FEE" w:rsidP="00586D77">
            <w:pPr>
              <w:spacing w:before="0"/>
              <w:rPr>
                <w:rFonts w:ascii="Calibri" w:hAnsi="Calibri" w:cs="Calibri"/>
                <w:sz w:val="22"/>
                <w:szCs w:val="22"/>
                <w:lang w:eastAsia="en-AU"/>
              </w:rPr>
            </w:pPr>
          </w:p>
        </w:tc>
        <w:tc>
          <w:tcPr>
            <w:tcW w:w="2755" w:type="dxa"/>
            <w:vMerge/>
            <w:tcBorders>
              <w:top w:val="single" w:sz="4" w:space="0" w:color="auto"/>
              <w:left w:val="single" w:sz="4" w:space="0" w:color="auto"/>
              <w:bottom w:val="single" w:sz="4" w:space="0" w:color="auto"/>
              <w:right w:val="single" w:sz="4" w:space="0" w:color="auto"/>
            </w:tcBorders>
            <w:vAlign w:val="center"/>
            <w:hideMark/>
          </w:tcPr>
          <w:p w14:paraId="22CC550D" w14:textId="77777777" w:rsidR="00EB1FEE" w:rsidRPr="00586D77" w:rsidRDefault="00EB1FEE" w:rsidP="00586D77">
            <w:pPr>
              <w:spacing w:before="0"/>
              <w:rPr>
                <w:rFonts w:ascii="Calibri" w:hAnsi="Calibri" w:cs="Calibri"/>
                <w:sz w:val="22"/>
                <w:szCs w:val="22"/>
                <w:lang w:eastAsia="en-AU"/>
              </w:rPr>
            </w:pPr>
          </w:p>
        </w:tc>
        <w:tc>
          <w:tcPr>
            <w:tcW w:w="496" w:type="dxa"/>
            <w:tcBorders>
              <w:top w:val="single" w:sz="4" w:space="0" w:color="auto"/>
              <w:left w:val="single" w:sz="4" w:space="0" w:color="auto"/>
              <w:bottom w:val="single" w:sz="4" w:space="0" w:color="auto"/>
              <w:right w:val="single" w:sz="4" w:space="0" w:color="auto"/>
            </w:tcBorders>
            <w:shd w:val="clear" w:color="000000" w:fill="FFFF00"/>
            <w:hideMark/>
          </w:tcPr>
          <w:p w14:paraId="5C34EFBF"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000000" w:fill="FFFF00"/>
            <w:hideMark/>
          </w:tcPr>
          <w:p w14:paraId="75DE567D"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DA8ED06"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499E383"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EB9D476"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A186B5D"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5DBA6F9"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6A196A5"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01CF8E9"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65986EAC"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23DAB559" w14:textId="77777777" w:rsidR="00EB1FEE" w:rsidRPr="00586D77" w:rsidRDefault="00EB1FEE" w:rsidP="00586D77">
            <w:pPr>
              <w:spacing w:before="0"/>
              <w:jc w:val="both"/>
              <w:rPr>
                <w:rFonts w:ascii="Calibri" w:hAnsi="Calibri" w:cs="Calibri"/>
                <w:color w:val="000000"/>
                <w:sz w:val="22"/>
                <w:szCs w:val="22"/>
                <w:lang w:eastAsia="en-AU"/>
              </w:rPr>
            </w:pPr>
          </w:p>
        </w:tc>
      </w:tr>
      <w:tr w:rsidR="00EB1FEE" w:rsidRPr="00586D77" w14:paraId="4214ECF6" w14:textId="186BCA49" w:rsidTr="003161F8">
        <w:trPr>
          <w:trHeight w:val="2030"/>
        </w:trPr>
        <w:tc>
          <w:tcPr>
            <w:tcW w:w="15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BAED736"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3.2.2. Build the software on calculating the dumping margin and injury in the anti-dumping cases</w:t>
            </w: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14:paraId="4D82DFA6" w14:textId="77777777" w:rsidR="00EB1FEE" w:rsidRPr="00586D77" w:rsidRDefault="00EB1FEE" w:rsidP="00586D77">
            <w:pPr>
              <w:spacing w:before="0"/>
              <w:rPr>
                <w:rFonts w:ascii="Calibri" w:hAnsi="Calibri" w:cs="Calibri"/>
                <w:sz w:val="22"/>
                <w:szCs w:val="22"/>
                <w:lang w:eastAsia="en-AU"/>
              </w:rPr>
            </w:pPr>
          </w:p>
        </w:tc>
        <w:tc>
          <w:tcPr>
            <w:tcW w:w="1072" w:type="dxa"/>
            <w:vMerge/>
            <w:tcBorders>
              <w:top w:val="single" w:sz="4" w:space="0" w:color="auto"/>
              <w:left w:val="single" w:sz="4" w:space="0" w:color="auto"/>
              <w:bottom w:val="single" w:sz="4" w:space="0" w:color="auto"/>
              <w:right w:val="single" w:sz="4" w:space="0" w:color="auto"/>
            </w:tcBorders>
            <w:vAlign w:val="center"/>
            <w:hideMark/>
          </w:tcPr>
          <w:p w14:paraId="30CAC384" w14:textId="77777777" w:rsidR="00EB1FEE" w:rsidRPr="00586D77" w:rsidRDefault="00EB1FEE" w:rsidP="00586D77">
            <w:pPr>
              <w:spacing w:before="0"/>
              <w:rPr>
                <w:rFonts w:ascii="Calibri" w:hAnsi="Calibri" w:cs="Calibri"/>
                <w:sz w:val="22"/>
                <w:szCs w:val="22"/>
                <w:lang w:eastAsia="en-AU"/>
              </w:rPr>
            </w:pPr>
          </w:p>
        </w:tc>
        <w:tc>
          <w:tcPr>
            <w:tcW w:w="2755" w:type="dxa"/>
            <w:vMerge/>
            <w:tcBorders>
              <w:top w:val="single" w:sz="4" w:space="0" w:color="auto"/>
              <w:left w:val="single" w:sz="4" w:space="0" w:color="auto"/>
              <w:bottom w:val="single" w:sz="4" w:space="0" w:color="auto"/>
              <w:right w:val="single" w:sz="4" w:space="0" w:color="auto"/>
            </w:tcBorders>
            <w:vAlign w:val="center"/>
            <w:hideMark/>
          </w:tcPr>
          <w:p w14:paraId="6DBB5B1E" w14:textId="77777777" w:rsidR="00EB1FEE" w:rsidRPr="00586D77" w:rsidRDefault="00EB1FEE" w:rsidP="00586D77">
            <w:pPr>
              <w:spacing w:before="0"/>
              <w:rPr>
                <w:rFonts w:ascii="Calibri" w:hAnsi="Calibri" w:cs="Calibri"/>
                <w:sz w:val="22"/>
                <w:szCs w:val="22"/>
                <w:lang w:eastAsia="en-AU"/>
              </w:rPr>
            </w:pPr>
          </w:p>
        </w:tc>
        <w:tc>
          <w:tcPr>
            <w:tcW w:w="496" w:type="dxa"/>
            <w:tcBorders>
              <w:top w:val="single" w:sz="4" w:space="0" w:color="auto"/>
              <w:left w:val="nil"/>
              <w:bottom w:val="single" w:sz="4" w:space="0" w:color="auto"/>
              <w:right w:val="single" w:sz="4" w:space="0" w:color="auto"/>
            </w:tcBorders>
            <w:shd w:val="clear" w:color="000000" w:fill="FFFF00"/>
            <w:hideMark/>
          </w:tcPr>
          <w:p w14:paraId="6A7FDF02"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000000" w:fill="FFFF00"/>
            <w:hideMark/>
          </w:tcPr>
          <w:p w14:paraId="469B4716"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4E02FE65"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63E635A4"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11A4C353"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78E60C75"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2C78E562"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3504A443"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0E1E7902"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7A3C19C6"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6EB5B72A" w14:textId="77777777" w:rsidR="00EB1FEE" w:rsidRPr="00586D77" w:rsidRDefault="00EB1FEE" w:rsidP="00586D77">
            <w:pPr>
              <w:spacing w:before="0"/>
              <w:jc w:val="both"/>
              <w:rPr>
                <w:rFonts w:ascii="Calibri" w:hAnsi="Calibri" w:cs="Calibri"/>
                <w:color w:val="000000"/>
                <w:sz w:val="22"/>
                <w:szCs w:val="22"/>
                <w:lang w:eastAsia="en-AU"/>
              </w:rPr>
            </w:pPr>
          </w:p>
        </w:tc>
      </w:tr>
      <w:tr w:rsidR="00EB1FEE" w:rsidRPr="00586D77" w14:paraId="4D4AB987" w14:textId="4C40B860" w:rsidTr="003161F8">
        <w:trPr>
          <w:trHeight w:val="2030"/>
        </w:trPr>
        <w:tc>
          <w:tcPr>
            <w:tcW w:w="15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7D36BCA"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xml:space="preserve">Activity 3.3. Domestic and international training in order to enhance the investigators' competency </w:t>
            </w:r>
          </w:p>
        </w:tc>
        <w:tc>
          <w:tcPr>
            <w:tcW w:w="311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4DAF6BB"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xml:space="preserve">• Mapping out strategy for training and improving the quality of the investigators in the trade </w:t>
            </w:r>
            <w:proofErr w:type="spellStart"/>
            <w:r w:rsidRPr="00586D77">
              <w:rPr>
                <w:rFonts w:ascii="Calibri" w:hAnsi="Calibri" w:cs="Calibri"/>
                <w:sz w:val="22"/>
                <w:szCs w:val="22"/>
                <w:lang w:eastAsia="en-AU"/>
              </w:rPr>
              <w:t>defense</w:t>
            </w:r>
            <w:proofErr w:type="spellEnd"/>
            <w:r w:rsidRPr="00586D77">
              <w:rPr>
                <w:rFonts w:ascii="Calibri" w:hAnsi="Calibri" w:cs="Calibri"/>
                <w:sz w:val="22"/>
                <w:szCs w:val="22"/>
                <w:lang w:eastAsia="en-AU"/>
              </w:rPr>
              <w:t xml:space="preserve"> area </w:t>
            </w:r>
            <w:r w:rsidRPr="00586D77">
              <w:rPr>
                <w:rFonts w:ascii="Calibri" w:hAnsi="Calibri" w:cs="Calibri"/>
                <w:sz w:val="22"/>
                <w:szCs w:val="22"/>
                <w:lang w:eastAsia="en-AU"/>
              </w:rPr>
              <w:br/>
              <w:t xml:space="preserve">• Domestic training for trade </w:t>
            </w:r>
            <w:proofErr w:type="spellStart"/>
            <w:r w:rsidRPr="00586D77">
              <w:rPr>
                <w:rFonts w:ascii="Calibri" w:hAnsi="Calibri" w:cs="Calibri"/>
                <w:sz w:val="22"/>
                <w:szCs w:val="22"/>
                <w:lang w:eastAsia="en-AU"/>
              </w:rPr>
              <w:t>defense</w:t>
            </w:r>
            <w:proofErr w:type="spellEnd"/>
            <w:r w:rsidRPr="00586D77">
              <w:rPr>
                <w:rFonts w:ascii="Calibri" w:hAnsi="Calibri" w:cs="Calibri"/>
                <w:sz w:val="22"/>
                <w:szCs w:val="22"/>
                <w:lang w:eastAsia="en-AU"/>
              </w:rPr>
              <w:t xml:space="preserve"> investigator </w:t>
            </w:r>
            <w:r w:rsidRPr="00586D77">
              <w:rPr>
                <w:rFonts w:ascii="Calibri" w:hAnsi="Calibri" w:cs="Calibri"/>
                <w:sz w:val="22"/>
                <w:szCs w:val="22"/>
                <w:lang w:eastAsia="en-AU"/>
              </w:rPr>
              <w:br/>
              <w:t xml:space="preserve">• Sending the trade </w:t>
            </w:r>
            <w:proofErr w:type="spellStart"/>
            <w:r w:rsidRPr="00586D77">
              <w:rPr>
                <w:rFonts w:ascii="Calibri" w:hAnsi="Calibri" w:cs="Calibri"/>
                <w:sz w:val="22"/>
                <w:szCs w:val="22"/>
                <w:lang w:eastAsia="en-AU"/>
              </w:rPr>
              <w:t>defense</w:t>
            </w:r>
            <w:proofErr w:type="spellEnd"/>
            <w:r w:rsidRPr="00586D77">
              <w:rPr>
                <w:rFonts w:ascii="Calibri" w:hAnsi="Calibri" w:cs="Calibri"/>
                <w:sz w:val="22"/>
                <w:szCs w:val="22"/>
                <w:lang w:eastAsia="en-AU"/>
              </w:rPr>
              <w:t xml:space="preserve"> investigator abroad to do the internship in the related agencies/ law firms  </w:t>
            </w:r>
          </w:p>
        </w:tc>
        <w:tc>
          <w:tcPr>
            <w:tcW w:w="10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382F50"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xml:space="preserve">• Local experts </w:t>
            </w:r>
            <w:r w:rsidRPr="00586D77">
              <w:rPr>
                <w:rFonts w:ascii="Calibri" w:hAnsi="Calibri" w:cs="Calibri"/>
                <w:sz w:val="22"/>
                <w:szCs w:val="22"/>
                <w:lang w:eastAsia="en-AU"/>
              </w:rPr>
              <w:br/>
              <w:t>• International experts</w:t>
            </w:r>
            <w:r w:rsidRPr="00586D77">
              <w:rPr>
                <w:rFonts w:ascii="Calibri" w:hAnsi="Calibri" w:cs="Calibri"/>
                <w:sz w:val="22"/>
                <w:szCs w:val="22"/>
                <w:lang w:eastAsia="en-AU"/>
              </w:rPr>
              <w:br/>
              <w:t xml:space="preserve">• Domestic training </w:t>
            </w:r>
            <w:r w:rsidRPr="00586D77">
              <w:rPr>
                <w:rFonts w:ascii="Calibri" w:hAnsi="Calibri" w:cs="Calibri"/>
                <w:sz w:val="22"/>
                <w:szCs w:val="22"/>
                <w:lang w:eastAsia="en-AU"/>
              </w:rPr>
              <w:br/>
              <w:t xml:space="preserve">• International training </w:t>
            </w:r>
          </w:p>
        </w:tc>
        <w:tc>
          <w:tcPr>
            <w:tcW w:w="27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7BDF90"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xml:space="preserve">• The investigators' capacity in the trade </w:t>
            </w:r>
            <w:proofErr w:type="spellStart"/>
            <w:r w:rsidRPr="00586D77">
              <w:rPr>
                <w:rFonts w:ascii="Calibri" w:hAnsi="Calibri" w:cs="Calibri"/>
                <w:sz w:val="22"/>
                <w:szCs w:val="22"/>
                <w:lang w:eastAsia="en-AU"/>
              </w:rPr>
              <w:t>defense</w:t>
            </w:r>
            <w:proofErr w:type="spellEnd"/>
            <w:r w:rsidRPr="00586D77">
              <w:rPr>
                <w:rFonts w:ascii="Calibri" w:hAnsi="Calibri" w:cs="Calibri"/>
                <w:sz w:val="22"/>
                <w:szCs w:val="22"/>
                <w:lang w:eastAsia="en-AU"/>
              </w:rPr>
              <w:t xml:space="preserve"> area are improved  </w:t>
            </w:r>
          </w:p>
        </w:tc>
        <w:tc>
          <w:tcPr>
            <w:tcW w:w="496" w:type="dxa"/>
            <w:tcBorders>
              <w:top w:val="single" w:sz="4" w:space="0" w:color="auto"/>
              <w:left w:val="single" w:sz="4" w:space="0" w:color="auto"/>
              <w:bottom w:val="single" w:sz="4" w:space="0" w:color="auto"/>
              <w:right w:val="single" w:sz="4" w:space="0" w:color="auto"/>
            </w:tcBorders>
            <w:shd w:val="clear" w:color="auto" w:fill="auto"/>
            <w:hideMark/>
          </w:tcPr>
          <w:p w14:paraId="6A970921"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F461C5E"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FBB12C5"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6CBFA7D"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A556F0B"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A91C678"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577E2C1"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342D4F1"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5EFD853"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69EE06ED"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6B8C99F2" w14:textId="77777777" w:rsidR="00EB1FEE" w:rsidRPr="00586D77" w:rsidRDefault="00EB1FEE" w:rsidP="00586D77">
            <w:pPr>
              <w:spacing w:before="0"/>
              <w:jc w:val="both"/>
              <w:rPr>
                <w:rFonts w:ascii="Calibri" w:hAnsi="Calibri" w:cs="Calibri"/>
                <w:color w:val="000000"/>
                <w:sz w:val="22"/>
                <w:szCs w:val="22"/>
                <w:lang w:eastAsia="en-AU"/>
              </w:rPr>
            </w:pPr>
          </w:p>
        </w:tc>
      </w:tr>
      <w:tr w:rsidR="00EB1FEE" w:rsidRPr="00586D77" w14:paraId="15A29856" w14:textId="0BFACFAE" w:rsidTr="003161F8">
        <w:trPr>
          <w:trHeight w:val="580"/>
        </w:trPr>
        <w:tc>
          <w:tcPr>
            <w:tcW w:w="15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6BC4490"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xml:space="preserve">3.3.1. Building the training materials </w:t>
            </w:r>
          </w:p>
        </w:tc>
        <w:tc>
          <w:tcPr>
            <w:tcW w:w="3118" w:type="dxa"/>
            <w:gridSpan w:val="2"/>
            <w:vMerge/>
            <w:tcBorders>
              <w:top w:val="single" w:sz="4" w:space="0" w:color="auto"/>
              <w:left w:val="single" w:sz="4" w:space="0" w:color="auto"/>
              <w:bottom w:val="single" w:sz="4" w:space="0" w:color="000000"/>
              <w:right w:val="single" w:sz="4" w:space="0" w:color="auto"/>
            </w:tcBorders>
            <w:vAlign w:val="center"/>
            <w:hideMark/>
          </w:tcPr>
          <w:p w14:paraId="3F9F1DF5" w14:textId="77777777" w:rsidR="00EB1FEE" w:rsidRPr="00586D77" w:rsidRDefault="00EB1FEE" w:rsidP="00586D77">
            <w:pPr>
              <w:spacing w:before="0"/>
              <w:rPr>
                <w:rFonts w:ascii="Calibri" w:hAnsi="Calibri" w:cs="Calibri"/>
                <w:sz w:val="22"/>
                <w:szCs w:val="22"/>
                <w:lang w:eastAsia="en-AU"/>
              </w:rPr>
            </w:pPr>
          </w:p>
        </w:tc>
        <w:tc>
          <w:tcPr>
            <w:tcW w:w="1072" w:type="dxa"/>
            <w:vMerge/>
            <w:tcBorders>
              <w:top w:val="single" w:sz="4" w:space="0" w:color="auto"/>
              <w:left w:val="single" w:sz="4" w:space="0" w:color="auto"/>
              <w:bottom w:val="single" w:sz="4" w:space="0" w:color="000000"/>
              <w:right w:val="single" w:sz="4" w:space="0" w:color="auto"/>
            </w:tcBorders>
            <w:vAlign w:val="center"/>
            <w:hideMark/>
          </w:tcPr>
          <w:p w14:paraId="564D0B15" w14:textId="77777777" w:rsidR="00EB1FEE" w:rsidRPr="00586D77" w:rsidRDefault="00EB1FEE" w:rsidP="00586D77">
            <w:pPr>
              <w:spacing w:before="0"/>
              <w:rPr>
                <w:rFonts w:ascii="Calibri" w:hAnsi="Calibri" w:cs="Calibri"/>
                <w:sz w:val="22"/>
                <w:szCs w:val="22"/>
                <w:lang w:eastAsia="en-AU"/>
              </w:rPr>
            </w:pPr>
          </w:p>
        </w:tc>
        <w:tc>
          <w:tcPr>
            <w:tcW w:w="2755" w:type="dxa"/>
            <w:vMerge/>
            <w:tcBorders>
              <w:top w:val="single" w:sz="4" w:space="0" w:color="auto"/>
              <w:left w:val="single" w:sz="4" w:space="0" w:color="auto"/>
              <w:bottom w:val="single" w:sz="4" w:space="0" w:color="000000"/>
              <w:right w:val="single" w:sz="4" w:space="0" w:color="auto"/>
            </w:tcBorders>
            <w:vAlign w:val="center"/>
            <w:hideMark/>
          </w:tcPr>
          <w:p w14:paraId="64AEFE9E" w14:textId="77777777" w:rsidR="00EB1FEE" w:rsidRPr="00586D77" w:rsidRDefault="00EB1FEE" w:rsidP="00586D77">
            <w:pPr>
              <w:spacing w:before="0"/>
              <w:rPr>
                <w:rFonts w:ascii="Calibri" w:hAnsi="Calibri" w:cs="Calibri"/>
                <w:sz w:val="22"/>
                <w:szCs w:val="22"/>
                <w:lang w:eastAsia="en-AU"/>
              </w:rPr>
            </w:pPr>
          </w:p>
        </w:tc>
        <w:tc>
          <w:tcPr>
            <w:tcW w:w="496" w:type="dxa"/>
            <w:tcBorders>
              <w:top w:val="single" w:sz="4" w:space="0" w:color="auto"/>
              <w:left w:val="nil"/>
              <w:bottom w:val="single" w:sz="4" w:space="0" w:color="auto"/>
              <w:right w:val="single" w:sz="4" w:space="0" w:color="auto"/>
            </w:tcBorders>
            <w:shd w:val="clear" w:color="000000" w:fill="FFFF00"/>
            <w:hideMark/>
          </w:tcPr>
          <w:p w14:paraId="67E69459"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000000" w:fill="FFFF00"/>
            <w:hideMark/>
          </w:tcPr>
          <w:p w14:paraId="13D60568"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149A2FEA"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7A2CE245"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26F16F19"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173FD9A4"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078D2DF7"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4E2917D9"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1984C5BD"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2FFDF5F1"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3CD0ED13" w14:textId="77777777" w:rsidR="00EB1FEE" w:rsidRPr="00586D77" w:rsidRDefault="00EB1FEE" w:rsidP="00586D77">
            <w:pPr>
              <w:spacing w:before="0"/>
              <w:jc w:val="both"/>
              <w:rPr>
                <w:rFonts w:ascii="Calibri" w:hAnsi="Calibri" w:cs="Calibri"/>
                <w:color w:val="000000"/>
                <w:sz w:val="22"/>
                <w:szCs w:val="22"/>
                <w:lang w:eastAsia="en-AU"/>
              </w:rPr>
            </w:pPr>
          </w:p>
        </w:tc>
      </w:tr>
      <w:tr w:rsidR="00EB1FEE" w:rsidRPr="00586D77" w14:paraId="3D3C1002" w14:textId="3623D987" w:rsidTr="003161F8">
        <w:trPr>
          <w:trHeight w:val="2030"/>
        </w:trPr>
        <w:tc>
          <w:tcPr>
            <w:tcW w:w="1575" w:type="dxa"/>
            <w:gridSpan w:val="3"/>
            <w:tcBorders>
              <w:top w:val="nil"/>
              <w:left w:val="single" w:sz="4" w:space="0" w:color="auto"/>
              <w:bottom w:val="single" w:sz="4" w:space="0" w:color="auto"/>
              <w:right w:val="single" w:sz="4" w:space="0" w:color="auto"/>
            </w:tcBorders>
            <w:shd w:val="clear" w:color="auto" w:fill="auto"/>
            <w:vAlign w:val="center"/>
            <w:hideMark/>
          </w:tcPr>
          <w:p w14:paraId="19BAE952"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xml:space="preserve">3.3.2. Conducting intensive training course on investigation skills for VCA staff working in trade remedy area </w:t>
            </w:r>
          </w:p>
        </w:tc>
        <w:tc>
          <w:tcPr>
            <w:tcW w:w="3118" w:type="dxa"/>
            <w:gridSpan w:val="2"/>
            <w:vMerge/>
            <w:tcBorders>
              <w:top w:val="nil"/>
              <w:left w:val="single" w:sz="4" w:space="0" w:color="auto"/>
              <w:bottom w:val="single" w:sz="4" w:space="0" w:color="000000"/>
              <w:right w:val="single" w:sz="4" w:space="0" w:color="auto"/>
            </w:tcBorders>
            <w:vAlign w:val="center"/>
            <w:hideMark/>
          </w:tcPr>
          <w:p w14:paraId="3295AC9B" w14:textId="77777777" w:rsidR="00EB1FEE" w:rsidRPr="00586D77" w:rsidRDefault="00EB1FEE" w:rsidP="00586D77">
            <w:pPr>
              <w:spacing w:before="0"/>
              <w:rPr>
                <w:rFonts w:ascii="Calibri" w:hAnsi="Calibri" w:cs="Calibri"/>
                <w:sz w:val="22"/>
                <w:szCs w:val="22"/>
                <w:lang w:eastAsia="en-AU"/>
              </w:rPr>
            </w:pPr>
          </w:p>
        </w:tc>
        <w:tc>
          <w:tcPr>
            <w:tcW w:w="1072" w:type="dxa"/>
            <w:vMerge/>
            <w:tcBorders>
              <w:top w:val="nil"/>
              <w:left w:val="single" w:sz="4" w:space="0" w:color="auto"/>
              <w:bottom w:val="single" w:sz="4" w:space="0" w:color="000000"/>
              <w:right w:val="single" w:sz="4" w:space="0" w:color="auto"/>
            </w:tcBorders>
            <w:vAlign w:val="center"/>
            <w:hideMark/>
          </w:tcPr>
          <w:p w14:paraId="330B8A87" w14:textId="77777777" w:rsidR="00EB1FEE" w:rsidRPr="00586D77" w:rsidRDefault="00EB1FEE" w:rsidP="00586D77">
            <w:pPr>
              <w:spacing w:before="0"/>
              <w:rPr>
                <w:rFonts w:ascii="Calibri" w:hAnsi="Calibri" w:cs="Calibri"/>
                <w:sz w:val="22"/>
                <w:szCs w:val="22"/>
                <w:lang w:eastAsia="en-AU"/>
              </w:rPr>
            </w:pPr>
          </w:p>
        </w:tc>
        <w:tc>
          <w:tcPr>
            <w:tcW w:w="2755" w:type="dxa"/>
            <w:vMerge/>
            <w:tcBorders>
              <w:top w:val="nil"/>
              <w:left w:val="single" w:sz="4" w:space="0" w:color="auto"/>
              <w:bottom w:val="single" w:sz="4" w:space="0" w:color="000000"/>
              <w:right w:val="single" w:sz="4" w:space="0" w:color="auto"/>
            </w:tcBorders>
            <w:vAlign w:val="center"/>
            <w:hideMark/>
          </w:tcPr>
          <w:p w14:paraId="5CCE3D2D" w14:textId="77777777" w:rsidR="00EB1FEE" w:rsidRPr="00586D77" w:rsidRDefault="00EB1FEE" w:rsidP="00586D77">
            <w:pPr>
              <w:spacing w:before="0"/>
              <w:rPr>
                <w:rFonts w:ascii="Calibri" w:hAnsi="Calibri" w:cs="Calibri"/>
                <w:sz w:val="22"/>
                <w:szCs w:val="22"/>
                <w:lang w:eastAsia="en-AU"/>
              </w:rPr>
            </w:pPr>
          </w:p>
        </w:tc>
        <w:tc>
          <w:tcPr>
            <w:tcW w:w="496" w:type="dxa"/>
            <w:tcBorders>
              <w:top w:val="nil"/>
              <w:left w:val="nil"/>
              <w:bottom w:val="single" w:sz="4" w:space="0" w:color="auto"/>
              <w:right w:val="single" w:sz="4" w:space="0" w:color="auto"/>
            </w:tcBorders>
            <w:shd w:val="clear" w:color="auto" w:fill="auto"/>
            <w:hideMark/>
          </w:tcPr>
          <w:p w14:paraId="2A652F20"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06CD9627"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000000" w:fill="FFFF00"/>
            <w:hideMark/>
          </w:tcPr>
          <w:p w14:paraId="1805FA23"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3859CB62"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67DC510E"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0A1E79DB"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4E356C06"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727DF51F"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6531A962"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185CF1E7"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40B8E6F0" w14:textId="77777777" w:rsidR="00EB1FEE" w:rsidRPr="00586D77" w:rsidRDefault="00EB1FEE" w:rsidP="00586D77">
            <w:pPr>
              <w:spacing w:before="0"/>
              <w:jc w:val="both"/>
              <w:rPr>
                <w:rFonts w:ascii="Calibri" w:hAnsi="Calibri" w:cs="Calibri"/>
                <w:color w:val="000000"/>
                <w:sz w:val="22"/>
                <w:szCs w:val="22"/>
                <w:lang w:eastAsia="en-AU"/>
              </w:rPr>
            </w:pPr>
          </w:p>
        </w:tc>
      </w:tr>
      <w:tr w:rsidR="00EB1FEE" w:rsidRPr="00586D77" w14:paraId="3B3B6D8B" w14:textId="10804BA0" w:rsidTr="003161F8">
        <w:trPr>
          <w:trHeight w:val="2320"/>
        </w:trPr>
        <w:tc>
          <w:tcPr>
            <w:tcW w:w="1575" w:type="dxa"/>
            <w:gridSpan w:val="3"/>
            <w:tcBorders>
              <w:top w:val="nil"/>
              <w:left w:val="single" w:sz="4" w:space="0" w:color="auto"/>
              <w:bottom w:val="single" w:sz="4" w:space="0" w:color="auto"/>
              <w:right w:val="single" w:sz="4" w:space="0" w:color="auto"/>
            </w:tcBorders>
            <w:shd w:val="clear" w:color="auto" w:fill="auto"/>
            <w:vAlign w:val="center"/>
            <w:hideMark/>
          </w:tcPr>
          <w:p w14:paraId="443EFCC9"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xml:space="preserve">3.3.3. Sending 01 trade </w:t>
            </w:r>
            <w:proofErr w:type="spellStart"/>
            <w:r w:rsidRPr="00586D77">
              <w:rPr>
                <w:rFonts w:ascii="Calibri" w:hAnsi="Calibri" w:cs="Calibri"/>
                <w:sz w:val="22"/>
                <w:szCs w:val="22"/>
                <w:lang w:eastAsia="en-AU"/>
              </w:rPr>
              <w:t>defense</w:t>
            </w:r>
            <w:proofErr w:type="spellEnd"/>
            <w:r w:rsidRPr="00586D77">
              <w:rPr>
                <w:rFonts w:ascii="Calibri" w:hAnsi="Calibri" w:cs="Calibri"/>
                <w:sz w:val="22"/>
                <w:szCs w:val="22"/>
                <w:lang w:eastAsia="en-AU"/>
              </w:rPr>
              <w:t xml:space="preserve"> investigator abroad to do the internship in the related agencies/ law firms   (in 3 months)</w:t>
            </w:r>
          </w:p>
        </w:tc>
        <w:tc>
          <w:tcPr>
            <w:tcW w:w="3118" w:type="dxa"/>
            <w:gridSpan w:val="2"/>
            <w:vMerge/>
            <w:tcBorders>
              <w:top w:val="nil"/>
              <w:left w:val="single" w:sz="4" w:space="0" w:color="auto"/>
              <w:bottom w:val="single" w:sz="4" w:space="0" w:color="auto"/>
              <w:right w:val="single" w:sz="4" w:space="0" w:color="auto"/>
            </w:tcBorders>
            <w:vAlign w:val="center"/>
            <w:hideMark/>
          </w:tcPr>
          <w:p w14:paraId="3F747F9D" w14:textId="77777777" w:rsidR="00EB1FEE" w:rsidRPr="00586D77" w:rsidRDefault="00EB1FEE" w:rsidP="00586D77">
            <w:pPr>
              <w:spacing w:before="0"/>
              <w:rPr>
                <w:rFonts w:ascii="Calibri" w:hAnsi="Calibri" w:cs="Calibri"/>
                <w:sz w:val="22"/>
                <w:szCs w:val="22"/>
                <w:lang w:eastAsia="en-AU"/>
              </w:rPr>
            </w:pPr>
          </w:p>
        </w:tc>
        <w:tc>
          <w:tcPr>
            <w:tcW w:w="1072" w:type="dxa"/>
            <w:vMerge/>
            <w:tcBorders>
              <w:top w:val="nil"/>
              <w:left w:val="single" w:sz="4" w:space="0" w:color="auto"/>
              <w:bottom w:val="single" w:sz="4" w:space="0" w:color="auto"/>
              <w:right w:val="single" w:sz="4" w:space="0" w:color="auto"/>
            </w:tcBorders>
            <w:vAlign w:val="center"/>
            <w:hideMark/>
          </w:tcPr>
          <w:p w14:paraId="735086A5" w14:textId="77777777" w:rsidR="00EB1FEE" w:rsidRPr="00586D77" w:rsidRDefault="00EB1FEE" w:rsidP="00586D77">
            <w:pPr>
              <w:spacing w:before="0"/>
              <w:rPr>
                <w:rFonts w:ascii="Calibri" w:hAnsi="Calibri" w:cs="Calibri"/>
                <w:sz w:val="22"/>
                <w:szCs w:val="22"/>
                <w:lang w:eastAsia="en-AU"/>
              </w:rPr>
            </w:pPr>
          </w:p>
        </w:tc>
        <w:tc>
          <w:tcPr>
            <w:tcW w:w="2755" w:type="dxa"/>
            <w:vMerge/>
            <w:tcBorders>
              <w:top w:val="nil"/>
              <w:left w:val="single" w:sz="4" w:space="0" w:color="auto"/>
              <w:bottom w:val="single" w:sz="4" w:space="0" w:color="auto"/>
              <w:right w:val="single" w:sz="4" w:space="0" w:color="auto"/>
            </w:tcBorders>
            <w:vAlign w:val="center"/>
            <w:hideMark/>
          </w:tcPr>
          <w:p w14:paraId="734A5542" w14:textId="77777777" w:rsidR="00EB1FEE" w:rsidRPr="00586D77" w:rsidRDefault="00EB1FEE" w:rsidP="00586D77">
            <w:pPr>
              <w:spacing w:before="0"/>
              <w:rPr>
                <w:rFonts w:ascii="Calibri" w:hAnsi="Calibri" w:cs="Calibri"/>
                <w:sz w:val="22"/>
                <w:szCs w:val="22"/>
                <w:lang w:eastAsia="en-AU"/>
              </w:rPr>
            </w:pPr>
          </w:p>
        </w:tc>
        <w:tc>
          <w:tcPr>
            <w:tcW w:w="496" w:type="dxa"/>
            <w:tcBorders>
              <w:top w:val="nil"/>
              <w:left w:val="nil"/>
              <w:bottom w:val="single" w:sz="4" w:space="0" w:color="auto"/>
              <w:right w:val="single" w:sz="4" w:space="0" w:color="auto"/>
            </w:tcBorders>
            <w:shd w:val="clear" w:color="auto" w:fill="auto"/>
            <w:hideMark/>
          </w:tcPr>
          <w:p w14:paraId="79A782FC"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000000" w:fill="FFFF00"/>
            <w:hideMark/>
          </w:tcPr>
          <w:p w14:paraId="2A58F103"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000000" w:fill="FFFF00"/>
            <w:hideMark/>
          </w:tcPr>
          <w:p w14:paraId="3122D67C"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208B1716"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130157C6"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359103EC"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17504908"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7E0E78A4"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0C372963"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24E1E2B6"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08C332B1" w14:textId="77777777" w:rsidR="00EB1FEE" w:rsidRPr="00586D77" w:rsidRDefault="00EB1FEE" w:rsidP="00586D77">
            <w:pPr>
              <w:spacing w:before="0"/>
              <w:jc w:val="both"/>
              <w:rPr>
                <w:rFonts w:ascii="Calibri" w:hAnsi="Calibri" w:cs="Calibri"/>
                <w:color w:val="000000"/>
                <w:sz w:val="22"/>
                <w:szCs w:val="22"/>
                <w:lang w:eastAsia="en-AU"/>
              </w:rPr>
            </w:pPr>
          </w:p>
        </w:tc>
      </w:tr>
      <w:tr w:rsidR="00EB1FEE" w:rsidRPr="00586D77" w14:paraId="7E656802" w14:textId="437C6A38" w:rsidTr="003161F8">
        <w:trPr>
          <w:trHeight w:val="4640"/>
        </w:trPr>
        <w:tc>
          <w:tcPr>
            <w:tcW w:w="1575"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E63846"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Activity 3.4. Report on reviewing state subsidy policies for economic sectors so as to place recommendations for the Government to remove those policies conflict with the economic integration commitments</w:t>
            </w:r>
          </w:p>
        </w:tc>
        <w:tc>
          <w:tcPr>
            <w:tcW w:w="3118" w:type="dxa"/>
            <w:gridSpan w:val="2"/>
            <w:tcBorders>
              <w:top w:val="single" w:sz="4" w:space="0" w:color="auto"/>
              <w:left w:val="nil"/>
              <w:bottom w:val="single" w:sz="4" w:space="0" w:color="auto"/>
              <w:right w:val="single" w:sz="4" w:space="0" w:color="auto"/>
            </w:tcBorders>
            <w:shd w:val="clear" w:color="auto" w:fill="auto"/>
            <w:hideMark/>
          </w:tcPr>
          <w:p w14:paraId="2809B9E9"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Building reports on reviewing anti-subsidy cases against Vietnam products</w:t>
            </w:r>
            <w:r w:rsidRPr="00586D77">
              <w:rPr>
                <w:rFonts w:ascii="Calibri" w:hAnsi="Calibri" w:cs="Calibri"/>
                <w:sz w:val="22"/>
                <w:szCs w:val="22"/>
                <w:lang w:eastAsia="en-AU"/>
              </w:rPr>
              <w:br/>
              <w:t>• Building reports on reviewing state subsidy policies for certain economic sectors (including those being sued in the anti-subsidy cases).</w:t>
            </w:r>
            <w:r w:rsidRPr="00586D77">
              <w:rPr>
                <w:rFonts w:ascii="Calibri" w:hAnsi="Calibri" w:cs="Calibri"/>
                <w:sz w:val="22"/>
                <w:szCs w:val="22"/>
                <w:lang w:eastAsia="en-AU"/>
              </w:rPr>
              <w:br/>
              <w:t xml:space="preserve">• Recommendations to remove state subsidy policies that conflict with the economic integration commitments. </w:t>
            </w:r>
            <w:r w:rsidRPr="00586D77">
              <w:rPr>
                <w:rFonts w:ascii="Calibri" w:hAnsi="Calibri" w:cs="Calibri"/>
                <w:sz w:val="22"/>
                <w:szCs w:val="22"/>
                <w:lang w:eastAsia="en-AU"/>
              </w:rPr>
              <w:br/>
              <w:t xml:space="preserve">• Conducting conferences/ seminars to publish the reports' result. </w:t>
            </w:r>
          </w:p>
        </w:tc>
        <w:tc>
          <w:tcPr>
            <w:tcW w:w="1072" w:type="dxa"/>
            <w:tcBorders>
              <w:top w:val="single" w:sz="4" w:space="0" w:color="auto"/>
              <w:left w:val="nil"/>
              <w:bottom w:val="single" w:sz="4" w:space="0" w:color="auto"/>
              <w:right w:val="single" w:sz="4" w:space="0" w:color="auto"/>
            </w:tcBorders>
            <w:shd w:val="clear" w:color="auto" w:fill="auto"/>
            <w:hideMark/>
          </w:tcPr>
          <w:p w14:paraId="182DE974"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xml:space="preserve">•  Local experts </w:t>
            </w:r>
            <w:r w:rsidRPr="00586D77">
              <w:rPr>
                <w:rFonts w:ascii="Calibri" w:hAnsi="Calibri" w:cs="Calibri"/>
                <w:sz w:val="22"/>
                <w:szCs w:val="22"/>
                <w:lang w:eastAsia="en-AU"/>
              </w:rPr>
              <w:br/>
              <w:t>• International experts</w:t>
            </w:r>
            <w:r w:rsidRPr="00586D77">
              <w:rPr>
                <w:rFonts w:ascii="Calibri" w:hAnsi="Calibri" w:cs="Calibri"/>
                <w:sz w:val="22"/>
                <w:szCs w:val="22"/>
                <w:lang w:eastAsia="en-AU"/>
              </w:rPr>
              <w:br/>
              <w:t>• Conference</w:t>
            </w:r>
          </w:p>
        </w:tc>
        <w:tc>
          <w:tcPr>
            <w:tcW w:w="2755" w:type="dxa"/>
            <w:tcBorders>
              <w:top w:val="single" w:sz="4" w:space="0" w:color="auto"/>
              <w:left w:val="nil"/>
              <w:bottom w:val="single" w:sz="4" w:space="0" w:color="auto"/>
              <w:right w:val="single" w:sz="4" w:space="0" w:color="auto"/>
            </w:tcBorders>
            <w:shd w:val="clear" w:color="auto" w:fill="auto"/>
            <w:hideMark/>
          </w:tcPr>
          <w:p w14:paraId="3461B765"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Report on reviewing state subsidy policies for economic sectors so as to place recommendations for the Government to remove those policies conflict with the economic integration commitments</w:t>
            </w:r>
          </w:p>
        </w:tc>
        <w:tc>
          <w:tcPr>
            <w:tcW w:w="496" w:type="dxa"/>
            <w:tcBorders>
              <w:top w:val="single" w:sz="4" w:space="0" w:color="auto"/>
              <w:left w:val="nil"/>
              <w:bottom w:val="single" w:sz="4" w:space="0" w:color="auto"/>
              <w:right w:val="single" w:sz="4" w:space="0" w:color="auto"/>
            </w:tcBorders>
            <w:shd w:val="clear" w:color="auto" w:fill="auto"/>
            <w:hideMark/>
          </w:tcPr>
          <w:p w14:paraId="6049D7F7"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0BEF0ED4"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6D18844C"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60985B08"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4FE932D3"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404F983A"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488FBF2A"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4DA57CC8"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60B0EC48"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1703CFD8"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084961B8" w14:textId="77777777" w:rsidR="00EB1FEE" w:rsidRPr="00586D77" w:rsidRDefault="00EB1FEE" w:rsidP="00586D77">
            <w:pPr>
              <w:spacing w:before="0"/>
              <w:jc w:val="both"/>
              <w:rPr>
                <w:rFonts w:ascii="Calibri" w:hAnsi="Calibri" w:cs="Calibri"/>
                <w:color w:val="000000"/>
                <w:sz w:val="22"/>
                <w:szCs w:val="22"/>
                <w:lang w:eastAsia="en-AU"/>
              </w:rPr>
            </w:pPr>
          </w:p>
        </w:tc>
      </w:tr>
      <w:tr w:rsidR="00EB1FEE" w:rsidRPr="00586D77" w14:paraId="18012DEB" w14:textId="023697EE" w:rsidTr="003161F8">
        <w:trPr>
          <w:trHeight w:val="1740"/>
        </w:trPr>
        <w:tc>
          <w:tcPr>
            <w:tcW w:w="1575" w:type="dxa"/>
            <w:gridSpan w:val="3"/>
            <w:tcBorders>
              <w:top w:val="nil"/>
              <w:left w:val="single" w:sz="4" w:space="0" w:color="auto"/>
              <w:bottom w:val="single" w:sz="4" w:space="0" w:color="auto"/>
              <w:right w:val="single" w:sz="4" w:space="0" w:color="auto"/>
            </w:tcBorders>
            <w:shd w:val="clear" w:color="auto" w:fill="auto"/>
            <w:vAlign w:val="center"/>
            <w:hideMark/>
          </w:tcPr>
          <w:p w14:paraId="13541D79"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3.4.1. Conducting research to review  state subsidy policies for economic sectors</w:t>
            </w:r>
          </w:p>
        </w:tc>
        <w:tc>
          <w:tcPr>
            <w:tcW w:w="3118" w:type="dxa"/>
            <w:gridSpan w:val="2"/>
            <w:tcBorders>
              <w:top w:val="nil"/>
              <w:left w:val="nil"/>
              <w:bottom w:val="single" w:sz="4" w:space="0" w:color="auto"/>
              <w:right w:val="single" w:sz="4" w:space="0" w:color="auto"/>
            </w:tcBorders>
            <w:shd w:val="clear" w:color="auto" w:fill="auto"/>
            <w:vAlign w:val="center"/>
            <w:hideMark/>
          </w:tcPr>
          <w:p w14:paraId="1CFB7178"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1072" w:type="dxa"/>
            <w:tcBorders>
              <w:top w:val="nil"/>
              <w:left w:val="nil"/>
              <w:bottom w:val="single" w:sz="4" w:space="0" w:color="auto"/>
              <w:right w:val="single" w:sz="4" w:space="0" w:color="auto"/>
            </w:tcBorders>
            <w:shd w:val="clear" w:color="auto" w:fill="auto"/>
            <w:vAlign w:val="center"/>
            <w:hideMark/>
          </w:tcPr>
          <w:p w14:paraId="753CB925"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2755" w:type="dxa"/>
            <w:tcBorders>
              <w:top w:val="nil"/>
              <w:left w:val="nil"/>
              <w:bottom w:val="single" w:sz="4" w:space="0" w:color="auto"/>
              <w:right w:val="single" w:sz="4" w:space="0" w:color="auto"/>
            </w:tcBorders>
            <w:shd w:val="clear" w:color="auto" w:fill="auto"/>
            <w:vAlign w:val="center"/>
            <w:hideMark/>
          </w:tcPr>
          <w:p w14:paraId="3597B541"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496" w:type="dxa"/>
            <w:tcBorders>
              <w:top w:val="nil"/>
              <w:left w:val="nil"/>
              <w:bottom w:val="single" w:sz="4" w:space="0" w:color="auto"/>
              <w:right w:val="single" w:sz="4" w:space="0" w:color="auto"/>
            </w:tcBorders>
            <w:shd w:val="clear" w:color="000000" w:fill="FFFF00"/>
            <w:hideMark/>
          </w:tcPr>
          <w:p w14:paraId="6D9AB1E4"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000000" w:fill="FFFF00"/>
            <w:hideMark/>
          </w:tcPr>
          <w:p w14:paraId="62A76898"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000000" w:fill="FFFF00"/>
            <w:hideMark/>
          </w:tcPr>
          <w:p w14:paraId="4B64774B"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68415D8C"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2EAEB3E1"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7F37876A"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1052F50E"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598FE430"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0031F7EF"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036F2EE6"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5B66F231" w14:textId="77777777" w:rsidR="00EB1FEE" w:rsidRPr="00586D77" w:rsidRDefault="00EB1FEE" w:rsidP="00586D77">
            <w:pPr>
              <w:spacing w:before="0"/>
              <w:jc w:val="both"/>
              <w:rPr>
                <w:rFonts w:ascii="Calibri" w:hAnsi="Calibri" w:cs="Calibri"/>
                <w:color w:val="000000"/>
                <w:sz w:val="22"/>
                <w:szCs w:val="22"/>
                <w:lang w:eastAsia="en-AU"/>
              </w:rPr>
            </w:pPr>
          </w:p>
        </w:tc>
      </w:tr>
      <w:tr w:rsidR="00EB1FEE" w:rsidRPr="00586D77" w14:paraId="3D9DA8D6" w14:textId="17661AF5" w:rsidTr="003161F8">
        <w:trPr>
          <w:trHeight w:val="290"/>
        </w:trPr>
        <w:tc>
          <w:tcPr>
            <w:tcW w:w="1575" w:type="dxa"/>
            <w:gridSpan w:val="3"/>
            <w:tcBorders>
              <w:top w:val="nil"/>
              <w:left w:val="single" w:sz="4" w:space="0" w:color="auto"/>
              <w:bottom w:val="single" w:sz="4" w:space="0" w:color="auto"/>
              <w:right w:val="single" w:sz="4" w:space="0" w:color="auto"/>
            </w:tcBorders>
            <w:shd w:val="clear" w:color="auto" w:fill="auto"/>
            <w:vAlign w:val="center"/>
            <w:hideMark/>
          </w:tcPr>
          <w:p w14:paraId="004B5CA7"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3.4.2. Printing</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14:paraId="662E3110"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D2045"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2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BA8E5"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496" w:type="dxa"/>
            <w:tcBorders>
              <w:top w:val="single" w:sz="4" w:space="0" w:color="auto"/>
              <w:left w:val="single" w:sz="4" w:space="0" w:color="auto"/>
              <w:bottom w:val="single" w:sz="4" w:space="0" w:color="auto"/>
              <w:right w:val="single" w:sz="4" w:space="0" w:color="auto"/>
            </w:tcBorders>
            <w:shd w:val="clear" w:color="auto" w:fill="auto"/>
            <w:hideMark/>
          </w:tcPr>
          <w:p w14:paraId="3E8643DB"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FE5F510"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3F72BBE"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000000" w:fill="FFFF00"/>
            <w:hideMark/>
          </w:tcPr>
          <w:p w14:paraId="6C561C6B"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E8D3393"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A006E3C"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D91D9DA"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F5F42CF"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492C508"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4324F967"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7C80BA6F" w14:textId="77777777" w:rsidR="00EB1FEE" w:rsidRPr="00586D77" w:rsidRDefault="00EB1FEE" w:rsidP="00586D77">
            <w:pPr>
              <w:spacing w:before="0"/>
              <w:jc w:val="both"/>
              <w:rPr>
                <w:rFonts w:ascii="Calibri" w:hAnsi="Calibri" w:cs="Calibri"/>
                <w:color w:val="000000"/>
                <w:sz w:val="22"/>
                <w:szCs w:val="22"/>
                <w:lang w:eastAsia="en-AU"/>
              </w:rPr>
            </w:pPr>
          </w:p>
        </w:tc>
      </w:tr>
      <w:tr w:rsidR="00EB1FEE" w:rsidRPr="00586D77" w14:paraId="4B9E1C5B" w14:textId="477A9286" w:rsidTr="003161F8">
        <w:trPr>
          <w:trHeight w:val="2980"/>
        </w:trPr>
        <w:tc>
          <w:tcPr>
            <w:tcW w:w="1575" w:type="dxa"/>
            <w:gridSpan w:val="3"/>
            <w:tcBorders>
              <w:top w:val="nil"/>
              <w:left w:val="single" w:sz="4" w:space="0" w:color="auto"/>
              <w:bottom w:val="single" w:sz="4" w:space="0" w:color="auto"/>
              <w:right w:val="single" w:sz="4" w:space="0" w:color="auto"/>
            </w:tcBorders>
            <w:shd w:val="clear" w:color="auto" w:fill="auto"/>
            <w:hideMark/>
          </w:tcPr>
          <w:p w14:paraId="3022C372"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xml:space="preserve">Activity 4.1. Strengthening the early warning for the anti-dumping and anti-subsidiary cases so as to reduce the cases against Vietnamese exports </w:t>
            </w:r>
          </w:p>
        </w:tc>
        <w:tc>
          <w:tcPr>
            <w:tcW w:w="311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0B0C85A"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Implement a research on current platform of the EWS for the anti-dumping and anti-subsidiary cases against Vietnamese exports and solutions to increase effectiveness of the EWS</w:t>
            </w:r>
            <w:r w:rsidRPr="00586D77">
              <w:rPr>
                <w:rFonts w:ascii="Calibri" w:hAnsi="Calibri" w:cs="Calibri"/>
                <w:sz w:val="22"/>
                <w:szCs w:val="22"/>
                <w:lang w:eastAsia="en-AU"/>
              </w:rPr>
              <w:br/>
              <w:t xml:space="preserve">• Upgrading and expanding the online early warning system for the anti-dumping cases against Vietnamese exports </w:t>
            </w:r>
            <w:r w:rsidRPr="00586D77">
              <w:rPr>
                <w:rFonts w:ascii="Calibri" w:hAnsi="Calibri" w:cs="Calibri"/>
                <w:sz w:val="22"/>
                <w:szCs w:val="22"/>
                <w:lang w:eastAsia="en-AU"/>
              </w:rPr>
              <w:br/>
              <w:t xml:space="preserve">• Training course designed for enterprises and trade associations about exploiting the early warning system </w:t>
            </w:r>
          </w:p>
        </w:tc>
        <w:tc>
          <w:tcPr>
            <w:tcW w:w="10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02F9AA"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xml:space="preserve">• Local experts </w:t>
            </w:r>
            <w:r w:rsidRPr="00586D77">
              <w:rPr>
                <w:rFonts w:ascii="Calibri" w:hAnsi="Calibri" w:cs="Calibri"/>
                <w:sz w:val="22"/>
                <w:szCs w:val="22"/>
                <w:lang w:eastAsia="en-AU"/>
              </w:rPr>
              <w:br/>
              <w:t>• International experts</w:t>
            </w:r>
            <w:r w:rsidRPr="00586D77">
              <w:rPr>
                <w:rFonts w:ascii="Calibri" w:hAnsi="Calibri" w:cs="Calibri"/>
                <w:sz w:val="22"/>
                <w:szCs w:val="22"/>
                <w:lang w:eastAsia="en-AU"/>
              </w:rPr>
              <w:br/>
              <w:t xml:space="preserve">• Domestic training </w:t>
            </w:r>
            <w:r w:rsidRPr="00586D77">
              <w:rPr>
                <w:rFonts w:ascii="Calibri" w:hAnsi="Calibri" w:cs="Calibri"/>
                <w:sz w:val="22"/>
                <w:szCs w:val="22"/>
                <w:lang w:eastAsia="en-AU"/>
              </w:rPr>
              <w:br/>
              <w:t>• Statistics</w:t>
            </w:r>
          </w:p>
        </w:tc>
        <w:tc>
          <w:tcPr>
            <w:tcW w:w="27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30C7D9"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xml:space="preserve">• The early warning system is upgraded and expanded </w:t>
            </w:r>
            <w:r w:rsidRPr="00586D77">
              <w:rPr>
                <w:rFonts w:ascii="Calibri" w:hAnsi="Calibri" w:cs="Calibri"/>
                <w:sz w:val="22"/>
                <w:szCs w:val="22"/>
                <w:lang w:eastAsia="en-AU"/>
              </w:rPr>
              <w:br/>
              <w:t xml:space="preserve">• The early warning is timely and more effective </w:t>
            </w:r>
            <w:r w:rsidRPr="00586D77">
              <w:rPr>
                <w:rFonts w:ascii="Calibri" w:hAnsi="Calibri" w:cs="Calibri"/>
                <w:sz w:val="22"/>
                <w:szCs w:val="22"/>
                <w:lang w:eastAsia="en-AU"/>
              </w:rPr>
              <w:br/>
              <w:t xml:space="preserve">• The number of enterprises receiving the instruction on using the early warning system increases </w:t>
            </w:r>
          </w:p>
        </w:tc>
        <w:tc>
          <w:tcPr>
            <w:tcW w:w="496" w:type="dxa"/>
            <w:tcBorders>
              <w:top w:val="single" w:sz="4" w:space="0" w:color="auto"/>
              <w:left w:val="single" w:sz="4" w:space="0" w:color="auto"/>
              <w:bottom w:val="single" w:sz="4" w:space="0" w:color="auto"/>
              <w:right w:val="single" w:sz="4" w:space="0" w:color="auto"/>
            </w:tcBorders>
            <w:shd w:val="clear" w:color="auto" w:fill="auto"/>
            <w:hideMark/>
          </w:tcPr>
          <w:p w14:paraId="3EF88C90"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03538EB"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4D56995"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A406DA5"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4BB17CD"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88CEA8B"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10E8C85"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631A2BB"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93CC6AA"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4453F5F9"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64101C62" w14:textId="77777777" w:rsidR="00EB1FEE" w:rsidRPr="00586D77" w:rsidRDefault="00EB1FEE" w:rsidP="00586D77">
            <w:pPr>
              <w:spacing w:before="0"/>
              <w:jc w:val="both"/>
              <w:rPr>
                <w:rFonts w:ascii="Calibri" w:hAnsi="Calibri" w:cs="Calibri"/>
                <w:color w:val="000000"/>
                <w:sz w:val="22"/>
                <w:szCs w:val="22"/>
                <w:lang w:eastAsia="en-AU"/>
              </w:rPr>
            </w:pPr>
          </w:p>
        </w:tc>
      </w:tr>
      <w:tr w:rsidR="00EB1FEE" w:rsidRPr="00586D77" w14:paraId="7AD53C85" w14:textId="591DCE04" w:rsidTr="003161F8">
        <w:trPr>
          <w:trHeight w:val="2900"/>
        </w:trPr>
        <w:tc>
          <w:tcPr>
            <w:tcW w:w="1575" w:type="dxa"/>
            <w:gridSpan w:val="3"/>
            <w:tcBorders>
              <w:top w:val="nil"/>
              <w:left w:val="single" w:sz="4" w:space="0" w:color="auto"/>
              <w:bottom w:val="single" w:sz="4" w:space="0" w:color="auto"/>
              <w:right w:val="single" w:sz="4" w:space="0" w:color="auto"/>
            </w:tcBorders>
            <w:shd w:val="clear" w:color="auto" w:fill="auto"/>
            <w:vAlign w:val="center"/>
            <w:hideMark/>
          </w:tcPr>
          <w:p w14:paraId="0BB2BC88"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xml:space="preserve">4.1.1. Building report on the status quo of the early warning system for the anti-dumping and anti-subsidiary cases and recommendations  </w:t>
            </w: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14:paraId="62F76F57" w14:textId="77777777" w:rsidR="00EB1FEE" w:rsidRPr="00586D77" w:rsidRDefault="00EB1FEE" w:rsidP="00586D77">
            <w:pPr>
              <w:spacing w:before="0"/>
              <w:rPr>
                <w:rFonts w:ascii="Calibri" w:hAnsi="Calibri" w:cs="Calibri"/>
                <w:sz w:val="22"/>
                <w:szCs w:val="22"/>
                <w:lang w:eastAsia="en-AU"/>
              </w:rPr>
            </w:pPr>
          </w:p>
        </w:tc>
        <w:tc>
          <w:tcPr>
            <w:tcW w:w="1072" w:type="dxa"/>
            <w:vMerge/>
            <w:tcBorders>
              <w:top w:val="single" w:sz="4" w:space="0" w:color="auto"/>
              <w:left w:val="single" w:sz="4" w:space="0" w:color="auto"/>
              <w:bottom w:val="single" w:sz="4" w:space="0" w:color="auto"/>
              <w:right w:val="single" w:sz="4" w:space="0" w:color="auto"/>
            </w:tcBorders>
            <w:vAlign w:val="center"/>
            <w:hideMark/>
          </w:tcPr>
          <w:p w14:paraId="497756D0" w14:textId="77777777" w:rsidR="00EB1FEE" w:rsidRPr="00586D77" w:rsidRDefault="00EB1FEE" w:rsidP="00586D77">
            <w:pPr>
              <w:spacing w:before="0"/>
              <w:rPr>
                <w:rFonts w:ascii="Calibri" w:hAnsi="Calibri" w:cs="Calibri"/>
                <w:sz w:val="22"/>
                <w:szCs w:val="22"/>
                <w:lang w:eastAsia="en-AU"/>
              </w:rPr>
            </w:pPr>
          </w:p>
        </w:tc>
        <w:tc>
          <w:tcPr>
            <w:tcW w:w="2755" w:type="dxa"/>
            <w:vMerge/>
            <w:tcBorders>
              <w:top w:val="single" w:sz="4" w:space="0" w:color="auto"/>
              <w:left w:val="single" w:sz="4" w:space="0" w:color="auto"/>
              <w:bottom w:val="single" w:sz="4" w:space="0" w:color="auto"/>
              <w:right w:val="single" w:sz="4" w:space="0" w:color="auto"/>
            </w:tcBorders>
            <w:vAlign w:val="center"/>
            <w:hideMark/>
          </w:tcPr>
          <w:p w14:paraId="024A4D39" w14:textId="77777777" w:rsidR="00EB1FEE" w:rsidRPr="00586D77" w:rsidRDefault="00EB1FEE" w:rsidP="00586D77">
            <w:pPr>
              <w:spacing w:before="0"/>
              <w:rPr>
                <w:rFonts w:ascii="Calibri" w:hAnsi="Calibri" w:cs="Calibri"/>
                <w:sz w:val="22"/>
                <w:szCs w:val="22"/>
                <w:lang w:eastAsia="en-AU"/>
              </w:rPr>
            </w:pPr>
          </w:p>
        </w:tc>
        <w:tc>
          <w:tcPr>
            <w:tcW w:w="496" w:type="dxa"/>
            <w:tcBorders>
              <w:top w:val="single" w:sz="4" w:space="0" w:color="auto"/>
              <w:left w:val="single" w:sz="4" w:space="0" w:color="auto"/>
              <w:bottom w:val="single" w:sz="4" w:space="0" w:color="auto"/>
              <w:right w:val="single" w:sz="4" w:space="0" w:color="auto"/>
            </w:tcBorders>
            <w:shd w:val="clear" w:color="000000" w:fill="FFFF00"/>
            <w:hideMark/>
          </w:tcPr>
          <w:p w14:paraId="783B2640"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037544C"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5A9A294"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7CEDFBB"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669EC36"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897C74F"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1C5E68F"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02AD304"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5EE1CD6"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6775574D"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1BA31BBD" w14:textId="77777777" w:rsidR="00EB1FEE" w:rsidRPr="00586D77" w:rsidRDefault="00EB1FEE" w:rsidP="00586D77">
            <w:pPr>
              <w:spacing w:before="0"/>
              <w:jc w:val="both"/>
              <w:rPr>
                <w:rFonts w:ascii="Calibri" w:hAnsi="Calibri" w:cs="Calibri"/>
                <w:color w:val="000000"/>
                <w:sz w:val="22"/>
                <w:szCs w:val="22"/>
                <w:lang w:eastAsia="en-AU"/>
              </w:rPr>
            </w:pPr>
          </w:p>
        </w:tc>
      </w:tr>
      <w:tr w:rsidR="00EB1FEE" w:rsidRPr="00586D77" w14:paraId="383A8452" w14:textId="5B6BD150" w:rsidTr="003161F8">
        <w:trPr>
          <w:trHeight w:val="580"/>
        </w:trPr>
        <w:tc>
          <w:tcPr>
            <w:tcW w:w="1575" w:type="dxa"/>
            <w:gridSpan w:val="3"/>
            <w:tcBorders>
              <w:top w:val="nil"/>
              <w:left w:val="single" w:sz="4" w:space="0" w:color="auto"/>
              <w:bottom w:val="single" w:sz="4" w:space="0" w:color="auto"/>
              <w:right w:val="single" w:sz="4" w:space="0" w:color="auto"/>
            </w:tcBorders>
            <w:shd w:val="clear" w:color="auto" w:fill="auto"/>
            <w:vAlign w:val="center"/>
            <w:hideMark/>
          </w:tcPr>
          <w:p w14:paraId="617FA10B"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xml:space="preserve">4.1.2. Upgrading the EWS  </w:t>
            </w:r>
          </w:p>
        </w:tc>
        <w:tc>
          <w:tcPr>
            <w:tcW w:w="3118" w:type="dxa"/>
            <w:gridSpan w:val="2"/>
            <w:vMerge/>
            <w:tcBorders>
              <w:top w:val="single" w:sz="4" w:space="0" w:color="auto"/>
              <w:left w:val="single" w:sz="4" w:space="0" w:color="auto"/>
              <w:bottom w:val="single" w:sz="4" w:space="0" w:color="000000"/>
              <w:right w:val="single" w:sz="4" w:space="0" w:color="auto"/>
            </w:tcBorders>
            <w:vAlign w:val="center"/>
            <w:hideMark/>
          </w:tcPr>
          <w:p w14:paraId="7851FE08" w14:textId="77777777" w:rsidR="00EB1FEE" w:rsidRPr="00586D77" w:rsidRDefault="00EB1FEE" w:rsidP="00586D77">
            <w:pPr>
              <w:spacing w:before="0"/>
              <w:rPr>
                <w:rFonts w:ascii="Calibri" w:hAnsi="Calibri" w:cs="Calibri"/>
                <w:sz w:val="22"/>
                <w:szCs w:val="22"/>
                <w:lang w:eastAsia="en-AU"/>
              </w:rPr>
            </w:pPr>
          </w:p>
        </w:tc>
        <w:tc>
          <w:tcPr>
            <w:tcW w:w="1072" w:type="dxa"/>
            <w:vMerge/>
            <w:tcBorders>
              <w:top w:val="single" w:sz="4" w:space="0" w:color="auto"/>
              <w:left w:val="single" w:sz="4" w:space="0" w:color="auto"/>
              <w:bottom w:val="single" w:sz="4" w:space="0" w:color="000000"/>
              <w:right w:val="single" w:sz="4" w:space="0" w:color="auto"/>
            </w:tcBorders>
            <w:vAlign w:val="center"/>
            <w:hideMark/>
          </w:tcPr>
          <w:p w14:paraId="7C8B6D57" w14:textId="77777777" w:rsidR="00EB1FEE" w:rsidRPr="00586D77" w:rsidRDefault="00EB1FEE" w:rsidP="00586D77">
            <w:pPr>
              <w:spacing w:before="0"/>
              <w:rPr>
                <w:rFonts w:ascii="Calibri" w:hAnsi="Calibri" w:cs="Calibri"/>
                <w:sz w:val="22"/>
                <w:szCs w:val="22"/>
                <w:lang w:eastAsia="en-AU"/>
              </w:rPr>
            </w:pPr>
          </w:p>
        </w:tc>
        <w:tc>
          <w:tcPr>
            <w:tcW w:w="2755" w:type="dxa"/>
            <w:vMerge/>
            <w:tcBorders>
              <w:top w:val="single" w:sz="4" w:space="0" w:color="auto"/>
              <w:left w:val="single" w:sz="4" w:space="0" w:color="auto"/>
              <w:bottom w:val="single" w:sz="4" w:space="0" w:color="000000"/>
              <w:right w:val="single" w:sz="4" w:space="0" w:color="auto"/>
            </w:tcBorders>
            <w:vAlign w:val="center"/>
            <w:hideMark/>
          </w:tcPr>
          <w:p w14:paraId="0BEEAD4D" w14:textId="77777777" w:rsidR="00EB1FEE" w:rsidRPr="00586D77" w:rsidRDefault="00EB1FEE" w:rsidP="00586D77">
            <w:pPr>
              <w:spacing w:before="0"/>
              <w:rPr>
                <w:rFonts w:ascii="Calibri" w:hAnsi="Calibri" w:cs="Calibri"/>
                <w:sz w:val="22"/>
                <w:szCs w:val="22"/>
                <w:lang w:eastAsia="en-AU"/>
              </w:rPr>
            </w:pPr>
          </w:p>
        </w:tc>
        <w:tc>
          <w:tcPr>
            <w:tcW w:w="496" w:type="dxa"/>
            <w:tcBorders>
              <w:top w:val="single" w:sz="4" w:space="0" w:color="auto"/>
              <w:left w:val="nil"/>
              <w:bottom w:val="single" w:sz="4" w:space="0" w:color="auto"/>
              <w:right w:val="single" w:sz="4" w:space="0" w:color="auto"/>
            </w:tcBorders>
            <w:shd w:val="clear" w:color="auto" w:fill="auto"/>
            <w:hideMark/>
          </w:tcPr>
          <w:p w14:paraId="21A767EC"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000000" w:fill="FFFF00"/>
            <w:hideMark/>
          </w:tcPr>
          <w:p w14:paraId="2E4A9A8F"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000000" w:fill="FFFF00"/>
            <w:hideMark/>
          </w:tcPr>
          <w:p w14:paraId="7F1820E9"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000000" w:fill="FFFF00"/>
            <w:hideMark/>
          </w:tcPr>
          <w:p w14:paraId="5BB376FD"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0EE8BAEE"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1157E8F9"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749147E2"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47FA87C"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06F486E"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5249D7FB"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75EFA3ED" w14:textId="77777777" w:rsidR="00EB1FEE" w:rsidRPr="00586D77" w:rsidRDefault="00EB1FEE" w:rsidP="00586D77">
            <w:pPr>
              <w:spacing w:before="0"/>
              <w:jc w:val="both"/>
              <w:rPr>
                <w:rFonts w:ascii="Calibri" w:hAnsi="Calibri" w:cs="Calibri"/>
                <w:color w:val="000000"/>
                <w:sz w:val="22"/>
                <w:szCs w:val="22"/>
                <w:lang w:eastAsia="en-AU"/>
              </w:rPr>
            </w:pPr>
          </w:p>
        </w:tc>
      </w:tr>
      <w:tr w:rsidR="00EB1FEE" w:rsidRPr="00586D77" w14:paraId="019FB279" w14:textId="0570C2F2" w:rsidTr="003161F8">
        <w:trPr>
          <w:trHeight w:val="1740"/>
        </w:trPr>
        <w:tc>
          <w:tcPr>
            <w:tcW w:w="1575" w:type="dxa"/>
            <w:gridSpan w:val="3"/>
            <w:tcBorders>
              <w:top w:val="nil"/>
              <w:left w:val="single" w:sz="4" w:space="0" w:color="auto"/>
              <w:bottom w:val="single" w:sz="4" w:space="0" w:color="auto"/>
              <w:right w:val="single" w:sz="4" w:space="0" w:color="auto"/>
            </w:tcBorders>
            <w:shd w:val="clear" w:color="auto" w:fill="auto"/>
            <w:vAlign w:val="center"/>
            <w:hideMark/>
          </w:tcPr>
          <w:p w14:paraId="37F307E5" w14:textId="77777777" w:rsidR="00EB1FEE" w:rsidRPr="00586D77" w:rsidRDefault="00EB1FEE" w:rsidP="00586D77">
            <w:pPr>
              <w:spacing w:before="0"/>
              <w:rPr>
                <w:rFonts w:ascii="Calibri" w:hAnsi="Calibri" w:cs="Calibri"/>
                <w:sz w:val="22"/>
                <w:szCs w:val="22"/>
                <w:lang w:eastAsia="en-AU"/>
              </w:rPr>
            </w:pPr>
            <w:r w:rsidRPr="00586D77">
              <w:rPr>
                <w:rFonts w:ascii="Calibri" w:hAnsi="Calibri" w:cs="Calibri"/>
                <w:sz w:val="22"/>
                <w:szCs w:val="22"/>
                <w:lang w:eastAsia="en-AU"/>
              </w:rPr>
              <w:t xml:space="preserve">4.1.3. Conducting 02 training courses for the business community to utilize the EWS </w:t>
            </w:r>
          </w:p>
        </w:tc>
        <w:tc>
          <w:tcPr>
            <w:tcW w:w="3118" w:type="dxa"/>
            <w:gridSpan w:val="2"/>
            <w:vMerge/>
            <w:tcBorders>
              <w:top w:val="nil"/>
              <w:left w:val="single" w:sz="4" w:space="0" w:color="auto"/>
              <w:bottom w:val="single" w:sz="4" w:space="0" w:color="000000"/>
              <w:right w:val="single" w:sz="4" w:space="0" w:color="auto"/>
            </w:tcBorders>
            <w:vAlign w:val="center"/>
            <w:hideMark/>
          </w:tcPr>
          <w:p w14:paraId="0182A853" w14:textId="77777777" w:rsidR="00EB1FEE" w:rsidRPr="00586D77" w:rsidRDefault="00EB1FEE" w:rsidP="00586D77">
            <w:pPr>
              <w:spacing w:before="0"/>
              <w:rPr>
                <w:rFonts w:ascii="Calibri" w:hAnsi="Calibri" w:cs="Calibri"/>
                <w:sz w:val="22"/>
                <w:szCs w:val="22"/>
                <w:lang w:eastAsia="en-AU"/>
              </w:rPr>
            </w:pPr>
          </w:p>
        </w:tc>
        <w:tc>
          <w:tcPr>
            <w:tcW w:w="1072" w:type="dxa"/>
            <w:vMerge/>
            <w:tcBorders>
              <w:top w:val="nil"/>
              <w:left w:val="single" w:sz="4" w:space="0" w:color="auto"/>
              <w:bottom w:val="single" w:sz="4" w:space="0" w:color="000000"/>
              <w:right w:val="single" w:sz="4" w:space="0" w:color="auto"/>
            </w:tcBorders>
            <w:vAlign w:val="center"/>
            <w:hideMark/>
          </w:tcPr>
          <w:p w14:paraId="0C801A40" w14:textId="77777777" w:rsidR="00EB1FEE" w:rsidRPr="00586D77" w:rsidRDefault="00EB1FEE" w:rsidP="00586D77">
            <w:pPr>
              <w:spacing w:before="0"/>
              <w:rPr>
                <w:rFonts w:ascii="Calibri" w:hAnsi="Calibri" w:cs="Calibri"/>
                <w:sz w:val="22"/>
                <w:szCs w:val="22"/>
                <w:lang w:eastAsia="en-AU"/>
              </w:rPr>
            </w:pPr>
          </w:p>
        </w:tc>
        <w:tc>
          <w:tcPr>
            <w:tcW w:w="2755" w:type="dxa"/>
            <w:vMerge/>
            <w:tcBorders>
              <w:top w:val="nil"/>
              <w:left w:val="single" w:sz="4" w:space="0" w:color="auto"/>
              <w:bottom w:val="single" w:sz="4" w:space="0" w:color="000000"/>
              <w:right w:val="single" w:sz="4" w:space="0" w:color="auto"/>
            </w:tcBorders>
            <w:vAlign w:val="center"/>
            <w:hideMark/>
          </w:tcPr>
          <w:p w14:paraId="297BAF2B" w14:textId="77777777" w:rsidR="00EB1FEE" w:rsidRPr="00586D77" w:rsidRDefault="00EB1FEE" w:rsidP="00586D77">
            <w:pPr>
              <w:spacing w:before="0"/>
              <w:rPr>
                <w:rFonts w:ascii="Calibri" w:hAnsi="Calibri" w:cs="Calibri"/>
                <w:sz w:val="22"/>
                <w:szCs w:val="22"/>
                <w:lang w:eastAsia="en-AU"/>
              </w:rPr>
            </w:pPr>
          </w:p>
        </w:tc>
        <w:tc>
          <w:tcPr>
            <w:tcW w:w="496" w:type="dxa"/>
            <w:tcBorders>
              <w:top w:val="nil"/>
              <w:left w:val="nil"/>
              <w:bottom w:val="single" w:sz="4" w:space="0" w:color="auto"/>
              <w:right w:val="single" w:sz="4" w:space="0" w:color="auto"/>
            </w:tcBorders>
            <w:shd w:val="clear" w:color="auto" w:fill="auto"/>
            <w:hideMark/>
          </w:tcPr>
          <w:p w14:paraId="609B04BF"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361209ED"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6D138A35"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000000" w:fill="FFFF00"/>
            <w:hideMark/>
          </w:tcPr>
          <w:p w14:paraId="21AA0D8A"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13D62B65"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1A4B8761"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000000" w:fill="FFFF00"/>
            <w:hideMark/>
          </w:tcPr>
          <w:p w14:paraId="5E9544DD"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1F7FCE12" w14:textId="77777777" w:rsidR="00EB1FEE" w:rsidRPr="00586D77" w:rsidRDefault="00EB1FEE" w:rsidP="00586D77">
            <w:pPr>
              <w:spacing w:before="0"/>
              <w:jc w:val="both"/>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05113EB7"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51F37D87"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0523860E" w14:textId="77777777" w:rsidR="00EB1FEE" w:rsidRPr="00586D77" w:rsidRDefault="00EB1FEE" w:rsidP="00586D77">
            <w:pPr>
              <w:spacing w:before="0"/>
              <w:jc w:val="both"/>
              <w:rPr>
                <w:rFonts w:ascii="Calibri" w:hAnsi="Calibri" w:cs="Calibri"/>
                <w:color w:val="000000"/>
                <w:sz w:val="22"/>
                <w:szCs w:val="22"/>
                <w:lang w:eastAsia="en-AU"/>
              </w:rPr>
            </w:pPr>
          </w:p>
        </w:tc>
      </w:tr>
    </w:tbl>
    <w:p w14:paraId="7BC53331" w14:textId="77777777" w:rsidR="00F15C5A" w:rsidRDefault="00F15C5A">
      <w:r>
        <w:br w:type="page"/>
      </w:r>
    </w:p>
    <w:tbl>
      <w:tblPr>
        <w:tblW w:w="14686" w:type="dxa"/>
        <w:tblInd w:w="93" w:type="dxa"/>
        <w:tblLayout w:type="fixed"/>
        <w:tblLook w:val="04A0" w:firstRow="1" w:lastRow="0" w:firstColumn="1" w:lastColumn="0" w:noHBand="0" w:noVBand="1"/>
      </w:tblPr>
      <w:tblGrid>
        <w:gridCol w:w="567"/>
        <w:gridCol w:w="567"/>
        <w:gridCol w:w="441"/>
        <w:gridCol w:w="126"/>
        <w:gridCol w:w="2992"/>
        <w:gridCol w:w="1072"/>
        <w:gridCol w:w="2755"/>
        <w:gridCol w:w="496"/>
        <w:gridCol w:w="567"/>
        <w:gridCol w:w="567"/>
        <w:gridCol w:w="567"/>
        <w:gridCol w:w="567"/>
        <w:gridCol w:w="567"/>
        <w:gridCol w:w="567"/>
        <w:gridCol w:w="567"/>
        <w:gridCol w:w="567"/>
        <w:gridCol w:w="567"/>
        <w:gridCol w:w="567"/>
      </w:tblGrid>
      <w:tr w:rsidR="00EB1FEE" w:rsidRPr="00586D77" w14:paraId="7BA53AAC" w14:textId="49AFB56D" w:rsidTr="003161F8">
        <w:trPr>
          <w:trHeight w:val="416"/>
        </w:trPr>
        <w:tc>
          <w:tcPr>
            <w:tcW w:w="4693" w:type="dxa"/>
            <w:gridSpan w:val="5"/>
            <w:tcBorders>
              <w:top w:val="nil"/>
              <w:left w:val="nil"/>
              <w:bottom w:val="nil"/>
              <w:right w:val="nil"/>
            </w:tcBorders>
            <w:shd w:val="clear" w:color="auto" w:fill="auto"/>
            <w:hideMark/>
          </w:tcPr>
          <w:p w14:paraId="4CF86338" w14:textId="78F22011" w:rsidR="00EB1FEE" w:rsidRPr="00586D77" w:rsidRDefault="00EB1FEE" w:rsidP="00586D77">
            <w:pPr>
              <w:spacing w:before="0"/>
              <w:jc w:val="both"/>
              <w:rPr>
                <w:rFonts w:ascii="Calibri" w:hAnsi="Calibri" w:cs="Calibri"/>
                <w:color w:val="000000"/>
                <w:sz w:val="22"/>
                <w:szCs w:val="22"/>
                <w:lang w:eastAsia="en-AU"/>
              </w:rPr>
            </w:pPr>
            <w:r w:rsidRPr="00586D77">
              <w:rPr>
                <w:rFonts w:ascii="Calibri" w:hAnsi="Calibri" w:cs="Calibri"/>
                <w:b/>
                <w:bCs/>
                <w:color w:val="000000"/>
                <w:sz w:val="22"/>
                <w:szCs w:val="22"/>
                <w:lang w:eastAsia="en-AU"/>
              </w:rPr>
              <w:t>COMPONENT 3: IPSARD</w:t>
            </w:r>
          </w:p>
        </w:tc>
        <w:tc>
          <w:tcPr>
            <w:tcW w:w="1072" w:type="dxa"/>
            <w:tcBorders>
              <w:top w:val="nil"/>
              <w:left w:val="nil"/>
              <w:bottom w:val="nil"/>
              <w:right w:val="nil"/>
            </w:tcBorders>
            <w:shd w:val="clear" w:color="auto" w:fill="auto"/>
            <w:hideMark/>
          </w:tcPr>
          <w:p w14:paraId="70033149" w14:textId="77777777" w:rsidR="00EB1FEE" w:rsidRPr="00586D77" w:rsidRDefault="00EB1FEE" w:rsidP="00586D77">
            <w:pPr>
              <w:spacing w:before="0"/>
              <w:rPr>
                <w:rFonts w:ascii="Calibri" w:hAnsi="Calibri" w:cs="Calibri"/>
                <w:color w:val="000000"/>
                <w:sz w:val="22"/>
                <w:szCs w:val="22"/>
                <w:lang w:eastAsia="en-AU"/>
              </w:rPr>
            </w:pPr>
          </w:p>
        </w:tc>
        <w:tc>
          <w:tcPr>
            <w:tcW w:w="2755" w:type="dxa"/>
            <w:tcBorders>
              <w:top w:val="nil"/>
              <w:left w:val="nil"/>
              <w:bottom w:val="nil"/>
              <w:right w:val="nil"/>
            </w:tcBorders>
            <w:shd w:val="clear" w:color="auto" w:fill="auto"/>
            <w:hideMark/>
          </w:tcPr>
          <w:p w14:paraId="4586A479" w14:textId="77777777" w:rsidR="00EB1FEE" w:rsidRPr="00586D77" w:rsidRDefault="00EB1FEE" w:rsidP="00586D77">
            <w:pPr>
              <w:spacing w:before="0"/>
              <w:jc w:val="both"/>
              <w:rPr>
                <w:rFonts w:ascii="Calibri" w:hAnsi="Calibri" w:cs="Calibri"/>
                <w:color w:val="000000"/>
                <w:sz w:val="22"/>
                <w:szCs w:val="22"/>
                <w:lang w:eastAsia="en-AU"/>
              </w:rPr>
            </w:pPr>
          </w:p>
        </w:tc>
        <w:tc>
          <w:tcPr>
            <w:tcW w:w="496" w:type="dxa"/>
            <w:tcBorders>
              <w:top w:val="nil"/>
              <w:left w:val="nil"/>
              <w:bottom w:val="nil"/>
              <w:right w:val="nil"/>
            </w:tcBorders>
            <w:shd w:val="clear" w:color="auto" w:fill="auto"/>
            <w:hideMark/>
          </w:tcPr>
          <w:p w14:paraId="0699B7AB"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nil"/>
              <w:left w:val="nil"/>
              <w:bottom w:val="nil"/>
              <w:right w:val="nil"/>
            </w:tcBorders>
            <w:shd w:val="clear" w:color="auto" w:fill="auto"/>
            <w:hideMark/>
          </w:tcPr>
          <w:p w14:paraId="5227BEC9"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nil"/>
              <w:left w:val="nil"/>
              <w:bottom w:val="nil"/>
              <w:right w:val="nil"/>
            </w:tcBorders>
            <w:shd w:val="clear" w:color="auto" w:fill="auto"/>
            <w:hideMark/>
          </w:tcPr>
          <w:p w14:paraId="59CF108A"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nil"/>
              <w:left w:val="nil"/>
              <w:bottom w:val="nil"/>
              <w:right w:val="nil"/>
            </w:tcBorders>
            <w:shd w:val="clear" w:color="auto" w:fill="auto"/>
            <w:hideMark/>
          </w:tcPr>
          <w:p w14:paraId="77BA7112"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nil"/>
              <w:left w:val="nil"/>
              <w:bottom w:val="nil"/>
              <w:right w:val="nil"/>
            </w:tcBorders>
            <w:shd w:val="clear" w:color="auto" w:fill="auto"/>
            <w:hideMark/>
          </w:tcPr>
          <w:p w14:paraId="4690B1CE"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nil"/>
              <w:left w:val="nil"/>
              <w:bottom w:val="nil"/>
              <w:right w:val="nil"/>
            </w:tcBorders>
            <w:shd w:val="clear" w:color="auto" w:fill="auto"/>
            <w:hideMark/>
          </w:tcPr>
          <w:p w14:paraId="380205D3"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nil"/>
              <w:left w:val="nil"/>
              <w:bottom w:val="nil"/>
              <w:right w:val="nil"/>
            </w:tcBorders>
            <w:shd w:val="clear" w:color="auto" w:fill="auto"/>
            <w:hideMark/>
          </w:tcPr>
          <w:p w14:paraId="40A64F43"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nil"/>
              <w:left w:val="nil"/>
              <w:bottom w:val="nil"/>
              <w:right w:val="nil"/>
            </w:tcBorders>
            <w:shd w:val="clear" w:color="auto" w:fill="auto"/>
            <w:hideMark/>
          </w:tcPr>
          <w:p w14:paraId="473B8E7D"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nil"/>
              <w:left w:val="nil"/>
              <w:bottom w:val="nil"/>
              <w:right w:val="nil"/>
            </w:tcBorders>
            <w:shd w:val="clear" w:color="auto" w:fill="auto"/>
            <w:hideMark/>
          </w:tcPr>
          <w:p w14:paraId="52D62062"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nil"/>
              <w:left w:val="nil"/>
              <w:bottom w:val="nil"/>
              <w:right w:val="nil"/>
            </w:tcBorders>
          </w:tcPr>
          <w:p w14:paraId="74CFF408"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nil"/>
              <w:left w:val="nil"/>
              <w:bottom w:val="nil"/>
              <w:right w:val="nil"/>
            </w:tcBorders>
          </w:tcPr>
          <w:p w14:paraId="68D1C426" w14:textId="77777777" w:rsidR="00EB1FEE" w:rsidRPr="00586D77" w:rsidRDefault="00EB1FEE" w:rsidP="00586D77">
            <w:pPr>
              <w:spacing w:before="0"/>
              <w:jc w:val="both"/>
              <w:rPr>
                <w:rFonts w:ascii="Calibri" w:hAnsi="Calibri" w:cs="Calibri"/>
                <w:color w:val="000000"/>
                <w:sz w:val="22"/>
                <w:szCs w:val="22"/>
                <w:lang w:eastAsia="en-AU"/>
              </w:rPr>
            </w:pPr>
          </w:p>
        </w:tc>
      </w:tr>
      <w:tr w:rsidR="00EB1FEE" w:rsidRPr="00586D77" w14:paraId="337A6172" w14:textId="525EDFB6" w:rsidTr="003161F8">
        <w:trPr>
          <w:gridAfter w:val="14"/>
          <w:wAfter w:w="12985" w:type="dxa"/>
          <w:trHeight w:val="290"/>
        </w:trPr>
        <w:tc>
          <w:tcPr>
            <w:tcW w:w="567" w:type="dxa"/>
            <w:tcBorders>
              <w:top w:val="nil"/>
              <w:left w:val="nil"/>
              <w:bottom w:val="nil"/>
              <w:right w:val="nil"/>
            </w:tcBorders>
            <w:shd w:val="clear" w:color="auto" w:fill="auto"/>
            <w:hideMark/>
          </w:tcPr>
          <w:p w14:paraId="0DACA674"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tcBorders>
              <w:top w:val="nil"/>
              <w:left w:val="nil"/>
              <w:bottom w:val="nil"/>
              <w:right w:val="nil"/>
            </w:tcBorders>
          </w:tcPr>
          <w:p w14:paraId="1CB93744" w14:textId="77777777" w:rsidR="00EB1FEE" w:rsidRPr="00586D77" w:rsidRDefault="00EB1FEE" w:rsidP="00586D77">
            <w:pPr>
              <w:spacing w:before="0"/>
              <w:jc w:val="both"/>
              <w:rPr>
                <w:rFonts w:ascii="Calibri" w:hAnsi="Calibri" w:cs="Calibri"/>
                <w:color w:val="000000"/>
                <w:sz w:val="22"/>
                <w:szCs w:val="22"/>
                <w:lang w:eastAsia="en-AU"/>
              </w:rPr>
            </w:pPr>
          </w:p>
        </w:tc>
        <w:tc>
          <w:tcPr>
            <w:tcW w:w="567" w:type="dxa"/>
            <w:gridSpan w:val="2"/>
            <w:tcBorders>
              <w:top w:val="nil"/>
              <w:left w:val="nil"/>
              <w:bottom w:val="nil"/>
              <w:right w:val="nil"/>
            </w:tcBorders>
          </w:tcPr>
          <w:p w14:paraId="0889DFA2" w14:textId="77777777" w:rsidR="00EB1FEE" w:rsidRPr="00586D77" w:rsidRDefault="00EB1FEE" w:rsidP="00586D77">
            <w:pPr>
              <w:spacing w:before="0"/>
              <w:jc w:val="both"/>
              <w:rPr>
                <w:rFonts w:ascii="Calibri" w:hAnsi="Calibri" w:cs="Calibri"/>
                <w:color w:val="000000"/>
                <w:sz w:val="22"/>
                <w:szCs w:val="22"/>
                <w:lang w:eastAsia="en-AU"/>
              </w:rPr>
            </w:pPr>
          </w:p>
        </w:tc>
      </w:tr>
      <w:tr w:rsidR="003161F8" w:rsidRPr="00586D77" w14:paraId="3B5216D9" w14:textId="2C54F89C" w:rsidTr="003161F8">
        <w:trPr>
          <w:trHeight w:val="780"/>
        </w:trPr>
        <w:tc>
          <w:tcPr>
            <w:tcW w:w="1575" w:type="dxa"/>
            <w:gridSpan w:val="3"/>
            <w:tcBorders>
              <w:top w:val="nil"/>
              <w:left w:val="single" w:sz="4" w:space="0" w:color="auto"/>
              <w:bottom w:val="single" w:sz="4" w:space="0" w:color="auto"/>
              <w:right w:val="single" w:sz="4" w:space="0" w:color="auto"/>
            </w:tcBorders>
            <w:shd w:val="clear" w:color="000000" w:fill="92D050"/>
            <w:hideMark/>
          </w:tcPr>
          <w:p w14:paraId="78F919D1" w14:textId="77777777" w:rsidR="003161F8" w:rsidRPr="00586D77" w:rsidRDefault="003161F8" w:rsidP="00586D77">
            <w:pPr>
              <w:spacing w:before="0"/>
              <w:rPr>
                <w:rFonts w:cs="Arial"/>
                <w:b/>
                <w:bCs/>
                <w:szCs w:val="20"/>
                <w:lang w:eastAsia="en-AU"/>
              </w:rPr>
            </w:pPr>
            <w:r w:rsidRPr="00586D77">
              <w:rPr>
                <w:rFonts w:cs="Arial"/>
                <w:b/>
                <w:bCs/>
                <w:szCs w:val="20"/>
                <w:lang w:eastAsia="en-AU"/>
              </w:rPr>
              <w:t>Activity</w:t>
            </w:r>
          </w:p>
        </w:tc>
        <w:tc>
          <w:tcPr>
            <w:tcW w:w="3118" w:type="dxa"/>
            <w:gridSpan w:val="2"/>
            <w:tcBorders>
              <w:top w:val="nil"/>
              <w:left w:val="nil"/>
              <w:bottom w:val="single" w:sz="4" w:space="0" w:color="auto"/>
              <w:right w:val="single" w:sz="4" w:space="0" w:color="auto"/>
            </w:tcBorders>
            <w:shd w:val="clear" w:color="000000" w:fill="92D050"/>
            <w:hideMark/>
          </w:tcPr>
          <w:p w14:paraId="07606B1A" w14:textId="77777777" w:rsidR="003161F8" w:rsidRPr="00586D77" w:rsidRDefault="003161F8" w:rsidP="00586D77">
            <w:pPr>
              <w:spacing w:before="0"/>
              <w:rPr>
                <w:rFonts w:cs="Arial"/>
                <w:b/>
                <w:bCs/>
                <w:szCs w:val="20"/>
                <w:lang w:eastAsia="en-AU"/>
              </w:rPr>
            </w:pPr>
            <w:r w:rsidRPr="00586D77">
              <w:rPr>
                <w:rFonts w:cs="Arial"/>
                <w:b/>
                <w:bCs/>
                <w:szCs w:val="20"/>
                <w:lang w:eastAsia="en-AU"/>
              </w:rPr>
              <w:t>Activity description</w:t>
            </w:r>
          </w:p>
        </w:tc>
        <w:tc>
          <w:tcPr>
            <w:tcW w:w="1072" w:type="dxa"/>
            <w:tcBorders>
              <w:top w:val="nil"/>
              <w:left w:val="nil"/>
              <w:bottom w:val="single" w:sz="4" w:space="0" w:color="auto"/>
              <w:right w:val="single" w:sz="4" w:space="0" w:color="auto"/>
            </w:tcBorders>
            <w:shd w:val="clear" w:color="000000" w:fill="92D050"/>
            <w:hideMark/>
          </w:tcPr>
          <w:p w14:paraId="18F987CF" w14:textId="77777777" w:rsidR="003161F8" w:rsidRPr="00586D77" w:rsidRDefault="003161F8" w:rsidP="00586D77">
            <w:pPr>
              <w:spacing w:before="0"/>
              <w:rPr>
                <w:rFonts w:cs="Arial"/>
                <w:b/>
                <w:bCs/>
                <w:szCs w:val="20"/>
                <w:lang w:eastAsia="en-AU"/>
              </w:rPr>
            </w:pPr>
            <w:r w:rsidRPr="00586D77">
              <w:rPr>
                <w:rFonts w:cs="Arial"/>
                <w:b/>
                <w:bCs/>
                <w:szCs w:val="20"/>
                <w:lang w:eastAsia="en-AU"/>
              </w:rPr>
              <w:t>Inputs needed</w:t>
            </w:r>
          </w:p>
        </w:tc>
        <w:tc>
          <w:tcPr>
            <w:tcW w:w="2755" w:type="dxa"/>
            <w:tcBorders>
              <w:top w:val="nil"/>
              <w:left w:val="nil"/>
              <w:bottom w:val="single" w:sz="4" w:space="0" w:color="auto"/>
              <w:right w:val="single" w:sz="4" w:space="0" w:color="auto"/>
            </w:tcBorders>
            <w:shd w:val="clear" w:color="000000" w:fill="92D050"/>
            <w:hideMark/>
          </w:tcPr>
          <w:p w14:paraId="37DBCEFD" w14:textId="77777777" w:rsidR="003161F8" w:rsidRPr="00586D77" w:rsidRDefault="003161F8" w:rsidP="00586D77">
            <w:pPr>
              <w:spacing w:before="0"/>
              <w:rPr>
                <w:rFonts w:cs="Arial"/>
                <w:b/>
                <w:bCs/>
                <w:szCs w:val="20"/>
                <w:lang w:eastAsia="en-AU"/>
              </w:rPr>
            </w:pPr>
            <w:r w:rsidRPr="00586D77">
              <w:rPr>
                <w:rFonts w:cs="Arial"/>
                <w:b/>
                <w:bCs/>
                <w:szCs w:val="20"/>
                <w:lang w:eastAsia="en-AU"/>
              </w:rPr>
              <w:t>Outputs</w:t>
            </w:r>
          </w:p>
        </w:tc>
        <w:tc>
          <w:tcPr>
            <w:tcW w:w="496" w:type="dxa"/>
            <w:tcBorders>
              <w:top w:val="nil"/>
              <w:left w:val="nil"/>
              <w:bottom w:val="single" w:sz="4" w:space="0" w:color="auto"/>
              <w:right w:val="single" w:sz="4" w:space="0" w:color="auto"/>
            </w:tcBorders>
            <w:shd w:val="clear" w:color="000000" w:fill="92D050"/>
          </w:tcPr>
          <w:p w14:paraId="73F18498" w14:textId="4EB50551" w:rsidR="003161F8" w:rsidRPr="00586D77" w:rsidRDefault="003161F8" w:rsidP="003161F8">
            <w:pPr>
              <w:spacing w:before="0"/>
              <w:rPr>
                <w:rFonts w:cs="Arial"/>
                <w:b/>
                <w:bCs/>
                <w:szCs w:val="20"/>
                <w:lang w:eastAsia="en-AU"/>
              </w:rPr>
            </w:pPr>
            <w:r w:rsidRPr="00586D77">
              <w:rPr>
                <w:rFonts w:cs="Arial"/>
                <w:b/>
                <w:bCs/>
                <w:szCs w:val="20"/>
                <w:lang w:eastAsia="en-AU"/>
              </w:rPr>
              <w:t>Q</w:t>
            </w:r>
            <w:r>
              <w:rPr>
                <w:rFonts w:cs="Arial"/>
                <w:b/>
                <w:bCs/>
                <w:szCs w:val="20"/>
                <w:lang w:eastAsia="en-AU"/>
              </w:rPr>
              <w:t>2</w:t>
            </w:r>
            <w:r w:rsidRPr="00586D77">
              <w:rPr>
                <w:rFonts w:cs="Arial"/>
                <w:b/>
                <w:bCs/>
                <w:szCs w:val="20"/>
                <w:lang w:eastAsia="en-AU"/>
              </w:rPr>
              <w:t>/14</w:t>
            </w:r>
          </w:p>
        </w:tc>
        <w:tc>
          <w:tcPr>
            <w:tcW w:w="567" w:type="dxa"/>
            <w:tcBorders>
              <w:top w:val="nil"/>
              <w:left w:val="nil"/>
              <w:bottom w:val="single" w:sz="4" w:space="0" w:color="auto"/>
              <w:right w:val="single" w:sz="4" w:space="0" w:color="auto"/>
            </w:tcBorders>
            <w:shd w:val="clear" w:color="000000" w:fill="92D050"/>
          </w:tcPr>
          <w:p w14:paraId="1378B2A8" w14:textId="4B9DA2DD" w:rsidR="003161F8" w:rsidRPr="00586D77" w:rsidRDefault="003161F8" w:rsidP="00586D77">
            <w:pPr>
              <w:spacing w:before="0"/>
              <w:rPr>
                <w:rFonts w:cs="Arial"/>
                <w:b/>
                <w:bCs/>
                <w:szCs w:val="20"/>
                <w:lang w:eastAsia="en-AU"/>
              </w:rPr>
            </w:pPr>
            <w:r w:rsidRPr="00586D77">
              <w:rPr>
                <w:rFonts w:cs="Arial"/>
                <w:b/>
                <w:bCs/>
                <w:szCs w:val="20"/>
                <w:lang w:eastAsia="en-AU"/>
              </w:rPr>
              <w:t>Q3/14</w:t>
            </w:r>
          </w:p>
        </w:tc>
        <w:tc>
          <w:tcPr>
            <w:tcW w:w="567" w:type="dxa"/>
            <w:tcBorders>
              <w:top w:val="nil"/>
              <w:left w:val="nil"/>
              <w:bottom w:val="single" w:sz="4" w:space="0" w:color="auto"/>
              <w:right w:val="single" w:sz="4" w:space="0" w:color="auto"/>
            </w:tcBorders>
            <w:shd w:val="clear" w:color="000000" w:fill="92D050"/>
          </w:tcPr>
          <w:p w14:paraId="186A9F31" w14:textId="797DD56B" w:rsidR="003161F8" w:rsidRPr="00586D77" w:rsidRDefault="003161F8" w:rsidP="00586D77">
            <w:pPr>
              <w:spacing w:before="0"/>
              <w:rPr>
                <w:rFonts w:cs="Arial"/>
                <w:b/>
                <w:bCs/>
                <w:szCs w:val="20"/>
                <w:lang w:eastAsia="en-AU"/>
              </w:rPr>
            </w:pPr>
            <w:r w:rsidRPr="00586D77">
              <w:rPr>
                <w:rFonts w:cs="Arial"/>
                <w:b/>
                <w:bCs/>
                <w:szCs w:val="20"/>
                <w:lang w:eastAsia="en-AU"/>
              </w:rPr>
              <w:t>Q4/14</w:t>
            </w:r>
          </w:p>
        </w:tc>
        <w:tc>
          <w:tcPr>
            <w:tcW w:w="567" w:type="dxa"/>
            <w:tcBorders>
              <w:top w:val="nil"/>
              <w:left w:val="nil"/>
              <w:bottom w:val="single" w:sz="4" w:space="0" w:color="auto"/>
              <w:right w:val="single" w:sz="4" w:space="0" w:color="auto"/>
            </w:tcBorders>
            <w:shd w:val="clear" w:color="000000" w:fill="92D050"/>
          </w:tcPr>
          <w:p w14:paraId="4D69CB34" w14:textId="6B71619B" w:rsidR="003161F8" w:rsidRPr="00586D77" w:rsidRDefault="003161F8" w:rsidP="00586D77">
            <w:pPr>
              <w:spacing w:before="0"/>
              <w:rPr>
                <w:rFonts w:cs="Arial"/>
                <w:b/>
                <w:bCs/>
                <w:szCs w:val="20"/>
                <w:lang w:eastAsia="en-AU"/>
              </w:rPr>
            </w:pPr>
            <w:r w:rsidRPr="00586D77">
              <w:rPr>
                <w:rFonts w:cs="Arial"/>
                <w:b/>
                <w:bCs/>
                <w:szCs w:val="20"/>
                <w:lang w:eastAsia="en-AU"/>
              </w:rPr>
              <w:t>Q1/15</w:t>
            </w:r>
          </w:p>
        </w:tc>
        <w:tc>
          <w:tcPr>
            <w:tcW w:w="567" w:type="dxa"/>
            <w:tcBorders>
              <w:top w:val="nil"/>
              <w:left w:val="nil"/>
              <w:bottom w:val="single" w:sz="4" w:space="0" w:color="auto"/>
              <w:right w:val="single" w:sz="4" w:space="0" w:color="auto"/>
            </w:tcBorders>
            <w:shd w:val="clear" w:color="000000" w:fill="92D050"/>
          </w:tcPr>
          <w:p w14:paraId="6EA570C4" w14:textId="77BA5B56" w:rsidR="003161F8" w:rsidRPr="00586D77" w:rsidRDefault="003161F8" w:rsidP="00586D77">
            <w:pPr>
              <w:spacing w:before="0"/>
              <w:rPr>
                <w:rFonts w:cs="Arial"/>
                <w:b/>
                <w:bCs/>
                <w:szCs w:val="20"/>
                <w:lang w:eastAsia="en-AU"/>
              </w:rPr>
            </w:pPr>
            <w:r w:rsidRPr="00586D77">
              <w:rPr>
                <w:rFonts w:cs="Arial"/>
                <w:b/>
                <w:bCs/>
                <w:szCs w:val="20"/>
                <w:lang w:eastAsia="en-AU"/>
              </w:rPr>
              <w:t>Q2/15</w:t>
            </w:r>
          </w:p>
        </w:tc>
        <w:tc>
          <w:tcPr>
            <w:tcW w:w="567" w:type="dxa"/>
            <w:tcBorders>
              <w:top w:val="nil"/>
              <w:left w:val="nil"/>
              <w:bottom w:val="single" w:sz="4" w:space="0" w:color="auto"/>
              <w:right w:val="single" w:sz="4" w:space="0" w:color="auto"/>
            </w:tcBorders>
            <w:shd w:val="clear" w:color="000000" w:fill="92D050"/>
          </w:tcPr>
          <w:p w14:paraId="5BE3F81A" w14:textId="434EDEF7" w:rsidR="003161F8" w:rsidRPr="00586D77" w:rsidRDefault="003161F8" w:rsidP="00586D77">
            <w:pPr>
              <w:spacing w:before="0"/>
              <w:rPr>
                <w:rFonts w:cs="Arial"/>
                <w:b/>
                <w:bCs/>
                <w:szCs w:val="20"/>
                <w:lang w:eastAsia="en-AU"/>
              </w:rPr>
            </w:pPr>
            <w:r w:rsidRPr="00586D77">
              <w:rPr>
                <w:rFonts w:cs="Arial"/>
                <w:b/>
                <w:bCs/>
                <w:szCs w:val="20"/>
                <w:lang w:eastAsia="en-AU"/>
              </w:rPr>
              <w:t>Q3/15</w:t>
            </w:r>
          </w:p>
        </w:tc>
        <w:tc>
          <w:tcPr>
            <w:tcW w:w="567" w:type="dxa"/>
            <w:tcBorders>
              <w:top w:val="nil"/>
              <w:left w:val="nil"/>
              <w:bottom w:val="single" w:sz="4" w:space="0" w:color="auto"/>
              <w:right w:val="single" w:sz="4" w:space="0" w:color="auto"/>
            </w:tcBorders>
            <w:shd w:val="clear" w:color="000000" w:fill="92D050"/>
          </w:tcPr>
          <w:p w14:paraId="53B1E2AC" w14:textId="43CC72C9" w:rsidR="003161F8" w:rsidRPr="00586D77" w:rsidRDefault="003161F8" w:rsidP="00586D77">
            <w:pPr>
              <w:spacing w:before="0"/>
              <w:rPr>
                <w:rFonts w:cs="Arial"/>
                <w:b/>
                <w:bCs/>
                <w:szCs w:val="20"/>
                <w:lang w:eastAsia="en-AU"/>
              </w:rPr>
            </w:pPr>
            <w:r w:rsidRPr="00586D77">
              <w:rPr>
                <w:rFonts w:cs="Arial"/>
                <w:b/>
                <w:bCs/>
                <w:szCs w:val="20"/>
                <w:lang w:eastAsia="en-AU"/>
              </w:rPr>
              <w:t>Q4/15</w:t>
            </w:r>
          </w:p>
        </w:tc>
        <w:tc>
          <w:tcPr>
            <w:tcW w:w="567" w:type="dxa"/>
            <w:tcBorders>
              <w:top w:val="nil"/>
              <w:left w:val="nil"/>
              <w:bottom w:val="single" w:sz="4" w:space="0" w:color="auto"/>
              <w:right w:val="single" w:sz="4" w:space="0" w:color="auto"/>
            </w:tcBorders>
            <w:shd w:val="clear" w:color="000000" w:fill="92D050"/>
          </w:tcPr>
          <w:p w14:paraId="6A51C988" w14:textId="155C66AF" w:rsidR="003161F8" w:rsidRPr="00586D77" w:rsidRDefault="003161F8" w:rsidP="00586D77">
            <w:pPr>
              <w:spacing w:before="0"/>
              <w:rPr>
                <w:rFonts w:cs="Arial"/>
                <w:b/>
                <w:bCs/>
                <w:szCs w:val="20"/>
                <w:lang w:eastAsia="en-AU"/>
              </w:rPr>
            </w:pPr>
            <w:r w:rsidRPr="00586D77">
              <w:rPr>
                <w:rFonts w:cs="Arial"/>
                <w:b/>
                <w:bCs/>
                <w:szCs w:val="20"/>
                <w:lang w:eastAsia="en-AU"/>
              </w:rPr>
              <w:t>Q1/16</w:t>
            </w:r>
          </w:p>
        </w:tc>
        <w:tc>
          <w:tcPr>
            <w:tcW w:w="567" w:type="dxa"/>
            <w:tcBorders>
              <w:top w:val="single" w:sz="4" w:space="0" w:color="auto"/>
              <w:left w:val="nil"/>
              <w:bottom w:val="single" w:sz="4" w:space="0" w:color="auto"/>
              <w:right w:val="single" w:sz="4" w:space="0" w:color="auto"/>
            </w:tcBorders>
            <w:shd w:val="clear" w:color="auto" w:fill="9BBB59" w:themeFill="accent3"/>
            <w:hideMark/>
          </w:tcPr>
          <w:p w14:paraId="5EAD5992" w14:textId="14DBFD00" w:rsidR="003161F8" w:rsidRPr="003161F8" w:rsidRDefault="003161F8" w:rsidP="003161F8">
            <w:pPr>
              <w:spacing w:before="0"/>
              <w:rPr>
                <w:rFonts w:cs="Arial"/>
                <w:b/>
                <w:bCs/>
                <w:szCs w:val="20"/>
                <w:lang w:eastAsia="en-AU"/>
              </w:rPr>
            </w:pPr>
            <w:r w:rsidRPr="00586D77">
              <w:rPr>
                <w:rFonts w:cs="Arial"/>
                <w:b/>
                <w:bCs/>
                <w:szCs w:val="20"/>
                <w:lang w:eastAsia="en-AU"/>
              </w:rPr>
              <w:t>Q2/16</w:t>
            </w:r>
          </w:p>
        </w:tc>
        <w:tc>
          <w:tcPr>
            <w:tcW w:w="567" w:type="dxa"/>
            <w:tcBorders>
              <w:top w:val="single" w:sz="4" w:space="0" w:color="auto"/>
              <w:left w:val="single" w:sz="4" w:space="0" w:color="auto"/>
              <w:bottom w:val="single" w:sz="4" w:space="0" w:color="auto"/>
              <w:right w:val="single" w:sz="4" w:space="0" w:color="auto"/>
            </w:tcBorders>
            <w:shd w:val="clear" w:color="auto" w:fill="9BBB59" w:themeFill="accent3"/>
          </w:tcPr>
          <w:p w14:paraId="52D23956" w14:textId="173EA786" w:rsidR="003161F8" w:rsidRPr="003161F8" w:rsidRDefault="003161F8" w:rsidP="003161F8">
            <w:pPr>
              <w:spacing w:before="0"/>
              <w:rPr>
                <w:rFonts w:cs="Arial"/>
                <w:b/>
                <w:bCs/>
                <w:szCs w:val="20"/>
                <w:lang w:eastAsia="en-AU"/>
              </w:rPr>
            </w:pPr>
            <w:r w:rsidRPr="00586D77">
              <w:rPr>
                <w:rFonts w:cs="Arial"/>
                <w:b/>
                <w:bCs/>
                <w:szCs w:val="20"/>
                <w:lang w:eastAsia="en-AU"/>
              </w:rPr>
              <w:t>Q</w:t>
            </w:r>
            <w:r>
              <w:rPr>
                <w:rFonts w:cs="Arial"/>
                <w:b/>
                <w:bCs/>
                <w:szCs w:val="20"/>
                <w:lang w:eastAsia="en-AU"/>
              </w:rPr>
              <w:t>3</w:t>
            </w:r>
            <w:r w:rsidRPr="00586D77">
              <w:rPr>
                <w:rFonts w:cs="Arial"/>
                <w:b/>
                <w:bCs/>
                <w:szCs w:val="20"/>
                <w:lang w:eastAsia="en-AU"/>
              </w:rPr>
              <w:t>/16</w:t>
            </w:r>
          </w:p>
        </w:tc>
        <w:tc>
          <w:tcPr>
            <w:tcW w:w="567" w:type="dxa"/>
            <w:tcBorders>
              <w:top w:val="single" w:sz="4" w:space="0" w:color="auto"/>
              <w:left w:val="single" w:sz="4" w:space="0" w:color="auto"/>
              <w:bottom w:val="single" w:sz="4" w:space="0" w:color="auto"/>
              <w:right w:val="single" w:sz="4" w:space="0" w:color="auto"/>
            </w:tcBorders>
            <w:shd w:val="clear" w:color="auto" w:fill="9BBB59" w:themeFill="accent3"/>
          </w:tcPr>
          <w:p w14:paraId="65EE68B7" w14:textId="70C55911" w:rsidR="003161F8" w:rsidRPr="003161F8" w:rsidRDefault="003161F8" w:rsidP="003161F8">
            <w:pPr>
              <w:spacing w:before="0"/>
              <w:rPr>
                <w:rFonts w:cs="Arial"/>
                <w:b/>
                <w:bCs/>
                <w:szCs w:val="20"/>
                <w:lang w:eastAsia="en-AU"/>
              </w:rPr>
            </w:pPr>
            <w:r w:rsidRPr="00586D77">
              <w:rPr>
                <w:rFonts w:cs="Arial"/>
                <w:b/>
                <w:bCs/>
                <w:szCs w:val="20"/>
                <w:lang w:eastAsia="en-AU"/>
              </w:rPr>
              <w:t>Q</w:t>
            </w:r>
            <w:r>
              <w:rPr>
                <w:rFonts w:cs="Arial"/>
                <w:b/>
                <w:bCs/>
                <w:szCs w:val="20"/>
                <w:lang w:eastAsia="en-AU"/>
              </w:rPr>
              <w:t>4</w:t>
            </w:r>
            <w:r w:rsidRPr="00586D77">
              <w:rPr>
                <w:rFonts w:cs="Arial"/>
                <w:b/>
                <w:bCs/>
                <w:szCs w:val="20"/>
                <w:lang w:eastAsia="en-AU"/>
              </w:rPr>
              <w:t>16</w:t>
            </w:r>
          </w:p>
        </w:tc>
      </w:tr>
      <w:tr w:rsidR="003161F8" w:rsidRPr="00586D77" w14:paraId="64450D6E" w14:textId="06341178" w:rsidTr="003161F8">
        <w:trPr>
          <w:trHeight w:val="351"/>
        </w:trPr>
        <w:tc>
          <w:tcPr>
            <w:tcW w:w="14686" w:type="dxa"/>
            <w:gridSpan w:val="18"/>
            <w:tcBorders>
              <w:top w:val="nil"/>
              <w:left w:val="single" w:sz="4" w:space="0" w:color="auto"/>
              <w:bottom w:val="single" w:sz="4" w:space="0" w:color="auto"/>
              <w:right w:val="single" w:sz="4" w:space="0" w:color="auto"/>
            </w:tcBorders>
            <w:shd w:val="clear" w:color="000000" w:fill="BFBFBF"/>
            <w:noWrap/>
            <w:hideMark/>
          </w:tcPr>
          <w:p w14:paraId="197F4951" w14:textId="1BB83190" w:rsidR="003161F8" w:rsidRPr="00586D77" w:rsidRDefault="003161F8" w:rsidP="00586D77">
            <w:pPr>
              <w:spacing w:before="0"/>
              <w:rPr>
                <w:rFonts w:cs="Arial"/>
                <w:b/>
                <w:bCs/>
                <w:szCs w:val="20"/>
                <w:lang w:eastAsia="en-AU"/>
              </w:rPr>
            </w:pPr>
            <w:r w:rsidRPr="00586D77">
              <w:rPr>
                <w:rFonts w:cs="Arial"/>
                <w:b/>
                <w:bCs/>
                <w:szCs w:val="20"/>
                <w:lang w:eastAsia="en-AU"/>
              </w:rPr>
              <w:t xml:space="preserve">Output 1:  Proposed changes to institutional structure for rice production value chain in Dong Thap </w:t>
            </w:r>
          </w:p>
          <w:p w14:paraId="0401B4AB" w14:textId="72754FB2" w:rsidR="003161F8" w:rsidRPr="00586D77" w:rsidRDefault="003161F8" w:rsidP="00586D77">
            <w:pPr>
              <w:spacing w:before="0"/>
              <w:jc w:val="both"/>
              <w:rPr>
                <w:rFonts w:ascii="Calibri" w:hAnsi="Calibri" w:cs="Calibri"/>
                <w:color w:val="000000"/>
                <w:sz w:val="22"/>
                <w:szCs w:val="22"/>
                <w:lang w:eastAsia="en-AU"/>
              </w:rPr>
            </w:pPr>
            <w:r w:rsidRPr="00586D77">
              <w:rPr>
                <w:rFonts w:cs="Arial"/>
                <w:b/>
                <w:bCs/>
                <w:szCs w:val="20"/>
                <w:lang w:eastAsia="en-AU"/>
              </w:rPr>
              <w:t> </w:t>
            </w:r>
          </w:p>
        </w:tc>
      </w:tr>
      <w:tr w:rsidR="003161F8" w:rsidRPr="00586D77" w14:paraId="129C26E8" w14:textId="507CBBB8" w:rsidTr="003161F8">
        <w:trPr>
          <w:trHeight w:val="1160"/>
        </w:trPr>
        <w:tc>
          <w:tcPr>
            <w:tcW w:w="1575" w:type="dxa"/>
            <w:gridSpan w:val="3"/>
            <w:tcBorders>
              <w:top w:val="nil"/>
              <w:left w:val="single" w:sz="4" w:space="0" w:color="auto"/>
              <w:bottom w:val="single" w:sz="4" w:space="0" w:color="auto"/>
              <w:right w:val="single" w:sz="4" w:space="0" w:color="auto"/>
            </w:tcBorders>
            <w:shd w:val="clear" w:color="auto" w:fill="auto"/>
            <w:hideMark/>
          </w:tcPr>
          <w:p w14:paraId="48213277"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1.1</w:t>
            </w:r>
          </w:p>
        </w:tc>
        <w:tc>
          <w:tcPr>
            <w:tcW w:w="3118" w:type="dxa"/>
            <w:gridSpan w:val="2"/>
            <w:tcBorders>
              <w:top w:val="nil"/>
              <w:left w:val="nil"/>
              <w:bottom w:val="single" w:sz="4" w:space="0" w:color="auto"/>
              <w:right w:val="single" w:sz="4" w:space="0" w:color="auto"/>
            </w:tcBorders>
            <w:shd w:val="clear" w:color="auto" w:fill="auto"/>
            <w:hideMark/>
          </w:tcPr>
          <w:p w14:paraId="3C99E296"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Vietnam rice sectoral overview and Experiences in developing rice value chain</w:t>
            </w:r>
          </w:p>
        </w:tc>
        <w:tc>
          <w:tcPr>
            <w:tcW w:w="1072" w:type="dxa"/>
            <w:tcBorders>
              <w:top w:val="nil"/>
              <w:left w:val="nil"/>
              <w:bottom w:val="single" w:sz="4" w:space="0" w:color="auto"/>
              <w:right w:val="single" w:sz="4" w:space="0" w:color="auto"/>
            </w:tcBorders>
            <w:shd w:val="clear" w:color="auto" w:fill="auto"/>
            <w:hideMark/>
          </w:tcPr>
          <w:p w14:paraId="769668C9"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Secondary data and information</w:t>
            </w:r>
          </w:p>
        </w:tc>
        <w:tc>
          <w:tcPr>
            <w:tcW w:w="2755" w:type="dxa"/>
            <w:tcBorders>
              <w:top w:val="nil"/>
              <w:left w:val="nil"/>
              <w:bottom w:val="single" w:sz="4" w:space="0" w:color="auto"/>
              <w:right w:val="single" w:sz="4" w:space="0" w:color="auto"/>
            </w:tcBorders>
            <w:shd w:val="clear" w:color="auto" w:fill="auto"/>
            <w:hideMark/>
          </w:tcPr>
          <w:p w14:paraId="033ECE20"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Report on rice sectoral overview and experiences in developing rice value chain</w:t>
            </w:r>
          </w:p>
        </w:tc>
        <w:tc>
          <w:tcPr>
            <w:tcW w:w="496" w:type="dxa"/>
            <w:tcBorders>
              <w:top w:val="nil"/>
              <w:left w:val="nil"/>
              <w:bottom w:val="single" w:sz="4" w:space="0" w:color="auto"/>
              <w:right w:val="single" w:sz="4" w:space="0" w:color="auto"/>
            </w:tcBorders>
            <w:shd w:val="clear" w:color="auto" w:fill="FFFF00"/>
            <w:hideMark/>
          </w:tcPr>
          <w:p w14:paraId="7A2A6AC9"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FFFF00"/>
            <w:hideMark/>
          </w:tcPr>
          <w:p w14:paraId="484FA6EB"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32C34FA0"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09D28731"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6C992303"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49E11D7B"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5C34C708"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6FC46574"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5C751464" w14:textId="77777777" w:rsidR="003161F8" w:rsidRPr="00586D77" w:rsidRDefault="003161F8"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5C3A5324" w14:textId="77777777" w:rsidR="003161F8" w:rsidRPr="00586D77" w:rsidRDefault="003161F8"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449468FD" w14:textId="77777777" w:rsidR="003161F8" w:rsidRPr="00586D77" w:rsidRDefault="003161F8" w:rsidP="00586D77">
            <w:pPr>
              <w:spacing w:before="0"/>
              <w:jc w:val="both"/>
              <w:rPr>
                <w:rFonts w:ascii="Calibri" w:hAnsi="Calibri" w:cs="Calibri"/>
                <w:color w:val="000000"/>
                <w:sz w:val="22"/>
                <w:szCs w:val="22"/>
                <w:lang w:eastAsia="en-AU"/>
              </w:rPr>
            </w:pPr>
          </w:p>
        </w:tc>
      </w:tr>
      <w:tr w:rsidR="003161F8" w:rsidRPr="00586D77" w14:paraId="54DB70D4" w14:textId="0C8C94BE" w:rsidTr="003161F8">
        <w:trPr>
          <w:trHeight w:val="290"/>
        </w:trPr>
        <w:tc>
          <w:tcPr>
            <w:tcW w:w="1575" w:type="dxa"/>
            <w:gridSpan w:val="3"/>
            <w:tcBorders>
              <w:top w:val="nil"/>
              <w:left w:val="single" w:sz="4" w:space="0" w:color="auto"/>
              <w:bottom w:val="single" w:sz="4" w:space="0" w:color="auto"/>
              <w:right w:val="single" w:sz="4" w:space="0" w:color="auto"/>
            </w:tcBorders>
            <w:shd w:val="clear" w:color="auto" w:fill="auto"/>
            <w:hideMark/>
          </w:tcPr>
          <w:p w14:paraId="0B8D5F50"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1.1.1</w:t>
            </w:r>
          </w:p>
        </w:tc>
        <w:tc>
          <w:tcPr>
            <w:tcW w:w="3118" w:type="dxa"/>
            <w:gridSpan w:val="2"/>
            <w:tcBorders>
              <w:top w:val="nil"/>
              <w:left w:val="nil"/>
              <w:bottom w:val="single" w:sz="4" w:space="0" w:color="auto"/>
              <w:right w:val="single" w:sz="4" w:space="0" w:color="auto"/>
            </w:tcBorders>
            <w:shd w:val="clear" w:color="auto" w:fill="auto"/>
            <w:hideMark/>
          </w:tcPr>
          <w:p w14:paraId="498E290C"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Collecting rice data</w:t>
            </w:r>
          </w:p>
        </w:tc>
        <w:tc>
          <w:tcPr>
            <w:tcW w:w="1072" w:type="dxa"/>
            <w:tcBorders>
              <w:top w:val="nil"/>
              <w:left w:val="nil"/>
              <w:bottom w:val="single" w:sz="4" w:space="0" w:color="auto"/>
              <w:right w:val="single" w:sz="4" w:space="0" w:color="auto"/>
            </w:tcBorders>
            <w:shd w:val="clear" w:color="auto" w:fill="auto"/>
            <w:hideMark/>
          </w:tcPr>
          <w:p w14:paraId="6DC998E8"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2755" w:type="dxa"/>
            <w:tcBorders>
              <w:top w:val="nil"/>
              <w:left w:val="nil"/>
              <w:bottom w:val="single" w:sz="4" w:space="0" w:color="auto"/>
              <w:right w:val="single" w:sz="4" w:space="0" w:color="auto"/>
            </w:tcBorders>
            <w:shd w:val="clear" w:color="auto" w:fill="auto"/>
            <w:hideMark/>
          </w:tcPr>
          <w:p w14:paraId="69FBFD88"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Rice database</w:t>
            </w:r>
          </w:p>
        </w:tc>
        <w:tc>
          <w:tcPr>
            <w:tcW w:w="496" w:type="dxa"/>
            <w:tcBorders>
              <w:top w:val="nil"/>
              <w:left w:val="nil"/>
              <w:bottom w:val="single" w:sz="4" w:space="0" w:color="auto"/>
              <w:right w:val="single" w:sz="4" w:space="0" w:color="auto"/>
            </w:tcBorders>
            <w:shd w:val="clear" w:color="auto" w:fill="FFFF00"/>
            <w:hideMark/>
          </w:tcPr>
          <w:p w14:paraId="4C00D6C1"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FFFF00"/>
            <w:hideMark/>
          </w:tcPr>
          <w:p w14:paraId="573B824E"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2102BC29"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00F931DD"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72FA8AE7"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10AFB2CA"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3F6A9991"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779233A1"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3ED38D2B" w14:textId="77777777" w:rsidR="003161F8" w:rsidRPr="00586D77" w:rsidRDefault="003161F8"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083306E8" w14:textId="77777777" w:rsidR="003161F8" w:rsidRPr="00586D77" w:rsidRDefault="003161F8"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289CA981" w14:textId="77777777" w:rsidR="003161F8" w:rsidRPr="00586D77" w:rsidRDefault="003161F8" w:rsidP="00586D77">
            <w:pPr>
              <w:spacing w:before="0"/>
              <w:jc w:val="both"/>
              <w:rPr>
                <w:rFonts w:ascii="Calibri" w:hAnsi="Calibri" w:cs="Calibri"/>
                <w:color w:val="000000"/>
                <w:sz w:val="22"/>
                <w:szCs w:val="22"/>
                <w:lang w:eastAsia="en-AU"/>
              </w:rPr>
            </w:pPr>
          </w:p>
        </w:tc>
      </w:tr>
      <w:tr w:rsidR="003161F8" w:rsidRPr="00586D77" w14:paraId="64C0703C" w14:textId="1D1F8EAF" w:rsidTr="003161F8">
        <w:trPr>
          <w:trHeight w:val="290"/>
        </w:trPr>
        <w:tc>
          <w:tcPr>
            <w:tcW w:w="1575" w:type="dxa"/>
            <w:gridSpan w:val="3"/>
            <w:tcBorders>
              <w:top w:val="nil"/>
              <w:left w:val="single" w:sz="4" w:space="0" w:color="auto"/>
              <w:bottom w:val="single" w:sz="4" w:space="0" w:color="auto"/>
              <w:right w:val="single" w:sz="4" w:space="0" w:color="auto"/>
            </w:tcBorders>
            <w:shd w:val="clear" w:color="auto" w:fill="auto"/>
            <w:hideMark/>
          </w:tcPr>
          <w:p w14:paraId="0184566D"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1.1.2</w:t>
            </w:r>
          </w:p>
        </w:tc>
        <w:tc>
          <w:tcPr>
            <w:tcW w:w="3118" w:type="dxa"/>
            <w:gridSpan w:val="2"/>
            <w:tcBorders>
              <w:top w:val="nil"/>
              <w:left w:val="nil"/>
              <w:bottom w:val="single" w:sz="4" w:space="0" w:color="auto"/>
              <w:right w:val="single" w:sz="4" w:space="0" w:color="auto"/>
            </w:tcBorders>
            <w:shd w:val="clear" w:color="auto" w:fill="auto"/>
            <w:hideMark/>
          </w:tcPr>
          <w:p w14:paraId="4CF44C2B"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Reviewing rice policies</w:t>
            </w:r>
          </w:p>
        </w:tc>
        <w:tc>
          <w:tcPr>
            <w:tcW w:w="1072" w:type="dxa"/>
            <w:tcBorders>
              <w:top w:val="nil"/>
              <w:left w:val="nil"/>
              <w:bottom w:val="single" w:sz="4" w:space="0" w:color="auto"/>
              <w:right w:val="single" w:sz="4" w:space="0" w:color="auto"/>
            </w:tcBorders>
            <w:shd w:val="clear" w:color="auto" w:fill="auto"/>
            <w:hideMark/>
          </w:tcPr>
          <w:p w14:paraId="531AECC8"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2755" w:type="dxa"/>
            <w:tcBorders>
              <w:top w:val="nil"/>
              <w:left w:val="nil"/>
              <w:bottom w:val="single" w:sz="4" w:space="0" w:color="auto"/>
              <w:right w:val="single" w:sz="4" w:space="0" w:color="auto"/>
            </w:tcBorders>
            <w:shd w:val="clear" w:color="auto" w:fill="auto"/>
            <w:hideMark/>
          </w:tcPr>
          <w:p w14:paraId="4AFA8DD2"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Rice policy review</w:t>
            </w:r>
          </w:p>
        </w:tc>
        <w:tc>
          <w:tcPr>
            <w:tcW w:w="496" w:type="dxa"/>
            <w:tcBorders>
              <w:top w:val="nil"/>
              <w:left w:val="nil"/>
              <w:bottom w:val="single" w:sz="4" w:space="0" w:color="auto"/>
              <w:right w:val="single" w:sz="4" w:space="0" w:color="auto"/>
            </w:tcBorders>
            <w:shd w:val="clear" w:color="auto" w:fill="auto"/>
            <w:hideMark/>
          </w:tcPr>
          <w:p w14:paraId="55636A41"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61F02B0F"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FFFF00"/>
            <w:hideMark/>
          </w:tcPr>
          <w:p w14:paraId="55B0CA6B"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FFFF00"/>
            <w:hideMark/>
          </w:tcPr>
          <w:p w14:paraId="7A526141"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4569FA84"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0DBC7631"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120F0048"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648A92C3"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332D1D0E" w14:textId="77777777" w:rsidR="003161F8" w:rsidRPr="00586D77" w:rsidRDefault="003161F8"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5EB19ABA" w14:textId="77777777" w:rsidR="003161F8" w:rsidRPr="00586D77" w:rsidRDefault="003161F8"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5E89B287" w14:textId="77777777" w:rsidR="003161F8" w:rsidRPr="00586D77" w:rsidRDefault="003161F8" w:rsidP="00586D77">
            <w:pPr>
              <w:spacing w:before="0"/>
              <w:jc w:val="both"/>
              <w:rPr>
                <w:rFonts w:ascii="Calibri" w:hAnsi="Calibri" w:cs="Calibri"/>
                <w:color w:val="000000"/>
                <w:sz w:val="22"/>
                <w:szCs w:val="22"/>
                <w:lang w:eastAsia="en-AU"/>
              </w:rPr>
            </w:pPr>
          </w:p>
        </w:tc>
      </w:tr>
      <w:tr w:rsidR="003161F8" w:rsidRPr="00586D77" w14:paraId="6C460B69" w14:textId="6392C087" w:rsidTr="003161F8">
        <w:trPr>
          <w:trHeight w:val="870"/>
        </w:trPr>
        <w:tc>
          <w:tcPr>
            <w:tcW w:w="1575" w:type="dxa"/>
            <w:gridSpan w:val="3"/>
            <w:tcBorders>
              <w:top w:val="nil"/>
              <w:left w:val="single" w:sz="4" w:space="0" w:color="auto"/>
              <w:bottom w:val="single" w:sz="4" w:space="0" w:color="auto"/>
              <w:right w:val="single" w:sz="4" w:space="0" w:color="auto"/>
            </w:tcBorders>
            <w:shd w:val="clear" w:color="auto" w:fill="auto"/>
            <w:hideMark/>
          </w:tcPr>
          <w:p w14:paraId="459E98F2"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1.1.3</w:t>
            </w:r>
          </w:p>
        </w:tc>
        <w:tc>
          <w:tcPr>
            <w:tcW w:w="3118" w:type="dxa"/>
            <w:gridSpan w:val="2"/>
            <w:tcBorders>
              <w:top w:val="nil"/>
              <w:left w:val="nil"/>
              <w:bottom w:val="single" w:sz="4" w:space="0" w:color="auto"/>
              <w:right w:val="single" w:sz="4" w:space="0" w:color="auto"/>
            </w:tcBorders>
            <w:shd w:val="clear" w:color="auto" w:fill="auto"/>
            <w:hideMark/>
          </w:tcPr>
          <w:p w14:paraId="705E4C03"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Reviewing experiences in developing agro-commodities and particularly rice value chain</w:t>
            </w:r>
          </w:p>
        </w:tc>
        <w:tc>
          <w:tcPr>
            <w:tcW w:w="1072" w:type="dxa"/>
            <w:tcBorders>
              <w:top w:val="nil"/>
              <w:left w:val="nil"/>
              <w:bottom w:val="single" w:sz="4" w:space="0" w:color="auto"/>
              <w:right w:val="single" w:sz="4" w:space="0" w:color="auto"/>
            </w:tcBorders>
            <w:shd w:val="clear" w:color="auto" w:fill="auto"/>
            <w:hideMark/>
          </w:tcPr>
          <w:p w14:paraId="6C96EF98"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2755" w:type="dxa"/>
            <w:tcBorders>
              <w:top w:val="nil"/>
              <w:left w:val="nil"/>
              <w:bottom w:val="single" w:sz="4" w:space="0" w:color="auto"/>
              <w:right w:val="single" w:sz="4" w:space="0" w:color="auto"/>
            </w:tcBorders>
            <w:shd w:val="clear" w:color="auto" w:fill="auto"/>
            <w:hideMark/>
          </w:tcPr>
          <w:p w14:paraId="7572989F"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Literature review on value chain development</w:t>
            </w:r>
          </w:p>
        </w:tc>
        <w:tc>
          <w:tcPr>
            <w:tcW w:w="496" w:type="dxa"/>
            <w:tcBorders>
              <w:top w:val="nil"/>
              <w:left w:val="nil"/>
              <w:bottom w:val="single" w:sz="4" w:space="0" w:color="auto"/>
              <w:right w:val="single" w:sz="4" w:space="0" w:color="auto"/>
            </w:tcBorders>
            <w:shd w:val="clear" w:color="auto" w:fill="auto"/>
            <w:hideMark/>
          </w:tcPr>
          <w:p w14:paraId="2034649B"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15045E1C"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FFFF00"/>
            <w:hideMark/>
          </w:tcPr>
          <w:p w14:paraId="639B1CCE"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FFFF00"/>
            <w:hideMark/>
          </w:tcPr>
          <w:p w14:paraId="50ACF35C"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1600F92D"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3E63E447"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193942B9"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44C17F42"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4E3BEED4" w14:textId="77777777" w:rsidR="003161F8" w:rsidRPr="00586D77" w:rsidRDefault="003161F8"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0FF0F2EE" w14:textId="77777777" w:rsidR="003161F8" w:rsidRPr="00586D77" w:rsidRDefault="003161F8"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29A45FEA" w14:textId="77777777" w:rsidR="003161F8" w:rsidRPr="00586D77" w:rsidRDefault="003161F8" w:rsidP="00586D77">
            <w:pPr>
              <w:spacing w:before="0"/>
              <w:jc w:val="both"/>
              <w:rPr>
                <w:rFonts w:ascii="Calibri" w:hAnsi="Calibri" w:cs="Calibri"/>
                <w:color w:val="000000"/>
                <w:sz w:val="22"/>
                <w:szCs w:val="22"/>
                <w:lang w:eastAsia="en-AU"/>
              </w:rPr>
            </w:pPr>
          </w:p>
        </w:tc>
      </w:tr>
      <w:tr w:rsidR="003161F8" w:rsidRPr="00586D77" w14:paraId="2AED70F1" w14:textId="22006A7A" w:rsidTr="003161F8">
        <w:trPr>
          <w:trHeight w:val="1160"/>
        </w:trPr>
        <w:tc>
          <w:tcPr>
            <w:tcW w:w="1575" w:type="dxa"/>
            <w:gridSpan w:val="3"/>
            <w:tcBorders>
              <w:top w:val="nil"/>
              <w:left w:val="single" w:sz="4" w:space="0" w:color="auto"/>
              <w:bottom w:val="single" w:sz="4" w:space="0" w:color="auto"/>
              <w:right w:val="single" w:sz="4" w:space="0" w:color="auto"/>
            </w:tcBorders>
            <w:shd w:val="clear" w:color="auto" w:fill="auto"/>
            <w:hideMark/>
          </w:tcPr>
          <w:p w14:paraId="5630B786"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1.1.4</w:t>
            </w:r>
          </w:p>
        </w:tc>
        <w:tc>
          <w:tcPr>
            <w:tcW w:w="3118" w:type="dxa"/>
            <w:gridSpan w:val="2"/>
            <w:tcBorders>
              <w:top w:val="nil"/>
              <w:left w:val="nil"/>
              <w:bottom w:val="single" w:sz="4" w:space="0" w:color="auto"/>
              <w:right w:val="single" w:sz="4" w:space="0" w:color="auto"/>
            </w:tcBorders>
            <w:shd w:val="clear" w:color="auto" w:fill="auto"/>
            <w:hideMark/>
          </w:tcPr>
          <w:p w14:paraId="25FD7D9A"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Writing report on rice sectoral overview and experiences in developing rice value chain</w:t>
            </w:r>
          </w:p>
        </w:tc>
        <w:tc>
          <w:tcPr>
            <w:tcW w:w="1072" w:type="dxa"/>
            <w:tcBorders>
              <w:top w:val="nil"/>
              <w:left w:val="nil"/>
              <w:bottom w:val="single" w:sz="4" w:space="0" w:color="auto"/>
              <w:right w:val="single" w:sz="4" w:space="0" w:color="auto"/>
            </w:tcBorders>
            <w:shd w:val="clear" w:color="auto" w:fill="auto"/>
            <w:hideMark/>
          </w:tcPr>
          <w:p w14:paraId="08C84255"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2755" w:type="dxa"/>
            <w:tcBorders>
              <w:top w:val="nil"/>
              <w:left w:val="nil"/>
              <w:bottom w:val="single" w:sz="4" w:space="0" w:color="auto"/>
              <w:right w:val="single" w:sz="4" w:space="0" w:color="auto"/>
            </w:tcBorders>
            <w:shd w:val="clear" w:color="auto" w:fill="auto"/>
            <w:hideMark/>
          </w:tcPr>
          <w:p w14:paraId="05A57200"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Report on rice sectoral overview and experiences in developing rice value chain</w:t>
            </w:r>
          </w:p>
        </w:tc>
        <w:tc>
          <w:tcPr>
            <w:tcW w:w="496" w:type="dxa"/>
            <w:tcBorders>
              <w:top w:val="nil"/>
              <w:left w:val="nil"/>
              <w:bottom w:val="single" w:sz="4" w:space="0" w:color="auto"/>
              <w:right w:val="single" w:sz="4" w:space="0" w:color="auto"/>
            </w:tcBorders>
            <w:shd w:val="clear" w:color="auto" w:fill="auto"/>
            <w:hideMark/>
          </w:tcPr>
          <w:p w14:paraId="6AE85C0F"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6F208FC7"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FFFF00"/>
            <w:hideMark/>
          </w:tcPr>
          <w:p w14:paraId="4F38A786"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FFFF00"/>
            <w:hideMark/>
          </w:tcPr>
          <w:p w14:paraId="4B7F9E9D"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79F4CC31"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3F4A67DD"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247F7110"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48213C3E"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3E10F0AA" w14:textId="77777777" w:rsidR="003161F8" w:rsidRPr="00586D77" w:rsidRDefault="003161F8"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05019554" w14:textId="77777777" w:rsidR="003161F8" w:rsidRPr="00586D77" w:rsidRDefault="003161F8"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28CA642D" w14:textId="77777777" w:rsidR="003161F8" w:rsidRPr="00586D77" w:rsidRDefault="003161F8" w:rsidP="00586D77">
            <w:pPr>
              <w:spacing w:before="0"/>
              <w:jc w:val="both"/>
              <w:rPr>
                <w:rFonts w:ascii="Calibri" w:hAnsi="Calibri" w:cs="Calibri"/>
                <w:color w:val="000000"/>
                <w:sz w:val="22"/>
                <w:szCs w:val="22"/>
                <w:lang w:eastAsia="en-AU"/>
              </w:rPr>
            </w:pPr>
          </w:p>
        </w:tc>
      </w:tr>
      <w:tr w:rsidR="003161F8" w:rsidRPr="00586D77" w14:paraId="1674A8B1" w14:textId="7771CFB6" w:rsidTr="003161F8">
        <w:trPr>
          <w:trHeight w:val="3480"/>
        </w:trPr>
        <w:tc>
          <w:tcPr>
            <w:tcW w:w="1575" w:type="dxa"/>
            <w:gridSpan w:val="3"/>
            <w:tcBorders>
              <w:top w:val="nil"/>
              <w:left w:val="single" w:sz="4" w:space="0" w:color="auto"/>
              <w:bottom w:val="single" w:sz="4" w:space="0" w:color="auto"/>
              <w:right w:val="single" w:sz="4" w:space="0" w:color="auto"/>
            </w:tcBorders>
            <w:shd w:val="clear" w:color="auto" w:fill="auto"/>
            <w:hideMark/>
          </w:tcPr>
          <w:p w14:paraId="72129674" w14:textId="77777777" w:rsidR="003161F8" w:rsidRPr="00586D77" w:rsidRDefault="003161F8" w:rsidP="00586D77">
            <w:pPr>
              <w:spacing w:before="0"/>
              <w:jc w:val="right"/>
              <w:rPr>
                <w:rFonts w:ascii="Calibri" w:hAnsi="Calibri" w:cs="Calibri"/>
                <w:sz w:val="22"/>
                <w:szCs w:val="22"/>
                <w:lang w:eastAsia="en-AU"/>
              </w:rPr>
            </w:pPr>
            <w:r w:rsidRPr="00586D77">
              <w:rPr>
                <w:rFonts w:ascii="Calibri" w:hAnsi="Calibri" w:cs="Calibri"/>
                <w:sz w:val="22"/>
                <w:szCs w:val="22"/>
                <w:lang w:eastAsia="en-AU"/>
              </w:rPr>
              <w:t>1.2</w:t>
            </w:r>
          </w:p>
        </w:tc>
        <w:tc>
          <w:tcPr>
            <w:tcW w:w="3118" w:type="dxa"/>
            <w:gridSpan w:val="2"/>
            <w:tcBorders>
              <w:top w:val="nil"/>
              <w:left w:val="nil"/>
              <w:bottom w:val="single" w:sz="4" w:space="0" w:color="auto"/>
              <w:right w:val="single" w:sz="4" w:space="0" w:color="auto"/>
            </w:tcBorders>
            <w:shd w:val="clear" w:color="auto" w:fill="auto"/>
            <w:hideMark/>
          </w:tcPr>
          <w:p w14:paraId="4E22D63A"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Activity 1.2:  Case study on paddy/rice value chain in Dong Thap</w:t>
            </w:r>
          </w:p>
        </w:tc>
        <w:tc>
          <w:tcPr>
            <w:tcW w:w="1072" w:type="dxa"/>
            <w:tcBorders>
              <w:top w:val="nil"/>
              <w:left w:val="nil"/>
              <w:bottom w:val="single" w:sz="4" w:space="0" w:color="auto"/>
              <w:right w:val="single" w:sz="4" w:space="0" w:color="auto"/>
            </w:tcBorders>
            <w:shd w:val="clear" w:color="auto" w:fill="auto"/>
            <w:hideMark/>
          </w:tcPr>
          <w:p w14:paraId="2981531A" w14:textId="77777777" w:rsidR="003161F8" w:rsidRPr="00586D77" w:rsidRDefault="003161F8" w:rsidP="00586D77">
            <w:pPr>
              <w:spacing w:before="0"/>
              <w:rPr>
                <w:rFonts w:ascii="Calibri" w:hAnsi="Calibri" w:cs="Calibri"/>
                <w:sz w:val="22"/>
                <w:szCs w:val="22"/>
                <w:lang w:eastAsia="en-AU"/>
              </w:rPr>
            </w:pPr>
            <w:proofErr w:type="spellStart"/>
            <w:r w:rsidRPr="00586D77">
              <w:rPr>
                <w:rFonts w:ascii="Calibri" w:hAnsi="Calibri" w:cs="Calibri"/>
                <w:sz w:val="22"/>
                <w:szCs w:val="22"/>
                <w:lang w:eastAsia="en-AU"/>
              </w:rPr>
              <w:t>Colloboration</w:t>
            </w:r>
            <w:proofErr w:type="spellEnd"/>
            <w:r w:rsidRPr="00586D77">
              <w:rPr>
                <w:rFonts w:ascii="Calibri" w:hAnsi="Calibri" w:cs="Calibri"/>
                <w:sz w:val="22"/>
                <w:szCs w:val="22"/>
                <w:lang w:eastAsia="en-AU"/>
              </w:rPr>
              <w:t xml:space="preserve">/ support from Dong </w:t>
            </w:r>
            <w:proofErr w:type="spellStart"/>
            <w:r w:rsidRPr="00586D77">
              <w:rPr>
                <w:rFonts w:ascii="Calibri" w:hAnsi="Calibri" w:cs="Calibri"/>
                <w:sz w:val="22"/>
                <w:szCs w:val="22"/>
                <w:lang w:eastAsia="en-AU"/>
              </w:rPr>
              <w:t>Thap</w:t>
            </w:r>
            <w:proofErr w:type="spellEnd"/>
            <w:r w:rsidRPr="00586D77">
              <w:rPr>
                <w:rFonts w:ascii="Calibri" w:hAnsi="Calibri" w:cs="Calibri"/>
                <w:sz w:val="22"/>
                <w:szCs w:val="22"/>
                <w:lang w:eastAsia="en-AU"/>
              </w:rPr>
              <w:t xml:space="preserve"> local </w:t>
            </w:r>
            <w:proofErr w:type="spellStart"/>
            <w:r w:rsidRPr="00586D77">
              <w:rPr>
                <w:rFonts w:ascii="Calibri" w:hAnsi="Calibri" w:cs="Calibri"/>
                <w:sz w:val="22"/>
                <w:szCs w:val="22"/>
                <w:lang w:eastAsia="en-AU"/>
              </w:rPr>
              <w:t>authotiries</w:t>
            </w:r>
            <w:proofErr w:type="spellEnd"/>
            <w:r w:rsidRPr="00586D77">
              <w:rPr>
                <w:rFonts w:ascii="Calibri" w:hAnsi="Calibri" w:cs="Calibri"/>
                <w:sz w:val="22"/>
                <w:szCs w:val="22"/>
                <w:lang w:eastAsia="en-AU"/>
              </w:rPr>
              <w:t xml:space="preserve"> and other line agencies and stake holders at field</w:t>
            </w:r>
          </w:p>
        </w:tc>
        <w:tc>
          <w:tcPr>
            <w:tcW w:w="2755" w:type="dxa"/>
            <w:tcBorders>
              <w:top w:val="nil"/>
              <w:left w:val="nil"/>
              <w:bottom w:val="single" w:sz="4" w:space="0" w:color="auto"/>
              <w:right w:val="single" w:sz="4" w:space="0" w:color="auto"/>
            </w:tcBorders>
            <w:shd w:val="clear" w:color="auto" w:fill="auto"/>
            <w:hideMark/>
          </w:tcPr>
          <w:p w14:paraId="615DD2BA"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Field survey data and report</w:t>
            </w:r>
          </w:p>
        </w:tc>
        <w:tc>
          <w:tcPr>
            <w:tcW w:w="496" w:type="dxa"/>
            <w:tcBorders>
              <w:top w:val="nil"/>
              <w:left w:val="nil"/>
              <w:bottom w:val="single" w:sz="4" w:space="0" w:color="auto"/>
              <w:right w:val="single" w:sz="4" w:space="0" w:color="auto"/>
            </w:tcBorders>
            <w:shd w:val="clear" w:color="auto" w:fill="auto"/>
            <w:hideMark/>
          </w:tcPr>
          <w:p w14:paraId="7648FE1A"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FFFF00"/>
            <w:hideMark/>
          </w:tcPr>
          <w:p w14:paraId="69491C0F"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FFFF00"/>
            <w:hideMark/>
          </w:tcPr>
          <w:p w14:paraId="34C66BF4"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FFFF00"/>
            <w:hideMark/>
          </w:tcPr>
          <w:p w14:paraId="3B2836D3"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10CC0590"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7DFE0EAB"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1685C084"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24374E50"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78C41C0A" w14:textId="77777777" w:rsidR="003161F8" w:rsidRPr="00586D77" w:rsidRDefault="003161F8"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643A7040" w14:textId="77777777" w:rsidR="003161F8" w:rsidRPr="00586D77" w:rsidRDefault="003161F8"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30F14043" w14:textId="77777777" w:rsidR="003161F8" w:rsidRPr="00586D77" w:rsidRDefault="003161F8" w:rsidP="00586D77">
            <w:pPr>
              <w:spacing w:before="0"/>
              <w:jc w:val="both"/>
              <w:rPr>
                <w:rFonts w:ascii="Calibri" w:hAnsi="Calibri" w:cs="Calibri"/>
                <w:color w:val="000000"/>
                <w:sz w:val="22"/>
                <w:szCs w:val="22"/>
                <w:lang w:eastAsia="en-AU"/>
              </w:rPr>
            </w:pPr>
          </w:p>
        </w:tc>
      </w:tr>
      <w:tr w:rsidR="003161F8" w:rsidRPr="00586D77" w14:paraId="3A012226" w14:textId="323B0B3B" w:rsidTr="003161F8">
        <w:trPr>
          <w:trHeight w:val="870"/>
        </w:trPr>
        <w:tc>
          <w:tcPr>
            <w:tcW w:w="1575" w:type="dxa"/>
            <w:gridSpan w:val="3"/>
            <w:tcBorders>
              <w:top w:val="nil"/>
              <w:left w:val="single" w:sz="4" w:space="0" w:color="auto"/>
              <w:bottom w:val="single" w:sz="4" w:space="0" w:color="auto"/>
              <w:right w:val="single" w:sz="4" w:space="0" w:color="auto"/>
            </w:tcBorders>
            <w:shd w:val="clear" w:color="auto" w:fill="auto"/>
            <w:hideMark/>
          </w:tcPr>
          <w:p w14:paraId="147847EC"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1.2.1</w:t>
            </w:r>
          </w:p>
        </w:tc>
        <w:tc>
          <w:tcPr>
            <w:tcW w:w="3118" w:type="dxa"/>
            <w:gridSpan w:val="2"/>
            <w:tcBorders>
              <w:top w:val="nil"/>
              <w:left w:val="nil"/>
              <w:bottom w:val="single" w:sz="4" w:space="0" w:color="auto"/>
              <w:right w:val="single" w:sz="4" w:space="0" w:color="auto"/>
            </w:tcBorders>
            <w:shd w:val="clear" w:color="auto" w:fill="auto"/>
            <w:hideMark/>
          </w:tcPr>
          <w:p w14:paraId="656BF65C"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Prepare research plan, research methodology and design questionnaires</w:t>
            </w:r>
          </w:p>
        </w:tc>
        <w:tc>
          <w:tcPr>
            <w:tcW w:w="1072" w:type="dxa"/>
            <w:tcBorders>
              <w:top w:val="nil"/>
              <w:left w:val="nil"/>
              <w:bottom w:val="single" w:sz="4" w:space="0" w:color="auto"/>
              <w:right w:val="single" w:sz="4" w:space="0" w:color="auto"/>
            </w:tcBorders>
            <w:shd w:val="clear" w:color="auto" w:fill="auto"/>
            <w:hideMark/>
          </w:tcPr>
          <w:p w14:paraId="79D70827"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2755" w:type="dxa"/>
            <w:tcBorders>
              <w:top w:val="nil"/>
              <w:left w:val="nil"/>
              <w:bottom w:val="single" w:sz="4" w:space="0" w:color="auto"/>
              <w:right w:val="single" w:sz="4" w:space="0" w:color="auto"/>
            </w:tcBorders>
            <w:shd w:val="clear" w:color="auto" w:fill="auto"/>
            <w:hideMark/>
          </w:tcPr>
          <w:p w14:paraId="4960AD1D"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Research plan, research methodology and questionnaires</w:t>
            </w:r>
          </w:p>
        </w:tc>
        <w:tc>
          <w:tcPr>
            <w:tcW w:w="496" w:type="dxa"/>
            <w:tcBorders>
              <w:top w:val="nil"/>
              <w:left w:val="nil"/>
              <w:bottom w:val="single" w:sz="4" w:space="0" w:color="auto"/>
              <w:right w:val="single" w:sz="4" w:space="0" w:color="auto"/>
            </w:tcBorders>
            <w:shd w:val="clear" w:color="auto" w:fill="auto"/>
            <w:hideMark/>
          </w:tcPr>
          <w:p w14:paraId="6A988520"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FFFF00"/>
            <w:hideMark/>
          </w:tcPr>
          <w:p w14:paraId="7837FFD4"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FFFF00"/>
            <w:hideMark/>
          </w:tcPr>
          <w:p w14:paraId="175E54BD"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FFFF00"/>
            <w:hideMark/>
          </w:tcPr>
          <w:p w14:paraId="18E59FB8"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FFFF00"/>
            <w:hideMark/>
          </w:tcPr>
          <w:p w14:paraId="3C2D0D24"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275DF9DE"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5B4780AE"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6120748B"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3523D077" w14:textId="77777777" w:rsidR="003161F8" w:rsidRPr="00586D77" w:rsidRDefault="003161F8"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1E2A9573" w14:textId="77777777" w:rsidR="003161F8" w:rsidRPr="00586D77" w:rsidRDefault="003161F8"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62B42D66" w14:textId="77777777" w:rsidR="003161F8" w:rsidRPr="00586D77" w:rsidRDefault="003161F8" w:rsidP="00586D77">
            <w:pPr>
              <w:spacing w:before="0"/>
              <w:jc w:val="both"/>
              <w:rPr>
                <w:rFonts w:ascii="Calibri" w:hAnsi="Calibri" w:cs="Calibri"/>
                <w:color w:val="000000"/>
                <w:sz w:val="22"/>
                <w:szCs w:val="22"/>
                <w:lang w:eastAsia="en-AU"/>
              </w:rPr>
            </w:pPr>
          </w:p>
        </w:tc>
      </w:tr>
      <w:tr w:rsidR="003161F8" w:rsidRPr="00586D77" w14:paraId="7C9C6232" w14:textId="353E8CFA" w:rsidTr="003161F8">
        <w:trPr>
          <w:trHeight w:val="1160"/>
        </w:trPr>
        <w:tc>
          <w:tcPr>
            <w:tcW w:w="1575" w:type="dxa"/>
            <w:gridSpan w:val="3"/>
            <w:tcBorders>
              <w:top w:val="nil"/>
              <w:left w:val="single" w:sz="4" w:space="0" w:color="auto"/>
              <w:bottom w:val="single" w:sz="4" w:space="0" w:color="auto"/>
              <w:right w:val="single" w:sz="4" w:space="0" w:color="auto"/>
            </w:tcBorders>
            <w:shd w:val="clear" w:color="auto" w:fill="auto"/>
            <w:hideMark/>
          </w:tcPr>
          <w:p w14:paraId="5887D921"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1.2.2</w:t>
            </w:r>
          </w:p>
        </w:tc>
        <w:tc>
          <w:tcPr>
            <w:tcW w:w="3118" w:type="dxa"/>
            <w:gridSpan w:val="2"/>
            <w:tcBorders>
              <w:top w:val="nil"/>
              <w:left w:val="nil"/>
              <w:bottom w:val="single" w:sz="4" w:space="0" w:color="auto"/>
              <w:right w:val="single" w:sz="4" w:space="0" w:color="auto"/>
            </w:tcBorders>
            <w:shd w:val="clear" w:color="auto" w:fill="auto"/>
            <w:hideMark/>
          </w:tcPr>
          <w:p w14:paraId="6EA1B235"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xml:space="preserve">1st fieldtrip to identify value chain actors, verify methodology and </w:t>
            </w:r>
            <w:proofErr w:type="spellStart"/>
            <w:r w:rsidRPr="00586D77">
              <w:rPr>
                <w:rFonts w:ascii="Calibri" w:hAnsi="Calibri" w:cs="Calibri"/>
                <w:sz w:val="22"/>
                <w:szCs w:val="22"/>
                <w:lang w:eastAsia="en-AU"/>
              </w:rPr>
              <w:t>questionaires</w:t>
            </w:r>
            <w:proofErr w:type="spellEnd"/>
          </w:p>
        </w:tc>
        <w:tc>
          <w:tcPr>
            <w:tcW w:w="1072" w:type="dxa"/>
            <w:tcBorders>
              <w:top w:val="nil"/>
              <w:left w:val="nil"/>
              <w:bottom w:val="single" w:sz="4" w:space="0" w:color="auto"/>
              <w:right w:val="single" w:sz="4" w:space="0" w:color="auto"/>
            </w:tcBorders>
            <w:shd w:val="clear" w:color="auto" w:fill="auto"/>
            <w:hideMark/>
          </w:tcPr>
          <w:p w14:paraId="4C3E98AF"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2755" w:type="dxa"/>
            <w:tcBorders>
              <w:top w:val="nil"/>
              <w:left w:val="nil"/>
              <w:bottom w:val="single" w:sz="4" w:space="0" w:color="auto"/>
              <w:right w:val="single" w:sz="4" w:space="0" w:color="auto"/>
            </w:tcBorders>
            <w:shd w:val="clear" w:color="auto" w:fill="auto"/>
            <w:hideMark/>
          </w:tcPr>
          <w:p w14:paraId="18744E1D"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xml:space="preserve">Value chain mapping, final methodology, </w:t>
            </w:r>
            <w:proofErr w:type="spellStart"/>
            <w:r w:rsidRPr="00586D77">
              <w:rPr>
                <w:rFonts w:ascii="Calibri" w:hAnsi="Calibri" w:cs="Calibri"/>
                <w:sz w:val="22"/>
                <w:szCs w:val="22"/>
                <w:lang w:eastAsia="en-AU"/>
              </w:rPr>
              <w:t>questionaires</w:t>
            </w:r>
            <w:proofErr w:type="spellEnd"/>
            <w:r w:rsidRPr="00586D77">
              <w:rPr>
                <w:rFonts w:ascii="Calibri" w:hAnsi="Calibri" w:cs="Calibri"/>
                <w:sz w:val="22"/>
                <w:szCs w:val="22"/>
                <w:lang w:eastAsia="en-AU"/>
              </w:rPr>
              <w:t xml:space="preserve"> and field survey plan</w:t>
            </w:r>
          </w:p>
        </w:tc>
        <w:tc>
          <w:tcPr>
            <w:tcW w:w="496" w:type="dxa"/>
            <w:tcBorders>
              <w:top w:val="nil"/>
              <w:left w:val="nil"/>
              <w:bottom w:val="single" w:sz="4" w:space="0" w:color="auto"/>
              <w:right w:val="single" w:sz="4" w:space="0" w:color="auto"/>
            </w:tcBorders>
            <w:shd w:val="clear" w:color="auto" w:fill="auto"/>
            <w:hideMark/>
          </w:tcPr>
          <w:p w14:paraId="4276CBF8"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FFFF00"/>
            <w:hideMark/>
          </w:tcPr>
          <w:p w14:paraId="627BCF85"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FFFF00"/>
            <w:hideMark/>
          </w:tcPr>
          <w:p w14:paraId="42D506C5"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FFFF00"/>
            <w:hideMark/>
          </w:tcPr>
          <w:p w14:paraId="01718B29"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FFFF00"/>
            <w:hideMark/>
          </w:tcPr>
          <w:p w14:paraId="7BF46454"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69B9F2CF"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1DA4E42A"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59D1E77D"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64AA8425" w14:textId="77777777" w:rsidR="003161F8" w:rsidRPr="00586D77" w:rsidRDefault="003161F8"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3BB33461" w14:textId="77777777" w:rsidR="003161F8" w:rsidRPr="00586D77" w:rsidRDefault="003161F8"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64ED33BE" w14:textId="77777777" w:rsidR="003161F8" w:rsidRPr="00586D77" w:rsidRDefault="003161F8" w:rsidP="00586D77">
            <w:pPr>
              <w:spacing w:before="0"/>
              <w:jc w:val="both"/>
              <w:rPr>
                <w:rFonts w:ascii="Calibri" w:hAnsi="Calibri" w:cs="Calibri"/>
                <w:color w:val="000000"/>
                <w:sz w:val="22"/>
                <w:szCs w:val="22"/>
                <w:lang w:eastAsia="en-AU"/>
              </w:rPr>
            </w:pPr>
          </w:p>
        </w:tc>
      </w:tr>
      <w:tr w:rsidR="003161F8" w:rsidRPr="00586D77" w14:paraId="5C5EC09C" w14:textId="7AE6FD4D" w:rsidTr="003161F8">
        <w:trPr>
          <w:trHeight w:val="580"/>
        </w:trPr>
        <w:tc>
          <w:tcPr>
            <w:tcW w:w="1575" w:type="dxa"/>
            <w:gridSpan w:val="3"/>
            <w:tcBorders>
              <w:top w:val="nil"/>
              <w:left w:val="single" w:sz="4" w:space="0" w:color="auto"/>
              <w:bottom w:val="single" w:sz="4" w:space="0" w:color="auto"/>
              <w:right w:val="single" w:sz="4" w:space="0" w:color="auto"/>
            </w:tcBorders>
            <w:shd w:val="clear" w:color="auto" w:fill="auto"/>
            <w:hideMark/>
          </w:tcPr>
          <w:p w14:paraId="16700171"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1.2.3</w:t>
            </w:r>
          </w:p>
        </w:tc>
        <w:tc>
          <w:tcPr>
            <w:tcW w:w="3118" w:type="dxa"/>
            <w:gridSpan w:val="2"/>
            <w:tcBorders>
              <w:top w:val="nil"/>
              <w:left w:val="nil"/>
              <w:bottom w:val="single" w:sz="4" w:space="0" w:color="auto"/>
              <w:right w:val="single" w:sz="4" w:space="0" w:color="auto"/>
            </w:tcBorders>
            <w:shd w:val="clear" w:color="auto" w:fill="auto"/>
            <w:hideMark/>
          </w:tcPr>
          <w:p w14:paraId="61F40778"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2nd fieldtrip to carry out rice value chain survey</w:t>
            </w:r>
          </w:p>
        </w:tc>
        <w:tc>
          <w:tcPr>
            <w:tcW w:w="1072" w:type="dxa"/>
            <w:tcBorders>
              <w:top w:val="nil"/>
              <w:left w:val="nil"/>
              <w:bottom w:val="single" w:sz="4" w:space="0" w:color="auto"/>
              <w:right w:val="single" w:sz="4" w:space="0" w:color="auto"/>
            </w:tcBorders>
            <w:shd w:val="clear" w:color="auto" w:fill="auto"/>
            <w:hideMark/>
          </w:tcPr>
          <w:p w14:paraId="69CF6201"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2755" w:type="dxa"/>
            <w:tcBorders>
              <w:top w:val="nil"/>
              <w:left w:val="nil"/>
              <w:bottom w:val="single" w:sz="4" w:space="0" w:color="auto"/>
              <w:right w:val="single" w:sz="4" w:space="0" w:color="auto"/>
            </w:tcBorders>
            <w:shd w:val="clear" w:color="auto" w:fill="auto"/>
            <w:hideMark/>
          </w:tcPr>
          <w:p w14:paraId="53EFB148"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xml:space="preserve">filled </w:t>
            </w:r>
            <w:proofErr w:type="spellStart"/>
            <w:r w:rsidRPr="00586D77">
              <w:rPr>
                <w:rFonts w:ascii="Calibri" w:hAnsi="Calibri" w:cs="Calibri"/>
                <w:sz w:val="22"/>
                <w:szCs w:val="22"/>
                <w:lang w:eastAsia="en-AU"/>
              </w:rPr>
              <w:t>questionairres</w:t>
            </w:r>
            <w:proofErr w:type="spellEnd"/>
          </w:p>
        </w:tc>
        <w:tc>
          <w:tcPr>
            <w:tcW w:w="496" w:type="dxa"/>
            <w:tcBorders>
              <w:top w:val="nil"/>
              <w:left w:val="nil"/>
              <w:bottom w:val="single" w:sz="4" w:space="0" w:color="auto"/>
              <w:right w:val="single" w:sz="4" w:space="0" w:color="auto"/>
            </w:tcBorders>
            <w:shd w:val="clear" w:color="auto" w:fill="auto"/>
            <w:hideMark/>
          </w:tcPr>
          <w:p w14:paraId="2B005D12"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FFFF00"/>
            <w:hideMark/>
          </w:tcPr>
          <w:p w14:paraId="47FF3CCD"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FFFF00"/>
            <w:hideMark/>
          </w:tcPr>
          <w:p w14:paraId="25CC6655"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FFFF00"/>
            <w:hideMark/>
          </w:tcPr>
          <w:p w14:paraId="2D7E86E6"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FFFF00"/>
            <w:hideMark/>
          </w:tcPr>
          <w:p w14:paraId="6A09EBFC"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19AF18DC"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6D59827E"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1DEFFC0F"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1AA58EAA" w14:textId="77777777" w:rsidR="003161F8" w:rsidRPr="00586D77" w:rsidRDefault="003161F8"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0A9067CA" w14:textId="77777777" w:rsidR="003161F8" w:rsidRPr="00586D77" w:rsidRDefault="003161F8"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60EA6AC0" w14:textId="77777777" w:rsidR="003161F8" w:rsidRPr="00586D77" w:rsidRDefault="003161F8" w:rsidP="00586D77">
            <w:pPr>
              <w:spacing w:before="0"/>
              <w:jc w:val="both"/>
              <w:rPr>
                <w:rFonts w:ascii="Calibri" w:hAnsi="Calibri" w:cs="Calibri"/>
                <w:color w:val="000000"/>
                <w:sz w:val="22"/>
                <w:szCs w:val="22"/>
                <w:lang w:eastAsia="en-AU"/>
              </w:rPr>
            </w:pPr>
          </w:p>
        </w:tc>
      </w:tr>
      <w:tr w:rsidR="003161F8" w:rsidRPr="00586D77" w14:paraId="75EF11F1" w14:textId="1C0E34B3" w:rsidTr="003161F8">
        <w:trPr>
          <w:trHeight w:val="580"/>
        </w:trPr>
        <w:tc>
          <w:tcPr>
            <w:tcW w:w="1575" w:type="dxa"/>
            <w:gridSpan w:val="3"/>
            <w:tcBorders>
              <w:top w:val="nil"/>
              <w:left w:val="single" w:sz="4" w:space="0" w:color="auto"/>
              <w:bottom w:val="single" w:sz="4" w:space="0" w:color="auto"/>
              <w:right w:val="single" w:sz="4" w:space="0" w:color="auto"/>
            </w:tcBorders>
            <w:shd w:val="clear" w:color="auto" w:fill="auto"/>
            <w:hideMark/>
          </w:tcPr>
          <w:p w14:paraId="3A100AFF"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1.2.4</w:t>
            </w:r>
          </w:p>
        </w:tc>
        <w:tc>
          <w:tcPr>
            <w:tcW w:w="3118" w:type="dxa"/>
            <w:gridSpan w:val="2"/>
            <w:tcBorders>
              <w:top w:val="nil"/>
              <w:left w:val="nil"/>
              <w:bottom w:val="single" w:sz="4" w:space="0" w:color="auto"/>
              <w:right w:val="single" w:sz="4" w:space="0" w:color="auto"/>
            </w:tcBorders>
            <w:shd w:val="clear" w:color="auto" w:fill="auto"/>
            <w:hideMark/>
          </w:tcPr>
          <w:p w14:paraId="1482A8D0"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Building software for data entry and processing</w:t>
            </w:r>
          </w:p>
        </w:tc>
        <w:tc>
          <w:tcPr>
            <w:tcW w:w="1072" w:type="dxa"/>
            <w:tcBorders>
              <w:top w:val="nil"/>
              <w:left w:val="nil"/>
              <w:bottom w:val="single" w:sz="4" w:space="0" w:color="auto"/>
              <w:right w:val="single" w:sz="4" w:space="0" w:color="auto"/>
            </w:tcBorders>
            <w:shd w:val="clear" w:color="auto" w:fill="auto"/>
            <w:hideMark/>
          </w:tcPr>
          <w:p w14:paraId="7392F4AC"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2755" w:type="dxa"/>
            <w:tcBorders>
              <w:top w:val="nil"/>
              <w:left w:val="nil"/>
              <w:bottom w:val="single" w:sz="4" w:space="0" w:color="auto"/>
              <w:right w:val="single" w:sz="4" w:space="0" w:color="auto"/>
            </w:tcBorders>
            <w:shd w:val="clear" w:color="auto" w:fill="auto"/>
            <w:hideMark/>
          </w:tcPr>
          <w:p w14:paraId="67C164C4"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software</w:t>
            </w:r>
          </w:p>
        </w:tc>
        <w:tc>
          <w:tcPr>
            <w:tcW w:w="496" w:type="dxa"/>
            <w:tcBorders>
              <w:top w:val="nil"/>
              <w:left w:val="nil"/>
              <w:bottom w:val="single" w:sz="4" w:space="0" w:color="auto"/>
              <w:right w:val="single" w:sz="4" w:space="0" w:color="auto"/>
            </w:tcBorders>
            <w:shd w:val="clear" w:color="auto" w:fill="auto"/>
            <w:hideMark/>
          </w:tcPr>
          <w:p w14:paraId="22D11106"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FFFF00"/>
            <w:hideMark/>
          </w:tcPr>
          <w:p w14:paraId="4986CDBC"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FFFF00"/>
            <w:hideMark/>
          </w:tcPr>
          <w:p w14:paraId="538F907B"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FFFF00"/>
            <w:hideMark/>
          </w:tcPr>
          <w:p w14:paraId="45A6A57C"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FFFF00"/>
            <w:hideMark/>
          </w:tcPr>
          <w:p w14:paraId="252767FB"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73CCCB2B"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129B194D"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63264901"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4ECBA7BE" w14:textId="77777777" w:rsidR="003161F8" w:rsidRPr="00586D77" w:rsidRDefault="003161F8"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68086E8C" w14:textId="77777777" w:rsidR="003161F8" w:rsidRPr="00586D77" w:rsidRDefault="003161F8"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2685E18E" w14:textId="77777777" w:rsidR="003161F8" w:rsidRPr="00586D77" w:rsidRDefault="003161F8" w:rsidP="00586D77">
            <w:pPr>
              <w:spacing w:before="0"/>
              <w:jc w:val="both"/>
              <w:rPr>
                <w:rFonts w:ascii="Calibri" w:hAnsi="Calibri" w:cs="Calibri"/>
                <w:color w:val="000000"/>
                <w:sz w:val="22"/>
                <w:szCs w:val="22"/>
                <w:lang w:eastAsia="en-AU"/>
              </w:rPr>
            </w:pPr>
          </w:p>
        </w:tc>
      </w:tr>
      <w:tr w:rsidR="003161F8" w:rsidRPr="00586D77" w14:paraId="1F197D41" w14:textId="792ABF40" w:rsidTr="003161F8">
        <w:trPr>
          <w:trHeight w:val="580"/>
        </w:trPr>
        <w:tc>
          <w:tcPr>
            <w:tcW w:w="1575" w:type="dxa"/>
            <w:gridSpan w:val="3"/>
            <w:tcBorders>
              <w:top w:val="nil"/>
              <w:left w:val="single" w:sz="4" w:space="0" w:color="auto"/>
              <w:bottom w:val="single" w:sz="4" w:space="0" w:color="auto"/>
              <w:right w:val="single" w:sz="4" w:space="0" w:color="auto"/>
            </w:tcBorders>
            <w:shd w:val="clear" w:color="auto" w:fill="auto"/>
            <w:hideMark/>
          </w:tcPr>
          <w:p w14:paraId="6F90364C"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1.2.5</w:t>
            </w:r>
          </w:p>
        </w:tc>
        <w:tc>
          <w:tcPr>
            <w:tcW w:w="3118" w:type="dxa"/>
            <w:gridSpan w:val="2"/>
            <w:tcBorders>
              <w:top w:val="nil"/>
              <w:left w:val="nil"/>
              <w:bottom w:val="single" w:sz="4" w:space="0" w:color="auto"/>
              <w:right w:val="single" w:sz="4" w:space="0" w:color="auto"/>
            </w:tcBorders>
            <w:shd w:val="clear" w:color="auto" w:fill="auto"/>
            <w:hideMark/>
          </w:tcPr>
          <w:p w14:paraId="0A7FE33F"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xml:space="preserve"> Field survey data entry, processing and analysis</w:t>
            </w:r>
          </w:p>
        </w:tc>
        <w:tc>
          <w:tcPr>
            <w:tcW w:w="1072" w:type="dxa"/>
            <w:tcBorders>
              <w:top w:val="nil"/>
              <w:left w:val="nil"/>
              <w:bottom w:val="single" w:sz="4" w:space="0" w:color="auto"/>
              <w:right w:val="single" w:sz="4" w:space="0" w:color="auto"/>
            </w:tcBorders>
            <w:shd w:val="clear" w:color="auto" w:fill="auto"/>
            <w:hideMark/>
          </w:tcPr>
          <w:p w14:paraId="673D8F12"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2755" w:type="dxa"/>
            <w:tcBorders>
              <w:top w:val="nil"/>
              <w:left w:val="nil"/>
              <w:bottom w:val="single" w:sz="4" w:space="0" w:color="auto"/>
              <w:right w:val="single" w:sz="4" w:space="0" w:color="auto"/>
            </w:tcBorders>
            <w:shd w:val="clear" w:color="auto" w:fill="auto"/>
            <w:hideMark/>
          </w:tcPr>
          <w:p w14:paraId="3FA6A5AB"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clean database</w:t>
            </w:r>
          </w:p>
        </w:tc>
        <w:tc>
          <w:tcPr>
            <w:tcW w:w="496" w:type="dxa"/>
            <w:tcBorders>
              <w:top w:val="nil"/>
              <w:left w:val="nil"/>
              <w:bottom w:val="single" w:sz="4" w:space="0" w:color="auto"/>
              <w:right w:val="single" w:sz="4" w:space="0" w:color="auto"/>
            </w:tcBorders>
            <w:shd w:val="clear" w:color="auto" w:fill="auto"/>
            <w:hideMark/>
          </w:tcPr>
          <w:p w14:paraId="4638981C"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04303973"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4918AAFF"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FFFF00"/>
            <w:hideMark/>
          </w:tcPr>
          <w:p w14:paraId="5264D7A5"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FFFF00"/>
            <w:hideMark/>
          </w:tcPr>
          <w:p w14:paraId="01B1BB13"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1A626B1F"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4CB445FA"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3AED5DC4"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3F32E8CB" w14:textId="77777777" w:rsidR="003161F8" w:rsidRPr="00586D77" w:rsidRDefault="003161F8"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77F80311" w14:textId="77777777" w:rsidR="003161F8" w:rsidRPr="00586D77" w:rsidRDefault="003161F8"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009A9718" w14:textId="77777777" w:rsidR="003161F8" w:rsidRPr="00586D77" w:rsidRDefault="003161F8" w:rsidP="00586D77">
            <w:pPr>
              <w:spacing w:before="0"/>
              <w:jc w:val="both"/>
              <w:rPr>
                <w:rFonts w:ascii="Calibri" w:hAnsi="Calibri" w:cs="Calibri"/>
                <w:color w:val="000000"/>
                <w:sz w:val="22"/>
                <w:szCs w:val="22"/>
                <w:lang w:eastAsia="en-AU"/>
              </w:rPr>
            </w:pPr>
          </w:p>
        </w:tc>
      </w:tr>
      <w:tr w:rsidR="003161F8" w:rsidRPr="00586D77" w14:paraId="61E6C7BF" w14:textId="45A32732" w:rsidTr="003161F8">
        <w:trPr>
          <w:trHeight w:val="1160"/>
        </w:trPr>
        <w:tc>
          <w:tcPr>
            <w:tcW w:w="1575" w:type="dxa"/>
            <w:gridSpan w:val="3"/>
            <w:tcBorders>
              <w:top w:val="single" w:sz="4" w:space="0" w:color="auto"/>
              <w:left w:val="single" w:sz="4" w:space="0" w:color="auto"/>
              <w:bottom w:val="single" w:sz="4" w:space="0" w:color="auto"/>
              <w:right w:val="single" w:sz="4" w:space="0" w:color="auto"/>
            </w:tcBorders>
            <w:shd w:val="clear" w:color="auto" w:fill="auto"/>
            <w:hideMark/>
          </w:tcPr>
          <w:p w14:paraId="2FE6E15C"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1.2.6</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760497C"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xml:space="preserve">Field report on value added and constraints along the paddy/rice value chain </w:t>
            </w:r>
          </w:p>
        </w:tc>
        <w:tc>
          <w:tcPr>
            <w:tcW w:w="1072" w:type="dxa"/>
            <w:tcBorders>
              <w:top w:val="single" w:sz="4" w:space="0" w:color="auto"/>
              <w:left w:val="single" w:sz="4" w:space="0" w:color="auto"/>
              <w:bottom w:val="single" w:sz="4" w:space="0" w:color="auto"/>
              <w:right w:val="single" w:sz="4" w:space="0" w:color="auto"/>
            </w:tcBorders>
            <w:shd w:val="clear" w:color="auto" w:fill="auto"/>
            <w:hideMark/>
          </w:tcPr>
          <w:p w14:paraId="53EFE353"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2755" w:type="dxa"/>
            <w:tcBorders>
              <w:top w:val="single" w:sz="4" w:space="0" w:color="auto"/>
              <w:left w:val="single" w:sz="4" w:space="0" w:color="auto"/>
              <w:bottom w:val="single" w:sz="4" w:space="0" w:color="auto"/>
              <w:right w:val="single" w:sz="4" w:space="0" w:color="auto"/>
            </w:tcBorders>
            <w:shd w:val="clear" w:color="auto" w:fill="auto"/>
            <w:hideMark/>
          </w:tcPr>
          <w:p w14:paraId="34F0D9B8"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xml:space="preserve">Field report on value added and constraints along the paddy/rice value chain </w:t>
            </w:r>
          </w:p>
        </w:tc>
        <w:tc>
          <w:tcPr>
            <w:tcW w:w="496" w:type="dxa"/>
            <w:tcBorders>
              <w:top w:val="single" w:sz="4" w:space="0" w:color="auto"/>
              <w:left w:val="single" w:sz="4" w:space="0" w:color="auto"/>
              <w:bottom w:val="single" w:sz="4" w:space="0" w:color="auto"/>
              <w:right w:val="single" w:sz="4" w:space="0" w:color="auto"/>
            </w:tcBorders>
            <w:shd w:val="clear" w:color="auto" w:fill="auto"/>
            <w:hideMark/>
          </w:tcPr>
          <w:p w14:paraId="2F60D37A"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09DAFD6"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C6F6748"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48D9F405"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6C734CDD"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E58AD74"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B02F5A9"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B9728EA"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1096EA8" w14:textId="77777777" w:rsidR="003161F8" w:rsidRPr="00586D77" w:rsidRDefault="003161F8"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1F237AD7" w14:textId="77777777" w:rsidR="003161F8" w:rsidRPr="00586D77" w:rsidRDefault="003161F8"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2F2C4899" w14:textId="77777777" w:rsidR="003161F8" w:rsidRPr="00586D77" w:rsidRDefault="003161F8" w:rsidP="00586D77">
            <w:pPr>
              <w:spacing w:before="0"/>
              <w:jc w:val="both"/>
              <w:rPr>
                <w:rFonts w:ascii="Calibri" w:hAnsi="Calibri" w:cs="Calibri"/>
                <w:color w:val="000000"/>
                <w:sz w:val="22"/>
                <w:szCs w:val="22"/>
                <w:lang w:eastAsia="en-AU"/>
              </w:rPr>
            </w:pPr>
          </w:p>
        </w:tc>
      </w:tr>
      <w:tr w:rsidR="003161F8" w:rsidRPr="00586D77" w14:paraId="3B4FB890" w14:textId="50E9DBCA" w:rsidTr="003161F8">
        <w:trPr>
          <w:trHeight w:val="1160"/>
        </w:trPr>
        <w:tc>
          <w:tcPr>
            <w:tcW w:w="1575" w:type="dxa"/>
            <w:gridSpan w:val="3"/>
            <w:tcBorders>
              <w:top w:val="single" w:sz="4" w:space="0" w:color="auto"/>
              <w:left w:val="single" w:sz="4" w:space="0" w:color="auto"/>
              <w:bottom w:val="single" w:sz="4" w:space="0" w:color="auto"/>
              <w:right w:val="single" w:sz="4" w:space="0" w:color="auto"/>
            </w:tcBorders>
            <w:shd w:val="clear" w:color="auto" w:fill="auto"/>
            <w:hideMark/>
          </w:tcPr>
          <w:p w14:paraId="6D89C460"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1.2.7</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93F81F2"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Field report on risks and benefits sharing among stakeholders of the value chain</w:t>
            </w:r>
          </w:p>
        </w:tc>
        <w:tc>
          <w:tcPr>
            <w:tcW w:w="1072" w:type="dxa"/>
            <w:tcBorders>
              <w:top w:val="single" w:sz="4" w:space="0" w:color="auto"/>
              <w:left w:val="single" w:sz="4" w:space="0" w:color="auto"/>
              <w:bottom w:val="single" w:sz="4" w:space="0" w:color="auto"/>
              <w:right w:val="single" w:sz="4" w:space="0" w:color="auto"/>
            </w:tcBorders>
            <w:shd w:val="clear" w:color="auto" w:fill="auto"/>
            <w:hideMark/>
          </w:tcPr>
          <w:p w14:paraId="7469107B"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2755" w:type="dxa"/>
            <w:tcBorders>
              <w:top w:val="single" w:sz="4" w:space="0" w:color="auto"/>
              <w:left w:val="single" w:sz="4" w:space="0" w:color="auto"/>
              <w:bottom w:val="single" w:sz="4" w:space="0" w:color="auto"/>
              <w:right w:val="single" w:sz="4" w:space="0" w:color="auto"/>
            </w:tcBorders>
            <w:shd w:val="clear" w:color="auto" w:fill="auto"/>
            <w:hideMark/>
          </w:tcPr>
          <w:p w14:paraId="7DAA2A47"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Field report on risks and benefits sharing among stakeholders of the value chain</w:t>
            </w:r>
          </w:p>
        </w:tc>
        <w:tc>
          <w:tcPr>
            <w:tcW w:w="496" w:type="dxa"/>
            <w:tcBorders>
              <w:top w:val="single" w:sz="4" w:space="0" w:color="auto"/>
              <w:left w:val="single" w:sz="4" w:space="0" w:color="auto"/>
              <w:bottom w:val="single" w:sz="4" w:space="0" w:color="auto"/>
              <w:right w:val="single" w:sz="4" w:space="0" w:color="auto"/>
            </w:tcBorders>
            <w:shd w:val="clear" w:color="auto" w:fill="auto"/>
            <w:hideMark/>
          </w:tcPr>
          <w:p w14:paraId="39C38625"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CFE0A71"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8E35216"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23D1094F"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255EE415"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460BEF0"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E89D7B3"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924D80E"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5814563" w14:textId="77777777" w:rsidR="003161F8" w:rsidRPr="00586D77" w:rsidRDefault="003161F8"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36A1B5CA" w14:textId="77777777" w:rsidR="003161F8" w:rsidRPr="00586D77" w:rsidRDefault="003161F8"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74C7E550" w14:textId="77777777" w:rsidR="003161F8" w:rsidRPr="00586D77" w:rsidRDefault="003161F8" w:rsidP="00586D77">
            <w:pPr>
              <w:spacing w:before="0"/>
              <w:jc w:val="both"/>
              <w:rPr>
                <w:rFonts w:ascii="Calibri" w:hAnsi="Calibri" w:cs="Calibri"/>
                <w:color w:val="000000"/>
                <w:sz w:val="22"/>
                <w:szCs w:val="22"/>
                <w:lang w:eastAsia="en-AU"/>
              </w:rPr>
            </w:pPr>
          </w:p>
        </w:tc>
      </w:tr>
      <w:tr w:rsidR="003161F8" w:rsidRPr="00586D77" w14:paraId="78E8A456" w14:textId="33B53396" w:rsidTr="003161F8">
        <w:trPr>
          <w:trHeight w:val="580"/>
        </w:trPr>
        <w:tc>
          <w:tcPr>
            <w:tcW w:w="1575" w:type="dxa"/>
            <w:gridSpan w:val="3"/>
            <w:tcBorders>
              <w:top w:val="single" w:sz="4" w:space="0" w:color="auto"/>
              <w:left w:val="single" w:sz="4" w:space="0" w:color="auto"/>
              <w:bottom w:val="single" w:sz="4" w:space="0" w:color="auto"/>
              <w:right w:val="single" w:sz="4" w:space="0" w:color="auto"/>
            </w:tcBorders>
            <w:shd w:val="clear" w:color="auto" w:fill="auto"/>
            <w:hideMark/>
          </w:tcPr>
          <w:p w14:paraId="7C683EBB"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1.2.8</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3B84A5"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Writing report on field survey results at Dong Thap</w:t>
            </w:r>
          </w:p>
        </w:tc>
        <w:tc>
          <w:tcPr>
            <w:tcW w:w="1072" w:type="dxa"/>
            <w:tcBorders>
              <w:top w:val="single" w:sz="4" w:space="0" w:color="auto"/>
              <w:left w:val="single" w:sz="4" w:space="0" w:color="auto"/>
              <w:bottom w:val="single" w:sz="4" w:space="0" w:color="auto"/>
              <w:right w:val="single" w:sz="4" w:space="0" w:color="auto"/>
            </w:tcBorders>
            <w:shd w:val="clear" w:color="auto" w:fill="auto"/>
            <w:hideMark/>
          </w:tcPr>
          <w:p w14:paraId="745C7964"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2755" w:type="dxa"/>
            <w:tcBorders>
              <w:top w:val="single" w:sz="4" w:space="0" w:color="auto"/>
              <w:left w:val="single" w:sz="4" w:space="0" w:color="auto"/>
              <w:bottom w:val="single" w:sz="4" w:space="0" w:color="auto"/>
              <w:right w:val="single" w:sz="4" w:space="0" w:color="auto"/>
            </w:tcBorders>
            <w:shd w:val="clear" w:color="auto" w:fill="auto"/>
            <w:hideMark/>
          </w:tcPr>
          <w:p w14:paraId="1AA9EE29"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Field survey report</w:t>
            </w:r>
          </w:p>
        </w:tc>
        <w:tc>
          <w:tcPr>
            <w:tcW w:w="496" w:type="dxa"/>
            <w:tcBorders>
              <w:top w:val="single" w:sz="4" w:space="0" w:color="auto"/>
              <w:left w:val="single" w:sz="4" w:space="0" w:color="auto"/>
              <w:bottom w:val="single" w:sz="4" w:space="0" w:color="auto"/>
              <w:right w:val="single" w:sz="4" w:space="0" w:color="auto"/>
            </w:tcBorders>
            <w:shd w:val="clear" w:color="auto" w:fill="auto"/>
            <w:hideMark/>
          </w:tcPr>
          <w:p w14:paraId="5B6BEDE9"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692FB87"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FC85BDC"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478DD64"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4BD21055"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54C95FE6"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C70DE49"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10C674B"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3E37ABD" w14:textId="77777777" w:rsidR="003161F8" w:rsidRPr="00586D77" w:rsidRDefault="003161F8"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4988CF58" w14:textId="77777777" w:rsidR="003161F8" w:rsidRPr="00586D77" w:rsidRDefault="003161F8"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2087323F" w14:textId="77777777" w:rsidR="003161F8" w:rsidRPr="00586D77" w:rsidRDefault="003161F8" w:rsidP="00586D77">
            <w:pPr>
              <w:spacing w:before="0"/>
              <w:jc w:val="both"/>
              <w:rPr>
                <w:rFonts w:ascii="Calibri" w:hAnsi="Calibri" w:cs="Calibri"/>
                <w:color w:val="000000"/>
                <w:sz w:val="22"/>
                <w:szCs w:val="22"/>
                <w:lang w:eastAsia="en-AU"/>
              </w:rPr>
            </w:pPr>
          </w:p>
        </w:tc>
      </w:tr>
      <w:tr w:rsidR="003161F8" w:rsidRPr="00586D77" w14:paraId="0640E452" w14:textId="7D9F551A" w:rsidTr="003161F8">
        <w:trPr>
          <w:trHeight w:val="580"/>
        </w:trPr>
        <w:tc>
          <w:tcPr>
            <w:tcW w:w="1575" w:type="dxa"/>
            <w:gridSpan w:val="3"/>
            <w:tcBorders>
              <w:top w:val="single" w:sz="4" w:space="0" w:color="auto"/>
              <w:left w:val="single" w:sz="4" w:space="0" w:color="auto"/>
              <w:bottom w:val="single" w:sz="4" w:space="0" w:color="auto"/>
              <w:right w:val="single" w:sz="4" w:space="0" w:color="auto"/>
            </w:tcBorders>
            <w:shd w:val="clear" w:color="auto" w:fill="auto"/>
            <w:hideMark/>
          </w:tcPr>
          <w:p w14:paraId="0FF564DE"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1.2.9</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42B423C"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Workshop in Dong Thap to present findings and collect comments/advice</w:t>
            </w:r>
          </w:p>
        </w:tc>
        <w:tc>
          <w:tcPr>
            <w:tcW w:w="1072" w:type="dxa"/>
            <w:tcBorders>
              <w:top w:val="single" w:sz="4" w:space="0" w:color="auto"/>
              <w:left w:val="single" w:sz="4" w:space="0" w:color="auto"/>
              <w:bottom w:val="single" w:sz="4" w:space="0" w:color="auto"/>
              <w:right w:val="single" w:sz="4" w:space="0" w:color="auto"/>
            </w:tcBorders>
            <w:shd w:val="clear" w:color="auto" w:fill="auto"/>
            <w:hideMark/>
          </w:tcPr>
          <w:p w14:paraId="1A98CA5F"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2755" w:type="dxa"/>
            <w:tcBorders>
              <w:top w:val="single" w:sz="4" w:space="0" w:color="auto"/>
              <w:left w:val="single" w:sz="4" w:space="0" w:color="auto"/>
              <w:bottom w:val="single" w:sz="4" w:space="0" w:color="auto"/>
              <w:right w:val="single" w:sz="4" w:space="0" w:color="auto"/>
            </w:tcBorders>
            <w:shd w:val="clear" w:color="auto" w:fill="auto"/>
            <w:hideMark/>
          </w:tcPr>
          <w:p w14:paraId="7298586E"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Event minutes</w:t>
            </w:r>
          </w:p>
        </w:tc>
        <w:tc>
          <w:tcPr>
            <w:tcW w:w="496" w:type="dxa"/>
            <w:tcBorders>
              <w:top w:val="single" w:sz="4" w:space="0" w:color="auto"/>
              <w:left w:val="single" w:sz="4" w:space="0" w:color="auto"/>
              <w:bottom w:val="single" w:sz="4" w:space="0" w:color="auto"/>
              <w:right w:val="single" w:sz="4" w:space="0" w:color="auto"/>
            </w:tcBorders>
            <w:shd w:val="clear" w:color="auto" w:fill="auto"/>
            <w:hideMark/>
          </w:tcPr>
          <w:p w14:paraId="1E5E6EFB"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7D46322"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9EBE1ED"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946FB05"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0318B1F5"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656FADE3"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86ECBEA"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D919073"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45F4758" w14:textId="77777777" w:rsidR="003161F8" w:rsidRPr="00586D77" w:rsidRDefault="003161F8"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6490CBD1" w14:textId="77777777" w:rsidR="003161F8" w:rsidRPr="00586D77" w:rsidRDefault="003161F8"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21E7F70E" w14:textId="77777777" w:rsidR="003161F8" w:rsidRPr="00586D77" w:rsidRDefault="003161F8" w:rsidP="00586D77">
            <w:pPr>
              <w:spacing w:before="0"/>
              <w:jc w:val="both"/>
              <w:rPr>
                <w:rFonts w:ascii="Calibri" w:hAnsi="Calibri" w:cs="Calibri"/>
                <w:color w:val="000000"/>
                <w:sz w:val="22"/>
                <w:szCs w:val="22"/>
                <w:lang w:eastAsia="en-AU"/>
              </w:rPr>
            </w:pPr>
          </w:p>
        </w:tc>
      </w:tr>
      <w:tr w:rsidR="003161F8" w:rsidRPr="00586D77" w14:paraId="6D19ED2F" w14:textId="5AFD9DAA" w:rsidTr="003161F8">
        <w:trPr>
          <w:trHeight w:val="290"/>
        </w:trPr>
        <w:tc>
          <w:tcPr>
            <w:tcW w:w="1575" w:type="dxa"/>
            <w:gridSpan w:val="3"/>
            <w:tcBorders>
              <w:top w:val="single" w:sz="4" w:space="0" w:color="auto"/>
              <w:left w:val="single" w:sz="4" w:space="0" w:color="auto"/>
              <w:bottom w:val="single" w:sz="4" w:space="0" w:color="auto"/>
              <w:right w:val="single" w:sz="4" w:space="0" w:color="auto"/>
            </w:tcBorders>
            <w:shd w:val="clear" w:color="auto" w:fill="auto"/>
            <w:hideMark/>
          </w:tcPr>
          <w:p w14:paraId="0283E041"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1.2.10</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83ED583"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Report finalizing</w:t>
            </w:r>
          </w:p>
        </w:tc>
        <w:tc>
          <w:tcPr>
            <w:tcW w:w="1072" w:type="dxa"/>
            <w:tcBorders>
              <w:top w:val="single" w:sz="4" w:space="0" w:color="auto"/>
              <w:left w:val="single" w:sz="4" w:space="0" w:color="auto"/>
              <w:bottom w:val="single" w:sz="4" w:space="0" w:color="auto"/>
              <w:right w:val="single" w:sz="4" w:space="0" w:color="auto"/>
            </w:tcBorders>
            <w:shd w:val="clear" w:color="auto" w:fill="auto"/>
            <w:hideMark/>
          </w:tcPr>
          <w:p w14:paraId="3D91C966"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2755" w:type="dxa"/>
            <w:tcBorders>
              <w:top w:val="single" w:sz="4" w:space="0" w:color="auto"/>
              <w:left w:val="single" w:sz="4" w:space="0" w:color="auto"/>
              <w:bottom w:val="single" w:sz="4" w:space="0" w:color="auto"/>
              <w:right w:val="single" w:sz="4" w:space="0" w:color="auto"/>
            </w:tcBorders>
            <w:shd w:val="clear" w:color="auto" w:fill="auto"/>
            <w:hideMark/>
          </w:tcPr>
          <w:p w14:paraId="1CE8317D"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Final field survey report</w:t>
            </w:r>
          </w:p>
        </w:tc>
        <w:tc>
          <w:tcPr>
            <w:tcW w:w="496" w:type="dxa"/>
            <w:tcBorders>
              <w:top w:val="single" w:sz="4" w:space="0" w:color="auto"/>
              <w:left w:val="single" w:sz="4" w:space="0" w:color="auto"/>
              <w:bottom w:val="single" w:sz="4" w:space="0" w:color="auto"/>
              <w:right w:val="single" w:sz="4" w:space="0" w:color="auto"/>
            </w:tcBorders>
            <w:shd w:val="clear" w:color="auto" w:fill="auto"/>
            <w:hideMark/>
          </w:tcPr>
          <w:p w14:paraId="09C80508"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975B2E3"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35C8409"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F421161"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4A1945A"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45C4F991"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0A70459"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25E878D"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F82EF0F" w14:textId="77777777" w:rsidR="003161F8" w:rsidRPr="00586D77" w:rsidRDefault="003161F8"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4E966AD5" w14:textId="77777777" w:rsidR="003161F8" w:rsidRPr="00586D77" w:rsidRDefault="003161F8"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7B8D52AE" w14:textId="77777777" w:rsidR="003161F8" w:rsidRPr="00586D77" w:rsidRDefault="003161F8" w:rsidP="00586D77">
            <w:pPr>
              <w:spacing w:before="0"/>
              <w:jc w:val="both"/>
              <w:rPr>
                <w:rFonts w:ascii="Calibri" w:hAnsi="Calibri" w:cs="Calibri"/>
                <w:color w:val="000000"/>
                <w:sz w:val="22"/>
                <w:szCs w:val="22"/>
                <w:lang w:eastAsia="en-AU"/>
              </w:rPr>
            </w:pPr>
          </w:p>
        </w:tc>
      </w:tr>
      <w:tr w:rsidR="003161F8" w:rsidRPr="00586D77" w14:paraId="1DDE8F6B" w14:textId="77A9CD3A" w:rsidTr="003161F8">
        <w:trPr>
          <w:trHeight w:val="870"/>
        </w:trPr>
        <w:tc>
          <w:tcPr>
            <w:tcW w:w="1575" w:type="dxa"/>
            <w:gridSpan w:val="3"/>
            <w:tcBorders>
              <w:top w:val="single" w:sz="4" w:space="0" w:color="auto"/>
              <w:left w:val="single" w:sz="4" w:space="0" w:color="auto"/>
              <w:bottom w:val="single" w:sz="4" w:space="0" w:color="auto"/>
              <w:right w:val="single" w:sz="4" w:space="0" w:color="auto"/>
            </w:tcBorders>
            <w:shd w:val="clear" w:color="auto" w:fill="auto"/>
            <w:hideMark/>
          </w:tcPr>
          <w:p w14:paraId="16AD2301" w14:textId="77777777" w:rsidR="003161F8" w:rsidRPr="00586D77" w:rsidRDefault="003161F8" w:rsidP="00586D77">
            <w:pPr>
              <w:spacing w:before="0"/>
              <w:jc w:val="right"/>
              <w:rPr>
                <w:rFonts w:ascii="Calibri" w:hAnsi="Calibri" w:cs="Calibri"/>
                <w:sz w:val="22"/>
                <w:szCs w:val="22"/>
                <w:lang w:eastAsia="en-AU"/>
              </w:rPr>
            </w:pPr>
            <w:r w:rsidRPr="00586D77">
              <w:rPr>
                <w:rFonts w:ascii="Calibri" w:hAnsi="Calibri" w:cs="Calibri"/>
                <w:sz w:val="22"/>
                <w:szCs w:val="22"/>
                <w:lang w:eastAsia="en-AU"/>
              </w:rPr>
              <w:t>1.3</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24ABD1"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Recommend the Plan for Restructuring Rice Value Chain in Dong Thap province</w:t>
            </w:r>
          </w:p>
        </w:tc>
        <w:tc>
          <w:tcPr>
            <w:tcW w:w="1072" w:type="dxa"/>
            <w:tcBorders>
              <w:top w:val="single" w:sz="4" w:space="0" w:color="auto"/>
              <w:left w:val="single" w:sz="4" w:space="0" w:color="auto"/>
              <w:bottom w:val="single" w:sz="4" w:space="0" w:color="auto"/>
              <w:right w:val="single" w:sz="4" w:space="0" w:color="auto"/>
            </w:tcBorders>
            <w:shd w:val="clear" w:color="auto" w:fill="auto"/>
            <w:hideMark/>
          </w:tcPr>
          <w:p w14:paraId="18E02B39"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Case study results/ report</w:t>
            </w:r>
          </w:p>
        </w:tc>
        <w:tc>
          <w:tcPr>
            <w:tcW w:w="2755" w:type="dxa"/>
            <w:tcBorders>
              <w:top w:val="single" w:sz="4" w:space="0" w:color="auto"/>
              <w:left w:val="single" w:sz="4" w:space="0" w:color="auto"/>
              <w:bottom w:val="single" w:sz="4" w:space="0" w:color="auto"/>
              <w:right w:val="single" w:sz="4" w:space="0" w:color="auto"/>
            </w:tcBorders>
            <w:shd w:val="clear" w:color="auto" w:fill="auto"/>
            <w:hideMark/>
          </w:tcPr>
          <w:p w14:paraId="6AE6E952"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xml:space="preserve"> Plan for Restructuring Rice Value Chain in Dong Thap</w:t>
            </w:r>
          </w:p>
        </w:tc>
        <w:tc>
          <w:tcPr>
            <w:tcW w:w="496" w:type="dxa"/>
            <w:tcBorders>
              <w:top w:val="single" w:sz="4" w:space="0" w:color="auto"/>
              <w:left w:val="single" w:sz="4" w:space="0" w:color="auto"/>
              <w:bottom w:val="single" w:sz="4" w:space="0" w:color="auto"/>
              <w:right w:val="single" w:sz="4" w:space="0" w:color="auto"/>
            </w:tcBorders>
            <w:shd w:val="clear" w:color="auto" w:fill="auto"/>
            <w:hideMark/>
          </w:tcPr>
          <w:p w14:paraId="6184065D"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0F51500"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5335419"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D2E3EA3"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225E14A"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24080D8"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7F9B9158"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E23DA9F"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086C920" w14:textId="77777777" w:rsidR="003161F8" w:rsidRPr="00586D77" w:rsidRDefault="003161F8"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48331930" w14:textId="77777777" w:rsidR="003161F8" w:rsidRPr="00586D77" w:rsidRDefault="003161F8"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6B5A2EA9" w14:textId="77777777" w:rsidR="003161F8" w:rsidRPr="00586D77" w:rsidRDefault="003161F8" w:rsidP="00586D77">
            <w:pPr>
              <w:spacing w:before="0"/>
              <w:jc w:val="both"/>
              <w:rPr>
                <w:rFonts w:ascii="Calibri" w:hAnsi="Calibri" w:cs="Calibri"/>
                <w:color w:val="000000"/>
                <w:sz w:val="22"/>
                <w:szCs w:val="22"/>
                <w:lang w:eastAsia="en-AU"/>
              </w:rPr>
            </w:pPr>
          </w:p>
        </w:tc>
      </w:tr>
      <w:tr w:rsidR="003161F8" w:rsidRPr="00586D77" w14:paraId="2C839132" w14:textId="7DBCFCA1" w:rsidTr="003161F8">
        <w:trPr>
          <w:trHeight w:val="870"/>
        </w:trPr>
        <w:tc>
          <w:tcPr>
            <w:tcW w:w="1575"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30B796"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1.3.1</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DFFECC8"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Preparing a Plan on Restructuring Rice Value Chain in Dong Thap province (team leader)</w:t>
            </w:r>
          </w:p>
        </w:tc>
        <w:tc>
          <w:tcPr>
            <w:tcW w:w="1072" w:type="dxa"/>
            <w:tcBorders>
              <w:top w:val="single" w:sz="4" w:space="0" w:color="auto"/>
              <w:left w:val="single" w:sz="4" w:space="0" w:color="auto"/>
              <w:bottom w:val="single" w:sz="4" w:space="0" w:color="auto"/>
              <w:right w:val="single" w:sz="4" w:space="0" w:color="auto"/>
            </w:tcBorders>
            <w:shd w:val="clear" w:color="auto" w:fill="auto"/>
            <w:hideMark/>
          </w:tcPr>
          <w:p w14:paraId="4E2B6EBA"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2755" w:type="dxa"/>
            <w:tcBorders>
              <w:top w:val="single" w:sz="4" w:space="0" w:color="auto"/>
              <w:left w:val="single" w:sz="4" w:space="0" w:color="auto"/>
              <w:bottom w:val="single" w:sz="4" w:space="0" w:color="auto"/>
              <w:right w:val="single" w:sz="4" w:space="0" w:color="auto"/>
            </w:tcBorders>
            <w:shd w:val="clear" w:color="auto" w:fill="auto"/>
            <w:hideMark/>
          </w:tcPr>
          <w:p w14:paraId="7343A6A4"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Draft plan for Restructuring Rice Value Chain in Dong Thap</w:t>
            </w:r>
          </w:p>
        </w:tc>
        <w:tc>
          <w:tcPr>
            <w:tcW w:w="496" w:type="dxa"/>
            <w:tcBorders>
              <w:top w:val="single" w:sz="4" w:space="0" w:color="auto"/>
              <w:left w:val="single" w:sz="4" w:space="0" w:color="auto"/>
              <w:bottom w:val="single" w:sz="4" w:space="0" w:color="auto"/>
              <w:right w:val="single" w:sz="4" w:space="0" w:color="auto"/>
            </w:tcBorders>
            <w:shd w:val="clear" w:color="auto" w:fill="auto"/>
            <w:hideMark/>
          </w:tcPr>
          <w:p w14:paraId="7536E8CC"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68DBE23"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6C43170"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FA95EAA"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FA19CD1"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609B78C"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0DD3437D"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7CD0CCC7"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14CDB3C" w14:textId="77777777" w:rsidR="003161F8" w:rsidRPr="00586D77" w:rsidRDefault="003161F8"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5634BAC7" w14:textId="77777777" w:rsidR="003161F8" w:rsidRPr="00586D77" w:rsidRDefault="003161F8"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3FEE3BBC" w14:textId="77777777" w:rsidR="003161F8" w:rsidRPr="00586D77" w:rsidRDefault="003161F8" w:rsidP="00586D77">
            <w:pPr>
              <w:spacing w:before="0"/>
              <w:jc w:val="both"/>
              <w:rPr>
                <w:rFonts w:ascii="Calibri" w:hAnsi="Calibri" w:cs="Calibri"/>
                <w:color w:val="000000"/>
                <w:sz w:val="22"/>
                <w:szCs w:val="22"/>
                <w:lang w:eastAsia="en-AU"/>
              </w:rPr>
            </w:pPr>
          </w:p>
        </w:tc>
      </w:tr>
      <w:tr w:rsidR="003161F8" w:rsidRPr="00586D77" w14:paraId="3EEC8E37" w14:textId="3176742A" w:rsidTr="003161F8">
        <w:trPr>
          <w:trHeight w:val="870"/>
        </w:trPr>
        <w:tc>
          <w:tcPr>
            <w:tcW w:w="1575"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660381"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1.3.2</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AA14B9F"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Regional workshop to present restructuring plan and  collect comments/advice</w:t>
            </w:r>
          </w:p>
        </w:tc>
        <w:tc>
          <w:tcPr>
            <w:tcW w:w="1072" w:type="dxa"/>
            <w:tcBorders>
              <w:top w:val="single" w:sz="4" w:space="0" w:color="auto"/>
              <w:left w:val="single" w:sz="4" w:space="0" w:color="auto"/>
              <w:bottom w:val="single" w:sz="4" w:space="0" w:color="auto"/>
              <w:right w:val="single" w:sz="4" w:space="0" w:color="auto"/>
            </w:tcBorders>
            <w:shd w:val="clear" w:color="auto" w:fill="auto"/>
            <w:hideMark/>
          </w:tcPr>
          <w:p w14:paraId="58DEF1D8"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2755" w:type="dxa"/>
            <w:tcBorders>
              <w:top w:val="single" w:sz="4" w:space="0" w:color="auto"/>
              <w:left w:val="single" w:sz="4" w:space="0" w:color="auto"/>
              <w:bottom w:val="single" w:sz="4" w:space="0" w:color="auto"/>
              <w:right w:val="single" w:sz="4" w:space="0" w:color="auto"/>
            </w:tcBorders>
            <w:shd w:val="clear" w:color="auto" w:fill="auto"/>
            <w:hideMark/>
          </w:tcPr>
          <w:p w14:paraId="7BF0D890"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Event minutes</w:t>
            </w:r>
          </w:p>
        </w:tc>
        <w:tc>
          <w:tcPr>
            <w:tcW w:w="496" w:type="dxa"/>
            <w:tcBorders>
              <w:top w:val="single" w:sz="4" w:space="0" w:color="auto"/>
              <w:left w:val="single" w:sz="4" w:space="0" w:color="auto"/>
              <w:bottom w:val="single" w:sz="4" w:space="0" w:color="auto"/>
              <w:right w:val="single" w:sz="4" w:space="0" w:color="auto"/>
            </w:tcBorders>
            <w:shd w:val="clear" w:color="auto" w:fill="auto"/>
            <w:hideMark/>
          </w:tcPr>
          <w:p w14:paraId="7FC3321F"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E66CCEA"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8D01E60"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32A1BF8"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17FE3CB"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252AF67"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091FAEEE"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1F868FE5"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84AF6D9" w14:textId="77777777" w:rsidR="003161F8" w:rsidRPr="00586D77" w:rsidRDefault="003161F8"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28533312" w14:textId="77777777" w:rsidR="003161F8" w:rsidRPr="00586D77" w:rsidRDefault="003161F8"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1ADAFBC7" w14:textId="77777777" w:rsidR="003161F8" w:rsidRPr="00586D77" w:rsidRDefault="003161F8" w:rsidP="00586D77">
            <w:pPr>
              <w:spacing w:before="0"/>
              <w:jc w:val="both"/>
              <w:rPr>
                <w:rFonts w:ascii="Calibri" w:hAnsi="Calibri" w:cs="Calibri"/>
                <w:color w:val="000000"/>
                <w:sz w:val="22"/>
                <w:szCs w:val="22"/>
                <w:lang w:eastAsia="en-AU"/>
              </w:rPr>
            </w:pPr>
          </w:p>
        </w:tc>
      </w:tr>
      <w:tr w:rsidR="003161F8" w:rsidRPr="00586D77" w14:paraId="4D99BED8" w14:textId="5DF9CAA5" w:rsidTr="003161F8">
        <w:trPr>
          <w:trHeight w:val="290"/>
        </w:trPr>
        <w:tc>
          <w:tcPr>
            <w:tcW w:w="1575" w:type="dxa"/>
            <w:gridSpan w:val="3"/>
            <w:tcBorders>
              <w:top w:val="single" w:sz="4" w:space="0" w:color="auto"/>
              <w:left w:val="single" w:sz="4" w:space="0" w:color="auto"/>
              <w:bottom w:val="single" w:sz="4" w:space="0" w:color="auto"/>
              <w:right w:val="single" w:sz="4" w:space="0" w:color="auto"/>
            </w:tcBorders>
            <w:shd w:val="clear" w:color="auto" w:fill="auto"/>
            <w:hideMark/>
          </w:tcPr>
          <w:p w14:paraId="1418B457"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1.3.3</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2CB37B6"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Seminar/Policy dialogue</w:t>
            </w:r>
          </w:p>
        </w:tc>
        <w:tc>
          <w:tcPr>
            <w:tcW w:w="1072" w:type="dxa"/>
            <w:tcBorders>
              <w:top w:val="single" w:sz="4" w:space="0" w:color="auto"/>
              <w:left w:val="single" w:sz="4" w:space="0" w:color="auto"/>
              <w:bottom w:val="single" w:sz="4" w:space="0" w:color="auto"/>
              <w:right w:val="single" w:sz="4" w:space="0" w:color="auto"/>
            </w:tcBorders>
            <w:shd w:val="clear" w:color="auto" w:fill="auto"/>
            <w:hideMark/>
          </w:tcPr>
          <w:p w14:paraId="19250D3F"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2755" w:type="dxa"/>
            <w:tcBorders>
              <w:top w:val="single" w:sz="4" w:space="0" w:color="auto"/>
              <w:left w:val="single" w:sz="4" w:space="0" w:color="auto"/>
              <w:bottom w:val="single" w:sz="4" w:space="0" w:color="auto"/>
              <w:right w:val="single" w:sz="4" w:space="0" w:color="auto"/>
            </w:tcBorders>
            <w:shd w:val="clear" w:color="auto" w:fill="auto"/>
            <w:hideMark/>
          </w:tcPr>
          <w:p w14:paraId="3D79F258"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Event minutes</w:t>
            </w:r>
          </w:p>
        </w:tc>
        <w:tc>
          <w:tcPr>
            <w:tcW w:w="496" w:type="dxa"/>
            <w:tcBorders>
              <w:top w:val="single" w:sz="4" w:space="0" w:color="auto"/>
              <w:left w:val="single" w:sz="4" w:space="0" w:color="auto"/>
              <w:bottom w:val="single" w:sz="4" w:space="0" w:color="auto"/>
              <w:right w:val="single" w:sz="4" w:space="0" w:color="auto"/>
            </w:tcBorders>
            <w:shd w:val="clear" w:color="auto" w:fill="auto"/>
            <w:hideMark/>
          </w:tcPr>
          <w:p w14:paraId="299DEF31"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AEE01F2"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7CD5DE9"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C986193"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CE42B81"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865CB4E"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04354834"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0B1FB6B4"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AB0D9A0" w14:textId="77777777" w:rsidR="003161F8" w:rsidRPr="00586D77" w:rsidRDefault="003161F8"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52E01579" w14:textId="77777777" w:rsidR="003161F8" w:rsidRPr="00586D77" w:rsidRDefault="003161F8"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79A4B49F" w14:textId="77777777" w:rsidR="003161F8" w:rsidRPr="00586D77" w:rsidRDefault="003161F8" w:rsidP="00586D77">
            <w:pPr>
              <w:spacing w:before="0"/>
              <w:jc w:val="both"/>
              <w:rPr>
                <w:rFonts w:ascii="Calibri" w:hAnsi="Calibri" w:cs="Calibri"/>
                <w:color w:val="000000"/>
                <w:sz w:val="22"/>
                <w:szCs w:val="22"/>
                <w:lang w:eastAsia="en-AU"/>
              </w:rPr>
            </w:pPr>
          </w:p>
        </w:tc>
      </w:tr>
      <w:tr w:rsidR="003161F8" w:rsidRPr="00586D77" w14:paraId="245184BA" w14:textId="3EB226A8" w:rsidTr="003161F8">
        <w:trPr>
          <w:trHeight w:val="290"/>
        </w:trPr>
        <w:tc>
          <w:tcPr>
            <w:tcW w:w="1575" w:type="dxa"/>
            <w:gridSpan w:val="3"/>
            <w:tcBorders>
              <w:top w:val="single" w:sz="4" w:space="0" w:color="auto"/>
              <w:left w:val="single" w:sz="4" w:space="0" w:color="auto"/>
              <w:bottom w:val="single" w:sz="4" w:space="0" w:color="auto"/>
              <w:right w:val="single" w:sz="4" w:space="0" w:color="auto"/>
            </w:tcBorders>
            <w:shd w:val="clear" w:color="auto" w:fill="auto"/>
            <w:hideMark/>
          </w:tcPr>
          <w:p w14:paraId="1E3B37A4"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1.3.4</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0D259E1"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Restructuring plan finalizing</w:t>
            </w:r>
          </w:p>
        </w:tc>
        <w:tc>
          <w:tcPr>
            <w:tcW w:w="1072" w:type="dxa"/>
            <w:tcBorders>
              <w:top w:val="single" w:sz="4" w:space="0" w:color="auto"/>
              <w:left w:val="single" w:sz="4" w:space="0" w:color="auto"/>
              <w:bottom w:val="single" w:sz="4" w:space="0" w:color="auto"/>
              <w:right w:val="single" w:sz="4" w:space="0" w:color="auto"/>
            </w:tcBorders>
            <w:shd w:val="clear" w:color="auto" w:fill="auto"/>
            <w:hideMark/>
          </w:tcPr>
          <w:p w14:paraId="00CEFBA3"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2755" w:type="dxa"/>
            <w:tcBorders>
              <w:top w:val="single" w:sz="4" w:space="0" w:color="auto"/>
              <w:left w:val="single" w:sz="4" w:space="0" w:color="auto"/>
              <w:bottom w:val="single" w:sz="4" w:space="0" w:color="auto"/>
              <w:right w:val="single" w:sz="4" w:space="0" w:color="auto"/>
            </w:tcBorders>
            <w:shd w:val="clear" w:color="auto" w:fill="auto"/>
            <w:hideMark/>
          </w:tcPr>
          <w:p w14:paraId="1F984919"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Final restructuring plan</w:t>
            </w:r>
          </w:p>
        </w:tc>
        <w:tc>
          <w:tcPr>
            <w:tcW w:w="496" w:type="dxa"/>
            <w:tcBorders>
              <w:top w:val="single" w:sz="4" w:space="0" w:color="auto"/>
              <w:left w:val="single" w:sz="4" w:space="0" w:color="auto"/>
              <w:bottom w:val="single" w:sz="4" w:space="0" w:color="auto"/>
              <w:right w:val="single" w:sz="4" w:space="0" w:color="auto"/>
            </w:tcBorders>
            <w:shd w:val="clear" w:color="auto" w:fill="auto"/>
            <w:hideMark/>
          </w:tcPr>
          <w:p w14:paraId="4CC9BC5D"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24C0AF2"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A4CCF43"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FB8262B"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69CF784"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ED0701F"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1D6A4821"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115DDF00"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940C1A4" w14:textId="77777777" w:rsidR="003161F8" w:rsidRPr="00586D77" w:rsidRDefault="003161F8"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5381CE47" w14:textId="77777777" w:rsidR="003161F8" w:rsidRPr="00586D77" w:rsidRDefault="003161F8"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35D34C11" w14:textId="77777777" w:rsidR="003161F8" w:rsidRPr="00586D77" w:rsidRDefault="003161F8" w:rsidP="00586D77">
            <w:pPr>
              <w:spacing w:before="0"/>
              <w:jc w:val="both"/>
              <w:rPr>
                <w:rFonts w:ascii="Calibri" w:hAnsi="Calibri" w:cs="Calibri"/>
                <w:color w:val="000000"/>
                <w:sz w:val="22"/>
                <w:szCs w:val="22"/>
                <w:lang w:eastAsia="en-AU"/>
              </w:rPr>
            </w:pPr>
          </w:p>
        </w:tc>
      </w:tr>
    </w:tbl>
    <w:p w14:paraId="056FD88D" w14:textId="77777777" w:rsidR="003161F8" w:rsidRDefault="003161F8">
      <w:r>
        <w:br w:type="page"/>
      </w:r>
    </w:p>
    <w:tbl>
      <w:tblPr>
        <w:tblW w:w="14686" w:type="dxa"/>
        <w:tblInd w:w="93" w:type="dxa"/>
        <w:tblLayout w:type="fixed"/>
        <w:tblLook w:val="04A0" w:firstRow="1" w:lastRow="0" w:firstColumn="1" w:lastColumn="0" w:noHBand="0" w:noVBand="1"/>
      </w:tblPr>
      <w:tblGrid>
        <w:gridCol w:w="1575"/>
        <w:gridCol w:w="3118"/>
        <w:gridCol w:w="1072"/>
        <w:gridCol w:w="2755"/>
        <w:gridCol w:w="496"/>
        <w:gridCol w:w="567"/>
        <w:gridCol w:w="567"/>
        <w:gridCol w:w="567"/>
        <w:gridCol w:w="567"/>
        <w:gridCol w:w="567"/>
        <w:gridCol w:w="567"/>
        <w:gridCol w:w="567"/>
        <w:gridCol w:w="567"/>
        <w:gridCol w:w="567"/>
        <w:gridCol w:w="567"/>
      </w:tblGrid>
      <w:tr w:rsidR="003161F8" w:rsidRPr="00586D77" w14:paraId="2A6D984E" w14:textId="0619EC97" w:rsidTr="005D67FC">
        <w:trPr>
          <w:trHeight w:val="290"/>
        </w:trPr>
        <w:tc>
          <w:tcPr>
            <w:tcW w:w="14686" w:type="dxa"/>
            <w:gridSpan w:val="15"/>
            <w:tcBorders>
              <w:top w:val="nil"/>
              <w:left w:val="single" w:sz="4" w:space="0" w:color="auto"/>
              <w:bottom w:val="single" w:sz="4" w:space="0" w:color="auto"/>
              <w:right w:val="single" w:sz="4" w:space="0" w:color="auto"/>
            </w:tcBorders>
            <w:shd w:val="clear" w:color="000000" w:fill="BFBFBF"/>
            <w:noWrap/>
            <w:hideMark/>
          </w:tcPr>
          <w:p w14:paraId="7FF0E43A" w14:textId="30E612E6" w:rsidR="003161F8" w:rsidRPr="00586D77" w:rsidRDefault="003161F8" w:rsidP="00586D77">
            <w:pPr>
              <w:spacing w:before="0"/>
              <w:rPr>
                <w:rFonts w:ascii="Calibri" w:hAnsi="Calibri" w:cs="Calibri"/>
                <w:sz w:val="22"/>
                <w:szCs w:val="22"/>
                <w:lang w:eastAsia="en-AU"/>
              </w:rPr>
            </w:pPr>
            <w:r w:rsidRPr="00586D77">
              <w:rPr>
                <w:rFonts w:cs="Arial"/>
                <w:b/>
                <w:bCs/>
                <w:szCs w:val="20"/>
                <w:lang w:eastAsia="en-AU"/>
              </w:rPr>
              <w:t>Output 2: Developing economic models to evaluate the impacts of policies regarding rice/paddy land conversion and FTA commitments</w:t>
            </w:r>
          </w:p>
          <w:p w14:paraId="360EC949" w14:textId="39B8C1D5" w:rsidR="003161F8" w:rsidRPr="00586D77" w:rsidRDefault="003161F8" w:rsidP="00586D77">
            <w:pPr>
              <w:spacing w:before="0"/>
              <w:jc w:val="both"/>
              <w:rPr>
                <w:rFonts w:ascii="Calibri" w:hAnsi="Calibri" w:cs="Calibri"/>
                <w:color w:val="000000"/>
                <w:sz w:val="22"/>
                <w:szCs w:val="22"/>
                <w:lang w:eastAsia="en-AU"/>
              </w:rPr>
            </w:pPr>
            <w:r w:rsidRPr="00586D77">
              <w:rPr>
                <w:rFonts w:ascii="Calibri" w:hAnsi="Calibri" w:cs="Calibri"/>
                <w:sz w:val="22"/>
                <w:szCs w:val="22"/>
                <w:lang w:eastAsia="en-AU"/>
              </w:rPr>
              <w:t> </w:t>
            </w:r>
          </w:p>
        </w:tc>
      </w:tr>
      <w:tr w:rsidR="003161F8" w:rsidRPr="00586D77" w14:paraId="5607C6F5" w14:textId="704CCBAF" w:rsidTr="003161F8">
        <w:trPr>
          <w:trHeight w:val="1160"/>
        </w:trPr>
        <w:tc>
          <w:tcPr>
            <w:tcW w:w="1575" w:type="dxa"/>
            <w:tcBorders>
              <w:top w:val="nil"/>
              <w:left w:val="single" w:sz="4" w:space="0" w:color="auto"/>
              <w:bottom w:val="single" w:sz="4" w:space="0" w:color="auto"/>
              <w:right w:val="single" w:sz="4" w:space="0" w:color="auto"/>
            </w:tcBorders>
            <w:shd w:val="clear" w:color="auto" w:fill="auto"/>
            <w:hideMark/>
          </w:tcPr>
          <w:p w14:paraId="4978A4E1" w14:textId="77777777" w:rsidR="003161F8" w:rsidRPr="00586D77" w:rsidRDefault="003161F8" w:rsidP="00586D77">
            <w:pPr>
              <w:spacing w:before="0"/>
              <w:jc w:val="right"/>
              <w:rPr>
                <w:rFonts w:ascii="Calibri" w:hAnsi="Calibri" w:cs="Calibri"/>
                <w:sz w:val="22"/>
                <w:szCs w:val="22"/>
                <w:lang w:eastAsia="en-AU"/>
              </w:rPr>
            </w:pPr>
            <w:r w:rsidRPr="00586D77">
              <w:rPr>
                <w:rFonts w:ascii="Calibri" w:hAnsi="Calibri" w:cs="Calibri"/>
                <w:sz w:val="22"/>
                <w:szCs w:val="22"/>
                <w:lang w:eastAsia="en-AU"/>
              </w:rPr>
              <w:t>2.1</w:t>
            </w:r>
          </w:p>
        </w:tc>
        <w:tc>
          <w:tcPr>
            <w:tcW w:w="3118" w:type="dxa"/>
            <w:tcBorders>
              <w:top w:val="nil"/>
              <w:left w:val="nil"/>
              <w:bottom w:val="single" w:sz="4" w:space="0" w:color="auto"/>
              <w:right w:val="single" w:sz="4" w:space="0" w:color="auto"/>
            </w:tcBorders>
            <w:shd w:val="clear" w:color="auto" w:fill="auto"/>
            <w:hideMark/>
          </w:tcPr>
          <w:p w14:paraId="345A1C96"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xml:space="preserve">Activity 2.1: Survey of international experience and processing data for </w:t>
            </w:r>
            <w:proofErr w:type="spellStart"/>
            <w:r w:rsidRPr="00586D77">
              <w:rPr>
                <w:rFonts w:ascii="Calibri" w:hAnsi="Calibri" w:cs="Calibri"/>
                <w:sz w:val="22"/>
                <w:szCs w:val="22"/>
                <w:lang w:eastAsia="en-AU"/>
              </w:rPr>
              <w:t>modeling</w:t>
            </w:r>
            <w:proofErr w:type="spellEnd"/>
          </w:p>
        </w:tc>
        <w:tc>
          <w:tcPr>
            <w:tcW w:w="1072" w:type="dxa"/>
            <w:tcBorders>
              <w:top w:val="nil"/>
              <w:left w:val="nil"/>
              <w:bottom w:val="single" w:sz="4" w:space="0" w:color="auto"/>
              <w:right w:val="single" w:sz="4" w:space="0" w:color="auto"/>
            </w:tcBorders>
            <w:shd w:val="clear" w:color="auto" w:fill="auto"/>
            <w:hideMark/>
          </w:tcPr>
          <w:p w14:paraId="00077FF6"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Secondary data and information</w:t>
            </w:r>
          </w:p>
        </w:tc>
        <w:tc>
          <w:tcPr>
            <w:tcW w:w="2755" w:type="dxa"/>
            <w:tcBorders>
              <w:top w:val="nil"/>
              <w:left w:val="nil"/>
              <w:bottom w:val="single" w:sz="4" w:space="0" w:color="auto"/>
              <w:right w:val="single" w:sz="4" w:space="0" w:color="auto"/>
            </w:tcBorders>
            <w:shd w:val="clear" w:color="auto" w:fill="auto"/>
            <w:hideMark/>
          </w:tcPr>
          <w:p w14:paraId="3AC4AF33"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Literature review  &amp; database for modelling</w:t>
            </w:r>
          </w:p>
        </w:tc>
        <w:tc>
          <w:tcPr>
            <w:tcW w:w="496" w:type="dxa"/>
            <w:tcBorders>
              <w:top w:val="nil"/>
              <w:left w:val="nil"/>
              <w:bottom w:val="single" w:sz="4" w:space="0" w:color="auto"/>
              <w:right w:val="single" w:sz="4" w:space="0" w:color="auto"/>
            </w:tcBorders>
            <w:shd w:val="clear" w:color="auto" w:fill="auto"/>
            <w:hideMark/>
          </w:tcPr>
          <w:p w14:paraId="391D3AB6"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31622944"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FFFF00"/>
            <w:hideMark/>
          </w:tcPr>
          <w:p w14:paraId="1DD5E4AE"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FFFF00"/>
            <w:hideMark/>
          </w:tcPr>
          <w:p w14:paraId="31B2ABEC"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FFFF00"/>
            <w:hideMark/>
          </w:tcPr>
          <w:p w14:paraId="2E7A45DE"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23D713EA"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0D23CFAD"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31E2E741"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8CE866C" w14:textId="77777777" w:rsidR="003161F8" w:rsidRPr="00586D77" w:rsidRDefault="003161F8"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4D2EF46E" w14:textId="77777777" w:rsidR="003161F8" w:rsidRPr="00586D77" w:rsidRDefault="003161F8"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1D64038B" w14:textId="77777777" w:rsidR="003161F8" w:rsidRPr="00586D77" w:rsidRDefault="003161F8" w:rsidP="00586D77">
            <w:pPr>
              <w:spacing w:before="0"/>
              <w:jc w:val="both"/>
              <w:rPr>
                <w:rFonts w:ascii="Calibri" w:hAnsi="Calibri" w:cs="Calibri"/>
                <w:color w:val="000000"/>
                <w:sz w:val="22"/>
                <w:szCs w:val="22"/>
                <w:lang w:eastAsia="en-AU"/>
              </w:rPr>
            </w:pPr>
          </w:p>
        </w:tc>
      </w:tr>
      <w:tr w:rsidR="003161F8" w:rsidRPr="00586D77" w14:paraId="08CEFFBF" w14:textId="20E8AE56" w:rsidTr="003161F8">
        <w:trPr>
          <w:trHeight w:val="1160"/>
        </w:trPr>
        <w:tc>
          <w:tcPr>
            <w:tcW w:w="1575" w:type="dxa"/>
            <w:tcBorders>
              <w:top w:val="nil"/>
              <w:left w:val="single" w:sz="4" w:space="0" w:color="auto"/>
              <w:bottom w:val="single" w:sz="4" w:space="0" w:color="auto"/>
              <w:right w:val="single" w:sz="4" w:space="0" w:color="auto"/>
            </w:tcBorders>
            <w:shd w:val="clear" w:color="auto" w:fill="auto"/>
            <w:hideMark/>
          </w:tcPr>
          <w:p w14:paraId="03688A29"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2.1.1</w:t>
            </w:r>
          </w:p>
        </w:tc>
        <w:tc>
          <w:tcPr>
            <w:tcW w:w="3118" w:type="dxa"/>
            <w:tcBorders>
              <w:top w:val="nil"/>
              <w:left w:val="nil"/>
              <w:bottom w:val="single" w:sz="4" w:space="0" w:color="auto"/>
              <w:right w:val="single" w:sz="4" w:space="0" w:color="auto"/>
            </w:tcBorders>
            <w:shd w:val="clear" w:color="auto" w:fill="auto"/>
            <w:hideMark/>
          </w:tcPr>
          <w:p w14:paraId="5C89029C"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Surveying models proposed for evaluating policies regarding the conversion of production factors (especially land)</w:t>
            </w:r>
          </w:p>
        </w:tc>
        <w:tc>
          <w:tcPr>
            <w:tcW w:w="1072" w:type="dxa"/>
            <w:tcBorders>
              <w:top w:val="nil"/>
              <w:left w:val="nil"/>
              <w:bottom w:val="single" w:sz="4" w:space="0" w:color="auto"/>
              <w:right w:val="single" w:sz="4" w:space="0" w:color="auto"/>
            </w:tcBorders>
            <w:shd w:val="clear" w:color="auto" w:fill="auto"/>
            <w:hideMark/>
          </w:tcPr>
          <w:p w14:paraId="0F3611F6"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2755" w:type="dxa"/>
            <w:tcBorders>
              <w:top w:val="nil"/>
              <w:left w:val="nil"/>
              <w:bottom w:val="single" w:sz="4" w:space="0" w:color="auto"/>
              <w:right w:val="single" w:sz="4" w:space="0" w:color="auto"/>
            </w:tcBorders>
            <w:shd w:val="clear" w:color="auto" w:fill="auto"/>
            <w:hideMark/>
          </w:tcPr>
          <w:p w14:paraId="285BC470"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xml:space="preserve">Literature review  </w:t>
            </w:r>
          </w:p>
        </w:tc>
        <w:tc>
          <w:tcPr>
            <w:tcW w:w="496" w:type="dxa"/>
            <w:tcBorders>
              <w:top w:val="nil"/>
              <w:left w:val="nil"/>
              <w:bottom w:val="single" w:sz="4" w:space="0" w:color="auto"/>
              <w:right w:val="single" w:sz="4" w:space="0" w:color="auto"/>
            </w:tcBorders>
            <w:shd w:val="clear" w:color="auto" w:fill="auto"/>
            <w:hideMark/>
          </w:tcPr>
          <w:p w14:paraId="078C42AB"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2AE63C84"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FFFF00"/>
            <w:hideMark/>
          </w:tcPr>
          <w:p w14:paraId="5DAC55BD"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FFFF00"/>
            <w:hideMark/>
          </w:tcPr>
          <w:p w14:paraId="37621FEF"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FFFF00"/>
            <w:hideMark/>
          </w:tcPr>
          <w:p w14:paraId="4A6FD95B"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3FF2677A"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517890FB"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195EC8F9"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450BF7D" w14:textId="77777777" w:rsidR="003161F8" w:rsidRPr="00586D77" w:rsidRDefault="003161F8"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1974CD9F" w14:textId="77777777" w:rsidR="003161F8" w:rsidRPr="00586D77" w:rsidRDefault="003161F8"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3100FEF7" w14:textId="77777777" w:rsidR="003161F8" w:rsidRPr="00586D77" w:rsidRDefault="003161F8" w:rsidP="00586D77">
            <w:pPr>
              <w:spacing w:before="0"/>
              <w:jc w:val="both"/>
              <w:rPr>
                <w:rFonts w:ascii="Calibri" w:hAnsi="Calibri" w:cs="Calibri"/>
                <w:color w:val="000000"/>
                <w:sz w:val="22"/>
                <w:szCs w:val="22"/>
                <w:lang w:eastAsia="en-AU"/>
              </w:rPr>
            </w:pPr>
          </w:p>
        </w:tc>
      </w:tr>
      <w:tr w:rsidR="003161F8" w:rsidRPr="00586D77" w14:paraId="08F67362" w14:textId="0E421809" w:rsidTr="003161F8">
        <w:trPr>
          <w:trHeight w:val="580"/>
        </w:trPr>
        <w:tc>
          <w:tcPr>
            <w:tcW w:w="1575" w:type="dxa"/>
            <w:tcBorders>
              <w:top w:val="nil"/>
              <w:left w:val="single" w:sz="4" w:space="0" w:color="auto"/>
              <w:bottom w:val="single" w:sz="4" w:space="0" w:color="auto"/>
              <w:right w:val="single" w:sz="4" w:space="0" w:color="auto"/>
            </w:tcBorders>
            <w:shd w:val="clear" w:color="auto" w:fill="auto"/>
            <w:hideMark/>
          </w:tcPr>
          <w:p w14:paraId="0835F3FE"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2.1.2</w:t>
            </w:r>
          </w:p>
        </w:tc>
        <w:tc>
          <w:tcPr>
            <w:tcW w:w="3118" w:type="dxa"/>
            <w:tcBorders>
              <w:top w:val="nil"/>
              <w:left w:val="nil"/>
              <w:bottom w:val="single" w:sz="4" w:space="0" w:color="auto"/>
              <w:right w:val="single" w:sz="4" w:space="0" w:color="auto"/>
            </w:tcBorders>
            <w:shd w:val="clear" w:color="auto" w:fill="auto"/>
            <w:hideMark/>
          </w:tcPr>
          <w:p w14:paraId="18DE1431"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xml:space="preserve">Processing data for </w:t>
            </w:r>
            <w:proofErr w:type="spellStart"/>
            <w:r w:rsidRPr="00586D77">
              <w:rPr>
                <w:rFonts w:ascii="Calibri" w:hAnsi="Calibri" w:cs="Calibri"/>
                <w:sz w:val="22"/>
                <w:szCs w:val="22"/>
                <w:lang w:eastAsia="en-AU"/>
              </w:rPr>
              <w:t>modeling</w:t>
            </w:r>
            <w:proofErr w:type="spellEnd"/>
            <w:r w:rsidRPr="00586D77">
              <w:rPr>
                <w:rFonts w:ascii="Calibri" w:hAnsi="Calibri" w:cs="Calibri"/>
                <w:sz w:val="22"/>
                <w:szCs w:val="22"/>
                <w:lang w:eastAsia="en-AU"/>
              </w:rPr>
              <w:t xml:space="preserve"> rice/paddy land conversion</w:t>
            </w:r>
          </w:p>
        </w:tc>
        <w:tc>
          <w:tcPr>
            <w:tcW w:w="1072" w:type="dxa"/>
            <w:tcBorders>
              <w:top w:val="nil"/>
              <w:left w:val="nil"/>
              <w:bottom w:val="single" w:sz="4" w:space="0" w:color="auto"/>
              <w:right w:val="single" w:sz="4" w:space="0" w:color="auto"/>
            </w:tcBorders>
            <w:shd w:val="clear" w:color="auto" w:fill="auto"/>
            <w:hideMark/>
          </w:tcPr>
          <w:p w14:paraId="1AB96921"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2755" w:type="dxa"/>
            <w:tcBorders>
              <w:top w:val="nil"/>
              <w:left w:val="nil"/>
              <w:bottom w:val="single" w:sz="4" w:space="0" w:color="auto"/>
              <w:right w:val="single" w:sz="4" w:space="0" w:color="auto"/>
            </w:tcBorders>
            <w:shd w:val="clear" w:color="auto" w:fill="auto"/>
            <w:hideMark/>
          </w:tcPr>
          <w:p w14:paraId="5602DBD9"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Database for modelling</w:t>
            </w:r>
          </w:p>
        </w:tc>
        <w:tc>
          <w:tcPr>
            <w:tcW w:w="496" w:type="dxa"/>
            <w:tcBorders>
              <w:top w:val="nil"/>
              <w:left w:val="nil"/>
              <w:bottom w:val="single" w:sz="4" w:space="0" w:color="auto"/>
              <w:right w:val="single" w:sz="4" w:space="0" w:color="auto"/>
            </w:tcBorders>
            <w:shd w:val="clear" w:color="auto" w:fill="auto"/>
            <w:hideMark/>
          </w:tcPr>
          <w:p w14:paraId="23A5D6F8"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2C34A875"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FFFF00"/>
            <w:hideMark/>
          </w:tcPr>
          <w:p w14:paraId="7B2F6B77"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FFFF00"/>
            <w:hideMark/>
          </w:tcPr>
          <w:p w14:paraId="653AA1B3"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FFFF00"/>
            <w:hideMark/>
          </w:tcPr>
          <w:p w14:paraId="155A3868"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4132A23B"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4E8690F7"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1B744446"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66C0486" w14:textId="77777777" w:rsidR="003161F8" w:rsidRPr="00586D77" w:rsidRDefault="003161F8"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18A0BDA1" w14:textId="77777777" w:rsidR="003161F8" w:rsidRPr="00586D77" w:rsidRDefault="003161F8"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69979158" w14:textId="77777777" w:rsidR="003161F8" w:rsidRPr="00586D77" w:rsidRDefault="003161F8" w:rsidP="00586D77">
            <w:pPr>
              <w:spacing w:before="0"/>
              <w:jc w:val="both"/>
              <w:rPr>
                <w:rFonts w:ascii="Calibri" w:hAnsi="Calibri" w:cs="Calibri"/>
                <w:color w:val="000000"/>
                <w:sz w:val="22"/>
                <w:szCs w:val="22"/>
                <w:lang w:eastAsia="en-AU"/>
              </w:rPr>
            </w:pPr>
          </w:p>
        </w:tc>
      </w:tr>
      <w:tr w:rsidR="003161F8" w:rsidRPr="00586D77" w14:paraId="158CB591" w14:textId="76AFBE39" w:rsidTr="003161F8">
        <w:trPr>
          <w:trHeight w:val="1160"/>
        </w:trPr>
        <w:tc>
          <w:tcPr>
            <w:tcW w:w="1575" w:type="dxa"/>
            <w:tcBorders>
              <w:top w:val="nil"/>
              <w:left w:val="single" w:sz="4" w:space="0" w:color="auto"/>
              <w:bottom w:val="single" w:sz="4" w:space="0" w:color="auto"/>
              <w:right w:val="single" w:sz="4" w:space="0" w:color="auto"/>
            </w:tcBorders>
            <w:shd w:val="clear" w:color="auto" w:fill="auto"/>
            <w:hideMark/>
          </w:tcPr>
          <w:p w14:paraId="71B51CE3" w14:textId="77777777" w:rsidR="003161F8" w:rsidRPr="00586D77" w:rsidRDefault="003161F8" w:rsidP="00586D77">
            <w:pPr>
              <w:spacing w:before="0"/>
              <w:jc w:val="right"/>
              <w:rPr>
                <w:rFonts w:ascii="Calibri" w:hAnsi="Calibri" w:cs="Calibri"/>
                <w:sz w:val="22"/>
                <w:szCs w:val="22"/>
                <w:lang w:eastAsia="en-AU"/>
              </w:rPr>
            </w:pPr>
            <w:r w:rsidRPr="00586D77">
              <w:rPr>
                <w:rFonts w:ascii="Calibri" w:hAnsi="Calibri" w:cs="Calibri"/>
                <w:sz w:val="22"/>
                <w:szCs w:val="22"/>
                <w:lang w:eastAsia="en-AU"/>
              </w:rPr>
              <w:t>2.2</w:t>
            </w:r>
          </w:p>
        </w:tc>
        <w:tc>
          <w:tcPr>
            <w:tcW w:w="3118" w:type="dxa"/>
            <w:tcBorders>
              <w:top w:val="nil"/>
              <w:left w:val="nil"/>
              <w:bottom w:val="single" w:sz="4" w:space="0" w:color="auto"/>
              <w:right w:val="single" w:sz="4" w:space="0" w:color="auto"/>
            </w:tcBorders>
            <w:shd w:val="clear" w:color="auto" w:fill="auto"/>
            <w:hideMark/>
          </w:tcPr>
          <w:p w14:paraId="4C2229B3"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Activity 2.2: Developing a Computable General Equilibrium (CGE) model to evaluate the impacts of the land conversion policy and FTA commitments</w:t>
            </w:r>
          </w:p>
        </w:tc>
        <w:tc>
          <w:tcPr>
            <w:tcW w:w="1072" w:type="dxa"/>
            <w:tcBorders>
              <w:top w:val="nil"/>
              <w:left w:val="nil"/>
              <w:bottom w:val="single" w:sz="4" w:space="0" w:color="auto"/>
              <w:right w:val="single" w:sz="4" w:space="0" w:color="auto"/>
            </w:tcBorders>
            <w:shd w:val="clear" w:color="auto" w:fill="auto"/>
            <w:hideMark/>
          </w:tcPr>
          <w:p w14:paraId="55A68DF8"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2755" w:type="dxa"/>
            <w:tcBorders>
              <w:top w:val="nil"/>
              <w:left w:val="nil"/>
              <w:bottom w:val="single" w:sz="4" w:space="0" w:color="auto"/>
              <w:right w:val="single" w:sz="4" w:space="0" w:color="auto"/>
            </w:tcBorders>
            <w:shd w:val="clear" w:color="auto" w:fill="auto"/>
            <w:hideMark/>
          </w:tcPr>
          <w:p w14:paraId="71A14A0B"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Report on evaluating the impacts of the land conversion policy and FTA commitments</w:t>
            </w:r>
          </w:p>
        </w:tc>
        <w:tc>
          <w:tcPr>
            <w:tcW w:w="496" w:type="dxa"/>
            <w:tcBorders>
              <w:top w:val="nil"/>
              <w:left w:val="nil"/>
              <w:bottom w:val="single" w:sz="4" w:space="0" w:color="auto"/>
              <w:right w:val="single" w:sz="4" w:space="0" w:color="auto"/>
            </w:tcBorders>
            <w:shd w:val="clear" w:color="auto" w:fill="auto"/>
            <w:hideMark/>
          </w:tcPr>
          <w:p w14:paraId="3418D7A0"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3814DA49"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1306EF19"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FFFF00"/>
            <w:hideMark/>
          </w:tcPr>
          <w:p w14:paraId="0C0F5DFD"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FFFF00"/>
            <w:hideMark/>
          </w:tcPr>
          <w:p w14:paraId="44956676"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FFFF00"/>
            <w:hideMark/>
          </w:tcPr>
          <w:p w14:paraId="32889582"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FFFF00"/>
            <w:hideMark/>
          </w:tcPr>
          <w:p w14:paraId="3CDC717F"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6FFAE3BC"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6FF91E5" w14:textId="77777777" w:rsidR="003161F8" w:rsidRPr="00586D77" w:rsidRDefault="003161F8"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4F218811" w14:textId="77777777" w:rsidR="003161F8" w:rsidRPr="00586D77" w:rsidRDefault="003161F8"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546DDBA7" w14:textId="77777777" w:rsidR="003161F8" w:rsidRPr="00586D77" w:rsidRDefault="003161F8" w:rsidP="00586D77">
            <w:pPr>
              <w:spacing w:before="0"/>
              <w:jc w:val="both"/>
              <w:rPr>
                <w:rFonts w:ascii="Calibri" w:hAnsi="Calibri" w:cs="Calibri"/>
                <w:color w:val="000000"/>
                <w:sz w:val="22"/>
                <w:szCs w:val="22"/>
                <w:lang w:eastAsia="en-AU"/>
              </w:rPr>
            </w:pPr>
          </w:p>
        </w:tc>
      </w:tr>
      <w:tr w:rsidR="003161F8" w:rsidRPr="00586D77" w14:paraId="16EF9E36" w14:textId="15906997" w:rsidTr="003161F8">
        <w:trPr>
          <w:trHeight w:val="3480"/>
        </w:trPr>
        <w:tc>
          <w:tcPr>
            <w:tcW w:w="1575" w:type="dxa"/>
            <w:tcBorders>
              <w:top w:val="nil"/>
              <w:left w:val="single" w:sz="4" w:space="0" w:color="auto"/>
              <w:bottom w:val="single" w:sz="4" w:space="0" w:color="auto"/>
              <w:right w:val="single" w:sz="4" w:space="0" w:color="auto"/>
            </w:tcBorders>
            <w:shd w:val="clear" w:color="auto" w:fill="auto"/>
            <w:hideMark/>
          </w:tcPr>
          <w:p w14:paraId="521E3811"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2.2.1</w:t>
            </w:r>
          </w:p>
        </w:tc>
        <w:tc>
          <w:tcPr>
            <w:tcW w:w="3118" w:type="dxa"/>
            <w:tcBorders>
              <w:top w:val="nil"/>
              <w:left w:val="nil"/>
              <w:bottom w:val="single" w:sz="4" w:space="0" w:color="auto"/>
              <w:right w:val="single" w:sz="4" w:space="0" w:color="auto"/>
            </w:tcBorders>
            <w:shd w:val="clear" w:color="auto" w:fill="auto"/>
            <w:hideMark/>
          </w:tcPr>
          <w:p w14:paraId="6C59CD73"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Formulating the model, coding, simulation and scenario analysis</w:t>
            </w:r>
          </w:p>
        </w:tc>
        <w:tc>
          <w:tcPr>
            <w:tcW w:w="1072" w:type="dxa"/>
            <w:tcBorders>
              <w:top w:val="nil"/>
              <w:left w:val="nil"/>
              <w:bottom w:val="single" w:sz="4" w:space="0" w:color="auto"/>
              <w:right w:val="single" w:sz="4" w:space="0" w:color="auto"/>
            </w:tcBorders>
            <w:shd w:val="clear" w:color="auto" w:fill="auto"/>
            <w:hideMark/>
          </w:tcPr>
          <w:p w14:paraId="4C2B967C" w14:textId="77777777" w:rsidR="003161F8" w:rsidRPr="00586D77" w:rsidRDefault="003161F8" w:rsidP="003161F8">
            <w:pPr>
              <w:spacing w:before="0"/>
              <w:ind w:left="-108" w:right="-28"/>
              <w:rPr>
                <w:rFonts w:ascii="Calibri" w:hAnsi="Calibri" w:cs="Calibri"/>
                <w:sz w:val="22"/>
                <w:szCs w:val="22"/>
                <w:lang w:eastAsia="en-AU"/>
              </w:rPr>
            </w:pPr>
            <w:r w:rsidRPr="00586D77">
              <w:rPr>
                <w:rFonts w:ascii="Calibri" w:hAnsi="Calibri" w:cs="Calibri"/>
                <w:sz w:val="22"/>
                <w:szCs w:val="22"/>
                <w:lang w:eastAsia="en-AU"/>
              </w:rPr>
              <w:t xml:space="preserve">SAM table for CGE modelling, FTA negotiation scenarios, household data for livelihood and food security analysis </w:t>
            </w:r>
          </w:p>
        </w:tc>
        <w:tc>
          <w:tcPr>
            <w:tcW w:w="2755" w:type="dxa"/>
            <w:tcBorders>
              <w:top w:val="nil"/>
              <w:left w:val="nil"/>
              <w:bottom w:val="single" w:sz="4" w:space="0" w:color="auto"/>
              <w:right w:val="single" w:sz="4" w:space="0" w:color="auto"/>
            </w:tcBorders>
            <w:shd w:val="clear" w:color="auto" w:fill="auto"/>
            <w:hideMark/>
          </w:tcPr>
          <w:p w14:paraId="3F38E77E"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496" w:type="dxa"/>
            <w:tcBorders>
              <w:top w:val="nil"/>
              <w:left w:val="nil"/>
              <w:bottom w:val="single" w:sz="4" w:space="0" w:color="auto"/>
              <w:right w:val="single" w:sz="4" w:space="0" w:color="auto"/>
            </w:tcBorders>
            <w:shd w:val="clear" w:color="auto" w:fill="auto"/>
            <w:hideMark/>
          </w:tcPr>
          <w:p w14:paraId="00FDA570"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1DC07675"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7B8D25E4"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FFFF00"/>
            <w:hideMark/>
          </w:tcPr>
          <w:p w14:paraId="70F39ACB"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FFFF00"/>
            <w:hideMark/>
          </w:tcPr>
          <w:p w14:paraId="4C8642D3"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FFFF00"/>
            <w:hideMark/>
          </w:tcPr>
          <w:p w14:paraId="55BE73D7"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FFFF00"/>
            <w:hideMark/>
          </w:tcPr>
          <w:p w14:paraId="066EDB1F"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65D8E9D5"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D8F8BB6" w14:textId="77777777" w:rsidR="003161F8" w:rsidRPr="00586D77" w:rsidRDefault="003161F8"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602F8A1D" w14:textId="77777777" w:rsidR="003161F8" w:rsidRPr="00586D77" w:rsidRDefault="003161F8"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1AD26696" w14:textId="77777777" w:rsidR="003161F8" w:rsidRPr="00586D77" w:rsidRDefault="003161F8" w:rsidP="00586D77">
            <w:pPr>
              <w:spacing w:before="0"/>
              <w:jc w:val="both"/>
              <w:rPr>
                <w:rFonts w:ascii="Calibri" w:hAnsi="Calibri" w:cs="Calibri"/>
                <w:color w:val="000000"/>
                <w:sz w:val="22"/>
                <w:szCs w:val="22"/>
                <w:lang w:eastAsia="en-AU"/>
              </w:rPr>
            </w:pPr>
          </w:p>
        </w:tc>
      </w:tr>
      <w:tr w:rsidR="003161F8" w:rsidRPr="00586D77" w14:paraId="74E0148D" w14:textId="14B63920" w:rsidTr="003161F8">
        <w:trPr>
          <w:trHeight w:val="1160"/>
        </w:trPr>
        <w:tc>
          <w:tcPr>
            <w:tcW w:w="1575" w:type="dxa"/>
            <w:tcBorders>
              <w:top w:val="single" w:sz="4" w:space="0" w:color="auto"/>
              <w:left w:val="single" w:sz="4" w:space="0" w:color="auto"/>
              <w:bottom w:val="single" w:sz="4" w:space="0" w:color="auto"/>
              <w:right w:val="single" w:sz="4" w:space="0" w:color="auto"/>
            </w:tcBorders>
            <w:shd w:val="clear" w:color="auto" w:fill="auto"/>
            <w:hideMark/>
          </w:tcPr>
          <w:p w14:paraId="01952FF9"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2.2.2</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535E1954"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A model-based assessment of the impacts of the policies on macroeconomic indicators such as GDP, inflation, employment, trade balance</w:t>
            </w:r>
          </w:p>
        </w:tc>
        <w:tc>
          <w:tcPr>
            <w:tcW w:w="1072" w:type="dxa"/>
            <w:tcBorders>
              <w:top w:val="single" w:sz="4" w:space="0" w:color="auto"/>
              <w:left w:val="single" w:sz="4" w:space="0" w:color="auto"/>
              <w:bottom w:val="single" w:sz="4" w:space="0" w:color="auto"/>
              <w:right w:val="single" w:sz="4" w:space="0" w:color="auto"/>
            </w:tcBorders>
            <w:shd w:val="clear" w:color="auto" w:fill="auto"/>
            <w:hideMark/>
          </w:tcPr>
          <w:p w14:paraId="5BFE9C5B"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2755" w:type="dxa"/>
            <w:tcBorders>
              <w:top w:val="single" w:sz="4" w:space="0" w:color="auto"/>
              <w:left w:val="single" w:sz="4" w:space="0" w:color="auto"/>
              <w:bottom w:val="single" w:sz="4" w:space="0" w:color="auto"/>
              <w:right w:val="single" w:sz="4" w:space="0" w:color="auto"/>
            </w:tcBorders>
            <w:shd w:val="clear" w:color="auto" w:fill="auto"/>
            <w:hideMark/>
          </w:tcPr>
          <w:p w14:paraId="51C1497E"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xml:space="preserve">CGE model </w:t>
            </w:r>
          </w:p>
        </w:tc>
        <w:tc>
          <w:tcPr>
            <w:tcW w:w="496" w:type="dxa"/>
            <w:tcBorders>
              <w:top w:val="single" w:sz="4" w:space="0" w:color="auto"/>
              <w:left w:val="single" w:sz="4" w:space="0" w:color="auto"/>
              <w:bottom w:val="single" w:sz="4" w:space="0" w:color="auto"/>
              <w:right w:val="single" w:sz="4" w:space="0" w:color="auto"/>
            </w:tcBorders>
            <w:shd w:val="clear" w:color="auto" w:fill="auto"/>
            <w:hideMark/>
          </w:tcPr>
          <w:p w14:paraId="6F25004B"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98931FB"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F4F6A63"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4B129B6"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5B9A0B79"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3FB7116D"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6D244EB9"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4ECFE07"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2DA1EE5" w14:textId="77777777" w:rsidR="003161F8" w:rsidRPr="00586D77" w:rsidRDefault="003161F8"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2DBA2FAE" w14:textId="77777777" w:rsidR="003161F8" w:rsidRPr="00586D77" w:rsidRDefault="003161F8"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5AC402BF" w14:textId="77777777" w:rsidR="003161F8" w:rsidRPr="00586D77" w:rsidRDefault="003161F8" w:rsidP="00586D77">
            <w:pPr>
              <w:spacing w:before="0"/>
              <w:jc w:val="both"/>
              <w:rPr>
                <w:rFonts w:ascii="Calibri" w:hAnsi="Calibri" w:cs="Calibri"/>
                <w:color w:val="000000"/>
                <w:sz w:val="22"/>
                <w:szCs w:val="22"/>
                <w:lang w:eastAsia="en-AU"/>
              </w:rPr>
            </w:pPr>
          </w:p>
        </w:tc>
      </w:tr>
      <w:tr w:rsidR="003161F8" w:rsidRPr="00586D77" w14:paraId="1ED6A9EC" w14:textId="2CAA3FBE" w:rsidTr="003161F8">
        <w:trPr>
          <w:trHeight w:val="1160"/>
        </w:trPr>
        <w:tc>
          <w:tcPr>
            <w:tcW w:w="1575" w:type="dxa"/>
            <w:tcBorders>
              <w:top w:val="single" w:sz="4" w:space="0" w:color="auto"/>
              <w:left w:val="single" w:sz="4" w:space="0" w:color="auto"/>
              <w:bottom w:val="single" w:sz="4" w:space="0" w:color="auto"/>
              <w:right w:val="single" w:sz="4" w:space="0" w:color="auto"/>
            </w:tcBorders>
            <w:shd w:val="clear" w:color="auto" w:fill="auto"/>
            <w:hideMark/>
          </w:tcPr>
          <w:p w14:paraId="53814B80"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2.2.3</w:t>
            </w:r>
          </w:p>
        </w:tc>
        <w:tc>
          <w:tcPr>
            <w:tcW w:w="3118" w:type="dxa"/>
            <w:tcBorders>
              <w:top w:val="single" w:sz="4" w:space="0" w:color="auto"/>
              <w:left w:val="nil"/>
              <w:bottom w:val="single" w:sz="4" w:space="0" w:color="auto"/>
              <w:right w:val="single" w:sz="4" w:space="0" w:color="auto"/>
            </w:tcBorders>
            <w:shd w:val="clear" w:color="auto" w:fill="auto"/>
            <w:hideMark/>
          </w:tcPr>
          <w:p w14:paraId="223A4518"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A model-based assessment of the impacts of the policies on microeconomic aspects such as livelihoods of farmers and food security</w:t>
            </w:r>
          </w:p>
        </w:tc>
        <w:tc>
          <w:tcPr>
            <w:tcW w:w="1072" w:type="dxa"/>
            <w:tcBorders>
              <w:top w:val="single" w:sz="4" w:space="0" w:color="auto"/>
              <w:left w:val="nil"/>
              <w:bottom w:val="single" w:sz="4" w:space="0" w:color="auto"/>
              <w:right w:val="single" w:sz="4" w:space="0" w:color="auto"/>
            </w:tcBorders>
            <w:shd w:val="clear" w:color="auto" w:fill="auto"/>
            <w:hideMark/>
          </w:tcPr>
          <w:p w14:paraId="30796A29"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2755" w:type="dxa"/>
            <w:tcBorders>
              <w:top w:val="single" w:sz="4" w:space="0" w:color="auto"/>
              <w:left w:val="nil"/>
              <w:bottom w:val="single" w:sz="4" w:space="0" w:color="auto"/>
              <w:right w:val="single" w:sz="4" w:space="0" w:color="auto"/>
            </w:tcBorders>
            <w:shd w:val="clear" w:color="auto" w:fill="auto"/>
            <w:hideMark/>
          </w:tcPr>
          <w:p w14:paraId="3CEA6277"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xml:space="preserve">CGE model </w:t>
            </w:r>
          </w:p>
        </w:tc>
        <w:tc>
          <w:tcPr>
            <w:tcW w:w="496" w:type="dxa"/>
            <w:tcBorders>
              <w:top w:val="single" w:sz="4" w:space="0" w:color="auto"/>
              <w:left w:val="nil"/>
              <w:bottom w:val="single" w:sz="4" w:space="0" w:color="auto"/>
              <w:right w:val="single" w:sz="4" w:space="0" w:color="auto"/>
            </w:tcBorders>
            <w:shd w:val="clear" w:color="auto" w:fill="auto"/>
            <w:hideMark/>
          </w:tcPr>
          <w:p w14:paraId="71DA0D5A"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553F2B1B"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73659CEC"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1C41FC14"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FFFF00"/>
            <w:hideMark/>
          </w:tcPr>
          <w:p w14:paraId="2A7045F0"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FFFF00"/>
            <w:hideMark/>
          </w:tcPr>
          <w:p w14:paraId="3037C448"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FFFF00"/>
            <w:hideMark/>
          </w:tcPr>
          <w:p w14:paraId="6671CB8E"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369AF8C7"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246BD3C" w14:textId="77777777" w:rsidR="003161F8" w:rsidRPr="00586D77" w:rsidRDefault="003161F8"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1A5C1426" w14:textId="77777777" w:rsidR="003161F8" w:rsidRPr="00586D77" w:rsidRDefault="003161F8"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597DAB27" w14:textId="77777777" w:rsidR="003161F8" w:rsidRPr="00586D77" w:rsidRDefault="003161F8" w:rsidP="00586D77">
            <w:pPr>
              <w:spacing w:before="0"/>
              <w:jc w:val="both"/>
              <w:rPr>
                <w:rFonts w:ascii="Calibri" w:hAnsi="Calibri" w:cs="Calibri"/>
                <w:color w:val="000000"/>
                <w:sz w:val="22"/>
                <w:szCs w:val="22"/>
                <w:lang w:eastAsia="en-AU"/>
              </w:rPr>
            </w:pPr>
          </w:p>
        </w:tc>
      </w:tr>
      <w:tr w:rsidR="003161F8" w:rsidRPr="00586D77" w14:paraId="326587ED" w14:textId="451BDD98" w:rsidTr="003161F8">
        <w:trPr>
          <w:trHeight w:val="580"/>
        </w:trPr>
        <w:tc>
          <w:tcPr>
            <w:tcW w:w="1575" w:type="dxa"/>
            <w:tcBorders>
              <w:top w:val="nil"/>
              <w:left w:val="single" w:sz="4" w:space="0" w:color="auto"/>
              <w:bottom w:val="single" w:sz="4" w:space="0" w:color="auto"/>
              <w:right w:val="single" w:sz="4" w:space="0" w:color="auto"/>
            </w:tcBorders>
            <w:shd w:val="clear" w:color="auto" w:fill="auto"/>
            <w:hideMark/>
          </w:tcPr>
          <w:p w14:paraId="2C4197C8"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2.2.4</w:t>
            </w:r>
          </w:p>
        </w:tc>
        <w:tc>
          <w:tcPr>
            <w:tcW w:w="3118" w:type="dxa"/>
            <w:tcBorders>
              <w:top w:val="nil"/>
              <w:left w:val="nil"/>
              <w:bottom w:val="single" w:sz="4" w:space="0" w:color="auto"/>
              <w:right w:val="single" w:sz="4" w:space="0" w:color="auto"/>
            </w:tcBorders>
            <w:shd w:val="clear" w:color="auto" w:fill="auto"/>
            <w:hideMark/>
          </w:tcPr>
          <w:p w14:paraId="6B688D59"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Using the CGE model to propose the optimal rate of paddy land conversion</w:t>
            </w:r>
          </w:p>
        </w:tc>
        <w:tc>
          <w:tcPr>
            <w:tcW w:w="1072" w:type="dxa"/>
            <w:tcBorders>
              <w:top w:val="nil"/>
              <w:left w:val="nil"/>
              <w:bottom w:val="single" w:sz="4" w:space="0" w:color="auto"/>
              <w:right w:val="single" w:sz="4" w:space="0" w:color="auto"/>
            </w:tcBorders>
            <w:shd w:val="clear" w:color="auto" w:fill="auto"/>
            <w:hideMark/>
          </w:tcPr>
          <w:p w14:paraId="25038A4B"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2755" w:type="dxa"/>
            <w:tcBorders>
              <w:top w:val="nil"/>
              <w:left w:val="nil"/>
              <w:bottom w:val="single" w:sz="4" w:space="0" w:color="auto"/>
              <w:right w:val="single" w:sz="4" w:space="0" w:color="auto"/>
            </w:tcBorders>
            <w:shd w:val="clear" w:color="auto" w:fill="auto"/>
            <w:hideMark/>
          </w:tcPr>
          <w:p w14:paraId="13DD1592"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xml:space="preserve">CGE model </w:t>
            </w:r>
          </w:p>
        </w:tc>
        <w:tc>
          <w:tcPr>
            <w:tcW w:w="496" w:type="dxa"/>
            <w:tcBorders>
              <w:top w:val="nil"/>
              <w:left w:val="nil"/>
              <w:bottom w:val="single" w:sz="4" w:space="0" w:color="auto"/>
              <w:right w:val="single" w:sz="4" w:space="0" w:color="auto"/>
            </w:tcBorders>
            <w:shd w:val="clear" w:color="auto" w:fill="auto"/>
            <w:hideMark/>
          </w:tcPr>
          <w:p w14:paraId="07EE08EC"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51D8FEC1"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0CB214B9"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26D1B22F"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FFFF00"/>
            <w:hideMark/>
          </w:tcPr>
          <w:p w14:paraId="55AD78A9"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FFFF00"/>
            <w:hideMark/>
          </w:tcPr>
          <w:p w14:paraId="7AFABF16"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FFFF00"/>
            <w:hideMark/>
          </w:tcPr>
          <w:p w14:paraId="0081AB14"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098CC9F4"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92C4525" w14:textId="77777777" w:rsidR="003161F8" w:rsidRPr="00586D77" w:rsidRDefault="003161F8"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5910F5AC" w14:textId="77777777" w:rsidR="003161F8" w:rsidRPr="00586D77" w:rsidRDefault="003161F8"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7AAD9F13" w14:textId="77777777" w:rsidR="003161F8" w:rsidRPr="00586D77" w:rsidRDefault="003161F8" w:rsidP="00586D77">
            <w:pPr>
              <w:spacing w:before="0"/>
              <w:jc w:val="both"/>
              <w:rPr>
                <w:rFonts w:ascii="Calibri" w:hAnsi="Calibri" w:cs="Calibri"/>
                <w:color w:val="000000"/>
                <w:sz w:val="22"/>
                <w:szCs w:val="22"/>
                <w:lang w:eastAsia="en-AU"/>
              </w:rPr>
            </w:pPr>
          </w:p>
        </w:tc>
      </w:tr>
      <w:tr w:rsidR="003161F8" w:rsidRPr="00586D77" w14:paraId="45D3C303" w14:textId="71BC82B4" w:rsidTr="003161F8">
        <w:trPr>
          <w:trHeight w:val="580"/>
        </w:trPr>
        <w:tc>
          <w:tcPr>
            <w:tcW w:w="1575" w:type="dxa"/>
            <w:tcBorders>
              <w:top w:val="nil"/>
              <w:left w:val="single" w:sz="4" w:space="0" w:color="auto"/>
              <w:bottom w:val="single" w:sz="4" w:space="0" w:color="auto"/>
              <w:right w:val="single" w:sz="4" w:space="0" w:color="auto"/>
            </w:tcBorders>
            <w:shd w:val="clear" w:color="auto" w:fill="auto"/>
            <w:hideMark/>
          </w:tcPr>
          <w:p w14:paraId="7C1C6B7B"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2.2.5</w:t>
            </w:r>
          </w:p>
        </w:tc>
        <w:tc>
          <w:tcPr>
            <w:tcW w:w="3118" w:type="dxa"/>
            <w:tcBorders>
              <w:top w:val="nil"/>
              <w:left w:val="nil"/>
              <w:bottom w:val="single" w:sz="4" w:space="0" w:color="auto"/>
              <w:right w:val="single" w:sz="4" w:space="0" w:color="auto"/>
            </w:tcBorders>
            <w:shd w:val="clear" w:color="auto" w:fill="auto"/>
            <w:hideMark/>
          </w:tcPr>
          <w:p w14:paraId="69544C76"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A model-based assessment of the impacts of FTAs on rice production</w:t>
            </w:r>
          </w:p>
        </w:tc>
        <w:tc>
          <w:tcPr>
            <w:tcW w:w="1072" w:type="dxa"/>
            <w:tcBorders>
              <w:top w:val="nil"/>
              <w:left w:val="nil"/>
              <w:bottom w:val="single" w:sz="4" w:space="0" w:color="auto"/>
              <w:right w:val="single" w:sz="4" w:space="0" w:color="auto"/>
            </w:tcBorders>
            <w:shd w:val="clear" w:color="auto" w:fill="auto"/>
            <w:hideMark/>
          </w:tcPr>
          <w:p w14:paraId="62063198"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2755" w:type="dxa"/>
            <w:tcBorders>
              <w:top w:val="nil"/>
              <w:left w:val="nil"/>
              <w:bottom w:val="single" w:sz="4" w:space="0" w:color="auto"/>
              <w:right w:val="single" w:sz="4" w:space="0" w:color="auto"/>
            </w:tcBorders>
            <w:shd w:val="clear" w:color="auto" w:fill="auto"/>
            <w:hideMark/>
          </w:tcPr>
          <w:p w14:paraId="22A96F2F"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xml:space="preserve">CGE model </w:t>
            </w:r>
          </w:p>
        </w:tc>
        <w:tc>
          <w:tcPr>
            <w:tcW w:w="496" w:type="dxa"/>
            <w:tcBorders>
              <w:top w:val="nil"/>
              <w:left w:val="nil"/>
              <w:bottom w:val="single" w:sz="4" w:space="0" w:color="auto"/>
              <w:right w:val="single" w:sz="4" w:space="0" w:color="auto"/>
            </w:tcBorders>
            <w:shd w:val="clear" w:color="auto" w:fill="auto"/>
            <w:hideMark/>
          </w:tcPr>
          <w:p w14:paraId="7D4DCCEE"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2CBBD07B"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3C39D407"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1187E61D"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FFFF00"/>
            <w:hideMark/>
          </w:tcPr>
          <w:p w14:paraId="2593AAA6"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FFFF00"/>
            <w:hideMark/>
          </w:tcPr>
          <w:p w14:paraId="2D065A0E"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FFFF00"/>
            <w:hideMark/>
          </w:tcPr>
          <w:p w14:paraId="67B983F4"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530822AC"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A270410" w14:textId="77777777" w:rsidR="003161F8" w:rsidRPr="00586D77" w:rsidRDefault="003161F8"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67EF1552" w14:textId="77777777" w:rsidR="003161F8" w:rsidRPr="00586D77" w:rsidRDefault="003161F8"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5A11D436" w14:textId="77777777" w:rsidR="003161F8" w:rsidRPr="00586D77" w:rsidRDefault="003161F8" w:rsidP="00586D77">
            <w:pPr>
              <w:spacing w:before="0"/>
              <w:jc w:val="both"/>
              <w:rPr>
                <w:rFonts w:ascii="Calibri" w:hAnsi="Calibri" w:cs="Calibri"/>
                <w:color w:val="000000"/>
                <w:sz w:val="22"/>
                <w:szCs w:val="22"/>
                <w:lang w:eastAsia="en-AU"/>
              </w:rPr>
            </w:pPr>
          </w:p>
        </w:tc>
      </w:tr>
      <w:tr w:rsidR="003161F8" w:rsidRPr="00586D77" w14:paraId="28A44339" w14:textId="79070B42" w:rsidTr="003161F8">
        <w:trPr>
          <w:trHeight w:val="290"/>
        </w:trPr>
        <w:tc>
          <w:tcPr>
            <w:tcW w:w="1575" w:type="dxa"/>
            <w:tcBorders>
              <w:top w:val="nil"/>
              <w:left w:val="single" w:sz="4" w:space="0" w:color="auto"/>
              <w:bottom w:val="single" w:sz="4" w:space="0" w:color="auto"/>
              <w:right w:val="single" w:sz="4" w:space="0" w:color="auto"/>
            </w:tcBorders>
            <w:shd w:val="clear" w:color="auto" w:fill="auto"/>
            <w:hideMark/>
          </w:tcPr>
          <w:p w14:paraId="67ED24D3"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2.2.6</w:t>
            </w:r>
          </w:p>
        </w:tc>
        <w:tc>
          <w:tcPr>
            <w:tcW w:w="3118" w:type="dxa"/>
            <w:tcBorders>
              <w:top w:val="nil"/>
              <w:left w:val="nil"/>
              <w:bottom w:val="single" w:sz="4" w:space="0" w:color="auto"/>
              <w:right w:val="single" w:sz="4" w:space="0" w:color="auto"/>
            </w:tcBorders>
            <w:shd w:val="clear" w:color="auto" w:fill="auto"/>
            <w:hideMark/>
          </w:tcPr>
          <w:p w14:paraId="0FAAB196"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Report writing</w:t>
            </w:r>
          </w:p>
        </w:tc>
        <w:tc>
          <w:tcPr>
            <w:tcW w:w="1072" w:type="dxa"/>
            <w:tcBorders>
              <w:top w:val="nil"/>
              <w:left w:val="nil"/>
              <w:bottom w:val="single" w:sz="4" w:space="0" w:color="auto"/>
              <w:right w:val="single" w:sz="4" w:space="0" w:color="auto"/>
            </w:tcBorders>
            <w:shd w:val="clear" w:color="auto" w:fill="auto"/>
            <w:hideMark/>
          </w:tcPr>
          <w:p w14:paraId="226B6F6E"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2755" w:type="dxa"/>
            <w:tcBorders>
              <w:top w:val="nil"/>
              <w:left w:val="nil"/>
              <w:bottom w:val="single" w:sz="4" w:space="0" w:color="auto"/>
              <w:right w:val="single" w:sz="4" w:space="0" w:color="auto"/>
            </w:tcBorders>
            <w:shd w:val="clear" w:color="auto" w:fill="auto"/>
            <w:hideMark/>
          </w:tcPr>
          <w:p w14:paraId="0E9EA1AF"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Draft report</w:t>
            </w:r>
          </w:p>
        </w:tc>
        <w:tc>
          <w:tcPr>
            <w:tcW w:w="496" w:type="dxa"/>
            <w:tcBorders>
              <w:top w:val="nil"/>
              <w:left w:val="nil"/>
              <w:bottom w:val="single" w:sz="4" w:space="0" w:color="auto"/>
              <w:right w:val="single" w:sz="4" w:space="0" w:color="auto"/>
            </w:tcBorders>
            <w:shd w:val="clear" w:color="auto" w:fill="auto"/>
            <w:hideMark/>
          </w:tcPr>
          <w:p w14:paraId="16CBEC7E"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283C6CD3"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3127A655"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5924CFE3"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FFFF00"/>
            <w:hideMark/>
          </w:tcPr>
          <w:p w14:paraId="74481C77"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FFFF00"/>
            <w:hideMark/>
          </w:tcPr>
          <w:p w14:paraId="0D78FBBE"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FFFF00"/>
            <w:hideMark/>
          </w:tcPr>
          <w:p w14:paraId="755E5AE6"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3FD21035"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8C49565" w14:textId="77777777" w:rsidR="003161F8" w:rsidRPr="00586D77" w:rsidRDefault="003161F8"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1E47D58B" w14:textId="77777777" w:rsidR="003161F8" w:rsidRPr="00586D77" w:rsidRDefault="003161F8"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44D804FF" w14:textId="77777777" w:rsidR="003161F8" w:rsidRPr="00586D77" w:rsidRDefault="003161F8" w:rsidP="00586D77">
            <w:pPr>
              <w:spacing w:before="0"/>
              <w:jc w:val="both"/>
              <w:rPr>
                <w:rFonts w:ascii="Calibri" w:hAnsi="Calibri" w:cs="Calibri"/>
                <w:color w:val="000000"/>
                <w:sz w:val="22"/>
                <w:szCs w:val="22"/>
                <w:lang w:eastAsia="en-AU"/>
              </w:rPr>
            </w:pPr>
          </w:p>
        </w:tc>
      </w:tr>
      <w:tr w:rsidR="003161F8" w:rsidRPr="00586D77" w14:paraId="14B04486" w14:textId="2E4479C3" w:rsidTr="003161F8">
        <w:trPr>
          <w:trHeight w:val="580"/>
        </w:trPr>
        <w:tc>
          <w:tcPr>
            <w:tcW w:w="1575" w:type="dxa"/>
            <w:tcBorders>
              <w:top w:val="nil"/>
              <w:left w:val="single" w:sz="4" w:space="0" w:color="auto"/>
              <w:bottom w:val="single" w:sz="4" w:space="0" w:color="auto"/>
              <w:right w:val="single" w:sz="4" w:space="0" w:color="auto"/>
            </w:tcBorders>
            <w:shd w:val="clear" w:color="auto" w:fill="auto"/>
            <w:hideMark/>
          </w:tcPr>
          <w:p w14:paraId="40B39B2D"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2.2.7</w:t>
            </w:r>
          </w:p>
        </w:tc>
        <w:tc>
          <w:tcPr>
            <w:tcW w:w="3118" w:type="dxa"/>
            <w:tcBorders>
              <w:top w:val="nil"/>
              <w:left w:val="nil"/>
              <w:bottom w:val="single" w:sz="4" w:space="0" w:color="auto"/>
              <w:right w:val="single" w:sz="4" w:space="0" w:color="auto"/>
            </w:tcBorders>
            <w:shd w:val="clear" w:color="auto" w:fill="auto"/>
            <w:hideMark/>
          </w:tcPr>
          <w:p w14:paraId="4554F366"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xml:space="preserve">Organizing workshop to collect comments for the report </w:t>
            </w:r>
          </w:p>
        </w:tc>
        <w:tc>
          <w:tcPr>
            <w:tcW w:w="1072" w:type="dxa"/>
            <w:tcBorders>
              <w:top w:val="nil"/>
              <w:left w:val="nil"/>
              <w:bottom w:val="single" w:sz="4" w:space="0" w:color="auto"/>
              <w:right w:val="single" w:sz="4" w:space="0" w:color="auto"/>
            </w:tcBorders>
            <w:shd w:val="clear" w:color="auto" w:fill="auto"/>
            <w:hideMark/>
          </w:tcPr>
          <w:p w14:paraId="670A7907"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2755" w:type="dxa"/>
            <w:tcBorders>
              <w:top w:val="nil"/>
              <w:left w:val="nil"/>
              <w:bottom w:val="single" w:sz="4" w:space="0" w:color="auto"/>
              <w:right w:val="single" w:sz="4" w:space="0" w:color="auto"/>
            </w:tcBorders>
            <w:shd w:val="clear" w:color="auto" w:fill="auto"/>
            <w:hideMark/>
          </w:tcPr>
          <w:p w14:paraId="17D1EDBE"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Event minutes</w:t>
            </w:r>
          </w:p>
        </w:tc>
        <w:tc>
          <w:tcPr>
            <w:tcW w:w="496" w:type="dxa"/>
            <w:tcBorders>
              <w:top w:val="nil"/>
              <w:left w:val="nil"/>
              <w:bottom w:val="single" w:sz="4" w:space="0" w:color="auto"/>
              <w:right w:val="single" w:sz="4" w:space="0" w:color="auto"/>
            </w:tcBorders>
            <w:shd w:val="clear" w:color="auto" w:fill="auto"/>
            <w:hideMark/>
          </w:tcPr>
          <w:p w14:paraId="5279D657"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2720B4DA"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2CC6E298"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64EF9B10"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FFFF00"/>
            <w:hideMark/>
          </w:tcPr>
          <w:p w14:paraId="571C9758"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FFFF00"/>
            <w:hideMark/>
          </w:tcPr>
          <w:p w14:paraId="7EE6DF56"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FFFF00"/>
            <w:hideMark/>
          </w:tcPr>
          <w:p w14:paraId="7A12D44F"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3F67D475"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D4E6CCA" w14:textId="77777777" w:rsidR="003161F8" w:rsidRPr="00586D77" w:rsidRDefault="003161F8"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1400007D" w14:textId="77777777" w:rsidR="003161F8" w:rsidRPr="00586D77" w:rsidRDefault="003161F8"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5F1F7C4C" w14:textId="77777777" w:rsidR="003161F8" w:rsidRPr="00586D77" w:rsidRDefault="003161F8" w:rsidP="00586D77">
            <w:pPr>
              <w:spacing w:before="0"/>
              <w:jc w:val="both"/>
              <w:rPr>
                <w:rFonts w:ascii="Calibri" w:hAnsi="Calibri" w:cs="Calibri"/>
                <w:color w:val="000000"/>
                <w:sz w:val="22"/>
                <w:szCs w:val="22"/>
                <w:lang w:eastAsia="en-AU"/>
              </w:rPr>
            </w:pPr>
          </w:p>
        </w:tc>
      </w:tr>
      <w:tr w:rsidR="003161F8" w:rsidRPr="00586D77" w14:paraId="30587240" w14:textId="55F054FD" w:rsidTr="003161F8">
        <w:trPr>
          <w:trHeight w:val="290"/>
        </w:trPr>
        <w:tc>
          <w:tcPr>
            <w:tcW w:w="1575" w:type="dxa"/>
            <w:tcBorders>
              <w:top w:val="nil"/>
              <w:left w:val="single" w:sz="4" w:space="0" w:color="auto"/>
              <w:bottom w:val="single" w:sz="4" w:space="0" w:color="auto"/>
              <w:right w:val="single" w:sz="4" w:space="0" w:color="auto"/>
            </w:tcBorders>
            <w:shd w:val="clear" w:color="auto" w:fill="auto"/>
            <w:hideMark/>
          </w:tcPr>
          <w:p w14:paraId="49417290"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2.2.8</w:t>
            </w:r>
          </w:p>
        </w:tc>
        <w:tc>
          <w:tcPr>
            <w:tcW w:w="3118" w:type="dxa"/>
            <w:tcBorders>
              <w:top w:val="nil"/>
              <w:left w:val="nil"/>
              <w:bottom w:val="single" w:sz="4" w:space="0" w:color="auto"/>
              <w:right w:val="single" w:sz="4" w:space="0" w:color="auto"/>
            </w:tcBorders>
            <w:shd w:val="clear" w:color="auto" w:fill="auto"/>
            <w:hideMark/>
          </w:tcPr>
          <w:p w14:paraId="6ED4ECC1"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Report finalizing</w:t>
            </w:r>
          </w:p>
        </w:tc>
        <w:tc>
          <w:tcPr>
            <w:tcW w:w="1072" w:type="dxa"/>
            <w:tcBorders>
              <w:top w:val="nil"/>
              <w:left w:val="nil"/>
              <w:bottom w:val="single" w:sz="4" w:space="0" w:color="auto"/>
              <w:right w:val="single" w:sz="4" w:space="0" w:color="auto"/>
            </w:tcBorders>
            <w:shd w:val="clear" w:color="auto" w:fill="auto"/>
            <w:hideMark/>
          </w:tcPr>
          <w:p w14:paraId="798B9E46"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2755" w:type="dxa"/>
            <w:tcBorders>
              <w:top w:val="nil"/>
              <w:left w:val="nil"/>
              <w:bottom w:val="single" w:sz="4" w:space="0" w:color="auto"/>
              <w:right w:val="single" w:sz="4" w:space="0" w:color="auto"/>
            </w:tcBorders>
            <w:shd w:val="clear" w:color="auto" w:fill="auto"/>
            <w:hideMark/>
          </w:tcPr>
          <w:p w14:paraId="7C43CE80"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Final report</w:t>
            </w:r>
          </w:p>
        </w:tc>
        <w:tc>
          <w:tcPr>
            <w:tcW w:w="496" w:type="dxa"/>
            <w:tcBorders>
              <w:top w:val="nil"/>
              <w:left w:val="nil"/>
              <w:bottom w:val="single" w:sz="4" w:space="0" w:color="auto"/>
              <w:right w:val="single" w:sz="4" w:space="0" w:color="auto"/>
            </w:tcBorders>
            <w:shd w:val="clear" w:color="auto" w:fill="auto"/>
            <w:hideMark/>
          </w:tcPr>
          <w:p w14:paraId="50162E58"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7DFCCFFD"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66C41DEF"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0CBD51F0"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FFFF00"/>
            <w:hideMark/>
          </w:tcPr>
          <w:p w14:paraId="55FD1E2E"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FFFF00"/>
            <w:hideMark/>
          </w:tcPr>
          <w:p w14:paraId="6A7BBB2D"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FFFF00"/>
            <w:hideMark/>
          </w:tcPr>
          <w:p w14:paraId="27C89FD7"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auto"/>
            <w:hideMark/>
          </w:tcPr>
          <w:p w14:paraId="56A8C38F"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3633797" w14:textId="77777777" w:rsidR="003161F8" w:rsidRPr="00586D77" w:rsidRDefault="003161F8"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7FF93E88" w14:textId="77777777" w:rsidR="003161F8" w:rsidRPr="00586D77" w:rsidRDefault="003161F8"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tcPr>
          <w:p w14:paraId="17E0D255" w14:textId="77777777" w:rsidR="003161F8" w:rsidRPr="00586D77" w:rsidRDefault="003161F8" w:rsidP="00586D77">
            <w:pPr>
              <w:spacing w:before="0"/>
              <w:jc w:val="both"/>
              <w:rPr>
                <w:rFonts w:ascii="Calibri" w:hAnsi="Calibri" w:cs="Calibri"/>
                <w:color w:val="000000"/>
                <w:sz w:val="22"/>
                <w:szCs w:val="22"/>
                <w:lang w:eastAsia="en-AU"/>
              </w:rPr>
            </w:pPr>
          </w:p>
        </w:tc>
      </w:tr>
      <w:tr w:rsidR="003161F8" w:rsidRPr="00586D77" w14:paraId="0823455D" w14:textId="26F1C226" w:rsidTr="005D67FC">
        <w:trPr>
          <w:trHeight w:val="290"/>
        </w:trPr>
        <w:tc>
          <w:tcPr>
            <w:tcW w:w="14686" w:type="dxa"/>
            <w:gridSpan w:val="15"/>
            <w:tcBorders>
              <w:top w:val="nil"/>
              <w:left w:val="single" w:sz="4" w:space="0" w:color="auto"/>
              <w:bottom w:val="single" w:sz="4" w:space="0" w:color="auto"/>
              <w:right w:val="single" w:sz="4" w:space="0" w:color="auto"/>
            </w:tcBorders>
            <w:shd w:val="clear" w:color="000000" w:fill="BFBFBF"/>
            <w:noWrap/>
            <w:hideMark/>
          </w:tcPr>
          <w:p w14:paraId="12964D06" w14:textId="0E13DD79" w:rsidR="003161F8" w:rsidRPr="00586D77" w:rsidRDefault="003161F8" w:rsidP="00586D77">
            <w:pPr>
              <w:spacing w:before="0"/>
              <w:rPr>
                <w:rFonts w:ascii="Calibri" w:hAnsi="Calibri" w:cs="Calibri"/>
                <w:sz w:val="22"/>
                <w:szCs w:val="22"/>
                <w:lang w:eastAsia="en-AU"/>
              </w:rPr>
            </w:pPr>
            <w:r w:rsidRPr="00586D77">
              <w:rPr>
                <w:rFonts w:cs="Arial"/>
                <w:b/>
                <w:bCs/>
                <w:szCs w:val="20"/>
                <w:lang w:eastAsia="en-AU"/>
              </w:rPr>
              <w:t xml:space="preserve">Output 3: Improved awareness of opportunities for increasing competitiveness through re-structuring of rice value chains </w:t>
            </w:r>
            <w:r w:rsidRPr="00586D77">
              <w:rPr>
                <w:rFonts w:ascii="Calibri" w:hAnsi="Calibri" w:cs="Calibri"/>
                <w:sz w:val="22"/>
                <w:szCs w:val="22"/>
                <w:lang w:eastAsia="en-AU"/>
              </w:rPr>
              <w:t> </w:t>
            </w:r>
          </w:p>
          <w:p w14:paraId="7DB511F3" w14:textId="24F2D306" w:rsidR="003161F8" w:rsidRPr="00586D77" w:rsidRDefault="003161F8" w:rsidP="00586D77">
            <w:pPr>
              <w:spacing w:before="0"/>
              <w:jc w:val="both"/>
              <w:rPr>
                <w:rFonts w:ascii="Calibri" w:hAnsi="Calibri" w:cs="Calibri"/>
                <w:color w:val="000000"/>
                <w:sz w:val="22"/>
                <w:szCs w:val="22"/>
                <w:lang w:eastAsia="en-AU"/>
              </w:rPr>
            </w:pPr>
            <w:r w:rsidRPr="00586D77">
              <w:rPr>
                <w:rFonts w:ascii="Calibri" w:hAnsi="Calibri" w:cs="Calibri"/>
                <w:sz w:val="22"/>
                <w:szCs w:val="22"/>
                <w:lang w:eastAsia="en-AU"/>
              </w:rPr>
              <w:t> </w:t>
            </w:r>
          </w:p>
        </w:tc>
      </w:tr>
      <w:tr w:rsidR="003161F8" w:rsidRPr="00586D77" w14:paraId="5F0E9EDD" w14:textId="267E8C78" w:rsidTr="003161F8">
        <w:trPr>
          <w:trHeight w:val="1160"/>
        </w:trPr>
        <w:tc>
          <w:tcPr>
            <w:tcW w:w="1575" w:type="dxa"/>
            <w:tcBorders>
              <w:top w:val="nil"/>
              <w:left w:val="single" w:sz="4" w:space="0" w:color="auto"/>
              <w:bottom w:val="single" w:sz="4" w:space="0" w:color="auto"/>
              <w:right w:val="single" w:sz="4" w:space="0" w:color="auto"/>
            </w:tcBorders>
            <w:shd w:val="clear" w:color="auto" w:fill="auto"/>
            <w:hideMark/>
          </w:tcPr>
          <w:p w14:paraId="4C28BA1B" w14:textId="77777777" w:rsidR="003161F8" w:rsidRPr="00586D77" w:rsidRDefault="003161F8" w:rsidP="00586D77">
            <w:pPr>
              <w:spacing w:before="0"/>
              <w:jc w:val="right"/>
              <w:rPr>
                <w:rFonts w:ascii="Calibri" w:hAnsi="Calibri" w:cs="Calibri"/>
                <w:sz w:val="22"/>
                <w:szCs w:val="22"/>
                <w:lang w:eastAsia="en-AU"/>
              </w:rPr>
            </w:pPr>
            <w:r w:rsidRPr="00586D77">
              <w:rPr>
                <w:rFonts w:ascii="Calibri" w:hAnsi="Calibri" w:cs="Calibri"/>
                <w:sz w:val="22"/>
                <w:szCs w:val="22"/>
                <w:lang w:eastAsia="en-AU"/>
              </w:rPr>
              <w:t>3.1</w:t>
            </w:r>
          </w:p>
        </w:tc>
        <w:tc>
          <w:tcPr>
            <w:tcW w:w="3118" w:type="dxa"/>
            <w:tcBorders>
              <w:top w:val="nil"/>
              <w:left w:val="nil"/>
              <w:bottom w:val="single" w:sz="4" w:space="0" w:color="auto"/>
              <w:right w:val="single" w:sz="4" w:space="0" w:color="auto"/>
            </w:tcBorders>
            <w:shd w:val="clear" w:color="auto" w:fill="auto"/>
            <w:hideMark/>
          </w:tcPr>
          <w:p w14:paraId="517875EC"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Writing the synthesis draft report and policy recommendations/ brief</w:t>
            </w:r>
          </w:p>
        </w:tc>
        <w:tc>
          <w:tcPr>
            <w:tcW w:w="1072" w:type="dxa"/>
            <w:tcBorders>
              <w:top w:val="nil"/>
              <w:left w:val="nil"/>
              <w:bottom w:val="single" w:sz="4" w:space="0" w:color="auto"/>
              <w:right w:val="single" w:sz="4" w:space="0" w:color="auto"/>
            </w:tcBorders>
            <w:shd w:val="clear" w:color="auto" w:fill="auto"/>
            <w:hideMark/>
          </w:tcPr>
          <w:p w14:paraId="1550CFF4"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Component reports</w:t>
            </w:r>
          </w:p>
        </w:tc>
        <w:tc>
          <w:tcPr>
            <w:tcW w:w="2755" w:type="dxa"/>
            <w:tcBorders>
              <w:top w:val="nil"/>
              <w:left w:val="nil"/>
              <w:bottom w:val="single" w:sz="4" w:space="0" w:color="auto"/>
              <w:right w:val="single" w:sz="4" w:space="0" w:color="auto"/>
            </w:tcBorders>
            <w:shd w:val="clear" w:color="auto" w:fill="auto"/>
            <w:hideMark/>
          </w:tcPr>
          <w:p w14:paraId="584688B9"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Synthesis report that wrap-up findings from survey and modelling work</w:t>
            </w:r>
          </w:p>
        </w:tc>
        <w:tc>
          <w:tcPr>
            <w:tcW w:w="496" w:type="dxa"/>
            <w:tcBorders>
              <w:top w:val="nil"/>
              <w:left w:val="nil"/>
              <w:bottom w:val="single" w:sz="4" w:space="0" w:color="auto"/>
              <w:right w:val="single" w:sz="4" w:space="0" w:color="auto"/>
            </w:tcBorders>
            <w:shd w:val="clear" w:color="auto" w:fill="auto"/>
            <w:hideMark/>
          </w:tcPr>
          <w:p w14:paraId="39649ED6"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642E53E7"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6055AECA"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521F6E79"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1ADDF1CC"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4F91F0C8"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2CCF020C"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FFFF00"/>
            <w:hideMark/>
          </w:tcPr>
          <w:p w14:paraId="1C8E5496"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1B4FCA3F" w14:textId="77777777" w:rsidR="003161F8" w:rsidRPr="00586D77" w:rsidRDefault="003161F8"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5FDF8E5D" w14:textId="77777777" w:rsidR="003161F8" w:rsidRPr="00586D77" w:rsidRDefault="003161F8"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1E657D86" w14:textId="77777777" w:rsidR="003161F8" w:rsidRPr="00586D77" w:rsidRDefault="003161F8" w:rsidP="00586D77">
            <w:pPr>
              <w:spacing w:before="0"/>
              <w:jc w:val="both"/>
              <w:rPr>
                <w:rFonts w:ascii="Calibri" w:hAnsi="Calibri" w:cs="Calibri"/>
                <w:color w:val="000000"/>
                <w:sz w:val="22"/>
                <w:szCs w:val="22"/>
                <w:lang w:eastAsia="en-AU"/>
              </w:rPr>
            </w:pPr>
          </w:p>
        </w:tc>
      </w:tr>
      <w:tr w:rsidR="003161F8" w:rsidRPr="00586D77" w14:paraId="395BF0F9" w14:textId="368D3B32" w:rsidTr="003161F8">
        <w:trPr>
          <w:trHeight w:val="870"/>
        </w:trPr>
        <w:tc>
          <w:tcPr>
            <w:tcW w:w="1575" w:type="dxa"/>
            <w:tcBorders>
              <w:top w:val="nil"/>
              <w:left w:val="single" w:sz="4" w:space="0" w:color="auto"/>
              <w:bottom w:val="single" w:sz="4" w:space="0" w:color="auto"/>
              <w:right w:val="single" w:sz="4" w:space="0" w:color="auto"/>
            </w:tcBorders>
            <w:shd w:val="clear" w:color="auto" w:fill="auto"/>
            <w:hideMark/>
          </w:tcPr>
          <w:p w14:paraId="4EF1652B" w14:textId="77777777" w:rsidR="003161F8" w:rsidRPr="00586D77" w:rsidRDefault="003161F8" w:rsidP="00586D77">
            <w:pPr>
              <w:spacing w:before="0"/>
              <w:jc w:val="right"/>
              <w:rPr>
                <w:rFonts w:ascii="Calibri" w:hAnsi="Calibri" w:cs="Calibri"/>
                <w:sz w:val="22"/>
                <w:szCs w:val="22"/>
                <w:lang w:eastAsia="en-AU"/>
              </w:rPr>
            </w:pPr>
            <w:r w:rsidRPr="00586D77">
              <w:rPr>
                <w:rFonts w:ascii="Calibri" w:hAnsi="Calibri" w:cs="Calibri"/>
                <w:sz w:val="22"/>
                <w:szCs w:val="22"/>
                <w:lang w:eastAsia="en-AU"/>
              </w:rPr>
              <w:t>3.2</w:t>
            </w:r>
          </w:p>
        </w:tc>
        <w:tc>
          <w:tcPr>
            <w:tcW w:w="3118" w:type="dxa"/>
            <w:tcBorders>
              <w:top w:val="nil"/>
              <w:left w:val="nil"/>
              <w:bottom w:val="single" w:sz="4" w:space="0" w:color="auto"/>
              <w:right w:val="single" w:sz="4" w:space="0" w:color="auto"/>
            </w:tcBorders>
            <w:shd w:val="clear" w:color="auto" w:fill="auto"/>
            <w:hideMark/>
          </w:tcPr>
          <w:p w14:paraId="1DC2F725"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Printing the synthesis report (01) and policy recommendations/ briefs (03 tentatively)</w:t>
            </w:r>
          </w:p>
        </w:tc>
        <w:tc>
          <w:tcPr>
            <w:tcW w:w="1072" w:type="dxa"/>
            <w:tcBorders>
              <w:top w:val="nil"/>
              <w:left w:val="nil"/>
              <w:bottom w:val="single" w:sz="4" w:space="0" w:color="auto"/>
              <w:right w:val="single" w:sz="4" w:space="0" w:color="auto"/>
            </w:tcBorders>
            <w:shd w:val="clear" w:color="auto" w:fill="auto"/>
            <w:hideMark/>
          </w:tcPr>
          <w:p w14:paraId="5B8FF5B8"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2755" w:type="dxa"/>
            <w:tcBorders>
              <w:top w:val="nil"/>
              <w:left w:val="nil"/>
              <w:bottom w:val="single" w:sz="4" w:space="0" w:color="auto"/>
              <w:right w:val="single" w:sz="4" w:space="0" w:color="auto"/>
            </w:tcBorders>
            <w:shd w:val="clear" w:color="auto" w:fill="auto"/>
            <w:hideMark/>
          </w:tcPr>
          <w:p w14:paraId="3CD28549"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Printed report and policy brief</w:t>
            </w:r>
          </w:p>
        </w:tc>
        <w:tc>
          <w:tcPr>
            <w:tcW w:w="496" w:type="dxa"/>
            <w:tcBorders>
              <w:top w:val="nil"/>
              <w:left w:val="nil"/>
              <w:bottom w:val="single" w:sz="4" w:space="0" w:color="auto"/>
              <w:right w:val="single" w:sz="4" w:space="0" w:color="auto"/>
            </w:tcBorders>
            <w:shd w:val="clear" w:color="auto" w:fill="auto"/>
            <w:hideMark/>
          </w:tcPr>
          <w:p w14:paraId="161DC7E4"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0F8A44CE"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467E578C"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77F15EFC"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01D5F48B"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081329E1"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623A44C0"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FFFF00"/>
            <w:hideMark/>
          </w:tcPr>
          <w:p w14:paraId="706C6A6E"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0A3BF613" w14:textId="77777777" w:rsidR="003161F8" w:rsidRPr="00586D77" w:rsidRDefault="003161F8"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6324CBDF" w14:textId="77777777" w:rsidR="003161F8" w:rsidRPr="00586D77" w:rsidRDefault="003161F8"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15AE1AA2" w14:textId="77777777" w:rsidR="003161F8" w:rsidRPr="00586D77" w:rsidRDefault="003161F8" w:rsidP="00586D77">
            <w:pPr>
              <w:spacing w:before="0"/>
              <w:jc w:val="both"/>
              <w:rPr>
                <w:rFonts w:ascii="Calibri" w:hAnsi="Calibri" w:cs="Calibri"/>
                <w:color w:val="000000"/>
                <w:sz w:val="22"/>
                <w:szCs w:val="22"/>
                <w:lang w:eastAsia="en-AU"/>
              </w:rPr>
            </w:pPr>
          </w:p>
        </w:tc>
      </w:tr>
      <w:tr w:rsidR="003161F8" w:rsidRPr="00586D77" w14:paraId="6E1CD44B" w14:textId="53406C8D" w:rsidTr="003161F8">
        <w:trPr>
          <w:trHeight w:val="580"/>
        </w:trPr>
        <w:tc>
          <w:tcPr>
            <w:tcW w:w="1575" w:type="dxa"/>
            <w:tcBorders>
              <w:top w:val="nil"/>
              <w:left w:val="single" w:sz="4" w:space="0" w:color="auto"/>
              <w:bottom w:val="single" w:sz="4" w:space="0" w:color="auto"/>
              <w:right w:val="single" w:sz="4" w:space="0" w:color="auto"/>
            </w:tcBorders>
            <w:shd w:val="clear" w:color="auto" w:fill="auto"/>
            <w:hideMark/>
          </w:tcPr>
          <w:p w14:paraId="17385188" w14:textId="77777777" w:rsidR="003161F8" w:rsidRPr="00586D77" w:rsidRDefault="003161F8" w:rsidP="00586D77">
            <w:pPr>
              <w:spacing w:before="0"/>
              <w:jc w:val="right"/>
              <w:rPr>
                <w:rFonts w:ascii="Calibri" w:hAnsi="Calibri" w:cs="Calibri"/>
                <w:sz w:val="22"/>
                <w:szCs w:val="22"/>
                <w:lang w:eastAsia="en-AU"/>
              </w:rPr>
            </w:pPr>
            <w:r w:rsidRPr="00586D77">
              <w:rPr>
                <w:rFonts w:ascii="Calibri" w:hAnsi="Calibri" w:cs="Calibri"/>
                <w:sz w:val="22"/>
                <w:szCs w:val="22"/>
                <w:lang w:eastAsia="en-AU"/>
              </w:rPr>
              <w:t>3.3</w:t>
            </w:r>
          </w:p>
        </w:tc>
        <w:tc>
          <w:tcPr>
            <w:tcW w:w="3118" w:type="dxa"/>
            <w:tcBorders>
              <w:top w:val="nil"/>
              <w:left w:val="nil"/>
              <w:bottom w:val="single" w:sz="4" w:space="0" w:color="auto"/>
              <w:right w:val="single" w:sz="4" w:space="0" w:color="auto"/>
            </w:tcBorders>
            <w:shd w:val="clear" w:color="auto" w:fill="auto"/>
            <w:hideMark/>
          </w:tcPr>
          <w:p w14:paraId="669C9669"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Seminar for launching report and/or policy dialogue</w:t>
            </w:r>
          </w:p>
        </w:tc>
        <w:tc>
          <w:tcPr>
            <w:tcW w:w="1072" w:type="dxa"/>
            <w:tcBorders>
              <w:top w:val="nil"/>
              <w:left w:val="nil"/>
              <w:bottom w:val="single" w:sz="4" w:space="0" w:color="auto"/>
              <w:right w:val="single" w:sz="4" w:space="0" w:color="auto"/>
            </w:tcBorders>
            <w:shd w:val="clear" w:color="auto" w:fill="auto"/>
            <w:hideMark/>
          </w:tcPr>
          <w:p w14:paraId="20432957"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2755" w:type="dxa"/>
            <w:tcBorders>
              <w:top w:val="nil"/>
              <w:left w:val="nil"/>
              <w:bottom w:val="single" w:sz="4" w:space="0" w:color="auto"/>
              <w:right w:val="single" w:sz="4" w:space="0" w:color="auto"/>
            </w:tcBorders>
            <w:shd w:val="clear" w:color="auto" w:fill="auto"/>
            <w:hideMark/>
          </w:tcPr>
          <w:p w14:paraId="4B95B75C"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Event minutes</w:t>
            </w:r>
          </w:p>
        </w:tc>
        <w:tc>
          <w:tcPr>
            <w:tcW w:w="496" w:type="dxa"/>
            <w:tcBorders>
              <w:top w:val="nil"/>
              <w:left w:val="nil"/>
              <w:bottom w:val="single" w:sz="4" w:space="0" w:color="auto"/>
              <w:right w:val="single" w:sz="4" w:space="0" w:color="auto"/>
            </w:tcBorders>
            <w:shd w:val="clear" w:color="auto" w:fill="auto"/>
            <w:hideMark/>
          </w:tcPr>
          <w:p w14:paraId="72B1C798"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294301A4"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0AA2A7F4"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1D11F809"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5565342E"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268FAA6B"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nil"/>
              <w:left w:val="nil"/>
              <w:bottom w:val="single" w:sz="4" w:space="0" w:color="auto"/>
              <w:right w:val="single" w:sz="4" w:space="0" w:color="auto"/>
            </w:tcBorders>
            <w:shd w:val="clear" w:color="auto" w:fill="auto"/>
            <w:hideMark/>
          </w:tcPr>
          <w:p w14:paraId="70899F50"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nil"/>
              <w:bottom w:val="single" w:sz="4" w:space="0" w:color="auto"/>
              <w:right w:val="single" w:sz="4" w:space="0" w:color="auto"/>
            </w:tcBorders>
            <w:shd w:val="clear" w:color="auto" w:fill="FFFF00"/>
            <w:hideMark/>
          </w:tcPr>
          <w:p w14:paraId="6AB1B519" w14:textId="77777777" w:rsidR="003161F8" w:rsidRPr="00586D77" w:rsidRDefault="003161F8" w:rsidP="00586D77">
            <w:pPr>
              <w:spacing w:before="0"/>
              <w:rPr>
                <w:rFonts w:ascii="Calibri" w:hAnsi="Calibri" w:cs="Calibri"/>
                <w:sz w:val="22"/>
                <w:szCs w:val="22"/>
                <w:lang w:eastAsia="en-AU"/>
              </w:rPr>
            </w:pPr>
            <w:r w:rsidRPr="00586D77">
              <w:rPr>
                <w:rFonts w:ascii="Calibri" w:hAnsi="Calibri" w:cs="Calibri"/>
                <w:sz w:val="22"/>
                <w:szCs w:val="22"/>
                <w:lang w:eastAsia="en-AU"/>
              </w:rPr>
              <w:t> </w:t>
            </w:r>
          </w:p>
        </w:tc>
        <w:tc>
          <w:tcPr>
            <w:tcW w:w="567" w:type="dxa"/>
            <w:tcBorders>
              <w:top w:val="single" w:sz="4" w:space="0" w:color="auto"/>
              <w:left w:val="single" w:sz="4" w:space="0" w:color="auto"/>
              <w:bottom w:val="single" w:sz="4" w:space="0" w:color="auto"/>
              <w:right w:val="single" w:sz="4" w:space="0" w:color="auto"/>
            </w:tcBorders>
            <w:shd w:val="clear" w:color="auto" w:fill="FFFF00"/>
            <w:hideMark/>
          </w:tcPr>
          <w:p w14:paraId="3E7D75CB" w14:textId="77777777" w:rsidR="003161F8" w:rsidRPr="00586D77" w:rsidRDefault="003161F8"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699143CC" w14:textId="77777777" w:rsidR="003161F8" w:rsidRPr="00586D77" w:rsidRDefault="003161F8" w:rsidP="00586D77">
            <w:pPr>
              <w:spacing w:before="0"/>
              <w:jc w:val="both"/>
              <w:rPr>
                <w:rFonts w:ascii="Calibri" w:hAnsi="Calibri" w:cs="Calibri"/>
                <w:color w:val="000000"/>
                <w:sz w:val="22"/>
                <w:szCs w:val="22"/>
                <w:lang w:eastAsia="en-AU"/>
              </w:rPr>
            </w:pPr>
          </w:p>
        </w:tc>
        <w:tc>
          <w:tcPr>
            <w:tcW w:w="567" w:type="dxa"/>
            <w:tcBorders>
              <w:top w:val="single" w:sz="4" w:space="0" w:color="auto"/>
              <w:left w:val="single" w:sz="4" w:space="0" w:color="auto"/>
              <w:bottom w:val="single" w:sz="4" w:space="0" w:color="auto"/>
              <w:right w:val="single" w:sz="4" w:space="0" w:color="auto"/>
            </w:tcBorders>
            <w:shd w:val="clear" w:color="auto" w:fill="FFFF00"/>
          </w:tcPr>
          <w:p w14:paraId="04E2DC81" w14:textId="77777777" w:rsidR="003161F8" w:rsidRPr="00586D77" w:rsidRDefault="003161F8" w:rsidP="00586D77">
            <w:pPr>
              <w:spacing w:before="0"/>
              <w:jc w:val="both"/>
              <w:rPr>
                <w:rFonts w:ascii="Calibri" w:hAnsi="Calibri" w:cs="Calibri"/>
                <w:color w:val="000000"/>
                <w:sz w:val="22"/>
                <w:szCs w:val="22"/>
                <w:lang w:eastAsia="en-AU"/>
              </w:rPr>
            </w:pPr>
          </w:p>
        </w:tc>
      </w:tr>
    </w:tbl>
    <w:p w14:paraId="6FA76A45" w14:textId="77777777" w:rsidR="00452FDA" w:rsidRPr="00444201" w:rsidRDefault="00452FDA" w:rsidP="00971CFB">
      <w:pPr>
        <w:rPr>
          <w:rFonts w:cs="Arial"/>
        </w:rPr>
      </w:pPr>
    </w:p>
    <w:sectPr w:rsidR="00452FDA" w:rsidRPr="00444201" w:rsidSect="00F15C5A">
      <w:pgSz w:w="16840" w:h="11900" w:orient="landscape"/>
      <w:pgMar w:top="1134" w:right="961" w:bottom="1134" w:left="1265" w:header="568" w:footer="4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631318" w14:textId="77777777" w:rsidR="00AB4539" w:rsidRDefault="00AB4539" w:rsidP="002C2035">
      <w:pPr>
        <w:spacing w:before="0"/>
      </w:pPr>
      <w:r>
        <w:separator/>
      </w:r>
    </w:p>
  </w:endnote>
  <w:endnote w:type="continuationSeparator" w:id="0">
    <w:p w14:paraId="7BED8D44" w14:textId="77777777" w:rsidR="00AB4539" w:rsidRDefault="00AB4539" w:rsidP="002C203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600CE" w14:textId="77777777" w:rsidR="00AB4539" w:rsidRDefault="00AB4539" w:rsidP="001733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87</w:t>
    </w:r>
    <w:r>
      <w:rPr>
        <w:rStyle w:val="PageNumber"/>
      </w:rPr>
      <w:fldChar w:fldCharType="end"/>
    </w:r>
  </w:p>
  <w:p w14:paraId="221355F9" w14:textId="77777777" w:rsidR="00AB4539" w:rsidRDefault="00AB4539" w:rsidP="00A73D2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F67BD" w14:textId="77777777" w:rsidR="00AB4539" w:rsidRDefault="00AB4539" w:rsidP="001733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3A1D">
      <w:rPr>
        <w:rStyle w:val="PageNumber"/>
        <w:noProof/>
      </w:rPr>
      <w:t>1</w:t>
    </w:r>
    <w:r>
      <w:rPr>
        <w:rStyle w:val="PageNumber"/>
      </w:rPr>
      <w:fldChar w:fldCharType="end"/>
    </w:r>
  </w:p>
  <w:p w14:paraId="0353EBA5" w14:textId="77777777" w:rsidR="00AB4539" w:rsidRPr="00C64683" w:rsidRDefault="00AB4539" w:rsidP="001733EF">
    <w:pPr>
      <w:pStyle w:val="Footer"/>
      <w:tabs>
        <w:tab w:val="right" w:pos="9633"/>
      </w:tabs>
      <w:spacing w:before="40"/>
      <w:ind w:right="360"/>
      <w:rPr>
        <w:szCs w:val="16"/>
      </w:rPr>
    </w:pPr>
    <w:r w:rsidRPr="00C64683">
      <w:rPr>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48515" w14:textId="77777777" w:rsidR="005F2473" w:rsidRDefault="005F247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95415" w14:textId="77777777" w:rsidR="00AB4539" w:rsidRDefault="00AB4539" w:rsidP="00A73D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3A1D">
      <w:rPr>
        <w:rStyle w:val="PageNumber"/>
        <w:noProof/>
      </w:rPr>
      <w:t>iii</w:t>
    </w:r>
    <w:r>
      <w:rPr>
        <w:rStyle w:val="PageNumber"/>
      </w:rPr>
      <w:fldChar w:fldCharType="end"/>
    </w:r>
  </w:p>
  <w:p w14:paraId="635D2E5C" w14:textId="535B274E" w:rsidR="00AB4539" w:rsidRDefault="00AB4539" w:rsidP="00A73D23">
    <w:pPr>
      <w:pStyle w:val="Footer"/>
      <w:ind w:right="360"/>
      <w:jc w:val="right"/>
    </w:pPr>
  </w:p>
  <w:p w14:paraId="31B0A08B" w14:textId="77777777" w:rsidR="00AB4539" w:rsidRDefault="00AB453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6336701"/>
      <w:docPartObj>
        <w:docPartGallery w:val="Page Numbers (Bottom of Page)"/>
        <w:docPartUnique/>
      </w:docPartObj>
    </w:sdtPr>
    <w:sdtEndPr>
      <w:rPr>
        <w:noProof/>
      </w:rPr>
    </w:sdtEndPr>
    <w:sdtContent>
      <w:p w14:paraId="12EEC0BB" w14:textId="77777777" w:rsidR="00AB4539" w:rsidRDefault="00AB4539">
        <w:pPr>
          <w:pStyle w:val="Footer"/>
          <w:jc w:val="right"/>
        </w:pPr>
        <w:r>
          <w:fldChar w:fldCharType="begin"/>
        </w:r>
        <w:r>
          <w:instrText xml:space="preserve"> PAGE   \* MERGEFORMAT </w:instrText>
        </w:r>
        <w:r>
          <w:fldChar w:fldCharType="separate"/>
        </w:r>
        <w:r w:rsidR="00B33A1D">
          <w:rPr>
            <w:noProof/>
          </w:rPr>
          <w:t>87</w:t>
        </w:r>
        <w:r>
          <w:rPr>
            <w:noProof/>
          </w:rPr>
          <w:fldChar w:fldCharType="end"/>
        </w:r>
      </w:p>
    </w:sdtContent>
  </w:sdt>
  <w:p w14:paraId="6C648E50" w14:textId="77777777" w:rsidR="00AB4539" w:rsidRDefault="00AB45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A5E70E" w14:textId="77777777" w:rsidR="00AB4539" w:rsidRDefault="00AB4539" w:rsidP="002C2035">
      <w:pPr>
        <w:spacing w:before="0"/>
      </w:pPr>
      <w:r>
        <w:separator/>
      </w:r>
    </w:p>
  </w:footnote>
  <w:footnote w:type="continuationSeparator" w:id="0">
    <w:p w14:paraId="1C58214D" w14:textId="77777777" w:rsidR="00AB4539" w:rsidRDefault="00AB4539" w:rsidP="002C2035">
      <w:pPr>
        <w:spacing w:before="0"/>
      </w:pPr>
      <w:r>
        <w:continuationSeparator/>
      </w:r>
    </w:p>
  </w:footnote>
  <w:footnote w:id="1">
    <w:p w14:paraId="00B6044E" w14:textId="0BD4B72D" w:rsidR="00AB4539" w:rsidRPr="00BD38B1" w:rsidRDefault="00AB4539" w:rsidP="00D513FC">
      <w:pPr>
        <w:pStyle w:val="FootnoteText"/>
      </w:pPr>
      <w:r w:rsidRPr="00C13252">
        <w:rPr>
          <w:rStyle w:val="FootnoteReference"/>
        </w:rPr>
        <w:footnoteRef/>
      </w:r>
      <w:r w:rsidRPr="00C13252">
        <w:t xml:space="preserve"> </w:t>
      </w:r>
      <w:r>
        <w:tab/>
      </w:r>
      <w:r w:rsidRPr="00C13252">
        <w:t xml:space="preserve">Source: </w:t>
      </w:r>
      <w:r>
        <w:t xml:space="preserve">UNDP MDG report: </w:t>
      </w:r>
      <w:hyperlink r:id="rId1" w:history="1">
        <w:r w:rsidRPr="004A2181">
          <w:rPr>
            <w:rStyle w:val="Hyperlink"/>
          </w:rPr>
          <w:t>http://www.vn.undp.org/content/vietnam/en/home/mdgoverview/overview/mdg</w:t>
        </w:r>
      </w:hyperlink>
      <w:r w:rsidRPr="00C13252">
        <w:t xml:space="preserve">. </w:t>
      </w:r>
      <w:r w:rsidRPr="00C13252">
        <w:rPr>
          <w:lang w:val="vi-VN"/>
        </w:rPr>
        <w:t xml:space="preserve">The methodology for calculating Vietnam’s poverty rate, however, has recently come into question – see </w:t>
      </w:r>
      <w:r w:rsidRPr="00C13252">
        <w:t xml:space="preserve">2012 Poverty Assessment by WB-Vietnam Academy for Social Science at </w:t>
      </w:r>
      <w:hyperlink r:id="rId2" w:history="1">
        <w:r w:rsidRPr="004A2181">
          <w:rPr>
            <w:rStyle w:val="Hyperlink"/>
          </w:rPr>
          <w:t>http://www.worldbank.org/content/dam/Worldbank/document/vn_PA2012Executive_summary_EN.pdf</w:t>
        </w:r>
      </w:hyperlink>
      <w:r>
        <w:t xml:space="preserve"> </w:t>
      </w:r>
    </w:p>
  </w:footnote>
  <w:footnote w:id="2">
    <w:p w14:paraId="1527E472" w14:textId="7F453776" w:rsidR="00AB4539" w:rsidRDefault="00AB4539">
      <w:pPr>
        <w:pStyle w:val="FootnoteText"/>
      </w:pPr>
      <w:r>
        <w:rPr>
          <w:rStyle w:val="FootnoteReference"/>
        </w:rPr>
        <w:footnoteRef/>
      </w:r>
      <w:r>
        <w:t xml:space="preserve"> </w:t>
      </w:r>
      <w:r>
        <w:tab/>
      </w:r>
      <w:r w:rsidRPr="00524C6A">
        <w:rPr>
          <w:lang w:val="en-AU"/>
        </w:rPr>
        <w:t>Regional economic cooperation agreements are shifting from comparatively simple Free Trade Agreements (FTAs), to broader and more complex economic cooperation agreements, covering the movement of goods, services, technology, competition policy, state enterprise reform, people and capital, as well as environmental standards.</w:t>
      </w:r>
    </w:p>
  </w:footnote>
  <w:footnote w:id="3">
    <w:p w14:paraId="55A60751" w14:textId="11A03CBC" w:rsidR="00AB4539" w:rsidRDefault="00AB4539">
      <w:pPr>
        <w:pStyle w:val="FootnoteText"/>
      </w:pPr>
      <w:r>
        <w:rPr>
          <w:rStyle w:val="FootnoteReference"/>
        </w:rPr>
        <w:footnoteRef/>
      </w:r>
      <w:r>
        <w:t xml:space="preserve"> </w:t>
      </w:r>
      <w:r>
        <w:tab/>
        <w:t>T</w:t>
      </w:r>
      <w:r w:rsidRPr="004C78B5">
        <w:rPr>
          <w:lang w:val="en-AU"/>
        </w:rPr>
        <w:t xml:space="preserve">he agreement will increase customs efficiency and revenue collection, and help businesses access new export opportunities </w:t>
      </w:r>
      <w:r>
        <w:rPr>
          <w:lang w:val="en-AU"/>
        </w:rPr>
        <w:t>via more transparent</w:t>
      </w:r>
      <w:r w:rsidRPr="004C78B5">
        <w:rPr>
          <w:lang w:val="en-AU"/>
        </w:rPr>
        <w:t xml:space="preserve"> customs practices, </w:t>
      </w:r>
      <w:r>
        <w:rPr>
          <w:lang w:val="en-AU"/>
        </w:rPr>
        <w:t>streamlined</w:t>
      </w:r>
      <w:r w:rsidRPr="004C78B5">
        <w:rPr>
          <w:lang w:val="en-AU"/>
        </w:rPr>
        <w:t xml:space="preserve"> documentary requirements, and processing of documents.</w:t>
      </w:r>
      <w:r>
        <w:rPr>
          <w:lang w:val="en-AU"/>
        </w:rPr>
        <w:t xml:space="preserve"> </w:t>
      </w:r>
      <w:r w:rsidRPr="00456C05">
        <w:rPr>
          <w:lang w:val="en-AU"/>
        </w:rPr>
        <w:t>http://www.wto.org/english/tratop_e/tradfa_e/tradfa_e.htm</w:t>
      </w:r>
    </w:p>
  </w:footnote>
  <w:footnote w:id="4">
    <w:p w14:paraId="2C7A850C" w14:textId="4EB2AA62" w:rsidR="00AB4539" w:rsidRDefault="00AB4539">
      <w:pPr>
        <w:pStyle w:val="FootnoteText"/>
      </w:pPr>
      <w:r>
        <w:rPr>
          <w:rStyle w:val="FootnoteReference"/>
        </w:rPr>
        <w:footnoteRef/>
      </w:r>
      <w:r>
        <w:t xml:space="preserve"> </w:t>
      </w:r>
      <w:r>
        <w:tab/>
      </w:r>
      <w:hyperlink r:id="rId3" w:history="1">
        <w:r w:rsidRPr="009D069D">
          <w:rPr>
            <w:rStyle w:val="Hyperlink"/>
          </w:rPr>
          <w:t>http://www.doingbusiness.org/reports/global-reports/doing-business-2014</w:t>
        </w:r>
      </w:hyperlink>
      <w:r>
        <w:t xml:space="preserve"> and </w:t>
      </w:r>
      <w:r w:rsidRPr="006F7930">
        <w:t>http://www.weforum.org/reports/global-competitiveness-report-2013-2014</w:t>
      </w:r>
    </w:p>
  </w:footnote>
  <w:footnote w:id="5">
    <w:p w14:paraId="08C6A534" w14:textId="47BC67A6" w:rsidR="00AB4539" w:rsidRDefault="00AB4539" w:rsidP="009F6EA2">
      <w:pPr>
        <w:pStyle w:val="FootnoteText"/>
      </w:pPr>
      <w:r>
        <w:rPr>
          <w:rStyle w:val="FootnoteReference"/>
        </w:rPr>
        <w:footnoteRef/>
      </w:r>
      <w:r>
        <w:t xml:space="preserve"> </w:t>
      </w:r>
      <w:r>
        <w:tab/>
      </w:r>
      <w:proofErr w:type="gramStart"/>
      <w:r>
        <w:t>WTO.</w:t>
      </w:r>
      <w:proofErr w:type="gramEnd"/>
      <w:r>
        <w:t xml:space="preserve"> 2013. Trade Policy Review: Viet Nam. </w:t>
      </w:r>
      <w:r w:rsidRPr="00C313BE">
        <w:t>http://www.wto.org/english/tratop_e/tpr_e/tp387_e.htm</w:t>
      </w:r>
    </w:p>
  </w:footnote>
  <w:footnote w:id="6">
    <w:p w14:paraId="51314B0B" w14:textId="3FD3211B" w:rsidR="00AB4539" w:rsidRPr="00226B82" w:rsidRDefault="00AB4539" w:rsidP="002035C4">
      <w:pPr>
        <w:pStyle w:val="FootnoteText"/>
      </w:pPr>
      <w:r w:rsidRPr="00C13252">
        <w:rPr>
          <w:rStyle w:val="FootnoteReference"/>
        </w:rPr>
        <w:footnoteRef/>
      </w:r>
      <w:r w:rsidRPr="00C13252">
        <w:t xml:space="preserve"> </w:t>
      </w:r>
      <w:r>
        <w:t xml:space="preserve"> GoV SEDP</w:t>
      </w:r>
      <w:r w:rsidRPr="00FC3DDD">
        <w:t xml:space="preserve"> 2011-15 (Chapter II. </w:t>
      </w:r>
      <w:proofErr w:type="gramStart"/>
      <w:r w:rsidRPr="00FC3DDD">
        <w:t>Development Perspectives.</w:t>
      </w:r>
      <w:proofErr w:type="gramEnd"/>
      <w:r w:rsidRPr="00FC3DDD">
        <w:t xml:space="preserve"> </w:t>
      </w:r>
      <w:proofErr w:type="gramStart"/>
      <w:r w:rsidRPr="00FC3DDD">
        <w:t>Building an independent and autonomous economy in the context of increasingly broader international integration).</w:t>
      </w:r>
      <w:proofErr w:type="gramEnd"/>
    </w:p>
  </w:footnote>
  <w:footnote w:id="7">
    <w:p w14:paraId="6B18D53D" w14:textId="0A1BB200" w:rsidR="00AB4539" w:rsidRPr="005152FF" w:rsidRDefault="00AB4539" w:rsidP="002035C4">
      <w:pPr>
        <w:pStyle w:val="FootnoteText"/>
      </w:pPr>
      <w:r>
        <w:rPr>
          <w:rStyle w:val="FootnoteReference"/>
        </w:rPr>
        <w:footnoteRef/>
      </w:r>
      <w:r>
        <w:t xml:space="preserve">  </w:t>
      </w:r>
      <w:r w:rsidRPr="00002A51">
        <w:t>Decision 339/QD-</w:t>
      </w:r>
      <w:proofErr w:type="spellStart"/>
      <w:r w:rsidRPr="00002A51">
        <w:t>TTg</w:t>
      </w:r>
      <w:proofErr w:type="spellEnd"/>
      <w:r w:rsidRPr="00002A51">
        <w:t xml:space="preserve"> (19/2/13) approving the </w:t>
      </w:r>
      <w:r>
        <w:t xml:space="preserve">MPER </w:t>
      </w:r>
      <w:r w:rsidRPr="00002A51">
        <w:t>to revamp the growth model with the aim of improving the quality, efficiency and competitiveness of the economy from 2013-2020.</w:t>
      </w:r>
      <w:r w:rsidRPr="005152FF">
        <w:rPr>
          <w:bCs w:val="0"/>
        </w:rPr>
        <w:t xml:space="preserve"> </w:t>
      </w:r>
      <w:r>
        <w:rPr>
          <w:bCs w:val="0"/>
        </w:rPr>
        <w:t xml:space="preserve">A summary of the MPER is included in </w:t>
      </w:r>
      <w:r w:rsidRPr="003112E2">
        <w:rPr>
          <w:b/>
          <w:bCs w:val="0"/>
          <w:u w:val="single"/>
        </w:rPr>
        <w:t>Appendix 8-MPER</w:t>
      </w:r>
      <w:r w:rsidRPr="00785215">
        <w:rPr>
          <w:bCs w:val="0"/>
        </w:rPr>
        <w:t>.</w:t>
      </w:r>
    </w:p>
  </w:footnote>
  <w:footnote w:id="8">
    <w:p w14:paraId="05B898F4" w14:textId="1BE7BDD1" w:rsidR="00AB4539" w:rsidRDefault="00AB4539">
      <w:pPr>
        <w:pStyle w:val="FootnoteText"/>
      </w:pPr>
      <w:r>
        <w:rPr>
          <w:rStyle w:val="FootnoteReference"/>
        </w:rPr>
        <w:footnoteRef/>
      </w:r>
      <w:r>
        <w:t xml:space="preserve"> </w:t>
      </w:r>
      <w:r w:rsidRPr="00DD63F2">
        <w:rPr>
          <w:lang w:val="en-AU"/>
        </w:rPr>
        <w:t xml:space="preserve">Monitoring and </w:t>
      </w:r>
      <w:r>
        <w:rPr>
          <w:lang w:val="en-AU"/>
        </w:rPr>
        <w:t xml:space="preserve">building </w:t>
      </w:r>
      <w:r w:rsidRPr="00DD63F2">
        <w:rPr>
          <w:lang w:val="en-AU"/>
        </w:rPr>
        <w:t xml:space="preserve">understanding </w:t>
      </w:r>
      <w:r>
        <w:rPr>
          <w:lang w:val="en-AU"/>
        </w:rPr>
        <w:t xml:space="preserve">of the </w:t>
      </w:r>
      <w:r w:rsidRPr="00DD63F2">
        <w:rPr>
          <w:lang w:val="en-AU"/>
        </w:rPr>
        <w:t xml:space="preserve">distributional impacts </w:t>
      </w:r>
      <w:r>
        <w:rPr>
          <w:lang w:val="en-AU"/>
        </w:rPr>
        <w:t xml:space="preserve">of reform </w:t>
      </w:r>
      <w:r w:rsidRPr="00DD63F2">
        <w:rPr>
          <w:lang w:val="en-AU"/>
        </w:rPr>
        <w:t>will be important to sustain support for</w:t>
      </w:r>
      <w:r>
        <w:rPr>
          <w:lang w:val="en-AU"/>
        </w:rPr>
        <w:t xml:space="preserve"> reform</w:t>
      </w:r>
      <w:r w:rsidRPr="00DD63F2">
        <w:rPr>
          <w:lang w:val="en-AU"/>
        </w:rPr>
        <w:t>, and</w:t>
      </w:r>
      <w:r>
        <w:rPr>
          <w:lang w:val="en-AU"/>
        </w:rPr>
        <w:t xml:space="preserve"> to sustain</w:t>
      </w:r>
      <w:r w:rsidRPr="00DD63F2">
        <w:rPr>
          <w:lang w:val="en-AU"/>
        </w:rPr>
        <w:t xml:space="preserve"> pressure</w:t>
      </w:r>
      <w:r>
        <w:rPr>
          <w:lang w:val="en-AU"/>
        </w:rPr>
        <w:t>s</w:t>
      </w:r>
      <w:r w:rsidRPr="00DD63F2">
        <w:rPr>
          <w:lang w:val="en-AU"/>
        </w:rPr>
        <w:t xml:space="preserve"> to </w:t>
      </w:r>
      <w:r>
        <w:rPr>
          <w:lang w:val="en-AU"/>
        </w:rPr>
        <w:t xml:space="preserve">effectively </w:t>
      </w:r>
      <w:r w:rsidRPr="00DD63F2">
        <w:rPr>
          <w:lang w:val="en-AU"/>
        </w:rPr>
        <w:t xml:space="preserve">implement </w:t>
      </w:r>
      <w:r>
        <w:rPr>
          <w:lang w:val="en-AU"/>
        </w:rPr>
        <w:t xml:space="preserve">the </w:t>
      </w:r>
      <w:r w:rsidRPr="00DD63F2">
        <w:rPr>
          <w:lang w:val="en-AU"/>
        </w:rPr>
        <w:t>reforms.</w:t>
      </w:r>
    </w:p>
  </w:footnote>
  <w:footnote w:id="9">
    <w:p w14:paraId="36219E2E" w14:textId="65B4E59C" w:rsidR="00AB4539" w:rsidRPr="00002A51" w:rsidRDefault="00AB4539" w:rsidP="000B60F8">
      <w:pPr>
        <w:pStyle w:val="FootnoteText"/>
      </w:pPr>
      <w:r>
        <w:rPr>
          <w:rStyle w:val="FootnoteReference"/>
        </w:rPr>
        <w:footnoteRef/>
      </w:r>
      <w:r>
        <w:t xml:space="preserve">  </w:t>
      </w:r>
      <w:r w:rsidRPr="00002A51">
        <w:t xml:space="preserve">Politburo Resolution No. 22 </w:t>
      </w:r>
      <w:r>
        <w:t xml:space="preserve"> (April 2013) </w:t>
      </w:r>
      <w:r w:rsidRPr="000B60F8">
        <w:rPr>
          <w:lang w:val="en-AU"/>
        </w:rPr>
        <w:t xml:space="preserve">requires the establishment of a </w:t>
      </w:r>
      <w:r>
        <w:rPr>
          <w:lang w:val="en-AU"/>
        </w:rPr>
        <w:t xml:space="preserve">coordination </w:t>
      </w:r>
      <w:r w:rsidRPr="000B60F8">
        <w:rPr>
          <w:lang w:val="en-AU"/>
        </w:rPr>
        <w:t>mech</w:t>
      </w:r>
      <w:r>
        <w:rPr>
          <w:lang w:val="en-AU"/>
        </w:rPr>
        <w:t xml:space="preserve">anism led by the Prime Minister, </w:t>
      </w:r>
      <w:r w:rsidRPr="000B60F8">
        <w:rPr>
          <w:lang w:val="en-AU"/>
        </w:rPr>
        <w:t>with inter-agency and central-local collaboration</w:t>
      </w:r>
      <w:r>
        <w:rPr>
          <w:lang w:val="en-AU"/>
        </w:rPr>
        <w:t>,</w:t>
      </w:r>
      <w:r w:rsidRPr="000B60F8">
        <w:rPr>
          <w:lang w:val="en-AU"/>
        </w:rPr>
        <w:t xml:space="preserve"> </w:t>
      </w:r>
      <w:r>
        <w:rPr>
          <w:lang w:val="en-AU"/>
        </w:rPr>
        <w:t>to exploit</w:t>
      </w:r>
      <w:r w:rsidRPr="000B60F8">
        <w:rPr>
          <w:lang w:val="en-AU"/>
        </w:rPr>
        <w:t xml:space="preserve"> the opportunities of increased integration </w:t>
      </w:r>
      <w:r>
        <w:rPr>
          <w:lang w:val="en-AU"/>
        </w:rPr>
        <w:t>while</w:t>
      </w:r>
      <w:r w:rsidRPr="000B60F8">
        <w:rPr>
          <w:lang w:val="en-AU"/>
        </w:rPr>
        <w:t xml:space="preserve"> minimising </w:t>
      </w:r>
      <w:r>
        <w:rPr>
          <w:lang w:val="en-AU"/>
        </w:rPr>
        <w:t>any</w:t>
      </w:r>
      <w:r w:rsidRPr="000B60F8">
        <w:rPr>
          <w:lang w:val="en-AU"/>
        </w:rPr>
        <w:t xml:space="preserve"> adverse impacts</w:t>
      </w:r>
      <w:r>
        <w:rPr>
          <w:lang w:val="en-AU"/>
        </w:rPr>
        <w:t xml:space="preserve">. </w:t>
      </w:r>
      <w:r w:rsidRPr="004D2A40">
        <w:rPr>
          <w:lang w:val="en-AU"/>
        </w:rPr>
        <w:t xml:space="preserve">Detailed priorities are currently being formulated into a </w:t>
      </w:r>
      <w:r>
        <w:rPr>
          <w:lang w:val="en-AU"/>
        </w:rPr>
        <w:t xml:space="preserve">GoV </w:t>
      </w:r>
      <w:r w:rsidRPr="004D2A40">
        <w:rPr>
          <w:lang w:val="en-AU"/>
        </w:rPr>
        <w:t>action plan to implement this resolution.</w:t>
      </w:r>
    </w:p>
  </w:footnote>
  <w:footnote w:id="10">
    <w:p w14:paraId="1558C0E1" w14:textId="5D65F377" w:rsidR="00AB4539" w:rsidRPr="00226B82" w:rsidRDefault="00AB4539" w:rsidP="00FC3DDD">
      <w:pPr>
        <w:pStyle w:val="FootnoteText"/>
      </w:pPr>
      <w:r w:rsidRPr="00C13252">
        <w:rPr>
          <w:rStyle w:val="FootnoteReference"/>
        </w:rPr>
        <w:footnoteRef/>
      </w:r>
      <w:r w:rsidRPr="00C13252">
        <w:t xml:space="preserve"> </w:t>
      </w:r>
      <w:r>
        <w:t xml:space="preserve"> </w:t>
      </w:r>
      <w:proofErr w:type="gramStart"/>
      <w:r>
        <w:t>SEDP</w:t>
      </w:r>
      <w:r w:rsidRPr="00FC3DDD">
        <w:t xml:space="preserve"> 2011-15 (Chapter II</w:t>
      </w:r>
      <w:bookmarkStart w:id="16" w:name="bookmark22"/>
      <w:r w:rsidRPr="00FC3DDD">
        <w:t>.</w:t>
      </w:r>
      <w:proofErr w:type="gramEnd"/>
      <w:r w:rsidRPr="00FC3DDD">
        <w:t xml:space="preserve"> </w:t>
      </w:r>
      <w:proofErr w:type="gramStart"/>
      <w:r w:rsidRPr="00FC3DDD">
        <w:t>Development Perspectives.</w:t>
      </w:r>
      <w:proofErr w:type="gramEnd"/>
      <w:r w:rsidRPr="00FC3DDD">
        <w:t xml:space="preserve"> </w:t>
      </w:r>
      <w:proofErr w:type="gramStart"/>
      <w:r w:rsidRPr="00FC3DDD">
        <w:t>Building an independent and autonomous economy in the context of increasingly broader international integration</w:t>
      </w:r>
      <w:bookmarkEnd w:id="16"/>
      <w:r w:rsidRPr="00FC3DDD">
        <w:t>).</w:t>
      </w:r>
      <w:proofErr w:type="gramEnd"/>
    </w:p>
  </w:footnote>
  <w:footnote w:id="11">
    <w:p w14:paraId="6F1A7B65" w14:textId="1CC8CDAD" w:rsidR="00AB4539" w:rsidRPr="005152FF" w:rsidRDefault="00AB4539">
      <w:pPr>
        <w:pStyle w:val="FootnoteText"/>
      </w:pPr>
      <w:r>
        <w:rPr>
          <w:rStyle w:val="FootnoteReference"/>
        </w:rPr>
        <w:footnoteRef/>
      </w:r>
      <w:r>
        <w:t xml:space="preserve">  </w:t>
      </w:r>
      <w:r w:rsidRPr="00002A51">
        <w:t>Decision 339/QD-</w:t>
      </w:r>
      <w:proofErr w:type="spellStart"/>
      <w:r w:rsidRPr="00002A51">
        <w:t>TTg</w:t>
      </w:r>
      <w:proofErr w:type="spellEnd"/>
      <w:r w:rsidRPr="00002A51">
        <w:t xml:space="preserve"> (19/2/13) approving the </w:t>
      </w:r>
      <w:r>
        <w:t>MPER</w:t>
      </w:r>
      <w:r w:rsidRPr="00002A51">
        <w:t xml:space="preserve"> to revamp the growth model with the aim of improving the quality, efficiency and competitiveness of the economy from 2013-2020.</w:t>
      </w:r>
      <w:r w:rsidRPr="005152FF">
        <w:rPr>
          <w:bCs w:val="0"/>
        </w:rPr>
        <w:t xml:space="preserve"> </w:t>
      </w:r>
    </w:p>
  </w:footnote>
  <w:footnote w:id="12">
    <w:p w14:paraId="1EDA17AA" w14:textId="77777777" w:rsidR="00AB4539" w:rsidRDefault="00AB4539" w:rsidP="0021794C">
      <w:pPr>
        <w:pStyle w:val="FootnoteText"/>
      </w:pPr>
      <w:r>
        <w:rPr>
          <w:rStyle w:val="FootnoteReference"/>
        </w:rPr>
        <w:footnoteRef/>
      </w:r>
      <w:r>
        <w:t xml:space="preserve"> </w:t>
      </w:r>
      <w:r w:rsidRPr="0021794C">
        <w:t>http://foreignminister.gov.au/releases/2014/jb_mr_140118.html</w:t>
      </w:r>
    </w:p>
  </w:footnote>
  <w:footnote w:id="13">
    <w:p w14:paraId="0316BC2A" w14:textId="6EA7392A" w:rsidR="00AB4539" w:rsidRDefault="00AB4539">
      <w:pPr>
        <w:pStyle w:val="FootnoteText"/>
      </w:pPr>
      <w:r>
        <w:rPr>
          <w:rStyle w:val="FootnoteReference"/>
        </w:rPr>
        <w:footnoteRef/>
      </w:r>
      <w:r>
        <w:t xml:space="preserve"> These are indicators of success for the Government program supported by RCV. RCV is designed to contribute to these outcomes, but many factors will impact on the final outcome. They key objective in monitoring these high level indicators is to ensure that the national program supported by RCV remains on track, and key assumptions underpinning the design logic remain valid.   </w:t>
      </w:r>
    </w:p>
  </w:footnote>
  <w:footnote w:id="14">
    <w:p w14:paraId="3AE2638E" w14:textId="77777777" w:rsidR="00AB4539" w:rsidRDefault="00AB4539" w:rsidP="005B7DB5">
      <w:pPr>
        <w:pStyle w:val="FootnoteText"/>
      </w:pPr>
      <w:r>
        <w:rPr>
          <w:rStyle w:val="FootnoteReference"/>
        </w:rPr>
        <w:footnoteRef/>
      </w:r>
      <w:r>
        <w:t xml:space="preserve"> </w:t>
      </w:r>
      <w:hyperlink r:id="rId4" w:history="1">
        <w:r w:rsidRPr="002632EF">
          <w:rPr>
            <w:rStyle w:val="Hyperlink"/>
          </w:rPr>
          <w:t>http://www.weforum.org/reports/global-competitiveness-report-2013-2014</w:t>
        </w:r>
      </w:hyperlink>
      <w:r>
        <w:t xml:space="preserve"> </w:t>
      </w:r>
    </w:p>
  </w:footnote>
  <w:footnote w:id="15">
    <w:p w14:paraId="7AF3DE6B" w14:textId="032729A1" w:rsidR="00AB4539" w:rsidRDefault="00AB4539">
      <w:pPr>
        <w:pStyle w:val="FootnoteText"/>
      </w:pPr>
      <w:r>
        <w:rPr>
          <w:rStyle w:val="FootnoteReference"/>
        </w:rPr>
        <w:footnoteRef/>
      </w:r>
      <w:r>
        <w:t xml:space="preserve"> Source: APO: </w:t>
      </w:r>
      <w:hyperlink r:id="rId5" w:history="1">
        <w:r w:rsidRPr="000C011D">
          <w:rPr>
            <w:rStyle w:val="Hyperlink"/>
          </w:rPr>
          <w:t>www.apo-tokyo.org/publications/files/APO_Productivity_Databook_2013.pdf</w:t>
        </w:r>
      </w:hyperlink>
      <w:r>
        <w:t xml:space="preserve"> </w:t>
      </w:r>
    </w:p>
  </w:footnote>
  <w:footnote w:id="16">
    <w:p w14:paraId="236F6E7E" w14:textId="77777777" w:rsidR="00AB4539" w:rsidRDefault="00AB4539" w:rsidP="005B7DB5">
      <w:pPr>
        <w:pStyle w:val="FootnoteText"/>
      </w:pPr>
      <w:r>
        <w:rPr>
          <w:rStyle w:val="FootnoteReference"/>
        </w:rPr>
        <w:footnoteRef/>
      </w:r>
      <w:r>
        <w:t xml:space="preserve"> </w:t>
      </w:r>
      <w:hyperlink r:id="rId6" w:history="1">
        <w:r w:rsidRPr="002632EF">
          <w:rPr>
            <w:rStyle w:val="Hyperlink"/>
          </w:rPr>
          <w:t>http://cpi.transparency.org/cpi2013/</w:t>
        </w:r>
      </w:hyperlink>
      <w:r>
        <w:t xml:space="preserve"> </w:t>
      </w:r>
    </w:p>
  </w:footnote>
  <w:footnote w:id="17">
    <w:p w14:paraId="76F0D1FA" w14:textId="37CB176D" w:rsidR="00AB4539" w:rsidRDefault="00AB4539">
      <w:pPr>
        <w:pStyle w:val="FootnoteText"/>
      </w:pPr>
      <w:r>
        <w:rPr>
          <w:rStyle w:val="FootnoteReference"/>
        </w:rPr>
        <w:footnoteRef/>
      </w:r>
      <w:r>
        <w:t xml:space="preserve"> The program does not support other key elements of the MPER such as financial and capital market restructuring, or restructuring public investment, because of the limited resources and lessons learned from B-WTO on the need for a clear focus on a limited number of results, as well as the substantive involvement of other donors (e.g. WB and ADB) in these areas. The focus areas selected will allow Australian support to build on initial successful outcomes achieved under B-WTO.</w:t>
      </w:r>
    </w:p>
  </w:footnote>
  <w:footnote w:id="18">
    <w:p w14:paraId="643EB4EB" w14:textId="605DDD0B" w:rsidR="00AB4539" w:rsidRDefault="00AB4539">
      <w:pPr>
        <w:pStyle w:val="FootnoteText"/>
      </w:pPr>
      <w:r>
        <w:rPr>
          <w:rStyle w:val="FootnoteReference"/>
        </w:rPr>
        <w:footnoteRef/>
      </w:r>
      <w:r>
        <w:t xml:space="preserve"> More specific objectively measurable indicators for outcomes and outputs are specified in the LFM (Appendix 1). The aim of this narrative is to provide a picture of what the program aims to achieve, and the key elements of the program strategy for achieving these aims.</w:t>
      </w:r>
    </w:p>
  </w:footnote>
  <w:footnote w:id="19">
    <w:p w14:paraId="7B527AA0" w14:textId="20373023" w:rsidR="00AB4539" w:rsidRDefault="00AB4539">
      <w:pPr>
        <w:pStyle w:val="FootnoteText"/>
      </w:pPr>
      <w:r>
        <w:rPr>
          <w:rStyle w:val="FootnoteReference"/>
        </w:rPr>
        <w:footnoteRef/>
      </w:r>
      <w:r>
        <w:t xml:space="preserve"> </w:t>
      </w:r>
      <w:r w:rsidRPr="00114CAB">
        <w:rPr>
          <w:lang w:val="en-AU"/>
        </w:rPr>
        <w:t xml:space="preserve">Planned reforms will address: business and investment </w:t>
      </w:r>
      <w:r>
        <w:rPr>
          <w:lang w:val="en-AU"/>
        </w:rPr>
        <w:t xml:space="preserve">establishment and </w:t>
      </w:r>
      <w:r w:rsidRPr="00114CAB">
        <w:rPr>
          <w:lang w:val="en-AU"/>
        </w:rPr>
        <w:t xml:space="preserve">registration procedures; business transparency; business restructuring (including dissolution, mergers and acquisitions), </w:t>
      </w:r>
      <w:r>
        <w:rPr>
          <w:lang w:val="en-AU"/>
        </w:rPr>
        <w:t xml:space="preserve">investment protection, </w:t>
      </w:r>
      <w:r w:rsidRPr="00114CAB">
        <w:rPr>
          <w:lang w:val="en-AU"/>
        </w:rPr>
        <w:t>and regulatory enforceme</w:t>
      </w:r>
      <w:r>
        <w:rPr>
          <w:lang w:val="en-AU"/>
        </w:rPr>
        <w:t>nt</w:t>
      </w:r>
      <w:r w:rsidRPr="00114CAB">
        <w:rPr>
          <w:lang w:val="en-AU"/>
        </w:rPr>
        <w:t>.</w:t>
      </w:r>
      <w:r>
        <w:rPr>
          <w:lang w:val="en-AU"/>
        </w:rPr>
        <w:t xml:space="preserve"> </w:t>
      </w:r>
      <w:r w:rsidRPr="009B6ADB">
        <w:rPr>
          <w:lang w:val="en-AU"/>
        </w:rPr>
        <w:t>These reforms will contribute to improvements in Vietnam’s rating in the WB Doing Business Index.</w:t>
      </w:r>
    </w:p>
  </w:footnote>
  <w:footnote w:id="20">
    <w:p w14:paraId="45183EC6" w14:textId="156F24D9" w:rsidR="00AB4539" w:rsidRPr="000C1DC7" w:rsidRDefault="00AB4539" w:rsidP="00333DBF">
      <w:pPr>
        <w:pStyle w:val="FootnoteText"/>
      </w:pPr>
      <w:r>
        <w:rPr>
          <w:rStyle w:val="FootnoteReference"/>
        </w:rPr>
        <w:footnoteRef/>
      </w:r>
      <w:r>
        <w:t xml:space="preserve"> Specific requirement of Decision 339/QD on MERP (III.2.c)</w:t>
      </w:r>
    </w:p>
  </w:footnote>
  <w:footnote w:id="21">
    <w:p w14:paraId="76436BA4" w14:textId="48DA01B8" w:rsidR="00AB4539" w:rsidRPr="000C1DC7" w:rsidRDefault="00AB4539" w:rsidP="00C30922">
      <w:pPr>
        <w:pStyle w:val="FootnoteText"/>
      </w:pPr>
      <w:r>
        <w:rPr>
          <w:rStyle w:val="FootnoteReference"/>
        </w:rPr>
        <w:footnoteRef/>
      </w:r>
      <w:r>
        <w:t xml:space="preserve"> See Decision 339/QD on MERP (II.7)</w:t>
      </w:r>
    </w:p>
  </w:footnote>
  <w:footnote w:id="22">
    <w:p w14:paraId="14C847EE" w14:textId="74B5525D" w:rsidR="00AB4539" w:rsidRDefault="00AB4539">
      <w:pPr>
        <w:pStyle w:val="FootnoteText"/>
      </w:pPr>
      <w:r>
        <w:rPr>
          <w:rStyle w:val="FootnoteReference"/>
        </w:rPr>
        <w:footnoteRef/>
      </w:r>
      <w:r>
        <w:t xml:space="preserve"> The analysis should take account different gender roles in the rice value chain, and make gender specific policy recommendations where appropriate.</w:t>
      </w:r>
    </w:p>
  </w:footnote>
  <w:footnote w:id="23">
    <w:p w14:paraId="73E77CB2" w14:textId="695BE3AF" w:rsidR="00AB4539" w:rsidRDefault="00AB4539">
      <w:pPr>
        <w:pStyle w:val="FootnoteText"/>
      </w:pPr>
      <w:r>
        <w:rPr>
          <w:rStyle w:val="FootnoteReference"/>
        </w:rPr>
        <w:footnoteRef/>
      </w:r>
      <w:r>
        <w:t xml:space="preserve"> E.g., </w:t>
      </w:r>
      <w:proofErr w:type="gramStart"/>
      <w:r>
        <w:t>The</w:t>
      </w:r>
      <w:proofErr w:type="gramEnd"/>
      <w:r>
        <w:t xml:space="preserve"> multi-donor financed Beyond WTO program.</w:t>
      </w:r>
    </w:p>
  </w:footnote>
  <w:footnote w:id="24">
    <w:p w14:paraId="5DDB8FD2" w14:textId="6DAC0FD1" w:rsidR="00AB4539" w:rsidRDefault="00AB4539">
      <w:pPr>
        <w:pStyle w:val="FootnoteText"/>
      </w:pPr>
      <w:r>
        <w:rPr>
          <w:rStyle w:val="FootnoteReference"/>
        </w:rPr>
        <w:footnoteRef/>
      </w:r>
      <w:r>
        <w:t xml:space="preserve"> The OM </w:t>
      </w:r>
      <w:r>
        <w:rPr>
          <w:lang w:val="en-AU"/>
        </w:rPr>
        <w:t>is to</w:t>
      </w:r>
      <w:r w:rsidRPr="00AE6E93">
        <w:rPr>
          <w:lang w:val="en-AU"/>
        </w:rPr>
        <w:t xml:space="preserve"> be finalized within 3 months of program start-</w:t>
      </w:r>
      <w:r>
        <w:rPr>
          <w:lang w:val="en-AU"/>
        </w:rPr>
        <w:t>up and jointly endorsed by the PD and DFAT</w:t>
      </w:r>
      <w:r w:rsidRPr="00AE6E93">
        <w:rPr>
          <w:lang w:val="en-AU"/>
        </w:rPr>
        <w:t>.</w:t>
      </w:r>
    </w:p>
  </w:footnote>
  <w:footnote w:id="25">
    <w:p w14:paraId="7364AB38" w14:textId="49B347D7" w:rsidR="00AB4539" w:rsidRDefault="00AB4539">
      <w:pPr>
        <w:pStyle w:val="FootnoteText"/>
      </w:pPr>
      <w:r w:rsidRPr="003A59CF">
        <w:rPr>
          <w:rStyle w:val="FootnoteReference"/>
        </w:rPr>
        <w:footnoteRef/>
      </w:r>
      <w:r w:rsidRPr="003A59CF">
        <w:t xml:space="preserve"> See </w:t>
      </w:r>
      <w:r w:rsidRPr="003A59CF">
        <w:rPr>
          <w:b/>
          <w:u w:val="single"/>
        </w:rPr>
        <w:t xml:space="preserve">Appendix 2- </w:t>
      </w:r>
      <w:r>
        <w:rPr>
          <w:b/>
          <w:u w:val="single"/>
        </w:rPr>
        <w:t xml:space="preserve">Program </w:t>
      </w:r>
      <w:r w:rsidRPr="003A59CF">
        <w:rPr>
          <w:b/>
          <w:u w:val="single"/>
        </w:rPr>
        <w:t>Management Structure</w:t>
      </w:r>
      <w:r w:rsidRPr="003A59CF">
        <w:t xml:space="preserve"> for a more detailed description.</w:t>
      </w:r>
    </w:p>
  </w:footnote>
  <w:footnote w:id="26">
    <w:p w14:paraId="36E930B3" w14:textId="1A969353" w:rsidR="00AB4539" w:rsidRPr="00AB06BB" w:rsidRDefault="00AB4539" w:rsidP="00B0539E">
      <w:pPr>
        <w:pStyle w:val="FootnoteText"/>
      </w:pPr>
      <w:r>
        <w:rPr>
          <w:rStyle w:val="FootnoteReference"/>
        </w:rPr>
        <w:footnoteRef/>
      </w:r>
      <w:r>
        <w:t xml:space="preserve"> Decision 339/QD-TTG, Master Plan for Economic Restructuring: 2013-2020 assigns MPI responsibility to serve as the advisory board and coordinator of the GoV for this Master Plan. </w:t>
      </w:r>
    </w:p>
  </w:footnote>
  <w:footnote w:id="27">
    <w:p w14:paraId="49A354D6" w14:textId="45FA3155" w:rsidR="00AB4539" w:rsidRDefault="00AB4539">
      <w:pPr>
        <w:pStyle w:val="FootnoteText"/>
      </w:pPr>
      <w:r>
        <w:rPr>
          <w:rStyle w:val="FootnoteReference"/>
        </w:rPr>
        <w:footnoteRef/>
      </w:r>
      <w:r>
        <w:t xml:space="preserve"> </w:t>
      </w:r>
      <w:proofErr w:type="gramStart"/>
      <w:r>
        <w:rPr>
          <w:lang w:val="en-AU"/>
        </w:rPr>
        <w:t>Consolidating the</w:t>
      </w:r>
      <w:r w:rsidRPr="003021E4">
        <w:rPr>
          <w:lang w:val="en-AU"/>
        </w:rPr>
        <w:t xml:space="preserve"> narrative and financial reports of the three implementing agencies</w:t>
      </w:r>
      <w:r>
        <w:rPr>
          <w:lang w:val="en-AU"/>
        </w:rPr>
        <w:t>.</w:t>
      </w:r>
      <w:proofErr w:type="gramEnd"/>
    </w:p>
  </w:footnote>
  <w:footnote w:id="28">
    <w:p w14:paraId="184EA710" w14:textId="3C914826" w:rsidR="00AB4539" w:rsidRDefault="00AB4539">
      <w:pPr>
        <w:pStyle w:val="FootnoteText"/>
      </w:pPr>
      <w:r>
        <w:rPr>
          <w:rStyle w:val="FootnoteReference"/>
        </w:rPr>
        <w:footnoteRef/>
      </w:r>
      <w:r>
        <w:t xml:space="preserve"> </w:t>
      </w:r>
      <w:r>
        <w:rPr>
          <w:lang w:val="en-AU"/>
        </w:rPr>
        <w:t>A</w:t>
      </w:r>
      <w:r w:rsidRPr="00800CC1">
        <w:rPr>
          <w:lang w:val="en-AU"/>
        </w:rPr>
        <w:t xml:space="preserve"> more detailed breakdown of risks is presented in </w:t>
      </w:r>
      <w:r w:rsidRPr="0049469E">
        <w:rPr>
          <w:b/>
          <w:u w:val="single"/>
          <w:lang w:val="en-AU"/>
        </w:rPr>
        <w:t xml:space="preserve">Appendix 6- </w:t>
      </w:r>
      <w:r>
        <w:rPr>
          <w:b/>
          <w:u w:val="single"/>
          <w:lang w:val="en-AU"/>
        </w:rPr>
        <w:t>Risk management plan</w:t>
      </w:r>
      <w:r w:rsidRPr="0049469E">
        <w:rPr>
          <w:lang w:val="en-AU"/>
        </w:rPr>
        <w:t>.</w:t>
      </w:r>
    </w:p>
  </w:footnote>
  <w:footnote w:id="29">
    <w:p w14:paraId="767E1146" w14:textId="059D5F3B" w:rsidR="00AB4539" w:rsidRPr="00AB06BB" w:rsidRDefault="00AB4539" w:rsidP="000E7250">
      <w:pPr>
        <w:pStyle w:val="FootnoteText"/>
      </w:pPr>
      <w:r>
        <w:rPr>
          <w:rStyle w:val="FootnoteReference"/>
        </w:rPr>
        <w:footnoteRef/>
      </w:r>
      <w:r>
        <w:t xml:space="preserve">  Decision 339/QD-TTG, MPER 2013-2020 assigns MPI responsibility to serve as the advisory board and coordinator of the GoV for this Master Plan. </w:t>
      </w:r>
      <w:r>
        <w:rPr>
          <w:lang w:val="en-AU"/>
        </w:rPr>
        <w:t xml:space="preserve"> </w:t>
      </w:r>
    </w:p>
  </w:footnote>
  <w:footnote w:id="30">
    <w:p w14:paraId="5D69931A" w14:textId="77777777" w:rsidR="00AB4539" w:rsidRDefault="00AB4539" w:rsidP="000E7250">
      <w:pPr>
        <w:pStyle w:val="FootnoteText"/>
      </w:pPr>
      <w:r>
        <w:rPr>
          <w:rStyle w:val="FootnoteReference"/>
        </w:rPr>
        <w:footnoteRef/>
      </w:r>
      <w:r>
        <w:t xml:space="preserve">  </w:t>
      </w:r>
      <w:r w:rsidRPr="006C6C4D">
        <w:rPr>
          <w:lang w:val="en-AU"/>
        </w:rPr>
        <w:t xml:space="preserve">Separate grant agreements will be signed between DFAT and MPI/MOIT/MARD for the each of </w:t>
      </w:r>
      <w:r>
        <w:rPr>
          <w:lang w:val="en-AU"/>
        </w:rPr>
        <w:t>the CIEM/VCA/IPSARD components.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5A71A" w14:textId="77777777" w:rsidR="005F2473" w:rsidRDefault="005F24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DE97C" w14:textId="77777777" w:rsidR="00AB4539" w:rsidRPr="002018E1" w:rsidRDefault="00AB4539" w:rsidP="00933704">
    <w:pPr>
      <w:pStyle w:val="Header"/>
      <w:tabs>
        <w:tab w:val="right" w:pos="9639"/>
      </w:tabs>
      <w:jc w:val="right"/>
      <w:rPr>
        <w:b/>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E4461" w14:textId="77777777" w:rsidR="005F2473" w:rsidRDefault="005F247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429F6" w14:textId="341C37CD" w:rsidR="00AB4539" w:rsidRDefault="00AB4539">
    <w:pPr>
      <w:pStyle w:val="Header"/>
      <w:tabs>
        <w:tab w:val="center" w:pos="4820"/>
        <w:tab w:val="right" w:pos="9639"/>
      </w:tabs>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21130" w14:textId="77777777" w:rsidR="00AB4539" w:rsidRDefault="00AB4539">
    <w:pPr>
      <w:pStyle w:val="Header"/>
      <w:tabs>
        <w:tab w:val="center" w:pos="4820"/>
        <w:tab w:val="right" w:pos="9639"/>
      </w:tabs>
      <w:jc w:val="center"/>
    </w:pPr>
    <w:r>
      <w:rPr>
        <w:szCs w:val="16"/>
      </w:rPr>
      <w:t>UNCLASSIFIED</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393DB" w14:textId="77777777" w:rsidR="00AB4539" w:rsidRDefault="00AB4539">
    <w:pPr>
      <w:pStyle w:val="Header"/>
      <w:tabs>
        <w:tab w:val="center" w:pos="4820"/>
        <w:tab w:val="right" w:pos="9639"/>
      </w:tabs>
      <w:jc w:val="center"/>
    </w:pPr>
    <w:r>
      <w:rPr>
        <w:szCs w:val="16"/>
      </w:rPr>
      <w:t>UNCLASSIFIED</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F5B8D" w14:textId="77777777" w:rsidR="00AB4539" w:rsidRDefault="00AB45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A6F87"/>
    <w:multiLevelType w:val="hybridMultilevel"/>
    <w:tmpl w:val="F884A3C8"/>
    <w:lvl w:ilvl="0" w:tplc="A94EA4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ACA6682"/>
    <w:multiLevelType w:val="hybridMultilevel"/>
    <w:tmpl w:val="6A524190"/>
    <w:lvl w:ilvl="0" w:tplc="9CD4E666">
      <w:start w:val="1"/>
      <w:numFmt w:val="bullet"/>
      <w:pStyle w:val="bullet"/>
      <w:lvlText w:val=""/>
      <w:lvlJc w:val="left"/>
      <w:pPr>
        <w:ind w:left="720" w:hanging="360"/>
      </w:pPr>
      <w:rPr>
        <w:rFonts w:ascii="Symbol" w:hAnsi="Symbol" w:hint="default"/>
      </w:rPr>
    </w:lvl>
    <w:lvl w:ilvl="1" w:tplc="9C167FE0">
      <w:start w:val="1"/>
      <w:numFmt w:val="bullet"/>
      <w:pStyle w:val="bullet1"/>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4F3040"/>
    <w:multiLevelType w:val="hybridMultilevel"/>
    <w:tmpl w:val="F28A5226"/>
    <w:lvl w:ilvl="0" w:tplc="31142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0DA7021"/>
    <w:multiLevelType w:val="hybridMultilevel"/>
    <w:tmpl w:val="A57E70B4"/>
    <w:lvl w:ilvl="0" w:tplc="2B1092EA">
      <w:numFmt w:val="decimal"/>
      <w:pStyle w:val="Heading1"/>
      <w:lvlText w:val="%1."/>
      <w:lvlJc w:val="left"/>
      <w:pPr>
        <w:ind w:left="720" w:hanging="360"/>
      </w:pPr>
      <w:rPr>
        <w:rFonts w:hint="default"/>
      </w:rPr>
    </w:lvl>
    <w:lvl w:ilvl="1" w:tplc="2C4A8E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B84D4E"/>
    <w:multiLevelType w:val="hybridMultilevel"/>
    <w:tmpl w:val="F93AD50E"/>
    <w:lvl w:ilvl="0" w:tplc="3304A63C">
      <w:start w:val="1"/>
      <w:numFmt w:val="decimal"/>
      <w:lvlText w:val="%1."/>
      <w:lvlJc w:val="left"/>
      <w:pPr>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AED47554">
      <w:start w:val="1"/>
      <w:numFmt w:val="lowerLetter"/>
      <w:lvlText w:val="%2."/>
      <w:lvlJc w:val="left"/>
      <w:pPr>
        <w:ind w:left="87" w:hanging="360"/>
      </w:pPr>
    </w:lvl>
    <w:lvl w:ilvl="2" w:tplc="0F0A5426">
      <w:start w:val="1"/>
      <w:numFmt w:val="lowerLetter"/>
      <w:lvlText w:val="%3)"/>
      <w:lvlJc w:val="left"/>
      <w:pPr>
        <w:ind w:left="987" w:hanging="360"/>
      </w:pPr>
    </w:lvl>
    <w:lvl w:ilvl="3" w:tplc="47586656">
      <w:start w:val="1"/>
      <w:numFmt w:val="lowerRoman"/>
      <w:lvlText w:val="%4."/>
      <w:lvlJc w:val="left"/>
      <w:pPr>
        <w:ind w:left="1527" w:hanging="360"/>
      </w:pPr>
      <w:rPr>
        <w:rFonts w:hint="default"/>
        <w:i w:val="0"/>
      </w:rPr>
    </w:lvl>
    <w:lvl w:ilvl="4" w:tplc="59F21AC2">
      <w:start w:val="1"/>
      <w:numFmt w:val="decimal"/>
      <w:pStyle w:val="ListParagraphindent3"/>
      <w:lvlText w:val="%5."/>
      <w:lvlJc w:val="left"/>
      <w:pPr>
        <w:ind w:left="2247" w:hanging="360"/>
      </w:pPr>
      <w:rPr>
        <w:rFonts w:hint="default"/>
      </w:rPr>
    </w:lvl>
    <w:lvl w:ilvl="5" w:tplc="0409001B" w:tentative="1">
      <w:start w:val="1"/>
      <w:numFmt w:val="lowerRoman"/>
      <w:lvlText w:val="%6."/>
      <w:lvlJc w:val="right"/>
      <w:pPr>
        <w:ind w:left="2967" w:hanging="180"/>
      </w:pPr>
    </w:lvl>
    <w:lvl w:ilvl="6" w:tplc="0409000F" w:tentative="1">
      <w:start w:val="1"/>
      <w:numFmt w:val="decimal"/>
      <w:lvlText w:val="%7."/>
      <w:lvlJc w:val="left"/>
      <w:pPr>
        <w:ind w:left="3687" w:hanging="360"/>
      </w:pPr>
    </w:lvl>
    <w:lvl w:ilvl="7" w:tplc="04090019" w:tentative="1">
      <w:start w:val="1"/>
      <w:numFmt w:val="lowerLetter"/>
      <w:lvlText w:val="%8."/>
      <w:lvlJc w:val="left"/>
      <w:pPr>
        <w:ind w:left="4407" w:hanging="360"/>
      </w:pPr>
    </w:lvl>
    <w:lvl w:ilvl="8" w:tplc="0409001B" w:tentative="1">
      <w:start w:val="1"/>
      <w:numFmt w:val="lowerRoman"/>
      <w:lvlText w:val="%9."/>
      <w:lvlJc w:val="right"/>
      <w:pPr>
        <w:ind w:left="5127" w:hanging="180"/>
      </w:pPr>
    </w:lvl>
  </w:abstractNum>
  <w:abstractNum w:abstractNumId="5">
    <w:nsid w:val="2EA0608D"/>
    <w:multiLevelType w:val="hybridMultilevel"/>
    <w:tmpl w:val="AEA6C40E"/>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313325E9"/>
    <w:multiLevelType w:val="hybridMultilevel"/>
    <w:tmpl w:val="127804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98A2F5D"/>
    <w:multiLevelType w:val="hybridMultilevel"/>
    <w:tmpl w:val="9B3A7418"/>
    <w:lvl w:ilvl="0" w:tplc="3304A63C">
      <w:start w:val="1"/>
      <w:numFmt w:val="decimal"/>
      <w:lvlText w:val="%1."/>
      <w:lvlJc w:val="left"/>
      <w:pPr>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AED47554">
      <w:start w:val="1"/>
      <w:numFmt w:val="lowerLetter"/>
      <w:lvlText w:val="%2."/>
      <w:lvlJc w:val="left"/>
      <w:pPr>
        <w:ind w:left="87" w:hanging="360"/>
      </w:pPr>
    </w:lvl>
    <w:lvl w:ilvl="2" w:tplc="04090017">
      <w:start w:val="1"/>
      <w:numFmt w:val="lowerLetter"/>
      <w:lvlText w:val="%3)"/>
      <w:lvlJc w:val="left"/>
      <w:pPr>
        <w:ind w:left="987" w:hanging="360"/>
      </w:pPr>
      <w:rPr>
        <w:rFonts w:hint="default"/>
      </w:rPr>
    </w:lvl>
    <w:lvl w:ilvl="3" w:tplc="47586656">
      <w:start w:val="1"/>
      <w:numFmt w:val="lowerRoman"/>
      <w:lvlText w:val="%4."/>
      <w:lvlJc w:val="left"/>
      <w:pPr>
        <w:ind w:left="1527" w:hanging="360"/>
      </w:pPr>
      <w:rPr>
        <w:rFonts w:hint="default"/>
        <w:i w:val="0"/>
      </w:rPr>
    </w:lvl>
    <w:lvl w:ilvl="4" w:tplc="9A647F5E">
      <w:start w:val="1"/>
      <w:numFmt w:val="lowerLetter"/>
      <w:lvlText w:val="%5."/>
      <w:lvlJc w:val="left"/>
      <w:pPr>
        <w:ind w:left="2247" w:hanging="360"/>
      </w:pPr>
    </w:lvl>
    <w:lvl w:ilvl="5" w:tplc="0409001B" w:tentative="1">
      <w:start w:val="1"/>
      <w:numFmt w:val="lowerRoman"/>
      <w:lvlText w:val="%6."/>
      <w:lvlJc w:val="right"/>
      <w:pPr>
        <w:ind w:left="2967" w:hanging="180"/>
      </w:pPr>
    </w:lvl>
    <w:lvl w:ilvl="6" w:tplc="0409000F" w:tentative="1">
      <w:start w:val="1"/>
      <w:numFmt w:val="decimal"/>
      <w:lvlText w:val="%7."/>
      <w:lvlJc w:val="left"/>
      <w:pPr>
        <w:ind w:left="3687" w:hanging="360"/>
      </w:pPr>
    </w:lvl>
    <w:lvl w:ilvl="7" w:tplc="04090019" w:tentative="1">
      <w:start w:val="1"/>
      <w:numFmt w:val="lowerLetter"/>
      <w:lvlText w:val="%8."/>
      <w:lvlJc w:val="left"/>
      <w:pPr>
        <w:ind w:left="4407" w:hanging="360"/>
      </w:pPr>
    </w:lvl>
    <w:lvl w:ilvl="8" w:tplc="0409001B" w:tentative="1">
      <w:start w:val="1"/>
      <w:numFmt w:val="lowerRoman"/>
      <w:lvlText w:val="%9."/>
      <w:lvlJc w:val="right"/>
      <w:pPr>
        <w:ind w:left="5127" w:hanging="180"/>
      </w:pPr>
    </w:lvl>
  </w:abstractNum>
  <w:abstractNum w:abstractNumId="9">
    <w:nsid w:val="3A673AA9"/>
    <w:multiLevelType w:val="multilevel"/>
    <w:tmpl w:val="BABC5B36"/>
    <w:lvl w:ilvl="0">
      <w:start w:val="14"/>
      <w:numFmt w:val="decimal"/>
      <w:lvlText w:val="%1."/>
      <w:lvlJc w:val="left"/>
      <w:pPr>
        <w:tabs>
          <w:tab w:val="num" w:pos="720"/>
        </w:tabs>
        <w:ind w:left="720" w:hanging="720"/>
      </w:pPr>
      <w:rPr>
        <w:rFonts w:ascii="Times New Roman" w:hAnsi="Times New Roman" w:cs="Times New Roman" w:hint="default"/>
        <w:b w:val="0"/>
        <w:i w:val="0"/>
        <w:sz w:val="24"/>
      </w:rPr>
    </w:lvl>
    <w:lvl w:ilvl="1">
      <w:start w:val="1"/>
      <w:numFmt w:val="decimal"/>
      <w:lvlText w:val="%1.%2"/>
      <w:lvlJc w:val="left"/>
      <w:pPr>
        <w:tabs>
          <w:tab w:val="num" w:pos="706"/>
        </w:tabs>
        <w:ind w:left="706" w:hanging="706"/>
      </w:pPr>
      <w:rPr>
        <w:rFonts w:ascii="Times New Roman" w:hAnsi="Times New Roman" w:cs="Times New Roman" w:hint="default"/>
        <w:b w:val="0"/>
        <w:i w:val="0"/>
        <w:color w:val="auto"/>
        <w:sz w:val="24"/>
      </w:rPr>
    </w:lvl>
    <w:lvl w:ilvl="2">
      <w:start w:val="1"/>
      <w:numFmt w:val="lowerLetter"/>
      <w:lvlText w:val="%3)"/>
      <w:lvlJc w:val="left"/>
      <w:pPr>
        <w:tabs>
          <w:tab w:val="num" w:pos="1531"/>
        </w:tabs>
        <w:ind w:left="1440" w:hanging="720"/>
      </w:pPr>
      <w:rPr>
        <w:rFonts w:hint="default"/>
        <w:b w:val="0"/>
        <w:i w:val="0"/>
        <w:sz w:val="20"/>
        <w:szCs w:val="20"/>
      </w:rPr>
    </w:lvl>
    <w:lvl w:ilvl="3">
      <w:start w:val="1"/>
      <w:numFmt w:val="lowerRoman"/>
      <w:lvlText w:val="(%4)"/>
      <w:lvlJc w:val="left"/>
      <w:pPr>
        <w:tabs>
          <w:tab w:val="num" w:pos="2160"/>
        </w:tabs>
        <w:ind w:left="2160" w:hanging="720"/>
      </w:pPr>
      <w:rPr>
        <w:rFonts w:ascii="Times New Roman" w:hAnsi="Times New Roman" w:cs="Times New Roman" w:hint="default"/>
        <w:b w:val="0"/>
        <w:i w:val="0"/>
        <w:sz w:val="24"/>
      </w:rPr>
    </w:lvl>
    <w:lvl w:ilvl="4">
      <w:start w:val="1"/>
      <w:numFmt w:val="upperLetter"/>
      <w:lvlText w:val="(%5)"/>
      <w:lvlJc w:val="left"/>
      <w:pPr>
        <w:tabs>
          <w:tab w:val="num" w:pos="2880"/>
        </w:tabs>
        <w:ind w:left="2880" w:hanging="720"/>
      </w:pPr>
      <w:rPr>
        <w:rFonts w:ascii="Times New Roman" w:hAnsi="Times New Roman" w:cs="Times New Roman" w:hint="default"/>
        <w:b w:val="0"/>
        <w:i w:val="0"/>
        <w:sz w:val="24"/>
      </w:rPr>
    </w:lvl>
    <w:lvl w:ilvl="5">
      <w:start w:val="1"/>
      <w:numFmt w:val="upperRoman"/>
      <w:lvlText w:val="(%6)"/>
      <w:lvlJc w:val="left"/>
      <w:pPr>
        <w:tabs>
          <w:tab w:val="num" w:pos="3600"/>
        </w:tabs>
        <w:ind w:left="3600" w:hanging="720"/>
      </w:pPr>
      <w:rPr>
        <w:rFonts w:ascii="Times New Roman" w:hAnsi="Times New Roman" w:cs="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nsid w:val="42EE57BA"/>
    <w:multiLevelType w:val="hybridMultilevel"/>
    <w:tmpl w:val="F28A5226"/>
    <w:lvl w:ilvl="0" w:tplc="31142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3E31FD5"/>
    <w:multiLevelType w:val="hybridMultilevel"/>
    <w:tmpl w:val="34A8633C"/>
    <w:lvl w:ilvl="0" w:tplc="605E6628">
      <w:start w:val="1"/>
      <w:numFmt w:val="bullet"/>
      <w:pStyle w:val="GuidanceTex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nsid w:val="61735313"/>
    <w:multiLevelType w:val="hybridMultilevel"/>
    <w:tmpl w:val="96EC6578"/>
    <w:lvl w:ilvl="0" w:tplc="74066D68">
      <w:start w:val="1"/>
      <w:numFmt w:val="bullet"/>
      <w:suff w:val="nothing"/>
      <w:lvlText w:val=""/>
      <w:lvlJc w:val="left"/>
      <w:pPr>
        <w:ind w:left="113" w:hanging="56"/>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74930D81"/>
    <w:multiLevelType w:val="hybridMultilevel"/>
    <w:tmpl w:val="B1F8F8BE"/>
    <w:lvl w:ilvl="0" w:tplc="F82E9E4E">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77E84E9B"/>
    <w:multiLevelType w:val="hybridMultilevel"/>
    <w:tmpl w:val="56EE3E38"/>
    <w:lvl w:ilvl="0" w:tplc="61741208">
      <w:start w:val="1"/>
      <w:numFmt w:val="decimal"/>
      <w:pStyle w:val="ListParagraph"/>
      <w:lvlText w:val="%1."/>
      <w:lvlJc w:val="left"/>
      <w:pPr>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AED47554">
      <w:start w:val="1"/>
      <w:numFmt w:val="lowerLetter"/>
      <w:lvlText w:val="%2."/>
      <w:lvlJc w:val="left"/>
      <w:pPr>
        <w:ind w:left="87" w:hanging="360"/>
      </w:pPr>
    </w:lvl>
    <w:lvl w:ilvl="2" w:tplc="0F0A5426">
      <w:start w:val="1"/>
      <w:numFmt w:val="lowerLetter"/>
      <w:pStyle w:val="ListParagraphindent"/>
      <w:lvlText w:val="%3)"/>
      <w:lvlJc w:val="left"/>
      <w:pPr>
        <w:ind w:left="987" w:hanging="360"/>
      </w:pPr>
    </w:lvl>
    <w:lvl w:ilvl="3" w:tplc="47586656">
      <w:start w:val="1"/>
      <w:numFmt w:val="lowerRoman"/>
      <w:pStyle w:val="ListParagraphindent"/>
      <w:lvlText w:val="%4."/>
      <w:lvlJc w:val="left"/>
      <w:pPr>
        <w:ind w:left="1527" w:hanging="360"/>
      </w:pPr>
      <w:rPr>
        <w:rFonts w:hint="default"/>
        <w:i w:val="0"/>
      </w:rPr>
    </w:lvl>
    <w:lvl w:ilvl="4" w:tplc="9A647F5E">
      <w:start w:val="1"/>
      <w:numFmt w:val="lowerLetter"/>
      <w:lvlText w:val="%5."/>
      <w:lvlJc w:val="left"/>
      <w:pPr>
        <w:ind w:left="2247" w:hanging="360"/>
      </w:pPr>
    </w:lvl>
    <w:lvl w:ilvl="5" w:tplc="0409001B" w:tentative="1">
      <w:start w:val="1"/>
      <w:numFmt w:val="lowerRoman"/>
      <w:lvlText w:val="%6."/>
      <w:lvlJc w:val="right"/>
      <w:pPr>
        <w:ind w:left="2967" w:hanging="180"/>
      </w:pPr>
    </w:lvl>
    <w:lvl w:ilvl="6" w:tplc="0409000F" w:tentative="1">
      <w:start w:val="1"/>
      <w:numFmt w:val="decimal"/>
      <w:lvlText w:val="%7."/>
      <w:lvlJc w:val="left"/>
      <w:pPr>
        <w:ind w:left="3687" w:hanging="360"/>
      </w:pPr>
    </w:lvl>
    <w:lvl w:ilvl="7" w:tplc="04090019" w:tentative="1">
      <w:start w:val="1"/>
      <w:numFmt w:val="lowerLetter"/>
      <w:lvlText w:val="%8."/>
      <w:lvlJc w:val="left"/>
      <w:pPr>
        <w:ind w:left="4407" w:hanging="360"/>
      </w:pPr>
    </w:lvl>
    <w:lvl w:ilvl="8" w:tplc="0409001B" w:tentative="1">
      <w:start w:val="1"/>
      <w:numFmt w:val="lowerRoman"/>
      <w:lvlText w:val="%9."/>
      <w:lvlJc w:val="right"/>
      <w:pPr>
        <w:ind w:left="5127" w:hanging="180"/>
      </w:pPr>
    </w:lvl>
  </w:abstractNum>
  <w:abstractNum w:abstractNumId="16">
    <w:nsid w:val="7A8174F1"/>
    <w:multiLevelType w:val="hybridMultilevel"/>
    <w:tmpl w:val="E02A2B70"/>
    <w:lvl w:ilvl="0" w:tplc="82E64AF4">
      <w:start w:val="1"/>
      <w:numFmt w:val="decimal"/>
      <w:lvlText w:val="%1."/>
      <w:lvlJc w:val="left"/>
      <w:pPr>
        <w:ind w:left="720" w:hanging="360"/>
      </w:pPr>
      <w:rPr>
        <w:rFonts w:ascii="Arial" w:hAnsi="Arial" w:hint="default"/>
        <w:b w:val="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B182796"/>
    <w:multiLevelType w:val="multilevel"/>
    <w:tmpl w:val="8342F2E4"/>
    <w:lvl w:ilvl="0">
      <w:start w:val="1"/>
      <w:numFmt w:val="decimal"/>
      <w:pStyle w:val="CONLevel1"/>
      <w:lvlText w:val="%1."/>
      <w:lvlJc w:val="left"/>
      <w:pPr>
        <w:tabs>
          <w:tab w:val="num" w:pos="720"/>
        </w:tabs>
        <w:ind w:left="720" w:hanging="720"/>
      </w:pPr>
      <w:rPr>
        <w:rFonts w:ascii="Times New Roman" w:hAnsi="Times New Roman" w:hint="default"/>
        <w:b w:val="0"/>
        <w:i w:val="0"/>
        <w:sz w:val="24"/>
      </w:rPr>
    </w:lvl>
    <w:lvl w:ilvl="1">
      <w:start w:val="1"/>
      <w:numFmt w:val="decimal"/>
      <w:pStyle w:val="CONLevel11"/>
      <w:lvlText w:val="%1.%2"/>
      <w:lvlJc w:val="left"/>
      <w:pPr>
        <w:tabs>
          <w:tab w:val="num" w:pos="720"/>
        </w:tabs>
        <w:ind w:left="720" w:hanging="706"/>
      </w:pPr>
      <w:rPr>
        <w:rFonts w:ascii="Times New Roman" w:hAnsi="Times New Roman" w:hint="default"/>
        <w:b w:val="0"/>
        <w:i w:val="0"/>
        <w:sz w:val="24"/>
      </w:rPr>
    </w:lvl>
    <w:lvl w:ilvl="2">
      <w:start w:val="1"/>
      <w:numFmt w:val="lowerLetter"/>
      <w:pStyle w:val="CONLevela"/>
      <w:lvlText w:val="(%3)"/>
      <w:lvlJc w:val="left"/>
      <w:pPr>
        <w:tabs>
          <w:tab w:val="num" w:pos="1440"/>
        </w:tabs>
        <w:ind w:left="1440" w:hanging="720"/>
      </w:pPr>
      <w:rPr>
        <w:rFonts w:ascii="Times New Roman" w:hAnsi="Times New Roman" w:hint="default"/>
        <w:b w:val="0"/>
        <w:i w:val="0"/>
        <w:sz w:val="24"/>
      </w:rPr>
    </w:lvl>
    <w:lvl w:ilvl="3">
      <w:start w:val="1"/>
      <w:numFmt w:val="lowerRoman"/>
      <w:pStyle w:val="CONLevela"/>
      <w:lvlText w:val="(%4)"/>
      <w:lvlJc w:val="left"/>
      <w:pPr>
        <w:tabs>
          <w:tab w:val="num" w:pos="2160"/>
        </w:tabs>
        <w:ind w:left="2160" w:hanging="720"/>
      </w:pPr>
      <w:rPr>
        <w:rFonts w:ascii="Times New Roman" w:hAnsi="Times New Roman" w:hint="default"/>
        <w:b w:val="0"/>
        <w:i w:val="0"/>
        <w:sz w:val="24"/>
      </w:rPr>
    </w:lvl>
    <w:lvl w:ilvl="4">
      <w:start w:val="1"/>
      <w:numFmt w:val="upperLetter"/>
      <w:lvlText w:val="(%5)"/>
      <w:lvlJc w:val="left"/>
      <w:pPr>
        <w:tabs>
          <w:tab w:val="num" w:pos="2880"/>
        </w:tabs>
        <w:ind w:left="2880" w:hanging="720"/>
      </w:pPr>
      <w:rPr>
        <w:rFonts w:ascii="Times New Roman" w:hAnsi="Times New Roman" w:hint="default"/>
        <w:b w:val="0"/>
        <w:i w:val="0"/>
        <w:sz w:val="24"/>
      </w:rPr>
    </w:lvl>
    <w:lvl w:ilvl="5">
      <w:start w:val="1"/>
      <w:numFmt w:val="upperRoman"/>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7C2E42E9"/>
    <w:multiLevelType w:val="hybridMultilevel"/>
    <w:tmpl w:val="6396EB4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19">
      <w:start w:val="1"/>
      <w:numFmt w:val="lowerLetter"/>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D32302B"/>
    <w:multiLevelType w:val="hybridMultilevel"/>
    <w:tmpl w:val="310A9602"/>
    <w:lvl w:ilvl="0" w:tplc="3114290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5"/>
  </w:num>
  <w:num w:numId="3">
    <w:abstractNumId w:val="6"/>
  </w:num>
  <w:num w:numId="4">
    <w:abstractNumId w:val="12"/>
  </w:num>
  <w:num w:numId="5">
    <w:abstractNumId w:val="3"/>
  </w:num>
  <w:num w:numId="6">
    <w:abstractNumId w:val="11"/>
  </w:num>
  <w:num w:numId="7">
    <w:abstractNumId w:val="3"/>
  </w:num>
  <w:num w:numId="8">
    <w:abstractNumId w:val="15"/>
    <w:lvlOverride w:ilvl="0">
      <w:startOverride w:val="1"/>
    </w:lvlOverride>
  </w:num>
  <w:num w:numId="9">
    <w:abstractNumId w:val="10"/>
  </w:num>
  <w:num w:numId="10">
    <w:abstractNumId w:val="14"/>
  </w:num>
  <w:num w:numId="11">
    <w:abstractNumId w:val="0"/>
  </w:num>
  <w:num w:numId="12">
    <w:abstractNumId w:val="2"/>
  </w:num>
  <w:num w:numId="13">
    <w:abstractNumId w:val="19"/>
  </w:num>
  <w:num w:numId="14">
    <w:abstractNumId w:val="17"/>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num>
  <w:num w:numId="17">
    <w:abstractNumId w:val="15"/>
    <w:lvlOverride w:ilvl="0">
      <w:startOverride w:val="1"/>
    </w:lvlOverride>
  </w:num>
  <w:num w:numId="18">
    <w:abstractNumId w:val="15"/>
    <w:lvlOverride w:ilvl="0">
      <w:startOverride w:val="1"/>
    </w:lvlOverride>
  </w:num>
  <w:num w:numId="19">
    <w:abstractNumId w:val="15"/>
    <w:lvlOverride w:ilvl="0">
      <w:startOverride w:val="1"/>
    </w:lvlOverride>
  </w:num>
  <w:num w:numId="20">
    <w:abstractNumId w:val="4"/>
  </w:num>
  <w:num w:numId="21">
    <w:abstractNumId w:val="8"/>
  </w:num>
  <w:num w:numId="22">
    <w:abstractNumId w:val="16"/>
  </w:num>
  <w:num w:numId="23">
    <w:abstractNumId w:val="9"/>
  </w:num>
  <w:num w:numId="24">
    <w:abstractNumId w:val="7"/>
  </w:num>
  <w:num w:numId="25">
    <w:abstractNumId w:val="5"/>
  </w:num>
  <w:num w:numId="26">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035"/>
    <w:rsid w:val="00001B7B"/>
    <w:rsid w:val="00002A51"/>
    <w:rsid w:val="00002D9C"/>
    <w:rsid w:val="0000471D"/>
    <w:rsid w:val="00004899"/>
    <w:rsid w:val="00004F13"/>
    <w:rsid w:val="0000688F"/>
    <w:rsid w:val="00010819"/>
    <w:rsid w:val="00010AA4"/>
    <w:rsid w:val="00010FE5"/>
    <w:rsid w:val="00011F8F"/>
    <w:rsid w:val="0001589F"/>
    <w:rsid w:val="00015DC1"/>
    <w:rsid w:val="00015F1B"/>
    <w:rsid w:val="00016B56"/>
    <w:rsid w:val="00017D72"/>
    <w:rsid w:val="00017D91"/>
    <w:rsid w:val="00017EAC"/>
    <w:rsid w:val="000221A3"/>
    <w:rsid w:val="000228A1"/>
    <w:rsid w:val="00022ECC"/>
    <w:rsid w:val="00023F7B"/>
    <w:rsid w:val="00024438"/>
    <w:rsid w:val="0002715B"/>
    <w:rsid w:val="00027165"/>
    <w:rsid w:val="00027D0F"/>
    <w:rsid w:val="000307F8"/>
    <w:rsid w:val="0003199D"/>
    <w:rsid w:val="0003200A"/>
    <w:rsid w:val="00032AE4"/>
    <w:rsid w:val="00033412"/>
    <w:rsid w:val="00033BE6"/>
    <w:rsid w:val="00034947"/>
    <w:rsid w:val="00037039"/>
    <w:rsid w:val="0003713B"/>
    <w:rsid w:val="00041539"/>
    <w:rsid w:val="00043515"/>
    <w:rsid w:val="00045AFB"/>
    <w:rsid w:val="00046D57"/>
    <w:rsid w:val="00051FD6"/>
    <w:rsid w:val="00056CE0"/>
    <w:rsid w:val="00061D54"/>
    <w:rsid w:val="000632FC"/>
    <w:rsid w:val="00066E45"/>
    <w:rsid w:val="00067EAB"/>
    <w:rsid w:val="00070FEE"/>
    <w:rsid w:val="0007137C"/>
    <w:rsid w:val="0007518B"/>
    <w:rsid w:val="00077528"/>
    <w:rsid w:val="00077FE3"/>
    <w:rsid w:val="000801D9"/>
    <w:rsid w:val="00083466"/>
    <w:rsid w:val="00083D73"/>
    <w:rsid w:val="00083E28"/>
    <w:rsid w:val="00083E7A"/>
    <w:rsid w:val="00084313"/>
    <w:rsid w:val="00084C88"/>
    <w:rsid w:val="00087F2E"/>
    <w:rsid w:val="00090022"/>
    <w:rsid w:val="000907C8"/>
    <w:rsid w:val="00090AD6"/>
    <w:rsid w:val="00090C4B"/>
    <w:rsid w:val="00094B86"/>
    <w:rsid w:val="00094C00"/>
    <w:rsid w:val="00094C51"/>
    <w:rsid w:val="000978A6"/>
    <w:rsid w:val="000A0320"/>
    <w:rsid w:val="000A0F18"/>
    <w:rsid w:val="000A2ADF"/>
    <w:rsid w:val="000A3A60"/>
    <w:rsid w:val="000A532D"/>
    <w:rsid w:val="000A6497"/>
    <w:rsid w:val="000A7069"/>
    <w:rsid w:val="000A7AD4"/>
    <w:rsid w:val="000B2878"/>
    <w:rsid w:val="000B4934"/>
    <w:rsid w:val="000B572D"/>
    <w:rsid w:val="000B58DA"/>
    <w:rsid w:val="000B60F8"/>
    <w:rsid w:val="000B6364"/>
    <w:rsid w:val="000B6CEE"/>
    <w:rsid w:val="000B7132"/>
    <w:rsid w:val="000C0D2F"/>
    <w:rsid w:val="000C186C"/>
    <w:rsid w:val="000C1F17"/>
    <w:rsid w:val="000C2464"/>
    <w:rsid w:val="000C26C7"/>
    <w:rsid w:val="000C2FA0"/>
    <w:rsid w:val="000C6152"/>
    <w:rsid w:val="000C6986"/>
    <w:rsid w:val="000C776D"/>
    <w:rsid w:val="000D087C"/>
    <w:rsid w:val="000D1FA0"/>
    <w:rsid w:val="000D2BFF"/>
    <w:rsid w:val="000D301D"/>
    <w:rsid w:val="000D3FE4"/>
    <w:rsid w:val="000D4A47"/>
    <w:rsid w:val="000E00B4"/>
    <w:rsid w:val="000E1411"/>
    <w:rsid w:val="000E4311"/>
    <w:rsid w:val="000E53B2"/>
    <w:rsid w:val="000E7250"/>
    <w:rsid w:val="000F1E54"/>
    <w:rsid w:val="000F3822"/>
    <w:rsid w:val="000F3F6D"/>
    <w:rsid w:val="000F419A"/>
    <w:rsid w:val="000F5CB7"/>
    <w:rsid w:val="000F60E2"/>
    <w:rsid w:val="000F71C7"/>
    <w:rsid w:val="000F7439"/>
    <w:rsid w:val="00100D04"/>
    <w:rsid w:val="001020ED"/>
    <w:rsid w:val="0010463B"/>
    <w:rsid w:val="00104F87"/>
    <w:rsid w:val="0010663E"/>
    <w:rsid w:val="00106A46"/>
    <w:rsid w:val="00107497"/>
    <w:rsid w:val="00111A19"/>
    <w:rsid w:val="00111D0B"/>
    <w:rsid w:val="00112ADB"/>
    <w:rsid w:val="0011435C"/>
    <w:rsid w:val="00114CAB"/>
    <w:rsid w:val="00115CFD"/>
    <w:rsid w:val="00117465"/>
    <w:rsid w:val="00117E9F"/>
    <w:rsid w:val="00120F5E"/>
    <w:rsid w:val="00123E35"/>
    <w:rsid w:val="00127502"/>
    <w:rsid w:val="001312D8"/>
    <w:rsid w:val="001313AF"/>
    <w:rsid w:val="001328E4"/>
    <w:rsid w:val="00134F0B"/>
    <w:rsid w:val="00136F6D"/>
    <w:rsid w:val="00137BAF"/>
    <w:rsid w:val="0014030E"/>
    <w:rsid w:val="00140B65"/>
    <w:rsid w:val="0014192A"/>
    <w:rsid w:val="00141C2D"/>
    <w:rsid w:val="0014293A"/>
    <w:rsid w:val="00143D97"/>
    <w:rsid w:val="001443D7"/>
    <w:rsid w:val="00145B61"/>
    <w:rsid w:val="00145DA9"/>
    <w:rsid w:val="001500D6"/>
    <w:rsid w:val="00154C7D"/>
    <w:rsid w:val="0015644C"/>
    <w:rsid w:val="001571C8"/>
    <w:rsid w:val="0015720E"/>
    <w:rsid w:val="0016127D"/>
    <w:rsid w:val="001678FF"/>
    <w:rsid w:val="001703D7"/>
    <w:rsid w:val="00171482"/>
    <w:rsid w:val="001716D2"/>
    <w:rsid w:val="001721FB"/>
    <w:rsid w:val="00172589"/>
    <w:rsid w:val="001726B7"/>
    <w:rsid w:val="001733EF"/>
    <w:rsid w:val="00174CD1"/>
    <w:rsid w:val="00177501"/>
    <w:rsid w:val="0017784F"/>
    <w:rsid w:val="0018104C"/>
    <w:rsid w:val="00184649"/>
    <w:rsid w:val="0018511C"/>
    <w:rsid w:val="001853BC"/>
    <w:rsid w:val="0018715A"/>
    <w:rsid w:val="0019174C"/>
    <w:rsid w:val="00192E1A"/>
    <w:rsid w:val="00192F12"/>
    <w:rsid w:val="0019509E"/>
    <w:rsid w:val="001963B1"/>
    <w:rsid w:val="00197881"/>
    <w:rsid w:val="001A16B8"/>
    <w:rsid w:val="001A2C94"/>
    <w:rsid w:val="001A31EF"/>
    <w:rsid w:val="001A5789"/>
    <w:rsid w:val="001A6307"/>
    <w:rsid w:val="001A77BE"/>
    <w:rsid w:val="001B274A"/>
    <w:rsid w:val="001B3EE8"/>
    <w:rsid w:val="001B47DB"/>
    <w:rsid w:val="001B4CE0"/>
    <w:rsid w:val="001B4DC2"/>
    <w:rsid w:val="001B7D77"/>
    <w:rsid w:val="001B7E00"/>
    <w:rsid w:val="001C0DE6"/>
    <w:rsid w:val="001C207B"/>
    <w:rsid w:val="001C421A"/>
    <w:rsid w:val="001C50DE"/>
    <w:rsid w:val="001C5E4E"/>
    <w:rsid w:val="001C607D"/>
    <w:rsid w:val="001C699D"/>
    <w:rsid w:val="001C6B03"/>
    <w:rsid w:val="001D020B"/>
    <w:rsid w:val="001D05CD"/>
    <w:rsid w:val="001D254E"/>
    <w:rsid w:val="001D2FAB"/>
    <w:rsid w:val="001D3E8F"/>
    <w:rsid w:val="001D41CF"/>
    <w:rsid w:val="001D6B5E"/>
    <w:rsid w:val="001E0D14"/>
    <w:rsid w:val="001E16BD"/>
    <w:rsid w:val="001E1DE8"/>
    <w:rsid w:val="001E32B9"/>
    <w:rsid w:val="001E44E9"/>
    <w:rsid w:val="001E4C67"/>
    <w:rsid w:val="001E6941"/>
    <w:rsid w:val="001E6BB0"/>
    <w:rsid w:val="001E7485"/>
    <w:rsid w:val="001F2269"/>
    <w:rsid w:val="001F38BB"/>
    <w:rsid w:val="001F3BBE"/>
    <w:rsid w:val="001F3DD7"/>
    <w:rsid w:val="001F45C6"/>
    <w:rsid w:val="001F5093"/>
    <w:rsid w:val="001F59C6"/>
    <w:rsid w:val="001F787A"/>
    <w:rsid w:val="001F7EF8"/>
    <w:rsid w:val="0020081D"/>
    <w:rsid w:val="002017C2"/>
    <w:rsid w:val="00201D17"/>
    <w:rsid w:val="00202C1E"/>
    <w:rsid w:val="002035C4"/>
    <w:rsid w:val="002055ED"/>
    <w:rsid w:val="00210FAF"/>
    <w:rsid w:val="00212220"/>
    <w:rsid w:val="002139D2"/>
    <w:rsid w:val="002155F0"/>
    <w:rsid w:val="00215697"/>
    <w:rsid w:val="0021794C"/>
    <w:rsid w:val="00217DC4"/>
    <w:rsid w:val="002243A5"/>
    <w:rsid w:val="00225314"/>
    <w:rsid w:val="00227073"/>
    <w:rsid w:val="002309B1"/>
    <w:rsid w:val="0023172B"/>
    <w:rsid w:val="00232B9F"/>
    <w:rsid w:val="002372C3"/>
    <w:rsid w:val="002420BB"/>
    <w:rsid w:val="00243EBA"/>
    <w:rsid w:val="002440F9"/>
    <w:rsid w:val="002446B6"/>
    <w:rsid w:val="00245001"/>
    <w:rsid w:val="00245AB9"/>
    <w:rsid w:val="00250127"/>
    <w:rsid w:val="002519C2"/>
    <w:rsid w:val="00251E12"/>
    <w:rsid w:val="00252335"/>
    <w:rsid w:val="00252E65"/>
    <w:rsid w:val="00253530"/>
    <w:rsid w:val="00253B54"/>
    <w:rsid w:val="00256099"/>
    <w:rsid w:val="002577B0"/>
    <w:rsid w:val="00260554"/>
    <w:rsid w:val="00265CB5"/>
    <w:rsid w:val="00265F8C"/>
    <w:rsid w:val="002735C8"/>
    <w:rsid w:val="00274324"/>
    <w:rsid w:val="00274336"/>
    <w:rsid w:val="00275811"/>
    <w:rsid w:val="00275CE7"/>
    <w:rsid w:val="0027669E"/>
    <w:rsid w:val="00277A58"/>
    <w:rsid w:val="002819AF"/>
    <w:rsid w:val="0028520E"/>
    <w:rsid w:val="0028700A"/>
    <w:rsid w:val="00287AC0"/>
    <w:rsid w:val="00287F13"/>
    <w:rsid w:val="0029734B"/>
    <w:rsid w:val="002973F6"/>
    <w:rsid w:val="002A2025"/>
    <w:rsid w:val="002A63CD"/>
    <w:rsid w:val="002A6E28"/>
    <w:rsid w:val="002B03BE"/>
    <w:rsid w:val="002B0602"/>
    <w:rsid w:val="002B15B5"/>
    <w:rsid w:val="002B1AB7"/>
    <w:rsid w:val="002B2689"/>
    <w:rsid w:val="002B2ADC"/>
    <w:rsid w:val="002B3536"/>
    <w:rsid w:val="002B3C08"/>
    <w:rsid w:val="002B560F"/>
    <w:rsid w:val="002B62E8"/>
    <w:rsid w:val="002B6CB3"/>
    <w:rsid w:val="002C019F"/>
    <w:rsid w:val="002C1EA9"/>
    <w:rsid w:val="002C2035"/>
    <w:rsid w:val="002C3835"/>
    <w:rsid w:val="002C4E57"/>
    <w:rsid w:val="002C6000"/>
    <w:rsid w:val="002D0F92"/>
    <w:rsid w:val="002D30EB"/>
    <w:rsid w:val="002D4DAE"/>
    <w:rsid w:val="002D4F7A"/>
    <w:rsid w:val="002D6B94"/>
    <w:rsid w:val="002D7FF6"/>
    <w:rsid w:val="002E1A25"/>
    <w:rsid w:val="002E37F7"/>
    <w:rsid w:val="002E4746"/>
    <w:rsid w:val="002E48D2"/>
    <w:rsid w:val="002E4BB0"/>
    <w:rsid w:val="002E5E28"/>
    <w:rsid w:val="002E67CB"/>
    <w:rsid w:val="002E716B"/>
    <w:rsid w:val="002F2B82"/>
    <w:rsid w:val="002F2C0C"/>
    <w:rsid w:val="002F2F3D"/>
    <w:rsid w:val="002F347D"/>
    <w:rsid w:val="002F39A0"/>
    <w:rsid w:val="002F3DD1"/>
    <w:rsid w:val="002F4603"/>
    <w:rsid w:val="002F4A38"/>
    <w:rsid w:val="002F5433"/>
    <w:rsid w:val="002F5711"/>
    <w:rsid w:val="002F623C"/>
    <w:rsid w:val="002F6BD4"/>
    <w:rsid w:val="002F70BA"/>
    <w:rsid w:val="002F753D"/>
    <w:rsid w:val="002F7871"/>
    <w:rsid w:val="002F78BE"/>
    <w:rsid w:val="0030094C"/>
    <w:rsid w:val="0030161E"/>
    <w:rsid w:val="00301E99"/>
    <w:rsid w:val="003021E4"/>
    <w:rsid w:val="00303F69"/>
    <w:rsid w:val="00305465"/>
    <w:rsid w:val="00307345"/>
    <w:rsid w:val="00307BED"/>
    <w:rsid w:val="0031037F"/>
    <w:rsid w:val="003112E2"/>
    <w:rsid w:val="00311A0E"/>
    <w:rsid w:val="003137D0"/>
    <w:rsid w:val="00315669"/>
    <w:rsid w:val="003161F8"/>
    <w:rsid w:val="003164AA"/>
    <w:rsid w:val="00316E66"/>
    <w:rsid w:val="003177D0"/>
    <w:rsid w:val="003202AA"/>
    <w:rsid w:val="00320A9F"/>
    <w:rsid w:val="0032110B"/>
    <w:rsid w:val="00321C44"/>
    <w:rsid w:val="00321D2C"/>
    <w:rsid w:val="00324344"/>
    <w:rsid w:val="00325A2B"/>
    <w:rsid w:val="00326F4A"/>
    <w:rsid w:val="00330756"/>
    <w:rsid w:val="003322FD"/>
    <w:rsid w:val="00333DBF"/>
    <w:rsid w:val="00334109"/>
    <w:rsid w:val="00337F4F"/>
    <w:rsid w:val="00340681"/>
    <w:rsid w:val="00343D44"/>
    <w:rsid w:val="0034579D"/>
    <w:rsid w:val="00347344"/>
    <w:rsid w:val="00352673"/>
    <w:rsid w:val="00353254"/>
    <w:rsid w:val="0035337C"/>
    <w:rsid w:val="00355A5F"/>
    <w:rsid w:val="00356AA7"/>
    <w:rsid w:val="00362545"/>
    <w:rsid w:val="00362E0B"/>
    <w:rsid w:val="00365294"/>
    <w:rsid w:val="0037303D"/>
    <w:rsid w:val="0037425E"/>
    <w:rsid w:val="0037496E"/>
    <w:rsid w:val="003769C3"/>
    <w:rsid w:val="0037707B"/>
    <w:rsid w:val="00377BD6"/>
    <w:rsid w:val="0038171B"/>
    <w:rsid w:val="00382032"/>
    <w:rsid w:val="00383CE5"/>
    <w:rsid w:val="00384E34"/>
    <w:rsid w:val="00390551"/>
    <w:rsid w:val="00391CF2"/>
    <w:rsid w:val="00392DDC"/>
    <w:rsid w:val="00393637"/>
    <w:rsid w:val="00394361"/>
    <w:rsid w:val="00395549"/>
    <w:rsid w:val="00396303"/>
    <w:rsid w:val="00396EE0"/>
    <w:rsid w:val="00397060"/>
    <w:rsid w:val="003A043A"/>
    <w:rsid w:val="003A158A"/>
    <w:rsid w:val="003A29C5"/>
    <w:rsid w:val="003A417D"/>
    <w:rsid w:val="003A59CF"/>
    <w:rsid w:val="003A7057"/>
    <w:rsid w:val="003A7A7B"/>
    <w:rsid w:val="003B055B"/>
    <w:rsid w:val="003B1117"/>
    <w:rsid w:val="003B20F1"/>
    <w:rsid w:val="003B4DB5"/>
    <w:rsid w:val="003B7A31"/>
    <w:rsid w:val="003B7E25"/>
    <w:rsid w:val="003C2423"/>
    <w:rsid w:val="003C3DD4"/>
    <w:rsid w:val="003C4400"/>
    <w:rsid w:val="003D1582"/>
    <w:rsid w:val="003D6458"/>
    <w:rsid w:val="003D6C57"/>
    <w:rsid w:val="003E055E"/>
    <w:rsid w:val="003E55D7"/>
    <w:rsid w:val="003E6BE6"/>
    <w:rsid w:val="003E6C5B"/>
    <w:rsid w:val="003F1316"/>
    <w:rsid w:val="003F2777"/>
    <w:rsid w:val="003F33AA"/>
    <w:rsid w:val="003F3CDE"/>
    <w:rsid w:val="003F4C2F"/>
    <w:rsid w:val="00401393"/>
    <w:rsid w:val="00401EFF"/>
    <w:rsid w:val="00401F7D"/>
    <w:rsid w:val="004025B2"/>
    <w:rsid w:val="00403140"/>
    <w:rsid w:val="00403AD8"/>
    <w:rsid w:val="00403B93"/>
    <w:rsid w:val="00403C8D"/>
    <w:rsid w:val="00404C28"/>
    <w:rsid w:val="004072C8"/>
    <w:rsid w:val="00407683"/>
    <w:rsid w:val="00410C85"/>
    <w:rsid w:val="00411F2A"/>
    <w:rsid w:val="00414CCD"/>
    <w:rsid w:val="00414E2F"/>
    <w:rsid w:val="00416D55"/>
    <w:rsid w:val="00417981"/>
    <w:rsid w:val="0042091C"/>
    <w:rsid w:val="00421D6E"/>
    <w:rsid w:val="00423EFB"/>
    <w:rsid w:val="004244D5"/>
    <w:rsid w:val="0042582F"/>
    <w:rsid w:val="004276E2"/>
    <w:rsid w:val="00431416"/>
    <w:rsid w:val="00432622"/>
    <w:rsid w:val="004339B9"/>
    <w:rsid w:val="00433C4D"/>
    <w:rsid w:val="00435404"/>
    <w:rsid w:val="004400FC"/>
    <w:rsid w:val="004438D8"/>
    <w:rsid w:val="00444201"/>
    <w:rsid w:val="004446F7"/>
    <w:rsid w:val="00444E1F"/>
    <w:rsid w:val="00445E4C"/>
    <w:rsid w:val="00450B22"/>
    <w:rsid w:val="00451D7B"/>
    <w:rsid w:val="004525E7"/>
    <w:rsid w:val="00452960"/>
    <w:rsid w:val="00452FDA"/>
    <w:rsid w:val="00453889"/>
    <w:rsid w:val="00456486"/>
    <w:rsid w:val="00456C05"/>
    <w:rsid w:val="0046148B"/>
    <w:rsid w:val="0046172E"/>
    <w:rsid w:val="00461777"/>
    <w:rsid w:val="00461CEA"/>
    <w:rsid w:val="004641DA"/>
    <w:rsid w:val="0046587F"/>
    <w:rsid w:val="00465ACE"/>
    <w:rsid w:val="0047184D"/>
    <w:rsid w:val="004721D0"/>
    <w:rsid w:val="00480632"/>
    <w:rsid w:val="0048187E"/>
    <w:rsid w:val="0048298B"/>
    <w:rsid w:val="004837B0"/>
    <w:rsid w:val="00485FC2"/>
    <w:rsid w:val="00487B36"/>
    <w:rsid w:val="00492AE9"/>
    <w:rsid w:val="0049469E"/>
    <w:rsid w:val="004946C4"/>
    <w:rsid w:val="0049505B"/>
    <w:rsid w:val="004952E0"/>
    <w:rsid w:val="004A04F1"/>
    <w:rsid w:val="004A04FB"/>
    <w:rsid w:val="004A0F49"/>
    <w:rsid w:val="004A17C2"/>
    <w:rsid w:val="004A33DD"/>
    <w:rsid w:val="004A4A25"/>
    <w:rsid w:val="004A5440"/>
    <w:rsid w:val="004A5455"/>
    <w:rsid w:val="004A68F6"/>
    <w:rsid w:val="004A6F64"/>
    <w:rsid w:val="004A700D"/>
    <w:rsid w:val="004A78AD"/>
    <w:rsid w:val="004B3730"/>
    <w:rsid w:val="004B482D"/>
    <w:rsid w:val="004B7C08"/>
    <w:rsid w:val="004C09C5"/>
    <w:rsid w:val="004C1231"/>
    <w:rsid w:val="004C3139"/>
    <w:rsid w:val="004C42CC"/>
    <w:rsid w:val="004C575D"/>
    <w:rsid w:val="004C5C18"/>
    <w:rsid w:val="004C5E98"/>
    <w:rsid w:val="004C6801"/>
    <w:rsid w:val="004C78B5"/>
    <w:rsid w:val="004C7B83"/>
    <w:rsid w:val="004D075D"/>
    <w:rsid w:val="004D10BC"/>
    <w:rsid w:val="004D1BEE"/>
    <w:rsid w:val="004D2A40"/>
    <w:rsid w:val="004D3483"/>
    <w:rsid w:val="004D3716"/>
    <w:rsid w:val="004D7EF1"/>
    <w:rsid w:val="004E0D03"/>
    <w:rsid w:val="004E1518"/>
    <w:rsid w:val="004E20BC"/>
    <w:rsid w:val="004E2F41"/>
    <w:rsid w:val="004E469E"/>
    <w:rsid w:val="004E5DC9"/>
    <w:rsid w:val="004E6A70"/>
    <w:rsid w:val="004F16D5"/>
    <w:rsid w:val="004F1797"/>
    <w:rsid w:val="004F32F7"/>
    <w:rsid w:val="004F378D"/>
    <w:rsid w:val="004F444D"/>
    <w:rsid w:val="004F501B"/>
    <w:rsid w:val="004F7153"/>
    <w:rsid w:val="004F7E68"/>
    <w:rsid w:val="005013B1"/>
    <w:rsid w:val="0050184A"/>
    <w:rsid w:val="00504E26"/>
    <w:rsid w:val="005051A3"/>
    <w:rsid w:val="00506B6E"/>
    <w:rsid w:val="00511064"/>
    <w:rsid w:val="00513701"/>
    <w:rsid w:val="005152FF"/>
    <w:rsid w:val="00520D26"/>
    <w:rsid w:val="00520EC6"/>
    <w:rsid w:val="005216F0"/>
    <w:rsid w:val="00522200"/>
    <w:rsid w:val="00523129"/>
    <w:rsid w:val="00524C6A"/>
    <w:rsid w:val="00527A55"/>
    <w:rsid w:val="0053022D"/>
    <w:rsid w:val="00530607"/>
    <w:rsid w:val="0053253B"/>
    <w:rsid w:val="00534303"/>
    <w:rsid w:val="00534BD3"/>
    <w:rsid w:val="00534F7C"/>
    <w:rsid w:val="00535DF9"/>
    <w:rsid w:val="00536BB5"/>
    <w:rsid w:val="00536FBE"/>
    <w:rsid w:val="00537D5B"/>
    <w:rsid w:val="0054347D"/>
    <w:rsid w:val="00543809"/>
    <w:rsid w:val="0054386B"/>
    <w:rsid w:val="00544444"/>
    <w:rsid w:val="00544D3C"/>
    <w:rsid w:val="00550890"/>
    <w:rsid w:val="00551102"/>
    <w:rsid w:val="005516EC"/>
    <w:rsid w:val="0055243B"/>
    <w:rsid w:val="0055406F"/>
    <w:rsid w:val="00554B99"/>
    <w:rsid w:val="005552BB"/>
    <w:rsid w:val="00555F6D"/>
    <w:rsid w:val="0055740E"/>
    <w:rsid w:val="00561061"/>
    <w:rsid w:val="00561095"/>
    <w:rsid w:val="005611E6"/>
    <w:rsid w:val="00562DDD"/>
    <w:rsid w:val="00562FCD"/>
    <w:rsid w:val="0056633B"/>
    <w:rsid w:val="00567D13"/>
    <w:rsid w:val="005700CE"/>
    <w:rsid w:val="0057191C"/>
    <w:rsid w:val="005726CE"/>
    <w:rsid w:val="00572D0C"/>
    <w:rsid w:val="00582226"/>
    <w:rsid w:val="005825BE"/>
    <w:rsid w:val="00582AED"/>
    <w:rsid w:val="00583F83"/>
    <w:rsid w:val="00584B33"/>
    <w:rsid w:val="00585760"/>
    <w:rsid w:val="00586D77"/>
    <w:rsid w:val="005939DA"/>
    <w:rsid w:val="00594388"/>
    <w:rsid w:val="005951D4"/>
    <w:rsid w:val="00595939"/>
    <w:rsid w:val="00595D80"/>
    <w:rsid w:val="00596622"/>
    <w:rsid w:val="005968AD"/>
    <w:rsid w:val="00597052"/>
    <w:rsid w:val="00597264"/>
    <w:rsid w:val="00597846"/>
    <w:rsid w:val="005A07A4"/>
    <w:rsid w:val="005A29CA"/>
    <w:rsid w:val="005A2E04"/>
    <w:rsid w:val="005A30E3"/>
    <w:rsid w:val="005A343B"/>
    <w:rsid w:val="005A47EB"/>
    <w:rsid w:val="005A60FD"/>
    <w:rsid w:val="005A6DE3"/>
    <w:rsid w:val="005A79F8"/>
    <w:rsid w:val="005A7B38"/>
    <w:rsid w:val="005B06D4"/>
    <w:rsid w:val="005B07E8"/>
    <w:rsid w:val="005B29C2"/>
    <w:rsid w:val="005B560E"/>
    <w:rsid w:val="005B5985"/>
    <w:rsid w:val="005B6D2F"/>
    <w:rsid w:val="005B6E9E"/>
    <w:rsid w:val="005B7DB5"/>
    <w:rsid w:val="005C0AF6"/>
    <w:rsid w:val="005C0C74"/>
    <w:rsid w:val="005C249F"/>
    <w:rsid w:val="005C379D"/>
    <w:rsid w:val="005C3C8C"/>
    <w:rsid w:val="005C47E3"/>
    <w:rsid w:val="005C4A6C"/>
    <w:rsid w:val="005C4F2C"/>
    <w:rsid w:val="005C6650"/>
    <w:rsid w:val="005C7A34"/>
    <w:rsid w:val="005D253F"/>
    <w:rsid w:val="005D49D5"/>
    <w:rsid w:val="005D60D5"/>
    <w:rsid w:val="005D67FC"/>
    <w:rsid w:val="005D6C68"/>
    <w:rsid w:val="005E09B8"/>
    <w:rsid w:val="005E2023"/>
    <w:rsid w:val="005E3177"/>
    <w:rsid w:val="005E56DC"/>
    <w:rsid w:val="005E577B"/>
    <w:rsid w:val="005F1673"/>
    <w:rsid w:val="005F2473"/>
    <w:rsid w:val="005F24D5"/>
    <w:rsid w:val="005F274E"/>
    <w:rsid w:val="005F28E2"/>
    <w:rsid w:val="005F2A6B"/>
    <w:rsid w:val="005F2B68"/>
    <w:rsid w:val="005F2F9C"/>
    <w:rsid w:val="005F39C2"/>
    <w:rsid w:val="005F4381"/>
    <w:rsid w:val="005F68EF"/>
    <w:rsid w:val="005F6E30"/>
    <w:rsid w:val="006018FB"/>
    <w:rsid w:val="00601B19"/>
    <w:rsid w:val="006052CD"/>
    <w:rsid w:val="0060559B"/>
    <w:rsid w:val="00605ED6"/>
    <w:rsid w:val="00606A76"/>
    <w:rsid w:val="006100D3"/>
    <w:rsid w:val="00610A15"/>
    <w:rsid w:val="006111F1"/>
    <w:rsid w:val="00612E0D"/>
    <w:rsid w:val="006133C7"/>
    <w:rsid w:val="0061344A"/>
    <w:rsid w:val="00614C1C"/>
    <w:rsid w:val="006155F7"/>
    <w:rsid w:val="006162F0"/>
    <w:rsid w:val="0061717E"/>
    <w:rsid w:val="00621211"/>
    <w:rsid w:val="00621F9A"/>
    <w:rsid w:val="00622F0E"/>
    <w:rsid w:val="006245A6"/>
    <w:rsid w:val="0062585D"/>
    <w:rsid w:val="00630243"/>
    <w:rsid w:val="00633066"/>
    <w:rsid w:val="0063392F"/>
    <w:rsid w:val="00634A7C"/>
    <w:rsid w:val="006357BC"/>
    <w:rsid w:val="00636943"/>
    <w:rsid w:val="00636A61"/>
    <w:rsid w:val="00640506"/>
    <w:rsid w:val="00640BDF"/>
    <w:rsid w:val="0064422C"/>
    <w:rsid w:val="006468EC"/>
    <w:rsid w:val="0064793A"/>
    <w:rsid w:val="00653490"/>
    <w:rsid w:val="00653FFA"/>
    <w:rsid w:val="00654062"/>
    <w:rsid w:val="00654686"/>
    <w:rsid w:val="00655062"/>
    <w:rsid w:val="0065699F"/>
    <w:rsid w:val="006605D5"/>
    <w:rsid w:val="006609EA"/>
    <w:rsid w:val="0066169C"/>
    <w:rsid w:val="00661AAE"/>
    <w:rsid w:val="00662394"/>
    <w:rsid w:val="00663624"/>
    <w:rsid w:val="00664105"/>
    <w:rsid w:val="006645B6"/>
    <w:rsid w:val="006650D1"/>
    <w:rsid w:val="006653CC"/>
    <w:rsid w:val="006732F2"/>
    <w:rsid w:val="00673BFE"/>
    <w:rsid w:val="00674E5C"/>
    <w:rsid w:val="006753AD"/>
    <w:rsid w:val="00675D93"/>
    <w:rsid w:val="006766CC"/>
    <w:rsid w:val="006853F5"/>
    <w:rsid w:val="006854B5"/>
    <w:rsid w:val="00685B47"/>
    <w:rsid w:val="006879B7"/>
    <w:rsid w:val="00687C28"/>
    <w:rsid w:val="00687F0B"/>
    <w:rsid w:val="00690794"/>
    <w:rsid w:val="006914ED"/>
    <w:rsid w:val="006916F1"/>
    <w:rsid w:val="00691F53"/>
    <w:rsid w:val="0069204F"/>
    <w:rsid w:val="00693196"/>
    <w:rsid w:val="00694478"/>
    <w:rsid w:val="006963AA"/>
    <w:rsid w:val="00696977"/>
    <w:rsid w:val="00697D53"/>
    <w:rsid w:val="006A0605"/>
    <w:rsid w:val="006A3501"/>
    <w:rsid w:val="006A3E00"/>
    <w:rsid w:val="006A6590"/>
    <w:rsid w:val="006A6A3A"/>
    <w:rsid w:val="006A7AE9"/>
    <w:rsid w:val="006B1F97"/>
    <w:rsid w:val="006B2272"/>
    <w:rsid w:val="006B3E9F"/>
    <w:rsid w:val="006B572E"/>
    <w:rsid w:val="006B7163"/>
    <w:rsid w:val="006B7FC9"/>
    <w:rsid w:val="006C05DA"/>
    <w:rsid w:val="006C061C"/>
    <w:rsid w:val="006C3C98"/>
    <w:rsid w:val="006C4C4C"/>
    <w:rsid w:val="006C616F"/>
    <w:rsid w:val="006C7338"/>
    <w:rsid w:val="006C7FD2"/>
    <w:rsid w:val="006D255B"/>
    <w:rsid w:val="006D2E64"/>
    <w:rsid w:val="006D6604"/>
    <w:rsid w:val="006E009E"/>
    <w:rsid w:val="006E03DB"/>
    <w:rsid w:val="006E2133"/>
    <w:rsid w:val="006E6594"/>
    <w:rsid w:val="006E69CA"/>
    <w:rsid w:val="006E7AD1"/>
    <w:rsid w:val="006F2397"/>
    <w:rsid w:val="006F6740"/>
    <w:rsid w:val="006F7858"/>
    <w:rsid w:val="006F7930"/>
    <w:rsid w:val="00701037"/>
    <w:rsid w:val="00703130"/>
    <w:rsid w:val="00704DAC"/>
    <w:rsid w:val="00706830"/>
    <w:rsid w:val="00712114"/>
    <w:rsid w:val="00712299"/>
    <w:rsid w:val="00712746"/>
    <w:rsid w:val="00713BCC"/>
    <w:rsid w:val="00715E9B"/>
    <w:rsid w:val="00720F0E"/>
    <w:rsid w:val="00721ED3"/>
    <w:rsid w:val="0072522E"/>
    <w:rsid w:val="00727907"/>
    <w:rsid w:val="007300DD"/>
    <w:rsid w:val="0073015C"/>
    <w:rsid w:val="00731563"/>
    <w:rsid w:val="00733188"/>
    <w:rsid w:val="0073668A"/>
    <w:rsid w:val="00736F20"/>
    <w:rsid w:val="007407E1"/>
    <w:rsid w:val="007415DC"/>
    <w:rsid w:val="007434C9"/>
    <w:rsid w:val="00744AD4"/>
    <w:rsid w:val="00745111"/>
    <w:rsid w:val="00745A7B"/>
    <w:rsid w:val="00745D69"/>
    <w:rsid w:val="007466E9"/>
    <w:rsid w:val="00751449"/>
    <w:rsid w:val="007526EA"/>
    <w:rsid w:val="00753041"/>
    <w:rsid w:val="00753106"/>
    <w:rsid w:val="00754506"/>
    <w:rsid w:val="0075509E"/>
    <w:rsid w:val="007567AD"/>
    <w:rsid w:val="00756A8A"/>
    <w:rsid w:val="007570B8"/>
    <w:rsid w:val="00757DCB"/>
    <w:rsid w:val="00760DA4"/>
    <w:rsid w:val="00760DEC"/>
    <w:rsid w:val="00762416"/>
    <w:rsid w:val="00762BB9"/>
    <w:rsid w:val="00763188"/>
    <w:rsid w:val="007648FF"/>
    <w:rsid w:val="00765FA3"/>
    <w:rsid w:val="00770306"/>
    <w:rsid w:val="00775080"/>
    <w:rsid w:val="00775783"/>
    <w:rsid w:val="00776A0E"/>
    <w:rsid w:val="00777E2E"/>
    <w:rsid w:val="0078011F"/>
    <w:rsid w:val="00783C68"/>
    <w:rsid w:val="00785215"/>
    <w:rsid w:val="00785E85"/>
    <w:rsid w:val="0078766B"/>
    <w:rsid w:val="007901CF"/>
    <w:rsid w:val="007904CA"/>
    <w:rsid w:val="00790556"/>
    <w:rsid w:val="00790DD1"/>
    <w:rsid w:val="0079138B"/>
    <w:rsid w:val="007920DF"/>
    <w:rsid w:val="007926F3"/>
    <w:rsid w:val="00792B67"/>
    <w:rsid w:val="007936D8"/>
    <w:rsid w:val="007937FB"/>
    <w:rsid w:val="0079380A"/>
    <w:rsid w:val="0079409E"/>
    <w:rsid w:val="00796799"/>
    <w:rsid w:val="00796E3A"/>
    <w:rsid w:val="007A3968"/>
    <w:rsid w:val="007A4169"/>
    <w:rsid w:val="007A4BAD"/>
    <w:rsid w:val="007B1787"/>
    <w:rsid w:val="007B1F10"/>
    <w:rsid w:val="007B21D7"/>
    <w:rsid w:val="007C0CB5"/>
    <w:rsid w:val="007C299A"/>
    <w:rsid w:val="007C3A52"/>
    <w:rsid w:val="007C4790"/>
    <w:rsid w:val="007C47B1"/>
    <w:rsid w:val="007C77E1"/>
    <w:rsid w:val="007C7C2E"/>
    <w:rsid w:val="007D14DC"/>
    <w:rsid w:val="007D1CA8"/>
    <w:rsid w:val="007D2BD3"/>
    <w:rsid w:val="007D3867"/>
    <w:rsid w:val="007D4A06"/>
    <w:rsid w:val="007D516A"/>
    <w:rsid w:val="007D5C94"/>
    <w:rsid w:val="007D6243"/>
    <w:rsid w:val="007D74C6"/>
    <w:rsid w:val="007D7A01"/>
    <w:rsid w:val="007E07A8"/>
    <w:rsid w:val="007E1C10"/>
    <w:rsid w:val="007E229E"/>
    <w:rsid w:val="007E2738"/>
    <w:rsid w:val="007E31B7"/>
    <w:rsid w:val="007E3A12"/>
    <w:rsid w:val="007E3CFD"/>
    <w:rsid w:val="007E3FBB"/>
    <w:rsid w:val="007E6283"/>
    <w:rsid w:val="007E689C"/>
    <w:rsid w:val="007F04EF"/>
    <w:rsid w:val="007F23D6"/>
    <w:rsid w:val="007F2AEE"/>
    <w:rsid w:val="007F4B59"/>
    <w:rsid w:val="007F4DB7"/>
    <w:rsid w:val="007F71CC"/>
    <w:rsid w:val="007F7A72"/>
    <w:rsid w:val="0080088F"/>
    <w:rsid w:val="00800CC1"/>
    <w:rsid w:val="00803303"/>
    <w:rsid w:val="00805327"/>
    <w:rsid w:val="00807014"/>
    <w:rsid w:val="008104CD"/>
    <w:rsid w:val="00810EFE"/>
    <w:rsid w:val="00814FDA"/>
    <w:rsid w:val="00821A87"/>
    <w:rsid w:val="00822C70"/>
    <w:rsid w:val="008268B2"/>
    <w:rsid w:val="00827FDB"/>
    <w:rsid w:val="00831B8C"/>
    <w:rsid w:val="008325A3"/>
    <w:rsid w:val="00834AD5"/>
    <w:rsid w:val="00835D27"/>
    <w:rsid w:val="00835EC2"/>
    <w:rsid w:val="00836251"/>
    <w:rsid w:val="0083776F"/>
    <w:rsid w:val="008377B7"/>
    <w:rsid w:val="00840138"/>
    <w:rsid w:val="00841951"/>
    <w:rsid w:val="00841CC6"/>
    <w:rsid w:val="00843B5B"/>
    <w:rsid w:val="00844E58"/>
    <w:rsid w:val="00845A3C"/>
    <w:rsid w:val="008476E0"/>
    <w:rsid w:val="008504F9"/>
    <w:rsid w:val="00851DEF"/>
    <w:rsid w:val="00852A76"/>
    <w:rsid w:val="00852F6F"/>
    <w:rsid w:val="008545AF"/>
    <w:rsid w:val="00856A27"/>
    <w:rsid w:val="0085778B"/>
    <w:rsid w:val="00860BBF"/>
    <w:rsid w:val="008619BD"/>
    <w:rsid w:val="0086288A"/>
    <w:rsid w:val="00862C95"/>
    <w:rsid w:val="008632A9"/>
    <w:rsid w:val="00863DD8"/>
    <w:rsid w:val="00864497"/>
    <w:rsid w:val="0086585D"/>
    <w:rsid w:val="008658D1"/>
    <w:rsid w:val="008667D8"/>
    <w:rsid w:val="008675F1"/>
    <w:rsid w:val="00870865"/>
    <w:rsid w:val="00875F3E"/>
    <w:rsid w:val="0087634A"/>
    <w:rsid w:val="0087694C"/>
    <w:rsid w:val="0088088B"/>
    <w:rsid w:val="00882C45"/>
    <w:rsid w:val="00883766"/>
    <w:rsid w:val="00883E67"/>
    <w:rsid w:val="00887C17"/>
    <w:rsid w:val="00890412"/>
    <w:rsid w:val="00896024"/>
    <w:rsid w:val="00896459"/>
    <w:rsid w:val="008966E1"/>
    <w:rsid w:val="008971DD"/>
    <w:rsid w:val="008A2099"/>
    <w:rsid w:val="008A3905"/>
    <w:rsid w:val="008A5E40"/>
    <w:rsid w:val="008B10ED"/>
    <w:rsid w:val="008B138E"/>
    <w:rsid w:val="008B2A37"/>
    <w:rsid w:val="008B3715"/>
    <w:rsid w:val="008B3DE8"/>
    <w:rsid w:val="008B56A4"/>
    <w:rsid w:val="008B5E1F"/>
    <w:rsid w:val="008B7781"/>
    <w:rsid w:val="008C21A4"/>
    <w:rsid w:val="008C428B"/>
    <w:rsid w:val="008C62AF"/>
    <w:rsid w:val="008C676B"/>
    <w:rsid w:val="008C7555"/>
    <w:rsid w:val="008D10F6"/>
    <w:rsid w:val="008D2A61"/>
    <w:rsid w:val="008D2A8E"/>
    <w:rsid w:val="008D3CD3"/>
    <w:rsid w:val="008D5FE6"/>
    <w:rsid w:val="008D7C29"/>
    <w:rsid w:val="008E0C6A"/>
    <w:rsid w:val="008E47E3"/>
    <w:rsid w:val="008E5A50"/>
    <w:rsid w:val="008E5FA7"/>
    <w:rsid w:val="008E7EDF"/>
    <w:rsid w:val="008F04DD"/>
    <w:rsid w:val="008F0964"/>
    <w:rsid w:val="008F1173"/>
    <w:rsid w:val="008F29BE"/>
    <w:rsid w:val="008F3DA0"/>
    <w:rsid w:val="008F4F9C"/>
    <w:rsid w:val="00901209"/>
    <w:rsid w:val="009012F3"/>
    <w:rsid w:val="00902215"/>
    <w:rsid w:val="00902270"/>
    <w:rsid w:val="00902559"/>
    <w:rsid w:val="00903BB8"/>
    <w:rsid w:val="009066B5"/>
    <w:rsid w:val="009106CF"/>
    <w:rsid w:val="00912C06"/>
    <w:rsid w:val="00914877"/>
    <w:rsid w:val="0092125D"/>
    <w:rsid w:val="00922E81"/>
    <w:rsid w:val="009241AE"/>
    <w:rsid w:val="00925386"/>
    <w:rsid w:val="009308BE"/>
    <w:rsid w:val="00932F49"/>
    <w:rsid w:val="00933704"/>
    <w:rsid w:val="00933A8F"/>
    <w:rsid w:val="00937C42"/>
    <w:rsid w:val="00940F07"/>
    <w:rsid w:val="00941E1E"/>
    <w:rsid w:val="0094273D"/>
    <w:rsid w:val="00944723"/>
    <w:rsid w:val="00944D4D"/>
    <w:rsid w:val="0094619F"/>
    <w:rsid w:val="0095064F"/>
    <w:rsid w:val="00950AC5"/>
    <w:rsid w:val="0095274C"/>
    <w:rsid w:val="0095364C"/>
    <w:rsid w:val="0095375E"/>
    <w:rsid w:val="00954642"/>
    <w:rsid w:val="00954BCA"/>
    <w:rsid w:val="0095568C"/>
    <w:rsid w:val="00960FB9"/>
    <w:rsid w:val="009647ED"/>
    <w:rsid w:val="009657DB"/>
    <w:rsid w:val="00965958"/>
    <w:rsid w:val="00970BB8"/>
    <w:rsid w:val="00971CFB"/>
    <w:rsid w:val="00973EF5"/>
    <w:rsid w:val="0097405C"/>
    <w:rsid w:val="00974262"/>
    <w:rsid w:val="00975ABE"/>
    <w:rsid w:val="00976B97"/>
    <w:rsid w:val="00982526"/>
    <w:rsid w:val="00983D61"/>
    <w:rsid w:val="0098458A"/>
    <w:rsid w:val="00985FB0"/>
    <w:rsid w:val="00986221"/>
    <w:rsid w:val="00991C1D"/>
    <w:rsid w:val="00991C73"/>
    <w:rsid w:val="0099257F"/>
    <w:rsid w:val="00992935"/>
    <w:rsid w:val="009937DD"/>
    <w:rsid w:val="0099449A"/>
    <w:rsid w:val="00995B68"/>
    <w:rsid w:val="00997E27"/>
    <w:rsid w:val="009A19B4"/>
    <w:rsid w:val="009A38D9"/>
    <w:rsid w:val="009A5103"/>
    <w:rsid w:val="009A574D"/>
    <w:rsid w:val="009A646D"/>
    <w:rsid w:val="009A6BB8"/>
    <w:rsid w:val="009A7BDB"/>
    <w:rsid w:val="009B6ADB"/>
    <w:rsid w:val="009B7857"/>
    <w:rsid w:val="009B78B9"/>
    <w:rsid w:val="009C0825"/>
    <w:rsid w:val="009C0AA1"/>
    <w:rsid w:val="009C0F69"/>
    <w:rsid w:val="009C416C"/>
    <w:rsid w:val="009C58C5"/>
    <w:rsid w:val="009C75DA"/>
    <w:rsid w:val="009C7DEA"/>
    <w:rsid w:val="009D0FBA"/>
    <w:rsid w:val="009D1858"/>
    <w:rsid w:val="009D2A1A"/>
    <w:rsid w:val="009D3532"/>
    <w:rsid w:val="009D6E1E"/>
    <w:rsid w:val="009D7676"/>
    <w:rsid w:val="009E279A"/>
    <w:rsid w:val="009E3608"/>
    <w:rsid w:val="009E3922"/>
    <w:rsid w:val="009E52EE"/>
    <w:rsid w:val="009E5512"/>
    <w:rsid w:val="009E604E"/>
    <w:rsid w:val="009F01DA"/>
    <w:rsid w:val="009F171A"/>
    <w:rsid w:val="009F1932"/>
    <w:rsid w:val="009F1AC0"/>
    <w:rsid w:val="009F3C59"/>
    <w:rsid w:val="009F4656"/>
    <w:rsid w:val="009F5B3D"/>
    <w:rsid w:val="009F6EA2"/>
    <w:rsid w:val="00A01895"/>
    <w:rsid w:val="00A02522"/>
    <w:rsid w:val="00A03146"/>
    <w:rsid w:val="00A03497"/>
    <w:rsid w:val="00A076C5"/>
    <w:rsid w:val="00A126AF"/>
    <w:rsid w:val="00A1381A"/>
    <w:rsid w:val="00A14AB2"/>
    <w:rsid w:val="00A159D3"/>
    <w:rsid w:val="00A16D01"/>
    <w:rsid w:val="00A1762F"/>
    <w:rsid w:val="00A212BC"/>
    <w:rsid w:val="00A21733"/>
    <w:rsid w:val="00A21CC2"/>
    <w:rsid w:val="00A23CE9"/>
    <w:rsid w:val="00A24E4D"/>
    <w:rsid w:val="00A26B45"/>
    <w:rsid w:val="00A26FAA"/>
    <w:rsid w:val="00A32D00"/>
    <w:rsid w:val="00A331B6"/>
    <w:rsid w:val="00A34B81"/>
    <w:rsid w:val="00A35A0E"/>
    <w:rsid w:val="00A35DCD"/>
    <w:rsid w:val="00A368AE"/>
    <w:rsid w:val="00A40068"/>
    <w:rsid w:val="00A40A18"/>
    <w:rsid w:val="00A410E8"/>
    <w:rsid w:val="00A4296F"/>
    <w:rsid w:val="00A442F7"/>
    <w:rsid w:val="00A447CE"/>
    <w:rsid w:val="00A45285"/>
    <w:rsid w:val="00A454D0"/>
    <w:rsid w:val="00A45628"/>
    <w:rsid w:val="00A45A89"/>
    <w:rsid w:val="00A46697"/>
    <w:rsid w:val="00A466E5"/>
    <w:rsid w:val="00A46D3E"/>
    <w:rsid w:val="00A509E7"/>
    <w:rsid w:val="00A512D4"/>
    <w:rsid w:val="00A524AE"/>
    <w:rsid w:val="00A53411"/>
    <w:rsid w:val="00A534F0"/>
    <w:rsid w:val="00A539E7"/>
    <w:rsid w:val="00A552DE"/>
    <w:rsid w:val="00A61883"/>
    <w:rsid w:val="00A63B74"/>
    <w:rsid w:val="00A65150"/>
    <w:rsid w:val="00A658A6"/>
    <w:rsid w:val="00A65D88"/>
    <w:rsid w:val="00A67017"/>
    <w:rsid w:val="00A67A39"/>
    <w:rsid w:val="00A701C8"/>
    <w:rsid w:val="00A7085C"/>
    <w:rsid w:val="00A70BCA"/>
    <w:rsid w:val="00A72CC0"/>
    <w:rsid w:val="00A731FC"/>
    <w:rsid w:val="00A73CB8"/>
    <w:rsid w:val="00A73D23"/>
    <w:rsid w:val="00A73F58"/>
    <w:rsid w:val="00A74E66"/>
    <w:rsid w:val="00A75105"/>
    <w:rsid w:val="00A757A5"/>
    <w:rsid w:val="00A7701B"/>
    <w:rsid w:val="00A77BC4"/>
    <w:rsid w:val="00A77DB2"/>
    <w:rsid w:val="00A814BC"/>
    <w:rsid w:val="00A83636"/>
    <w:rsid w:val="00A839D7"/>
    <w:rsid w:val="00A83BE2"/>
    <w:rsid w:val="00A8448E"/>
    <w:rsid w:val="00A84D42"/>
    <w:rsid w:val="00A851CA"/>
    <w:rsid w:val="00A874B7"/>
    <w:rsid w:val="00A8779B"/>
    <w:rsid w:val="00A90619"/>
    <w:rsid w:val="00A91A37"/>
    <w:rsid w:val="00A91FFA"/>
    <w:rsid w:val="00A93EFE"/>
    <w:rsid w:val="00A949F3"/>
    <w:rsid w:val="00A94AF6"/>
    <w:rsid w:val="00A95C5F"/>
    <w:rsid w:val="00A96211"/>
    <w:rsid w:val="00A9681C"/>
    <w:rsid w:val="00AA1104"/>
    <w:rsid w:val="00AA1B63"/>
    <w:rsid w:val="00AA22E1"/>
    <w:rsid w:val="00AA2485"/>
    <w:rsid w:val="00AA5ACF"/>
    <w:rsid w:val="00AA7807"/>
    <w:rsid w:val="00AB21D7"/>
    <w:rsid w:val="00AB21E2"/>
    <w:rsid w:val="00AB341F"/>
    <w:rsid w:val="00AB4539"/>
    <w:rsid w:val="00AB6B22"/>
    <w:rsid w:val="00AB724A"/>
    <w:rsid w:val="00AC095B"/>
    <w:rsid w:val="00AC2C2E"/>
    <w:rsid w:val="00AC4520"/>
    <w:rsid w:val="00AC4A99"/>
    <w:rsid w:val="00AC521A"/>
    <w:rsid w:val="00AC63F0"/>
    <w:rsid w:val="00AD1E93"/>
    <w:rsid w:val="00AD297E"/>
    <w:rsid w:val="00AD303D"/>
    <w:rsid w:val="00AD31FB"/>
    <w:rsid w:val="00AD3A7A"/>
    <w:rsid w:val="00AD3B92"/>
    <w:rsid w:val="00AD3DA4"/>
    <w:rsid w:val="00AD4084"/>
    <w:rsid w:val="00AD44E8"/>
    <w:rsid w:val="00AD4E25"/>
    <w:rsid w:val="00AD6EA1"/>
    <w:rsid w:val="00AE05B0"/>
    <w:rsid w:val="00AE0FC8"/>
    <w:rsid w:val="00AE1440"/>
    <w:rsid w:val="00AE1CE9"/>
    <w:rsid w:val="00AE1FD7"/>
    <w:rsid w:val="00AE3239"/>
    <w:rsid w:val="00AE3A80"/>
    <w:rsid w:val="00AE4EDC"/>
    <w:rsid w:val="00AE6E93"/>
    <w:rsid w:val="00AE741A"/>
    <w:rsid w:val="00AE771F"/>
    <w:rsid w:val="00AF0452"/>
    <w:rsid w:val="00AF29AB"/>
    <w:rsid w:val="00AF6618"/>
    <w:rsid w:val="00AF7859"/>
    <w:rsid w:val="00B01EFA"/>
    <w:rsid w:val="00B032FE"/>
    <w:rsid w:val="00B038D5"/>
    <w:rsid w:val="00B03BD3"/>
    <w:rsid w:val="00B0539E"/>
    <w:rsid w:val="00B0557D"/>
    <w:rsid w:val="00B0663A"/>
    <w:rsid w:val="00B1044F"/>
    <w:rsid w:val="00B13E6F"/>
    <w:rsid w:val="00B14607"/>
    <w:rsid w:val="00B149CC"/>
    <w:rsid w:val="00B160A9"/>
    <w:rsid w:val="00B16BBA"/>
    <w:rsid w:val="00B203AC"/>
    <w:rsid w:val="00B22824"/>
    <w:rsid w:val="00B27BBB"/>
    <w:rsid w:val="00B312FB"/>
    <w:rsid w:val="00B33173"/>
    <w:rsid w:val="00B339C5"/>
    <w:rsid w:val="00B33A1D"/>
    <w:rsid w:val="00B33BFB"/>
    <w:rsid w:val="00B35064"/>
    <w:rsid w:val="00B36F6D"/>
    <w:rsid w:val="00B37119"/>
    <w:rsid w:val="00B410CF"/>
    <w:rsid w:val="00B4473A"/>
    <w:rsid w:val="00B456CE"/>
    <w:rsid w:val="00B45E9C"/>
    <w:rsid w:val="00B51F5A"/>
    <w:rsid w:val="00B541AD"/>
    <w:rsid w:val="00B547DE"/>
    <w:rsid w:val="00B54841"/>
    <w:rsid w:val="00B56654"/>
    <w:rsid w:val="00B61BD5"/>
    <w:rsid w:val="00B65705"/>
    <w:rsid w:val="00B658A7"/>
    <w:rsid w:val="00B66A30"/>
    <w:rsid w:val="00B678C4"/>
    <w:rsid w:val="00B70E56"/>
    <w:rsid w:val="00B719DD"/>
    <w:rsid w:val="00B72675"/>
    <w:rsid w:val="00B72880"/>
    <w:rsid w:val="00B74434"/>
    <w:rsid w:val="00B75460"/>
    <w:rsid w:val="00B759FE"/>
    <w:rsid w:val="00B77CD9"/>
    <w:rsid w:val="00B81470"/>
    <w:rsid w:val="00B823D1"/>
    <w:rsid w:val="00B84117"/>
    <w:rsid w:val="00B84435"/>
    <w:rsid w:val="00B84448"/>
    <w:rsid w:val="00B86EDA"/>
    <w:rsid w:val="00B8726E"/>
    <w:rsid w:val="00B90228"/>
    <w:rsid w:val="00B91DEE"/>
    <w:rsid w:val="00B93071"/>
    <w:rsid w:val="00B95381"/>
    <w:rsid w:val="00B9593F"/>
    <w:rsid w:val="00B967E4"/>
    <w:rsid w:val="00BA05FB"/>
    <w:rsid w:val="00BA22A9"/>
    <w:rsid w:val="00BA3A57"/>
    <w:rsid w:val="00BA4BEB"/>
    <w:rsid w:val="00BA5829"/>
    <w:rsid w:val="00BA5880"/>
    <w:rsid w:val="00BA70F1"/>
    <w:rsid w:val="00BA7F0A"/>
    <w:rsid w:val="00BB15A2"/>
    <w:rsid w:val="00BB2321"/>
    <w:rsid w:val="00BB5C5B"/>
    <w:rsid w:val="00BB691C"/>
    <w:rsid w:val="00BB6F6E"/>
    <w:rsid w:val="00BB7145"/>
    <w:rsid w:val="00BB757C"/>
    <w:rsid w:val="00BC0290"/>
    <w:rsid w:val="00BC05F6"/>
    <w:rsid w:val="00BC6260"/>
    <w:rsid w:val="00BD01F5"/>
    <w:rsid w:val="00BD1565"/>
    <w:rsid w:val="00BD38B1"/>
    <w:rsid w:val="00BD4C93"/>
    <w:rsid w:val="00BD5521"/>
    <w:rsid w:val="00BD60EA"/>
    <w:rsid w:val="00BD765B"/>
    <w:rsid w:val="00BE1292"/>
    <w:rsid w:val="00BE15EF"/>
    <w:rsid w:val="00BE1E55"/>
    <w:rsid w:val="00BE44C8"/>
    <w:rsid w:val="00BE4F69"/>
    <w:rsid w:val="00BE7F4D"/>
    <w:rsid w:val="00BF2C96"/>
    <w:rsid w:val="00BF3357"/>
    <w:rsid w:val="00BF352D"/>
    <w:rsid w:val="00BF3CF6"/>
    <w:rsid w:val="00BF4E40"/>
    <w:rsid w:val="00BF7B2F"/>
    <w:rsid w:val="00BF7FC4"/>
    <w:rsid w:val="00C00851"/>
    <w:rsid w:val="00C03B2E"/>
    <w:rsid w:val="00C04F11"/>
    <w:rsid w:val="00C05764"/>
    <w:rsid w:val="00C103C6"/>
    <w:rsid w:val="00C10E90"/>
    <w:rsid w:val="00C11BE6"/>
    <w:rsid w:val="00C14A48"/>
    <w:rsid w:val="00C15FE1"/>
    <w:rsid w:val="00C1717A"/>
    <w:rsid w:val="00C17346"/>
    <w:rsid w:val="00C17A6B"/>
    <w:rsid w:val="00C2201C"/>
    <w:rsid w:val="00C22944"/>
    <w:rsid w:val="00C2312A"/>
    <w:rsid w:val="00C2346A"/>
    <w:rsid w:val="00C241A8"/>
    <w:rsid w:val="00C24E43"/>
    <w:rsid w:val="00C25032"/>
    <w:rsid w:val="00C253ED"/>
    <w:rsid w:val="00C256BD"/>
    <w:rsid w:val="00C25B84"/>
    <w:rsid w:val="00C30922"/>
    <w:rsid w:val="00C313BE"/>
    <w:rsid w:val="00C32124"/>
    <w:rsid w:val="00C32E2D"/>
    <w:rsid w:val="00C337E0"/>
    <w:rsid w:val="00C3411B"/>
    <w:rsid w:val="00C365FC"/>
    <w:rsid w:val="00C36645"/>
    <w:rsid w:val="00C36C86"/>
    <w:rsid w:val="00C36FED"/>
    <w:rsid w:val="00C4047B"/>
    <w:rsid w:val="00C42019"/>
    <w:rsid w:val="00C425FE"/>
    <w:rsid w:val="00C42E35"/>
    <w:rsid w:val="00C44C52"/>
    <w:rsid w:val="00C46107"/>
    <w:rsid w:val="00C47C70"/>
    <w:rsid w:val="00C50BCD"/>
    <w:rsid w:val="00C51AF0"/>
    <w:rsid w:val="00C5370C"/>
    <w:rsid w:val="00C55B8D"/>
    <w:rsid w:val="00C5736D"/>
    <w:rsid w:val="00C575A4"/>
    <w:rsid w:val="00C576E3"/>
    <w:rsid w:val="00C57B9C"/>
    <w:rsid w:val="00C57E5D"/>
    <w:rsid w:val="00C61940"/>
    <w:rsid w:val="00C62F7C"/>
    <w:rsid w:val="00C63935"/>
    <w:rsid w:val="00C63E11"/>
    <w:rsid w:val="00C6493D"/>
    <w:rsid w:val="00C65A80"/>
    <w:rsid w:val="00C66C28"/>
    <w:rsid w:val="00C66DEB"/>
    <w:rsid w:val="00C70994"/>
    <w:rsid w:val="00C7322F"/>
    <w:rsid w:val="00C73E0C"/>
    <w:rsid w:val="00C746DB"/>
    <w:rsid w:val="00C75812"/>
    <w:rsid w:val="00C7665D"/>
    <w:rsid w:val="00C766A2"/>
    <w:rsid w:val="00C81A7C"/>
    <w:rsid w:val="00C82928"/>
    <w:rsid w:val="00C82C5B"/>
    <w:rsid w:val="00C8584C"/>
    <w:rsid w:val="00C860D6"/>
    <w:rsid w:val="00C864AC"/>
    <w:rsid w:val="00C907A8"/>
    <w:rsid w:val="00C90CD6"/>
    <w:rsid w:val="00C91627"/>
    <w:rsid w:val="00C95840"/>
    <w:rsid w:val="00C95AA2"/>
    <w:rsid w:val="00C95DC6"/>
    <w:rsid w:val="00C95F94"/>
    <w:rsid w:val="00CA273C"/>
    <w:rsid w:val="00CA2876"/>
    <w:rsid w:val="00CA3E6A"/>
    <w:rsid w:val="00CA4D49"/>
    <w:rsid w:val="00CA660E"/>
    <w:rsid w:val="00CA687C"/>
    <w:rsid w:val="00CA745C"/>
    <w:rsid w:val="00CA7EBC"/>
    <w:rsid w:val="00CB01CB"/>
    <w:rsid w:val="00CB43B5"/>
    <w:rsid w:val="00CB49AB"/>
    <w:rsid w:val="00CB5700"/>
    <w:rsid w:val="00CB6654"/>
    <w:rsid w:val="00CC04D1"/>
    <w:rsid w:val="00CC1C93"/>
    <w:rsid w:val="00CC1F67"/>
    <w:rsid w:val="00CC2E58"/>
    <w:rsid w:val="00CC395B"/>
    <w:rsid w:val="00CC399A"/>
    <w:rsid w:val="00CC3E33"/>
    <w:rsid w:val="00CD14EA"/>
    <w:rsid w:val="00CD2733"/>
    <w:rsid w:val="00CD2804"/>
    <w:rsid w:val="00CD2BE9"/>
    <w:rsid w:val="00CD50CC"/>
    <w:rsid w:val="00CD6355"/>
    <w:rsid w:val="00CD6872"/>
    <w:rsid w:val="00CD6B50"/>
    <w:rsid w:val="00CE1113"/>
    <w:rsid w:val="00CE1499"/>
    <w:rsid w:val="00CE1DC5"/>
    <w:rsid w:val="00CE2AFF"/>
    <w:rsid w:val="00CE3E41"/>
    <w:rsid w:val="00CE4380"/>
    <w:rsid w:val="00CE4A2A"/>
    <w:rsid w:val="00CE52ED"/>
    <w:rsid w:val="00CE6288"/>
    <w:rsid w:val="00CE747F"/>
    <w:rsid w:val="00CF0F33"/>
    <w:rsid w:val="00CF1FB9"/>
    <w:rsid w:val="00CF2582"/>
    <w:rsid w:val="00CF2E22"/>
    <w:rsid w:val="00CF3BA4"/>
    <w:rsid w:val="00CF4063"/>
    <w:rsid w:val="00D0111D"/>
    <w:rsid w:val="00D0405A"/>
    <w:rsid w:val="00D04281"/>
    <w:rsid w:val="00D047B3"/>
    <w:rsid w:val="00D074AF"/>
    <w:rsid w:val="00D11BB3"/>
    <w:rsid w:val="00D1352F"/>
    <w:rsid w:val="00D14105"/>
    <w:rsid w:val="00D1560A"/>
    <w:rsid w:val="00D15784"/>
    <w:rsid w:val="00D20517"/>
    <w:rsid w:val="00D24805"/>
    <w:rsid w:val="00D255FA"/>
    <w:rsid w:val="00D258D2"/>
    <w:rsid w:val="00D30EFF"/>
    <w:rsid w:val="00D31E17"/>
    <w:rsid w:val="00D32ACE"/>
    <w:rsid w:val="00D32F08"/>
    <w:rsid w:val="00D330BC"/>
    <w:rsid w:val="00D340DE"/>
    <w:rsid w:val="00D34664"/>
    <w:rsid w:val="00D35E7E"/>
    <w:rsid w:val="00D37268"/>
    <w:rsid w:val="00D37636"/>
    <w:rsid w:val="00D37F41"/>
    <w:rsid w:val="00D413BC"/>
    <w:rsid w:val="00D42735"/>
    <w:rsid w:val="00D438DE"/>
    <w:rsid w:val="00D459CD"/>
    <w:rsid w:val="00D46215"/>
    <w:rsid w:val="00D47457"/>
    <w:rsid w:val="00D513FC"/>
    <w:rsid w:val="00D53B26"/>
    <w:rsid w:val="00D545EA"/>
    <w:rsid w:val="00D550CB"/>
    <w:rsid w:val="00D5537A"/>
    <w:rsid w:val="00D5585F"/>
    <w:rsid w:val="00D558DA"/>
    <w:rsid w:val="00D5627D"/>
    <w:rsid w:val="00D6097D"/>
    <w:rsid w:val="00D61659"/>
    <w:rsid w:val="00D61A30"/>
    <w:rsid w:val="00D631D7"/>
    <w:rsid w:val="00D639BE"/>
    <w:rsid w:val="00D64155"/>
    <w:rsid w:val="00D64218"/>
    <w:rsid w:val="00D66D8E"/>
    <w:rsid w:val="00D70403"/>
    <w:rsid w:val="00D71655"/>
    <w:rsid w:val="00D720B6"/>
    <w:rsid w:val="00D7281E"/>
    <w:rsid w:val="00D75A04"/>
    <w:rsid w:val="00D75CCE"/>
    <w:rsid w:val="00D76259"/>
    <w:rsid w:val="00D7643A"/>
    <w:rsid w:val="00D77E54"/>
    <w:rsid w:val="00D81E89"/>
    <w:rsid w:val="00D82455"/>
    <w:rsid w:val="00D839C6"/>
    <w:rsid w:val="00D84065"/>
    <w:rsid w:val="00D90F77"/>
    <w:rsid w:val="00D912E9"/>
    <w:rsid w:val="00D94033"/>
    <w:rsid w:val="00D96B14"/>
    <w:rsid w:val="00D96D20"/>
    <w:rsid w:val="00DA1FE6"/>
    <w:rsid w:val="00DA2891"/>
    <w:rsid w:val="00DA3DCD"/>
    <w:rsid w:val="00DA60F7"/>
    <w:rsid w:val="00DA79F7"/>
    <w:rsid w:val="00DB197E"/>
    <w:rsid w:val="00DB23C7"/>
    <w:rsid w:val="00DB2D8A"/>
    <w:rsid w:val="00DB2DA9"/>
    <w:rsid w:val="00DB670A"/>
    <w:rsid w:val="00DB7977"/>
    <w:rsid w:val="00DC0585"/>
    <w:rsid w:val="00DC1EB1"/>
    <w:rsid w:val="00DC27BE"/>
    <w:rsid w:val="00DC4C9E"/>
    <w:rsid w:val="00DC7055"/>
    <w:rsid w:val="00DC76EF"/>
    <w:rsid w:val="00DD169C"/>
    <w:rsid w:val="00DD1A51"/>
    <w:rsid w:val="00DD4633"/>
    <w:rsid w:val="00DD467C"/>
    <w:rsid w:val="00DD47AA"/>
    <w:rsid w:val="00DD483A"/>
    <w:rsid w:val="00DD5C76"/>
    <w:rsid w:val="00DD63F2"/>
    <w:rsid w:val="00DD6DCF"/>
    <w:rsid w:val="00DD760C"/>
    <w:rsid w:val="00DE0DFB"/>
    <w:rsid w:val="00DE252B"/>
    <w:rsid w:val="00DE3774"/>
    <w:rsid w:val="00DE3F55"/>
    <w:rsid w:val="00DE4EF4"/>
    <w:rsid w:val="00DE50D7"/>
    <w:rsid w:val="00DE5565"/>
    <w:rsid w:val="00DE6E8B"/>
    <w:rsid w:val="00DE7773"/>
    <w:rsid w:val="00DE7FBD"/>
    <w:rsid w:val="00DF02A2"/>
    <w:rsid w:val="00DF1058"/>
    <w:rsid w:val="00DF1298"/>
    <w:rsid w:val="00DF1CBE"/>
    <w:rsid w:val="00DF2257"/>
    <w:rsid w:val="00DF3DD6"/>
    <w:rsid w:val="00DF48AA"/>
    <w:rsid w:val="00DF7277"/>
    <w:rsid w:val="00E00D5A"/>
    <w:rsid w:val="00E02B08"/>
    <w:rsid w:val="00E02DA0"/>
    <w:rsid w:val="00E03DB4"/>
    <w:rsid w:val="00E04AE6"/>
    <w:rsid w:val="00E06302"/>
    <w:rsid w:val="00E0655E"/>
    <w:rsid w:val="00E07157"/>
    <w:rsid w:val="00E07608"/>
    <w:rsid w:val="00E076BF"/>
    <w:rsid w:val="00E1445B"/>
    <w:rsid w:val="00E17F4F"/>
    <w:rsid w:val="00E208AA"/>
    <w:rsid w:val="00E215B0"/>
    <w:rsid w:val="00E22678"/>
    <w:rsid w:val="00E24CE2"/>
    <w:rsid w:val="00E25681"/>
    <w:rsid w:val="00E261ED"/>
    <w:rsid w:val="00E26C16"/>
    <w:rsid w:val="00E31512"/>
    <w:rsid w:val="00E31DAA"/>
    <w:rsid w:val="00E323B7"/>
    <w:rsid w:val="00E35EE7"/>
    <w:rsid w:val="00E414F2"/>
    <w:rsid w:val="00E431A9"/>
    <w:rsid w:val="00E4437B"/>
    <w:rsid w:val="00E444D1"/>
    <w:rsid w:val="00E458A4"/>
    <w:rsid w:val="00E50388"/>
    <w:rsid w:val="00E50C3E"/>
    <w:rsid w:val="00E531F6"/>
    <w:rsid w:val="00E53FA7"/>
    <w:rsid w:val="00E54E0C"/>
    <w:rsid w:val="00E560DD"/>
    <w:rsid w:val="00E56D33"/>
    <w:rsid w:val="00E57B81"/>
    <w:rsid w:val="00E57EB1"/>
    <w:rsid w:val="00E602FA"/>
    <w:rsid w:val="00E60C74"/>
    <w:rsid w:val="00E63009"/>
    <w:rsid w:val="00E63B41"/>
    <w:rsid w:val="00E64CA6"/>
    <w:rsid w:val="00E6588C"/>
    <w:rsid w:val="00E73024"/>
    <w:rsid w:val="00E739EA"/>
    <w:rsid w:val="00E742BA"/>
    <w:rsid w:val="00E74957"/>
    <w:rsid w:val="00E801E6"/>
    <w:rsid w:val="00E8084D"/>
    <w:rsid w:val="00E810EA"/>
    <w:rsid w:val="00E830D5"/>
    <w:rsid w:val="00E83C04"/>
    <w:rsid w:val="00E853A4"/>
    <w:rsid w:val="00E87055"/>
    <w:rsid w:val="00E87113"/>
    <w:rsid w:val="00E901BB"/>
    <w:rsid w:val="00E90DD2"/>
    <w:rsid w:val="00E9237C"/>
    <w:rsid w:val="00E9288F"/>
    <w:rsid w:val="00E93203"/>
    <w:rsid w:val="00E9416D"/>
    <w:rsid w:val="00EA0804"/>
    <w:rsid w:val="00EA16E9"/>
    <w:rsid w:val="00EA23B0"/>
    <w:rsid w:val="00EA2627"/>
    <w:rsid w:val="00EA4616"/>
    <w:rsid w:val="00EA4626"/>
    <w:rsid w:val="00EA51FD"/>
    <w:rsid w:val="00EA53F8"/>
    <w:rsid w:val="00EB094F"/>
    <w:rsid w:val="00EB1C27"/>
    <w:rsid w:val="00EB1FEE"/>
    <w:rsid w:val="00EB2724"/>
    <w:rsid w:val="00EB4F4F"/>
    <w:rsid w:val="00EB5DD2"/>
    <w:rsid w:val="00EC2DEB"/>
    <w:rsid w:val="00EC32CD"/>
    <w:rsid w:val="00EC4183"/>
    <w:rsid w:val="00EC478A"/>
    <w:rsid w:val="00EC4E75"/>
    <w:rsid w:val="00EC5ED6"/>
    <w:rsid w:val="00EC6C8D"/>
    <w:rsid w:val="00ED030C"/>
    <w:rsid w:val="00ED12CE"/>
    <w:rsid w:val="00ED1313"/>
    <w:rsid w:val="00ED175B"/>
    <w:rsid w:val="00ED1922"/>
    <w:rsid w:val="00ED1E7E"/>
    <w:rsid w:val="00ED3CD1"/>
    <w:rsid w:val="00ED3F61"/>
    <w:rsid w:val="00ED4F79"/>
    <w:rsid w:val="00ED501A"/>
    <w:rsid w:val="00ED70A8"/>
    <w:rsid w:val="00EE0866"/>
    <w:rsid w:val="00EE101A"/>
    <w:rsid w:val="00EE1D1D"/>
    <w:rsid w:val="00EE4835"/>
    <w:rsid w:val="00EE60F0"/>
    <w:rsid w:val="00EE6C3D"/>
    <w:rsid w:val="00EE6F3E"/>
    <w:rsid w:val="00EE6F8F"/>
    <w:rsid w:val="00EE7A1A"/>
    <w:rsid w:val="00EF1869"/>
    <w:rsid w:val="00EF1FFB"/>
    <w:rsid w:val="00EF2A41"/>
    <w:rsid w:val="00EF6145"/>
    <w:rsid w:val="00EF7007"/>
    <w:rsid w:val="00F012AC"/>
    <w:rsid w:val="00F014F0"/>
    <w:rsid w:val="00F05D9E"/>
    <w:rsid w:val="00F10395"/>
    <w:rsid w:val="00F10894"/>
    <w:rsid w:val="00F11D55"/>
    <w:rsid w:val="00F12B04"/>
    <w:rsid w:val="00F132CE"/>
    <w:rsid w:val="00F14EB4"/>
    <w:rsid w:val="00F15C5A"/>
    <w:rsid w:val="00F172D8"/>
    <w:rsid w:val="00F2142F"/>
    <w:rsid w:val="00F21518"/>
    <w:rsid w:val="00F24581"/>
    <w:rsid w:val="00F24870"/>
    <w:rsid w:val="00F24AFC"/>
    <w:rsid w:val="00F250F4"/>
    <w:rsid w:val="00F262BE"/>
    <w:rsid w:val="00F30D07"/>
    <w:rsid w:val="00F3158B"/>
    <w:rsid w:val="00F31AF5"/>
    <w:rsid w:val="00F31B64"/>
    <w:rsid w:val="00F31B7F"/>
    <w:rsid w:val="00F31C63"/>
    <w:rsid w:val="00F34E9F"/>
    <w:rsid w:val="00F362F3"/>
    <w:rsid w:val="00F4059A"/>
    <w:rsid w:val="00F405DA"/>
    <w:rsid w:val="00F40686"/>
    <w:rsid w:val="00F41F9E"/>
    <w:rsid w:val="00F42373"/>
    <w:rsid w:val="00F42B01"/>
    <w:rsid w:val="00F42E86"/>
    <w:rsid w:val="00F444AE"/>
    <w:rsid w:val="00F445F9"/>
    <w:rsid w:val="00F451EA"/>
    <w:rsid w:val="00F455D7"/>
    <w:rsid w:val="00F47287"/>
    <w:rsid w:val="00F510D0"/>
    <w:rsid w:val="00F52A48"/>
    <w:rsid w:val="00F54F74"/>
    <w:rsid w:val="00F56240"/>
    <w:rsid w:val="00F571C9"/>
    <w:rsid w:val="00F616B9"/>
    <w:rsid w:val="00F62975"/>
    <w:rsid w:val="00F642E3"/>
    <w:rsid w:val="00F6493C"/>
    <w:rsid w:val="00F64DDB"/>
    <w:rsid w:val="00F65590"/>
    <w:rsid w:val="00F65E4F"/>
    <w:rsid w:val="00F704DF"/>
    <w:rsid w:val="00F719BE"/>
    <w:rsid w:val="00F71E2A"/>
    <w:rsid w:val="00F73423"/>
    <w:rsid w:val="00F74FC3"/>
    <w:rsid w:val="00F75364"/>
    <w:rsid w:val="00F7679C"/>
    <w:rsid w:val="00F76959"/>
    <w:rsid w:val="00F76A5D"/>
    <w:rsid w:val="00F801DD"/>
    <w:rsid w:val="00F8184E"/>
    <w:rsid w:val="00F81F27"/>
    <w:rsid w:val="00F852D7"/>
    <w:rsid w:val="00F929F8"/>
    <w:rsid w:val="00F9362C"/>
    <w:rsid w:val="00F93F03"/>
    <w:rsid w:val="00F94385"/>
    <w:rsid w:val="00F947CB"/>
    <w:rsid w:val="00F953C8"/>
    <w:rsid w:val="00F954DD"/>
    <w:rsid w:val="00F95605"/>
    <w:rsid w:val="00F95C32"/>
    <w:rsid w:val="00F9700A"/>
    <w:rsid w:val="00F9707D"/>
    <w:rsid w:val="00FA04A7"/>
    <w:rsid w:val="00FA1B85"/>
    <w:rsid w:val="00FA3161"/>
    <w:rsid w:val="00FA3C51"/>
    <w:rsid w:val="00FA658F"/>
    <w:rsid w:val="00FA6846"/>
    <w:rsid w:val="00FA7FE7"/>
    <w:rsid w:val="00FB14BC"/>
    <w:rsid w:val="00FB32AF"/>
    <w:rsid w:val="00FB3BE6"/>
    <w:rsid w:val="00FC06CD"/>
    <w:rsid w:val="00FC3DDD"/>
    <w:rsid w:val="00FC3E6B"/>
    <w:rsid w:val="00FC5829"/>
    <w:rsid w:val="00FD0772"/>
    <w:rsid w:val="00FD1359"/>
    <w:rsid w:val="00FD33ED"/>
    <w:rsid w:val="00FE0AF7"/>
    <w:rsid w:val="00FE0E74"/>
    <w:rsid w:val="00FE1578"/>
    <w:rsid w:val="00FE23EF"/>
    <w:rsid w:val="00FE5BE6"/>
    <w:rsid w:val="00FF03A0"/>
    <w:rsid w:val="00FF0CFC"/>
    <w:rsid w:val="00FF2103"/>
    <w:rsid w:val="00FF2C15"/>
    <w:rsid w:val="00FF2D5F"/>
    <w:rsid w:val="00FF2EFF"/>
    <w:rsid w:val="00FF5A28"/>
    <w:rsid w:val="00FF5DED"/>
    <w:rsid w:val="00FF6839"/>
    <w:rsid w:val="00FF7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619B4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035"/>
    <w:pPr>
      <w:spacing w:before="120"/>
    </w:pPr>
    <w:rPr>
      <w:rFonts w:ascii="Arial" w:eastAsia="Times New Roman" w:hAnsi="Arial" w:cs="Times New Roman"/>
      <w:sz w:val="20"/>
      <w:lang w:val="en-AU"/>
    </w:rPr>
  </w:style>
  <w:style w:type="paragraph" w:styleId="Heading1">
    <w:name w:val="heading 1"/>
    <w:basedOn w:val="Normal"/>
    <w:next w:val="Normal"/>
    <w:link w:val="Heading1Char"/>
    <w:uiPriority w:val="9"/>
    <w:qFormat/>
    <w:rsid w:val="00EE6C3D"/>
    <w:pPr>
      <w:keepNext/>
      <w:numPr>
        <w:numId w:val="5"/>
      </w:numPr>
      <w:spacing w:before="240" w:after="6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Heading1"/>
    <w:next w:val="Normal"/>
    <w:link w:val="Heading2Char"/>
    <w:uiPriority w:val="9"/>
    <w:qFormat/>
    <w:rsid w:val="00EE6C3D"/>
    <w:pPr>
      <w:numPr>
        <w:numId w:val="0"/>
      </w:numPr>
      <w:ind w:left="720" w:hanging="360"/>
      <w:outlineLvl w:val="1"/>
    </w:pPr>
    <w:rPr>
      <w:rFonts w:ascii="Arial" w:eastAsia="Times New Roman" w:hAnsi="Arial" w:cs="Arial"/>
      <w:bCs w:val="0"/>
      <w:iCs/>
      <w:color w:val="auto"/>
      <w:sz w:val="24"/>
      <w:szCs w:val="22"/>
      <w:lang w:eastAsia="en-AU"/>
    </w:rPr>
  </w:style>
  <w:style w:type="paragraph" w:styleId="Heading3">
    <w:name w:val="heading 3"/>
    <w:basedOn w:val="Normal"/>
    <w:next w:val="Normal"/>
    <w:link w:val="Heading3Char"/>
    <w:uiPriority w:val="9"/>
    <w:unhideWhenUsed/>
    <w:qFormat/>
    <w:rsid w:val="00B967E4"/>
    <w:pPr>
      <w:keepNext/>
      <w:keepLines/>
      <w:spacing w:before="200" w:after="120"/>
      <w:outlineLvl w:val="2"/>
    </w:pPr>
    <w:rPr>
      <w:rFonts w:eastAsiaTheme="majorEastAsia" w:cs="Arial"/>
      <w:b/>
      <w:bCs/>
      <w:szCs w:val="20"/>
    </w:rPr>
  </w:style>
  <w:style w:type="paragraph" w:styleId="Heading4">
    <w:name w:val="heading 4"/>
    <w:basedOn w:val="Normal"/>
    <w:next w:val="Normal"/>
    <w:link w:val="Heading4Char"/>
    <w:uiPriority w:val="9"/>
    <w:unhideWhenUsed/>
    <w:qFormat/>
    <w:rsid w:val="004A17C2"/>
    <w:pPr>
      <w:keepNext/>
      <w:keepLines/>
      <w:spacing w:before="200" w:after="120"/>
      <w:outlineLvl w:val="3"/>
    </w:pPr>
    <w:rPr>
      <w:rFonts w:eastAsiaTheme="majorEastAsia" w:cstheme="majorBid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C3D"/>
    <w:rPr>
      <w:rFonts w:asciiTheme="majorHAnsi" w:eastAsiaTheme="majorEastAsia" w:hAnsiTheme="majorHAnsi" w:cstheme="majorBidi"/>
      <w:b/>
      <w:bCs/>
      <w:color w:val="345A8A" w:themeColor="accent1" w:themeShade="B5"/>
      <w:sz w:val="32"/>
      <w:szCs w:val="32"/>
      <w:lang w:val="en-AU"/>
    </w:rPr>
  </w:style>
  <w:style w:type="character" w:customStyle="1" w:styleId="Heading2Char">
    <w:name w:val="Heading 2 Char"/>
    <w:basedOn w:val="DefaultParagraphFont"/>
    <w:link w:val="Heading2"/>
    <w:uiPriority w:val="9"/>
    <w:rsid w:val="00EE6C3D"/>
    <w:rPr>
      <w:rFonts w:ascii="Arial" w:eastAsia="Times New Roman" w:hAnsi="Arial" w:cs="Arial"/>
      <w:b/>
      <w:iCs/>
      <w:szCs w:val="22"/>
      <w:lang w:val="en-AU" w:eastAsia="en-AU"/>
    </w:rPr>
  </w:style>
  <w:style w:type="character" w:customStyle="1" w:styleId="Heading3Char">
    <w:name w:val="Heading 3 Char"/>
    <w:basedOn w:val="DefaultParagraphFont"/>
    <w:link w:val="Heading3"/>
    <w:uiPriority w:val="9"/>
    <w:rsid w:val="00B967E4"/>
    <w:rPr>
      <w:rFonts w:ascii="Arial" w:eastAsiaTheme="majorEastAsia" w:hAnsi="Arial" w:cs="Arial"/>
      <w:b/>
      <w:bCs/>
      <w:sz w:val="20"/>
      <w:szCs w:val="20"/>
      <w:lang w:val="en-AU"/>
    </w:rPr>
  </w:style>
  <w:style w:type="character" w:customStyle="1" w:styleId="Heading4Char">
    <w:name w:val="Heading 4 Char"/>
    <w:basedOn w:val="DefaultParagraphFont"/>
    <w:link w:val="Heading4"/>
    <w:uiPriority w:val="9"/>
    <w:rsid w:val="004A17C2"/>
    <w:rPr>
      <w:rFonts w:ascii="Arial" w:eastAsiaTheme="majorEastAsia" w:hAnsi="Arial" w:cstheme="majorBidi"/>
      <w:bCs/>
      <w:i/>
      <w:iCs/>
      <w:sz w:val="20"/>
      <w:lang w:val="en-AU"/>
    </w:rPr>
  </w:style>
  <w:style w:type="paragraph" w:styleId="FootnoteText">
    <w:name w:val="footnote text"/>
    <w:basedOn w:val="Normal"/>
    <w:link w:val="FootnoteTextChar"/>
    <w:rsid w:val="00FC3DDD"/>
    <w:pPr>
      <w:ind w:left="142" w:hanging="142"/>
    </w:pPr>
    <w:rPr>
      <w:bCs/>
      <w:sz w:val="16"/>
      <w:szCs w:val="16"/>
      <w:lang w:val="en-US"/>
    </w:rPr>
  </w:style>
  <w:style w:type="character" w:customStyle="1" w:styleId="FootnoteTextChar">
    <w:name w:val="Footnote Text Char"/>
    <w:basedOn w:val="DefaultParagraphFont"/>
    <w:link w:val="FootnoteText"/>
    <w:rsid w:val="00FC3DDD"/>
    <w:rPr>
      <w:rFonts w:ascii="Arial" w:eastAsia="Times New Roman" w:hAnsi="Arial" w:cs="Times New Roman"/>
      <w:bCs/>
      <w:sz w:val="16"/>
      <w:szCs w:val="16"/>
    </w:rPr>
  </w:style>
  <w:style w:type="character" w:styleId="FootnoteReference">
    <w:name w:val="footnote reference"/>
    <w:basedOn w:val="DefaultParagraphFont"/>
    <w:rsid w:val="002C2035"/>
    <w:rPr>
      <w:vertAlign w:val="superscript"/>
    </w:rPr>
  </w:style>
  <w:style w:type="paragraph" w:styleId="ListParagraph">
    <w:name w:val="List Paragraph"/>
    <w:basedOn w:val="Normal"/>
    <w:uiPriority w:val="34"/>
    <w:qFormat/>
    <w:rsid w:val="00C32124"/>
    <w:pPr>
      <w:numPr>
        <w:numId w:val="2"/>
      </w:numPr>
      <w:spacing w:before="0" w:after="200" w:line="276" w:lineRule="auto"/>
      <w:ind w:left="426" w:hanging="426"/>
    </w:pPr>
    <w:rPr>
      <w:rFonts w:cs="Arial"/>
      <w:szCs w:val="20"/>
      <w:lang w:eastAsia="en-AU"/>
    </w:rPr>
  </w:style>
  <w:style w:type="character" w:styleId="CommentReference">
    <w:name w:val="annotation reference"/>
    <w:basedOn w:val="DefaultParagraphFont"/>
    <w:uiPriority w:val="99"/>
    <w:semiHidden/>
    <w:unhideWhenUsed/>
    <w:rsid w:val="005D49D5"/>
    <w:rPr>
      <w:sz w:val="18"/>
      <w:szCs w:val="18"/>
    </w:rPr>
  </w:style>
  <w:style w:type="paragraph" w:styleId="CommentText">
    <w:name w:val="annotation text"/>
    <w:basedOn w:val="Normal"/>
    <w:link w:val="CommentTextChar"/>
    <w:uiPriority w:val="99"/>
    <w:semiHidden/>
    <w:unhideWhenUsed/>
    <w:rsid w:val="005D49D5"/>
    <w:rPr>
      <w:sz w:val="24"/>
    </w:rPr>
  </w:style>
  <w:style w:type="character" w:customStyle="1" w:styleId="CommentTextChar">
    <w:name w:val="Comment Text Char"/>
    <w:basedOn w:val="DefaultParagraphFont"/>
    <w:link w:val="CommentText"/>
    <w:uiPriority w:val="99"/>
    <w:semiHidden/>
    <w:rsid w:val="005D49D5"/>
    <w:rPr>
      <w:rFonts w:ascii="Arial" w:eastAsia="Times New Roman" w:hAnsi="Arial" w:cs="Times New Roman"/>
      <w:lang w:val="en-AU"/>
    </w:rPr>
  </w:style>
  <w:style w:type="paragraph" w:styleId="CommentSubject">
    <w:name w:val="annotation subject"/>
    <w:basedOn w:val="CommentText"/>
    <w:next w:val="CommentText"/>
    <w:link w:val="CommentSubjectChar"/>
    <w:uiPriority w:val="99"/>
    <w:semiHidden/>
    <w:unhideWhenUsed/>
    <w:rsid w:val="005D49D5"/>
    <w:rPr>
      <w:b/>
      <w:bCs/>
      <w:sz w:val="20"/>
      <w:szCs w:val="20"/>
    </w:rPr>
  </w:style>
  <w:style w:type="character" w:customStyle="1" w:styleId="CommentSubjectChar">
    <w:name w:val="Comment Subject Char"/>
    <w:basedOn w:val="CommentTextChar"/>
    <w:link w:val="CommentSubject"/>
    <w:uiPriority w:val="99"/>
    <w:semiHidden/>
    <w:rsid w:val="005D49D5"/>
    <w:rPr>
      <w:rFonts w:ascii="Arial" w:eastAsia="Times New Roman" w:hAnsi="Arial" w:cs="Times New Roman"/>
      <w:b/>
      <w:bCs/>
      <w:sz w:val="20"/>
      <w:szCs w:val="20"/>
      <w:lang w:val="en-AU"/>
    </w:rPr>
  </w:style>
  <w:style w:type="paragraph" w:styleId="Revision">
    <w:name w:val="Revision"/>
    <w:hidden/>
    <w:uiPriority w:val="99"/>
    <w:semiHidden/>
    <w:rsid w:val="005D49D5"/>
    <w:rPr>
      <w:rFonts w:ascii="Arial" w:eastAsia="Times New Roman" w:hAnsi="Arial" w:cs="Times New Roman"/>
      <w:sz w:val="20"/>
      <w:lang w:val="en-AU"/>
    </w:rPr>
  </w:style>
  <w:style w:type="paragraph" w:styleId="BalloonText">
    <w:name w:val="Balloon Text"/>
    <w:basedOn w:val="Normal"/>
    <w:link w:val="BalloonTextChar"/>
    <w:uiPriority w:val="99"/>
    <w:semiHidden/>
    <w:unhideWhenUsed/>
    <w:rsid w:val="005D49D5"/>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49D5"/>
    <w:rPr>
      <w:rFonts w:ascii="Lucida Grande" w:eastAsia="Times New Roman" w:hAnsi="Lucida Grande" w:cs="Lucida Grande"/>
      <w:sz w:val="18"/>
      <w:szCs w:val="18"/>
      <w:lang w:val="en-AU"/>
    </w:rPr>
  </w:style>
  <w:style w:type="character" w:customStyle="1" w:styleId="st">
    <w:name w:val="st"/>
    <w:basedOn w:val="DefaultParagraphFont"/>
    <w:rsid w:val="00CA4D49"/>
  </w:style>
  <w:style w:type="character" w:customStyle="1" w:styleId="hps">
    <w:name w:val="hps"/>
    <w:rsid w:val="00C15FE1"/>
    <w:rPr>
      <w:rFonts w:cs="Times New Roman"/>
    </w:rPr>
  </w:style>
  <w:style w:type="paragraph" w:styleId="Header">
    <w:name w:val="header"/>
    <w:basedOn w:val="Normal"/>
    <w:link w:val="HeaderChar"/>
    <w:uiPriority w:val="99"/>
    <w:unhideWhenUsed/>
    <w:rsid w:val="00AE1FD7"/>
    <w:pPr>
      <w:tabs>
        <w:tab w:val="center" w:pos="4513"/>
        <w:tab w:val="right" w:pos="9026"/>
      </w:tabs>
      <w:spacing w:before="0"/>
    </w:pPr>
  </w:style>
  <w:style w:type="character" w:customStyle="1" w:styleId="HeaderChar">
    <w:name w:val="Header Char"/>
    <w:basedOn w:val="DefaultParagraphFont"/>
    <w:link w:val="Header"/>
    <w:uiPriority w:val="99"/>
    <w:rsid w:val="00AE1FD7"/>
    <w:rPr>
      <w:rFonts w:ascii="Arial" w:eastAsia="Times New Roman" w:hAnsi="Arial" w:cs="Times New Roman"/>
      <w:sz w:val="20"/>
      <w:lang w:val="en-AU"/>
    </w:rPr>
  </w:style>
  <w:style w:type="paragraph" w:styleId="Footer">
    <w:name w:val="footer"/>
    <w:basedOn w:val="Normal"/>
    <w:link w:val="FooterChar"/>
    <w:uiPriority w:val="99"/>
    <w:unhideWhenUsed/>
    <w:rsid w:val="00AE1FD7"/>
    <w:pPr>
      <w:tabs>
        <w:tab w:val="center" w:pos="4513"/>
        <w:tab w:val="right" w:pos="9026"/>
      </w:tabs>
      <w:spacing w:before="0"/>
    </w:pPr>
  </w:style>
  <w:style w:type="character" w:customStyle="1" w:styleId="FooterChar">
    <w:name w:val="Footer Char"/>
    <w:basedOn w:val="DefaultParagraphFont"/>
    <w:link w:val="Footer"/>
    <w:uiPriority w:val="99"/>
    <w:rsid w:val="00AE1FD7"/>
    <w:rPr>
      <w:rFonts w:ascii="Arial" w:eastAsia="Times New Roman" w:hAnsi="Arial" w:cs="Times New Roman"/>
      <w:sz w:val="20"/>
      <w:lang w:val="en-AU"/>
    </w:rPr>
  </w:style>
  <w:style w:type="paragraph" w:customStyle="1" w:styleId="DocName">
    <w:name w:val="DocName"/>
    <w:basedOn w:val="Normal"/>
    <w:link w:val="DocNameChar"/>
    <w:rsid w:val="00933704"/>
    <w:pPr>
      <w:spacing w:before="0"/>
      <w:jc w:val="center"/>
    </w:pPr>
    <w:rPr>
      <w:b/>
      <w:bCs/>
      <w:sz w:val="28"/>
    </w:rPr>
  </w:style>
  <w:style w:type="character" w:customStyle="1" w:styleId="DocNameChar">
    <w:name w:val="DocName Char"/>
    <w:link w:val="DocName"/>
    <w:rsid w:val="00933704"/>
    <w:rPr>
      <w:rFonts w:ascii="Arial" w:eastAsia="Times New Roman" w:hAnsi="Arial" w:cs="Times New Roman"/>
      <w:b/>
      <w:bCs/>
      <w:sz w:val="28"/>
      <w:lang w:val="en-AU"/>
    </w:rPr>
  </w:style>
  <w:style w:type="paragraph" w:customStyle="1" w:styleId="List-number-2">
    <w:name w:val="List-number-2"/>
    <w:basedOn w:val="Normal"/>
    <w:rsid w:val="00933704"/>
    <w:pPr>
      <w:numPr>
        <w:ilvl w:val="1"/>
        <w:numId w:val="3"/>
      </w:numPr>
    </w:pPr>
  </w:style>
  <w:style w:type="character" w:styleId="PageNumber">
    <w:name w:val="page number"/>
    <w:rsid w:val="00933704"/>
    <w:rPr>
      <w:rFonts w:ascii="Arial" w:hAnsi="Arial"/>
      <w:sz w:val="16"/>
    </w:rPr>
  </w:style>
  <w:style w:type="paragraph" w:customStyle="1" w:styleId="List-number-1">
    <w:name w:val="List-number-1"/>
    <w:basedOn w:val="Normal"/>
    <w:link w:val="List-number-1Char"/>
    <w:rsid w:val="00933704"/>
    <w:pPr>
      <w:numPr>
        <w:numId w:val="3"/>
      </w:numPr>
    </w:pPr>
  </w:style>
  <w:style w:type="character" w:customStyle="1" w:styleId="List-number-1Char">
    <w:name w:val="List-number-1 Char"/>
    <w:link w:val="List-number-1"/>
    <w:rsid w:val="00933704"/>
    <w:rPr>
      <w:rFonts w:ascii="Arial" w:eastAsia="Times New Roman" w:hAnsi="Arial" w:cs="Times New Roman"/>
      <w:sz w:val="20"/>
      <w:lang w:val="en-AU"/>
    </w:rPr>
  </w:style>
  <w:style w:type="paragraph" w:styleId="TOC1">
    <w:name w:val="toc 1"/>
    <w:basedOn w:val="Normal"/>
    <w:next w:val="Normal"/>
    <w:autoRedefine/>
    <w:uiPriority w:val="39"/>
    <w:rsid w:val="00BF4E40"/>
    <w:pPr>
      <w:tabs>
        <w:tab w:val="left" w:pos="440"/>
        <w:tab w:val="right" w:leader="dot" w:pos="9622"/>
      </w:tabs>
    </w:pPr>
    <w:rPr>
      <w:rFonts w:cs="Arial"/>
      <w:b/>
      <w:noProof/>
      <w:sz w:val="24"/>
    </w:rPr>
  </w:style>
  <w:style w:type="paragraph" w:styleId="BodyText">
    <w:name w:val="Body Text"/>
    <w:basedOn w:val="Normal"/>
    <w:link w:val="BodyTextChar"/>
    <w:uiPriority w:val="99"/>
    <w:rsid w:val="00933704"/>
    <w:pPr>
      <w:spacing w:after="120"/>
    </w:pPr>
  </w:style>
  <w:style w:type="character" w:customStyle="1" w:styleId="BodyTextChar">
    <w:name w:val="Body Text Char"/>
    <w:basedOn w:val="DefaultParagraphFont"/>
    <w:link w:val="BodyText"/>
    <w:uiPriority w:val="99"/>
    <w:rsid w:val="00933704"/>
    <w:rPr>
      <w:rFonts w:ascii="Arial" w:eastAsia="Times New Roman" w:hAnsi="Arial" w:cs="Times New Roman"/>
      <w:sz w:val="20"/>
      <w:lang w:val="en-AU"/>
    </w:rPr>
  </w:style>
  <w:style w:type="paragraph" w:customStyle="1" w:styleId="List-bullet-2">
    <w:name w:val="List-bullet-2"/>
    <w:basedOn w:val="Normal"/>
    <w:link w:val="List-bullet-2Char"/>
    <w:rsid w:val="00933704"/>
    <w:pPr>
      <w:numPr>
        <w:numId w:val="4"/>
      </w:numPr>
      <w:spacing w:before="80"/>
    </w:pPr>
    <w:rPr>
      <w:rFonts w:cs="Arial"/>
      <w:szCs w:val="22"/>
      <w:lang w:val="en-US"/>
    </w:rPr>
  </w:style>
  <w:style w:type="character" w:customStyle="1" w:styleId="List-bullet-2Char">
    <w:name w:val="List-bullet-2 Char"/>
    <w:link w:val="List-bullet-2"/>
    <w:rsid w:val="00933704"/>
    <w:rPr>
      <w:rFonts w:ascii="Arial" w:eastAsia="Times New Roman" w:hAnsi="Arial" w:cs="Arial"/>
      <w:sz w:val="20"/>
      <w:szCs w:val="22"/>
    </w:rPr>
  </w:style>
  <w:style w:type="paragraph" w:customStyle="1" w:styleId="Table-normal-text">
    <w:name w:val="Table-normal-text"/>
    <w:basedOn w:val="Normal"/>
    <w:rsid w:val="00933704"/>
    <w:pPr>
      <w:spacing w:before="60"/>
    </w:pPr>
  </w:style>
  <w:style w:type="character" w:styleId="Hyperlink">
    <w:name w:val="Hyperlink"/>
    <w:uiPriority w:val="99"/>
    <w:rsid w:val="00933704"/>
    <w:rPr>
      <w:rFonts w:ascii="Arial" w:hAnsi="Arial"/>
      <w:color w:val="0000FF"/>
      <w:u w:val="single"/>
    </w:rPr>
  </w:style>
  <w:style w:type="paragraph" w:styleId="TOC2">
    <w:name w:val="toc 2"/>
    <w:basedOn w:val="Normal"/>
    <w:next w:val="Normal"/>
    <w:autoRedefine/>
    <w:uiPriority w:val="39"/>
    <w:unhideWhenUsed/>
    <w:rsid w:val="00EA16E9"/>
    <w:pPr>
      <w:spacing w:after="100"/>
      <w:ind w:left="200"/>
    </w:pPr>
  </w:style>
  <w:style w:type="paragraph" w:customStyle="1" w:styleId="GuidanceText">
    <w:name w:val="Guidance Text"/>
    <w:basedOn w:val="BodyText"/>
    <w:semiHidden/>
    <w:rsid w:val="005C4F2C"/>
    <w:pPr>
      <w:numPr>
        <w:numId w:val="6"/>
      </w:numPr>
      <w:spacing w:before="60" w:after="60" w:line="240" w:lineRule="atLeast"/>
      <w:ind w:left="0" w:firstLine="0"/>
    </w:pPr>
    <w:rPr>
      <w:rFonts w:ascii="Calibri" w:hAnsi="Calibri"/>
      <w:color w:val="0000FF"/>
      <w:szCs w:val="20"/>
      <w:lang w:eastAsia="en-AU" w:bidi="en-US"/>
    </w:rPr>
  </w:style>
  <w:style w:type="paragraph" w:customStyle="1" w:styleId="bullet">
    <w:name w:val="bullet"/>
    <w:basedOn w:val="BodyText"/>
    <w:rsid w:val="00D71655"/>
    <w:pPr>
      <w:numPr>
        <w:numId w:val="1"/>
      </w:numPr>
      <w:spacing w:line="280" w:lineRule="atLeast"/>
      <w:ind w:left="709" w:hanging="283"/>
    </w:pPr>
    <w:rPr>
      <w:rFonts w:cs="Arial"/>
      <w:szCs w:val="20"/>
      <w:lang w:eastAsia="en-AU" w:bidi="en-US"/>
    </w:rPr>
  </w:style>
  <w:style w:type="paragraph" w:styleId="TOC3">
    <w:name w:val="toc 3"/>
    <w:basedOn w:val="Normal"/>
    <w:next w:val="Normal"/>
    <w:autoRedefine/>
    <w:uiPriority w:val="39"/>
    <w:unhideWhenUsed/>
    <w:rsid w:val="003A29C5"/>
    <w:pPr>
      <w:spacing w:after="100"/>
      <w:ind w:left="400"/>
    </w:pPr>
  </w:style>
  <w:style w:type="character" w:styleId="FollowedHyperlink">
    <w:name w:val="FollowedHyperlink"/>
    <w:basedOn w:val="DefaultParagraphFont"/>
    <w:uiPriority w:val="99"/>
    <w:semiHidden/>
    <w:unhideWhenUsed/>
    <w:rsid w:val="00E06302"/>
    <w:rPr>
      <w:color w:val="800080" w:themeColor="followedHyperlink"/>
      <w:u w:val="single"/>
    </w:rPr>
  </w:style>
  <w:style w:type="table" w:styleId="TableGrid">
    <w:name w:val="Table Grid"/>
    <w:basedOn w:val="TableNormal"/>
    <w:uiPriority w:val="59"/>
    <w:rsid w:val="00362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Level1">
    <w:name w:val=".CON  Level   1."/>
    <w:basedOn w:val="Normal"/>
    <w:next w:val="Normal"/>
    <w:rsid w:val="00971CFB"/>
    <w:pPr>
      <w:keepNext/>
      <w:numPr>
        <w:numId w:val="14"/>
      </w:numPr>
      <w:spacing w:before="240"/>
      <w:outlineLvl w:val="1"/>
    </w:pPr>
    <w:rPr>
      <w:rFonts w:ascii="Times New Roman" w:hAnsi="Times New Roman"/>
      <w:b/>
      <w:sz w:val="24"/>
      <w:szCs w:val="22"/>
    </w:rPr>
  </w:style>
  <w:style w:type="paragraph" w:customStyle="1" w:styleId="CONLevel11">
    <w:name w:val=".CON  Level   1.1"/>
    <w:basedOn w:val="Normal"/>
    <w:next w:val="Normal"/>
    <w:link w:val="CONLevel11Char"/>
    <w:rsid w:val="00971CFB"/>
    <w:pPr>
      <w:numPr>
        <w:ilvl w:val="1"/>
        <w:numId w:val="14"/>
      </w:numPr>
      <w:spacing w:before="240"/>
      <w:outlineLvl w:val="2"/>
    </w:pPr>
    <w:rPr>
      <w:rFonts w:ascii="Times New Roman" w:hAnsi="Times New Roman"/>
      <w:sz w:val="24"/>
      <w:szCs w:val="22"/>
    </w:rPr>
  </w:style>
  <w:style w:type="character" w:customStyle="1" w:styleId="CONLevel11Char">
    <w:name w:val=".CON  Level   1.1 Char"/>
    <w:link w:val="CONLevel11"/>
    <w:rsid w:val="002B560F"/>
    <w:rPr>
      <w:rFonts w:ascii="Times New Roman" w:eastAsia="Times New Roman" w:hAnsi="Times New Roman" w:cs="Times New Roman"/>
      <w:szCs w:val="22"/>
      <w:lang w:val="en-AU"/>
    </w:rPr>
  </w:style>
  <w:style w:type="paragraph" w:customStyle="1" w:styleId="CONLevela">
    <w:name w:val=".CON  Level  (a)"/>
    <w:basedOn w:val="Normal"/>
    <w:next w:val="Normal"/>
    <w:rsid w:val="00971CFB"/>
    <w:pPr>
      <w:numPr>
        <w:ilvl w:val="2"/>
        <w:numId w:val="14"/>
      </w:numPr>
      <w:spacing w:before="240"/>
      <w:outlineLvl w:val="3"/>
    </w:pPr>
    <w:rPr>
      <w:rFonts w:ascii="Times New Roman" w:hAnsi="Times New Roman"/>
      <w:sz w:val="24"/>
      <w:szCs w:val="22"/>
    </w:rPr>
  </w:style>
  <w:style w:type="paragraph" w:customStyle="1" w:styleId="CONLeveli">
    <w:name w:val=".CON  Level  (i)"/>
    <w:basedOn w:val="Normal"/>
    <w:next w:val="Normal"/>
    <w:rsid w:val="00971CFB"/>
    <w:pPr>
      <w:tabs>
        <w:tab w:val="num" w:pos="2160"/>
      </w:tabs>
      <w:spacing w:before="240"/>
      <w:ind w:left="2160" w:hanging="720"/>
      <w:outlineLvl w:val="4"/>
    </w:pPr>
    <w:rPr>
      <w:rFonts w:ascii="Times New Roman" w:hAnsi="Times New Roman"/>
      <w:sz w:val="24"/>
      <w:szCs w:val="22"/>
    </w:rPr>
  </w:style>
  <w:style w:type="paragraph" w:customStyle="1" w:styleId="CONLevelA0">
    <w:name w:val=".CON  Level (A)"/>
    <w:basedOn w:val="Normal"/>
    <w:next w:val="Normal"/>
    <w:rsid w:val="00971CFB"/>
    <w:pPr>
      <w:tabs>
        <w:tab w:val="num" w:pos="2880"/>
      </w:tabs>
      <w:spacing w:before="240"/>
      <w:ind w:left="2880" w:hanging="720"/>
      <w:outlineLvl w:val="5"/>
    </w:pPr>
    <w:rPr>
      <w:rFonts w:ascii="Times New Roman" w:hAnsi="Times New Roman"/>
      <w:sz w:val="24"/>
      <w:szCs w:val="22"/>
    </w:rPr>
  </w:style>
  <w:style w:type="paragraph" w:customStyle="1" w:styleId="CONLevelI0">
    <w:name w:val=".CON  Level (I)"/>
    <w:basedOn w:val="Normal"/>
    <w:next w:val="Normal"/>
    <w:rsid w:val="00971CFB"/>
    <w:pPr>
      <w:tabs>
        <w:tab w:val="num" w:pos="3600"/>
      </w:tabs>
      <w:spacing w:before="240"/>
      <w:ind w:left="3600" w:hanging="720"/>
      <w:outlineLvl w:val="6"/>
    </w:pPr>
    <w:rPr>
      <w:rFonts w:ascii="Times New Roman" w:hAnsi="Times New Roman"/>
      <w:sz w:val="24"/>
      <w:szCs w:val="22"/>
    </w:rPr>
  </w:style>
  <w:style w:type="paragraph" w:styleId="NormalWeb">
    <w:name w:val="Normal (Web)"/>
    <w:basedOn w:val="Normal"/>
    <w:uiPriority w:val="99"/>
    <w:semiHidden/>
    <w:unhideWhenUsed/>
    <w:rsid w:val="00321C44"/>
    <w:pPr>
      <w:spacing w:before="0" w:after="200" w:line="276" w:lineRule="auto"/>
    </w:pPr>
    <w:rPr>
      <w:rFonts w:ascii="Times New Roman" w:eastAsiaTheme="minorHAnsi" w:hAnsi="Times New Roman"/>
      <w:sz w:val="24"/>
    </w:rPr>
  </w:style>
  <w:style w:type="paragraph" w:customStyle="1" w:styleId="bullet1">
    <w:name w:val="bullet1"/>
    <w:basedOn w:val="bullet"/>
    <w:rsid w:val="00D71655"/>
    <w:pPr>
      <w:numPr>
        <w:ilvl w:val="1"/>
      </w:numPr>
      <w:ind w:left="993" w:hanging="284"/>
    </w:pPr>
  </w:style>
  <w:style w:type="paragraph" w:styleId="BodyTextIndent">
    <w:name w:val="Body Text Indent"/>
    <w:basedOn w:val="Normal"/>
    <w:link w:val="BodyTextIndentChar"/>
    <w:uiPriority w:val="99"/>
    <w:unhideWhenUsed/>
    <w:rsid w:val="00172589"/>
    <w:pPr>
      <w:spacing w:after="120"/>
      <w:ind w:left="283"/>
    </w:pPr>
  </w:style>
  <w:style w:type="character" w:customStyle="1" w:styleId="BodyTextIndentChar">
    <w:name w:val="Body Text Indent Char"/>
    <w:basedOn w:val="DefaultParagraphFont"/>
    <w:link w:val="BodyTextIndent"/>
    <w:uiPriority w:val="99"/>
    <w:rsid w:val="00172589"/>
    <w:rPr>
      <w:rFonts w:ascii="Arial" w:eastAsia="Times New Roman" w:hAnsi="Arial" w:cs="Times New Roman"/>
      <w:sz w:val="20"/>
      <w:lang w:val="en-AU"/>
    </w:rPr>
  </w:style>
  <w:style w:type="paragraph" w:customStyle="1" w:styleId="ListParagraphindent">
    <w:name w:val="List Paragraph indent"/>
    <w:basedOn w:val="ListParagraph"/>
    <w:rsid w:val="007D6243"/>
    <w:pPr>
      <w:numPr>
        <w:ilvl w:val="2"/>
      </w:numPr>
    </w:pPr>
  </w:style>
  <w:style w:type="paragraph" w:customStyle="1" w:styleId="ListParagraphindent2">
    <w:name w:val="List Paragraph indent 2"/>
    <w:basedOn w:val="ListParagraphindent"/>
    <w:rsid w:val="007D6243"/>
    <w:pPr>
      <w:numPr>
        <w:ilvl w:val="3"/>
      </w:numPr>
    </w:pPr>
  </w:style>
  <w:style w:type="paragraph" w:customStyle="1" w:styleId="ListParagraphindent3">
    <w:name w:val="List Paragraph indent 3"/>
    <w:basedOn w:val="ListParagraphindent2"/>
    <w:rsid w:val="00753041"/>
    <w:pPr>
      <w:numPr>
        <w:ilvl w:val="4"/>
        <w:numId w:val="20"/>
      </w:numPr>
    </w:pPr>
    <w:rPr>
      <w:color w:val="000000"/>
    </w:rPr>
  </w:style>
  <w:style w:type="character" w:customStyle="1" w:styleId="List-number-1CharChar">
    <w:name w:val="List-number-1 Char Char"/>
    <w:rsid w:val="002E4746"/>
    <w:rPr>
      <w:rFonts w:ascii="Arial" w:hAnsi="Arial"/>
      <w:sz w:val="1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035"/>
    <w:pPr>
      <w:spacing w:before="120"/>
    </w:pPr>
    <w:rPr>
      <w:rFonts w:ascii="Arial" w:eastAsia="Times New Roman" w:hAnsi="Arial" w:cs="Times New Roman"/>
      <w:sz w:val="20"/>
      <w:lang w:val="en-AU"/>
    </w:rPr>
  </w:style>
  <w:style w:type="paragraph" w:styleId="Heading1">
    <w:name w:val="heading 1"/>
    <w:basedOn w:val="Normal"/>
    <w:next w:val="Normal"/>
    <w:link w:val="Heading1Char"/>
    <w:uiPriority w:val="9"/>
    <w:qFormat/>
    <w:rsid w:val="00EE6C3D"/>
    <w:pPr>
      <w:keepNext/>
      <w:numPr>
        <w:numId w:val="5"/>
      </w:numPr>
      <w:spacing w:before="240" w:after="6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Heading1"/>
    <w:next w:val="Normal"/>
    <w:link w:val="Heading2Char"/>
    <w:uiPriority w:val="9"/>
    <w:qFormat/>
    <w:rsid w:val="00EE6C3D"/>
    <w:pPr>
      <w:numPr>
        <w:numId w:val="0"/>
      </w:numPr>
      <w:ind w:left="720" w:hanging="360"/>
      <w:outlineLvl w:val="1"/>
    </w:pPr>
    <w:rPr>
      <w:rFonts w:ascii="Arial" w:eastAsia="Times New Roman" w:hAnsi="Arial" w:cs="Arial"/>
      <w:bCs w:val="0"/>
      <w:iCs/>
      <w:color w:val="auto"/>
      <w:sz w:val="24"/>
      <w:szCs w:val="22"/>
      <w:lang w:eastAsia="en-AU"/>
    </w:rPr>
  </w:style>
  <w:style w:type="paragraph" w:styleId="Heading3">
    <w:name w:val="heading 3"/>
    <w:basedOn w:val="Normal"/>
    <w:next w:val="Normal"/>
    <w:link w:val="Heading3Char"/>
    <w:uiPriority w:val="9"/>
    <w:unhideWhenUsed/>
    <w:qFormat/>
    <w:rsid w:val="00B967E4"/>
    <w:pPr>
      <w:keepNext/>
      <w:keepLines/>
      <w:spacing w:before="200" w:after="120"/>
      <w:outlineLvl w:val="2"/>
    </w:pPr>
    <w:rPr>
      <w:rFonts w:eastAsiaTheme="majorEastAsia" w:cs="Arial"/>
      <w:b/>
      <w:bCs/>
      <w:szCs w:val="20"/>
    </w:rPr>
  </w:style>
  <w:style w:type="paragraph" w:styleId="Heading4">
    <w:name w:val="heading 4"/>
    <w:basedOn w:val="Normal"/>
    <w:next w:val="Normal"/>
    <w:link w:val="Heading4Char"/>
    <w:uiPriority w:val="9"/>
    <w:unhideWhenUsed/>
    <w:qFormat/>
    <w:rsid w:val="004A17C2"/>
    <w:pPr>
      <w:keepNext/>
      <w:keepLines/>
      <w:spacing w:before="200" w:after="120"/>
      <w:outlineLvl w:val="3"/>
    </w:pPr>
    <w:rPr>
      <w:rFonts w:eastAsiaTheme="majorEastAsia" w:cstheme="majorBid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C3D"/>
    <w:rPr>
      <w:rFonts w:asciiTheme="majorHAnsi" w:eastAsiaTheme="majorEastAsia" w:hAnsiTheme="majorHAnsi" w:cstheme="majorBidi"/>
      <w:b/>
      <w:bCs/>
      <w:color w:val="345A8A" w:themeColor="accent1" w:themeShade="B5"/>
      <w:sz w:val="32"/>
      <w:szCs w:val="32"/>
      <w:lang w:val="en-AU"/>
    </w:rPr>
  </w:style>
  <w:style w:type="character" w:customStyle="1" w:styleId="Heading2Char">
    <w:name w:val="Heading 2 Char"/>
    <w:basedOn w:val="DefaultParagraphFont"/>
    <w:link w:val="Heading2"/>
    <w:uiPriority w:val="9"/>
    <w:rsid w:val="00EE6C3D"/>
    <w:rPr>
      <w:rFonts w:ascii="Arial" w:eastAsia="Times New Roman" w:hAnsi="Arial" w:cs="Arial"/>
      <w:b/>
      <w:iCs/>
      <w:szCs w:val="22"/>
      <w:lang w:val="en-AU" w:eastAsia="en-AU"/>
    </w:rPr>
  </w:style>
  <w:style w:type="character" w:customStyle="1" w:styleId="Heading3Char">
    <w:name w:val="Heading 3 Char"/>
    <w:basedOn w:val="DefaultParagraphFont"/>
    <w:link w:val="Heading3"/>
    <w:uiPriority w:val="9"/>
    <w:rsid w:val="00B967E4"/>
    <w:rPr>
      <w:rFonts w:ascii="Arial" w:eastAsiaTheme="majorEastAsia" w:hAnsi="Arial" w:cs="Arial"/>
      <w:b/>
      <w:bCs/>
      <w:sz w:val="20"/>
      <w:szCs w:val="20"/>
      <w:lang w:val="en-AU"/>
    </w:rPr>
  </w:style>
  <w:style w:type="character" w:customStyle="1" w:styleId="Heading4Char">
    <w:name w:val="Heading 4 Char"/>
    <w:basedOn w:val="DefaultParagraphFont"/>
    <w:link w:val="Heading4"/>
    <w:uiPriority w:val="9"/>
    <w:rsid w:val="004A17C2"/>
    <w:rPr>
      <w:rFonts w:ascii="Arial" w:eastAsiaTheme="majorEastAsia" w:hAnsi="Arial" w:cstheme="majorBidi"/>
      <w:bCs/>
      <w:i/>
      <w:iCs/>
      <w:sz w:val="20"/>
      <w:lang w:val="en-AU"/>
    </w:rPr>
  </w:style>
  <w:style w:type="paragraph" w:styleId="FootnoteText">
    <w:name w:val="footnote text"/>
    <w:basedOn w:val="Normal"/>
    <w:link w:val="FootnoteTextChar"/>
    <w:rsid w:val="00FC3DDD"/>
    <w:pPr>
      <w:ind w:left="142" w:hanging="142"/>
    </w:pPr>
    <w:rPr>
      <w:bCs/>
      <w:sz w:val="16"/>
      <w:szCs w:val="16"/>
      <w:lang w:val="en-US"/>
    </w:rPr>
  </w:style>
  <w:style w:type="character" w:customStyle="1" w:styleId="FootnoteTextChar">
    <w:name w:val="Footnote Text Char"/>
    <w:basedOn w:val="DefaultParagraphFont"/>
    <w:link w:val="FootnoteText"/>
    <w:rsid w:val="00FC3DDD"/>
    <w:rPr>
      <w:rFonts w:ascii="Arial" w:eastAsia="Times New Roman" w:hAnsi="Arial" w:cs="Times New Roman"/>
      <w:bCs/>
      <w:sz w:val="16"/>
      <w:szCs w:val="16"/>
    </w:rPr>
  </w:style>
  <w:style w:type="character" w:styleId="FootnoteReference">
    <w:name w:val="footnote reference"/>
    <w:basedOn w:val="DefaultParagraphFont"/>
    <w:rsid w:val="002C2035"/>
    <w:rPr>
      <w:vertAlign w:val="superscript"/>
    </w:rPr>
  </w:style>
  <w:style w:type="paragraph" w:styleId="ListParagraph">
    <w:name w:val="List Paragraph"/>
    <w:basedOn w:val="Normal"/>
    <w:uiPriority w:val="34"/>
    <w:qFormat/>
    <w:rsid w:val="00C32124"/>
    <w:pPr>
      <w:numPr>
        <w:numId w:val="2"/>
      </w:numPr>
      <w:spacing w:before="0" w:after="200" w:line="276" w:lineRule="auto"/>
      <w:ind w:left="426" w:hanging="426"/>
    </w:pPr>
    <w:rPr>
      <w:rFonts w:cs="Arial"/>
      <w:szCs w:val="20"/>
      <w:lang w:eastAsia="en-AU"/>
    </w:rPr>
  </w:style>
  <w:style w:type="character" w:styleId="CommentReference">
    <w:name w:val="annotation reference"/>
    <w:basedOn w:val="DefaultParagraphFont"/>
    <w:uiPriority w:val="99"/>
    <w:semiHidden/>
    <w:unhideWhenUsed/>
    <w:rsid w:val="005D49D5"/>
    <w:rPr>
      <w:sz w:val="18"/>
      <w:szCs w:val="18"/>
    </w:rPr>
  </w:style>
  <w:style w:type="paragraph" w:styleId="CommentText">
    <w:name w:val="annotation text"/>
    <w:basedOn w:val="Normal"/>
    <w:link w:val="CommentTextChar"/>
    <w:uiPriority w:val="99"/>
    <w:semiHidden/>
    <w:unhideWhenUsed/>
    <w:rsid w:val="005D49D5"/>
    <w:rPr>
      <w:sz w:val="24"/>
    </w:rPr>
  </w:style>
  <w:style w:type="character" w:customStyle="1" w:styleId="CommentTextChar">
    <w:name w:val="Comment Text Char"/>
    <w:basedOn w:val="DefaultParagraphFont"/>
    <w:link w:val="CommentText"/>
    <w:uiPriority w:val="99"/>
    <w:semiHidden/>
    <w:rsid w:val="005D49D5"/>
    <w:rPr>
      <w:rFonts w:ascii="Arial" w:eastAsia="Times New Roman" w:hAnsi="Arial" w:cs="Times New Roman"/>
      <w:lang w:val="en-AU"/>
    </w:rPr>
  </w:style>
  <w:style w:type="paragraph" w:styleId="CommentSubject">
    <w:name w:val="annotation subject"/>
    <w:basedOn w:val="CommentText"/>
    <w:next w:val="CommentText"/>
    <w:link w:val="CommentSubjectChar"/>
    <w:uiPriority w:val="99"/>
    <w:semiHidden/>
    <w:unhideWhenUsed/>
    <w:rsid w:val="005D49D5"/>
    <w:rPr>
      <w:b/>
      <w:bCs/>
      <w:sz w:val="20"/>
      <w:szCs w:val="20"/>
    </w:rPr>
  </w:style>
  <w:style w:type="character" w:customStyle="1" w:styleId="CommentSubjectChar">
    <w:name w:val="Comment Subject Char"/>
    <w:basedOn w:val="CommentTextChar"/>
    <w:link w:val="CommentSubject"/>
    <w:uiPriority w:val="99"/>
    <w:semiHidden/>
    <w:rsid w:val="005D49D5"/>
    <w:rPr>
      <w:rFonts w:ascii="Arial" w:eastAsia="Times New Roman" w:hAnsi="Arial" w:cs="Times New Roman"/>
      <w:b/>
      <w:bCs/>
      <w:sz w:val="20"/>
      <w:szCs w:val="20"/>
      <w:lang w:val="en-AU"/>
    </w:rPr>
  </w:style>
  <w:style w:type="paragraph" w:styleId="Revision">
    <w:name w:val="Revision"/>
    <w:hidden/>
    <w:uiPriority w:val="99"/>
    <w:semiHidden/>
    <w:rsid w:val="005D49D5"/>
    <w:rPr>
      <w:rFonts w:ascii="Arial" w:eastAsia="Times New Roman" w:hAnsi="Arial" w:cs="Times New Roman"/>
      <w:sz w:val="20"/>
      <w:lang w:val="en-AU"/>
    </w:rPr>
  </w:style>
  <w:style w:type="paragraph" w:styleId="BalloonText">
    <w:name w:val="Balloon Text"/>
    <w:basedOn w:val="Normal"/>
    <w:link w:val="BalloonTextChar"/>
    <w:uiPriority w:val="99"/>
    <w:semiHidden/>
    <w:unhideWhenUsed/>
    <w:rsid w:val="005D49D5"/>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49D5"/>
    <w:rPr>
      <w:rFonts w:ascii="Lucida Grande" w:eastAsia="Times New Roman" w:hAnsi="Lucida Grande" w:cs="Lucida Grande"/>
      <w:sz w:val="18"/>
      <w:szCs w:val="18"/>
      <w:lang w:val="en-AU"/>
    </w:rPr>
  </w:style>
  <w:style w:type="character" w:customStyle="1" w:styleId="st">
    <w:name w:val="st"/>
    <w:basedOn w:val="DefaultParagraphFont"/>
    <w:rsid w:val="00CA4D49"/>
  </w:style>
  <w:style w:type="character" w:customStyle="1" w:styleId="hps">
    <w:name w:val="hps"/>
    <w:rsid w:val="00C15FE1"/>
    <w:rPr>
      <w:rFonts w:cs="Times New Roman"/>
    </w:rPr>
  </w:style>
  <w:style w:type="paragraph" w:styleId="Header">
    <w:name w:val="header"/>
    <w:basedOn w:val="Normal"/>
    <w:link w:val="HeaderChar"/>
    <w:uiPriority w:val="99"/>
    <w:unhideWhenUsed/>
    <w:rsid w:val="00AE1FD7"/>
    <w:pPr>
      <w:tabs>
        <w:tab w:val="center" w:pos="4513"/>
        <w:tab w:val="right" w:pos="9026"/>
      </w:tabs>
      <w:spacing w:before="0"/>
    </w:pPr>
  </w:style>
  <w:style w:type="character" w:customStyle="1" w:styleId="HeaderChar">
    <w:name w:val="Header Char"/>
    <w:basedOn w:val="DefaultParagraphFont"/>
    <w:link w:val="Header"/>
    <w:uiPriority w:val="99"/>
    <w:rsid w:val="00AE1FD7"/>
    <w:rPr>
      <w:rFonts w:ascii="Arial" w:eastAsia="Times New Roman" w:hAnsi="Arial" w:cs="Times New Roman"/>
      <w:sz w:val="20"/>
      <w:lang w:val="en-AU"/>
    </w:rPr>
  </w:style>
  <w:style w:type="paragraph" w:styleId="Footer">
    <w:name w:val="footer"/>
    <w:basedOn w:val="Normal"/>
    <w:link w:val="FooterChar"/>
    <w:uiPriority w:val="99"/>
    <w:unhideWhenUsed/>
    <w:rsid w:val="00AE1FD7"/>
    <w:pPr>
      <w:tabs>
        <w:tab w:val="center" w:pos="4513"/>
        <w:tab w:val="right" w:pos="9026"/>
      </w:tabs>
      <w:spacing w:before="0"/>
    </w:pPr>
  </w:style>
  <w:style w:type="character" w:customStyle="1" w:styleId="FooterChar">
    <w:name w:val="Footer Char"/>
    <w:basedOn w:val="DefaultParagraphFont"/>
    <w:link w:val="Footer"/>
    <w:uiPriority w:val="99"/>
    <w:rsid w:val="00AE1FD7"/>
    <w:rPr>
      <w:rFonts w:ascii="Arial" w:eastAsia="Times New Roman" w:hAnsi="Arial" w:cs="Times New Roman"/>
      <w:sz w:val="20"/>
      <w:lang w:val="en-AU"/>
    </w:rPr>
  </w:style>
  <w:style w:type="paragraph" w:customStyle="1" w:styleId="DocName">
    <w:name w:val="DocName"/>
    <w:basedOn w:val="Normal"/>
    <w:link w:val="DocNameChar"/>
    <w:rsid w:val="00933704"/>
    <w:pPr>
      <w:spacing w:before="0"/>
      <w:jc w:val="center"/>
    </w:pPr>
    <w:rPr>
      <w:b/>
      <w:bCs/>
      <w:sz w:val="28"/>
    </w:rPr>
  </w:style>
  <w:style w:type="character" w:customStyle="1" w:styleId="DocNameChar">
    <w:name w:val="DocName Char"/>
    <w:link w:val="DocName"/>
    <w:rsid w:val="00933704"/>
    <w:rPr>
      <w:rFonts w:ascii="Arial" w:eastAsia="Times New Roman" w:hAnsi="Arial" w:cs="Times New Roman"/>
      <w:b/>
      <w:bCs/>
      <w:sz w:val="28"/>
      <w:lang w:val="en-AU"/>
    </w:rPr>
  </w:style>
  <w:style w:type="paragraph" w:customStyle="1" w:styleId="List-number-2">
    <w:name w:val="List-number-2"/>
    <w:basedOn w:val="Normal"/>
    <w:rsid w:val="00933704"/>
    <w:pPr>
      <w:numPr>
        <w:ilvl w:val="1"/>
        <w:numId w:val="3"/>
      </w:numPr>
    </w:pPr>
  </w:style>
  <w:style w:type="character" w:styleId="PageNumber">
    <w:name w:val="page number"/>
    <w:rsid w:val="00933704"/>
    <w:rPr>
      <w:rFonts w:ascii="Arial" w:hAnsi="Arial"/>
      <w:sz w:val="16"/>
    </w:rPr>
  </w:style>
  <w:style w:type="paragraph" w:customStyle="1" w:styleId="List-number-1">
    <w:name w:val="List-number-1"/>
    <w:basedOn w:val="Normal"/>
    <w:link w:val="List-number-1Char"/>
    <w:rsid w:val="00933704"/>
    <w:pPr>
      <w:numPr>
        <w:numId w:val="3"/>
      </w:numPr>
    </w:pPr>
  </w:style>
  <w:style w:type="character" w:customStyle="1" w:styleId="List-number-1Char">
    <w:name w:val="List-number-1 Char"/>
    <w:link w:val="List-number-1"/>
    <w:rsid w:val="00933704"/>
    <w:rPr>
      <w:rFonts w:ascii="Arial" w:eastAsia="Times New Roman" w:hAnsi="Arial" w:cs="Times New Roman"/>
      <w:sz w:val="20"/>
      <w:lang w:val="en-AU"/>
    </w:rPr>
  </w:style>
  <w:style w:type="paragraph" w:styleId="TOC1">
    <w:name w:val="toc 1"/>
    <w:basedOn w:val="Normal"/>
    <w:next w:val="Normal"/>
    <w:autoRedefine/>
    <w:uiPriority w:val="39"/>
    <w:rsid w:val="00BF4E40"/>
    <w:pPr>
      <w:tabs>
        <w:tab w:val="left" w:pos="440"/>
        <w:tab w:val="right" w:leader="dot" w:pos="9622"/>
      </w:tabs>
    </w:pPr>
    <w:rPr>
      <w:rFonts w:cs="Arial"/>
      <w:b/>
      <w:noProof/>
      <w:sz w:val="24"/>
    </w:rPr>
  </w:style>
  <w:style w:type="paragraph" w:styleId="BodyText">
    <w:name w:val="Body Text"/>
    <w:basedOn w:val="Normal"/>
    <w:link w:val="BodyTextChar"/>
    <w:uiPriority w:val="99"/>
    <w:rsid w:val="00933704"/>
    <w:pPr>
      <w:spacing w:after="120"/>
    </w:pPr>
  </w:style>
  <w:style w:type="character" w:customStyle="1" w:styleId="BodyTextChar">
    <w:name w:val="Body Text Char"/>
    <w:basedOn w:val="DefaultParagraphFont"/>
    <w:link w:val="BodyText"/>
    <w:uiPriority w:val="99"/>
    <w:rsid w:val="00933704"/>
    <w:rPr>
      <w:rFonts w:ascii="Arial" w:eastAsia="Times New Roman" w:hAnsi="Arial" w:cs="Times New Roman"/>
      <w:sz w:val="20"/>
      <w:lang w:val="en-AU"/>
    </w:rPr>
  </w:style>
  <w:style w:type="paragraph" w:customStyle="1" w:styleId="List-bullet-2">
    <w:name w:val="List-bullet-2"/>
    <w:basedOn w:val="Normal"/>
    <w:link w:val="List-bullet-2Char"/>
    <w:rsid w:val="00933704"/>
    <w:pPr>
      <w:numPr>
        <w:numId w:val="4"/>
      </w:numPr>
      <w:spacing w:before="80"/>
    </w:pPr>
    <w:rPr>
      <w:rFonts w:cs="Arial"/>
      <w:szCs w:val="22"/>
      <w:lang w:val="en-US"/>
    </w:rPr>
  </w:style>
  <w:style w:type="character" w:customStyle="1" w:styleId="List-bullet-2Char">
    <w:name w:val="List-bullet-2 Char"/>
    <w:link w:val="List-bullet-2"/>
    <w:rsid w:val="00933704"/>
    <w:rPr>
      <w:rFonts w:ascii="Arial" w:eastAsia="Times New Roman" w:hAnsi="Arial" w:cs="Arial"/>
      <w:sz w:val="20"/>
      <w:szCs w:val="22"/>
    </w:rPr>
  </w:style>
  <w:style w:type="paragraph" w:customStyle="1" w:styleId="Table-normal-text">
    <w:name w:val="Table-normal-text"/>
    <w:basedOn w:val="Normal"/>
    <w:rsid w:val="00933704"/>
    <w:pPr>
      <w:spacing w:before="60"/>
    </w:pPr>
  </w:style>
  <w:style w:type="character" w:styleId="Hyperlink">
    <w:name w:val="Hyperlink"/>
    <w:uiPriority w:val="99"/>
    <w:rsid w:val="00933704"/>
    <w:rPr>
      <w:rFonts w:ascii="Arial" w:hAnsi="Arial"/>
      <w:color w:val="0000FF"/>
      <w:u w:val="single"/>
    </w:rPr>
  </w:style>
  <w:style w:type="paragraph" w:styleId="TOC2">
    <w:name w:val="toc 2"/>
    <w:basedOn w:val="Normal"/>
    <w:next w:val="Normal"/>
    <w:autoRedefine/>
    <w:uiPriority w:val="39"/>
    <w:unhideWhenUsed/>
    <w:rsid w:val="00EA16E9"/>
    <w:pPr>
      <w:spacing w:after="100"/>
      <w:ind w:left="200"/>
    </w:pPr>
  </w:style>
  <w:style w:type="paragraph" w:customStyle="1" w:styleId="GuidanceText">
    <w:name w:val="Guidance Text"/>
    <w:basedOn w:val="BodyText"/>
    <w:semiHidden/>
    <w:rsid w:val="005C4F2C"/>
    <w:pPr>
      <w:numPr>
        <w:numId w:val="6"/>
      </w:numPr>
      <w:spacing w:before="60" w:after="60" w:line="240" w:lineRule="atLeast"/>
      <w:ind w:left="0" w:firstLine="0"/>
    </w:pPr>
    <w:rPr>
      <w:rFonts w:ascii="Calibri" w:hAnsi="Calibri"/>
      <w:color w:val="0000FF"/>
      <w:szCs w:val="20"/>
      <w:lang w:eastAsia="en-AU" w:bidi="en-US"/>
    </w:rPr>
  </w:style>
  <w:style w:type="paragraph" w:customStyle="1" w:styleId="bullet">
    <w:name w:val="bullet"/>
    <w:basedOn w:val="BodyText"/>
    <w:rsid w:val="00D71655"/>
    <w:pPr>
      <w:numPr>
        <w:numId w:val="1"/>
      </w:numPr>
      <w:spacing w:line="280" w:lineRule="atLeast"/>
      <w:ind w:left="709" w:hanging="283"/>
    </w:pPr>
    <w:rPr>
      <w:rFonts w:cs="Arial"/>
      <w:szCs w:val="20"/>
      <w:lang w:eastAsia="en-AU" w:bidi="en-US"/>
    </w:rPr>
  </w:style>
  <w:style w:type="paragraph" w:styleId="TOC3">
    <w:name w:val="toc 3"/>
    <w:basedOn w:val="Normal"/>
    <w:next w:val="Normal"/>
    <w:autoRedefine/>
    <w:uiPriority w:val="39"/>
    <w:unhideWhenUsed/>
    <w:rsid w:val="003A29C5"/>
    <w:pPr>
      <w:spacing w:after="100"/>
      <w:ind w:left="400"/>
    </w:pPr>
  </w:style>
  <w:style w:type="character" w:styleId="FollowedHyperlink">
    <w:name w:val="FollowedHyperlink"/>
    <w:basedOn w:val="DefaultParagraphFont"/>
    <w:uiPriority w:val="99"/>
    <w:semiHidden/>
    <w:unhideWhenUsed/>
    <w:rsid w:val="00E06302"/>
    <w:rPr>
      <w:color w:val="800080" w:themeColor="followedHyperlink"/>
      <w:u w:val="single"/>
    </w:rPr>
  </w:style>
  <w:style w:type="table" w:styleId="TableGrid">
    <w:name w:val="Table Grid"/>
    <w:basedOn w:val="TableNormal"/>
    <w:uiPriority w:val="59"/>
    <w:rsid w:val="00362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Level1">
    <w:name w:val=".CON  Level   1."/>
    <w:basedOn w:val="Normal"/>
    <w:next w:val="Normal"/>
    <w:rsid w:val="00971CFB"/>
    <w:pPr>
      <w:keepNext/>
      <w:numPr>
        <w:numId w:val="14"/>
      </w:numPr>
      <w:spacing w:before="240"/>
      <w:outlineLvl w:val="1"/>
    </w:pPr>
    <w:rPr>
      <w:rFonts w:ascii="Times New Roman" w:hAnsi="Times New Roman"/>
      <w:b/>
      <w:sz w:val="24"/>
      <w:szCs w:val="22"/>
    </w:rPr>
  </w:style>
  <w:style w:type="paragraph" w:customStyle="1" w:styleId="CONLevel11">
    <w:name w:val=".CON  Level   1.1"/>
    <w:basedOn w:val="Normal"/>
    <w:next w:val="Normal"/>
    <w:link w:val="CONLevel11Char"/>
    <w:rsid w:val="00971CFB"/>
    <w:pPr>
      <w:numPr>
        <w:ilvl w:val="1"/>
        <w:numId w:val="14"/>
      </w:numPr>
      <w:spacing w:before="240"/>
      <w:outlineLvl w:val="2"/>
    </w:pPr>
    <w:rPr>
      <w:rFonts w:ascii="Times New Roman" w:hAnsi="Times New Roman"/>
      <w:sz w:val="24"/>
      <w:szCs w:val="22"/>
    </w:rPr>
  </w:style>
  <w:style w:type="character" w:customStyle="1" w:styleId="CONLevel11Char">
    <w:name w:val=".CON  Level   1.1 Char"/>
    <w:link w:val="CONLevel11"/>
    <w:rsid w:val="002B560F"/>
    <w:rPr>
      <w:rFonts w:ascii="Times New Roman" w:eastAsia="Times New Roman" w:hAnsi="Times New Roman" w:cs="Times New Roman"/>
      <w:szCs w:val="22"/>
      <w:lang w:val="en-AU"/>
    </w:rPr>
  </w:style>
  <w:style w:type="paragraph" w:customStyle="1" w:styleId="CONLevela">
    <w:name w:val=".CON  Level  (a)"/>
    <w:basedOn w:val="Normal"/>
    <w:next w:val="Normal"/>
    <w:rsid w:val="00971CFB"/>
    <w:pPr>
      <w:numPr>
        <w:ilvl w:val="2"/>
        <w:numId w:val="14"/>
      </w:numPr>
      <w:spacing w:before="240"/>
      <w:outlineLvl w:val="3"/>
    </w:pPr>
    <w:rPr>
      <w:rFonts w:ascii="Times New Roman" w:hAnsi="Times New Roman"/>
      <w:sz w:val="24"/>
      <w:szCs w:val="22"/>
    </w:rPr>
  </w:style>
  <w:style w:type="paragraph" w:customStyle="1" w:styleId="CONLeveli">
    <w:name w:val=".CON  Level  (i)"/>
    <w:basedOn w:val="Normal"/>
    <w:next w:val="Normal"/>
    <w:rsid w:val="00971CFB"/>
    <w:pPr>
      <w:tabs>
        <w:tab w:val="num" w:pos="2160"/>
      </w:tabs>
      <w:spacing w:before="240"/>
      <w:ind w:left="2160" w:hanging="720"/>
      <w:outlineLvl w:val="4"/>
    </w:pPr>
    <w:rPr>
      <w:rFonts w:ascii="Times New Roman" w:hAnsi="Times New Roman"/>
      <w:sz w:val="24"/>
      <w:szCs w:val="22"/>
    </w:rPr>
  </w:style>
  <w:style w:type="paragraph" w:customStyle="1" w:styleId="CONLevelA0">
    <w:name w:val=".CON  Level (A)"/>
    <w:basedOn w:val="Normal"/>
    <w:next w:val="Normal"/>
    <w:rsid w:val="00971CFB"/>
    <w:pPr>
      <w:tabs>
        <w:tab w:val="num" w:pos="2880"/>
      </w:tabs>
      <w:spacing w:before="240"/>
      <w:ind w:left="2880" w:hanging="720"/>
      <w:outlineLvl w:val="5"/>
    </w:pPr>
    <w:rPr>
      <w:rFonts w:ascii="Times New Roman" w:hAnsi="Times New Roman"/>
      <w:sz w:val="24"/>
      <w:szCs w:val="22"/>
    </w:rPr>
  </w:style>
  <w:style w:type="paragraph" w:customStyle="1" w:styleId="CONLevelI0">
    <w:name w:val=".CON  Level (I)"/>
    <w:basedOn w:val="Normal"/>
    <w:next w:val="Normal"/>
    <w:rsid w:val="00971CFB"/>
    <w:pPr>
      <w:tabs>
        <w:tab w:val="num" w:pos="3600"/>
      </w:tabs>
      <w:spacing w:before="240"/>
      <w:ind w:left="3600" w:hanging="720"/>
      <w:outlineLvl w:val="6"/>
    </w:pPr>
    <w:rPr>
      <w:rFonts w:ascii="Times New Roman" w:hAnsi="Times New Roman"/>
      <w:sz w:val="24"/>
      <w:szCs w:val="22"/>
    </w:rPr>
  </w:style>
  <w:style w:type="paragraph" w:styleId="NormalWeb">
    <w:name w:val="Normal (Web)"/>
    <w:basedOn w:val="Normal"/>
    <w:uiPriority w:val="99"/>
    <w:semiHidden/>
    <w:unhideWhenUsed/>
    <w:rsid w:val="00321C44"/>
    <w:pPr>
      <w:spacing w:before="0" w:after="200" w:line="276" w:lineRule="auto"/>
    </w:pPr>
    <w:rPr>
      <w:rFonts w:ascii="Times New Roman" w:eastAsiaTheme="minorHAnsi" w:hAnsi="Times New Roman"/>
      <w:sz w:val="24"/>
    </w:rPr>
  </w:style>
  <w:style w:type="paragraph" w:customStyle="1" w:styleId="bullet1">
    <w:name w:val="bullet1"/>
    <w:basedOn w:val="bullet"/>
    <w:rsid w:val="00D71655"/>
    <w:pPr>
      <w:numPr>
        <w:ilvl w:val="1"/>
      </w:numPr>
      <w:ind w:left="993" w:hanging="284"/>
    </w:pPr>
  </w:style>
  <w:style w:type="paragraph" w:styleId="BodyTextIndent">
    <w:name w:val="Body Text Indent"/>
    <w:basedOn w:val="Normal"/>
    <w:link w:val="BodyTextIndentChar"/>
    <w:uiPriority w:val="99"/>
    <w:unhideWhenUsed/>
    <w:rsid w:val="00172589"/>
    <w:pPr>
      <w:spacing w:after="120"/>
      <w:ind w:left="283"/>
    </w:pPr>
  </w:style>
  <w:style w:type="character" w:customStyle="1" w:styleId="BodyTextIndentChar">
    <w:name w:val="Body Text Indent Char"/>
    <w:basedOn w:val="DefaultParagraphFont"/>
    <w:link w:val="BodyTextIndent"/>
    <w:uiPriority w:val="99"/>
    <w:rsid w:val="00172589"/>
    <w:rPr>
      <w:rFonts w:ascii="Arial" w:eastAsia="Times New Roman" w:hAnsi="Arial" w:cs="Times New Roman"/>
      <w:sz w:val="20"/>
      <w:lang w:val="en-AU"/>
    </w:rPr>
  </w:style>
  <w:style w:type="paragraph" w:customStyle="1" w:styleId="ListParagraphindent">
    <w:name w:val="List Paragraph indent"/>
    <w:basedOn w:val="ListParagraph"/>
    <w:rsid w:val="007D6243"/>
    <w:pPr>
      <w:numPr>
        <w:ilvl w:val="2"/>
      </w:numPr>
    </w:pPr>
  </w:style>
  <w:style w:type="paragraph" w:customStyle="1" w:styleId="ListParagraphindent2">
    <w:name w:val="List Paragraph indent 2"/>
    <w:basedOn w:val="ListParagraphindent"/>
    <w:rsid w:val="007D6243"/>
    <w:pPr>
      <w:numPr>
        <w:ilvl w:val="3"/>
      </w:numPr>
    </w:pPr>
  </w:style>
  <w:style w:type="paragraph" w:customStyle="1" w:styleId="ListParagraphindent3">
    <w:name w:val="List Paragraph indent 3"/>
    <w:basedOn w:val="ListParagraphindent2"/>
    <w:rsid w:val="00753041"/>
    <w:pPr>
      <w:numPr>
        <w:ilvl w:val="4"/>
        <w:numId w:val="20"/>
      </w:numPr>
    </w:pPr>
    <w:rPr>
      <w:color w:val="000000"/>
    </w:rPr>
  </w:style>
  <w:style w:type="character" w:customStyle="1" w:styleId="List-number-1CharChar">
    <w:name w:val="List-number-1 Char Char"/>
    <w:rsid w:val="002E4746"/>
    <w:rPr>
      <w:rFonts w:ascii="Arial" w:hAnsi="Arial"/>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45542">
      <w:bodyDiv w:val="1"/>
      <w:marLeft w:val="0"/>
      <w:marRight w:val="0"/>
      <w:marTop w:val="0"/>
      <w:marBottom w:val="0"/>
      <w:divBdr>
        <w:top w:val="none" w:sz="0" w:space="0" w:color="auto"/>
        <w:left w:val="none" w:sz="0" w:space="0" w:color="auto"/>
        <w:bottom w:val="none" w:sz="0" w:space="0" w:color="auto"/>
        <w:right w:val="none" w:sz="0" w:space="0" w:color="auto"/>
      </w:divBdr>
    </w:div>
    <w:div w:id="167641320">
      <w:bodyDiv w:val="1"/>
      <w:marLeft w:val="0"/>
      <w:marRight w:val="0"/>
      <w:marTop w:val="0"/>
      <w:marBottom w:val="0"/>
      <w:divBdr>
        <w:top w:val="none" w:sz="0" w:space="0" w:color="auto"/>
        <w:left w:val="none" w:sz="0" w:space="0" w:color="auto"/>
        <w:bottom w:val="none" w:sz="0" w:space="0" w:color="auto"/>
        <w:right w:val="none" w:sz="0" w:space="0" w:color="auto"/>
      </w:divBdr>
    </w:div>
    <w:div w:id="362749421">
      <w:bodyDiv w:val="1"/>
      <w:marLeft w:val="0"/>
      <w:marRight w:val="0"/>
      <w:marTop w:val="0"/>
      <w:marBottom w:val="0"/>
      <w:divBdr>
        <w:top w:val="none" w:sz="0" w:space="0" w:color="auto"/>
        <w:left w:val="none" w:sz="0" w:space="0" w:color="auto"/>
        <w:bottom w:val="none" w:sz="0" w:space="0" w:color="auto"/>
        <w:right w:val="none" w:sz="0" w:space="0" w:color="auto"/>
      </w:divBdr>
    </w:div>
    <w:div w:id="430247635">
      <w:bodyDiv w:val="1"/>
      <w:marLeft w:val="0"/>
      <w:marRight w:val="0"/>
      <w:marTop w:val="0"/>
      <w:marBottom w:val="0"/>
      <w:divBdr>
        <w:top w:val="none" w:sz="0" w:space="0" w:color="auto"/>
        <w:left w:val="none" w:sz="0" w:space="0" w:color="auto"/>
        <w:bottom w:val="none" w:sz="0" w:space="0" w:color="auto"/>
        <w:right w:val="none" w:sz="0" w:space="0" w:color="auto"/>
      </w:divBdr>
    </w:div>
    <w:div w:id="451630624">
      <w:bodyDiv w:val="1"/>
      <w:marLeft w:val="0"/>
      <w:marRight w:val="0"/>
      <w:marTop w:val="0"/>
      <w:marBottom w:val="0"/>
      <w:divBdr>
        <w:top w:val="none" w:sz="0" w:space="0" w:color="auto"/>
        <w:left w:val="none" w:sz="0" w:space="0" w:color="auto"/>
        <w:bottom w:val="none" w:sz="0" w:space="0" w:color="auto"/>
        <w:right w:val="none" w:sz="0" w:space="0" w:color="auto"/>
      </w:divBdr>
    </w:div>
    <w:div w:id="507183926">
      <w:bodyDiv w:val="1"/>
      <w:marLeft w:val="0"/>
      <w:marRight w:val="0"/>
      <w:marTop w:val="0"/>
      <w:marBottom w:val="0"/>
      <w:divBdr>
        <w:top w:val="none" w:sz="0" w:space="0" w:color="auto"/>
        <w:left w:val="none" w:sz="0" w:space="0" w:color="auto"/>
        <w:bottom w:val="none" w:sz="0" w:space="0" w:color="auto"/>
        <w:right w:val="none" w:sz="0" w:space="0" w:color="auto"/>
      </w:divBdr>
    </w:div>
    <w:div w:id="646587254">
      <w:bodyDiv w:val="1"/>
      <w:marLeft w:val="0"/>
      <w:marRight w:val="0"/>
      <w:marTop w:val="0"/>
      <w:marBottom w:val="0"/>
      <w:divBdr>
        <w:top w:val="none" w:sz="0" w:space="0" w:color="auto"/>
        <w:left w:val="none" w:sz="0" w:space="0" w:color="auto"/>
        <w:bottom w:val="none" w:sz="0" w:space="0" w:color="auto"/>
        <w:right w:val="none" w:sz="0" w:space="0" w:color="auto"/>
      </w:divBdr>
      <w:divsChild>
        <w:div w:id="1486703339">
          <w:marLeft w:val="0"/>
          <w:marRight w:val="0"/>
          <w:marTop w:val="0"/>
          <w:marBottom w:val="0"/>
          <w:divBdr>
            <w:top w:val="none" w:sz="0" w:space="0" w:color="auto"/>
            <w:left w:val="none" w:sz="0" w:space="0" w:color="auto"/>
            <w:bottom w:val="none" w:sz="0" w:space="0" w:color="auto"/>
            <w:right w:val="none" w:sz="0" w:space="0" w:color="auto"/>
          </w:divBdr>
          <w:divsChild>
            <w:div w:id="549538323">
              <w:marLeft w:val="0"/>
              <w:marRight w:val="0"/>
              <w:marTop w:val="0"/>
              <w:marBottom w:val="0"/>
              <w:divBdr>
                <w:top w:val="none" w:sz="0" w:space="0" w:color="auto"/>
                <w:left w:val="none" w:sz="0" w:space="0" w:color="auto"/>
                <w:bottom w:val="none" w:sz="0" w:space="0" w:color="auto"/>
                <w:right w:val="none" w:sz="0" w:space="0" w:color="auto"/>
              </w:divBdr>
              <w:divsChild>
                <w:div w:id="3360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378973">
      <w:bodyDiv w:val="1"/>
      <w:marLeft w:val="0"/>
      <w:marRight w:val="0"/>
      <w:marTop w:val="0"/>
      <w:marBottom w:val="0"/>
      <w:divBdr>
        <w:top w:val="none" w:sz="0" w:space="0" w:color="auto"/>
        <w:left w:val="none" w:sz="0" w:space="0" w:color="auto"/>
        <w:bottom w:val="none" w:sz="0" w:space="0" w:color="auto"/>
        <w:right w:val="none" w:sz="0" w:space="0" w:color="auto"/>
      </w:divBdr>
      <w:divsChild>
        <w:div w:id="1355379861">
          <w:marLeft w:val="0"/>
          <w:marRight w:val="0"/>
          <w:marTop w:val="0"/>
          <w:marBottom w:val="0"/>
          <w:divBdr>
            <w:top w:val="none" w:sz="0" w:space="0" w:color="auto"/>
            <w:left w:val="none" w:sz="0" w:space="0" w:color="auto"/>
            <w:bottom w:val="none" w:sz="0" w:space="0" w:color="auto"/>
            <w:right w:val="none" w:sz="0" w:space="0" w:color="auto"/>
          </w:divBdr>
          <w:divsChild>
            <w:div w:id="2083873140">
              <w:marLeft w:val="0"/>
              <w:marRight w:val="0"/>
              <w:marTop w:val="0"/>
              <w:marBottom w:val="0"/>
              <w:divBdr>
                <w:top w:val="none" w:sz="0" w:space="0" w:color="auto"/>
                <w:left w:val="none" w:sz="0" w:space="0" w:color="auto"/>
                <w:bottom w:val="none" w:sz="0" w:space="0" w:color="auto"/>
                <w:right w:val="none" w:sz="0" w:space="0" w:color="auto"/>
              </w:divBdr>
              <w:divsChild>
                <w:div w:id="17489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331021">
      <w:bodyDiv w:val="1"/>
      <w:marLeft w:val="0"/>
      <w:marRight w:val="0"/>
      <w:marTop w:val="0"/>
      <w:marBottom w:val="0"/>
      <w:divBdr>
        <w:top w:val="none" w:sz="0" w:space="0" w:color="auto"/>
        <w:left w:val="none" w:sz="0" w:space="0" w:color="auto"/>
        <w:bottom w:val="none" w:sz="0" w:space="0" w:color="auto"/>
        <w:right w:val="none" w:sz="0" w:space="0" w:color="auto"/>
      </w:divBdr>
      <w:divsChild>
        <w:div w:id="2028674391">
          <w:marLeft w:val="0"/>
          <w:marRight w:val="0"/>
          <w:marTop w:val="0"/>
          <w:marBottom w:val="0"/>
          <w:divBdr>
            <w:top w:val="none" w:sz="0" w:space="0" w:color="auto"/>
            <w:left w:val="none" w:sz="0" w:space="0" w:color="auto"/>
            <w:bottom w:val="none" w:sz="0" w:space="0" w:color="auto"/>
            <w:right w:val="none" w:sz="0" w:space="0" w:color="auto"/>
          </w:divBdr>
          <w:divsChild>
            <w:div w:id="1423258867">
              <w:marLeft w:val="0"/>
              <w:marRight w:val="0"/>
              <w:marTop w:val="0"/>
              <w:marBottom w:val="0"/>
              <w:divBdr>
                <w:top w:val="none" w:sz="0" w:space="0" w:color="auto"/>
                <w:left w:val="none" w:sz="0" w:space="0" w:color="auto"/>
                <w:bottom w:val="none" w:sz="0" w:space="0" w:color="auto"/>
                <w:right w:val="none" w:sz="0" w:space="0" w:color="auto"/>
              </w:divBdr>
              <w:divsChild>
                <w:div w:id="190375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635622">
      <w:bodyDiv w:val="1"/>
      <w:marLeft w:val="0"/>
      <w:marRight w:val="0"/>
      <w:marTop w:val="0"/>
      <w:marBottom w:val="0"/>
      <w:divBdr>
        <w:top w:val="none" w:sz="0" w:space="0" w:color="auto"/>
        <w:left w:val="none" w:sz="0" w:space="0" w:color="auto"/>
        <w:bottom w:val="none" w:sz="0" w:space="0" w:color="auto"/>
        <w:right w:val="none" w:sz="0" w:space="0" w:color="auto"/>
      </w:divBdr>
    </w:div>
    <w:div w:id="910774435">
      <w:bodyDiv w:val="1"/>
      <w:marLeft w:val="0"/>
      <w:marRight w:val="0"/>
      <w:marTop w:val="0"/>
      <w:marBottom w:val="0"/>
      <w:divBdr>
        <w:top w:val="none" w:sz="0" w:space="0" w:color="auto"/>
        <w:left w:val="none" w:sz="0" w:space="0" w:color="auto"/>
        <w:bottom w:val="none" w:sz="0" w:space="0" w:color="auto"/>
        <w:right w:val="none" w:sz="0" w:space="0" w:color="auto"/>
      </w:divBdr>
    </w:div>
    <w:div w:id="986663219">
      <w:bodyDiv w:val="1"/>
      <w:marLeft w:val="0"/>
      <w:marRight w:val="0"/>
      <w:marTop w:val="0"/>
      <w:marBottom w:val="0"/>
      <w:divBdr>
        <w:top w:val="none" w:sz="0" w:space="0" w:color="auto"/>
        <w:left w:val="none" w:sz="0" w:space="0" w:color="auto"/>
        <w:bottom w:val="none" w:sz="0" w:space="0" w:color="auto"/>
        <w:right w:val="none" w:sz="0" w:space="0" w:color="auto"/>
      </w:divBdr>
    </w:div>
    <w:div w:id="1149706994">
      <w:bodyDiv w:val="1"/>
      <w:marLeft w:val="0"/>
      <w:marRight w:val="0"/>
      <w:marTop w:val="0"/>
      <w:marBottom w:val="0"/>
      <w:divBdr>
        <w:top w:val="none" w:sz="0" w:space="0" w:color="auto"/>
        <w:left w:val="none" w:sz="0" w:space="0" w:color="auto"/>
        <w:bottom w:val="none" w:sz="0" w:space="0" w:color="auto"/>
        <w:right w:val="none" w:sz="0" w:space="0" w:color="auto"/>
      </w:divBdr>
    </w:div>
    <w:div w:id="1204752001">
      <w:bodyDiv w:val="1"/>
      <w:marLeft w:val="0"/>
      <w:marRight w:val="0"/>
      <w:marTop w:val="0"/>
      <w:marBottom w:val="0"/>
      <w:divBdr>
        <w:top w:val="none" w:sz="0" w:space="0" w:color="auto"/>
        <w:left w:val="none" w:sz="0" w:space="0" w:color="auto"/>
        <w:bottom w:val="none" w:sz="0" w:space="0" w:color="auto"/>
        <w:right w:val="none" w:sz="0" w:space="0" w:color="auto"/>
      </w:divBdr>
    </w:div>
    <w:div w:id="1285192114">
      <w:bodyDiv w:val="1"/>
      <w:marLeft w:val="0"/>
      <w:marRight w:val="0"/>
      <w:marTop w:val="0"/>
      <w:marBottom w:val="0"/>
      <w:divBdr>
        <w:top w:val="none" w:sz="0" w:space="0" w:color="auto"/>
        <w:left w:val="none" w:sz="0" w:space="0" w:color="auto"/>
        <w:bottom w:val="none" w:sz="0" w:space="0" w:color="auto"/>
        <w:right w:val="none" w:sz="0" w:space="0" w:color="auto"/>
      </w:divBdr>
      <w:divsChild>
        <w:div w:id="2038508762">
          <w:marLeft w:val="0"/>
          <w:marRight w:val="0"/>
          <w:marTop w:val="0"/>
          <w:marBottom w:val="0"/>
          <w:divBdr>
            <w:top w:val="none" w:sz="0" w:space="0" w:color="auto"/>
            <w:left w:val="none" w:sz="0" w:space="0" w:color="auto"/>
            <w:bottom w:val="none" w:sz="0" w:space="0" w:color="auto"/>
            <w:right w:val="none" w:sz="0" w:space="0" w:color="auto"/>
          </w:divBdr>
          <w:divsChild>
            <w:div w:id="58214495">
              <w:marLeft w:val="0"/>
              <w:marRight w:val="0"/>
              <w:marTop w:val="0"/>
              <w:marBottom w:val="0"/>
              <w:divBdr>
                <w:top w:val="none" w:sz="0" w:space="0" w:color="auto"/>
                <w:left w:val="none" w:sz="0" w:space="0" w:color="auto"/>
                <w:bottom w:val="none" w:sz="0" w:space="0" w:color="auto"/>
                <w:right w:val="none" w:sz="0" w:space="0" w:color="auto"/>
              </w:divBdr>
              <w:divsChild>
                <w:div w:id="123261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786785">
      <w:bodyDiv w:val="1"/>
      <w:marLeft w:val="0"/>
      <w:marRight w:val="0"/>
      <w:marTop w:val="0"/>
      <w:marBottom w:val="0"/>
      <w:divBdr>
        <w:top w:val="none" w:sz="0" w:space="0" w:color="auto"/>
        <w:left w:val="none" w:sz="0" w:space="0" w:color="auto"/>
        <w:bottom w:val="none" w:sz="0" w:space="0" w:color="auto"/>
        <w:right w:val="none" w:sz="0" w:space="0" w:color="auto"/>
      </w:divBdr>
    </w:div>
    <w:div w:id="1582523022">
      <w:bodyDiv w:val="1"/>
      <w:marLeft w:val="0"/>
      <w:marRight w:val="0"/>
      <w:marTop w:val="0"/>
      <w:marBottom w:val="0"/>
      <w:divBdr>
        <w:top w:val="none" w:sz="0" w:space="0" w:color="auto"/>
        <w:left w:val="none" w:sz="0" w:space="0" w:color="auto"/>
        <w:bottom w:val="none" w:sz="0" w:space="0" w:color="auto"/>
        <w:right w:val="none" w:sz="0" w:space="0" w:color="auto"/>
      </w:divBdr>
    </w:div>
    <w:div w:id="1616476652">
      <w:bodyDiv w:val="1"/>
      <w:marLeft w:val="0"/>
      <w:marRight w:val="0"/>
      <w:marTop w:val="0"/>
      <w:marBottom w:val="0"/>
      <w:divBdr>
        <w:top w:val="none" w:sz="0" w:space="0" w:color="auto"/>
        <w:left w:val="none" w:sz="0" w:space="0" w:color="auto"/>
        <w:bottom w:val="none" w:sz="0" w:space="0" w:color="auto"/>
        <w:right w:val="none" w:sz="0" w:space="0" w:color="auto"/>
      </w:divBdr>
    </w:div>
    <w:div w:id="1711801828">
      <w:bodyDiv w:val="1"/>
      <w:marLeft w:val="0"/>
      <w:marRight w:val="0"/>
      <w:marTop w:val="0"/>
      <w:marBottom w:val="0"/>
      <w:divBdr>
        <w:top w:val="none" w:sz="0" w:space="0" w:color="auto"/>
        <w:left w:val="none" w:sz="0" w:space="0" w:color="auto"/>
        <w:bottom w:val="none" w:sz="0" w:space="0" w:color="auto"/>
        <w:right w:val="none" w:sz="0" w:space="0" w:color="auto"/>
      </w:divBdr>
    </w:div>
    <w:div w:id="1718816363">
      <w:bodyDiv w:val="1"/>
      <w:marLeft w:val="0"/>
      <w:marRight w:val="0"/>
      <w:marTop w:val="0"/>
      <w:marBottom w:val="0"/>
      <w:divBdr>
        <w:top w:val="none" w:sz="0" w:space="0" w:color="auto"/>
        <w:left w:val="none" w:sz="0" w:space="0" w:color="auto"/>
        <w:bottom w:val="none" w:sz="0" w:space="0" w:color="auto"/>
        <w:right w:val="none" w:sz="0" w:space="0" w:color="auto"/>
      </w:divBdr>
    </w:div>
    <w:div w:id="1861242284">
      <w:bodyDiv w:val="1"/>
      <w:marLeft w:val="0"/>
      <w:marRight w:val="0"/>
      <w:marTop w:val="0"/>
      <w:marBottom w:val="0"/>
      <w:divBdr>
        <w:top w:val="none" w:sz="0" w:space="0" w:color="auto"/>
        <w:left w:val="none" w:sz="0" w:space="0" w:color="auto"/>
        <w:bottom w:val="none" w:sz="0" w:space="0" w:color="auto"/>
        <w:right w:val="none" w:sz="0" w:space="0" w:color="auto"/>
      </w:divBdr>
    </w:div>
    <w:div w:id="19918674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diagramLayout" Target="diagrams/layout2.xml"/><Relationship Id="rId21" Type="http://schemas.openxmlformats.org/officeDocument/2006/relationships/diagramQuickStyle" Target="diagrams/quickStyle1.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diagramData" Target="diagrams/data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diagramLayout" Target="diagrams/layout1.xml"/><Relationship Id="rId29"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footer" Target="footer5.xml"/><Relationship Id="rId37"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3.xml"/><Relationship Id="rId23" Type="http://schemas.microsoft.com/office/2007/relationships/diagramDrawing" Target="diagrams/drawing1.xml"/><Relationship Id="rId28" Type="http://schemas.openxmlformats.org/officeDocument/2006/relationships/diagramColors" Target="diagrams/colors2.xml"/><Relationship Id="rId36"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diagramData" Target="diagrams/data1.xml"/><Relationship Id="rId31"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diagramColors" Target="diagrams/colors1.xml"/><Relationship Id="rId27" Type="http://schemas.openxmlformats.org/officeDocument/2006/relationships/diagramQuickStyle" Target="diagrams/quickStyle2.xml"/><Relationship Id="rId30" Type="http://schemas.openxmlformats.org/officeDocument/2006/relationships/hyperlink" Target="http://www.nationalsecurity.gov.au/Listedterroristorganisations/Pages/default.aspx" TargetMode="External"/><Relationship Id="rId35" Type="http://schemas.openxmlformats.org/officeDocument/2006/relationships/customXml" Target="../customXml/item2.xml"/><Relationship Id="rId8" Type="http://schemas.openxmlformats.org/officeDocument/2006/relationships/endnotes" Target="endnotes.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www.doingbusiness.org/reports/global-reports/doing-business-2014" TargetMode="External"/><Relationship Id="rId2" Type="http://schemas.openxmlformats.org/officeDocument/2006/relationships/hyperlink" Target="http://www.worldbank.org/content/dam/Worldbank/document/vn_PA2012Executive_summary_EN.pdf" TargetMode="External"/><Relationship Id="rId1" Type="http://schemas.openxmlformats.org/officeDocument/2006/relationships/hyperlink" Target="http://www.vn.undp.org/content/vietnam/en/home/mdgoverview/overview/mdg" TargetMode="External"/><Relationship Id="rId6" Type="http://schemas.openxmlformats.org/officeDocument/2006/relationships/hyperlink" Target="http://cpi.transparency.org/cpi2013/" TargetMode="External"/><Relationship Id="rId5" Type="http://schemas.openxmlformats.org/officeDocument/2006/relationships/hyperlink" Target="http://www.apo-tokyo.org/publications/files/APO_Productivity_Databook_2013.pdf" TargetMode="External"/><Relationship Id="rId4" Type="http://schemas.openxmlformats.org/officeDocument/2006/relationships/hyperlink" Target="http://www.weforum.org/reports/global-competitiveness-report-2013-2014"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F98744-93FB-C04B-99E2-2C9FCD4CB372}" type="doc">
      <dgm:prSet loTypeId="urn:microsoft.com/office/officeart/2005/8/layout/orgChart1" loCatId="" qsTypeId="urn:microsoft.com/office/officeart/2005/8/quickstyle/simple4" qsCatId="simple" csTypeId="urn:microsoft.com/office/officeart/2005/8/colors/accent1_2" csCatId="accent1" phldr="1"/>
      <dgm:spPr/>
      <dgm:t>
        <a:bodyPr/>
        <a:lstStyle/>
        <a:p>
          <a:endParaRPr lang="en-US"/>
        </a:p>
      </dgm:t>
    </dgm:pt>
    <dgm:pt modelId="{1369F77B-FBC5-B94F-9A8A-F072313C2226}">
      <dgm:prSet phldrT="[Text]"/>
      <dgm:spPr/>
      <dgm:t>
        <a:bodyPr/>
        <a:lstStyle/>
        <a:p>
          <a:r>
            <a:rPr lang="en-US"/>
            <a:t>National Project Director</a:t>
          </a:r>
        </a:p>
      </dgm:t>
    </dgm:pt>
    <dgm:pt modelId="{784F08B8-7A58-F545-967B-3F5C708F284B}" type="parTrans" cxnId="{2022EE68-07C5-EC41-8679-C989948F8B69}">
      <dgm:prSet/>
      <dgm:spPr/>
      <dgm:t>
        <a:bodyPr/>
        <a:lstStyle/>
        <a:p>
          <a:endParaRPr lang="en-US"/>
        </a:p>
      </dgm:t>
    </dgm:pt>
    <dgm:pt modelId="{A3E7E42A-0D03-0544-8A46-E1DB62B7F4E2}" type="sibTrans" cxnId="{2022EE68-07C5-EC41-8679-C989948F8B69}">
      <dgm:prSet/>
      <dgm:spPr/>
      <dgm:t>
        <a:bodyPr/>
        <a:lstStyle/>
        <a:p>
          <a:endParaRPr lang="en-US"/>
        </a:p>
      </dgm:t>
    </dgm:pt>
    <dgm:pt modelId="{E04A4581-DC31-3E42-AD36-44C7726810B6}" type="asst">
      <dgm:prSet phldrT="[Text]"/>
      <dgm:spPr/>
      <dgm:t>
        <a:bodyPr/>
        <a:lstStyle/>
        <a:p>
          <a:r>
            <a:rPr lang="en-US"/>
            <a:t>Program Support Unit headed by SPC-E (inc Flexible Fund and SAG management)</a:t>
          </a:r>
        </a:p>
      </dgm:t>
    </dgm:pt>
    <dgm:pt modelId="{4DCA30B9-7815-B645-A1A9-7EFC63E13B2D}" type="parTrans" cxnId="{10593A4A-CD69-A844-A988-129307086888}">
      <dgm:prSet/>
      <dgm:spPr>
        <a:ln>
          <a:solidFill>
            <a:schemeClr val="bg1"/>
          </a:solidFill>
        </a:ln>
      </dgm:spPr>
      <dgm:t>
        <a:bodyPr/>
        <a:lstStyle/>
        <a:p>
          <a:endParaRPr lang="en-US"/>
        </a:p>
      </dgm:t>
    </dgm:pt>
    <dgm:pt modelId="{21D50A70-5C87-6E4B-8D3F-AFF937A0C491}" type="sibTrans" cxnId="{10593A4A-CD69-A844-A988-129307086888}">
      <dgm:prSet/>
      <dgm:spPr/>
      <dgm:t>
        <a:bodyPr/>
        <a:lstStyle/>
        <a:p>
          <a:endParaRPr lang="en-US"/>
        </a:p>
      </dgm:t>
    </dgm:pt>
    <dgm:pt modelId="{C4B89507-01D7-2E48-9413-AF9E6E50F88A}">
      <dgm:prSet phldrT="[Text]"/>
      <dgm:spPr/>
      <dgm:t>
        <a:bodyPr/>
        <a:lstStyle/>
        <a:p>
          <a:r>
            <a:rPr lang="en-US"/>
            <a:t>CIEM-MPI: Enhanced Business Competitiveness and Transparency</a:t>
          </a:r>
        </a:p>
      </dgm:t>
    </dgm:pt>
    <dgm:pt modelId="{75DF73BE-1058-1D44-BAD2-95EC32F18DE5}" type="parTrans" cxnId="{25C000BC-4D48-3A49-AB1A-1E866558CC27}">
      <dgm:prSet/>
      <dgm:spPr/>
      <dgm:t>
        <a:bodyPr/>
        <a:lstStyle/>
        <a:p>
          <a:endParaRPr lang="en-US"/>
        </a:p>
      </dgm:t>
    </dgm:pt>
    <dgm:pt modelId="{5C6A47E7-CD2D-9146-AB05-3853A0C16E48}" type="sibTrans" cxnId="{25C000BC-4D48-3A49-AB1A-1E866558CC27}">
      <dgm:prSet/>
      <dgm:spPr/>
      <dgm:t>
        <a:bodyPr/>
        <a:lstStyle/>
        <a:p>
          <a:endParaRPr lang="en-US"/>
        </a:p>
      </dgm:t>
    </dgm:pt>
    <dgm:pt modelId="{9FAFFE54-16DC-544A-AD9C-7AE82F7AFD18}">
      <dgm:prSet phldrT="[Text]"/>
      <dgm:spPr/>
      <dgm:t>
        <a:bodyPr/>
        <a:lstStyle/>
        <a:p>
          <a:r>
            <a:rPr lang="en-US"/>
            <a:t>VCA-MOIT: Restructuring Competition Institutions</a:t>
          </a:r>
        </a:p>
      </dgm:t>
    </dgm:pt>
    <dgm:pt modelId="{25288148-CEB0-4B4D-947D-85E543CE2D4A}" type="parTrans" cxnId="{41BB37BE-8FAA-9947-964A-4FA0A9041815}">
      <dgm:prSet/>
      <dgm:spPr/>
      <dgm:t>
        <a:bodyPr/>
        <a:lstStyle/>
        <a:p>
          <a:endParaRPr lang="en-US"/>
        </a:p>
      </dgm:t>
    </dgm:pt>
    <dgm:pt modelId="{6DA9F97A-4D98-3940-9EDD-10BED86AD27B}" type="sibTrans" cxnId="{41BB37BE-8FAA-9947-964A-4FA0A9041815}">
      <dgm:prSet/>
      <dgm:spPr/>
      <dgm:t>
        <a:bodyPr/>
        <a:lstStyle/>
        <a:p>
          <a:endParaRPr lang="en-US"/>
        </a:p>
      </dgm:t>
    </dgm:pt>
    <dgm:pt modelId="{C3064557-A92D-3845-BA0B-D0F949C72574}">
      <dgm:prSet phldrT="[Text]"/>
      <dgm:spPr/>
      <dgm:t>
        <a:bodyPr/>
        <a:lstStyle/>
        <a:p>
          <a:r>
            <a:rPr lang="en-US"/>
            <a:t>IPSARD-MARD:</a:t>
          </a:r>
        </a:p>
        <a:p>
          <a:r>
            <a:rPr lang="en-US"/>
            <a:t>Restructuring the Rural Economy</a:t>
          </a:r>
        </a:p>
      </dgm:t>
    </dgm:pt>
    <dgm:pt modelId="{EB27958B-849E-A64A-82F0-8273A69DFCF4}" type="parTrans" cxnId="{29BDA552-B28C-A147-BCC9-9C865B5853E1}">
      <dgm:prSet/>
      <dgm:spPr/>
      <dgm:t>
        <a:bodyPr/>
        <a:lstStyle/>
        <a:p>
          <a:endParaRPr lang="en-US"/>
        </a:p>
      </dgm:t>
    </dgm:pt>
    <dgm:pt modelId="{E6D88013-EA72-A846-8C7F-08FC9F4A9EC4}" type="sibTrans" cxnId="{29BDA552-B28C-A147-BCC9-9C865B5853E1}">
      <dgm:prSet/>
      <dgm:spPr/>
      <dgm:t>
        <a:bodyPr/>
        <a:lstStyle/>
        <a:p>
          <a:endParaRPr lang="en-US"/>
        </a:p>
      </dgm:t>
    </dgm:pt>
    <dgm:pt modelId="{DAEBBA18-7DB9-6A4A-B1A3-DD3ED3B0775C}" type="asst">
      <dgm:prSet phldrT="[Text]"/>
      <dgm:spPr/>
      <dgm:t>
        <a:bodyPr/>
        <a:lstStyle/>
        <a:p>
          <a:r>
            <a:rPr lang="en-US"/>
            <a:t>Program Coodinating Committee</a:t>
          </a:r>
        </a:p>
      </dgm:t>
    </dgm:pt>
    <dgm:pt modelId="{62DDB500-4352-4F4E-8D88-8DE4B050D831}" type="parTrans" cxnId="{1CBD7C80-52A0-3F4E-8EA0-DF9B174C7A76}">
      <dgm:prSet/>
      <dgm:spPr/>
      <dgm:t>
        <a:bodyPr/>
        <a:lstStyle/>
        <a:p>
          <a:endParaRPr lang="en-US"/>
        </a:p>
      </dgm:t>
    </dgm:pt>
    <dgm:pt modelId="{0A987F10-7056-7544-B49A-2E7B9E6E9D2A}" type="sibTrans" cxnId="{1CBD7C80-52A0-3F4E-8EA0-DF9B174C7A76}">
      <dgm:prSet/>
      <dgm:spPr/>
      <dgm:t>
        <a:bodyPr/>
        <a:lstStyle/>
        <a:p>
          <a:endParaRPr lang="en-US"/>
        </a:p>
      </dgm:t>
    </dgm:pt>
    <dgm:pt modelId="{853DA822-D72B-6242-B79A-D9B54B306FA0}">
      <dgm:prSet/>
      <dgm:spPr/>
      <dgm:t>
        <a:bodyPr/>
        <a:lstStyle/>
        <a:p>
          <a:r>
            <a:rPr lang="en-US"/>
            <a:t>DFAT</a:t>
          </a:r>
        </a:p>
      </dgm:t>
    </dgm:pt>
    <dgm:pt modelId="{A800AEA1-4059-C64B-89A8-29655F63A17B}" type="parTrans" cxnId="{A1A72865-749C-5D4D-9E01-E83E9D8F5805}">
      <dgm:prSet/>
      <dgm:spPr/>
      <dgm:t>
        <a:bodyPr/>
        <a:lstStyle/>
        <a:p>
          <a:endParaRPr lang="en-US"/>
        </a:p>
      </dgm:t>
    </dgm:pt>
    <dgm:pt modelId="{9BD41B65-65CD-664C-BD84-10FCE88B5A88}" type="sibTrans" cxnId="{A1A72865-749C-5D4D-9E01-E83E9D8F5805}">
      <dgm:prSet/>
      <dgm:spPr/>
      <dgm:t>
        <a:bodyPr/>
        <a:lstStyle/>
        <a:p>
          <a:endParaRPr lang="en-US"/>
        </a:p>
      </dgm:t>
    </dgm:pt>
    <dgm:pt modelId="{1F5B040A-5EFD-CF43-B5B5-AC9D09EAABD4}">
      <dgm:prSet/>
      <dgm:spPr/>
      <dgm:t>
        <a:bodyPr/>
        <a:lstStyle/>
        <a:p>
          <a:pPr algn="ctr"/>
          <a:r>
            <a:rPr lang="en-US"/>
            <a:t>STA</a:t>
          </a:r>
        </a:p>
      </dgm:t>
    </dgm:pt>
    <dgm:pt modelId="{A9971AEE-0BD0-AF4D-BCD7-74D127FFCBAC}" type="parTrans" cxnId="{76F95B9F-61BA-B549-A42E-B2F728B7D119}">
      <dgm:prSet>
        <dgm:style>
          <a:lnRef idx="1">
            <a:schemeClr val="accent1"/>
          </a:lnRef>
          <a:fillRef idx="0">
            <a:schemeClr val="accent1"/>
          </a:fillRef>
          <a:effectRef idx="0">
            <a:schemeClr val="accent1"/>
          </a:effectRef>
          <a:fontRef idx="minor">
            <a:schemeClr val="tx1"/>
          </a:fontRef>
        </dgm:style>
      </dgm:prSet>
      <dgm:spPr/>
      <dgm:t>
        <a:bodyPr/>
        <a:lstStyle/>
        <a:p>
          <a:endParaRPr lang="en-US"/>
        </a:p>
      </dgm:t>
    </dgm:pt>
    <dgm:pt modelId="{C093D342-FE50-1C4C-B6E7-142BE2871B9D}" type="sibTrans" cxnId="{76F95B9F-61BA-B549-A42E-B2F728B7D119}">
      <dgm:prSet/>
      <dgm:spPr/>
      <dgm:t>
        <a:bodyPr/>
        <a:lstStyle/>
        <a:p>
          <a:endParaRPr lang="en-US"/>
        </a:p>
      </dgm:t>
    </dgm:pt>
    <dgm:pt modelId="{AF35A14A-3FA0-4842-A149-E7D32517C349}" type="pres">
      <dgm:prSet presAssocID="{AAF98744-93FB-C04B-99E2-2C9FCD4CB372}" presName="hierChild1" presStyleCnt="0">
        <dgm:presLayoutVars>
          <dgm:orgChart val="1"/>
          <dgm:chPref val="1"/>
          <dgm:dir/>
          <dgm:animOne val="branch"/>
          <dgm:animLvl val="lvl"/>
          <dgm:resizeHandles/>
        </dgm:presLayoutVars>
      </dgm:prSet>
      <dgm:spPr/>
      <dgm:t>
        <a:bodyPr/>
        <a:lstStyle/>
        <a:p>
          <a:endParaRPr lang="en-US"/>
        </a:p>
      </dgm:t>
    </dgm:pt>
    <dgm:pt modelId="{4900B532-E69C-A24D-89C0-1D164A8B0ECC}" type="pres">
      <dgm:prSet presAssocID="{1369F77B-FBC5-B94F-9A8A-F072313C2226}" presName="hierRoot1" presStyleCnt="0">
        <dgm:presLayoutVars>
          <dgm:hierBranch val="init"/>
        </dgm:presLayoutVars>
      </dgm:prSet>
      <dgm:spPr/>
      <dgm:t>
        <a:bodyPr/>
        <a:lstStyle/>
        <a:p>
          <a:endParaRPr lang="en-AU"/>
        </a:p>
      </dgm:t>
    </dgm:pt>
    <dgm:pt modelId="{808181D2-388E-A24D-B35C-9593FC890554}" type="pres">
      <dgm:prSet presAssocID="{1369F77B-FBC5-B94F-9A8A-F072313C2226}" presName="rootComposite1" presStyleCnt="0"/>
      <dgm:spPr/>
      <dgm:t>
        <a:bodyPr/>
        <a:lstStyle/>
        <a:p>
          <a:endParaRPr lang="en-AU"/>
        </a:p>
      </dgm:t>
    </dgm:pt>
    <dgm:pt modelId="{B55EB837-284C-7140-B089-887088AED3FE}" type="pres">
      <dgm:prSet presAssocID="{1369F77B-FBC5-B94F-9A8A-F072313C2226}" presName="rootText1" presStyleLbl="node0" presStyleIdx="0" presStyleCnt="2" custLinFactNeighborX="388" custLinFactNeighborY="-1552">
        <dgm:presLayoutVars>
          <dgm:chPref val="3"/>
        </dgm:presLayoutVars>
      </dgm:prSet>
      <dgm:spPr/>
      <dgm:t>
        <a:bodyPr/>
        <a:lstStyle/>
        <a:p>
          <a:endParaRPr lang="en-US"/>
        </a:p>
      </dgm:t>
    </dgm:pt>
    <dgm:pt modelId="{C185D22C-FEF4-1C4B-80B4-0F7016912ED9}" type="pres">
      <dgm:prSet presAssocID="{1369F77B-FBC5-B94F-9A8A-F072313C2226}" presName="rootConnector1" presStyleLbl="node1" presStyleIdx="0" presStyleCnt="0"/>
      <dgm:spPr/>
      <dgm:t>
        <a:bodyPr/>
        <a:lstStyle/>
        <a:p>
          <a:endParaRPr lang="en-US"/>
        </a:p>
      </dgm:t>
    </dgm:pt>
    <dgm:pt modelId="{262F3500-3459-9E48-B55D-BD242C4C6C82}" type="pres">
      <dgm:prSet presAssocID="{1369F77B-FBC5-B94F-9A8A-F072313C2226}" presName="hierChild2" presStyleCnt="0"/>
      <dgm:spPr/>
      <dgm:t>
        <a:bodyPr/>
        <a:lstStyle/>
        <a:p>
          <a:endParaRPr lang="en-AU"/>
        </a:p>
      </dgm:t>
    </dgm:pt>
    <dgm:pt modelId="{2374890A-F194-7842-B358-E7D96022C750}" type="pres">
      <dgm:prSet presAssocID="{75DF73BE-1058-1D44-BAD2-95EC32F18DE5}" presName="Name37" presStyleLbl="parChTrans1D2" presStyleIdx="0" presStyleCnt="6"/>
      <dgm:spPr/>
      <dgm:t>
        <a:bodyPr/>
        <a:lstStyle/>
        <a:p>
          <a:endParaRPr lang="en-US"/>
        </a:p>
      </dgm:t>
    </dgm:pt>
    <dgm:pt modelId="{09277BDF-6D97-054E-B736-F2B18F7760E0}" type="pres">
      <dgm:prSet presAssocID="{C4B89507-01D7-2E48-9413-AF9E6E50F88A}" presName="hierRoot2" presStyleCnt="0">
        <dgm:presLayoutVars>
          <dgm:hierBranch val="init"/>
        </dgm:presLayoutVars>
      </dgm:prSet>
      <dgm:spPr/>
      <dgm:t>
        <a:bodyPr/>
        <a:lstStyle/>
        <a:p>
          <a:endParaRPr lang="en-AU"/>
        </a:p>
      </dgm:t>
    </dgm:pt>
    <dgm:pt modelId="{92E85EAF-ABD5-AE43-B539-B8AA0D2F0DD4}" type="pres">
      <dgm:prSet presAssocID="{C4B89507-01D7-2E48-9413-AF9E6E50F88A}" presName="rootComposite" presStyleCnt="0"/>
      <dgm:spPr/>
      <dgm:t>
        <a:bodyPr/>
        <a:lstStyle/>
        <a:p>
          <a:endParaRPr lang="en-AU"/>
        </a:p>
      </dgm:t>
    </dgm:pt>
    <dgm:pt modelId="{68ADB510-5D1E-FE42-B8BF-DA2FE3E2CF9D}" type="pres">
      <dgm:prSet presAssocID="{C4B89507-01D7-2E48-9413-AF9E6E50F88A}" presName="rootText" presStyleLbl="node2" presStyleIdx="0" presStyleCnt="4">
        <dgm:presLayoutVars>
          <dgm:chPref val="3"/>
        </dgm:presLayoutVars>
      </dgm:prSet>
      <dgm:spPr/>
      <dgm:t>
        <a:bodyPr/>
        <a:lstStyle/>
        <a:p>
          <a:endParaRPr lang="en-US"/>
        </a:p>
      </dgm:t>
    </dgm:pt>
    <dgm:pt modelId="{0403647C-14D4-234C-B1E8-D18DB4678FD0}" type="pres">
      <dgm:prSet presAssocID="{C4B89507-01D7-2E48-9413-AF9E6E50F88A}" presName="rootConnector" presStyleLbl="node2" presStyleIdx="0" presStyleCnt="4"/>
      <dgm:spPr/>
      <dgm:t>
        <a:bodyPr/>
        <a:lstStyle/>
        <a:p>
          <a:endParaRPr lang="en-US"/>
        </a:p>
      </dgm:t>
    </dgm:pt>
    <dgm:pt modelId="{104E7B9D-DA10-2D4F-84EE-015743248782}" type="pres">
      <dgm:prSet presAssocID="{C4B89507-01D7-2E48-9413-AF9E6E50F88A}" presName="hierChild4" presStyleCnt="0"/>
      <dgm:spPr/>
      <dgm:t>
        <a:bodyPr/>
        <a:lstStyle/>
        <a:p>
          <a:endParaRPr lang="en-AU"/>
        </a:p>
      </dgm:t>
    </dgm:pt>
    <dgm:pt modelId="{A1ACB25C-5935-A14D-8B92-3CAFAA5E20B9}" type="pres">
      <dgm:prSet presAssocID="{C4B89507-01D7-2E48-9413-AF9E6E50F88A}" presName="hierChild5" presStyleCnt="0"/>
      <dgm:spPr/>
      <dgm:t>
        <a:bodyPr/>
        <a:lstStyle/>
        <a:p>
          <a:endParaRPr lang="en-AU"/>
        </a:p>
      </dgm:t>
    </dgm:pt>
    <dgm:pt modelId="{EB08FB21-5BB6-A241-9A03-FA4ABF528A14}" type="pres">
      <dgm:prSet presAssocID="{25288148-CEB0-4B4D-947D-85E543CE2D4A}" presName="Name37" presStyleLbl="parChTrans1D2" presStyleIdx="1" presStyleCnt="6"/>
      <dgm:spPr/>
      <dgm:t>
        <a:bodyPr/>
        <a:lstStyle/>
        <a:p>
          <a:endParaRPr lang="en-US"/>
        </a:p>
      </dgm:t>
    </dgm:pt>
    <dgm:pt modelId="{40460088-0DC4-2548-BBB9-9F1844889240}" type="pres">
      <dgm:prSet presAssocID="{9FAFFE54-16DC-544A-AD9C-7AE82F7AFD18}" presName="hierRoot2" presStyleCnt="0">
        <dgm:presLayoutVars>
          <dgm:hierBranch val="init"/>
        </dgm:presLayoutVars>
      </dgm:prSet>
      <dgm:spPr/>
      <dgm:t>
        <a:bodyPr/>
        <a:lstStyle/>
        <a:p>
          <a:endParaRPr lang="en-AU"/>
        </a:p>
      </dgm:t>
    </dgm:pt>
    <dgm:pt modelId="{E74FABC0-52BF-EA4A-9F16-A65C03C3996B}" type="pres">
      <dgm:prSet presAssocID="{9FAFFE54-16DC-544A-AD9C-7AE82F7AFD18}" presName="rootComposite" presStyleCnt="0"/>
      <dgm:spPr/>
      <dgm:t>
        <a:bodyPr/>
        <a:lstStyle/>
        <a:p>
          <a:endParaRPr lang="en-AU"/>
        </a:p>
      </dgm:t>
    </dgm:pt>
    <dgm:pt modelId="{6EE1C780-F130-594C-B570-4432143402F4}" type="pres">
      <dgm:prSet presAssocID="{9FAFFE54-16DC-544A-AD9C-7AE82F7AFD18}" presName="rootText" presStyleLbl="node2" presStyleIdx="1" presStyleCnt="4">
        <dgm:presLayoutVars>
          <dgm:chPref val="3"/>
        </dgm:presLayoutVars>
      </dgm:prSet>
      <dgm:spPr/>
      <dgm:t>
        <a:bodyPr/>
        <a:lstStyle/>
        <a:p>
          <a:endParaRPr lang="en-US"/>
        </a:p>
      </dgm:t>
    </dgm:pt>
    <dgm:pt modelId="{C2CAD529-87DC-6647-B17D-8ADD006E6D90}" type="pres">
      <dgm:prSet presAssocID="{9FAFFE54-16DC-544A-AD9C-7AE82F7AFD18}" presName="rootConnector" presStyleLbl="node2" presStyleIdx="1" presStyleCnt="4"/>
      <dgm:spPr/>
      <dgm:t>
        <a:bodyPr/>
        <a:lstStyle/>
        <a:p>
          <a:endParaRPr lang="en-US"/>
        </a:p>
      </dgm:t>
    </dgm:pt>
    <dgm:pt modelId="{A33762BD-9BEF-1A42-A49D-2795587FE143}" type="pres">
      <dgm:prSet presAssocID="{9FAFFE54-16DC-544A-AD9C-7AE82F7AFD18}" presName="hierChild4" presStyleCnt="0"/>
      <dgm:spPr/>
      <dgm:t>
        <a:bodyPr/>
        <a:lstStyle/>
        <a:p>
          <a:endParaRPr lang="en-AU"/>
        </a:p>
      </dgm:t>
    </dgm:pt>
    <dgm:pt modelId="{801B8142-FC17-F04E-8FD0-C7F0324A9061}" type="pres">
      <dgm:prSet presAssocID="{9FAFFE54-16DC-544A-AD9C-7AE82F7AFD18}" presName="hierChild5" presStyleCnt="0"/>
      <dgm:spPr/>
      <dgm:t>
        <a:bodyPr/>
        <a:lstStyle/>
        <a:p>
          <a:endParaRPr lang="en-AU"/>
        </a:p>
      </dgm:t>
    </dgm:pt>
    <dgm:pt modelId="{65CEA688-EC2D-3646-947F-3E97F0425EAC}" type="pres">
      <dgm:prSet presAssocID="{EB27958B-849E-A64A-82F0-8273A69DFCF4}" presName="Name37" presStyleLbl="parChTrans1D2" presStyleIdx="2" presStyleCnt="6"/>
      <dgm:spPr/>
      <dgm:t>
        <a:bodyPr/>
        <a:lstStyle/>
        <a:p>
          <a:endParaRPr lang="en-US"/>
        </a:p>
      </dgm:t>
    </dgm:pt>
    <dgm:pt modelId="{C59F15F8-0066-F149-9000-99C121E420D7}" type="pres">
      <dgm:prSet presAssocID="{C3064557-A92D-3845-BA0B-D0F949C72574}" presName="hierRoot2" presStyleCnt="0">
        <dgm:presLayoutVars>
          <dgm:hierBranch val="init"/>
        </dgm:presLayoutVars>
      </dgm:prSet>
      <dgm:spPr/>
      <dgm:t>
        <a:bodyPr/>
        <a:lstStyle/>
        <a:p>
          <a:endParaRPr lang="en-AU"/>
        </a:p>
      </dgm:t>
    </dgm:pt>
    <dgm:pt modelId="{102F4DC5-7CDF-5E45-8AE5-02706CE41C54}" type="pres">
      <dgm:prSet presAssocID="{C3064557-A92D-3845-BA0B-D0F949C72574}" presName="rootComposite" presStyleCnt="0"/>
      <dgm:spPr/>
      <dgm:t>
        <a:bodyPr/>
        <a:lstStyle/>
        <a:p>
          <a:endParaRPr lang="en-AU"/>
        </a:p>
      </dgm:t>
    </dgm:pt>
    <dgm:pt modelId="{9EC2C442-09C0-364A-86FB-F60627A986EC}" type="pres">
      <dgm:prSet presAssocID="{C3064557-A92D-3845-BA0B-D0F949C72574}" presName="rootText" presStyleLbl="node2" presStyleIdx="2" presStyleCnt="4">
        <dgm:presLayoutVars>
          <dgm:chPref val="3"/>
        </dgm:presLayoutVars>
      </dgm:prSet>
      <dgm:spPr/>
      <dgm:t>
        <a:bodyPr/>
        <a:lstStyle/>
        <a:p>
          <a:endParaRPr lang="en-US"/>
        </a:p>
      </dgm:t>
    </dgm:pt>
    <dgm:pt modelId="{8360987A-FD09-9649-AA5F-994F4462C691}" type="pres">
      <dgm:prSet presAssocID="{C3064557-A92D-3845-BA0B-D0F949C72574}" presName="rootConnector" presStyleLbl="node2" presStyleIdx="2" presStyleCnt="4"/>
      <dgm:spPr/>
      <dgm:t>
        <a:bodyPr/>
        <a:lstStyle/>
        <a:p>
          <a:endParaRPr lang="en-US"/>
        </a:p>
      </dgm:t>
    </dgm:pt>
    <dgm:pt modelId="{8255BD1E-0CAF-7448-9906-1436F847382B}" type="pres">
      <dgm:prSet presAssocID="{C3064557-A92D-3845-BA0B-D0F949C72574}" presName="hierChild4" presStyleCnt="0"/>
      <dgm:spPr/>
      <dgm:t>
        <a:bodyPr/>
        <a:lstStyle/>
        <a:p>
          <a:endParaRPr lang="en-AU"/>
        </a:p>
      </dgm:t>
    </dgm:pt>
    <dgm:pt modelId="{1F000621-1346-2147-B7E0-584D2A11768D}" type="pres">
      <dgm:prSet presAssocID="{C3064557-A92D-3845-BA0B-D0F949C72574}" presName="hierChild5" presStyleCnt="0"/>
      <dgm:spPr/>
      <dgm:t>
        <a:bodyPr/>
        <a:lstStyle/>
        <a:p>
          <a:endParaRPr lang="en-AU"/>
        </a:p>
      </dgm:t>
    </dgm:pt>
    <dgm:pt modelId="{F3F13F68-DF88-3842-BBB6-538B68EDBEFC}" type="pres">
      <dgm:prSet presAssocID="{1369F77B-FBC5-B94F-9A8A-F072313C2226}" presName="hierChild3" presStyleCnt="0"/>
      <dgm:spPr/>
      <dgm:t>
        <a:bodyPr/>
        <a:lstStyle/>
        <a:p>
          <a:endParaRPr lang="en-AU"/>
        </a:p>
      </dgm:t>
    </dgm:pt>
    <dgm:pt modelId="{8AE71714-F97C-404C-97B9-CB568F62CFE9}" type="pres">
      <dgm:prSet presAssocID="{4DCA30B9-7815-B645-A1A9-7EFC63E13B2D}" presName="Name111" presStyleLbl="parChTrans1D2" presStyleIdx="3" presStyleCnt="6"/>
      <dgm:spPr/>
      <dgm:t>
        <a:bodyPr/>
        <a:lstStyle/>
        <a:p>
          <a:endParaRPr lang="en-US"/>
        </a:p>
      </dgm:t>
    </dgm:pt>
    <dgm:pt modelId="{2730A421-B5E0-8849-9095-D4042F8E8B3C}" type="pres">
      <dgm:prSet presAssocID="{E04A4581-DC31-3E42-AD36-44C7726810B6}" presName="hierRoot3" presStyleCnt="0">
        <dgm:presLayoutVars>
          <dgm:hierBranch val="init"/>
        </dgm:presLayoutVars>
      </dgm:prSet>
      <dgm:spPr/>
      <dgm:t>
        <a:bodyPr/>
        <a:lstStyle/>
        <a:p>
          <a:endParaRPr lang="en-AU"/>
        </a:p>
      </dgm:t>
    </dgm:pt>
    <dgm:pt modelId="{C5AE25AE-B7E8-2C4A-B6EE-6064E3A7FBDB}" type="pres">
      <dgm:prSet presAssocID="{E04A4581-DC31-3E42-AD36-44C7726810B6}" presName="rootComposite3" presStyleCnt="0"/>
      <dgm:spPr/>
      <dgm:t>
        <a:bodyPr/>
        <a:lstStyle/>
        <a:p>
          <a:endParaRPr lang="en-AU"/>
        </a:p>
      </dgm:t>
    </dgm:pt>
    <dgm:pt modelId="{9516E041-C8AA-5841-8F8B-8DA291FDDF91}" type="pres">
      <dgm:prSet presAssocID="{E04A4581-DC31-3E42-AD36-44C7726810B6}" presName="rootText3" presStyleLbl="asst1" presStyleIdx="0" presStyleCnt="2" custLinFactNeighborX="59365" custLinFactNeighborY="1552">
        <dgm:presLayoutVars>
          <dgm:chPref val="3"/>
        </dgm:presLayoutVars>
      </dgm:prSet>
      <dgm:spPr/>
      <dgm:t>
        <a:bodyPr/>
        <a:lstStyle/>
        <a:p>
          <a:endParaRPr lang="en-US"/>
        </a:p>
      </dgm:t>
    </dgm:pt>
    <dgm:pt modelId="{AAC99C1D-3D9F-C946-B02D-6FA67DD240F5}" type="pres">
      <dgm:prSet presAssocID="{E04A4581-DC31-3E42-AD36-44C7726810B6}" presName="rootConnector3" presStyleLbl="asst1" presStyleIdx="0" presStyleCnt="2"/>
      <dgm:spPr/>
      <dgm:t>
        <a:bodyPr/>
        <a:lstStyle/>
        <a:p>
          <a:endParaRPr lang="en-US"/>
        </a:p>
      </dgm:t>
    </dgm:pt>
    <dgm:pt modelId="{B39E3993-68F0-F944-A55B-542531AC2767}" type="pres">
      <dgm:prSet presAssocID="{E04A4581-DC31-3E42-AD36-44C7726810B6}" presName="hierChild6" presStyleCnt="0"/>
      <dgm:spPr/>
      <dgm:t>
        <a:bodyPr/>
        <a:lstStyle/>
        <a:p>
          <a:endParaRPr lang="en-AU"/>
        </a:p>
      </dgm:t>
    </dgm:pt>
    <dgm:pt modelId="{90C87CC8-828C-FD4C-A990-B9AED2DF1269}" type="pres">
      <dgm:prSet presAssocID="{E04A4581-DC31-3E42-AD36-44C7726810B6}" presName="hierChild7" presStyleCnt="0"/>
      <dgm:spPr/>
      <dgm:t>
        <a:bodyPr/>
        <a:lstStyle/>
        <a:p>
          <a:endParaRPr lang="en-AU"/>
        </a:p>
      </dgm:t>
    </dgm:pt>
    <dgm:pt modelId="{C66C594A-319F-A049-8EFA-D12A0C711E08}" type="pres">
      <dgm:prSet presAssocID="{62DDB500-4352-4F4E-8D88-8DE4B050D831}" presName="Name111" presStyleLbl="parChTrans1D2" presStyleIdx="4" presStyleCnt="6"/>
      <dgm:spPr/>
      <dgm:t>
        <a:bodyPr/>
        <a:lstStyle/>
        <a:p>
          <a:endParaRPr lang="en-US"/>
        </a:p>
      </dgm:t>
    </dgm:pt>
    <dgm:pt modelId="{1920E1E1-BCB7-0A45-8731-96805102107A}" type="pres">
      <dgm:prSet presAssocID="{DAEBBA18-7DB9-6A4A-B1A3-DD3ED3B0775C}" presName="hierRoot3" presStyleCnt="0">
        <dgm:presLayoutVars>
          <dgm:hierBranch val="init"/>
        </dgm:presLayoutVars>
      </dgm:prSet>
      <dgm:spPr/>
      <dgm:t>
        <a:bodyPr/>
        <a:lstStyle/>
        <a:p>
          <a:endParaRPr lang="en-AU"/>
        </a:p>
      </dgm:t>
    </dgm:pt>
    <dgm:pt modelId="{BB11E31F-DEA0-6544-9446-124C7F785BDD}" type="pres">
      <dgm:prSet presAssocID="{DAEBBA18-7DB9-6A4A-B1A3-DD3ED3B0775C}" presName="rootComposite3" presStyleCnt="0"/>
      <dgm:spPr/>
      <dgm:t>
        <a:bodyPr/>
        <a:lstStyle/>
        <a:p>
          <a:endParaRPr lang="en-AU"/>
        </a:p>
      </dgm:t>
    </dgm:pt>
    <dgm:pt modelId="{7626CF0E-C6F2-D447-B1DB-368A4FDB63CE}" type="pres">
      <dgm:prSet presAssocID="{DAEBBA18-7DB9-6A4A-B1A3-DD3ED3B0775C}" presName="rootText3" presStyleLbl="asst1" presStyleIdx="1" presStyleCnt="2" custLinFactNeighborX="61791" custLinFactNeighborY="-62862">
        <dgm:presLayoutVars>
          <dgm:chPref val="3"/>
        </dgm:presLayoutVars>
      </dgm:prSet>
      <dgm:spPr/>
      <dgm:t>
        <a:bodyPr/>
        <a:lstStyle/>
        <a:p>
          <a:endParaRPr lang="en-US"/>
        </a:p>
      </dgm:t>
    </dgm:pt>
    <dgm:pt modelId="{09EF8CB9-3DB2-FE4A-BD47-B0F2143B0EAB}" type="pres">
      <dgm:prSet presAssocID="{DAEBBA18-7DB9-6A4A-B1A3-DD3ED3B0775C}" presName="rootConnector3" presStyleLbl="asst1" presStyleIdx="1" presStyleCnt="2"/>
      <dgm:spPr/>
      <dgm:t>
        <a:bodyPr/>
        <a:lstStyle/>
        <a:p>
          <a:endParaRPr lang="en-US"/>
        </a:p>
      </dgm:t>
    </dgm:pt>
    <dgm:pt modelId="{E31FBFD3-4152-3E42-A398-0B690FB6A70E}" type="pres">
      <dgm:prSet presAssocID="{DAEBBA18-7DB9-6A4A-B1A3-DD3ED3B0775C}" presName="hierChild6" presStyleCnt="0"/>
      <dgm:spPr/>
      <dgm:t>
        <a:bodyPr/>
        <a:lstStyle/>
        <a:p>
          <a:endParaRPr lang="en-AU"/>
        </a:p>
      </dgm:t>
    </dgm:pt>
    <dgm:pt modelId="{7240BB56-26FF-2541-8553-620C022CDCD0}" type="pres">
      <dgm:prSet presAssocID="{DAEBBA18-7DB9-6A4A-B1A3-DD3ED3B0775C}" presName="hierChild7" presStyleCnt="0"/>
      <dgm:spPr/>
      <dgm:t>
        <a:bodyPr/>
        <a:lstStyle/>
        <a:p>
          <a:endParaRPr lang="en-AU"/>
        </a:p>
      </dgm:t>
    </dgm:pt>
    <dgm:pt modelId="{ADFFF74B-7913-F749-B109-AF98C035E5EF}" type="pres">
      <dgm:prSet presAssocID="{853DA822-D72B-6242-B79A-D9B54B306FA0}" presName="hierRoot1" presStyleCnt="0">
        <dgm:presLayoutVars>
          <dgm:hierBranch val="init"/>
        </dgm:presLayoutVars>
      </dgm:prSet>
      <dgm:spPr/>
      <dgm:t>
        <a:bodyPr/>
        <a:lstStyle/>
        <a:p>
          <a:endParaRPr lang="en-AU"/>
        </a:p>
      </dgm:t>
    </dgm:pt>
    <dgm:pt modelId="{C32F47F8-9B52-C54B-9645-4FFFDF060E02}" type="pres">
      <dgm:prSet presAssocID="{853DA822-D72B-6242-B79A-D9B54B306FA0}" presName="rootComposite1" presStyleCnt="0"/>
      <dgm:spPr/>
      <dgm:t>
        <a:bodyPr/>
        <a:lstStyle/>
        <a:p>
          <a:endParaRPr lang="en-AU"/>
        </a:p>
      </dgm:t>
    </dgm:pt>
    <dgm:pt modelId="{A29A6D74-36D9-AD4A-BD73-4E2F40045C38}" type="pres">
      <dgm:prSet presAssocID="{853DA822-D72B-6242-B79A-D9B54B306FA0}" presName="rootText1" presStyleLbl="node0" presStyleIdx="1" presStyleCnt="2" custScaleX="90201" custLinFactX="-102830" custLinFactNeighborX="-200000" custLinFactNeighborY="5299">
        <dgm:presLayoutVars>
          <dgm:chPref val="3"/>
        </dgm:presLayoutVars>
      </dgm:prSet>
      <dgm:spPr/>
      <dgm:t>
        <a:bodyPr/>
        <a:lstStyle/>
        <a:p>
          <a:endParaRPr lang="en-US"/>
        </a:p>
      </dgm:t>
    </dgm:pt>
    <dgm:pt modelId="{199B2B33-5AA7-7B47-9EDF-51DAD805F0B0}" type="pres">
      <dgm:prSet presAssocID="{853DA822-D72B-6242-B79A-D9B54B306FA0}" presName="rootConnector1" presStyleLbl="node1" presStyleIdx="0" presStyleCnt="0"/>
      <dgm:spPr/>
      <dgm:t>
        <a:bodyPr/>
        <a:lstStyle/>
        <a:p>
          <a:endParaRPr lang="en-US"/>
        </a:p>
      </dgm:t>
    </dgm:pt>
    <dgm:pt modelId="{D80F80B3-6DA8-D247-B172-F427B693BF3B}" type="pres">
      <dgm:prSet presAssocID="{853DA822-D72B-6242-B79A-D9B54B306FA0}" presName="hierChild2" presStyleCnt="0"/>
      <dgm:spPr/>
      <dgm:t>
        <a:bodyPr/>
        <a:lstStyle/>
        <a:p>
          <a:endParaRPr lang="en-AU"/>
        </a:p>
      </dgm:t>
    </dgm:pt>
    <dgm:pt modelId="{4EFF129B-7EA3-9442-AA5C-1D99D5D88CCF}" type="pres">
      <dgm:prSet presAssocID="{A9971AEE-0BD0-AF4D-BCD7-74D127FFCBAC}" presName="Name37" presStyleLbl="parChTrans1D2" presStyleIdx="5" presStyleCnt="6"/>
      <dgm:spPr/>
      <dgm:t>
        <a:bodyPr/>
        <a:lstStyle/>
        <a:p>
          <a:endParaRPr lang="en-US"/>
        </a:p>
      </dgm:t>
    </dgm:pt>
    <dgm:pt modelId="{629E2F10-1B7D-4B4A-BDE2-463C38C91B45}" type="pres">
      <dgm:prSet presAssocID="{1F5B040A-5EFD-CF43-B5B5-AC9D09EAABD4}" presName="hierRoot2" presStyleCnt="0">
        <dgm:presLayoutVars>
          <dgm:hierBranch val="init"/>
        </dgm:presLayoutVars>
      </dgm:prSet>
      <dgm:spPr/>
      <dgm:t>
        <a:bodyPr/>
        <a:lstStyle/>
        <a:p>
          <a:endParaRPr lang="en-AU"/>
        </a:p>
      </dgm:t>
    </dgm:pt>
    <dgm:pt modelId="{5DADE847-448C-F943-88C2-BE7CB0C2BA01}" type="pres">
      <dgm:prSet presAssocID="{1F5B040A-5EFD-CF43-B5B5-AC9D09EAABD4}" presName="rootComposite" presStyleCnt="0"/>
      <dgm:spPr/>
      <dgm:t>
        <a:bodyPr/>
        <a:lstStyle/>
        <a:p>
          <a:endParaRPr lang="en-AU"/>
        </a:p>
      </dgm:t>
    </dgm:pt>
    <dgm:pt modelId="{35C02E39-375B-BD4F-9220-91B53195382C}" type="pres">
      <dgm:prSet presAssocID="{1F5B040A-5EFD-CF43-B5B5-AC9D09EAABD4}" presName="rootText" presStyleLbl="node2" presStyleIdx="3" presStyleCnt="4" custScaleX="100996" custScaleY="107887" custLinFactX="-106408" custLinFactNeighborX="-200000" custLinFactNeighborY="-4418">
        <dgm:presLayoutVars>
          <dgm:chPref val="3"/>
        </dgm:presLayoutVars>
      </dgm:prSet>
      <dgm:spPr/>
      <dgm:t>
        <a:bodyPr/>
        <a:lstStyle/>
        <a:p>
          <a:endParaRPr lang="en-US"/>
        </a:p>
      </dgm:t>
    </dgm:pt>
    <dgm:pt modelId="{A3F31C74-0B99-0D4F-B756-C26CFB8E9169}" type="pres">
      <dgm:prSet presAssocID="{1F5B040A-5EFD-CF43-B5B5-AC9D09EAABD4}" presName="rootConnector" presStyleLbl="node2" presStyleIdx="3" presStyleCnt="4"/>
      <dgm:spPr/>
      <dgm:t>
        <a:bodyPr/>
        <a:lstStyle/>
        <a:p>
          <a:endParaRPr lang="en-US"/>
        </a:p>
      </dgm:t>
    </dgm:pt>
    <dgm:pt modelId="{5AE5B74F-F2E2-B440-B08E-3CFE311CA25F}" type="pres">
      <dgm:prSet presAssocID="{1F5B040A-5EFD-CF43-B5B5-AC9D09EAABD4}" presName="hierChild4" presStyleCnt="0"/>
      <dgm:spPr/>
      <dgm:t>
        <a:bodyPr/>
        <a:lstStyle/>
        <a:p>
          <a:endParaRPr lang="en-AU"/>
        </a:p>
      </dgm:t>
    </dgm:pt>
    <dgm:pt modelId="{6165E876-6B1B-A940-B5D7-7499F4EFAC01}" type="pres">
      <dgm:prSet presAssocID="{1F5B040A-5EFD-CF43-B5B5-AC9D09EAABD4}" presName="hierChild5" presStyleCnt="0"/>
      <dgm:spPr/>
      <dgm:t>
        <a:bodyPr/>
        <a:lstStyle/>
        <a:p>
          <a:endParaRPr lang="en-AU"/>
        </a:p>
      </dgm:t>
    </dgm:pt>
    <dgm:pt modelId="{625DE37F-2380-DD4E-8DA5-1A6706E4525C}" type="pres">
      <dgm:prSet presAssocID="{853DA822-D72B-6242-B79A-D9B54B306FA0}" presName="hierChild3" presStyleCnt="0"/>
      <dgm:spPr/>
      <dgm:t>
        <a:bodyPr/>
        <a:lstStyle/>
        <a:p>
          <a:endParaRPr lang="en-AU"/>
        </a:p>
      </dgm:t>
    </dgm:pt>
  </dgm:ptLst>
  <dgm:cxnLst>
    <dgm:cxn modelId="{50591C63-F4FE-49BC-88DA-DDCF605C5806}" type="presOf" srcId="{25288148-CEB0-4B4D-947D-85E543CE2D4A}" destId="{EB08FB21-5BB6-A241-9A03-FA4ABF528A14}" srcOrd="0" destOrd="0" presId="urn:microsoft.com/office/officeart/2005/8/layout/orgChart1"/>
    <dgm:cxn modelId="{49401684-6471-436B-9262-D319B350CC9C}" type="presOf" srcId="{A9971AEE-0BD0-AF4D-BCD7-74D127FFCBAC}" destId="{4EFF129B-7EA3-9442-AA5C-1D99D5D88CCF}" srcOrd="0" destOrd="0" presId="urn:microsoft.com/office/officeart/2005/8/layout/orgChart1"/>
    <dgm:cxn modelId="{ED20E9F9-FFF5-4765-8458-2D4BF9B49162}" type="presOf" srcId="{853DA822-D72B-6242-B79A-D9B54B306FA0}" destId="{A29A6D74-36D9-AD4A-BD73-4E2F40045C38}" srcOrd="0" destOrd="0" presId="urn:microsoft.com/office/officeart/2005/8/layout/orgChart1"/>
    <dgm:cxn modelId="{65B707F1-27DF-4ED8-94DA-24B43F273F9A}" type="presOf" srcId="{C3064557-A92D-3845-BA0B-D0F949C72574}" destId="{8360987A-FD09-9649-AA5F-994F4462C691}" srcOrd="1" destOrd="0" presId="urn:microsoft.com/office/officeart/2005/8/layout/orgChart1"/>
    <dgm:cxn modelId="{29BDA552-B28C-A147-BCC9-9C865B5853E1}" srcId="{1369F77B-FBC5-B94F-9A8A-F072313C2226}" destId="{C3064557-A92D-3845-BA0B-D0F949C72574}" srcOrd="4" destOrd="0" parTransId="{EB27958B-849E-A64A-82F0-8273A69DFCF4}" sibTransId="{E6D88013-EA72-A846-8C7F-08FC9F4A9EC4}"/>
    <dgm:cxn modelId="{9045550E-BBA9-4C38-A32D-1862956A8905}" type="presOf" srcId="{C4B89507-01D7-2E48-9413-AF9E6E50F88A}" destId="{68ADB510-5D1E-FE42-B8BF-DA2FE3E2CF9D}" srcOrd="0" destOrd="0" presId="urn:microsoft.com/office/officeart/2005/8/layout/orgChart1"/>
    <dgm:cxn modelId="{6EDFC86D-A523-46DB-8BFE-5B922059B47B}" type="presOf" srcId="{AAF98744-93FB-C04B-99E2-2C9FCD4CB372}" destId="{AF35A14A-3FA0-4842-A149-E7D32517C349}" srcOrd="0" destOrd="0" presId="urn:microsoft.com/office/officeart/2005/8/layout/orgChart1"/>
    <dgm:cxn modelId="{8B084569-F944-4FCD-8BE0-FF2931C9717B}" type="presOf" srcId="{E04A4581-DC31-3E42-AD36-44C7726810B6}" destId="{9516E041-C8AA-5841-8F8B-8DA291FDDF91}" srcOrd="0" destOrd="0" presId="urn:microsoft.com/office/officeart/2005/8/layout/orgChart1"/>
    <dgm:cxn modelId="{7CC1E906-4B90-4F87-9FAA-4D13D73CEC6F}" type="presOf" srcId="{1F5B040A-5EFD-CF43-B5B5-AC9D09EAABD4}" destId="{35C02E39-375B-BD4F-9220-91B53195382C}" srcOrd="0" destOrd="0" presId="urn:microsoft.com/office/officeart/2005/8/layout/orgChart1"/>
    <dgm:cxn modelId="{D0EB1424-453F-4EE7-BEB2-11228CE0F6B9}" type="presOf" srcId="{9FAFFE54-16DC-544A-AD9C-7AE82F7AFD18}" destId="{6EE1C780-F130-594C-B570-4432143402F4}" srcOrd="0" destOrd="0" presId="urn:microsoft.com/office/officeart/2005/8/layout/orgChart1"/>
    <dgm:cxn modelId="{B525ED76-48E8-4474-8238-73BDFBAD5840}" type="presOf" srcId="{DAEBBA18-7DB9-6A4A-B1A3-DD3ED3B0775C}" destId="{7626CF0E-C6F2-D447-B1DB-368A4FDB63CE}" srcOrd="0" destOrd="0" presId="urn:microsoft.com/office/officeart/2005/8/layout/orgChart1"/>
    <dgm:cxn modelId="{76F95B9F-61BA-B549-A42E-B2F728B7D119}" srcId="{853DA822-D72B-6242-B79A-D9B54B306FA0}" destId="{1F5B040A-5EFD-CF43-B5B5-AC9D09EAABD4}" srcOrd="0" destOrd="0" parTransId="{A9971AEE-0BD0-AF4D-BCD7-74D127FFCBAC}" sibTransId="{C093D342-FE50-1C4C-B6E7-142BE2871B9D}"/>
    <dgm:cxn modelId="{39B14A50-BF99-47EF-B21B-81BD1CA3CF8C}" type="presOf" srcId="{853DA822-D72B-6242-B79A-D9B54B306FA0}" destId="{199B2B33-5AA7-7B47-9EDF-51DAD805F0B0}" srcOrd="1" destOrd="0" presId="urn:microsoft.com/office/officeart/2005/8/layout/orgChart1"/>
    <dgm:cxn modelId="{25C000BC-4D48-3A49-AB1A-1E866558CC27}" srcId="{1369F77B-FBC5-B94F-9A8A-F072313C2226}" destId="{C4B89507-01D7-2E48-9413-AF9E6E50F88A}" srcOrd="2" destOrd="0" parTransId="{75DF73BE-1058-1D44-BAD2-95EC32F18DE5}" sibTransId="{5C6A47E7-CD2D-9146-AB05-3853A0C16E48}"/>
    <dgm:cxn modelId="{1CBD7C80-52A0-3F4E-8EA0-DF9B174C7A76}" srcId="{1369F77B-FBC5-B94F-9A8A-F072313C2226}" destId="{DAEBBA18-7DB9-6A4A-B1A3-DD3ED3B0775C}" srcOrd="1" destOrd="0" parTransId="{62DDB500-4352-4F4E-8D88-8DE4B050D831}" sibTransId="{0A987F10-7056-7544-B49A-2E7B9E6E9D2A}"/>
    <dgm:cxn modelId="{A1A72865-749C-5D4D-9E01-E83E9D8F5805}" srcId="{AAF98744-93FB-C04B-99E2-2C9FCD4CB372}" destId="{853DA822-D72B-6242-B79A-D9B54B306FA0}" srcOrd="1" destOrd="0" parTransId="{A800AEA1-4059-C64B-89A8-29655F63A17B}" sibTransId="{9BD41B65-65CD-664C-BD84-10FCE88B5A88}"/>
    <dgm:cxn modelId="{41BB37BE-8FAA-9947-964A-4FA0A9041815}" srcId="{1369F77B-FBC5-B94F-9A8A-F072313C2226}" destId="{9FAFFE54-16DC-544A-AD9C-7AE82F7AFD18}" srcOrd="3" destOrd="0" parTransId="{25288148-CEB0-4B4D-947D-85E543CE2D4A}" sibTransId="{6DA9F97A-4D98-3940-9EDD-10BED86AD27B}"/>
    <dgm:cxn modelId="{34EE1A2F-E58A-4A44-8782-0AD5AE95FD11}" type="presOf" srcId="{75DF73BE-1058-1D44-BAD2-95EC32F18DE5}" destId="{2374890A-F194-7842-B358-E7D96022C750}" srcOrd="0" destOrd="0" presId="urn:microsoft.com/office/officeart/2005/8/layout/orgChart1"/>
    <dgm:cxn modelId="{F66CDF3D-27DE-4016-8938-4BEE672CCF7E}" type="presOf" srcId="{62DDB500-4352-4F4E-8D88-8DE4B050D831}" destId="{C66C594A-319F-A049-8EFA-D12A0C711E08}" srcOrd="0" destOrd="0" presId="urn:microsoft.com/office/officeart/2005/8/layout/orgChart1"/>
    <dgm:cxn modelId="{964D1B3E-0141-4B6B-B944-79ACCAD60A32}" type="presOf" srcId="{1F5B040A-5EFD-CF43-B5B5-AC9D09EAABD4}" destId="{A3F31C74-0B99-0D4F-B756-C26CFB8E9169}" srcOrd="1" destOrd="0" presId="urn:microsoft.com/office/officeart/2005/8/layout/orgChart1"/>
    <dgm:cxn modelId="{E31B2961-175A-4A7B-AD07-D3E05528EBD5}" type="presOf" srcId="{1369F77B-FBC5-B94F-9A8A-F072313C2226}" destId="{B55EB837-284C-7140-B089-887088AED3FE}" srcOrd="0" destOrd="0" presId="urn:microsoft.com/office/officeart/2005/8/layout/orgChart1"/>
    <dgm:cxn modelId="{FA426079-BED5-46C1-8FA8-65648702FB9D}" type="presOf" srcId="{4DCA30B9-7815-B645-A1A9-7EFC63E13B2D}" destId="{8AE71714-F97C-404C-97B9-CB568F62CFE9}" srcOrd="0" destOrd="0" presId="urn:microsoft.com/office/officeart/2005/8/layout/orgChart1"/>
    <dgm:cxn modelId="{EC0730DF-FDDD-4872-B8E5-2EB19A7633F9}" type="presOf" srcId="{C4B89507-01D7-2E48-9413-AF9E6E50F88A}" destId="{0403647C-14D4-234C-B1E8-D18DB4678FD0}" srcOrd="1" destOrd="0" presId="urn:microsoft.com/office/officeart/2005/8/layout/orgChart1"/>
    <dgm:cxn modelId="{6D745D78-FDBE-421E-8C5B-C1BAF72806C4}" type="presOf" srcId="{9FAFFE54-16DC-544A-AD9C-7AE82F7AFD18}" destId="{C2CAD529-87DC-6647-B17D-8ADD006E6D90}" srcOrd="1" destOrd="0" presId="urn:microsoft.com/office/officeart/2005/8/layout/orgChart1"/>
    <dgm:cxn modelId="{10593A4A-CD69-A844-A988-129307086888}" srcId="{1369F77B-FBC5-B94F-9A8A-F072313C2226}" destId="{E04A4581-DC31-3E42-AD36-44C7726810B6}" srcOrd="0" destOrd="0" parTransId="{4DCA30B9-7815-B645-A1A9-7EFC63E13B2D}" sibTransId="{21D50A70-5C87-6E4B-8D3F-AFF937A0C491}"/>
    <dgm:cxn modelId="{DA9A63B4-B4AE-40DA-A729-709D53C02D73}" type="presOf" srcId="{C3064557-A92D-3845-BA0B-D0F949C72574}" destId="{9EC2C442-09C0-364A-86FB-F60627A986EC}" srcOrd="0" destOrd="0" presId="urn:microsoft.com/office/officeart/2005/8/layout/orgChart1"/>
    <dgm:cxn modelId="{3886698E-1FC5-4390-B298-06041BCFC273}" type="presOf" srcId="{E04A4581-DC31-3E42-AD36-44C7726810B6}" destId="{AAC99C1D-3D9F-C946-B02D-6FA67DD240F5}" srcOrd="1" destOrd="0" presId="urn:microsoft.com/office/officeart/2005/8/layout/orgChart1"/>
    <dgm:cxn modelId="{2022EE68-07C5-EC41-8679-C989948F8B69}" srcId="{AAF98744-93FB-C04B-99E2-2C9FCD4CB372}" destId="{1369F77B-FBC5-B94F-9A8A-F072313C2226}" srcOrd="0" destOrd="0" parTransId="{784F08B8-7A58-F545-967B-3F5C708F284B}" sibTransId="{A3E7E42A-0D03-0544-8A46-E1DB62B7F4E2}"/>
    <dgm:cxn modelId="{E67FA018-C454-482E-9659-A11A8EF342FE}" type="presOf" srcId="{1369F77B-FBC5-B94F-9A8A-F072313C2226}" destId="{C185D22C-FEF4-1C4B-80B4-0F7016912ED9}" srcOrd="1" destOrd="0" presId="urn:microsoft.com/office/officeart/2005/8/layout/orgChart1"/>
    <dgm:cxn modelId="{6CA1C1F0-3968-4D25-924D-DC9C2F19E9D2}" type="presOf" srcId="{DAEBBA18-7DB9-6A4A-B1A3-DD3ED3B0775C}" destId="{09EF8CB9-3DB2-FE4A-BD47-B0F2143B0EAB}" srcOrd="1" destOrd="0" presId="urn:microsoft.com/office/officeart/2005/8/layout/orgChart1"/>
    <dgm:cxn modelId="{9F72609B-962F-46BB-B770-03D18C6D50BB}" type="presOf" srcId="{EB27958B-849E-A64A-82F0-8273A69DFCF4}" destId="{65CEA688-EC2D-3646-947F-3E97F0425EAC}" srcOrd="0" destOrd="0" presId="urn:microsoft.com/office/officeart/2005/8/layout/orgChart1"/>
    <dgm:cxn modelId="{A46F7580-62E8-4E24-BF80-FCC2D2E0251C}" type="presParOf" srcId="{AF35A14A-3FA0-4842-A149-E7D32517C349}" destId="{4900B532-E69C-A24D-89C0-1D164A8B0ECC}" srcOrd="0" destOrd="0" presId="urn:microsoft.com/office/officeart/2005/8/layout/orgChart1"/>
    <dgm:cxn modelId="{51C33EBB-FCD5-4BCD-B869-198A4E5DC015}" type="presParOf" srcId="{4900B532-E69C-A24D-89C0-1D164A8B0ECC}" destId="{808181D2-388E-A24D-B35C-9593FC890554}" srcOrd="0" destOrd="0" presId="urn:microsoft.com/office/officeart/2005/8/layout/orgChart1"/>
    <dgm:cxn modelId="{5F27D7C4-5F55-4568-80A6-F28C095C31C2}" type="presParOf" srcId="{808181D2-388E-A24D-B35C-9593FC890554}" destId="{B55EB837-284C-7140-B089-887088AED3FE}" srcOrd="0" destOrd="0" presId="urn:microsoft.com/office/officeart/2005/8/layout/orgChart1"/>
    <dgm:cxn modelId="{F7DEC030-EAFE-4F0B-9167-E3B556363010}" type="presParOf" srcId="{808181D2-388E-A24D-B35C-9593FC890554}" destId="{C185D22C-FEF4-1C4B-80B4-0F7016912ED9}" srcOrd="1" destOrd="0" presId="urn:microsoft.com/office/officeart/2005/8/layout/orgChart1"/>
    <dgm:cxn modelId="{991FEF4B-104B-4ACB-A978-83469E8C4CBB}" type="presParOf" srcId="{4900B532-E69C-A24D-89C0-1D164A8B0ECC}" destId="{262F3500-3459-9E48-B55D-BD242C4C6C82}" srcOrd="1" destOrd="0" presId="urn:microsoft.com/office/officeart/2005/8/layout/orgChart1"/>
    <dgm:cxn modelId="{6A000F9E-EC64-4F7E-8A43-6C93521D631F}" type="presParOf" srcId="{262F3500-3459-9E48-B55D-BD242C4C6C82}" destId="{2374890A-F194-7842-B358-E7D96022C750}" srcOrd="0" destOrd="0" presId="urn:microsoft.com/office/officeart/2005/8/layout/orgChart1"/>
    <dgm:cxn modelId="{8564685A-7021-444B-A1C4-2803ECC135FE}" type="presParOf" srcId="{262F3500-3459-9E48-B55D-BD242C4C6C82}" destId="{09277BDF-6D97-054E-B736-F2B18F7760E0}" srcOrd="1" destOrd="0" presId="urn:microsoft.com/office/officeart/2005/8/layout/orgChart1"/>
    <dgm:cxn modelId="{7966EAF7-5D17-43AA-9934-DD8671166DED}" type="presParOf" srcId="{09277BDF-6D97-054E-B736-F2B18F7760E0}" destId="{92E85EAF-ABD5-AE43-B539-B8AA0D2F0DD4}" srcOrd="0" destOrd="0" presId="urn:microsoft.com/office/officeart/2005/8/layout/orgChart1"/>
    <dgm:cxn modelId="{9A06056A-4B4D-4985-B8C1-0EED2B82C85F}" type="presParOf" srcId="{92E85EAF-ABD5-AE43-B539-B8AA0D2F0DD4}" destId="{68ADB510-5D1E-FE42-B8BF-DA2FE3E2CF9D}" srcOrd="0" destOrd="0" presId="urn:microsoft.com/office/officeart/2005/8/layout/orgChart1"/>
    <dgm:cxn modelId="{A944E0EE-75DF-4E63-BA6D-36CF612A46DE}" type="presParOf" srcId="{92E85EAF-ABD5-AE43-B539-B8AA0D2F0DD4}" destId="{0403647C-14D4-234C-B1E8-D18DB4678FD0}" srcOrd="1" destOrd="0" presId="urn:microsoft.com/office/officeart/2005/8/layout/orgChart1"/>
    <dgm:cxn modelId="{69B11904-8802-48C0-A4CD-7FB1B4F9D050}" type="presParOf" srcId="{09277BDF-6D97-054E-B736-F2B18F7760E0}" destId="{104E7B9D-DA10-2D4F-84EE-015743248782}" srcOrd="1" destOrd="0" presId="urn:microsoft.com/office/officeart/2005/8/layout/orgChart1"/>
    <dgm:cxn modelId="{6D6B68E3-320F-4957-9D44-B639A49906F8}" type="presParOf" srcId="{09277BDF-6D97-054E-B736-F2B18F7760E0}" destId="{A1ACB25C-5935-A14D-8B92-3CAFAA5E20B9}" srcOrd="2" destOrd="0" presId="urn:microsoft.com/office/officeart/2005/8/layout/orgChart1"/>
    <dgm:cxn modelId="{A44A3694-9171-4A50-A1AC-DABA069B2A9D}" type="presParOf" srcId="{262F3500-3459-9E48-B55D-BD242C4C6C82}" destId="{EB08FB21-5BB6-A241-9A03-FA4ABF528A14}" srcOrd="2" destOrd="0" presId="urn:microsoft.com/office/officeart/2005/8/layout/orgChart1"/>
    <dgm:cxn modelId="{55C3596B-01CC-4024-842F-705781DD170C}" type="presParOf" srcId="{262F3500-3459-9E48-B55D-BD242C4C6C82}" destId="{40460088-0DC4-2548-BBB9-9F1844889240}" srcOrd="3" destOrd="0" presId="urn:microsoft.com/office/officeart/2005/8/layout/orgChart1"/>
    <dgm:cxn modelId="{45D63B5A-4BE4-488C-80FD-9BF2B72DA433}" type="presParOf" srcId="{40460088-0DC4-2548-BBB9-9F1844889240}" destId="{E74FABC0-52BF-EA4A-9F16-A65C03C3996B}" srcOrd="0" destOrd="0" presId="urn:microsoft.com/office/officeart/2005/8/layout/orgChart1"/>
    <dgm:cxn modelId="{C3B1BBE9-BD47-4688-B720-20212908A47C}" type="presParOf" srcId="{E74FABC0-52BF-EA4A-9F16-A65C03C3996B}" destId="{6EE1C780-F130-594C-B570-4432143402F4}" srcOrd="0" destOrd="0" presId="urn:microsoft.com/office/officeart/2005/8/layout/orgChart1"/>
    <dgm:cxn modelId="{9AD9AB01-02D4-4710-BBFB-9BB5D99A7D11}" type="presParOf" srcId="{E74FABC0-52BF-EA4A-9F16-A65C03C3996B}" destId="{C2CAD529-87DC-6647-B17D-8ADD006E6D90}" srcOrd="1" destOrd="0" presId="urn:microsoft.com/office/officeart/2005/8/layout/orgChart1"/>
    <dgm:cxn modelId="{4617E09B-1465-4CBE-88DE-2B0FD330DB6A}" type="presParOf" srcId="{40460088-0DC4-2548-BBB9-9F1844889240}" destId="{A33762BD-9BEF-1A42-A49D-2795587FE143}" srcOrd="1" destOrd="0" presId="urn:microsoft.com/office/officeart/2005/8/layout/orgChart1"/>
    <dgm:cxn modelId="{CA57C663-6B26-47C7-8D26-1B09110FA81B}" type="presParOf" srcId="{40460088-0DC4-2548-BBB9-9F1844889240}" destId="{801B8142-FC17-F04E-8FD0-C7F0324A9061}" srcOrd="2" destOrd="0" presId="urn:microsoft.com/office/officeart/2005/8/layout/orgChart1"/>
    <dgm:cxn modelId="{3ED0CF8C-B2E4-4B4E-AD3F-201EC9E9B373}" type="presParOf" srcId="{262F3500-3459-9E48-B55D-BD242C4C6C82}" destId="{65CEA688-EC2D-3646-947F-3E97F0425EAC}" srcOrd="4" destOrd="0" presId="urn:microsoft.com/office/officeart/2005/8/layout/orgChart1"/>
    <dgm:cxn modelId="{36F7C613-C889-4420-A225-A90B796D096E}" type="presParOf" srcId="{262F3500-3459-9E48-B55D-BD242C4C6C82}" destId="{C59F15F8-0066-F149-9000-99C121E420D7}" srcOrd="5" destOrd="0" presId="urn:microsoft.com/office/officeart/2005/8/layout/orgChart1"/>
    <dgm:cxn modelId="{EA148FD0-4C37-4AE1-8846-02F8AD323874}" type="presParOf" srcId="{C59F15F8-0066-F149-9000-99C121E420D7}" destId="{102F4DC5-7CDF-5E45-8AE5-02706CE41C54}" srcOrd="0" destOrd="0" presId="urn:microsoft.com/office/officeart/2005/8/layout/orgChart1"/>
    <dgm:cxn modelId="{FAD9920A-4EB2-41D7-A8B6-AC13136B45FF}" type="presParOf" srcId="{102F4DC5-7CDF-5E45-8AE5-02706CE41C54}" destId="{9EC2C442-09C0-364A-86FB-F60627A986EC}" srcOrd="0" destOrd="0" presId="urn:microsoft.com/office/officeart/2005/8/layout/orgChart1"/>
    <dgm:cxn modelId="{AEE04F8D-C4C9-4D2A-A3AA-7EEF075A2BBC}" type="presParOf" srcId="{102F4DC5-7CDF-5E45-8AE5-02706CE41C54}" destId="{8360987A-FD09-9649-AA5F-994F4462C691}" srcOrd="1" destOrd="0" presId="urn:microsoft.com/office/officeart/2005/8/layout/orgChart1"/>
    <dgm:cxn modelId="{4F5E2BCD-95D5-4560-B391-68E6F22D6C4F}" type="presParOf" srcId="{C59F15F8-0066-F149-9000-99C121E420D7}" destId="{8255BD1E-0CAF-7448-9906-1436F847382B}" srcOrd="1" destOrd="0" presId="urn:microsoft.com/office/officeart/2005/8/layout/orgChart1"/>
    <dgm:cxn modelId="{CEF9A9CD-6642-405C-AEB5-4B993EE76908}" type="presParOf" srcId="{C59F15F8-0066-F149-9000-99C121E420D7}" destId="{1F000621-1346-2147-B7E0-584D2A11768D}" srcOrd="2" destOrd="0" presId="urn:microsoft.com/office/officeart/2005/8/layout/orgChart1"/>
    <dgm:cxn modelId="{7FEF2CB7-8BAA-4E1B-BB9B-D53EBEAB299F}" type="presParOf" srcId="{4900B532-E69C-A24D-89C0-1D164A8B0ECC}" destId="{F3F13F68-DF88-3842-BBB6-538B68EDBEFC}" srcOrd="2" destOrd="0" presId="urn:microsoft.com/office/officeart/2005/8/layout/orgChart1"/>
    <dgm:cxn modelId="{CE70EE63-2F2C-43C8-8478-30E88364C5FD}" type="presParOf" srcId="{F3F13F68-DF88-3842-BBB6-538B68EDBEFC}" destId="{8AE71714-F97C-404C-97B9-CB568F62CFE9}" srcOrd="0" destOrd="0" presId="urn:microsoft.com/office/officeart/2005/8/layout/orgChart1"/>
    <dgm:cxn modelId="{BFBA9477-20CF-4223-A015-7B7413A01C9E}" type="presParOf" srcId="{F3F13F68-DF88-3842-BBB6-538B68EDBEFC}" destId="{2730A421-B5E0-8849-9095-D4042F8E8B3C}" srcOrd="1" destOrd="0" presId="urn:microsoft.com/office/officeart/2005/8/layout/orgChart1"/>
    <dgm:cxn modelId="{3E29F4A5-6411-4764-963D-47581700E54E}" type="presParOf" srcId="{2730A421-B5E0-8849-9095-D4042F8E8B3C}" destId="{C5AE25AE-B7E8-2C4A-B6EE-6064E3A7FBDB}" srcOrd="0" destOrd="0" presId="urn:microsoft.com/office/officeart/2005/8/layout/orgChart1"/>
    <dgm:cxn modelId="{46448770-D27E-4914-AB2B-40859DAF7BD3}" type="presParOf" srcId="{C5AE25AE-B7E8-2C4A-B6EE-6064E3A7FBDB}" destId="{9516E041-C8AA-5841-8F8B-8DA291FDDF91}" srcOrd="0" destOrd="0" presId="urn:microsoft.com/office/officeart/2005/8/layout/orgChart1"/>
    <dgm:cxn modelId="{D5DEB2F0-5735-41A0-91E6-3BDE77B4769F}" type="presParOf" srcId="{C5AE25AE-B7E8-2C4A-B6EE-6064E3A7FBDB}" destId="{AAC99C1D-3D9F-C946-B02D-6FA67DD240F5}" srcOrd="1" destOrd="0" presId="urn:microsoft.com/office/officeart/2005/8/layout/orgChart1"/>
    <dgm:cxn modelId="{690B98FB-8EF6-4E6F-9377-C89E6F6BE2FE}" type="presParOf" srcId="{2730A421-B5E0-8849-9095-D4042F8E8B3C}" destId="{B39E3993-68F0-F944-A55B-542531AC2767}" srcOrd="1" destOrd="0" presId="urn:microsoft.com/office/officeart/2005/8/layout/orgChart1"/>
    <dgm:cxn modelId="{4290B8A7-EBC0-4991-99B8-BD56E5A5F272}" type="presParOf" srcId="{2730A421-B5E0-8849-9095-D4042F8E8B3C}" destId="{90C87CC8-828C-FD4C-A990-B9AED2DF1269}" srcOrd="2" destOrd="0" presId="urn:microsoft.com/office/officeart/2005/8/layout/orgChart1"/>
    <dgm:cxn modelId="{534A8BEE-2B43-48F0-B2D8-624CAA3361EC}" type="presParOf" srcId="{F3F13F68-DF88-3842-BBB6-538B68EDBEFC}" destId="{C66C594A-319F-A049-8EFA-D12A0C711E08}" srcOrd="2" destOrd="0" presId="urn:microsoft.com/office/officeart/2005/8/layout/orgChart1"/>
    <dgm:cxn modelId="{87C74666-50D9-4D5E-885D-FF8448C36380}" type="presParOf" srcId="{F3F13F68-DF88-3842-BBB6-538B68EDBEFC}" destId="{1920E1E1-BCB7-0A45-8731-96805102107A}" srcOrd="3" destOrd="0" presId="urn:microsoft.com/office/officeart/2005/8/layout/orgChart1"/>
    <dgm:cxn modelId="{FEFF52DF-2347-4948-9C5C-04DBD61F131A}" type="presParOf" srcId="{1920E1E1-BCB7-0A45-8731-96805102107A}" destId="{BB11E31F-DEA0-6544-9446-124C7F785BDD}" srcOrd="0" destOrd="0" presId="urn:microsoft.com/office/officeart/2005/8/layout/orgChart1"/>
    <dgm:cxn modelId="{195CDE56-E5A7-4B24-B566-7B694723A182}" type="presParOf" srcId="{BB11E31F-DEA0-6544-9446-124C7F785BDD}" destId="{7626CF0E-C6F2-D447-B1DB-368A4FDB63CE}" srcOrd="0" destOrd="0" presId="urn:microsoft.com/office/officeart/2005/8/layout/orgChart1"/>
    <dgm:cxn modelId="{FF399ADE-EE3B-4850-A511-EA8A973A7BB8}" type="presParOf" srcId="{BB11E31F-DEA0-6544-9446-124C7F785BDD}" destId="{09EF8CB9-3DB2-FE4A-BD47-B0F2143B0EAB}" srcOrd="1" destOrd="0" presId="urn:microsoft.com/office/officeart/2005/8/layout/orgChart1"/>
    <dgm:cxn modelId="{804F9DD3-93DB-4AEE-8BC5-9C6A7E18B500}" type="presParOf" srcId="{1920E1E1-BCB7-0A45-8731-96805102107A}" destId="{E31FBFD3-4152-3E42-A398-0B690FB6A70E}" srcOrd="1" destOrd="0" presId="urn:microsoft.com/office/officeart/2005/8/layout/orgChart1"/>
    <dgm:cxn modelId="{F7AC2AC0-0D70-4015-8E14-CE840C9F6FC5}" type="presParOf" srcId="{1920E1E1-BCB7-0A45-8731-96805102107A}" destId="{7240BB56-26FF-2541-8553-620C022CDCD0}" srcOrd="2" destOrd="0" presId="urn:microsoft.com/office/officeart/2005/8/layout/orgChart1"/>
    <dgm:cxn modelId="{65B6C443-56A4-4E8B-B21D-E2D61A0FDEE4}" type="presParOf" srcId="{AF35A14A-3FA0-4842-A149-E7D32517C349}" destId="{ADFFF74B-7913-F749-B109-AF98C035E5EF}" srcOrd="1" destOrd="0" presId="urn:microsoft.com/office/officeart/2005/8/layout/orgChart1"/>
    <dgm:cxn modelId="{4A7BA82B-D869-46A0-8C89-43FBDF5C6E91}" type="presParOf" srcId="{ADFFF74B-7913-F749-B109-AF98C035E5EF}" destId="{C32F47F8-9B52-C54B-9645-4FFFDF060E02}" srcOrd="0" destOrd="0" presId="urn:microsoft.com/office/officeart/2005/8/layout/orgChart1"/>
    <dgm:cxn modelId="{43DD9C4A-534B-4E6F-B8A8-96BF0D95E0C6}" type="presParOf" srcId="{C32F47F8-9B52-C54B-9645-4FFFDF060E02}" destId="{A29A6D74-36D9-AD4A-BD73-4E2F40045C38}" srcOrd="0" destOrd="0" presId="urn:microsoft.com/office/officeart/2005/8/layout/orgChart1"/>
    <dgm:cxn modelId="{A79E8FC1-197E-49BD-B771-977C35DE7701}" type="presParOf" srcId="{C32F47F8-9B52-C54B-9645-4FFFDF060E02}" destId="{199B2B33-5AA7-7B47-9EDF-51DAD805F0B0}" srcOrd="1" destOrd="0" presId="urn:microsoft.com/office/officeart/2005/8/layout/orgChart1"/>
    <dgm:cxn modelId="{3EA4D5BC-35D3-4488-BF8D-20428DF62CA4}" type="presParOf" srcId="{ADFFF74B-7913-F749-B109-AF98C035E5EF}" destId="{D80F80B3-6DA8-D247-B172-F427B693BF3B}" srcOrd="1" destOrd="0" presId="urn:microsoft.com/office/officeart/2005/8/layout/orgChart1"/>
    <dgm:cxn modelId="{1FAEEF48-1764-40E9-85C8-3FEF335008C9}" type="presParOf" srcId="{D80F80B3-6DA8-D247-B172-F427B693BF3B}" destId="{4EFF129B-7EA3-9442-AA5C-1D99D5D88CCF}" srcOrd="0" destOrd="0" presId="urn:microsoft.com/office/officeart/2005/8/layout/orgChart1"/>
    <dgm:cxn modelId="{A3A13DA7-E844-4FE6-9A84-14C78F6CFE53}" type="presParOf" srcId="{D80F80B3-6DA8-D247-B172-F427B693BF3B}" destId="{629E2F10-1B7D-4B4A-BDE2-463C38C91B45}" srcOrd="1" destOrd="0" presId="urn:microsoft.com/office/officeart/2005/8/layout/orgChart1"/>
    <dgm:cxn modelId="{27A67945-52C0-4DE7-9520-CCBA88FDFF74}" type="presParOf" srcId="{629E2F10-1B7D-4B4A-BDE2-463C38C91B45}" destId="{5DADE847-448C-F943-88C2-BE7CB0C2BA01}" srcOrd="0" destOrd="0" presId="urn:microsoft.com/office/officeart/2005/8/layout/orgChart1"/>
    <dgm:cxn modelId="{6B605D54-748F-4DC4-B5FB-3E5803CBCAA6}" type="presParOf" srcId="{5DADE847-448C-F943-88C2-BE7CB0C2BA01}" destId="{35C02E39-375B-BD4F-9220-91B53195382C}" srcOrd="0" destOrd="0" presId="urn:microsoft.com/office/officeart/2005/8/layout/orgChart1"/>
    <dgm:cxn modelId="{D03F6B04-CEB7-4B46-9C55-20A7C75BDC4F}" type="presParOf" srcId="{5DADE847-448C-F943-88C2-BE7CB0C2BA01}" destId="{A3F31C74-0B99-0D4F-B756-C26CFB8E9169}" srcOrd="1" destOrd="0" presId="urn:microsoft.com/office/officeart/2005/8/layout/orgChart1"/>
    <dgm:cxn modelId="{DBB913FB-4D99-4522-80AD-8F959D86D87F}" type="presParOf" srcId="{629E2F10-1B7D-4B4A-BDE2-463C38C91B45}" destId="{5AE5B74F-F2E2-B440-B08E-3CFE311CA25F}" srcOrd="1" destOrd="0" presId="urn:microsoft.com/office/officeart/2005/8/layout/orgChart1"/>
    <dgm:cxn modelId="{0326E1CB-878C-4F18-8B74-60BECA20321B}" type="presParOf" srcId="{629E2F10-1B7D-4B4A-BDE2-463C38C91B45}" destId="{6165E876-6B1B-A940-B5D7-7499F4EFAC01}" srcOrd="2" destOrd="0" presId="urn:microsoft.com/office/officeart/2005/8/layout/orgChart1"/>
    <dgm:cxn modelId="{5BEBD8B4-4ED0-4C6A-BDC8-F78E19809ED8}" type="presParOf" srcId="{ADFFF74B-7913-F749-B109-AF98C035E5EF}" destId="{625DE37F-2380-DD4E-8DA5-1A6706E4525C}"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AF98744-93FB-C04B-99E2-2C9FCD4CB372}" type="doc">
      <dgm:prSet loTypeId="urn:microsoft.com/office/officeart/2005/8/layout/orgChart1" loCatId="" qsTypeId="urn:microsoft.com/office/officeart/2005/8/quickstyle/simple4" qsCatId="simple" csTypeId="urn:microsoft.com/office/officeart/2005/8/colors/accent1_2" csCatId="accent1" phldr="1"/>
      <dgm:spPr/>
      <dgm:t>
        <a:bodyPr/>
        <a:lstStyle/>
        <a:p>
          <a:endParaRPr lang="en-US"/>
        </a:p>
      </dgm:t>
    </dgm:pt>
    <dgm:pt modelId="{1369F77B-FBC5-B94F-9A8A-F072313C2226}">
      <dgm:prSet phldrT="[Text]"/>
      <dgm:spPr/>
      <dgm:t>
        <a:bodyPr/>
        <a:lstStyle/>
        <a:p>
          <a:r>
            <a:rPr lang="en-US"/>
            <a:t>National Project Director</a:t>
          </a:r>
        </a:p>
      </dgm:t>
    </dgm:pt>
    <dgm:pt modelId="{784F08B8-7A58-F545-967B-3F5C708F284B}" type="parTrans" cxnId="{2022EE68-07C5-EC41-8679-C989948F8B69}">
      <dgm:prSet/>
      <dgm:spPr/>
      <dgm:t>
        <a:bodyPr/>
        <a:lstStyle/>
        <a:p>
          <a:endParaRPr lang="en-US"/>
        </a:p>
      </dgm:t>
    </dgm:pt>
    <dgm:pt modelId="{A3E7E42A-0D03-0544-8A46-E1DB62B7F4E2}" type="sibTrans" cxnId="{2022EE68-07C5-EC41-8679-C989948F8B69}">
      <dgm:prSet/>
      <dgm:spPr/>
      <dgm:t>
        <a:bodyPr/>
        <a:lstStyle/>
        <a:p>
          <a:endParaRPr lang="en-US"/>
        </a:p>
      </dgm:t>
    </dgm:pt>
    <dgm:pt modelId="{E04A4581-DC31-3E42-AD36-44C7726810B6}" type="asst">
      <dgm:prSet phldrT="[Text]"/>
      <dgm:spPr/>
      <dgm:t>
        <a:bodyPr/>
        <a:lstStyle/>
        <a:p>
          <a:r>
            <a:rPr lang="en-US"/>
            <a:t>Program Support Unit headed by SPC-E (inc Flexible Fund and SAG management)</a:t>
          </a:r>
        </a:p>
      </dgm:t>
    </dgm:pt>
    <dgm:pt modelId="{4DCA30B9-7815-B645-A1A9-7EFC63E13B2D}" type="parTrans" cxnId="{10593A4A-CD69-A844-A988-129307086888}">
      <dgm:prSet/>
      <dgm:spPr>
        <a:ln>
          <a:solidFill>
            <a:schemeClr val="bg1"/>
          </a:solidFill>
        </a:ln>
      </dgm:spPr>
      <dgm:t>
        <a:bodyPr/>
        <a:lstStyle/>
        <a:p>
          <a:endParaRPr lang="en-US"/>
        </a:p>
      </dgm:t>
    </dgm:pt>
    <dgm:pt modelId="{21D50A70-5C87-6E4B-8D3F-AFF937A0C491}" type="sibTrans" cxnId="{10593A4A-CD69-A844-A988-129307086888}">
      <dgm:prSet/>
      <dgm:spPr/>
      <dgm:t>
        <a:bodyPr/>
        <a:lstStyle/>
        <a:p>
          <a:endParaRPr lang="en-US"/>
        </a:p>
      </dgm:t>
    </dgm:pt>
    <dgm:pt modelId="{C4B89507-01D7-2E48-9413-AF9E6E50F88A}">
      <dgm:prSet phldrT="[Text]"/>
      <dgm:spPr/>
      <dgm:t>
        <a:bodyPr/>
        <a:lstStyle/>
        <a:p>
          <a:r>
            <a:rPr lang="en-US"/>
            <a:t>CIEM-MPI: Enhanced Business Competitiveness and Transparency</a:t>
          </a:r>
        </a:p>
      </dgm:t>
    </dgm:pt>
    <dgm:pt modelId="{75DF73BE-1058-1D44-BAD2-95EC32F18DE5}" type="parTrans" cxnId="{25C000BC-4D48-3A49-AB1A-1E866558CC27}">
      <dgm:prSet/>
      <dgm:spPr/>
      <dgm:t>
        <a:bodyPr/>
        <a:lstStyle/>
        <a:p>
          <a:endParaRPr lang="en-US"/>
        </a:p>
      </dgm:t>
    </dgm:pt>
    <dgm:pt modelId="{5C6A47E7-CD2D-9146-AB05-3853A0C16E48}" type="sibTrans" cxnId="{25C000BC-4D48-3A49-AB1A-1E866558CC27}">
      <dgm:prSet/>
      <dgm:spPr/>
      <dgm:t>
        <a:bodyPr/>
        <a:lstStyle/>
        <a:p>
          <a:endParaRPr lang="en-US"/>
        </a:p>
      </dgm:t>
    </dgm:pt>
    <dgm:pt modelId="{9FAFFE54-16DC-544A-AD9C-7AE82F7AFD18}">
      <dgm:prSet phldrT="[Text]"/>
      <dgm:spPr/>
      <dgm:t>
        <a:bodyPr/>
        <a:lstStyle/>
        <a:p>
          <a:r>
            <a:rPr lang="en-US"/>
            <a:t>VCA-MOIT: Restructuring Competition Institutions</a:t>
          </a:r>
        </a:p>
      </dgm:t>
    </dgm:pt>
    <dgm:pt modelId="{25288148-CEB0-4B4D-947D-85E543CE2D4A}" type="parTrans" cxnId="{41BB37BE-8FAA-9947-964A-4FA0A9041815}">
      <dgm:prSet/>
      <dgm:spPr/>
      <dgm:t>
        <a:bodyPr/>
        <a:lstStyle/>
        <a:p>
          <a:endParaRPr lang="en-US"/>
        </a:p>
      </dgm:t>
    </dgm:pt>
    <dgm:pt modelId="{6DA9F97A-4D98-3940-9EDD-10BED86AD27B}" type="sibTrans" cxnId="{41BB37BE-8FAA-9947-964A-4FA0A9041815}">
      <dgm:prSet/>
      <dgm:spPr/>
      <dgm:t>
        <a:bodyPr/>
        <a:lstStyle/>
        <a:p>
          <a:endParaRPr lang="en-US"/>
        </a:p>
      </dgm:t>
    </dgm:pt>
    <dgm:pt modelId="{C3064557-A92D-3845-BA0B-D0F949C72574}">
      <dgm:prSet phldrT="[Text]"/>
      <dgm:spPr/>
      <dgm:t>
        <a:bodyPr/>
        <a:lstStyle/>
        <a:p>
          <a:r>
            <a:rPr lang="en-US"/>
            <a:t>IPSARD-MARD:</a:t>
          </a:r>
        </a:p>
        <a:p>
          <a:r>
            <a:rPr lang="en-US"/>
            <a:t>Restructuring the Rural Economy</a:t>
          </a:r>
        </a:p>
      </dgm:t>
    </dgm:pt>
    <dgm:pt modelId="{EB27958B-849E-A64A-82F0-8273A69DFCF4}" type="parTrans" cxnId="{29BDA552-B28C-A147-BCC9-9C865B5853E1}">
      <dgm:prSet/>
      <dgm:spPr/>
      <dgm:t>
        <a:bodyPr/>
        <a:lstStyle/>
        <a:p>
          <a:endParaRPr lang="en-US"/>
        </a:p>
      </dgm:t>
    </dgm:pt>
    <dgm:pt modelId="{E6D88013-EA72-A846-8C7F-08FC9F4A9EC4}" type="sibTrans" cxnId="{29BDA552-B28C-A147-BCC9-9C865B5853E1}">
      <dgm:prSet/>
      <dgm:spPr/>
      <dgm:t>
        <a:bodyPr/>
        <a:lstStyle/>
        <a:p>
          <a:endParaRPr lang="en-US"/>
        </a:p>
      </dgm:t>
    </dgm:pt>
    <dgm:pt modelId="{DAEBBA18-7DB9-6A4A-B1A3-DD3ED3B0775C}" type="asst">
      <dgm:prSet phldrT="[Text]"/>
      <dgm:spPr/>
      <dgm:t>
        <a:bodyPr/>
        <a:lstStyle/>
        <a:p>
          <a:r>
            <a:rPr lang="en-US"/>
            <a:t>Program Coodinating Committee</a:t>
          </a:r>
        </a:p>
      </dgm:t>
    </dgm:pt>
    <dgm:pt modelId="{62DDB500-4352-4F4E-8D88-8DE4B050D831}" type="parTrans" cxnId="{1CBD7C80-52A0-3F4E-8EA0-DF9B174C7A76}">
      <dgm:prSet/>
      <dgm:spPr/>
      <dgm:t>
        <a:bodyPr/>
        <a:lstStyle/>
        <a:p>
          <a:endParaRPr lang="en-US"/>
        </a:p>
      </dgm:t>
    </dgm:pt>
    <dgm:pt modelId="{0A987F10-7056-7544-B49A-2E7B9E6E9D2A}" type="sibTrans" cxnId="{1CBD7C80-52A0-3F4E-8EA0-DF9B174C7A76}">
      <dgm:prSet/>
      <dgm:spPr/>
      <dgm:t>
        <a:bodyPr/>
        <a:lstStyle/>
        <a:p>
          <a:endParaRPr lang="en-US"/>
        </a:p>
      </dgm:t>
    </dgm:pt>
    <dgm:pt modelId="{853DA822-D72B-6242-B79A-D9B54B306FA0}">
      <dgm:prSet/>
      <dgm:spPr/>
      <dgm:t>
        <a:bodyPr/>
        <a:lstStyle/>
        <a:p>
          <a:r>
            <a:rPr lang="en-US"/>
            <a:t>DFAT</a:t>
          </a:r>
        </a:p>
      </dgm:t>
    </dgm:pt>
    <dgm:pt modelId="{A800AEA1-4059-C64B-89A8-29655F63A17B}" type="parTrans" cxnId="{A1A72865-749C-5D4D-9E01-E83E9D8F5805}">
      <dgm:prSet/>
      <dgm:spPr/>
      <dgm:t>
        <a:bodyPr/>
        <a:lstStyle/>
        <a:p>
          <a:endParaRPr lang="en-US"/>
        </a:p>
      </dgm:t>
    </dgm:pt>
    <dgm:pt modelId="{9BD41B65-65CD-664C-BD84-10FCE88B5A88}" type="sibTrans" cxnId="{A1A72865-749C-5D4D-9E01-E83E9D8F5805}">
      <dgm:prSet/>
      <dgm:spPr/>
      <dgm:t>
        <a:bodyPr/>
        <a:lstStyle/>
        <a:p>
          <a:endParaRPr lang="en-US"/>
        </a:p>
      </dgm:t>
    </dgm:pt>
    <dgm:pt modelId="{1F5B040A-5EFD-CF43-B5B5-AC9D09EAABD4}">
      <dgm:prSet/>
      <dgm:spPr/>
      <dgm:t>
        <a:bodyPr/>
        <a:lstStyle/>
        <a:p>
          <a:pPr algn="ctr"/>
          <a:r>
            <a:rPr lang="en-US"/>
            <a:t>STA</a:t>
          </a:r>
        </a:p>
      </dgm:t>
    </dgm:pt>
    <dgm:pt modelId="{A9971AEE-0BD0-AF4D-BCD7-74D127FFCBAC}" type="parTrans" cxnId="{76F95B9F-61BA-B549-A42E-B2F728B7D119}">
      <dgm:prSet>
        <dgm:style>
          <a:lnRef idx="1">
            <a:schemeClr val="accent1"/>
          </a:lnRef>
          <a:fillRef idx="0">
            <a:schemeClr val="accent1"/>
          </a:fillRef>
          <a:effectRef idx="0">
            <a:schemeClr val="accent1"/>
          </a:effectRef>
          <a:fontRef idx="minor">
            <a:schemeClr val="tx1"/>
          </a:fontRef>
        </dgm:style>
      </dgm:prSet>
      <dgm:spPr/>
      <dgm:t>
        <a:bodyPr/>
        <a:lstStyle/>
        <a:p>
          <a:endParaRPr lang="en-US"/>
        </a:p>
      </dgm:t>
    </dgm:pt>
    <dgm:pt modelId="{C093D342-FE50-1C4C-B6E7-142BE2871B9D}" type="sibTrans" cxnId="{76F95B9F-61BA-B549-A42E-B2F728B7D119}">
      <dgm:prSet/>
      <dgm:spPr/>
      <dgm:t>
        <a:bodyPr/>
        <a:lstStyle/>
        <a:p>
          <a:endParaRPr lang="en-US"/>
        </a:p>
      </dgm:t>
    </dgm:pt>
    <dgm:pt modelId="{AF35A14A-3FA0-4842-A149-E7D32517C349}" type="pres">
      <dgm:prSet presAssocID="{AAF98744-93FB-C04B-99E2-2C9FCD4CB372}" presName="hierChild1" presStyleCnt="0">
        <dgm:presLayoutVars>
          <dgm:orgChart val="1"/>
          <dgm:chPref val="1"/>
          <dgm:dir/>
          <dgm:animOne val="branch"/>
          <dgm:animLvl val="lvl"/>
          <dgm:resizeHandles/>
        </dgm:presLayoutVars>
      </dgm:prSet>
      <dgm:spPr/>
      <dgm:t>
        <a:bodyPr/>
        <a:lstStyle/>
        <a:p>
          <a:endParaRPr lang="en-US"/>
        </a:p>
      </dgm:t>
    </dgm:pt>
    <dgm:pt modelId="{4900B532-E69C-A24D-89C0-1D164A8B0ECC}" type="pres">
      <dgm:prSet presAssocID="{1369F77B-FBC5-B94F-9A8A-F072313C2226}" presName="hierRoot1" presStyleCnt="0">
        <dgm:presLayoutVars>
          <dgm:hierBranch val="init"/>
        </dgm:presLayoutVars>
      </dgm:prSet>
      <dgm:spPr/>
      <dgm:t>
        <a:bodyPr/>
        <a:lstStyle/>
        <a:p>
          <a:endParaRPr lang="en-AU"/>
        </a:p>
      </dgm:t>
    </dgm:pt>
    <dgm:pt modelId="{808181D2-388E-A24D-B35C-9593FC890554}" type="pres">
      <dgm:prSet presAssocID="{1369F77B-FBC5-B94F-9A8A-F072313C2226}" presName="rootComposite1" presStyleCnt="0"/>
      <dgm:spPr/>
      <dgm:t>
        <a:bodyPr/>
        <a:lstStyle/>
        <a:p>
          <a:endParaRPr lang="en-AU"/>
        </a:p>
      </dgm:t>
    </dgm:pt>
    <dgm:pt modelId="{B55EB837-284C-7140-B089-887088AED3FE}" type="pres">
      <dgm:prSet presAssocID="{1369F77B-FBC5-B94F-9A8A-F072313C2226}" presName="rootText1" presStyleLbl="node0" presStyleIdx="0" presStyleCnt="2" custLinFactNeighborX="388" custLinFactNeighborY="-1552">
        <dgm:presLayoutVars>
          <dgm:chPref val="3"/>
        </dgm:presLayoutVars>
      </dgm:prSet>
      <dgm:spPr/>
      <dgm:t>
        <a:bodyPr/>
        <a:lstStyle/>
        <a:p>
          <a:endParaRPr lang="en-US"/>
        </a:p>
      </dgm:t>
    </dgm:pt>
    <dgm:pt modelId="{C185D22C-FEF4-1C4B-80B4-0F7016912ED9}" type="pres">
      <dgm:prSet presAssocID="{1369F77B-FBC5-B94F-9A8A-F072313C2226}" presName="rootConnector1" presStyleLbl="node1" presStyleIdx="0" presStyleCnt="0"/>
      <dgm:spPr/>
      <dgm:t>
        <a:bodyPr/>
        <a:lstStyle/>
        <a:p>
          <a:endParaRPr lang="en-US"/>
        </a:p>
      </dgm:t>
    </dgm:pt>
    <dgm:pt modelId="{262F3500-3459-9E48-B55D-BD242C4C6C82}" type="pres">
      <dgm:prSet presAssocID="{1369F77B-FBC5-B94F-9A8A-F072313C2226}" presName="hierChild2" presStyleCnt="0"/>
      <dgm:spPr/>
      <dgm:t>
        <a:bodyPr/>
        <a:lstStyle/>
        <a:p>
          <a:endParaRPr lang="en-AU"/>
        </a:p>
      </dgm:t>
    </dgm:pt>
    <dgm:pt modelId="{2374890A-F194-7842-B358-E7D96022C750}" type="pres">
      <dgm:prSet presAssocID="{75DF73BE-1058-1D44-BAD2-95EC32F18DE5}" presName="Name37" presStyleLbl="parChTrans1D2" presStyleIdx="0" presStyleCnt="6"/>
      <dgm:spPr/>
      <dgm:t>
        <a:bodyPr/>
        <a:lstStyle/>
        <a:p>
          <a:endParaRPr lang="en-US"/>
        </a:p>
      </dgm:t>
    </dgm:pt>
    <dgm:pt modelId="{09277BDF-6D97-054E-B736-F2B18F7760E0}" type="pres">
      <dgm:prSet presAssocID="{C4B89507-01D7-2E48-9413-AF9E6E50F88A}" presName="hierRoot2" presStyleCnt="0">
        <dgm:presLayoutVars>
          <dgm:hierBranch val="init"/>
        </dgm:presLayoutVars>
      </dgm:prSet>
      <dgm:spPr/>
      <dgm:t>
        <a:bodyPr/>
        <a:lstStyle/>
        <a:p>
          <a:endParaRPr lang="en-AU"/>
        </a:p>
      </dgm:t>
    </dgm:pt>
    <dgm:pt modelId="{92E85EAF-ABD5-AE43-B539-B8AA0D2F0DD4}" type="pres">
      <dgm:prSet presAssocID="{C4B89507-01D7-2E48-9413-AF9E6E50F88A}" presName="rootComposite" presStyleCnt="0"/>
      <dgm:spPr/>
      <dgm:t>
        <a:bodyPr/>
        <a:lstStyle/>
        <a:p>
          <a:endParaRPr lang="en-AU"/>
        </a:p>
      </dgm:t>
    </dgm:pt>
    <dgm:pt modelId="{68ADB510-5D1E-FE42-B8BF-DA2FE3E2CF9D}" type="pres">
      <dgm:prSet presAssocID="{C4B89507-01D7-2E48-9413-AF9E6E50F88A}" presName="rootText" presStyleLbl="node2" presStyleIdx="0" presStyleCnt="4">
        <dgm:presLayoutVars>
          <dgm:chPref val="3"/>
        </dgm:presLayoutVars>
      </dgm:prSet>
      <dgm:spPr/>
      <dgm:t>
        <a:bodyPr/>
        <a:lstStyle/>
        <a:p>
          <a:endParaRPr lang="en-US"/>
        </a:p>
      </dgm:t>
    </dgm:pt>
    <dgm:pt modelId="{0403647C-14D4-234C-B1E8-D18DB4678FD0}" type="pres">
      <dgm:prSet presAssocID="{C4B89507-01D7-2E48-9413-AF9E6E50F88A}" presName="rootConnector" presStyleLbl="node2" presStyleIdx="0" presStyleCnt="4"/>
      <dgm:spPr/>
      <dgm:t>
        <a:bodyPr/>
        <a:lstStyle/>
        <a:p>
          <a:endParaRPr lang="en-US"/>
        </a:p>
      </dgm:t>
    </dgm:pt>
    <dgm:pt modelId="{104E7B9D-DA10-2D4F-84EE-015743248782}" type="pres">
      <dgm:prSet presAssocID="{C4B89507-01D7-2E48-9413-AF9E6E50F88A}" presName="hierChild4" presStyleCnt="0"/>
      <dgm:spPr/>
      <dgm:t>
        <a:bodyPr/>
        <a:lstStyle/>
        <a:p>
          <a:endParaRPr lang="en-AU"/>
        </a:p>
      </dgm:t>
    </dgm:pt>
    <dgm:pt modelId="{A1ACB25C-5935-A14D-8B92-3CAFAA5E20B9}" type="pres">
      <dgm:prSet presAssocID="{C4B89507-01D7-2E48-9413-AF9E6E50F88A}" presName="hierChild5" presStyleCnt="0"/>
      <dgm:spPr/>
      <dgm:t>
        <a:bodyPr/>
        <a:lstStyle/>
        <a:p>
          <a:endParaRPr lang="en-AU"/>
        </a:p>
      </dgm:t>
    </dgm:pt>
    <dgm:pt modelId="{EB08FB21-5BB6-A241-9A03-FA4ABF528A14}" type="pres">
      <dgm:prSet presAssocID="{25288148-CEB0-4B4D-947D-85E543CE2D4A}" presName="Name37" presStyleLbl="parChTrans1D2" presStyleIdx="1" presStyleCnt="6"/>
      <dgm:spPr/>
      <dgm:t>
        <a:bodyPr/>
        <a:lstStyle/>
        <a:p>
          <a:endParaRPr lang="en-US"/>
        </a:p>
      </dgm:t>
    </dgm:pt>
    <dgm:pt modelId="{40460088-0DC4-2548-BBB9-9F1844889240}" type="pres">
      <dgm:prSet presAssocID="{9FAFFE54-16DC-544A-AD9C-7AE82F7AFD18}" presName="hierRoot2" presStyleCnt="0">
        <dgm:presLayoutVars>
          <dgm:hierBranch val="init"/>
        </dgm:presLayoutVars>
      </dgm:prSet>
      <dgm:spPr/>
      <dgm:t>
        <a:bodyPr/>
        <a:lstStyle/>
        <a:p>
          <a:endParaRPr lang="en-AU"/>
        </a:p>
      </dgm:t>
    </dgm:pt>
    <dgm:pt modelId="{E74FABC0-52BF-EA4A-9F16-A65C03C3996B}" type="pres">
      <dgm:prSet presAssocID="{9FAFFE54-16DC-544A-AD9C-7AE82F7AFD18}" presName="rootComposite" presStyleCnt="0"/>
      <dgm:spPr/>
      <dgm:t>
        <a:bodyPr/>
        <a:lstStyle/>
        <a:p>
          <a:endParaRPr lang="en-AU"/>
        </a:p>
      </dgm:t>
    </dgm:pt>
    <dgm:pt modelId="{6EE1C780-F130-594C-B570-4432143402F4}" type="pres">
      <dgm:prSet presAssocID="{9FAFFE54-16DC-544A-AD9C-7AE82F7AFD18}" presName="rootText" presStyleLbl="node2" presStyleIdx="1" presStyleCnt="4">
        <dgm:presLayoutVars>
          <dgm:chPref val="3"/>
        </dgm:presLayoutVars>
      </dgm:prSet>
      <dgm:spPr/>
      <dgm:t>
        <a:bodyPr/>
        <a:lstStyle/>
        <a:p>
          <a:endParaRPr lang="en-US"/>
        </a:p>
      </dgm:t>
    </dgm:pt>
    <dgm:pt modelId="{C2CAD529-87DC-6647-B17D-8ADD006E6D90}" type="pres">
      <dgm:prSet presAssocID="{9FAFFE54-16DC-544A-AD9C-7AE82F7AFD18}" presName="rootConnector" presStyleLbl="node2" presStyleIdx="1" presStyleCnt="4"/>
      <dgm:spPr/>
      <dgm:t>
        <a:bodyPr/>
        <a:lstStyle/>
        <a:p>
          <a:endParaRPr lang="en-US"/>
        </a:p>
      </dgm:t>
    </dgm:pt>
    <dgm:pt modelId="{A33762BD-9BEF-1A42-A49D-2795587FE143}" type="pres">
      <dgm:prSet presAssocID="{9FAFFE54-16DC-544A-AD9C-7AE82F7AFD18}" presName="hierChild4" presStyleCnt="0"/>
      <dgm:spPr/>
      <dgm:t>
        <a:bodyPr/>
        <a:lstStyle/>
        <a:p>
          <a:endParaRPr lang="en-AU"/>
        </a:p>
      </dgm:t>
    </dgm:pt>
    <dgm:pt modelId="{801B8142-FC17-F04E-8FD0-C7F0324A9061}" type="pres">
      <dgm:prSet presAssocID="{9FAFFE54-16DC-544A-AD9C-7AE82F7AFD18}" presName="hierChild5" presStyleCnt="0"/>
      <dgm:spPr/>
      <dgm:t>
        <a:bodyPr/>
        <a:lstStyle/>
        <a:p>
          <a:endParaRPr lang="en-AU"/>
        </a:p>
      </dgm:t>
    </dgm:pt>
    <dgm:pt modelId="{65CEA688-EC2D-3646-947F-3E97F0425EAC}" type="pres">
      <dgm:prSet presAssocID="{EB27958B-849E-A64A-82F0-8273A69DFCF4}" presName="Name37" presStyleLbl="parChTrans1D2" presStyleIdx="2" presStyleCnt="6"/>
      <dgm:spPr/>
      <dgm:t>
        <a:bodyPr/>
        <a:lstStyle/>
        <a:p>
          <a:endParaRPr lang="en-US"/>
        </a:p>
      </dgm:t>
    </dgm:pt>
    <dgm:pt modelId="{C59F15F8-0066-F149-9000-99C121E420D7}" type="pres">
      <dgm:prSet presAssocID="{C3064557-A92D-3845-BA0B-D0F949C72574}" presName="hierRoot2" presStyleCnt="0">
        <dgm:presLayoutVars>
          <dgm:hierBranch val="init"/>
        </dgm:presLayoutVars>
      </dgm:prSet>
      <dgm:spPr/>
      <dgm:t>
        <a:bodyPr/>
        <a:lstStyle/>
        <a:p>
          <a:endParaRPr lang="en-AU"/>
        </a:p>
      </dgm:t>
    </dgm:pt>
    <dgm:pt modelId="{102F4DC5-7CDF-5E45-8AE5-02706CE41C54}" type="pres">
      <dgm:prSet presAssocID="{C3064557-A92D-3845-BA0B-D0F949C72574}" presName="rootComposite" presStyleCnt="0"/>
      <dgm:spPr/>
      <dgm:t>
        <a:bodyPr/>
        <a:lstStyle/>
        <a:p>
          <a:endParaRPr lang="en-AU"/>
        </a:p>
      </dgm:t>
    </dgm:pt>
    <dgm:pt modelId="{9EC2C442-09C0-364A-86FB-F60627A986EC}" type="pres">
      <dgm:prSet presAssocID="{C3064557-A92D-3845-BA0B-D0F949C72574}" presName="rootText" presStyleLbl="node2" presStyleIdx="2" presStyleCnt="4">
        <dgm:presLayoutVars>
          <dgm:chPref val="3"/>
        </dgm:presLayoutVars>
      </dgm:prSet>
      <dgm:spPr/>
      <dgm:t>
        <a:bodyPr/>
        <a:lstStyle/>
        <a:p>
          <a:endParaRPr lang="en-US"/>
        </a:p>
      </dgm:t>
    </dgm:pt>
    <dgm:pt modelId="{8360987A-FD09-9649-AA5F-994F4462C691}" type="pres">
      <dgm:prSet presAssocID="{C3064557-A92D-3845-BA0B-D0F949C72574}" presName="rootConnector" presStyleLbl="node2" presStyleIdx="2" presStyleCnt="4"/>
      <dgm:spPr/>
      <dgm:t>
        <a:bodyPr/>
        <a:lstStyle/>
        <a:p>
          <a:endParaRPr lang="en-US"/>
        </a:p>
      </dgm:t>
    </dgm:pt>
    <dgm:pt modelId="{8255BD1E-0CAF-7448-9906-1436F847382B}" type="pres">
      <dgm:prSet presAssocID="{C3064557-A92D-3845-BA0B-D0F949C72574}" presName="hierChild4" presStyleCnt="0"/>
      <dgm:spPr/>
      <dgm:t>
        <a:bodyPr/>
        <a:lstStyle/>
        <a:p>
          <a:endParaRPr lang="en-AU"/>
        </a:p>
      </dgm:t>
    </dgm:pt>
    <dgm:pt modelId="{1F000621-1346-2147-B7E0-584D2A11768D}" type="pres">
      <dgm:prSet presAssocID="{C3064557-A92D-3845-BA0B-D0F949C72574}" presName="hierChild5" presStyleCnt="0"/>
      <dgm:spPr/>
      <dgm:t>
        <a:bodyPr/>
        <a:lstStyle/>
        <a:p>
          <a:endParaRPr lang="en-AU"/>
        </a:p>
      </dgm:t>
    </dgm:pt>
    <dgm:pt modelId="{F3F13F68-DF88-3842-BBB6-538B68EDBEFC}" type="pres">
      <dgm:prSet presAssocID="{1369F77B-FBC5-B94F-9A8A-F072313C2226}" presName="hierChild3" presStyleCnt="0"/>
      <dgm:spPr/>
      <dgm:t>
        <a:bodyPr/>
        <a:lstStyle/>
        <a:p>
          <a:endParaRPr lang="en-AU"/>
        </a:p>
      </dgm:t>
    </dgm:pt>
    <dgm:pt modelId="{8AE71714-F97C-404C-97B9-CB568F62CFE9}" type="pres">
      <dgm:prSet presAssocID="{4DCA30B9-7815-B645-A1A9-7EFC63E13B2D}" presName="Name111" presStyleLbl="parChTrans1D2" presStyleIdx="3" presStyleCnt="6"/>
      <dgm:spPr/>
      <dgm:t>
        <a:bodyPr/>
        <a:lstStyle/>
        <a:p>
          <a:endParaRPr lang="en-US"/>
        </a:p>
      </dgm:t>
    </dgm:pt>
    <dgm:pt modelId="{2730A421-B5E0-8849-9095-D4042F8E8B3C}" type="pres">
      <dgm:prSet presAssocID="{E04A4581-DC31-3E42-AD36-44C7726810B6}" presName="hierRoot3" presStyleCnt="0">
        <dgm:presLayoutVars>
          <dgm:hierBranch val="init"/>
        </dgm:presLayoutVars>
      </dgm:prSet>
      <dgm:spPr/>
      <dgm:t>
        <a:bodyPr/>
        <a:lstStyle/>
        <a:p>
          <a:endParaRPr lang="en-AU"/>
        </a:p>
      </dgm:t>
    </dgm:pt>
    <dgm:pt modelId="{C5AE25AE-B7E8-2C4A-B6EE-6064E3A7FBDB}" type="pres">
      <dgm:prSet presAssocID="{E04A4581-DC31-3E42-AD36-44C7726810B6}" presName="rootComposite3" presStyleCnt="0"/>
      <dgm:spPr/>
      <dgm:t>
        <a:bodyPr/>
        <a:lstStyle/>
        <a:p>
          <a:endParaRPr lang="en-AU"/>
        </a:p>
      </dgm:t>
    </dgm:pt>
    <dgm:pt modelId="{9516E041-C8AA-5841-8F8B-8DA291FDDF91}" type="pres">
      <dgm:prSet presAssocID="{E04A4581-DC31-3E42-AD36-44C7726810B6}" presName="rootText3" presStyleLbl="asst1" presStyleIdx="0" presStyleCnt="2" custLinFactNeighborX="59365" custLinFactNeighborY="1552">
        <dgm:presLayoutVars>
          <dgm:chPref val="3"/>
        </dgm:presLayoutVars>
      </dgm:prSet>
      <dgm:spPr/>
      <dgm:t>
        <a:bodyPr/>
        <a:lstStyle/>
        <a:p>
          <a:endParaRPr lang="en-US"/>
        </a:p>
      </dgm:t>
    </dgm:pt>
    <dgm:pt modelId="{AAC99C1D-3D9F-C946-B02D-6FA67DD240F5}" type="pres">
      <dgm:prSet presAssocID="{E04A4581-DC31-3E42-AD36-44C7726810B6}" presName="rootConnector3" presStyleLbl="asst1" presStyleIdx="0" presStyleCnt="2"/>
      <dgm:spPr/>
      <dgm:t>
        <a:bodyPr/>
        <a:lstStyle/>
        <a:p>
          <a:endParaRPr lang="en-US"/>
        </a:p>
      </dgm:t>
    </dgm:pt>
    <dgm:pt modelId="{B39E3993-68F0-F944-A55B-542531AC2767}" type="pres">
      <dgm:prSet presAssocID="{E04A4581-DC31-3E42-AD36-44C7726810B6}" presName="hierChild6" presStyleCnt="0"/>
      <dgm:spPr/>
      <dgm:t>
        <a:bodyPr/>
        <a:lstStyle/>
        <a:p>
          <a:endParaRPr lang="en-AU"/>
        </a:p>
      </dgm:t>
    </dgm:pt>
    <dgm:pt modelId="{90C87CC8-828C-FD4C-A990-B9AED2DF1269}" type="pres">
      <dgm:prSet presAssocID="{E04A4581-DC31-3E42-AD36-44C7726810B6}" presName="hierChild7" presStyleCnt="0"/>
      <dgm:spPr/>
      <dgm:t>
        <a:bodyPr/>
        <a:lstStyle/>
        <a:p>
          <a:endParaRPr lang="en-AU"/>
        </a:p>
      </dgm:t>
    </dgm:pt>
    <dgm:pt modelId="{C66C594A-319F-A049-8EFA-D12A0C711E08}" type="pres">
      <dgm:prSet presAssocID="{62DDB500-4352-4F4E-8D88-8DE4B050D831}" presName="Name111" presStyleLbl="parChTrans1D2" presStyleIdx="4" presStyleCnt="6"/>
      <dgm:spPr/>
      <dgm:t>
        <a:bodyPr/>
        <a:lstStyle/>
        <a:p>
          <a:endParaRPr lang="en-US"/>
        </a:p>
      </dgm:t>
    </dgm:pt>
    <dgm:pt modelId="{1920E1E1-BCB7-0A45-8731-96805102107A}" type="pres">
      <dgm:prSet presAssocID="{DAEBBA18-7DB9-6A4A-B1A3-DD3ED3B0775C}" presName="hierRoot3" presStyleCnt="0">
        <dgm:presLayoutVars>
          <dgm:hierBranch val="init"/>
        </dgm:presLayoutVars>
      </dgm:prSet>
      <dgm:spPr/>
      <dgm:t>
        <a:bodyPr/>
        <a:lstStyle/>
        <a:p>
          <a:endParaRPr lang="en-AU"/>
        </a:p>
      </dgm:t>
    </dgm:pt>
    <dgm:pt modelId="{BB11E31F-DEA0-6544-9446-124C7F785BDD}" type="pres">
      <dgm:prSet presAssocID="{DAEBBA18-7DB9-6A4A-B1A3-DD3ED3B0775C}" presName="rootComposite3" presStyleCnt="0"/>
      <dgm:spPr/>
      <dgm:t>
        <a:bodyPr/>
        <a:lstStyle/>
        <a:p>
          <a:endParaRPr lang="en-AU"/>
        </a:p>
      </dgm:t>
    </dgm:pt>
    <dgm:pt modelId="{7626CF0E-C6F2-D447-B1DB-368A4FDB63CE}" type="pres">
      <dgm:prSet presAssocID="{DAEBBA18-7DB9-6A4A-B1A3-DD3ED3B0775C}" presName="rootText3" presStyleLbl="asst1" presStyleIdx="1" presStyleCnt="2" custLinFactNeighborX="61791" custLinFactNeighborY="-62862">
        <dgm:presLayoutVars>
          <dgm:chPref val="3"/>
        </dgm:presLayoutVars>
      </dgm:prSet>
      <dgm:spPr/>
      <dgm:t>
        <a:bodyPr/>
        <a:lstStyle/>
        <a:p>
          <a:endParaRPr lang="en-US"/>
        </a:p>
      </dgm:t>
    </dgm:pt>
    <dgm:pt modelId="{09EF8CB9-3DB2-FE4A-BD47-B0F2143B0EAB}" type="pres">
      <dgm:prSet presAssocID="{DAEBBA18-7DB9-6A4A-B1A3-DD3ED3B0775C}" presName="rootConnector3" presStyleLbl="asst1" presStyleIdx="1" presStyleCnt="2"/>
      <dgm:spPr/>
      <dgm:t>
        <a:bodyPr/>
        <a:lstStyle/>
        <a:p>
          <a:endParaRPr lang="en-US"/>
        </a:p>
      </dgm:t>
    </dgm:pt>
    <dgm:pt modelId="{E31FBFD3-4152-3E42-A398-0B690FB6A70E}" type="pres">
      <dgm:prSet presAssocID="{DAEBBA18-7DB9-6A4A-B1A3-DD3ED3B0775C}" presName="hierChild6" presStyleCnt="0"/>
      <dgm:spPr/>
      <dgm:t>
        <a:bodyPr/>
        <a:lstStyle/>
        <a:p>
          <a:endParaRPr lang="en-AU"/>
        </a:p>
      </dgm:t>
    </dgm:pt>
    <dgm:pt modelId="{7240BB56-26FF-2541-8553-620C022CDCD0}" type="pres">
      <dgm:prSet presAssocID="{DAEBBA18-7DB9-6A4A-B1A3-DD3ED3B0775C}" presName="hierChild7" presStyleCnt="0"/>
      <dgm:spPr/>
      <dgm:t>
        <a:bodyPr/>
        <a:lstStyle/>
        <a:p>
          <a:endParaRPr lang="en-AU"/>
        </a:p>
      </dgm:t>
    </dgm:pt>
    <dgm:pt modelId="{ADFFF74B-7913-F749-B109-AF98C035E5EF}" type="pres">
      <dgm:prSet presAssocID="{853DA822-D72B-6242-B79A-D9B54B306FA0}" presName="hierRoot1" presStyleCnt="0">
        <dgm:presLayoutVars>
          <dgm:hierBranch val="init"/>
        </dgm:presLayoutVars>
      </dgm:prSet>
      <dgm:spPr/>
      <dgm:t>
        <a:bodyPr/>
        <a:lstStyle/>
        <a:p>
          <a:endParaRPr lang="en-AU"/>
        </a:p>
      </dgm:t>
    </dgm:pt>
    <dgm:pt modelId="{C32F47F8-9B52-C54B-9645-4FFFDF060E02}" type="pres">
      <dgm:prSet presAssocID="{853DA822-D72B-6242-B79A-D9B54B306FA0}" presName="rootComposite1" presStyleCnt="0"/>
      <dgm:spPr/>
      <dgm:t>
        <a:bodyPr/>
        <a:lstStyle/>
        <a:p>
          <a:endParaRPr lang="en-AU"/>
        </a:p>
      </dgm:t>
    </dgm:pt>
    <dgm:pt modelId="{A29A6D74-36D9-AD4A-BD73-4E2F40045C38}" type="pres">
      <dgm:prSet presAssocID="{853DA822-D72B-6242-B79A-D9B54B306FA0}" presName="rootText1" presStyleLbl="node0" presStyleIdx="1" presStyleCnt="2" custScaleX="90201" custLinFactX="-102830" custLinFactNeighborX="-200000" custLinFactNeighborY="5299">
        <dgm:presLayoutVars>
          <dgm:chPref val="3"/>
        </dgm:presLayoutVars>
      </dgm:prSet>
      <dgm:spPr/>
      <dgm:t>
        <a:bodyPr/>
        <a:lstStyle/>
        <a:p>
          <a:endParaRPr lang="en-US"/>
        </a:p>
      </dgm:t>
    </dgm:pt>
    <dgm:pt modelId="{199B2B33-5AA7-7B47-9EDF-51DAD805F0B0}" type="pres">
      <dgm:prSet presAssocID="{853DA822-D72B-6242-B79A-D9B54B306FA0}" presName="rootConnector1" presStyleLbl="node1" presStyleIdx="0" presStyleCnt="0"/>
      <dgm:spPr/>
      <dgm:t>
        <a:bodyPr/>
        <a:lstStyle/>
        <a:p>
          <a:endParaRPr lang="en-US"/>
        </a:p>
      </dgm:t>
    </dgm:pt>
    <dgm:pt modelId="{D80F80B3-6DA8-D247-B172-F427B693BF3B}" type="pres">
      <dgm:prSet presAssocID="{853DA822-D72B-6242-B79A-D9B54B306FA0}" presName="hierChild2" presStyleCnt="0"/>
      <dgm:spPr/>
      <dgm:t>
        <a:bodyPr/>
        <a:lstStyle/>
        <a:p>
          <a:endParaRPr lang="en-AU"/>
        </a:p>
      </dgm:t>
    </dgm:pt>
    <dgm:pt modelId="{4EFF129B-7EA3-9442-AA5C-1D99D5D88CCF}" type="pres">
      <dgm:prSet presAssocID="{A9971AEE-0BD0-AF4D-BCD7-74D127FFCBAC}" presName="Name37" presStyleLbl="parChTrans1D2" presStyleIdx="5" presStyleCnt="6"/>
      <dgm:spPr/>
      <dgm:t>
        <a:bodyPr/>
        <a:lstStyle/>
        <a:p>
          <a:endParaRPr lang="en-US"/>
        </a:p>
      </dgm:t>
    </dgm:pt>
    <dgm:pt modelId="{629E2F10-1B7D-4B4A-BDE2-463C38C91B45}" type="pres">
      <dgm:prSet presAssocID="{1F5B040A-5EFD-CF43-B5B5-AC9D09EAABD4}" presName="hierRoot2" presStyleCnt="0">
        <dgm:presLayoutVars>
          <dgm:hierBranch val="init"/>
        </dgm:presLayoutVars>
      </dgm:prSet>
      <dgm:spPr/>
      <dgm:t>
        <a:bodyPr/>
        <a:lstStyle/>
        <a:p>
          <a:endParaRPr lang="en-AU"/>
        </a:p>
      </dgm:t>
    </dgm:pt>
    <dgm:pt modelId="{5DADE847-448C-F943-88C2-BE7CB0C2BA01}" type="pres">
      <dgm:prSet presAssocID="{1F5B040A-5EFD-CF43-B5B5-AC9D09EAABD4}" presName="rootComposite" presStyleCnt="0"/>
      <dgm:spPr/>
      <dgm:t>
        <a:bodyPr/>
        <a:lstStyle/>
        <a:p>
          <a:endParaRPr lang="en-AU"/>
        </a:p>
      </dgm:t>
    </dgm:pt>
    <dgm:pt modelId="{35C02E39-375B-BD4F-9220-91B53195382C}" type="pres">
      <dgm:prSet presAssocID="{1F5B040A-5EFD-CF43-B5B5-AC9D09EAABD4}" presName="rootText" presStyleLbl="node2" presStyleIdx="3" presStyleCnt="4" custScaleX="100996" custScaleY="107887" custLinFactX="-106408" custLinFactNeighborX="-200000" custLinFactNeighborY="-4418">
        <dgm:presLayoutVars>
          <dgm:chPref val="3"/>
        </dgm:presLayoutVars>
      </dgm:prSet>
      <dgm:spPr/>
      <dgm:t>
        <a:bodyPr/>
        <a:lstStyle/>
        <a:p>
          <a:endParaRPr lang="en-US"/>
        </a:p>
      </dgm:t>
    </dgm:pt>
    <dgm:pt modelId="{A3F31C74-0B99-0D4F-B756-C26CFB8E9169}" type="pres">
      <dgm:prSet presAssocID="{1F5B040A-5EFD-CF43-B5B5-AC9D09EAABD4}" presName="rootConnector" presStyleLbl="node2" presStyleIdx="3" presStyleCnt="4"/>
      <dgm:spPr/>
      <dgm:t>
        <a:bodyPr/>
        <a:lstStyle/>
        <a:p>
          <a:endParaRPr lang="en-US"/>
        </a:p>
      </dgm:t>
    </dgm:pt>
    <dgm:pt modelId="{5AE5B74F-F2E2-B440-B08E-3CFE311CA25F}" type="pres">
      <dgm:prSet presAssocID="{1F5B040A-5EFD-CF43-B5B5-AC9D09EAABD4}" presName="hierChild4" presStyleCnt="0"/>
      <dgm:spPr/>
      <dgm:t>
        <a:bodyPr/>
        <a:lstStyle/>
        <a:p>
          <a:endParaRPr lang="en-AU"/>
        </a:p>
      </dgm:t>
    </dgm:pt>
    <dgm:pt modelId="{6165E876-6B1B-A940-B5D7-7499F4EFAC01}" type="pres">
      <dgm:prSet presAssocID="{1F5B040A-5EFD-CF43-B5B5-AC9D09EAABD4}" presName="hierChild5" presStyleCnt="0"/>
      <dgm:spPr/>
      <dgm:t>
        <a:bodyPr/>
        <a:lstStyle/>
        <a:p>
          <a:endParaRPr lang="en-AU"/>
        </a:p>
      </dgm:t>
    </dgm:pt>
    <dgm:pt modelId="{625DE37F-2380-DD4E-8DA5-1A6706E4525C}" type="pres">
      <dgm:prSet presAssocID="{853DA822-D72B-6242-B79A-D9B54B306FA0}" presName="hierChild3" presStyleCnt="0"/>
      <dgm:spPr/>
      <dgm:t>
        <a:bodyPr/>
        <a:lstStyle/>
        <a:p>
          <a:endParaRPr lang="en-AU"/>
        </a:p>
      </dgm:t>
    </dgm:pt>
  </dgm:ptLst>
  <dgm:cxnLst>
    <dgm:cxn modelId="{A1A72865-749C-5D4D-9E01-E83E9D8F5805}" srcId="{AAF98744-93FB-C04B-99E2-2C9FCD4CB372}" destId="{853DA822-D72B-6242-B79A-D9B54B306FA0}" srcOrd="1" destOrd="0" parTransId="{A800AEA1-4059-C64B-89A8-29655F63A17B}" sibTransId="{9BD41B65-65CD-664C-BD84-10FCE88B5A88}"/>
    <dgm:cxn modelId="{80B80785-3788-47CB-830B-2AE29ACD322D}" type="presOf" srcId="{DAEBBA18-7DB9-6A4A-B1A3-DD3ED3B0775C}" destId="{09EF8CB9-3DB2-FE4A-BD47-B0F2143B0EAB}" srcOrd="1" destOrd="0" presId="urn:microsoft.com/office/officeart/2005/8/layout/orgChart1"/>
    <dgm:cxn modelId="{2022EE68-07C5-EC41-8679-C989948F8B69}" srcId="{AAF98744-93FB-C04B-99E2-2C9FCD4CB372}" destId="{1369F77B-FBC5-B94F-9A8A-F072313C2226}" srcOrd="0" destOrd="0" parTransId="{784F08B8-7A58-F545-967B-3F5C708F284B}" sibTransId="{A3E7E42A-0D03-0544-8A46-E1DB62B7F4E2}"/>
    <dgm:cxn modelId="{2CFBFDB7-957C-4D3A-8C81-FC5012E52D76}" type="presOf" srcId="{E04A4581-DC31-3E42-AD36-44C7726810B6}" destId="{9516E041-C8AA-5841-8F8B-8DA291FDDF91}" srcOrd="0" destOrd="0" presId="urn:microsoft.com/office/officeart/2005/8/layout/orgChart1"/>
    <dgm:cxn modelId="{60AA1ACD-5E12-4DC8-BFA2-A3882A712E38}" type="presOf" srcId="{1369F77B-FBC5-B94F-9A8A-F072313C2226}" destId="{C185D22C-FEF4-1C4B-80B4-0F7016912ED9}" srcOrd="1" destOrd="0" presId="urn:microsoft.com/office/officeart/2005/8/layout/orgChart1"/>
    <dgm:cxn modelId="{1CBD7C80-52A0-3F4E-8EA0-DF9B174C7A76}" srcId="{1369F77B-FBC5-B94F-9A8A-F072313C2226}" destId="{DAEBBA18-7DB9-6A4A-B1A3-DD3ED3B0775C}" srcOrd="1" destOrd="0" parTransId="{62DDB500-4352-4F4E-8D88-8DE4B050D831}" sibTransId="{0A987F10-7056-7544-B49A-2E7B9E6E9D2A}"/>
    <dgm:cxn modelId="{4FB86E11-E41A-4389-B846-4EC2D0AE9DC1}" type="presOf" srcId="{62DDB500-4352-4F4E-8D88-8DE4B050D831}" destId="{C66C594A-319F-A049-8EFA-D12A0C711E08}" srcOrd="0" destOrd="0" presId="urn:microsoft.com/office/officeart/2005/8/layout/orgChart1"/>
    <dgm:cxn modelId="{29BDA552-B28C-A147-BCC9-9C865B5853E1}" srcId="{1369F77B-FBC5-B94F-9A8A-F072313C2226}" destId="{C3064557-A92D-3845-BA0B-D0F949C72574}" srcOrd="4" destOrd="0" parTransId="{EB27958B-849E-A64A-82F0-8273A69DFCF4}" sibTransId="{E6D88013-EA72-A846-8C7F-08FC9F4A9EC4}"/>
    <dgm:cxn modelId="{5FD9ACEC-D09D-404A-9107-68274A8E665C}" type="presOf" srcId="{9FAFFE54-16DC-544A-AD9C-7AE82F7AFD18}" destId="{C2CAD529-87DC-6647-B17D-8ADD006E6D90}" srcOrd="1" destOrd="0" presId="urn:microsoft.com/office/officeart/2005/8/layout/orgChart1"/>
    <dgm:cxn modelId="{25C000BC-4D48-3A49-AB1A-1E866558CC27}" srcId="{1369F77B-FBC5-B94F-9A8A-F072313C2226}" destId="{C4B89507-01D7-2E48-9413-AF9E6E50F88A}" srcOrd="2" destOrd="0" parTransId="{75DF73BE-1058-1D44-BAD2-95EC32F18DE5}" sibTransId="{5C6A47E7-CD2D-9146-AB05-3853A0C16E48}"/>
    <dgm:cxn modelId="{10593A4A-CD69-A844-A988-129307086888}" srcId="{1369F77B-FBC5-B94F-9A8A-F072313C2226}" destId="{E04A4581-DC31-3E42-AD36-44C7726810B6}" srcOrd="0" destOrd="0" parTransId="{4DCA30B9-7815-B645-A1A9-7EFC63E13B2D}" sibTransId="{21D50A70-5C87-6E4B-8D3F-AFF937A0C491}"/>
    <dgm:cxn modelId="{E07EA9AC-7D37-48B4-A299-F9B655BB6ED4}" type="presOf" srcId="{1F5B040A-5EFD-CF43-B5B5-AC9D09EAABD4}" destId="{35C02E39-375B-BD4F-9220-91B53195382C}" srcOrd="0" destOrd="0" presId="urn:microsoft.com/office/officeart/2005/8/layout/orgChart1"/>
    <dgm:cxn modelId="{C3DC82E9-9082-4AD5-90BB-E81912BEFA5E}" type="presOf" srcId="{C4B89507-01D7-2E48-9413-AF9E6E50F88A}" destId="{68ADB510-5D1E-FE42-B8BF-DA2FE3E2CF9D}" srcOrd="0" destOrd="0" presId="urn:microsoft.com/office/officeart/2005/8/layout/orgChart1"/>
    <dgm:cxn modelId="{2ED6E89B-5DE0-4212-8C0F-3FA8CCD90A70}" type="presOf" srcId="{1F5B040A-5EFD-CF43-B5B5-AC9D09EAABD4}" destId="{A3F31C74-0B99-0D4F-B756-C26CFB8E9169}" srcOrd="1" destOrd="0" presId="urn:microsoft.com/office/officeart/2005/8/layout/orgChart1"/>
    <dgm:cxn modelId="{DA9E209D-9E36-483F-9570-9EA391CE732B}" type="presOf" srcId="{C3064557-A92D-3845-BA0B-D0F949C72574}" destId="{9EC2C442-09C0-364A-86FB-F60627A986EC}" srcOrd="0" destOrd="0" presId="urn:microsoft.com/office/officeart/2005/8/layout/orgChart1"/>
    <dgm:cxn modelId="{12BB911E-5BDD-4997-9C80-4A92511A9319}" type="presOf" srcId="{AAF98744-93FB-C04B-99E2-2C9FCD4CB372}" destId="{AF35A14A-3FA0-4842-A149-E7D32517C349}" srcOrd="0" destOrd="0" presId="urn:microsoft.com/office/officeart/2005/8/layout/orgChart1"/>
    <dgm:cxn modelId="{B031B8E7-5201-49C5-94C9-2AF043E136D5}" type="presOf" srcId="{9FAFFE54-16DC-544A-AD9C-7AE82F7AFD18}" destId="{6EE1C780-F130-594C-B570-4432143402F4}" srcOrd="0" destOrd="0" presId="urn:microsoft.com/office/officeart/2005/8/layout/orgChart1"/>
    <dgm:cxn modelId="{C2A5FD8B-A6F2-420F-B977-B4A34D5AA77C}" type="presOf" srcId="{1369F77B-FBC5-B94F-9A8A-F072313C2226}" destId="{B55EB837-284C-7140-B089-887088AED3FE}" srcOrd="0" destOrd="0" presId="urn:microsoft.com/office/officeart/2005/8/layout/orgChart1"/>
    <dgm:cxn modelId="{D8FCDB31-BF7B-40AE-B14E-1B7CC506DB2B}" type="presOf" srcId="{EB27958B-849E-A64A-82F0-8273A69DFCF4}" destId="{65CEA688-EC2D-3646-947F-3E97F0425EAC}" srcOrd="0" destOrd="0" presId="urn:microsoft.com/office/officeart/2005/8/layout/orgChart1"/>
    <dgm:cxn modelId="{35D14588-9967-4EBC-BC1D-10E09D6F978F}" type="presOf" srcId="{853DA822-D72B-6242-B79A-D9B54B306FA0}" destId="{A29A6D74-36D9-AD4A-BD73-4E2F40045C38}" srcOrd="0" destOrd="0" presId="urn:microsoft.com/office/officeart/2005/8/layout/orgChart1"/>
    <dgm:cxn modelId="{76F95B9F-61BA-B549-A42E-B2F728B7D119}" srcId="{853DA822-D72B-6242-B79A-D9B54B306FA0}" destId="{1F5B040A-5EFD-CF43-B5B5-AC9D09EAABD4}" srcOrd="0" destOrd="0" parTransId="{A9971AEE-0BD0-AF4D-BCD7-74D127FFCBAC}" sibTransId="{C093D342-FE50-1C4C-B6E7-142BE2871B9D}"/>
    <dgm:cxn modelId="{AAB8E7BE-2EA5-44F3-BC9A-E22C71FEDEC4}" type="presOf" srcId="{E04A4581-DC31-3E42-AD36-44C7726810B6}" destId="{AAC99C1D-3D9F-C946-B02D-6FA67DD240F5}" srcOrd="1" destOrd="0" presId="urn:microsoft.com/office/officeart/2005/8/layout/orgChart1"/>
    <dgm:cxn modelId="{D279BE70-AC90-49C7-BCB6-FF9708C832C6}" type="presOf" srcId="{75DF73BE-1058-1D44-BAD2-95EC32F18DE5}" destId="{2374890A-F194-7842-B358-E7D96022C750}" srcOrd="0" destOrd="0" presId="urn:microsoft.com/office/officeart/2005/8/layout/orgChart1"/>
    <dgm:cxn modelId="{1BC49061-9968-401D-B066-1CBF8811A248}" type="presOf" srcId="{A9971AEE-0BD0-AF4D-BCD7-74D127FFCBAC}" destId="{4EFF129B-7EA3-9442-AA5C-1D99D5D88CCF}" srcOrd="0" destOrd="0" presId="urn:microsoft.com/office/officeart/2005/8/layout/orgChart1"/>
    <dgm:cxn modelId="{A94BA7F9-97F4-4798-9CAF-E5380299430B}" type="presOf" srcId="{25288148-CEB0-4B4D-947D-85E543CE2D4A}" destId="{EB08FB21-5BB6-A241-9A03-FA4ABF528A14}" srcOrd="0" destOrd="0" presId="urn:microsoft.com/office/officeart/2005/8/layout/orgChart1"/>
    <dgm:cxn modelId="{A666F771-DC56-46BD-96B8-F9DC55473B60}" type="presOf" srcId="{C4B89507-01D7-2E48-9413-AF9E6E50F88A}" destId="{0403647C-14D4-234C-B1E8-D18DB4678FD0}" srcOrd="1" destOrd="0" presId="urn:microsoft.com/office/officeart/2005/8/layout/orgChart1"/>
    <dgm:cxn modelId="{8F2EA1A7-6353-4AF2-A85E-AB1C207A93E5}" type="presOf" srcId="{DAEBBA18-7DB9-6A4A-B1A3-DD3ED3B0775C}" destId="{7626CF0E-C6F2-D447-B1DB-368A4FDB63CE}" srcOrd="0" destOrd="0" presId="urn:microsoft.com/office/officeart/2005/8/layout/orgChart1"/>
    <dgm:cxn modelId="{2EB9DC51-D92F-49BA-A22A-EEEBCF19A35E}" type="presOf" srcId="{853DA822-D72B-6242-B79A-D9B54B306FA0}" destId="{199B2B33-5AA7-7B47-9EDF-51DAD805F0B0}" srcOrd="1" destOrd="0" presId="urn:microsoft.com/office/officeart/2005/8/layout/orgChart1"/>
    <dgm:cxn modelId="{A9F47A69-DE73-4545-ACB2-553E6873290B}" type="presOf" srcId="{C3064557-A92D-3845-BA0B-D0F949C72574}" destId="{8360987A-FD09-9649-AA5F-994F4462C691}" srcOrd="1" destOrd="0" presId="urn:microsoft.com/office/officeart/2005/8/layout/orgChart1"/>
    <dgm:cxn modelId="{51F96429-C298-4FB0-BE77-19343D7DF31D}" type="presOf" srcId="{4DCA30B9-7815-B645-A1A9-7EFC63E13B2D}" destId="{8AE71714-F97C-404C-97B9-CB568F62CFE9}" srcOrd="0" destOrd="0" presId="urn:microsoft.com/office/officeart/2005/8/layout/orgChart1"/>
    <dgm:cxn modelId="{41BB37BE-8FAA-9947-964A-4FA0A9041815}" srcId="{1369F77B-FBC5-B94F-9A8A-F072313C2226}" destId="{9FAFFE54-16DC-544A-AD9C-7AE82F7AFD18}" srcOrd="3" destOrd="0" parTransId="{25288148-CEB0-4B4D-947D-85E543CE2D4A}" sibTransId="{6DA9F97A-4D98-3940-9EDD-10BED86AD27B}"/>
    <dgm:cxn modelId="{7B75F537-5B44-4084-9FE3-73F770845C26}" type="presParOf" srcId="{AF35A14A-3FA0-4842-A149-E7D32517C349}" destId="{4900B532-E69C-A24D-89C0-1D164A8B0ECC}" srcOrd="0" destOrd="0" presId="urn:microsoft.com/office/officeart/2005/8/layout/orgChart1"/>
    <dgm:cxn modelId="{17385FB6-FEDD-4BED-B011-F4BB56A0CB4B}" type="presParOf" srcId="{4900B532-E69C-A24D-89C0-1D164A8B0ECC}" destId="{808181D2-388E-A24D-B35C-9593FC890554}" srcOrd="0" destOrd="0" presId="urn:microsoft.com/office/officeart/2005/8/layout/orgChart1"/>
    <dgm:cxn modelId="{30160A6A-5FDC-42A3-8D1E-83E79D45CDA4}" type="presParOf" srcId="{808181D2-388E-A24D-B35C-9593FC890554}" destId="{B55EB837-284C-7140-B089-887088AED3FE}" srcOrd="0" destOrd="0" presId="urn:microsoft.com/office/officeart/2005/8/layout/orgChart1"/>
    <dgm:cxn modelId="{09779033-3756-46E4-9D7E-50C224BD933B}" type="presParOf" srcId="{808181D2-388E-A24D-B35C-9593FC890554}" destId="{C185D22C-FEF4-1C4B-80B4-0F7016912ED9}" srcOrd="1" destOrd="0" presId="urn:microsoft.com/office/officeart/2005/8/layout/orgChart1"/>
    <dgm:cxn modelId="{48C5E231-1392-4430-91AC-471BE8865EBF}" type="presParOf" srcId="{4900B532-E69C-A24D-89C0-1D164A8B0ECC}" destId="{262F3500-3459-9E48-B55D-BD242C4C6C82}" srcOrd="1" destOrd="0" presId="urn:microsoft.com/office/officeart/2005/8/layout/orgChart1"/>
    <dgm:cxn modelId="{F8176D3D-BDCE-4627-8543-DCA6176D892E}" type="presParOf" srcId="{262F3500-3459-9E48-B55D-BD242C4C6C82}" destId="{2374890A-F194-7842-B358-E7D96022C750}" srcOrd="0" destOrd="0" presId="urn:microsoft.com/office/officeart/2005/8/layout/orgChart1"/>
    <dgm:cxn modelId="{B739B882-6FE9-4D2C-860A-651720A8D5B0}" type="presParOf" srcId="{262F3500-3459-9E48-B55D-BD242C4C6C82}" destId="{09277BDF-6D97-054E-B736-F2B18F7760E0}" srcOrd="1" destOrd="0" presId="urn:microsoft.com/office/officeart/2005/8/layout/orgChart1"/>
    <dgm:cxn modelId="{7FAD9D35-21C8-45F8-8C0C-AFFEAEFC0BD9}" type="presParOf" srcId="{09277BDF-6D97-054E-B736-F2B18F7760E0}" destId="{92E85EAF-ABD5-AE43-B539-B8AA0D2F0DD4}" srcOrd="0" destOrd="0" presId="urn:microsoft.com/office/officeart/2005/8/layout/orgChart1"/>
    <dgm:cxn modelId="{D455D602-C7DD-4C6B-B8A0-B56F537E9427}" type="presParOf" srcId="{92E85EAF-ABD5-AE43-B539-B8AA0D2F0DD4}" destId="{68ADB510-5D1E-FE42-B8BF-DA2FE3E2CF9D}" srcOrd="0" destOrd="0" presId="urn:microsoft.com/office/officeart/2005/8/layout/orgChart1"/>
    <dgm:cxn modelId="{EE16E6BF-3B65-4969-B441-8B87A8CEA86E}" type="presParOf" srcId="{92E85EAF-ABD5-AE43-B539-B8AA0D2F0DD4}" destId="{0403647C-14D4-234C-B1E8-D18DB4678FD0}" srcOrd="1" destOrd="0" presId="urn:microsoft.com/office/officeart/2005/8/layout/orgChart1"/>
    <dgm:cxn modelId="{234B4A3A-CD6A-4495-98AD-BCAF6D0D5B6A}" type="presParOf" srcId="{09277BDF-6D97-054E-B736-F2B18F7760E0}" destId="{104E7B9D-DA10-2D4F-84EE-015743248782}" srcOrd="1" destOrd="0" presId="urn:microsoft.com/office/officeart/2005/8/layout/orgChart1"/>
    <dgm:cxn modelId="{D4DFAA39-D34A-4D24-A99C-288EFBC9EA9D}" type="presParOf" srcId="{09277BDF-6D97-054E-B736-F2B18F7760E0}" destId="{A1ACB25C-5935-A14D-8B92-3CAFAA5E20B9}" srcOrd="2" destOrd="0" presId="urn:microsoft.com/office/officeart/2005/8/layout/orgChart1"/>
    <dgm:cxn modelId="{6D562582-7D37-47C9-BD2F-1FC51D293330}" type="presParOf" srcId="{262F3500-3459-9E48-B55D-BD242C4C6C82}" destId="{EB08FB21-5BB6-A241-9A03-FA4ABF528A14}" srcOrd="2" destOrd="0" presId="urn:microsoft.com/office/officeart/2005/8/layout/orgChart1"/>
    <dgm:cxn modelId="{C3B60843-E4FF-4206-A7D7-7417BECE8C59}" type="presParOf" srcId="{262F3500-3459-9E48-B55D-BD242C4C6C82}" destId="{40460088-0DC4-2548-BBB9-9F1844889240}" srcOrd="3" destOrd="0" presId="urn:microsoft.com/office/officeart/2005/8/layout/orgChart1"/>
    <dgm:cxn modelId="{654A4AE4-5DDE-43E3-8D86-BA2E97EB9B75}" type="presParOf" srcId="{40460088-0DC4-2548-BBB9-9F1844889240}" destId="{E74FABC0-52BF-EA4A-9F16-A65C03C3996B}" srcOrd="0" destOrd="0" presId="urn:microsoft.com/office/officeart/2005/8/layout/orgChart1"/>
    <dgm:cxn modelId="{CDF776F5-DA47-4CAC-AB57-22E2E5EFF9B6}" type="presParOf" srcId="{E74FABC0-52BF-EA4A-9F16-A65C03C3996B}" destId="{6EE1C780-F130-594C-B570-4432143402F4}" srcOrd="0" destOrd="0" presId="urn:microsoft.com/office/officeart/2005/8/layout/orgChart1"/>
    <dgm:cxn modelId="{F869E5D2-3A14-422E-93F3-E49C8738FEF7}" type="presParOf" srcId="{E74FABC0-52BF-EA4A-9F16-A65C03C3996B}" destId="{C2CAD529-87DC-6647-B17D-8ADD006E6D90}" srcOrd="1" destOrd="0" presId="urn:microsoft.com/office/officeart/2005/8/layout/orgChart1"/>
    <dgm:cxn modelId="{CF89225D-989A-42BE-92B2-4847CA8D1E2A}" type="presParOf" srcId="{40460088-0DC4-2548-BBB9-9F1844889240}" destId="{A33762BD-9BEF-1A42-A49D-2795587FE143}" srcOrd="1" destOrd="0" presId="urn:microsoft.com/office/officeart/2005/8/layout/orgChart1"/>
    <dgm:cxn modelId="{8597B48B-8D3C-4D50-A228-146216775C2F}" type="presParOf" srcId="{40460088-0DC4-2548-BBB9-9F1844889240}" destId="{801B8142-FC17-F04E-8FD0-C7F0324A9061}" srcOrd="2" destOrd="0" presId="urn:microsoft.com/office/officeart/2005/8/layout/orgChart1"/>
    <dgm:cxn modelId="{8FFF6679-C454-4E70-8A23-D5DAFEC263F9}" type="presParOf" srcId="{262F3500-3459-9E48-B55D-BD242C4C6C82}" destId="{65CEA688-EC2D-3646-947F-3E97F0425EAC}" srcOrd="4" destOrd="0" presId="urn:microsoft.com/office/officeart/2005/8/layout/orgChart1"/>
    <dgm:cxn modelId="{D435A391-943E-49FA-AEDB-9D20FFB4D4BC}" type="presParOf" srcId="{262F3500-3459-9E48-B55D-BD242C4C6C82}" destId="{C59F15F8-0066-F149-9000-99C121E420D7}" srcOrd="5" destOrd="0" presId="urn:microsoft.com/office/officeart/2005/8/layout/orgChart1"/>
    <dgm:cxn modelId="{C592DD10-A739-4F3F-947C-1C4299A8F39A}" type="presParOf" srcId="{C59F15F8-0066-F149-9000-99C121E420D7}" destId="{102F4DC5-7CDF-5E45-8AE5-02706CE41C54}" srcOrd="0" destOrd="0" presId="urn:microsoft.com/office/officeart/2005/8/layout/orgChart1"/>
    <dgm:cxn modelId="{A1957E55-FCE1-4196-8856-B269845E0AD1}" type="presParOf" srcId="{102F4DC5-7CDF-5E45-8AE5-02706CE41C54}" destId="{9EC2C442-09C0-364A-86FB-F60627A986EC}" srcOrd="0" destOrd="0" presId="urn:microsoft.com/office/officeart/2005/8/layout/orgChart1"/>
    <dgm:cxn modelId="{3914D71D-635A-406C-90FF-F60752D72E26}" type="presParOf" srcId="{102F4DC5-7CDF-5E45-8AE5-02706CE41C54}" destId="{8360987A-FD09-9649-AA5F-994F4462C691}" srcOrd="1" destOrd="0" presId="urn:microsoft.com/office/officeart/2005/8/layout/orgChart1"/>
    <dgm:cxn modelId="{86E4C773-637F-4B01-A999-80544C98323B}" type="presParOf" srcId="{C59F15F8-0066-F149-9000-99C121E420D7}" destId="{8255BD1E-0CAF-7448-9906-1436F847382B}" srcOrd="1" destOrd="0" presId="urn:microsoft.com/office/officeart/2005/8/layout/orgChart1"/>
    <dgm:cxn modelId="{097D3981-E292-490E-9919-D39646E3275C}" type="presParOf" srcId="{C59F15F8-0066-F149-9000-99C121E420D7}" destId="{1F000621-1346-2147-B7E0-584D2A11768D}" srcOrd="2" destOrd="0" presId="urn:microsoft.com/office/officeart/2005/8/layout/orgChart1"/>
    <dgm:cxn modelId="{A9C11592-A7F0-464E-8B9E-2B275E75E392}" type="presParOf" srcId="{4900B532-E69C-A24D-89C0-1D164A8B0ECC}" destId="{F3F13F68-DF88-3842-BBB6-538B68EDBEFC}" srcOrd="2" destOrd="0" presId="urn:microsoft.com/office/officeart/2005/8/layout/orgChart1"/>
    <dgm:cxn modelId="{EDEFAE9A-915F-4ED0-9D3B-332CFBD14418}" type="presParOf" srcId="{F3F13F68-DF88-3842-BBB6-538B68EDBEFC}" destId="{8AE71714-F97C-404C-97B9-CB568F62CFE9}" srcOrd="0" destOrd="0" presId="urn:microsoft.com/office/officeart/2005/8/layout/orgChart1"/>
    <dgm:cxn modelId="{7051C347-0BEF-4EB3-A5D9-04B386F8E3E4}" type="presParOf" srcId="{F3F13F68-DF88-3842-BBB6-538B68EDBEFC}" destId="{2730A421-B5E0-8849-9095-D4042F8E8B3C}" srcOrd="1" destOrd="0" presId="urn:microsoft.com/office/officeart/2005/8/layout/orgChart1"/>
    <dgm:cxn modelId="{B53C64A0-ED8F-483B-8DDA-DA36C0F3C61E}" type="presParOf" srcId="{2730A421-B5E0-8849-9095-D4042F8E8B3C}" destId="{C5AE25AE-B7E8-2C4A-B6EE-6064E3A7FBDB}" srcOrd="0" destOrd="0" presId="urn:microsoft.com/office/officeart/2005/8/layout/orgChart1"/>
    <dgm:cxn modelId="{30256952-5211-4B64-B6BB-155B403E8132}" type="presParOf" srcId="{C5AE25AE-B7E8-2C4A-B6EE-6064E3A7FBDB}" destId="{9516E041-C8AA-5841-8F8B-8DA291FDDF91}" srcOrd="0" destOrd="0" presId="urn:microsoft.com/office/officeart/2005/8/layout/orgChart1"/>
    <dgm:cxn modelId="{E6C61848-AD4A-4C92-8CE6-CED2B759ADA4}" type="presParOf" srcId="{C5AE25AE-B7E8-2C4A-B6EE-6064E3A7FBDB}" destId="{AAC99C1D-3D9F-C946-B02D-6FA67DD240F5}" srcOrd="1" destOrd="0" presId="urn:microsoft.com/office/officeart/2005/8/layout/orgChart1"/>
    <dgm:cxn modelId="{E570EEC3-E455-47EC-8FF1-67881DAA6766}" type="presParOf" srcId="{2730A421-B5E0-8849-9095-D4042F8E8B3C}" destId="{B39E3993-68F0-F944-A55B-542531AC2767}" srcOrd="1" destOrd="0" presId="urn:microsoft.com/office/officeart/2005/8/layout/orgChart1"/>
    <dgm:cxn modelId="{7E35514B-7603-4ADD-83CF-4E961F14D3B3}" type="presParOf" srcId="{2730A421-B5E0-8849-9095-D4042F8E8B3C}" destId="{90C87CC8-828C-FD4C-A990-B9AED2DF1269}" srcOrd="2" destOrd="0" presId="urn:microsoft.com/office/officeart/2005/8/layout/orgChart1"/>
    <dgm:cxn modelId="{25B543B0-7D0B-4DD4-A2E4-B6FE71FF418A}" type="presParOf" srcId="{F3F13F68-DF88-3842-BBB6-538B68EDBEFC}" destId="{C66C594A-319F-A049-8EFA-D12A0C711E08}" srcOrd="2" destOrd="0" presId="urn:microsoft.com/office/officeart/2005/8/layout/orgChart1"/>
    <dgm:cxn modelId="{E89A0E8F-360A-4F44-AE2C-E3195E19C4A8}" type="presParOf" srcId="{F3F13F68-DF88-3842-BBB6-538B68EDBEFC}" destId="{1920E1E1-BCB7-0A45-8731-96805102107A}" srcOrd="3" destOrd="0" presId="urn:microsoft.com/office/officeart/2005/8/layout/orgChart1"/>
    <dgm:cxn modelId="{B7F0CC3E-1E2E-44BA-ADD6-1F2729D11296}" type="presParOf" srcId="{1920E1E1-BCB7-0A45-8731-96805102107A}" destId="{BB11E31F-DEA0-6544-9446-124C7F785BDD}" srcOrd="0" destOrd="0" presId="urn:microsoft.com/office/officeart/2005/8/layout/orgChart1"/>
    <dgm:cxn modelId="{A6CB428D-014A-450B-BEB9-BCA5A0D949CE}" type="presParOf" srcId="{BB11E31F-DEA0-6544-9446-124C7F785BDD}" destId="{7626CF0E-C6F2-D447-B1DB-368A4FDB63CE}" srcOrd="0" destOrd="0" presId="urn:microsoft.com/office/officeart/2005/8/layout/orgChart1"/>
    <dgm:cxn modelId="{1525DF01-5F04-4989-9DAB-3E66A190799E}" type="presParOf" srcId="{BB11E31F-DEA0-6544-9446-124C7F785BDD}" destId="{09EF8CB9-3DB2-FE4A-BD47-B0F2143B0EAB}" srcOrd="1" destOrd="0" presId="urn:microsoft.com/office/officeart/2005/8/layout/orgChart1"/>
    <dgm:cxn modelId="{C474F2C0-0B73-4757-9460-5319470214FB}" type="presParOf" srcId="{1920E1E1-BCB7-0A45-8731-96805102107A}" destId="{E31FBFD3-4152-3E42-A398-0B690FB6A70E}" srcOrd="1" destOrd="0" presId="urn:microsoft.com/office/officeart/2005/8/layout/orgChart1"/>
    <dgm:cxn modelId="{CB76CB60-2D97-4E26-8BD4-667C41B46F5E}" type="presParOf" srcId="{1920E1E1-BCB7-0A45-8731-96805102107A}" destId="{7240BB56-26FF-2541-8553-620C022CDCD0}" srcOrd="2" destOrd="0" presId="urn:microsoft.com/office/officeart/2005/8/layout/orgChart1"/>
    <dgm:cxn modelId="{BE5D582D-C4E1-414C-A141-0C266CEDF9AF}" type="presParOf" srcId="{AF35A14A-3FA0-4842-A149-E7D32517C349}" destId="{ADFFF74B-7913-F749-B109-AF98C035E5EF}" srcOrd="1" destOrd="0" presId="urn:microsoft.com/office/officeart/2005/8/layout/orgChart1"/>
    <dgm:cxn modelId="{89272894-A189-46B4-AFB3-621DD2B30B6B}" type="presParOf" srcId="{ADFFF74B-7913-F749-B109-AF98C035E5EF}" destId="{C32F47F8-9B52-C54B-9645-4FFFDF060E02}" srcOrd="0" destOrd="0" presId="urn:microsoft.com/office/officeart/2005/8/layout/orgChart1"/>
    <dgm:cxn modelId="{A178677F-70A5-4B85-8AD9-FC6F9D56BE16}" type="presParOf" srcId="{C32F47F8-9B52-C54B-9645-4FFFDF060E02}" destId="{A29A6D74-36D9-AD4A-BD73-4E2F40045C38}" srcOrd="0" destOrd="0" presId="urn:microsoft.com/office/officeart/2005/8/layout/orgChart1"/>
    <dgm:cxn modelId="{729F323C-2C1C-45C3-A27D-ED3F24373819}" type="presParOf" srcId="{C32F47F8-9B52-C54B-9645-4FFFDF060E02}" destId="{199B2B33-5AA7-7B47-9EDF-51DAD805F0B0}" srcOrd="1" destOrd="0" presId="urn:microsoft.com/office/officeart/2005/8/layout/orgChart1"/>
    <dgm:cxn modelId="{1EB1A133-8A8F-495B-BA67-45E0AF896421}" type="presParOf" srcId="{ADFFF74B-7913-F749-B109-AF98C035E5EF}" destId="{D80F80B3-6DA8-D247-B172-F427B693BF3B}" srcOrd="1" destOrd="0" presId="urn:microsoft.com/office/officeart/2005/8/layout/orgChart1"/>
    <dgm:cxn modelId="{CA0969F3-05A2-4CC8-AAB0-A551DB764BA1}" type="presParOf" srcId="{D80F80B3-6DA8-D247-B172-F427B693BF3B}" destId="{4EFF129B-7EA3-9442-AA5C-1D99D5D88CCF}" srcOrd="0" destOrd="0" presId="urn:microsoft.com/office/officeart/2005/8/layout/orgChart1"/>
    <dgm:cxn modelId="{C39D18F2-2184-4FFE-AA5B-E231E728BCA6}" type="presParOf" srcId="{D80F80B3-6DA8-D247-B172-F427B693BF3B}" destId="{629E2F10-1B7D-4B4A-BDE2-463C38C91B45}" srcOrd="1" destOrd="0" presId="urn:microsoft.com/office/officeart/2005/8/layout/orgChart1"/>
    <dgm:cxn modelId="{8AA0A676-776D-45D2-83FC-F2A0DEB5DE1F}" type="presParOf" srcId="{629E2F10-1B7D-4B4A-BDE2-463C38C91B45}" destId="{5DADE847-448C-F943-88C2-BE7CB0C2BA01}" srcOrd="0" destOrd="0" presId="urn:microsoft.com/office/officeart/2005/8/layout/orgChart1"/>
    <dgm:cxn modelId="{78AE66DF-0CDD-40E7-9569-A6FC19AAE5FB}" type="presParOf" srcId="{5DADE847-448C-F943-88C2-BE7CB0C2BA01}" destId="{35C02E39-375B-BD4F-9220-91B53195382C}" srcOrd="0" destOrd="0" presId="urn:microsoft.com/office/officeart/2005/8/layout/orgChart1"/>
    <dgm:cxn modelId="{5F3EEC0E-FEBC-4630-A3DD-C755C135CBB8}" type="presParOf" srcId="{5DADE847-448C-F943-88C2-BE7CB0C2BA01}" destId="{A3F31C74-0B99-0D4F-B756-C26CFB8E9169}" srcOrd="1" destOrd="0" presId="urn:microsoft.com/office/officeart/2005/8/layout/orgChart1"/>
    <dgm:cxn modelId="{4E44E0FE-B3A2-4091-A97F-23EFDA550494}" type="presParOf" srcId="{629E2F10-1B7D-4B4A-BDE2-463C38C91B45}" destId="{5AE5B74F-F2E2-B440-B08E-3CFE311CA25F}" srcOrd="1" destOrd="0" presId="urn:microsoft.com/office/officeart/2005/8/layout/orgChart1"/>
    <dgm:cxn modelId="{19F26E8C-AAC6-4AEB-B1D5-AFE47C4FADA5}" type="presParOf" srcId="{629E2F10-1B7D-4B4A-BDE2-463C38C91B45}" destId="{6165E876-6B1B-A940-B5D7-7499F4EFAC01}" srcOrd="2" destOrd="0" presId="urn:microsoft.com/office/officeart/2005/8/layout/orgChart1"/>
    <dgm:cxn modelId="{D7EA606E-DDDE-47E3-A194-7818FFAD9A3C}" type="presParOf" srcId="{ADFFF74B-7913-F749-B109-AF98C035E5EF}" destId="{625DE37F-2380-DD4E-8DA5-1A6706E4525C}" srcOrd="2" destOrd="0" presId="urn:microsoft.com/office/officeart/2005/8/layout/orgChart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FF129B-7EA3-9442-AA5C-1D99D5D88CCF}">
      <dsp:nvSpPr>
        <dsp:cNvPr id="0" name=""/>
        <dsp:cNvSpPr/>
      </dsp:nvSpPr>
      <dsp:spPr>
        <a:xfrm>
          <a:off x="609828" y="805423"/>
          <a:ext cx="91440" cy="210815"/>
        </a:xfrm>
        <a:custGeom>
          <a:avLst/>
          <a:gdLst/>
          <a:ahLst/>
          <a:cxnLst/>
          <a:rect l="0" t="0" r="0" b="0"/>
          <a:pathLst>
            <a:path>
              <a:moveTo>
                <a:pt x="45720" y="0"/>
              </a:moveTo>
              <a:lnTo>
                <a:pt x="45720" y="73680"/>
              </a:lnTo>
              <a:lnTo>
                <a:pt x="49698" y="73680"/>
              </a:lnTo>
              <a:lnTo>
                <a:pt x="49698" y="210815"/>
              </a:lnTo>
            </a:path>
          </a:pathLst>
        </a:custGeom>
        <a:noFill/>
        <a:ln w="9525" cap="flat" cmpd="sng" algn="ctr">
          <a:solidFill>
            <a:schemeClr val="accent1">
              <a:shade val="95000"/>
              <a:satMod val="105000"/>
            </a:schemeClr>
          </a:solidFill>
          <a:prstDash val="solid"/>
        </a:ln>
        <a:effectLst/>
      </dsp:spPr>
      <dsp:style>
        <a:lnRef idx="1">
          <a:schemeClr val="accent1"/>
        </a:lnRef>
        <a:fillRef idx="0">
          <a:schemeClr val="accent1"/>
        </a:fillRef>
        <a:effectRef idx="0">
          <a:schemeClr val="accent1"/>
        </a:effectRef>
        <a:fontRef idx="minor">
          <a:schemeClr val="tx1"/>
        </a:fontRef>
      </dsp:style>
    </dsp:sp>
    <dsp:sp modelId="{C66C594A-319F-A049-8EFA-D12A0C711E08}">
      <dsp:nvSpPr>
        <dsp:cNvPr id="0" name=""/>
        <dsp:cNvSpPr/>
      </dsp:nvSpPr>
      <dsp:spPr>
        <a:xfrm>
          <a:off x="2238734" y="760684"/>
          <a:ext cx="939085" cy="200412"/>
        </a:xfrm>
        <a:custGeom>
          <a:avLst/>
          <a:gdLst/>
          <a:ahLst/>
          <a:cxnLst/>
          <a:rect l="0" t="0" r="0" b="0"/>
          <a:pathLst>
            <a:path>
              <a:moveTo>
                <a:pt x="0" y="0"/>
              </a:moveTo>
              <a:lnTo>
                <a:pt x="0" y="200412"/>
              </a:lnTo>
              <a:lnTo>
                <a:pt x="939085" y="200412"/>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AE71714-F97C-404C-97B9-CB568F62CFE9}">
      <dsp:nvSpPr>
        <dsp:cNvPr id="0" name=""/>
        <dsp:cNvSpPr/>
      </dsp:nvSpPr>
      <dsp:spPr>
        <a:xfrm>
          <a:off x="2238734" y="760684"/>
          <a:ext cx="633131" cy="621050"/>
        </a:xfrm>
        <a:custGeom>
          <a:avLst/>
          <a:gdLst/>
          <a:ahLst/>
          <a:cxnLst/>
          <a:rect l="0" t="0" r="0" b="0"/>
          <a:pathLst>
            <a:path>
              <a:moveTo>
                <a:pt x="0" y="0"/>
              </a:moveTo>
              <a:lnTo>
                <a:pt x="633131" y="621050"/>
              </a:lnTo>
            </a:path>
          </a:pathLst>
        </a:custGeom>
        <a:noFill/>
        <a:ln w="9525" cap="flat" cmpd="sng" algn="ctr">
          <a:solidFill>
            <a:schemeClr val="bg1"/>
          </a:solidFill>
          <a:prstDash val="solid"/>
        </a:ln>
        <a:effectLst/>
      </dsp:spPr>
      <dsp:style>
        <a:lnRef idx="1">
          <a:scrgbClr r="0" g="0" b="0"/>
        </a:lnRef>
        <a:fillRef idx="0">
          <a:scrgbClr r="0" g="0" b="0"/>
        </a:fillRef>
        <a:effectRef idx="0">
          <a:scrgbClr r="0" g="0" b="0"/>
        </a:effectRef>
        <a:fontRef idx="minor"/>
      </dsp:style>
    </dsp:sp>
    <dsp:sp modelId="{65CEA688-EC2D-3646-947F-3E97F0425EAC}">
      <dsp:nvSpPr>
        <dsp:cNvPr id="0" name=""/>
        <dsp:cNvSpPr/>
      </dsp:nvSpPr>
      <dsp:spPr>
        <a:xfrm>
          <a:off x="2238734" y="760684"/>
          <a:ext cx="1575246" cy="1211695"/>
        </a:xfrm>
        <a:custGeom>
          <a:avLst/>
          <a:gdLst/>
          <a:ahLst/>
          <a:cxnLst/>
          <a:rect l="0" t="0" r="0" b="0"/>
          <a:pathLst>
            <a:path>
              <a:moveTo>
                <a:pt x="0" y="0"/>
              </a:moveTo>
              <a:lnTo>
                <a:pt x="0" y="1074561"/>
              </a:lnTo>
              <a:lnTo>
                <a:pt x="1575246" y="1074561"/>
              </a:lnTo>
              <a:lnTo>
                <a:pt x="1575246" y="1211695"/>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B08FB21-5BB6-A241-9A03-FA4ABF528A14}">
      <dsp:nvSpPr>
        <dsp:cNvPr id="0" name=""/>
        <dsp:cNvSpPr/>
      </dsp:nvSpPr>
      <dsp:spPr>
        <a:xfrm>
          <a:off x="2187947" y="760684"/>
          <a:ext cx="91440" cy="1211695"/>
        </a:xfrm>
        <a:custGeom>
          <a:avLst/>
          <a:gdLst/>
          <a:ahLst/>
          <a:cxnLst/>
          <a:rect l="0" t="0" r="0" b="0"/>
          <a:pathLst>
            <a:path>
              <a:moveTo>
                <a:pt x="50787" y="0"/>
              </a:moveTo>
              <a:lnTo>
                <a:pt x="50787" y="1074561"/>
              </a:lnTo>
              <a:lnTo>
                <a:pt x="45720" y="1074561"/>
              </a:lnTo>
              <a:lnTo>
                <a:pt x="45720" y="1211695"/>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374890A-F194-7842-B358-E7D96022C750}">
      <dsp:nvSpPr>
        <dsp:cNvPr id="0" name=""/>
        <dsp:cNvSpPr/>
      </dsp:nvSpPr>
      <dsp:spPr>
        <a:xfrm>
          <a:off x="653353" y="760684"/>
          <a:ext cx="1585381" cy="1211695"/>
        </a:xfrm>
        <a:custGeom>
          <a:avLst/>
          <a:gdLst/>
          <a:ahLst/>
          <a:cxnLst/>
          <a:rect l="0" t="0" r="0" b="0"/>
          <a:pathLst>
            <a:path>
              <a:moveTo>
                <a:pt x="1585381" y="0"/>
              </a:moveTo>
              <a:lnTo>
                <a:pt x="1585381" y="1074561"/>
              </a:lnTo>
              <a:lnTo>
                <a:pt x="0" y="1074561"/>
              </a:lnTo>
              <a:lnTo>
                <a:pt x="0" y="1211695"/>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55EB837-284C-7140-B089-887088AED3FE}">
      <dsp:nvSpPr>
        <dsp:cNvPr id="0" name=""/>
        <dsp:cNvSpPr/>
      </dsp:nvSpPr>
      <dsp:spPr>
        <a:xfrm>
          <a:off x="1585712" y="107662"/>
          <a:ext cx="1306044" cy="653022"/>
        </a:xfrm>
        <a:prstGeom prst="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National Project Director</a:t>
          </a:r>
        </a:p>
      </dsp:txBody>
      <dsp:txXfrm>
        <a:off x="1585712" y="107662"/>
        <a:ext cx="1306044" cy="653022"/>
      </dsp:txXfrm>
    </dsp:sp>
    <dsp:sp modelId="{68ADB510-5D1E-FE42-B8BF-DA2FE3E2CF9D}">
      <dsp:nvSpPr>
        <dsp:cNvPr id="0" name=""/>
        <dsp:cNvSpPr/>
      </dsp:nvSpPr>
      <dsp:spPr>
        <a:xfrm>
          <a:off x="331" y="1972380"/>
          <a:ext cx="1306044" cy="653022"/>
        </a:xfrm>
        <a:prstGeom prst="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CIEM-MPI: Enhanced Business Competitiveness and Transparency</a:t>
          </a:r>
        </a:p>
      </dsp:txBody>
      <dsp:txXfrm>
        <a:off x="331" y="1972380"/>
        <a:ext cx="1306044" cy="653022"/>
      </dsp:txXfrm>
    </dsp:sp>
    <dsp:sp modelId="{6EE1C780-F130-594C-B570-4432143402F4}">
      <dsp:nvSpPr>
        <dsp:cNvPr id="0" name=""/>
        <dsp:cNvSpPr/>
      </dsp:nvSpPr>
      <dsp:spPr>
        <a:xfrm>
          <a:off x="1580645" y="1972380"/>
          <a:ext cx="1306044" cy="653022"/>
        </a:xfrm>
        <a:prstGeom prst="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VCA-MOIT: Restructuring Competition Institutions</a:t>
          </a:r>
        </a:p>
      </dsp:txBody>
      <dsp:txXfrm>
        <a:off x="1580645" y="1972380"/>
        <a:ext cx="1306044" cy="653022"/>
      </dsp:txXfrm>
    </dsp:sp>
    <dsp:sp modelId="{9EC2C442-09C0-364A-86FB-F60627A986EC}">
      <dsp:nvSpPr>
        <dsp:cNvPr id="0" name=""/>
        <dsp:cNvSpPr/>
      </dsp:nvSpPr>
      <dsp:spPr>
        <a:xfrm>
          <a:off x="3160958" y="1972380"/>
          <a:ext cx="1306044" cy="653022"/>
        </a:xfrm>
        <a:prstGeom prst="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IPSARD-MARD:</a:t>
          </a:r>
        </a:p>
        <a:p>
          <a:pPr lvl="0" algn="ctr" defTabSz="444500">
            <a:lnSpc>
              <a:spcPct val="90000"/>
            </a:lnSpc>
            <a:spcBef>
              <a:spcPct val="0"/>
            </a:spcBef>
            <a:spcAft>
              <a:spcPct val="35000"/>
            </a:spcAft>
          </a:pPr>
          <a:r>
            <a:rPr lang="en-US" sz="1000" kern="1200"/>
            <a:t>Restructuring the Rural Economy</a:t>
          </a:r>
        </a:p>
      </dsp:txBody>
      <dsp:txXfrm>
        <a:off x="3160958" y="1972380"/>
        <a:ext cx="1306044" cy="653022"/>
      </dsp:txXfrm>
    </dsp:sp>
    <dsp:sp modelId="{9516E041-C8AA-5841-8F8B-8DA291FDDF91}">
      <dsp:nvSpPr>
        <dsp:cNvPr id="0" name=""/>
        <dsp:cNvSpPr/>
      </dsp:nvSpPr>
      <dsp:spPr>
        <a:xfrm>
          <a:off x="1565821" y="1055223"/>
          <a:ext cx="1306044" cy="653022"/>
        </a:xfrm>
        <a:prstGeom prst="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Program Support Unit headed by SPC-E (inc Flexible Fund and SAG management)</a:t>
          </a:r>
        </a:p>
      </dsp:txBody>
      <dsp:txXfrm>
        <a:off x="1565821" y="1055223"/>
        <a:ext cx="1306044" cy="653022"/>
      </dsp:txXfrm>
    </dsp:sp>
    <dsp:sp modelId="{7626CF0E-C6F2-D447-B1DB-368A4FDB63CE}">
      <dsp:nvSpPr>
        <dsp:cNvPr id="0" name=""/>
        <dsp:cNvSpPr/>
      </dsp:nvSpPr>
      <dsp:spPr>
        <a:xfrm>
          <a:off x="3177819" y="634586"/>
          <a:ext cx="1306044" cy="653022"/>
        </a:xfrm>
        <a:prstGeom prst="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Program Coodinating Committee</a:t>
          </a:r>
        </a:p>
      </dsp:txBody>
      <dsp:txXfrm>
        <a:off x="3177819" y="634586"/>
        <a:ext cx="1306044" cy="653022"/>
      </dsp:txXfrm>
    </dsp:sp>
    <dsp:sp modelId="{A29A6D74-36D9-AD4A-BD73-4E2F40045C38}">
      <dsp:nvSpPr>
        <dsp:cNvPr id="0" name=""/>
        <dsp:cNvSpPr/>
      </dsp:nvSpPr>
      <dsp:spPr>
        <a:xfrm>
          <a:off x="66515" y="152401"/>
          <a:ext cx="1178065" cy="653022"/>
        </a:xfrm>
        <a:prstGeom prst="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DFAT</a:t>
          </a:r>
        </a:p>
      </dsp:txBody>
      <dsp:txXfrm>
        <a:off x="66515" y="152401"/>
        <a:ext cx="1178065" cy="653022"/>
      </dsp:txXfrm>
    </dsp:sp>
    <dsp:sp modelId="{35C02E39-375B-BD4F-9220-91B53195382C}">
      <dsp:nvSpPr>
        <dsp:cNvPr id="0" name=""/>
        <dsp:cNvSpPr/>
      </dsp:nvSpPr>
      <dsp:spPr>
        <a:xfrm>
          <a:off x="0" y="1016238"/>
          <a:ext cx="1319052" cy="704526"/>
        </a:xfrm>
        <a:prstGeom prst="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STA</a:t>
          </a:r>
        </a:p>
      </dsp:txBody>
      <dsp:txXfrm>
        <a:off x="0" y="1016238"/>
        <a:ext cx="1319052" cy="70452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FF129B-7EA3-9442-AA5C-1D99D5D88CCF}">
      <dsp:nvSpPr>
        <dsp:cNvPr id="0" name=""/>
        <dsp:cNvSpPr/>
      </dsp:nvSpPr>
      <dsp:spPr>
        <a:xfrm>
          <a:off x="609828" y="805423"/>
          <a:ext cx="91440" cy="210815"/>
        </a:xfrm>
        <a:custGeom>
          <a:avLst/>
          <a:gdLst/>
          <a:ahLst/>
          <a:cxnLst/>
          <a:rect l="0" t="0" r="0" b="0"/>
          <a:pathLst>
            <a:path>
              <a:moveTo>
                <a:pt x="45720" y="0"/>
              </a:moveTo>
              <a:lnTo>
                <a:pt x="45720" y="73680"/>
              </a:lnTo>
              <a:lnTo>
                <a:pt x="49698" y="73680"/>
              </a:lnTo>
              <a:lnTo>
                <a:pt x="49698" y="210815"/>
              </a:lnTo>
            </a:path>
          </a:pathLst>
        </a:custGeom>
        <a:noFill/>
        <a:ln w="9525" cap="flat" cmpd="sng" algn="ctr">
          <a:solidFill>
            <a:schemeClr val="accent1">
              <a:shade val="95000"/>
              <a:satMod val="105000"/>
            </a:schemeClr>
          </a:solidFill>
          <a:prstDash val="solid"/>
        </a:ln>
        <a:effectLst/>
      </dsp:spPr>
      <dsp:style>
        <a:lnRef idx="1">
          <a:schemeClr val="accent1"/>
        </a:lnRef>
        <a:fillRef idx="0">
          <a:schemeClr val="accent1"/>
        </a:fillRef>
        <a:effectRef idx="0">
          <a:schemeClr val="accent1"/>
        </a:effectRef>
        <a:fontRef idx="minor">
          <a:schemeClr val="tx1"/>
        </a:fontRef>
      </dsp:style>
    </dsp:sp>
    <dsp:sp modelId="{C66C594A-319F-A049-8EFA-D12A0C711E08}">
      <dsp:nvSpPr>
        <dsp:cNvPr id="0" name=""/>
        <dsp:cNvSpPr/>
      </dsp:nvSpPr>
      <dsp:spPr>
        <a:xfrm>
          <a:off x="2238734" y="760684"/>
          <a:ext cx="939085" cy="200412"/>
        </a:xfrm>
        <a:custGeom>
          <a:avLst/>
          <a:gdLst/>
          <a:ahLst/>
          <a:cxnLst/>
          <a:rect l="0" t="0" r="0" b="0"/>
          <a:pathLst>
            <a:path>
              <a:moveTo>
                <a:pt x="0" y="0"/>
              </a:moveTo>
              <a:lnTo>
                <a:pt x="0" y="200412"/>
              </a:lnTo>
              <a:lnTo>
                <a:pt x="939085" y="200412"/>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AE71714-F97C-404C-97B9-CB568F62CFE9}">
      <dsp:nvSpPr>
        <dsp:cNvPr id="0" name=""/>
        <dsp:cNvSpPr/>
      </dsp:nvSpPr>
      <dsp:spPr>
        <a:xfrm>
          <a:off x="2238734" y="760684"/>
          <a:ext cx="633131" cy="621050"/>
        </a:xfrm>
        <a:custGeom>
          <a:avLst/>
          <a:gdLst/>
          <a:ahLst/>
          <a:cxnLst/>
          <a:rect l="0" t="0" r="0" b="0"/>
          <a:pathLst>
            <a:path>
              <a:moveTo>
                <a:pt x="0" y="0"/>
              </a:moveTo>
              <a:lnTo>
                <a:pt x="633131" y="621050"/>
              </a:lnTo>
            </a:path>
          </a:pathLst>
        </a:custGeom>
        <a:noFill/>
        <a:ln w="9525" cap="flat" cmpd="sng" algn="ctr">
          <a:solidFill>
            <a:schemeClr val="bg1"/>
          </a:solidFill>
          <a:prstDash val="solid"/>
        </a:ln>
        <a:effectLst/>
      </dsp:spPr>
      <dsp:style>
        <a:lnRef idx="1">
          <a:scrgbClr r="0" g="0" b="0"/>
        </a:lnRef>
        <a:fillRef idx="0">
          <a:scrgbClr r="0" g="0" b="0"/>
        </a:fillRef>
        <a:effectRef idx="0">
          <a:scrgbClr r="0" g="0" b="0"/>
        </a:effectRef>
        <a:fontRef idx="minor"/>
      </dsp:style>
    </dsp:sp>
    <dsp:sp modelId="{65CEA688-EC2D-3646-947F-3E97F0425EAC}">
      <dsp:nvSpPr>
        <dsp:cNvPr id="0" name=""/>
        <dsp:cNvSpPr/>
      </dsp:nvSpPr>
      <dsp:spPr>
        <a:xfrm>
          <a:off x="2238734" y="760684"/>
          <a:ext cx="1575246" cy="1211695"/>
        </a:xfrm>
        <a:custGeom>
          <a:avLst/>
          <a:gdLst/>
          <a:ahLst/>
          <a:cxnLst/>
          <a:rect l="0" t="0" r="0" b="0"/>
          <a:pathLst>
            <a:path>
              <a:moveTo>
                <a:pt x="0" y="0"/>
              </a:moveTo>
              <a:lnTo>
                <a:pt x="0" y="1074561"/>
              </a:lnTo>
              <a:lnTo>
                <a:pt x="1575246" y="1074561"/>
              </a:lnTo>
              <a:lnTo>
                <a:pt x="1575246" y="1211695"/>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B08FB21-5BB6-A241-9A03-FA4ABF528A14}">
      <dsp:nvSpPr>
        <dsp:cNvPr id="0" name=""/>
        <dsp:cNvSpPr/>
      </dsp:nvSpPr>
      <dsp:spPr>
        <a:xfrm>
          <a:off x="2187947" y="760684"/>
          <a:ext cx="91440" cy="1211695"/>
        </a:xfrm>
        <a:custGeom>
          <a:avLst/>
          <a:gdLst/>
          <a:ahLst/>
          <a:cxnLst/>
          <a:rect l="0" t="0" r="0" b="0"/>
          <a:pathLst>
            <a:path>
              <a:moveTo>
                <a:pt x="50787" y="0"/>
              </a:moveTo>
              <a:lnTo>
                <a:pt x="50787" y="1074561"/>
              </a:lnTo>
              <a:lnTo>
                <a:pt x="45720" y="1074561"/>
              </a:lnTo>
              <a:lnTo>
                <a:pt x="45720" y="1211695"/>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374890A-F194-7842-B358-E7D96022C750}">
      <dsp:nvSpPr>
        <dsp:cNvPr id="0" name=""/>
        <dsp:cNvSpPr/>
      </dsp:nvSpPr>
      <dsp:spPr>
        <a:xfrm>
          <a:off x="653353" y="760684"/>
          <a:ext cx="1585381" cy="1211695"/>
        </a:xfrm>
        <a:custGeom>
          <a:avLst/>
          <a:gdLst/>
          <a:ahLst/>
          <a:cxnLst/>
          <a:rect l="0" t="0" r="0" b="0"/>
          <a:pathLst>
            <a:path>
              <a:moveTo>
                <a:pt x="1585381" y="0"/>
              </a:moveTo>
              <a:lnTo>
                <a:pt x="1585381" y="1074561"/>
              </a:lnTo>
              <a:lnTo>
                <a:pt x="0" y="1074561"/>
              </a:lnTo>
              <a:lnTo>
                <a:pt x="0" y="1211695"/>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55EB837-284C-7140-B089-887088AED3FE}">
      <dsp:nvSpPr>
        <dsp:cNvPr id="0" name=""/>
        <dsp:cNvSpPr/>
      </dsp:nvSpPr>
      <dsp:spPr>
        <a:xfrm>
          <a:off x="1585712" y="107662"/>
          <a:ext cx="1306044" cy="653022"/>
        </a:xfrm>
        <a:prstGeom prst="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National Project Director</a:t>
          </a:r>
        </a:p>
      </dsp:txBody>
      <dsp:txXfrm>
        <a:off x="1585712" y="107662"/>
        <a:ext cx="1306044" cy="653022"/>
      </dsp:txXfrm>
    </dsp:sp>
    <dsp:sp modelId="{68ADB510-5D1E-FE42-B8BF-DA2FE3E2CF9D}">
      <dsp:nvSpPr>
        <dsp:cNvPr id="0" name=""/>
        <dsp:cNvSpPr/>
      </dsp:nvSpPr>
      <dsp:spPr>
        <a:xfrm>
          <a:off x="331" y="1972380"/>
          <a:ext cx="1306044" cy="653022"/>
        </a:xfrm>
        <a:prstGeom prst="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CIEM-MPI: Enhanced Business Competitiveness and Transparency</a:t>
          </a:r>
        </a:p>
      </dsp:txBody>
      <dsp:txXfrm>
        <a:off x="331" y="1972380"/>
        <a:ext cx="1306044" cy="653022"/>
      </dsp:txXfrm>
    </dsp:sp>
    <dsp:sp modelId="{6EE1C780-F130-594C-B570-4432143402F4}">
      <dsp:nvSpPr>
        <dsp:cNvPr id="0" name=""/>
        <dsp:cNvSpPr/>
      </dsp:nvSpPr>
      <dsp:spPr>
        <a:xfrm>
          <a:off x="1580645" y="1972380"/>
          <a:ext cx="1306044" cy="653022"/>
        </a:xfrm>
        <a:prstGeom prst="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VCA-MOIT: Restructuring Competition Institutions</a:t>
          </a:r>
        </a:p>
      </dsp:txBody>
      <dsp:txXfrm>
        <a:off x="1580645" y="1972380"/>
        <a:ext cx="1306044" cy="653022"/>
      </dsp:txXfrm>
    </dsp:sp>
    <dsp:sp modelId="{9EC2C442-09C0-364A-86FB-F60627A986EC}">
      <dsp:nvSpPr>
        <dsp:cNvPr id="0" name=""/>
        <dsp:cNvSpPr/>
      </dsp:nvSpPr>
      <dsp:spPr>
        <a:xfrm>
          <a:off x="3160958" y="1972380"/>
          <a:ext cx="1306044" cy="653022"/>
        </a:xfrm>
        <a:prstGeom prst="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IPSARD-MARD:</a:t>
          </a:r>
        </a:p>
        <a:p>
          <a:pPr lvl="0" algn="ctr" defTabSz="444500">
            <a:lnSpc>
              <a:spcPct val="90000"/>
            </a:lnSpc>
            <a:spcBef>
              <a:spcPct val="0"/>
            </a:spcBef>
            <a:spcAft>
              <a:spcPct val="35000"/>
            </a:spcAft>
          </a:pPr>
          <a:r>
            <a:rPr lang="en-US" sz="1000" kern="1200"/>
            <a:t>Restructuring the Rural Economy</a:t>
          </a:r>
        </a:p>
      </dsp:txBody>
      <dsp:txXfrm>
        <a:off x="3160958" y="1972380"/>
        <a:ext cx="1306044" cy="653022"/>
      </dsp:txXfrm>
    </dsp:sp>
    <dsp:sp modelId="{9516E041-C8AA-5841-8F8B-8DA291FDDF91}">
      <dsp:nvSpPr>
        <dsp:cNvPr id="0" name=""/>
        <dsp:cNvSpPr/>
      </dsp:nvSpPr>
      <dsp:spPr>
        <a:xfrm>
          <a:off x="1565821" y="1055223"/>
          <a:ext cx="1306044" cy="653022"/>
        </a:xfrm>
        <a:prstGeom prst="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Program Support Unit headed by SPC-E (inc Flexible Fund and SAG management)</a:t>
          </a:r>
        </a:p>
      </dsp:txBody>
      <dsp:txXfrm>
        <a:off x="1565821" y="1055223"/>
        <a:ext cx="1306044" cy="653022"/>
      </dsp:txXfrm>
    </dsp:sp>
    <dsp:sp modelId="{7626CF0E-C6F2-D447-B1DB-368A4FDB63CE}">
      <dsp:nvSpPr>
        <dsp:cNvPr id="0" name=""/>
        <dsp:cNvSpPr/>
      </dsp:nvSpPr>
      <dsp:spPr>
        <a:xfrm>
          <a:off x="3177819" y="634586"/>
          <a:ext cx="1306044" cy="653022"/>
        </a:xfrm>
        <a:prstGeom prst="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Program Coodinating Committee</a:t>
          </a:r>
        </a:p>
      </dsp:txBody>
      <dsp:txXfrm>
        <a:off x="3177819" y="634586"/>
        <a:ext cx="1306044" cy="653022"/>
      </dsp:txXfrm>
    </dsp:sp>
    <dsp:sp modelId="{A29A6D74-36D9-AD4A-BD73-4E2F40045C38}">
      <dsp:nvSpPr>
        <dsp:cNvPr id="0" name=""/>
        <dsp:cNvSpPr/>
      </dsp:nvSpPr>
      <dsp:spPr>
        <a:xfrm>
          <a:off x="66515" y="152401"/>
          <a:ext cx="1178065" cy="653022"/>
        </a:xfrm>
        <a:prstGeom prst="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DFAT</a:t>
          </a:r>
        </a:p>
      </dsp:txBody>
      <dsp:txXfrm>
        <a:off x="66515" y="152401"/>
        <a:ext cx="1178065" cy="653022"/>
      </dsp:txXfrm>
    </dsp:sp>
    <dsp:sp modelId="{35C02E39-375B-BD4F-9220-91B53195382C}">
      <dsp:nvSpPr>
        <dsp:cNvPr id="0" name=""/>
        <dsp:cNvSpPr/>
      </dsp:nvSpPr>
      <dsp:spPr>
        <a:xfrm>
          <a:off x="0" y="1016238"/>
          <a:ext cx="1319052" cy="704526"/>
        </a:xfrm>
        <a:prstGeom prst="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STA</a:t>
          </a:r>
        </a:p>
      </dsp:txBody>
      <dsp:txXfrm>
        <a:off x="0" y="1016238"/>
        <a:ext cx="1319052" cy="7045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CFBF9D-1E22-41BE-87DD-F0CC4956599E}"/>
</file>

<file path=customXml/itemProps2.xml><?xml version="1.0" encoding="utf-8"?>
<ds:datastoreItem xmlns:ds="http://schemas.openxmlformats.org/officeDocument/2006/customXml" ds:itemID="{5A18EF33-BCE6-4E10-B01F-E96BD247130C}"/>
</file>

<file path=customXml/itemProps3.xml><?xml version="1.0" encoding="utf-8"?>
<ds:datastoreItem xmlns:ds="http://schemas.openxmlformats.org/officeDocument/2006/customXml" ds:itemID="{5F0ECA16-D1A6-4618-836E-2E93361A0BE9}"/>
</file>

<file path=customXml/itemProps4.xml><?xml version="1.0" encoding="utf-8"?>
<ds:datastoreItem xmlns:ds="http://schemas.openxmlformats.org/officeDocument/2006/customXml" ds:itemID="{5FE88E99-57E6-4EB0-BEED-AF7D03FD1CB5}"/>
</file>

<file path=docProps/app.xml><?xml version="1.0" encoding="utf-8"?>
<Properties xmlns="http://schemas.openxmlformats.org/officeDocument/2006/extended-properties" xmlns:vt="http://schemas.openxmlformats.org/officeDocument/2006/docPropsVTypes">
  <Template>E48C1B52.dotm</Template>
  <TotalTime>0</TotalTime>
  <Pages>95</Pages>
  <Words>28719</Words>
  <Characters>165712</Characters>
  <Application>Microsoft Office Word</Application>
  <DocSecurity>0</DocSecurity>
  <Lines>6137</Lines>
  <Paragraphs>2136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2015-11-04T02:50:00Z</dcterms:created>
  <dcterms:modified xsi:type="dcterms:W3CDTF">2015-11-04T02:50:00Z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985500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