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pacing w:val="4"/>
          <w:sz w:val="22"/>
          <w:szCs w:val="24"/>
          <w:lang w:val="en-GB"/>
        </w:rPr>
        <w:id w:val="-899739697"/>
        <w:docPartObj>
          <w:docPartGallery w:val="Cover Pages"/>
          <w:docPartUnique/>
        </w:docPartObj>
      </w:sdtPr>
      <w:sdtEndPr>
        <w:rPr>
          <w:spacing w:val="0"/>
          <w:szCs w:val="22"/>
          <w:lang w:val="en-AU"/>
        </w:rPr>
      </w:sdtEndPr>
      <w:sdtContent>
        <w:tbl>
          <w:tblPr>
            <w:tblStyle w:val="Frame"/>
            <w:tblpPr w:leftFromText="181" w:rightFromText="181" w:vertAnchor="page" w:horzAnchor="page" w:tblpX="285" w:tblpY="5104"/>
            <w:tblOverlap w:val="never"/>
            <w:tblW w:w="11340" w:type="dxa"/>
            <w:tblLayout w:type="fixed"/>
            <w:tblLook w:val="04A0" w:firstRow="1" w:lastRow="0" w:firstColumn="1" w:lastColumn="0" w:noHBand="0" w:noVBand="1"/>
          </w:tblPr>
          <w:tblGrid>
            <w:gridCol w:w="11340"/>
          </w:tblGrid>
          <w:tr w:rsidR="009F197E" w:rsidRPr="001B3B93" w14:paraId="269B0C92" w14:textId="77777777" w:rsidTr="00351369">
            <w:trPr>
              <w:trHeight w:hRule="exact" w:val="6804"/>
            </w:trPr>
            <w:tc>
              <w:tcPr>
                <w:tcW w:w="11340" w:type="dxa"/>
              </w:tcPr>
              <w:p w14:paraId="3FAC4255" w14:textId="77777777" w:rsidR="009F197E" w:rsidRPr="001B3B93" w:rsidRDefault="009F197E" w:rsidP="0007248B">
                <w:pPr>
                  <w:pStyle w:val="NoSpacing"/>
                </w:pPr>
              </w:p>
              <w:p w14:paraId="4E7982C8" w14:textId="77777777" w:rsidR="009F197E" w:rsidRPr="001B3B93" w:rsidRDefault="009F197E" w:rsidP="008E26EF">
                <w:pPr>
                  <w:pStyle w:val="NoSpacing"/>
                  <w:ind w:left="-284"/>
                </w:pPr>
              </w:p>
            </w:tc>
          </w:tr>
        </w:tbl>
        <w:p w14:paraId="253E15AE" w14:textId="7BAE6EAC" w:rsidR="00351369" w:rsidRPr="001B3B93" w:rsidRDefault="001214DA" w:rsidP="00A103E7">
          <w:pPr>
            <w:pStyle w:val="Title"/>
            <w:framePr w:wrap="around" w:hAnchor="page" w:x="862" w:y="12065"/>
          </w:pPr>
          <w:r w:rsidRPr="001B3B93">
            <w:t xml:space="preserve">Investing in regional prosperity: </w:t>
          </w:r>
          <w:r w:rsidR="00203179" w:rsidRPr="001B3B93">
            <w:t xml:space="preserve">Positioning the aid program to support </w:t>
          </w:r>
          <w:r w:rsidR="00351369" w:rsidRPr="001B3B93">
            <w:t>AUSTRALIA’S ECONOMIC PARTNERSHIPS IN ASIA</w:t>
          </w:r>
        </w:p>
        <w:sdt>
          <w:sdtPr>
            <w:rPr>
              <w:color w:val="434343" w:themeColor="text1"/>
            </w:rPr>
            <w:id w:val="832418913"/>
            <w:date w:fullDate="2018-10-10T00:00:00Z">
              <w:dateFormat w:val="MMMM yyyy"/>
              <w:lid w:val="en-AU"/>
              <w:storeMappedDataAs w:val="dateTime"/>
              <w:calendar w:val="gregorian"/>
            </w:date>
          </w:sdtPr>
          <w:sdtEndPr/>
          <w:sdtContent>
            <w:p w14:paraId="59D2897A" w14:textId="267F978E" w:rsidR="009F197E" w:rsidRPr="001B3B93" w:rsidRDefault="00B71594" w:rsidP="00A103E7">
              <w:pPr>
                <w:pStyle w:val="Date"/>
                <w:framePr w:wrap="around" w:hAnchor="page" w:x="862" w:y="12065"/>
              </w:pPr>
              <w:r>
                <w:rPr>
                  <w:color w:val="434343" w:themeColor="text1"/>
                </w:rPr>
                <w:t>October 2018</w:t>
              </w:r>
            </w:p>
          </w:sdtContent>
        </w:sdt>
        <w:p w14:paraId="7CF10248" w14:textId="77777777" w:rsidR="009F197E" w:rsidRPr="001B3B93" w:rsidRDefault="009F197E" w:rsidP="009F197E"/>
        <w:p w14:paraId="44F172C0" w14:textId="77777777" w:rsidR="009F197E" w:rsidRPr="001B3B93" w:rsidRDefault="009F197E" w:rsidP="009F197E">
          <w:pPr>
            <w:sectPr w:rsidR="009F197E" w:rsidRPr="001B3B93" w:rsidSect="00F21EFA">
              <w:headerReference w:type="even" r:id="rId11"/>
              <w:headerReference w:type="default" r:id="rId12"/>
              <w:footerReference w:type="default" r:id="rId13"/>
              <w:headerReference w:type="first" r:id="rId14"/>
              <w:type w:val="continuous"/>
              <w:pgSz w:w="11906" w:h="16838"/>
              <w:pgMar w:top="851" w:right="851" w:bottom="1418" w:left="851" w:header="720" w:footer="720" w:gutter="0"/>
              <w:cols w:space="708"/>
              <w:titlePg/>
              <w:docGrid w:linePitch="360"/>
            </w:sectPr>
          </w:pPr>
        </w:p>
        <w:p w14:paraId="7DCC0D7B" w14:textId="77777777" w:rsidR="009F197E" w:rsidRPr="001B3B93" w:rsidRDefault="005850F4" w:rsidP="00CD3898"/>
      </w:sdtContent>
    </w:sdt>
    <w:p w14:paraId="182E30CE" w14:textId="77777777" w:rsidR="009F197E" w:rsidRPr="001B3B93" w:rsidRDefault="009F197E" w:rsidP="009F197E">
      <w:r w:rsidRPr="001B3B93">
        <w:t xml:space="preserve">© Commonwealth of Australia 2017 ISBN </w:t>
      </w:r>
      <w:r w:rsidR="00315F9D" w:rsidRPr="001B3B93">
        <w:t>978-0-9954465-2-6</w:t>
      </w:r>
    </w:p>
    <w:p w14:paraId="3F1311E6" w14:textId="5E4D1E68" w:rsidR="00351369" w:rsidRPr="001B3B93" w:rsidRDefault="009F197E" w:rsidP="008031A9">
      <w:pPr>
        <w:rPr>
          <w:rStyle w:val="Strong"/>
          <w:b w:val="0"/>
        </w:rPr>
      </w:pPr>
      <w:r w:rsidRPr="00DA1B7F">
        <w:rPr>
          <w:rStyle w:val="Strong"/>
        </w:rPr>
        <w:t>Authors:</w:t>
      </w:r>
      <w:r w:rsidRPr="00DA1B7F">
        <w:rPr>
          <w:rStyle w:val="Strong"/>
          <w:b w:val="0"/>
        </w:rPr>
        <w:t xml:space="preserve"> </w:t>
      </w:r>
      <w:r w:rsidR="008031A9" w:rsidRPr="00F80458">
        <w:t>Marcus Cox, Catherine Cameron, Tom Berliner</w:t>
      </w:r>
      <w:r w:rsidR="00C84E8C" w:rsidRPr="00F80458">
        <w:t>, Tran Thi Hanh</w:t>
      </w:r>
      <w:r w:rsidR="008031A9" w:rsidRPr="00F80458">
        <w:t xml:space="preserve"> and David Slattery</w:t>
      </w:r>
    </w:p>
    <w:p w14:paraId="59A26DD5" w14:textId="77777777" w:rsidR="009F197E" w:rsidRPr="001B3B93" w:rsidRDefault="009F197E" w:rsidP="009F197E">
      <w:r w:rsidRPr="001B3B93">
        <w:t xml:space="preserve">Published by the </w:t>
      </w:r>
      <w:r w:rsidR="003F7891" w:rsidRPr="001B3B93">
        <w:t xml:space="preserve">Australian Government </w:t>
      </w:r>
      <w:r w:rsidRPr="001B3B93">
        <w:t>Department of Foreign Affairs and Trade, Canberra, 2017.</w:t>
      </w:r>
    </w:p>
    <w:p w14:paraId="475C76F2" w14:textId="77777777" w:rsidR="009F197E" w:rsidRPr="001B3B93" w:rsidRDefault="009F197E" w:rsidP="009F197E">
      <w:r w:rsidRPr="001B3B93">
        <w:rPr>
          <w:rStyle w:val="Strong"/>
        </w:rPr>
        <w:t>Disclaimer:</w:t>
      </w:r>
      <w:r w:rsidRPr="001B3B93">
        <w:t xml:space="preserve"> The views contained in this report do not necessarily represent those of the Australian Government.</w:t>
      </w:r>
    </w:p>
    <w:p w14:paraId="414BF157" w14:textId="77777777" w:rsidR="009F197E" w:rsidRPr="001B3B93" w:rsidRDefault="009F197E" w:rsidP="009F197E">
      <w:r w:rsidRPr="001B3B93">
        <w:t>With the exception of the Commonwealth Coat of Arms and where otherwise noted all material presented in this document is provided under a Creative Commons Attribution 3.0 Australia (</w:t>
      </w:r>
      <w:hyperlink r:id="rId15" w:history="1">
        <w:r w:rsidRPr="001B3B93">
          <w:rPr>
            <w:rStyle w:val="Hyperlink"/>
          </w:rPr>
          <w:t>http://creativecommons.org/licenses/by/3.0/au/</w:t>
        </w:r>
      </w:hyperlink>
      <w:r w:rsidRPr="001B3B93">
        <w:t xml:space="preserve">) licence. The details of the relevant licence conditions are available on the Creative Commons website (accessible using the links provided) as is the full legal code for the CC BY 3.0 AU licence (http://creativecommons.org/licenses/by/3.0/au/legalcode). The document must be attributed as Office of Development Effectiveness, </w:t>
      </w:r>
      <w:r w:rsidR="00A55D09" w:rsidRPr="001B3B93">
        <w:t>Evaluation of Australia’s Economic Partnerships in Asia</w:t>
      </w:r>
      <w:r w:rsidRPr="001B3B93">
        <w:t>, Canberra, 201</w:t>
      </w:r>
      <w:r w:rsidR="00A55D09" w:rsidRPr="001B3B93">
        <w:t>8</w:t>
      </w:r>
      <w:r w:rsidRPr="001B3B93">
        <w:t>.</w:t>
      </w:r>
    </w:p>
    <w:p w14:paraId="19765EC4" w14:textId="77777777" w:rsidR="009F197E" w:rsidRPr="001B3B93" w:rsidRDefault="009F197E" w:rsidP="009F197E">
      <w:r w:rsidRPr="001B3B93">
        <w:t>This document is online at dfat.gov.au/ode</w:t>
      </w:r>
    </w:p>
    <w:p w14:paraId="6D1E359B" w14:textId="77777777" w:rsidR="009F197E" w:rsidRPr="001B3B93" w:rsidRDefault="009F197E" w:rsidP="006A637A">
      <w:pPr>
        <w:spacing w:after="120"/>
      </w:pPr>
      <w:r w:rsidRPr="001B3B93">
        <w:t>For further information, contact:</w:t>
      </w:r>
    </w:p>
    <w:p w14:paraId="3AFB6230" w14:textId="77777777" w:rsidR="009F197E" w:rsidRPr="001B3B93" w:rsidRDefault="009F197E" w:rsidP="006A637A">
      <w:r w:rsidRPr="001B3B93">
        <w:t>Office of Development Effectiveness</w:t>
      </w:r>
    </w:p>
    <w:p w14:paraId="58F28E0C" w14:textId="77777777" w:rsidR="009F197E" w:rsidRPr="001B3B93" w:rsidRDefault="009F197E" w:rsidP="006A637A">
      <w:r w:rsidRPr="001B3B93">
        <w:t xml:space="preserve">Department of Foreign Affairs and Trade </w:t>
      </w:r>
    </w:p>
    <w:p w14:paraId="6C404E8E" w14:textId="77777777" w:rsidR="009F197E" w:rsidRPr="001B3B93" w:rsidRDefault="009F197E" w:rsidP="006A637A">
      <w:r w:rsidRPr="001B3B93">
        <w:t>GPO Box 887</w:t>
      </w:r>
    </w:p>
    <w:p w14:paraId="7A128283" w14:textId="77777777" w:rsidR="009F197E" w:rsidRPr="001B3B93" w:rsidRDefault="009F197E" w:rsidP="006A637A">
      <w:r w:rsidRPr="001B3B93">
        <w:t>Canberra ACT 2601</w:t>
      </w:r>
    </w:p>
    <w:p w14:paraId="3325CF35" w14:textId="77777777" w:rsidR="009F197E" w:rsidRPr="001B3B93" w:rsidRDefault="00322668" w:rsidP="006A637A">
      <w:r w:rsidRPr="001B3B93">
        <w:t xml:space="preserve">Phone   </w:t>
      </w:r>
      <w:r w:rsidR="000D379C" w:rsidRPr="001B3B93">
        <w:t>+</w:t>
      </w:r>
      <w:r w:rsidR="009F197E" w:rsidRPr="001B3B93">
        <w:t xml:space="preserve"> 61</w:t>
      </w:r>
      <w:r w:rsidR="000D379C" w:rsidRPr="001B3B93">
        <w:t xml:space="preserve"> 2 6261 1111</w:t>
      </w:r>
    </w:p>
    <w:p w14:paraId="4C8AE238" w14:textId="77777777" w:rsidR="009F197E" w:rsidRPr="001B3B93" w:rsidRDefault="000D379C" w:rsidP="006A637A">
      <w:r w:rsidRPr="001B3B93">
        <w:t xml:space="preserve">Facsimile  </w:t>
      </w:r>
      <w:r w:rsidR="00322668" w:rsidRPr="001B3B93">
        <w:t xml:space="preserve"> </w:t>
      </w:r>
      <w:r w:rsidRPr="001B3B93">
        <w:t>+ 61 2 6261 3111</w:t>
      </w:r>
    </w:p>
    <w:p w14:paraId="07156081" w14:textId="77777777" w:rsidR="009F197E" w:rsidRPr="001B3B93" w:rsidRDefault="000D379C" w:rsidP="000D0D13">
      <w:r w:rsidRPr="001B3B93">
        <w:t xml:space="preserve">Internet  </w:t>
      </w:r>
      <w:r w:rsidR="009F197E" w:rsidRPr="001B3B93">
        <w:t>dfat.gov.au/ode</w:t>
      </w:r>
    </w:p>
    <w:p w14:paraId="5A23E664" w14:textId="47A5DAF6" w:rsidR="00EB4EB6" w:rsidRPr="001B3B93" w:rsidRDefault="009F197E" w:rsidP="000D0D13">
      <w:r w:rsidRPr="001B3B93">
        <w:rPr>
          <w:rStyle w:val="Strong"/>
          <w:sz w:val="20"/>
          <w:szCs w:val="20"/>
        </w:rPr>
        <w:t xml:space="preserve">Cover </w:t>
      </w:r>
      <w:r w:rsidRPr="00DA1B7F">
        <w:rPr>
          <w:rStyle w:val="Strong"/>
          <w:sz w:val="20"/>
          <w:szCs w:val="20"/>
        </w:rPr>
        <w:t>photo:</w:t>
      </w:r>
      <w:r w:rsidRPr="00DA1B7F">
        <w:t xml:space="preserve"> </w:t>
      </w:r>
      <w:r w:rsidR="008031A9" w:rsidRPr="00DA1B7F">
        <w:rPr>
          <w:rFonts w:ascii="Segoe UI" w:hAnsi="Segoe UI" w:cs="Segoe UI"/>
          <w:color w:val="000000"/>
          <w:sz w:val="21"/>
          <w:szCs w:val="21"/>
        </w:rPr>
        <w:t>The new Australian Embassy in Jakarta</w:t>
      </w:r>
      <w:r w:rsidR="00DA1B7F" w:rsidRPr="00DA1B7F">
        <w:rPr>
          <w:rFonts w:ascii="Segoe UI" w:hAnsi="Segoe UI" w:cs="Segoe UI"/>
          <w:color w:val="000000"/>
          <w:sz w:val="21"/>
          <w:szCs w:val="21"/>
        </w:rPr>
        <w:t>,</w:t>
      </w:r>
      <w:r w:rsidR="008031A9" w:rsidRPr="00DA1B7F">
        <w:rPr>
          <w:rFonts w:ascii="Segoe UI" w:hAnsi="Segoe UI" w:cs="Segoe UI"/>
          <w:color w:val="000000"/>
          <w:sz w:val="21"/>
          <w:szCs w:val="21"/>
        </w:rPr>
        <w:t xml:space="preserve"> taken in 2017. Photo: John Gollings (from DFAT </w:t>
      </w:r>
      <w:r w:rsidR="00DA1B7F" w:rsidRPr="00DA1B7F">
        <w:rPr>
          <w:rFonts w:ascii="Segoe UI" w:hAnsi="Segoe UI" w:cs="Segoe UI"/>
          <w:color w:val="000000"/>
          <w:sz w:val="21"/>
          <w:szCs w:val="21"/>
        </w:rPr>
        <w:br/>
        <w:t>p</w:t>
      </w:r>
      <w:r w:rsidR="008031A9" w:rsidRPr="00DA1B7F">
        <w:rPr>
          <w:rFonts w:ascii="Segoe UI" w:hAnsi="Segoe UI" w:cs="Segoe UI"/>
          <w:color w:val="000000"/>
          <w:sz w:val="21"/>
          <w:szCs w:val="21"/>
        </w:rPr>
        <w:t>hoto</w:t>
      </w:r>
      <w:r w:rsidR="00DA1B7F" w:rsidRPr="00DA1B7F">
        <w:rPr>
          <w:rFonts w:ascii="Segoe UI" w:hAnsi="Segoe UI" w:cs="Segoe UI"/>
          <w:color w:val="000000"/>
          <w:sz w:val="21"/>
          <w:szCs w:val="21"/>
        </w:rPr>
        <w:t xml:space="preserve"> </w:t>
      </w:r>
      <w:r w:rsidR="008031A9" w:rsidRPr="00DA1B7F">
        <w:rPr>
          <w:rFonts w:ascii="Segoe UI" w:hAnsi="Segoe UI" w:cs="Segoe UI"/>
          <w:color w:val="000000"/>
          <w:sz w:val="21"/>
          <w:szCs w:val="21"/>
        </w:rPr>
        <w:t>library)</w:t>
      </w:r>
    </w:p>
    <w:p w14:paraId="2E4A66A4" w14:textId="18CA0D39" w:rsidR="00C73205" w:rsidRPr="001B3B93" w:rsidRDefault="00C73205" w:rsidP="000D0D13"/>
    <w:tbl>
      <w:tblPr>
        <w:tblStyle w:val="Box1"/>
        <w:tblW w:w="0" w:type="auto"/>
        <w:tblLook w:val="04A0" w:firstRow="1" w:lastRow="0" w:firstColumn="1" w:lastColumn="0" w:noHBand="0" w:noVBand="1"/>
      </w:tblPr>
      <w:tblGrid>
        <w:gridCol w:w="10204"/>
      </w:tblGrid>
      <w:tr w:rsidR="009F197E" w:rsidRPr="001C7483" w14:paraId="56FEE5B8" w14:textId="77777777" w:rsidTr="00A41066">
        <w:tc>
          <w:tcPr>
            <w:tcW w:w="10204" w:type="dxa"/>
          </w:tcPr>
          <w:p w14:paraId="77507306" w14:textId="506BFB30" w:rsidR="009F197E" w:rsidRPr="001C7483" w:rsidRDefault="009F197E" w:rsidP="002E0D30">
            <w:pPr>
              <w:pStyle w:val="BoxHeading"/>
              <w:spacing w:before="60"/>
            </w:pPr>
            <w:r w:rsidRPr="001C7483">
              <w:t xml:space="preserve">The Office of Development Effectiveness </w:t>
            </w:r>
          </w:p>
          <w:p w14:paraId="64599807" w14:textId="25BB010C" w:rsidR="009F197E" w:rsidRPr="001C7483" w:rsidRDefault="00EE7A51" w:rsidP="00A41066">
            <w:pPr>
              <w:pStyle w:val="BoxText"/>
              <w:rPr>
                <w:sz w:val="22"/>
              </w:rPr>
            </w:pPr>
            <w:r w:rsidRPr="001C7483">
              <w:rPr>
                <w:sz w:val="22"/>
              </w:rPr>
              <w:t>The Office of Development Effectiveness (</w:t>
            </w:r>
            <w:r w:rsidR="009F197E" w:rsidRPr="001C7483">
              <w:rPr>
                <w:sz w:val="22"/>
              </w:rPr>
              <w:t>ODE</w:t>
            </w:r>
            <w:r w:rsidRPr="00E666BE">
              <w:rPr>
                <w:sz w:val="22"/>
              </w:rPr>
              <w:t>)</w:t>
            </w:r>
            <w:r w:rsidR="009F197E" w:rsidRPr="001C7483">
              <w:rPr>
                <w:sz w:val="22"/>
              </w:rPr>
              <w:t xml:space="preserve"> is an </w:t>
            </w:r>
            <w:r w:rsidR="00EB67DD" w:rsidRPr="001C7483">
              <w:rPr>
                <w:sz w:val="22"/>
              </w:rPr>
              <w:t>office</w:t>
            </w:r>
            <w:r w:rsidR="009F197E" w:rsidRPr="001C7483">
              <w:rPr>
                <w:sz w:val="22"/>
              </w:rPr>
              <w:t xml:space="preserve"> within the Australian Government Department of Foreign Affairs and Trade </w:t>
            </w:r>
            <w:r w:rsidR="00EF07E5" w:rsidRPr="001C7483">
              <w:rPr>
                <w:sz w:val="22"/>
              </w:rPr>
              <w:t xml:space="preserve">that is </w:t>
            </w:r>
            <w:r w:rsidR="00EB67DD" w:rsidRPr="001C7483">
              <w:rPr>
                <w:sz w:val="22"/>
              </w:rPr>
              <w:t>independent of aid program management</w:t>
            </w:r>
            <w:r w:rsidR="009F197E" w:rsidRPr="001C7483">
              <w:rPr>
                <w:sz w:val="22"/>
              </w:rPr>
              <w:t xml:space="preserve">. ODE monitors the Australian aid program’s performance </w:t>
            </w:r>
            <w:r w:rsidR="00EB67DD" w:rsidRPr="001C7483">
              <w:rPr>
                <w:sz w:val="22"/>
              </w:rPr>
              <w:t xml:space="preserve">and </w:t>
            </w:r>
            <w:r w:rsidR="009F197E" w:rsidRPr="001C7483">
              <w:rPr>
                <w:sz w:val="22"/>
              </w:rPr>
              <w:t>evaluates its impact. ODE’s work is overseen by the Indepe</w:t>
            </w:r>
            <w:r w:rsidR="008B12EE" w:rsidRPr="001C7483">
              <w:rPr>
                <w:sz w:val="22"/>
              </w:rPr>
              <w:t xml:space="preserve">ndent </w:t>
            </w:r>
            <w:r w:rsidR="008B12EE" w:rsidRPr="00DA1B7F">
              <w:rPr>
                <w:sz w:val="22"/>
              </w:rPr>
              <w:t>Evaluation Committee</w:t>
            </w:r>
            <w:r w:rsidR="009F197E" w:rsidRPr="00DA1B7F">
              <w:rPr>
                <w:sz w:val="22"/>
              </w:rPr>
              <w:t>, an ad</w:t>
            </w:r>
            <w:r w:rsidR="009F197E" w:rsidRPr="001C7483">
              <w:rPr>
                <w:sz w:val="22"/>
              </w:rPr>
              <w:t>visory body that provides independent expert advice on ODE’s evaluation strategy, work plan, analysis and reports.</w:t>
            </w:r>
          </w:p>
          <w:p w14:paraId="5C2A1F48" w14:textId="77777777" w:rsidR="009F197E" w:rsidRPr="001C7483" w:rsidRDefault="009F197E" w:rsidP="00A41066">
            <w:pPr>
              <w:pStyle w:val="BoxText"/>
            </w:pPr>
            <w:r w:rsidRPr="001C7483">
              <w:rPr>
                <w:sz w:val="22"/>
              </w:rPr>
              <w:t>dfat.gov.au/ode</w:t>
            </w:r>
            <w:r w:rsidRPr="001C7483">
              <w:t xml:space="preserve">  </w:t>
            </w:r>
          </w:p>
        </w:tc>
      </w:tr>
    </w:tbl>
    <w:p w14:paraId="0BBFB883" w14:textId="77777777" w:rsidR="0006575B" w:rsidRPr="001B3B93" w:rsidRDefault="0006575B" w:rsidP="009F197E">
      <w:pPr>
        <w:pStyle w:val="NoSpacing"/>
        <w:sectPr w:rsidR="0006575B" w:rsidRPr="001B3B93" w:rsidSect="00F21EFA">
          <w:headerReference w:type="default" r:id="rId16"/>
          <w:headerReference w:type="first" r:id="rId17"/>
          <w:footerReference w:type="first" r:id="rId18"/>
          <w:pgSz w:w="11906" w:h="16838"/>
          <w:pgMar w:top="851" w:right="851" w:bottom="1418" w:left="851" w:header="675" w:footer="510" w:gutter="0"/>
          <w:pgNumType w:fmt="lowerRoman"/>
          <w:cols w:space="708"/>
          <w:docGrid w:linePitch="360"/>
        </w:sectPr>
      </w:pPr>
    </w:p>
    <w:p w14:paraId="551625F2" w14:textId="50716240" w:rsidR="00161EF3" w:rsidRDefault="00161EF3" w:rsidP="009F197E">
      <w:pPr>
        <w:pStyle w:val="NoSpacing"/>
      </w:pPr>
    </w:p>
    <w:p w14:paraId="5779801A" w14:textId="77777777" w:rsidR="00161EF3" w:rsidRDefault="00161EF3" w:rsidP="00161EF3">
      <w:pPr>
        <w:pStyle w:val="ChapterHead"/>
        <w:framePr w:w="0" w:vSpace="0" w:wrap="auto" w:vAnchor="margin" w:yAlign="inline" w:anchorLock="0"/>
        <w:rPr>
          <w:rStyle w:val="Heading1Char"/>
          <w:bCs/>
        </w:rPr>
      </w:pPr>
    </w:p>
    <w:p w14:paraId="6E64B762" w14:textId="5017BF34" w:rsidR="00161EF3" w:rsidRPr="00F219BE" w:rsidRDefault="00161EF3" w:rsidP="00F219BE">
      <w:pPr>
        <w:pStyle w:val="ChapterHead"/>
        <w:framePr w:w="0" w:vSpace="0" w:wrap="auto" w:vAnchor="margin" w:yAlign="inline" w:anchorLock="0"/>
        <w:ind w:left="360"/>
        <w:rPr>
          <w:caps w:val="0"/>
        </w:rPr>
      </w:pPr>
      <w:bookmarkStart w:id="0" w:name="_Toc527712981"/>
      <w:r w:rsidRPr="00F219BE">
        <w:rPr>
          <w:caps w:val="0"/>
        </w:rPr>
        <w:t>F</w:t>
      </w:r>
      <w:r w:rsidR="00F219BE" w:rsidRPr="00F219BE">
        <w:rPr>
          <w:caps w:val="0"/>
        </w:rPr>
        <w:t>OREWORD</w:t>
      </w:r>
      <w:bookmarkEnd w:id="0"/>
    </w:p>
    <w:p w14:paraId="28DC2064" w14:textId="77777777" w:rsidR="00161EF3" w:rsidRDefault="00161EF3" w:rsidP="00161EF3"/>
    <w:p w14:paraId="33A9E956" w14:textId="77777777" w:rsidR="00161EF3" w:rsidRDefault="00161EF3" w:rsidP="00161EF3"/>
    <w:p w14:paraId="3E9855DD" w14:textId="77777777" w:rsidR="00161EF3" w:rsidRDefault="00161EF3" w:rsidP="00161EF3"/>
    <w:p w14:paraId="50E4332A" w14:textId="77777777" w:rsidR="00161EF3" w:rsidRDefault="00161EF3" w:rsidP="00161EF3"/>
    <w:p w14:paraId="1FD3647D" w14:textId="5E21C735" w:rsidR="00161EF3" w:rsidRDefault="00161EF3" w:rsidP="00161EF3">
      <w:r>
        <w:t xml:space="preserve">Only a few middle-income countries (MICs) have successfully implemented reforms to reach advanced-economy level. Yet some donors are transitioning away from providing aid to MICs, and there is concern that Australia may follow this trend. MICs face significant development challenges and are home to almost three-quarters of the world’s poor. They must implement widespread reforms to avoid stagnation, reduce inequality and continue to develop. </w:t>
      </w:r>
    </w:p>
    <w:p w14:paraId="0BC2BFD1" w14:textId="77777777" w:rsidR="00161EF3" w:rsidRPr="00161EF3" w:rsidRDefault="00161EF3" w:rsidP="00161EF3">
      <w:r>
        <w:t>This evaluation puts forward</w:t>
      </w:r>
      <w:r w:rsidRPr="00161EF3">
        <w:t xml:space="preserve"> a strong case for Australia to remain engaged with Asian MICs, and argues that Australia can continue to build its comparative advantage as a partner in economic and social reform. The rationale is driven by Australia’s strategic interest in supporting prosperous and stable neighbours as well as the development needs of Asian MICs. The evaluation argues Australian aid can be positioned strategically to support the needs of Asian MICs and enhance our economic partnerships with these countries. </w:t>
      </w:r>
    </w:p>
    <w:p w14:paraId="49457570" w14:textId="650625E8" w:rsidR="00161EF3" w:rsidRPr="00161EF3" w:rsidRDefault="00161EF3" w:rsidP="00161EF3">
      <w:r w:rsidRPr="00161EF3">
        <w:t xml:space="preserve">There are some examples of transformational results coming from Australian aid, where DFAT’s assistance has supported partners to mobilise additional finance and improve public spending. But there are also challenges and areas for improvement in our engagement with Asian MICs. One area of particular interest is how DFAT’s aid, trade and diplomacy work is aligned to support economic partnership objectives. </w:t>
      </w:r>
    </w:p>
    <w:p w14:paraId="08B73297" w14:textId="0F3B96C0" w:rsidR="00161EF3" w:rsidRPr="00161EF3" w:rsidRDefault="005850F4" w:rsidP="00161EF3">
      <w:r>
        <w:t>It has been</w:t>
      </w:r>
      <w:r w:rsidR="00161EF3" w:rsidRPr="00161EF3">
        <w:t xml:space="preserve"> </w:t>
      </w:r>
      <w:bookmarkStart w:id="1" w:name="_GoBack"/>
      <w:bookmarkEnd w:id="1"/>
      <w:r w:rsidR="00161EF3" w:rsidRPr="00161EF3">
        <w:t>five years since AusAID and DFAT integrated — this is a timely opportunity to examine how the department is working in a coordinated way and what can be learned from efforts to align aid, trade and diplomacy. These report findings make a valuable contribution to the conversation about aid’s role in supporting Australia’s economic partnerships in Asia.</w:t>
      </w:r>
    </w:p>
    <w:p w14:paraId="771C89B8" w14:textId="77777777" w:rsidR="00161EF3" w:rsidRDefault="00161EF3" w:rsidP="00161EF3">
      <w:pPr>
        <w:rPr>
          <w:color w:val="485865" w:themeColor="text2"/>
          <w:szCs w:val="16"/>
          <w:lang w:val="en"/>
        </w:rPr>
      </w:pPr>
    </w:p>
    <w:p w14:paraId="1CDC40E5" w14:textId="77777777" w:rsidR="00161EF3" w:rsidRDefault="00161EF3" w:rsidP="00161EF3">
      <w:pPr>
        <w:rPr>
          <w:color w:val="485865" w:themeColor="text2"/>
          <w:szCs w:val="16"/>
          <w:lang w:val="en"/>
        </w:rPr>
      </w:pPr>
      <w:r w:rsidRPr="003D54EE">
        <w:rPr>
          <w:noProof/>
          <w:lang w:eastAsia="en-AU"/>
        </w:rPr>
        <w:drawing>
          <wp:inline distT="0" distB="0" distL="0" distR="0" wp14:anchorId="0E9858F7" wp14:editId="0599AFF6">
            <wp:extent cx="876960" cy="74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9">
                      <a:extLst>
                        <a:ext uri="{28A0092B-C50C-407E-A947-70E740481C1C}">
                          <a14:useLocalDpi xmlns:a14="http://schemas.microsoft.com/office/drawing/2010/main"/>
                        </a:ext>
                      </a:extLst>
                    </a:blip>
                    <a:stretch>
                      <a:fillRect/>
                    </a:stretch>
                  </pic:blipFill>
                  <pic:spPr>
                    <a:xfrm>
                      <a:off x="0" y="0"/>
                      <a:ext cx="876960" cy="748440"/>
                    </a:xfrm>
                    <a:prstGeom prst="rect">
                      <a:avLst/>
                    </a:prstGeom>
                  </pic:spPr>
                </pic:pic>
              </a:graphicData>
            </a:graphic>
          </wp:inline>
        </w:drawing>
      </w:r>
    </w:p>
    <w:p w14:paraId="3113B24F" w14:textId="24ACD2CA" w:rsidR="00161EF3" w:rsidRPr="003C609F" w:rsidRDefault="00161EF3" w:rsidP="003C609F">
      <w:pPr>
        <w:pStyle w:val="NoSpacing"/>
        <w:rPr>
          <w:rFonts w:asciiTheme="majorHAnsi" w:hAnsiTheme="majorHAnsi"/>
          <w:b/>
          <w:bCs/>
        </w:rPr>
      </w:pPr>
      <w:r w:rsidRPr="005D5D93">
        <w:rPr>
          <w:rStyle w:val="Strong"/>
        </w:rPr>
        <w:t>Jim Adams</w:t>
      </w:r>
      <w:r w:rsidR="003C609F">
        <w:rPr>
          <w:rStyle w:val="Strong"/>
        </w:rPr>
        <w:br/>
      </w:r>
      <w:r w:rsidRPr="005D5D93">
        <w:t>Chair, Independent Evaluation Committee</w:t>
      </w:r>
    </w:p>
    <w:p w14:paraId="0CB042C7" w14:textId="77777777" w:rsidR="00161EF3" w:rsidRDefault="00161EF3">
      <w:pPr>
        <w:sectPr w:rsidR="00161EF3" w:rsidSect="00F21EFA">
          <w:headerReference w:type="default" r:id="rId20"/>
          <w:headerReference w:type="first" r:id="rId21"/>
          <w:pgSz w:w="11900" w:h="16840"/>
          <w:pgMar w:top="851" w:right="851" w:bottom="1418" w:left="851" w:header="505" w:footer="505" w:gutter="0"/>
          <w:pgNumType w:fmt="lowerRoman"/>
          <w:cols w:space="720"/>
          <w:titlePg/>
          <w:docGrid w:linePitch="360"/>
        </w:sectPr>
      </w:pPr>
    </w:p>
    <w:p w14:paraId="41D0AD8B" w14:textId="226F252B" w:rsidR="00161EF3" w:rsidRDefault="00161EF3"/>
    <w:p w14:paraId="58B13E07" w14:textId="77777777" w:rsidR="00161EF3" w:rsidRDefault="00161EF3"/>
    <w:p w14:paraId="179F120F" w14:textId="0DABF6B8" w:rsidR="00161EF3" w:rsidRPr="00F219BE" w:rsidRDefault="00161EF3" w:rsidP="00F219BE">
      <w:pPr>
        <w:pStyle w:val="ChapterHead"/>
        <w:framePr w:w="0" w:vSpace="0" w:wrap="auto" w:vAnchor="margin" w:yAlign="inline" w:anchorLock="0"/>
        <w:ind w:left="360"/>
      </w:pPr>
      <w:bookmarkStart w:id="2" w:name="_Toc527712982"/>
      <w:r w:rsidRPr="00F219BE">
        <w:t>A</w:t>
      </w:r>
      <w:r w:rsidR="00F219BE" w:rsidRPr="00F219BE">
        <w:t>CKNOWLEDGMENTS</w:t>
      </w:r>
      <w:bookmarkEnd w:id="2"/>
    </w:p>
    <w:p w14:paraId="4C848252" w14:textId="2BFA88FA" w:rsidR="00161EF3" w:rsidRDefault="00161EF3" w:rsidP="00161EF3"/>
    <w:p w14:paraId="4565A541" w14:textId="115C1DC4" w:rsidR="00161EF3" w:rsidRDefault="00161EF3" w:rsidP="00161EF3"/>
    <w:p w14:paraId="3A2C6773" w14:textId="3C02848D" w:rsidR="00161EF3" w:rsidRDefault="00161EF3" w:rsidP="00161EF3"/>
    <w:p w14:paraId="47A3E6D2" w14:textId="3CC754B7" w:rsidR="00161EF3" w:rsidRDefault="00161EF3" w:rsidP="00161EF3"/>
    <w:p w14:paraId="12885876" w14:textId="77777777" w:rsidR="00161EF3" w:rsidRDefault="00161EF3" w:rsidP="00161EF3">
      <w:r>
        <w:t>The evaluation team (Marcus Cox (team leader), Catherine Cameron (senior evaluator), Tom Berliner (analyst) and Tran Thi Hanh (Vietnam specialist) from Agulhas Applied Knowledge and David Slattery (team member and evaluation manager) from the Office of Development Effectiveness of the Department of Foreign Affairs and Trade) would like to express sincere thanks to all who generously provided their time and insights for this evaluation. This includes DFAT staff in Canberra and at Bangkok, Hanoi and Jakarta posts, officials in partner governments and representatives from other organisations.</w:t>
      </w:r>
    </w:p>
    <w:p w14:paraId="27E12064" w14:textId="77777777" w:rsidR="00161EF3" w:rsidRDefault="00161EF3" w:rsidP="00161EF3">
      <w:pPr>
        <w:sectPr w:rsidR="00161EF3" w:rsidSect="00F21EFA">
          <w:pgSz w:w="11900" w:h="16840"/>
          <w:pgMar w:top="851" w:right="851" w:bottom="1418" w:left="851" w:header="505" w:footer="505" w:gutter="0"/>
          <w:pgNumType w:fmt="lowerRoman"/>
          <w:cols w:space="720"/>
          <w:titlePg/>
          <w:docGrid w:linePitch="360"/>
        </w:sectPr>
      </w:pPr>
      <w:r>
        <w:t>The evaluation team would particularly like to thank the many DFAT staff who participated in workshops and commented on the draft evaluation report. DFAT’s Independent Evaluation Committee also provided comments to ensure the independence and rigour of the evaluation process and report.</w:t>
      </w:r>
    </w:p>
    <w:p w14:paraId="7027CFF9" w14:textId="5D2E2C46" w:rsidR="00161EF3" w:rsidRDefault="00161EF3" w:rsidP="00161EF3">
      <w:pPr>
        <w:rPr>
          <w:rFonts w:asciiTheme="majorHAnsi" w:hAnsiTheme="majorHAnsi"/>
          <w:b/>
          <w:caps/>
          <w:color w:val="FFFFFF" w:themeColor="background1"/>
          <w:spacing w:val="12"/>
          <w:sz w:val="42"/>
        </w:rPr>
      </w:pPr>
    </w:p>
    <w:p w14:paraId="52EC30A1" w14:textId="4F655331" w:rsidR="00216F57" w:rsidRDefault="00216F57" w:rsidP="00F219BE">
      <w:pPr>
        <w:pStyle w:val="ChapterHead"/>
        <w:framePr w:w="0" w:vSpace="0" w:wrap="auto" w:vAnchor="margin" w:yAlign="inline" w:anchorLock="0"/>
        <w:ind w:left="360"/>
      </w:pPr>
      <w:bookmarkStart w:id="3" w:name="_Toc527711098"/>
      <w:bookmarkStart w:id="4" w:name="_Toc527711575"/>
      <w:bookmarkStart w:id="5" w:name="_Toc527712983"/>
      <w:r>
        <w:rPr>
          <w:noProof/>
          <w:lang w:eastAsia="en-AU"/>
        </w:rPr>
        <mc:AlternateContent>
          <mc:Choice Requires="wps">
            <w:drawing>
              <wp:anchor distT="45720" distB="45720" distL="114300" distR="114300" simplePos="0" relativeHeight="251659264" behindDoc="0" locked="0" layoutInCell="1" allowOverlap="1" wp14:anchorId="44AB0D00" wp14:editId="0316617B">
                <wp:simplePos x="0" y="0"/>
                <wp:positionH relativeFrom="column">
                  <wp:posOffset>-226060</wp:posOffset>
                </wp:positionH>
                <wp:positionV relativeFrom="paragraph">
                  <wp:posOffset>197485</wp:posOffset>
                </wp:positionV>
                <wp:extent cx="4419600"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19100"/>
                        </a:xfrm>
                        <a:prstGeom prst="rect">
                          <a:avLst/>
                        </a:prstGeom>
                        <a:noFill/>
                        <a:ln w="9525">
                          <a:noFill/>
                          <a:miter lim="800000"/>
                          <a:headEnd/>
                          <a:tailEnd/>
                        </a:ln>
                      </wps:spPr>
                      <wps:txbx>
                        <w:txbxContent>
                          <w:p w14:paraId="28EA346D" w14:textId="77777777" w:rsidR="00222AD3" w:rsidRPr="00F219BE" w:rsidRDefault="00222AD3" w:rsidP="00216F57">
                            <w:pPr>
                              <w:pStyle w:val="ChapterHead"/>
                              <w:ind w:left="360"/>
                            </w:pPr>
                            <w:bookmarkStart w:id="6" w:name="_Toc527712984"/>
                            <w:r w:rsidRPr="00F219BE">
                              <w:t>ACRONYMS AND ABBREVIATIONS</w:t>
                            </w:r>
                            <w:bookmarkEnd w:id="6"/>
                          </w:p>
                          <w:p w14:paraId="4F479228" w14:textId="5538D4CC" w:rsidR="00222AD3" w:rsidRDefault="0022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B0D00" id="_x0000_t202" coordsize="21600,21600" o:spt="202" path="m,l,21600r21600,l21600,xe">
                <v:stroke joinstyle="miter"/>
                <v:path gradientshapeok="t" o:connecttype="rect"/>
              </v:shapetype>
              <v:shape id="Text Box 2" o:spid="_x0000_s1026" type="#_x0000_t202" style="position:absolute;left:0;text-align:left;margin-left:-17.8pt;margin-top:15.55pt;width:348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" filled="f" stroked="f">
                <v:textbox>
                  <w:txbxContent>
                    <w:p w14:paraId="28EA346D" w14:textId="77777777" w:rsidR="00222AD3" w:rsidRPr="00F219BE" w:rsidRDefault="00222AD3" w:rsidP="00216F57">
                      <w:pPr>
                        <w:pStyle w:val="ChapterHead"/>
                        <w:ind w:left="360"/>
                      </w:pPr>
                      <w:bookmarkStart w:id="7" w:name="_Toc527712984"/>
                      <w:r w:rsidRPr="00F219BE">
                        <w:t>ACRONYMS AND ABBREVIATIONS</w:t>
                      </w:r>
                      <w:bookmarkEnd w:id="7"/>
                    </w:p>
                    <w:p w14:paraId="4F479228" w14:textId="5538D4CC" w:rsidR="00222AD3" w:rsidRDefault="00222AD3"/>
                  </w:txbxContent>
                </v:textbox>
                <w10:wrap type="square"/>
              </v:shape>
            </w:pict>
          </mc:Fallback>
        </mc:AlternateContent>
      </w:r>
      <w:bookmarkEnd w:id="3"/>
      <w:bookmarkEnd w:id="4"/>
      <w:bookmarkEnd w:id="5"/>
    </w:p>
    <w:p w14:paraId="13B66416" w14:textId="15B653E6" w:rsidR="00161EF3" w:rsidRPr="00F219BE" w:rsidRDefault="00161EF3" w:rsidP="00F219BE">
      <w:pPr>
        <w:pStyle w:val="ChapterHead"/>
        <w:framePr w:w="0" w:vSpace="0" w:wrap="auto" w:vAnchor="margin" w:yAlign="inline" w:anchorLock="0"/>
        <w:ind w:left="360"/>
      </w:pPr>
    </w:p>
    <w:p w14:paraId="4D5A959F" w14:textId="0B238BEA" w:rsidR="00161EF3" w:rsidRDefault="00161EF3" w:rsidP="00161EF3">
      <w:pPr>
        <w:rPr>
          <w:color w:val="485865" w:themeColor="text2"/>
          <w:szCs w:val="16"/>
          <w:lang w:val="en"/>
        </w:rPr>
      </w:pPr>
    </w:p>
    <w:p w14:paraId="3A895757" w14:textId="312E2577" w:rsidR="00161EF3" w:rsidRDefault="00161EF3"/>
    <w:p w14:paraId="43B89BDE" w14:textId="7E843C17" w:rsidR="00C65686" w:rsidRPr="00C65686" w:rsidRDefault="00C65686" w:rsidP="00216F57">
      <w:pPr>
        <w:tabs>
          <w:tab w:val="left" w:pos="1134"/>
        </w:tabs>
        <w:spacing w:after="120"/>
        <w:rPr>
          <w:szCs w:val="23"/>
        </w:rPr>
      </w:pPr>
      <w:r>
        <w:rPr>
          <w:b/>
          <w:szCs w:val="23"/>
        </w:rPr>
        <w:t>ACD</w:t>
      </w:r>
      <w:r>
        <w:rPr>
          <w:b/>
          <w:szCs w:val="23"/>
        </w:rPr>
        <w:tab/>
      </w:r>
      <w:r w:rsidRPr="00C65686">
        <w:rPr>
          <w:szCs w:val="23"/>
        </w:rPr>
        <w:t>Contracting and Aid Management Division</w:t>
      </w:r>
    </w:p>
    <w:p w14:paraId="0256DE28" w14:textId="34308059" w:rsidR="00C65686" w:rsidRDefault="00C65686" w:rsidP="00216F57">
      <w:pPr>
        <w:tabs>
          <w:tab w:val="left" w:pos="1134"/>
        </w:tabs>
        <w:spacing w:after="120"/>
        <w:rPr>
          <w:szCs w:val="23"/>
        </w:rPr>
      </w:pPr>
      <w:r w:rsidRPr="00161EF3">
        <w:rPr>
          <w:b/>
          <w:szCs w:val="23"/>
        </w:rPr>
        <w:t>AANZFTA</w:t>
      </w:r>
      <w:r>
        <w:rPr>
          <w:szCs w:val="23"/>
        </w:rPr>
        <w:t xml:space="preserve"> </w:t>
      </w:r>
      <w:r>
        <w:rPr>
          <w:szCs w:val="23"/>
        </w:rPr>
        <w:tab/>
        <w:t>ASEAN Australia New Zealand Free Trade Area</w:t>
      </w:r>
    </w:p>
    <w:p w14:paraId="77274C35" w14:textId="77777777" w:rsidR="00C65686" w:rsidRDefault="00C65686" w:rsidP="00216F57">
      <w:pPr>
        <w:tabs>
          <w:tab w:val="left" w:pos="1134"/>
        </w:tabs>
        <w:spacing w:after="120"/>
        <w:rPr>
          <w:szCs w:val="23"/>
        </w:rPr>
      </w:pPr>
      <w:r w:rsidRPr="00161EF3">
        <w:rPr>
          <w:b/>
          <w:szCs w:val="23"/>
        </w:rPr>
        <w:t xml:space="preserve">AIPEG </w:t>
      </w:r>
      <w:r>
        <w:rPr>
          <w:szCs w:val="23"/>
        </w:rPr>
        <w:tab/>
      </w:r>
      <w:r w:rsidRPr="001B3B93">
        <w:rPr>
          <w:szCs w:val="23"/>
        </w:rPr>
        <w:t>Australia Indonesia Partnership for Economic Governance</w:t>
      </w:r>
    </w:p>
    <w:p w14:paraId="28DA7DF7" w14:textId="50A1DB2C" w:rsidR="00161EF3" w:rsidRDefault="00161EF3" w:rsidP="00216F57">
      <w:pPr>
        <w:tabs>
          <w:tab w:val="left" w:pos="993"/>
          <w:tab w:val="left" w:pos="1134"/>
        </w:tabs>
        <w:spacing w:after="120"/>
        <w:rPr>
          <w:szCs w:val="23"/>
        </w:rPr>
      </w:pPr>
      <w:r w:rsidRPr="00161EF3">
        <w:rPr>
          <w:b/>
          <w:szCs w:val="23"/>
        </w:rPr>
        <w:t>ASEAN</w:t>
      </w:r>
      <w:r>
        <w:rPr>
          <w:szCs w:val="23"/>
        </w:rPr>
        <w:tab/>
      </w:r>
      <w:r>
        <w:rPr>
          <w:szCs w:val="23"/>
        </w:rPr>
        <w:tab/>
      </w:r>
      <w:r w:rsidRPr="00665ECD">
        <w:rPr>
          <w:szCs w:val="23"/>
        </w:rPr>
        <w:t>Association of Southeast Asian Nations</w:t>
      </w:r>
    </w:p>
    <w:p w14:paraId="2A3287BF" w14:textId="77777777" w:rsidR="00161EF3" w:rsidRDefault="00161EF3" w:rsidP="00216F57">
      <w:pPr>
        <w:tabs>
          <w:tab w:val="left" w:pos="1134"/>
        </w:tabs>
        <w:spacing w:after="120"/>
        <w:rPr>
          <w:szCs w:val="23"/>
        </w:rPr>
      </w:pPr>
      <w:r w:rsidRPr="00161EF3">
        <w:rPr>
          <w:b/>
        </w:rPr>
        <w:t>AUSTRAC</w:t>
      </w:r>
      <w:r w:rsidRPr="008D319B">
        <w:t xml:space="preserve"> </w:t>
      </w:r>
      <w:r>
        <w:tab/>
      </w:r>
      <w:r w:rsidRPr="008D319B">
        <w:t>Australian Transaction Reports and Analysis Centre</w:t>
      </w:r>
    </w:p>
    <w:p w14:paraId="6F8E61D5" w14:textId="0EE231A0" w:rsidR="00161EF3" w:rsidRDefault="00161EF3" w:rsidP="00216F57">
      <w:pPr>
        <w:tabs>
          <w:tab w:val="left" w:pos="1134"/>
        </w:tabs>
        <w:spacing w:after="120"/>
        <w:rPr>
          <w:rFonts w:ascii="Calibri" w:eastAsia="Calibri" w:hAnsi="Calibri" w:cs="Arial"/>
        </w:rPr>
      </w:pPr>
      <w:r w:rsidRPr="00161EF3">
        <w:rPr>
          <w:b/>
        </w:rPr>
        <w:t>BAPPENAS</w:t>
      </w:r>
      <w:r>
        <w:tab/>
      </w:r>
      <w:r w:rsidRPr="00FA38AC">
        <w:rPr>
          <w:rFonts w:ascii="Calibri" w:eastAsia="Calibri" w:hAnsi="Calibri" w:cs="Arial"/>
        </w:rPr>
        <w:t>Ministry of National Development Planning</w:t>
      </w:r>
      <w:r>
        <w:rPr>
          <w:rFonts w:ascii="Calibri" w:eastAsia="Calibri" w:hAnsi="Calibri" w:cs="Arial"/>
        </w:rPr>
        <w:t xml:space="preserve"> (Indonesia)</w:t>
      </w:r>
    </w:p>
    <w:p w14:paraId="16967B94" w14:textId="5C27B228" w:rsidR="004844AC" w:rsidRDefault="004844AC" w:rsidP="00216F57">
      <w:pPr>
        <w:tabs>
          <w:tab w:val="left" w:pos="1134"/>
        </w:tabs>
        <w:spacing w:after="120"/>
      </w:pPr>
      <w:r w:rsidRPr="004844AC">
        <w:rPr>
          <w:rFonts w:ascii="Calibri" w:eastAsia="Calibri" w:hAnsi="Calibri" w:cs="Arial"/>
          <w:b/>
        </w:rPr>
        <w:t>DPD</w:t>
      </w:r>
      <w:r w:rsidRPr="004844AC">
        <w:rPr>
          <w:rFonts w:ascii="Calibri" w:eastAsia="Calibri" w:hAnsi="Calibri" w:cs="Arial"/>
          <w:b/>
        </w:rPr>
        <w:tab/>
      </w:r>
      <w:r>
        <w:rPr>
          <w:rFonts w:ascii="Calibri" w:eastAsia="Calibri" w:hAnsi="Calibri" w:cs="Arial"/>
        </w:rPr>
        <w:t>Development Policy Division</w:t>
      </w:r>
    </w:p>
    <w:p w14:paraId="355F54AD" w14:textId="6E8D6CB3" w:rsidR="00161EF3" w:rsidRDefault="00161EF3" w:rsidP="00216F57">
      <w:pPr>
        <w:tabs>
          <w:tab w:val="left" w:pos="1134"/>
        </w:tabs>
        <w:spacing w:after="120"/>
      </w:pPr>
      <w:r w:rsidRPr="00161EF3">
        <w:rPr>
          <w:b/>
        </w:rPr>
        <w:t>DFAT</w:t>
      </w:r>
      <w:r>
        <w:tab/>
        <w:t>Department of Foreign Affairs and Trade</w:t>
      </w:r>
    </w:p>
    <w:p w14:paraId="6511E299" w14:textId="77777777" w:rsidR="004844AC" w:rsidRDefault="004844AC" w:rsidP="00216F57">
      <w:pPr>
        <w:tabs>
          <w:tab w:val="left" w:pos="1134"/>
        </w:tabs>
        <w:spacing w:after="120"/>
      </w:pPr>
      <w:r w:rsidRPr="00161EF3">
        <w:rPr>
          <w:b/>
          <w:szCs w:val="23"/>
        </w:rPr>
        <w:t>DFID</w:t>
      </w:r>
      <w:r>
        <w:rPr>
          <w:szCs w:val="23"/>
        </w:rPr>
        <w:tab/>
        <w:t>Department for International Development</w:t>
      </w:r>
    </w:p>
    <w:p w14:paraId="25403389" w14:textId="762BE2CE" w:rsidR="00161EF3" w:rsidRDefault="00161EF3" w:rsidP="00216F57">
      <w:pPr>
        <w:tabs>
          <w:tab w:val="left" w:pos="1134"/>
        </w:tabs>
        <w:spacing w:after="120"/>
        <w:rPr>
          <w:szCs w:val="23"/>
        </w:rPr>
      </w:pPr>
      <w:r w:rsidRPr="00161EF3">
        <w:rPr>
          <w:b/>
          <w:szCs w:val="23"/>
        </w:rPr>
        <w:t>EINRIP</w:t>
      </w:r>
      <w:r w:rsidRPr="001B3B93">
        <w:rPr>
          <w:szCs w:val="23"/>
        </w:rPr>
        <w:t xml:space="preserve"> </w:t>
      </w:r>
      <w:r>
        <w:rPr>
          <w:szCs w:val="23"/>
        </w:rPr>
        <w:tab/>
      </w:r>
      <w:r w:rsidRPr="001B3B93">
        <w:rPr>
          <w:szCs w:val="23"/>
        </w:rPr>
        <w:t>Eastern Indonesia National Roads Improvement Project</w:t>
      </w:r>
    </w:p>
    <w:p w14:paraId="2B05DB93" w14:textId="30DC1F5C" w:rsidR="00161EF3" w:rsidRDefault="00161EF3" w:rsidP="00216F57">
      <w:pPr>
        <w:tabs>
          <w:tab w:val="left" w:pos="1134"/>
        </w:tabs>
        <w:spacing w:after="120"/>
      </w:pPr>
      <w:r w:rsidRPr="00161EF3">
        <w:rPr>
          <w:b/>
          <w:szCs w:val="23"/>
        </w:rPr>
        <w:t>GPF</w:t>
      </w:r>
      <w:r>
        <w:rPr>
          <w:szCs w:val="23"/>
        </w:rPr>
        <w:tab/>
        <w:t>G</w:t>
      </w:r>
      <w:r w:rsidRPr="001B3B93">
        <w:rPr>
          <w:szCs w:val="23"/>
        </w:rPr>
        <w:t>overnment Partnership Fund</w:t>
      </w:r>
    </w:p>
    <w:p w14:paraId="1AC550D9" w14:textId="783DC1A0" w:rsidR="00161EF3" w:rsidRDefault="00161EF3" w:rsidP="00216F57">
      <w:pPr>
        <w:tabs>
          <w:tab w:val="left" w:pos="1134"/>
        </w:tabs>
        <w:spacing w:after="120"/>
      </w:pPr>
      <w:r w:rsidRPr="00161EF3">
        <w:rPr>
          <w:b/>
        </w:rPr>
        <w:t>GDP</w:t>
      </w:r>
      <w:r>
        <w:t xml:space="preserve"> </w:t>
      </w:r>
      <w:r>
        <w:tab/>
        <w:t xml:space="preserve">gross domestic product </w:t>
      </w:r>
    </w:p>
    <w:p w14:paraId="1EBB6263" w14:textId="77777777" w:rsidR="00161EF3" w:rsidRDefault="00161EF3" w:rsidP="00216F57">
      <w:pPr>
        <w:tabs>
          <w:tab w:val="left" w:pos="1134"/>
        </w:tabs>
        <w:spacing w:after="120"/>
      </w:pPr>
      <w:r w:rsidRPr="00161EF3">
        <w:rPr>
          <w:b/>
        </w:rPr>
        <w:t>MAHKOTA</w:t>
      </w:r>
      <w:r>
        <w:t xml:space="preserve"> </w:t>
      </w:r>
      <w:r>
        <w:tab/>
      </w:r>
      <w:r w:rsidRPr="001B3B93">
        <w:rPr>
          <w:szCs w:val="23"/>
        </w:rPr>
        <w:t>Towards a Strong and Prosperous Indonesia Society</w:t>
      </w:r>
      <w:r>
        <w:rPr>
          <w:szCs w:val="23"/>
        </w:rPr>
        <w:t xml:space="preserve"> program</w:t>
      </w:r>
    </w:p>
    <w:p w14:paraId="15BA235E" w14:textId="7D89A51E" w:rsidR="00161EF3" w:rsidRDefault="00161EF3" w:rsidP="00216F57">
      <w:pPr>
        <w:tabs>
          <w:tab w:val="left" w:pos="1134"/>
        </w:tabs>
        <w:spacing w:after="120"/>
      </w:pPr>
      <w:r w:rsidRPr="00161EF3">
        <w:rPr>
          <w:b/>
        </w:rPr>
        <w:t>ODA</w:t>
      </w:r>
      <w:r>
        <w:tab/>
      </w:r>
      <w:r w:rsidRPr="001B3B93">
        <w:t>O</w:t>
      </w:r>
      <w:r>
        <w:t xml:space="preserve">fficial Development Assistance </w:t>
      </w:r>
    </w:p>
    <w:p w14:paraId="20EB97DB" w14:textId="2E35544E" w:rsidR="00161EF3" w:rsidRDefault="00161EF3" w:rsidP="00216F57">
      <w:pPr>
        <w:tabs>
          <w:tab w:val="left" w:pos="1134"/>
        </w:tabs>
        <w:spacing w:after="120"/>
      </w:pPr>
      <w:r w:rsidRPr="00161EF3">
        <w:rPr>
          <w:b/>
        </w:rPr>
        <w:t>ODE</w:t>
      </w:r>
      <w:r>
        <w:tab/>
        <w:t>Office of Development Effectiveness</w:t>
      </w:r>
    </w:p>
    <w:p w14:paraId="092D63B6" w14:textId="103565E9" w:rsidR="00161EF3" w:rsidRDefault="00161EF3" w:rsidP="00216F57">
      <w:pPr>
        <w:tabs>
          <w:tab w:val="left" w:pos="1134"/>
        </w:tabs>
        <w:spacing w:after="120"/>
      </w:pPr>
      <w:r w:rsidRPr="00161EF3">
        <w:rPr>
          <w:b/>
        </w:rPr>
        <w:t>OECD</w:t>
      </w:r>
      <w:r>
        <w:t xml:space="preserve"> </w:t>
      </w:r>
      <w:r>
        <w:tab/>
      </w:r>
      <w:r w:rsidRPr="00BC6680">
        <w:t>Organisation for Economic Co-operation and Development</w:t>
      </w:r>
    </w:p>
    <w:p w14:paraId="2D56E49B" w14:textId="3E277396" w:rsidR="00161EF3" w:rsidRDefault="00161EF3" w:rsidP="00216F57">
      <w:pPr>
        <w:tabs>
          <w:tab w:val="left" w:pos="1134"/>
        </w:tabs>
        <w:spacing w:after="120"/>
        <w:rPr>
          <w:szCs w:val="23"/>
        </w:rPr>
      </w:pPr>
      <w:r w:rsidRPr="00161EF3">
        <w:rPr>
          <w:b/>
          <w:szCs w:val="23"/>
        </w:rPr>
        <w:t>OOF</w:t>
      </w:r>
      <w:r>
        <w:rPr>
          <w:szCs w:val="23"/>
        </w:rPr>
        <w:tab/>
        <w:t>other official flows</w:t>
      </w:r>
    </w:p>
    <w:p w14:paraId="798CDD94" w14:textId="7CA3B6B5" w:rsidR="00161EF3" w:rsidRDefault="00161EF3" w:rsidP="00216F57">
      <w:pPr>
        <w:tabs>
          <w:tab w:val="left" w:pos="1134"/>
        </w:tabs>
        <w:spacing w:after="120"/>
        <w:rPr>
          <w:szCs w:val="23"/>
        </w:rPr>
      </w:pPr>
      <w:r w:rsidRPr="00161EF3">
        <w:rPr>
          <w:b/>
          <w:szCs w:val="23"/>
        </w:rPr>
        <w:t>ICAI</w:t>
      </w:r>
      <w:r>
        <w:rPr>
          <w:szCs w:val="23"/>
        </w:rPr>
        <w:tab/>
      </w:r>
      <w:r w:rsidRPr="001B3B93">
        <w:rPr>
          <w:szCs w:val="23"/>
        </w:rPr>
        <w:t>Independent Commission for Aid Impact</w:t>
      </w:r>
      <w:r>
        <w:rPr>
          <w:szCs w:val="23"/>
        </w:rPr>
        <w:t xml:space="preserve"> </w:t>
      </w:r>
    </w:p>
    <w:p w14:paraId="2FA53B43" w14:textId="1FF3A4D1" w:rsidR="00C65686" w:rsidRDefault="00C65686" w:rsidP="00216F57">
      <w:pPr>
        <w:tabs>
          <w:tab w:val="left" w:pos="1134"/>
        </w:tabs>
        <w:spacing w:after="120"/>
        <w:rPr>
          <w:szCs w:val="23"/>
        </w:rPr>
      </w:pPr>
      <w:r w:rsidRPr="00C65686">
        <w:rPr>
          <w:b/>
          <w:szCs w:val="23"/>
        </w:rPr>
        <w:t>IGGD</w:t>
      </w:r>
      <w:r>
        <w:rPr>
          <w:szCs w:val="23"/>
        </w:rPr>
        <w:tab/>
        <w:t>Inclusive Growth and Governance Diagnostic</w:t>
      </w:r>
    </w:p>
    <w:p w14:paraId="2C1D7DB7" w14:textId="19221E9C" w:rsidR="00161EF3" w:rsidRDefault="00161EF3" w:rsidP="00216F57">
      <w:pPr>
        <w:tabs>
          <w:tab w:val="left" w:pos="1134"/>
        </w:tabs>
        <w:spacing w:after="120"/>
        <w:rPr>
          <w:szCs w:val="23"/>
        </w:rPr>
      </w:pPr>
      <w:r w:rsidRPr="00161EF3">
        <w:rPr>
          <w:b/>
          <w:szCs w:val="23"/>
        </w:rPr>
        <w:t xml:space="preserve">IndII </w:t>
      </w:r>
      <w:r>
        <w:rPr>
          <w:szCs w:val="23"/>
        </w:rPr>
        <w:tab/>
      </w:r>
      <w:r w:rsidRPr="001B3B93">
        <w:rPr>
          <w:szCs w:val="23"/>
        </w:rPr>
        <w:t>Indonesia Infrastructure Initiative</w:t>
      </w:r>
    </w:p>
    <w:p w14:paraId="026C8E35" w14:textId="1E683C54" w:rsidR="00161EF3" w:rsidRDefault="00161EF3" w:rsidP="00216F57">
      <w:pPr>
        <w:tabs>
          <w:tab w:val="left" w:pos="1134"/>
        </w:tabs>
        <w:spacing w:after="120"/>
        <w:rPr>
          <w:szCs w:val="23"/>
        </w:rPr>
      </w:pPr>
      <w:r w:rsidRPr="00161EF3">
        <w:rPr>
          <w:b/>
          <w:szCs w:val="23"/>
        </w:rPr>
        <w:t>KSI</w:t>
      </w:r>
      <w:r w:rsidRPr="001B3B93">
        <w:rPr>
          <w:szCs w:val="23"/>
        </w:rPr>
        <w:t xml:space="preserve"> </w:t>
      </w:r>
      <w:r>
        <w:rPr>
          <w:szCs w:val="23"/>
        </w:rPr>
        <w:tab/>
      </w:r>
      <w:r w:rsidRPr="001B3B93">
        <w:rPr>
          <w:szCs w:val="23"/>
        </w:rPr>
        <w:t xml:space="preserve">Knowledge Sector Initiative </w:t>
      </w:r>
    </w:p>
    <w:p w14:paraId="278E390F" w14:textId="698E0846" w:rsidR="00C65686" w:rsidRDefault="00C65686" w:rsidP="00216F57">
      <w:pPr>
        <w:tabs>
          <w:tab w:val="left" w:pos="1134"/>
        </w:tabs>
        <w:spacing w:after="120"/>
      </w:pPr>
      <w:r w:rsidRPr="00161EF3">
        <w:rPr>
          <w:b/>
        </w:rPr>
        <w:t xml:space="preserve">MDB </w:t>
      </w:r>
      <w:r>
        <w:tab/>
      </w:r>
      <w:r w:rsidRPr="001B3B93">
        <w:t>M</w:t>
      </w:r>
      <w:r>
        <w:t>ultilateral Development Bank</w:t>
      </w:r>
    </w:p>
    <w:p w14:paraId="08E060FD" w14:textId="6F462D88" w:rsidR="00C65686" w:rsidRDefault="00C65686" w:rsidP="00216F57">
      <w:pPr>
        <w:tabs>
          <w:tab w:val="left" w:pos="1134"/>
        </w:tabs>
        <w:spacing w:after="120"/>
      </w:pPr>
      <w:r w:rsidRPr="00C65686">
        <w:rPr>
          <w:b/>
        </w:rPr>
        <w:t>MDD</w:t>
      </w:r>
      <w:r>
        <w:tab/>
        <w:t>Multilateral Development and Finance Division</w:t>
      </w:r>
    </w:p>
    <w:p w14:paraId="199827A0" w14:textId="1FEC6033" w:rsidR="00161EF3" w:rsidRDefault="00161EF3" w:rsidP="00216F57">
      <w:pPr>
        <w:tabs>
          <w:tab w:val="left" w:pos="1134"/>
        </w:tabs>
        <w:spacing w:after="120"/>
      </w:pPr>
      <w:r w:rsidRPr="00161EF3">
        <w:rPr>
          <w:b/>
        </w:rPr>
        <w:t>MIC</w:t>
      </w:r>
      <w:r>
        <w:t xml:space="preserve"> </w:t>
      </w:r>
      <w:r>
        <w:tab/>
        <w:t>middle-income country</w:t>
      </w:r>
    </w:p>
    <w:p w14:paraId="72185594" w14:textId="589F7BC9" w:rsidR="00161EF3" w:rsidRDefault="00161EF3" w:rsidP="00216F57">
      <w:pPr>
        <w:tabs>
          <w:tab w:val="left" w:pos="1134"/>
        </w:tabs>
        <w:spacing w:after="120"/>
      </w:pPr>
      <w:r w:rsidRPr="00161EF3">
        <w:rPr>
          <w:b/>
        </w:rPr>
        <w:t>PPATK</w:t>
      </w:r>
      <w:r>
        <w:tab/>
        <w:t>F</w:t>
      </w:r>
      <w:r w:rsidRPr="001B3B93">
        <w:t>inancial</w:t>
      </w:r>
      <w:r>
        <w:t xml:space="preserve"> I</w:t>
      </w:r>
      <w:r w:rsidRPr="001B3B93">
        <w:t xml:space="preserve">ntelligence </w:t>
      </w:r>
      <w:r>
        <w:t>A</w:t>
      </w:r>
      <w:r w:rsidRPr="001B3B93">
        <w:t>gency</w:t>
      </w:r>
      <w:r>
        <w:t xml:space="preserve"> (Indonesia)</w:t>
      </w:r>
    </w:p>
    <w:p w14:paraId="2A980DEC" w14:textId="6EECC01B" w:rsidR="00161EF3" w:rsidRDefault="00161EF3" w:rsidP="00216F57">
      <w:pPr>
        <w:tabs>
          <w:tab w:val="left" w:pos="1134"/>
        </w:tabs>
        <w:spacing w:after="120"/>
        <w:rPr>
          <w:szCs w:val="23"/>
        </w:rPr>
      </w:pPr>
      <w:r w:rsidRPr="00161EF3">
        <w:rPr>
          <w:b/>
          <w:szCs w:val="23"/>
        </w:rPr>
        <w:t>RCV</w:t>
      </w:r>
      <w:r>
        <w:rPr>
          <w:szCs w:val="23"/>
        </w:rPr>
        <w:tab/>
      </w:r>
      <w:r w:rsidRPr="001B3B93">
        <w:rPr>
          <w:szCs w:val="23"/>
        </w:rPr>
        <w:t xml:space="preserve">Restructuring for a </w:t>
      </w:r>
      <w:r>
        <w:rPr>
          <w:szCs w:val="23"/>
        </w:rPr>
        <w:t xml:space="preserve">more </w:t>
      </w:r>
      <w:r w:rsidRPr="001B3B93">
        <w:rPr>
          <w:szCs w:val="23"/>
        </w:rPr>
        <w:t>Competitive Vietnam</w:t>
      </w:r>
      <w:r>
        <w:rPr>
          <w:szCs w:val="23"/>
        </w:rPr>
        <w:t xml:space="preserve"> program</w:t>
      </w:r>
    </w:p>
    <w:p w14:paraId="0B92BD2E" w14:textId="0CA9E26E" w:rsidR="00C65686" w:rsidRDefault="00C65686" w:rsidP="00216F57">
      <w:pPr>
        <w:tabs>
          <w:tab w:val="left" w:pos="1134"/>
        </w:tabs>
        <w:spacing w:after="120"/>
        <w:rPr>
          <w:szCs w:val="23"/>
        </w:rPr>
      </w:pPr>
      <w:r w:rsidRPr="00C65686">
        <w:rPr>
          <w:b/>
          <w:szCs w:val="23"/>
        </w:rPr>
        <w:t>SED</w:t>
      </w:r>
      <w:r>
        <w:rPr>
          <w:szCs w:val="23"/>
        </w:rPr>
        <w:tab/>
        <w:t>Southeast Asia Division</w:t>
      </w:r>
    </w:p>
    <w:p w14:paraId="43DD4690" w14:textId="77777777" w:rsidR="00880672" w:rsidRDefault="00161EF3" w:rsidP="00216F57">
      <w:pPr>
        <w:tabs>
          <w:tab w:val="left" w:pos="1134"/>
        </w:tabs>
        <w:spacing w:after="120"/>
        <w:sectPr w:rsidR="00880672" w:rsidSect="00F21EFA">
          <w:pgSz w:w="11900" w:h="16840"/>
          <w:pgMar w:top="851" w:right="851" w:bottom="1418" w:left="851" w:header="505" w:footer="505" w:gutter="0"/>
          <w:pgNumType w:fmt="lowerRoman"/>
          <w:cols w:space="720"/>
          <w:titlePg/>
          <w:docGrid w:linePitch="360"/>
        </w:sectPr>
      </w:pPr>
      <w:r w:rsidRPr="00161EF3">
        <w:rPr>
          <w:b/>
        </w:rPr>
        <w:t>TNP2K</w:t>
      </w:r>
      <w:r>
        <w:tab/>
      </w:r>
      <w:r w:rsidRPr="00EE4D92">
        <w:t>National Team for Accelerating Poverty Reduction</w:t>
      </w:r>
      <w:r>
        <w:t xml:space="preserve"> (Indonesia)</w:t>
      </w:r>
    </w:p>
    <w:p w14:paraId="1A086E04" w14:textId="77777777" w:rsidR="009F197E" w:rsidRPr="001B3B93" w:rsidRDefault="009F197E" w:rsidP="009F197E">
      <w:pPr>
        <w:pStyle w:val="NoSpacing"/>
      </w:pPr>
    </w:p>
    <w:p w14:paraId="4DBAA322" w14:textId="77777777" w:rsidR="00FE6E07" w:rsidRPr="001B3B93" w:rsidRDefault="00FE6E07" w:rsidP="001B3B93"/>
    <w:p w14:paraId="0C11309D" w14:textId="77777777" w:rsidR="00FE6E07" w:rsidRPr="001B3B93" w:rsidRDefault="00FE6E07" w:rsidP="001B3B93"/>
    <w:sdt>
      <w:sdtPr>
        <w:rPr>
          <w:b/>
          <w:caps/>
        </w:rPr>
        <w:id w:val="-314802618"/>
        <w:docPartObj>
          <w:docPartGallery w:val="Table of Contents"/>
          <w:docPartUnique/>
        </w:docPartObj>
      </w:sdtPr>
      <w:sdtEndPr>
        <w:rPr>
          <w:b w:val="0"/>
          <w:bCs/>
          <w:caps w:val="0"/>
          <w:noProof/>
        </w:rPr>
      </w:sdtEndPr>
      <w:sdtContent>
        <w:p w14:paraId="0A82A1AC" w14:textId="0B9FF869" w:rsidR="002F06DF" w:rsidRPr="00F219BE" w:rsidRDefault="006C1FA6" w:rsidP="001B3B93">
          <w:pPr>
            <w:rPr>
              <w:b/>
              <w:color w:val="FFFFFF" w:themeColor="background1"/>
              <w:sz w:val="42"/>
            </w:rPr>
          </w:pPr>
          <w:r w:rsidRPr="00F219BE">
            <w:rPr>
              <w:b/>
              <w:color w:val="FFFFFF" w:themeColor="background1"/>
              <w:sz w:val="42"/>
            </w:rPr>
            <w:t>CONTENTS</w:t>
          </w:r>
        </w:p>
        <w:p w14:paraId="50810485" w14:textId="77777777" w:rsidR="006A637A" w:rsidRPr="001B3B93" w:rsidRDefault="006A637A" w:rsidP="00250929">
          <w:pPr>
            <w:pStyle w:val="TOC2"/>
            <w:rPr>
              <w:lang w:val="en-US"/>
            </w:rPr>
          </w:pPr>
        </w:p>
        <w:p w14:paraId="757F8994" w14:textId="54B834C6" w:rsidR="0025026D" w:rsidRDefault="00DC4948">
          <w:pPr>
            <w:pStyle w:val="TOC1"/>
            <w:rPr>
              <w:rFonts w:asciiTheme="minorHAnsi" w:eastAsiaTheme="minorEastAsia" w:hAnsiTheme="minorHAnsi"/>
              <w:b w:val="0"/>
              <w:caps w:val="0"/>
              <w:color w:val="auto"/>
              <w:spacing w:val="0"/>
              <w:u w:val="none"/>
              <w:lang w:eastAsia="en-GB"/>
            </w:rPr>
          </w:pPr>
          <w:r>
            <w:rPr>
              <w:rFonts w:eastAsiaTheme="minorEastAsia" w:cs="Times New Roman"/>
              <w:lang w:val="en-US"/>
            </w:rPr>
            <w:fldChar w:fldCharType="begin"/>
          </w:r>
          <w:r>
            <w:rPr>
              <w:rFonts w:eastAsiaTheme="minorEastAsia" w:cs="Times New Roman"/>
              <w:lang w:val="en-US"/>
            </w:rPr>
            <w:instrText xml:space="preserve"> TOC \o "3-3" \t "Heading 1,2,Chapter Head,1,Table of Figures,7" </w:instrText>
          </w:r>
          <w:r>
            <w:rPr>
              <w:rFonts w:eastAsiaTheme="minorEastAsia" w:cs="Times New Roman"/>
              <w:lang w:val="en-US"/>
            </w:rPr>
            <w:fldChar w:fldCharType="separate"/>
          </w:r>
          <w:r w:rsidR="0025026D" w:rsidRPr="001E213C">
            <w:rPr>
              <w:caps w:val="0"/>
            </w:rPr>
            <w:t>FOREWORD</w:t>
          </w:r>
          <w:r w:rsidR="0025026D">
            <w:tab/>
          </w:r>
          <w:r w:rsidR="0025026D">
            <w:fldChar w:fldCharType="begin"/>
          </w:r>
          <w:r w:rsidR="0025026D">
            <w:instrText xml:space="preserve"> PAGEREF _Toc527712981 \h </w:instrText>
          </w:r>
          <w:r w:rsidR="0025026D">
            <w:fldChar w:fldCharType="separate"/>
          </w:r>
          <w:r w:rsidR="0023126F">
            <w:t>iii</w:t>
          </w:r>
          <w:r w:rsidR="0025026D">
            <w:fldChar w:fldCharType="end"/>
          </w:r>
        </w:p>
        <w:p w14:paraId="4BBEB627" w14:textId="1B679953" w:rsidR="0025026D" w:rsidRDefault="0025026D">
          <w:pPr>
            <w:pStyle w:val="TOC1"/>
            <w:rPr>
              <w:rFonts w:asciiTheme="minorHAnsi" w:eastAsiaTheme="minorEastAsia" w:hAnsiTheme="minorHAnsi"/>
              <w:b w:val="0"/>
              <w:caps w:val="0"/>
              <w:color w:val="auto"/>
              <w:spacing w:val="0"/>
              <w:u w:val="none"/>
              <w:lang w:eastAsia="en-GB"/>
            </w:rPr>
          </w:pPr>
          <w:r>
            <w:t>ACKNOWLEDGMENTS</w:t>
          </w:r>
          <w:r>
            <w:tab/>
          </w:r>
          <w:r>
            <w:fldChar w:fldCharType="begin"/>
          </w:r>
          <w:r>
            <w:instrText xml:space="preserve"> PAGEREF _Toc527712982 \h </w:instrText>
          </w:r>
          <w:r>
            <w:fldChar w:fldCharType="separate"/>
          </w:r>
          <w:r w:rsidR="0023126F">
            <w:t>iv</w:t>
          </w:r>
          <w:r>
            <w:fldChar w:fldCharType="end"/>
          </w:r>
        </w:p>
        <w:p w14:paraId="6E5EE01D" w14:textId="55ADCB32" w:rsidR="0025026D" w:rsidRDefault="0025026D">
          <w:pPr>
            <w:pStyle w:val="TOC1"/>
            <w:rPr>
              <w:rFonts w:asciiTheme="minorHAnsi" w:eastAsiaTheme="minorEastAsia" w:hAnsiTheme="minorHAnsi"/>
              <w:b w:val="0"/>
              <w:caps w:val="0"/>
              <w:color w:val="auto"/>
              <w:spacing w:val="0"/>
              <w:u w:val="none"/>
              <w:lang w:eastAsia="en-GB"/>
            </w:rPr>
          </w:pPr>
          <w:r>
            <w:t>ACRONYMS AND ABBREVIATIONS</w:t>
          </w:r>
          <w:r>
            <w:tab/>
          </w:r>
          <w:r>
            <w:fldChar w:fldCharType="begin"/>
          </w:r>
          <w:r>
            <w:instrText xml:space="preserve"> PAGEREF _Toc527712984 \h </w:instrText>
          </w:r>
          <w:r>
            <w:fldChar w:fldCharType="separate"/>
          </w:r>
          <w:r w:rsidR="0023126F">
            <w:t>v</w:t>
          </w:r>
          <w:r>
            <w:fldChar w:fldCharType="end"/>
          </w:r>
        </w:p>
        <w:p w14:paraId="48C8B298" w14:textId="7EF9DCDC" w:rsidR="0025026D" w:rsidRDefault="0025026D">
          <w:pPr>
            <w:pStyle w:val="TOC1"/>
            <w:rPr>
              <w:rFonts w:asciiTheme="minorHAnsi" w:eastAsiaTheme="minorEastAsia" w:hAnsiTheme="minorHAnsi"/>
              <w:b w:val="0"/>
              <w:caps w:val="0"/>
              <w:color w:val="auto"/>
              <w:spacing w:val="0"/>
              <w:u w:val="none"/>
              <w:lang w:eastAsia="en-GB"/>
            </w:rPr>
          </w:pPr>
          <w:r>
            <w:t>Executive Summary</w:t>
          </w:r>
          <w:r>
            <w:tab/>
          </w:r>
          <w:r>
            <w:fldChar w:fldCharType="begin"/>
          </w:r>
          <w:r>
            <w:instrText xml:space="preserve"> PAGEREF _Toc527712985 \h </w:instrText>
          </w:r>
          <w:r>
            <w:fldChar w:fldCharType="separate"/>
          </w:r>
          <w:r w:rsidR="0023126F">
            <w:t>1</w:t>
          </w:r>
          <w:r>
            <w:fldChar w:fldCharType="end"/>
          </w:r>
        </w:p>
        <w:p w14:paraId="56784703" w14:textId="1C0EA749" w:rsidR="0025026D" w:rsidRDefault="0025026D">
          <w:pPr>
            <w:pStyle w:val="TOC1"/>
            <w:rPr>
              <w:rFonts w:asciiTheme="minorHAnsi" w:eastAsiaTheme="minorEastAsia" w:hAnsiTheme="minorHAnsi"/>
              <w:b w:val="0"/>
              <w:caps w:val="0"/>
              <w:color w:val="auto"/>
              <w:spacing w:val="0"/>
              <w:u w:val="none"/>
              <w:lang w:eastAsia="en-GB"/>
            </w:rPr>
          </w:pPr>
          <w:r>
            <w:t>Management Response</w:t>
          </w:r>
          <w:r>
            <w:tab/>
          </w:r>
          <w:r>
            <w:fldChar w:fldCharType="begin"/>
          </w:r>
          <w:r>
            <w:instrText xml:space="preserve"> PAGEREF _Toc527712986 \h </w:instrText>
          </w:r>
          <w:r>
            <w:fldChar w:fldCharType="separate"/>
          </w:r>
          <w:r w:rsidR="0023126F">
            <w:t>8</w:t>
          </w:r>
          <w:r>
            <w:fldChar w:fldCharType="end"/>
          </w:r>
        </w:p>
        <w:p w14:paraId="5F49171A" w14:textId="6B5389EE" w:rsidR="0025026D" w:rsidRDefault="0025026D">
          <w:pPr>
            <w:pStyle w:val="TOC1"/>
            <w:rPr>
              <w:rFonts w:asciiTheme="minorHAnsi" w:eastAsiaTheme="minorEastAsia" w:hAnsiTheme="minorHAnsi"/>
              <w:b w:val="0"/>
              <w:caps w:val="0"/>
              <w:color w:val="auto"/>
              <w:spacing w:val="0"/>
              <w:u w:val="none"/>
              <w:lang w:eastAsia="en-GB"/>
            </w:rPr>
          </w:pPr>
          <w:r>
            <w:t>1.</w:t>
          </w:r>
          <w:r>
            <w:rPr>
              <w:rFonts w:asciiTheme="minorHAnsi" w:eastAsiaTheme="minorEastAsia" w:hAnsiTheme="minorHAnsi"/>
              <w:b w:val="0"/>
              <w:caps w:val="0"/>
              <w:color w:val="auto"/>
              <w:spacing w:val="0"/>
              <w:u w:val="none"/>
              <w:lang w:eastAsia="en-GB"/>
            </w:rPr>
            <w:tab/>
          </w:r>
          <w:r>
            <w:t>Introduction</w:t>
          </w:r>
          <w:r>
            <w:tab/>
          </w:r>
          <w:r>
            <w:fldChar w:fldCharType="begin"/>
          </w:r>
          <w:r>
            <w:instrText xml:space="preserve"> PAGEREF _Toc527712987 \h </w:instrText>
          </w:r>
          <w:r>
            <w:fldChar w:fldCharType="separate"/>
          </w:r>
          <w:r w:rsidR="0023126F">
            <w:t>15</w:t>
          </w:r>
          <w:r>
            <w:fldChar w:fldCharType="end"/>
          </w:r>
        </w:p>
        <w:p w14:paraId="1208388F" w14:textId="59D4C0A5" w:rsidR="0025026D" w:rsidRDefault="0025026D">
          <w:pPr>
            <w:pStyle w:val="TOC3"/>
            <w:rPr>
              <w:rFonts w:eastAsiaTheme="minorEastAsia"/>
              <w:lang w:eastAsia="en-GB"/>
            </w:rPr>
          </w:pPr>
          <w:r>
            <w:t>Development cooperation and economic partnership</w:t>
          </w:r>
          <w:r>
            <w:tab/>
          </w:r>
          <w:r>
            <w:fldChar w:fldCharType="begin"/>
          </w:r>
          <w:r>
            <w:instrText xml:space="preserve"> PAGEREF _Toc527712988 \h </w:instrText>
          </w:r>
          <w:r>
            <w:fldChar w:fldCharType="separate"/>
          </w:r>
          <w:r w:rsidR="0023126F">
            <w:t>16</w:t>
          </w:r>
          <w:r>
            <w:fldChar w:fldCharType="end"/>
          </w:r>
        </w:p>
        <w:p w14:paraId="606E7FF1" w14:textId="687BCE26" w:rsidR="0025026D" w:rsidRDefault="0025026D">
          <w:pPr>
            <w:pStyle w:val="TOC3"/>
            <w:rPr>
              <w:rFonts w:eastAsiaTheme="minorEastAsia"/>
              <w:lang w:eastAsia="en-GB"/>
            </w:rPr>
          </w:pPr>
          <w:r>
            <w:t>Purpose and scope of the evaluation</w:t>
          </w:r>
          <w:r>
            <w:tab/>
          </w:r>
          <w:r>
            <w:fldChar w:fldCharType="begin"/>
          </w:r>
          <w:r>
            <w:instrText xml:space="preserve"> PAGEREF _Toc527712989 \h </w:instrText>
          </w:r>
          <w:r>
            <w:fldChar w:fldCharType="separate"/>
          </w:r>
          <w:r w:rsidR="0023126F">
            <w:t>17</w:t>
          </w:r>
          <w:r>
            <w:fldChar w:fldCharType="end"/>
          </w:r>
        </w:p>
        <w:p w14:paraId="0A2F3106" w14:textId="583B55A8" w:rsidR="0025026D" w:rsidRDefault="0025026D">
          <w:pPr>
            <w:pStyle w:val="TOC3"/>
            <w:rPr>
              <w:rFonts w:eastAsiaTheme="minorEastAsia"/>
              <w:lang w:eastAsia="en-GB"/>
            </w:rPr>
          </w:pPr>
          <w:r>
            <w:t>Evaluation questions</w:t>
          </w:r>
          <w:r>
            <w:tab/>
          </w:r>
          <w:r>
            <w:fldChar w:fldCharType="begin"/>
          </w:r>
          <w:r>
            <w:instrText xml:space="preserve"> PAGEREF _Toc527712990 \h </w:instrText>
          </w:r>
          <w:r>
            <w:fldChar w:fldCharType="separate"/>
          </w:r>
          <w:r w:rsidR="0023126F">
            <w:t>17</w:t>
          </w:r>
          <w:r>
            <w:fldChar w:fldCharType="end"/>
          </w:r>
        </w:p>
        <w:p w14:paraId="4F7858F1" w14:textId="200A7BB7" w:rsidR="0025026D" w:rsidRDefault="0025026D">
          <w:pPr>
            <w:pStyle w:val="TOC3"/>
            <w:rPr>
              <w:rFonts w:eastAsiaTheme="minorEastAsia"/>
              <w:lang w:eastAsia="en-GB"/>
            </w:rPr>
          </w:pPr>
          <w:r>
            <w:t>Evaluation methods</w:t>
          </w:r>
          <w:r>
            <w:tab/>
          </w:r>
          <w:r>
            <w:fldChar w:fldCharType="begin"/>
          </w:r>
          <w:r>
            <w:instrText xml:space="preserve"> PAGEREF _Toc527712991 \h </w:instrText>
          </w:r>
          <w:r>
            <w:fldChar w:fldCharType="separate"/>
          </w:r>
          <w:r w:rsidR="0023126F">
            <w:t>18</w:t>
          </w:r>
          <w:r>
            <w:fldChar w:fldCharType="end"/>
          </w:r>
        </w:p>
        <w:p w14:paraId="56F9045E" w14:textId="1A1A3FA4" w:rsidR="0025026D" w:rsidRDefault="0025026D">
          <w:pPr>
            <w:pStyle w:val="TOC1"/>
            <w:rPr>
              <w:rFonts w:asciiTheme="minorHAnsi" w:eastAsiaTheme="minorEastAsia" w:hAnsiTheme="minorHAnsi"/>
              <w:b w:val="0"/>
              <w:caps w:val="0"/>
              <w:color w:val="auto"/>
              <w:spacing w:val="0"/>
              <w:u w:val="none"/>
              <w:lang w:eastAsia="en-GB"/>
            </w:rPr>
          </w:pPr>
          <w:r>
            <w:t>2.</w:t>
          </w:r>
          <w:r>
            <w:rPr>
              <w:rFonts w:asciiTheme="minorHAnsi" w:eastAsiaTheme="minorEastAsia" w:hAnsiTheme="minorHAnsi"/>
              <w:b w:val="0"/>
              <w:caps w:val="0"/>
              <w:color w:val="auto"/>
              <w:spacing w:val="0"/>
              <w:u w:val="none"/>
              <w:lang w:eastAsia="en-GB"/>
            </w:rPr>
            <w:tab/>
          </w:r>
          <w:r>
            <w:t>Context: Aid to middle-income countries</w:t>
          </w:r>
          <w:r>
            <w:tab/>
          </w:r>
          <w:r>
            <w:fldChar w:fldCharType="begin"/>
          </w:r>
          <w:r>
            <w:instrText xml:space="preserve"> PAGEREF _Toc527712992 \h </w:instrText>
          </w:r>
          <w:r>
            <w:fldChar w:fldCharType="separate"/>
          </w:r>
          <w:r w:rsidR="0023126F">
            <w:t>20</w:t>
          </w:r>
          <w:r>
            <w:fldChar w:fldCharType="end"/>
          </w:r>
        </w:p>
        <w:p w14:paraId="2A297CCA" w14:textId="6172DF0C" w:rsidR="0025026D" w:rsidRDefault="0025026D">
          <w:pPr>
            <w:pStyle w:val="TOC3"/>
            <w:rPr>
              <w:rFonts w:eastAsiaTheme="minorEastAsia"/>
              <w:lang w:eastAsia="en-GB"/>
            </w:rPr>
          </w:pPr>
          <w:r>
            <w:t>Changing patterns of development finance</w:t>
          </w:r>
          <w:r>
            <w:tab/>
          </w:r>
          <w:r>
            <w:fldChar w:fldCharType="begin"/>
          </w:r>
          <w:r>
            <w:instrText xml:space="preserve"> PAGEREF _Toc527712993 \h </w:instrText>
          </w:r>
          <w:r>
            <w:fldChar w:fldCharType="separate"/>
          </w:r>
          <w:r w:rsidR="0023126F">
            <w:t>21</w:t>
          </w:r>
          <w:r>
            <w:fldChar w:fldCharType="end"/>
          </w:r>
        </w:p>
        <w:p w14:paraId="14A527C7" w14:textId="5254335E" w:rsidR="0025026D" w:rsidRDefault="0025026D">
          <w:pPr>
            <w:pStyle w:val="TOC3"/>
            <w:rPr>
              <w:rFonts w:eastAsiaTheme="minorEastAsia"/>
              <w:lang w:eastAsia="en-GB"/>
            </w:rPr>
          </w:pPr>
          <w:r>
            <w:t>China and India</w:t>
          </w:r>
          <w:r>
            <w:tab/>
          </w:r>
          <w:r>
            <w:fldChar w:fldCharType="begin"/>
          </w:r>
          <w:r>
            <w:instrText xml:space="preserve"> PAGEREF _Toc527712994 \h </w:instrText>
          </w:r>
          <w:r>
            <w:fldChar w:fldCharType="separate"/>
          </w:r>
          <w:r w:rsidR="0023126F">
            <w:t>22</w:t>
          </w:r>
          <w:r>
            <w:fldChar w:fldCharType="end"/>
          </w:r>
        </w:p>
        <w:p w14:paraId="1EF3C155" w14:textId="4DA8E00C" w:rsidR="0025026D" w:rsidRDefault="0025026D">
          <w:pPr>
            <w:pStyle w:val="TOC3"/>
            <w:rPr>
              <w:rFonts w:eastAsiaTheme="minorEastAsia"/>
              <w:lang w:eastAsia="en-GB"/>
            </w:rPr>
          </w:pPr>
          <w:r>
            <w:t>The middle-income trap</w:t>
          </w:r>
          <w:r>
            <w:tab/>
          </w:r>
          <w:r>
            <w:fldChar w:fldCharType="begin"/>
          </w:r>
          <w:r>
            <w:instrText xml:space="preserve"> PAGEREF _Toc527712995 \h </w:instrText>
          </w:r>
          <w:r>
            <w:fldChar w:fldCharType="separate"/>
          </w:r>
          <w:r w:rsidR="0023126F">
            <w:t>22</w:t>
          </w:r>
          <w:r>
            <w:fldChar w:fldCharType="end"/>
          </w:r>
        </w:p>
        <w:p w14:paraId="084C8AA9" w14:textId="6513A367" w:rsidR="0025026D" w:rsidRDefault="0025026D">
          <w:pPr>
            <w:pStyle w:val="TOC3"/>
            <w:rPr>
              <w:rFonts w:eastAsiaTheme="minorEastAsia"/>
              <w:lang w:eastAsia="en-GB"/>
            </w:rPr>
          </w:pPr>
          <w:r>
            <w:t>Trends on development cooperation with MICs</w:t>
          </w:r>
          <w:r>
            <w:tab/>
          </w:r>
          <w:r>
            <w:fldChar w:fldCharType="begin"/>
          </w:r>
          <w:r>
            <w:instrText xml:space="preserve"> PAGEREF _Toc527712996 \h </w:instrText>
          </w:r>
          <w:r>
            <w:fldChar w:fldCharType="separate"/>
          </w:r>
          <w:r w:rsidR="0023126F">
            <w:t>26</w:t>
          </w:r>
          <w:r>
            <w:fldChar w:fldCharType="end"/>
          </w:r>
        </w:p>
        <w:p w14:paraId="7B703262" w14:textId="25A0D457" w:rsidR="0025026D" w:rsidRDefault="0025026D">
          <w:pPr>
            <w:pStyle w:val="TOC3"/>
            <w:rPr>
              <w:rFonts w:eastAsiaTheme="minorEastAsia"/>
              <w:lang w:eastAsia="en-GB"/>
            </w:rPr>
          </w:pPr>
          <w:r>
            <w:t>Key messages</w:t>
          </w:r>
          <w:r>
            <w:tab/>
          </w:r>
          <w:r>
            <w:fldChar w:fldCharType="begin"/>
          </w:r>
          <w:r>
            <w:instrText xml:space="preserve"> PAGEREF _Toc527712997 \h </w:instrText>
          </w:r>
          <w:r>
            <w:fldChar w:fldCharType="separate"/>
          </w:r>
          <w:r w:rsidR="0023126F">
            <w:t>29</w:t>
          </w:r>
          <w:r>
            <w:fldChar w:fldCharType="end"/>
          </w:r>
        </w:p>
        <w:p w14:paraId="1A49D443" w14:textId="3D838349" w:rsidR="0025026D" w:rsidRDefault="0025026D">
          <w:pPr>
            <w:pStyle w:val="TOC1"/>
            <w:rPr>
              <w:rFonts w:asciiTheme="minorHAnsi" w:eastAsiaTheme="minorEastAsia" w:hAnsiTheme="minorHAnsi"/>
              <w:b w:val="0"/>
              <w:caps w:val="0"/>
              <w:color w:val="auto"/>
              <w:spacing w:val="0"/>
              <w:u w:val="none"/>
              <w:lang w:eastAsia="en-GB"/>
            </w:rPr>
          </w:pPr>
          <w:r>
            <w:t>3. The evolution of economic partnerships</w:t>
          </w:r>
          <w:r>
            <w:tab/>
          </w:r>
          <w:r>
            <w:fldChar w:fldCharType="begin"/>
          </w:r>
          <w:r>
            <w:instrText xml:space="preserve"> PAGEREF _Toc527712998 \h </w:instrText>
          </w:r>
          <w:r>
            <w:fldChar w:fldCharType="separate"/>
          </w:r>
          <w:r w:rsidR="0023126F">
            <w:t>30</w:t>
          </w:r>
          <w:r>
            <w:fldChar w:fldCharType="end"/>
          </w:r>
        </w:p>
        <w:p w14:paraId="1D60CF28" w14:textId="1D4925DC" w:rsidR="0025026D" w:rsidRDefault="0025026D">
          <w:pPr>
            <w:pStyle w:val="TOC3"/>
            <w:rPr>
              <w:rFonts w:eastAsiaTheme="minorEastAsia"/>
              <w:lang w:eastAsia="en-GB"/>
            </w:rPr>
          </w:pPr>
          <w:r>
            <w:t>The emerging elements of economic partnership</w:t>
          </w:r>
          <w:r>
            <w:tab/>
          </w:r>
          <w:r>
            <w:fldChar w:fldCharType="begin"/>
          </w:r>
          <w:r>
            <w:instrText xml:space="preserve"> PAGEREF _Toc527712999 \h </w:instrText>
          </w:r>
          <w:r>
            <w:fldChar w:fldCharType="separate"/>
          </w:r>
          <w:r w:rsidR="0023126F">
            <w:t>30</w:t>
          </w:r>
          <w:r>
            <w:fldChar w:fldCharType="end"/>
          </w:r>
        </w:p>
        <w:p w14:paraId="25F7E994" w14:textId="60AE0EDB" w:rsidR="0025026D" w:rsidRDefault="0025026D">
          <w:pPr>
            <w:pStyle w:val="TOC3"/>
            <w:rPr>
              <w:rFonts w:eastAsiaTheme="minorEastAsia"/>
              <w:lang w:eastAsia="en-GB"/>
            </w:rPr>
          </w:pPr>
          <w:r>
            <w:t>Key messages</w:t>
          </w:r>
          <w:r>
            <w:tab/>
          </w:r>
          <w:r>
            <w:fldChar w:fldCharType="begin"/>
          </w:r>
          <w:r>
            <w:instrText xml:space="preserve"> PAGEREF _Toc527713000 \h </w:instrText>
          </w:r>
          <w:r>
            <w:fldChar w:fldCharType="separate"/>
          </w:r>
          <w:r w:rsidR="0023126F">
            <w:t>34</w:t>
          </w:r>
          <w:r>
            <w:fldChar w:fldCharType="end"/>
          </w:r>
        </w:p>
        <w:p w14:paraId="32C8A783" w14:textId="206CD131" w:rsidR="0025026D" w:rsidRDefault="0025026D">
          <w:pPr>
            <w:pStyle w:val="TOC3"/>
            <w:rPr>
              <w:rFonts w:eastAsiaTheme="minorEastAsia"/>
              <w:lang w:eastAsia="en-GB"/>
            </w:rPr>
          </w:pPr>
          <w:r>
            <w:t>How well does the positioning of aid to strengthen economic partnerships reflect the interests of Australia and the partner countries?</w:t>
          </w:r>
          <w:r>
            <w:tab/>
          </w:r>
          <w:r>
            <w:fldChar w:fldCharType="begin"/>
          </w:r>
          <w:r>
            <w:instrText xml:space="preserve"> PAGEREF _Toc527713001 \h </w:instrText>
          </w:r>
          <w:r>
            <w:fldChar w:fldCharType="separate"/>
          </w:r>
          <w:r w:rsidR="0023126F">
            <w:t>35</w:t>
          </w:r>
          <w:r>
            <w:fldChar w:fldCharType="end"/>
          </w:r>
        </w:p>
        <w:p w14:paraId="56CF10C6" w14:textId="259C0F05" w:rsidR="0025026D" w:rsidRDefault="0025026D">
          <w:pPr>
            <w:pStyle w:val="TOC3"/>
            <w:rPr>
              <w:rFonts w:eastAsiaTheme="minorEastAsia"/>
              <w:lang w:eastAsia="en-GB"/>
            </w:rPr>
          </w:pPr>
          <w:r>
            <w:t>Key messages</w:t>
          </w:r>
          <w:r>
            <w:tab/>
          </w:r>
          <w:r>
            <w:fldChar w:fldCharType="begin"/>
          </w:r>
          <w:r>
            <w:instrText xml:space="preserve"> PAGEREF _Toc527713002 \h </w:instrText>
          </w:r>
          <w:r>
            <w:fldChar w:fldCharType="separate"/>
          </w:r>
          <w:r w:rsidR="0023126F">
            <w:t>38</w:t>
          </w:r>
          <w:r>
            <w:fldChar w:fldCharType="end"/>
          </w:r>
        </w:p>
        <w:p w14:paraId="60C36102" w14:textId="5F3FCA8D" w:rsidR="0025026D" w:rsidRDefault="0025026D">
          <w:pPr>
            <w:pStyle w:val="TOC3"/>
            <w:rPr>
              <w:rFonts w:eastAsiaTheme="minorEastAsia"/>
              <w:lang w:eastAsia="en-GB"/>
            </w:rPr>
          </w:pPr>
          <w:r>
            <w:t>Scope for improving the complementarity of aid, diplomatic and trade initiatives to strengthen economic partnerships</w:t>
          </w:r>
          <w:r>
            <w:tab/>
          </w:r>
          <w:r>
            <w:fldChar w:fldCharType="begin"/>
          </w:r>
          <w:r>
            <w:instrText xml:space="preserve"> PAGEREF _Toc527713003 \h </w:instrText>
          </w:r>
          <w:r>
            <w:fldChar w:fldCharType="separate"/>
          </w:r>
          <w:r w:rsidR="0023126F">
            <w:t>39</w:t>
          </w:r>
          <w:r>
            <w:fldChar w:fldCharType="end"/>
          </w:r>
        </w:p>
        <w:p w14:paraId="426D64D7" w14:textId="1D19CFDC" w:rsidR="0025026D" w:rsidRDefault="0025026D">
          <w:pPr>
            <w:pStyle w:val="TOC3"/>
            <w:rPr>
              <w:rFonts w:eastAsiaTheme="minorEastAsia"/>
              <w:lang w:eastAsia="en-GB"/>
            </w:rPr>
          </w:pPr>
          <w:r>
            <w:t>Key messages</w:t>
          </w:r>
          <w:r>
            <w:tab/>
          </w:r>
          <w:r>
            <w:fldChar w:fldCharType="begin"/>
          </w:r>
          <w:r>
            <w:instrText xml:space="preserve"> PAGEREF _Toc527713004 \h </w:instrText>
          </w:r>
          <w:r>
            <w:fldChar w:fldCharType="separate"/>
          </w:r>
          <w:r w:rsidR="0023126F">
            <w:t>42</w:t>
          </w:r>
          <w:r>
            <w:fldChar w:fldCharType="end"/>
          </w:r>
        </w:p>
        <w:p w14:paraId="79C26125" w14:textId="1D9B5928" w:rsidR="0025026D" w:rsidRDefault="0025026D">
          <w:pPr>
            <w:pStyle w:val="TOC1"/>
            <w:rPr>
              <w:rFonts w:asciiTheme="minorHAnsi" w:eastAsiaTheme="minorEastAsia" w:hAnsiTheme="minorHAnsi"/>
              <w:b w:val="0"/>
              <w:caps w:val="0"/>
              <w:color w:val="auto"/>
              <w:spacing w:val="0"/>
              <w:u w:val="none"/>
              <w:lang w:eastAsia="en-GB"/>
            </w:rPr>
          </w:pPr>
          <w:r>
            <w:t>4. Approaches to economic partnership</w:t>
          </w:r>
          <w:r>
            <w:tab/>
          </w:r>
          <w:r>
            <w:fldChar w:fldCharType="begin"/>
          </w:r>
          <w:r>
            <w:instrText xml:space="preserve"> PAGEREF _Toc527713005 \h </w:instrText>
          </w:r>
          <w:r>
            <w:fldChar w:fldCharType="separate"/>
          </w:r>
          <w:r w:rsidR="0023126F">
            <w:t>43</w:t>
          </w:r>
          <w:r>
            <w:fldChar w:fldCharType="end"/>
          </w:r>
        </w:p>
        <w:p w14:paraId="3115CEDD" w14:textId="0E9E38A5" w:rsidR="0025026D" w:rsidRDefault="0025026D">
          <w:pPr>
            <w:pStyle w:val="TOC3"/>
            <w:rPr>
              <w:rFonts w:eastAsiaTheme="minorEastAsia"/>
              <w:lang w:eastAsia="en-GB"/>
            </w:rPr>
          </w:pPr>
          <w:r>
            <w:t>What types of results is Australian aid achieving within economic partnerships?</w:t>
          </w:r>
          <w:r>
            <w:tab/>
          </w:r>
          <w:r>
            <w:fldChar w:fldCharType="begin"/>
          </w:r>
          <w:r>
            <w:instrText xml:space="preserve"> PAGEREF _Toc527713006 \h </w:instrText>
          </w:r>
          <w:r>
            <w:fldChar w:fldCharType="separate"/>
          </w:r>
          <w:r w:rsidR="0023126F">
            <w:t>43</w:t>
          </w:r>
          <w:r>
            <w:fldChar w:fldCharType="end"/>
          </w:r>
        </w:p>
        <w:p w14:paraId="2CADC908" w14:textId="193B971D" w:rsidR="0025026D" w:rsidRDefault="0025026D">
          <w:pPr>
            <w:pStyle w:val="TOC3"/>
            <w:rPr>
              <w:rFonts w:eastAsiaTheme="minorEastAsia"/>
              <w:lang w:eastAsia="en-GB"/>
            </w:rPr>
          </w:pPr>
          <w:r>
            <w:t>Key messages</w:t>
          </w:r>
          <w:r>
            <w:tab/>
          </w:r>
          <w:r>
            <w:fldChar w:fldCharType="begin"/>
          </w:r>
          <w:r>
            <w:instrText xml:space="preserve"> PAGEREF _Toc527713007 \h </w:instrText>
          </w:r>
          <w:r>
            <w:fldChar w:fldCharType="separate"/>
          </w:r>
          <w:r w:rsidR="0023126F">
            <w:t>46</w:t>
          </w:r>
          <w:r>
            <w:fldChar w:fldCharType="end"/>
          </w:r>
        </w:p>
        <w:p w14:paraId="2205FC18" w14:textId="6F622EB9" w:rsidR="0025026D" w:rsidRDefault="0025026D">
          <w:pPr>
            <w:pStyle w:val="TOC3"/>
            <w:rPr>
              <w:rFonts w:eastAsiaTheme="minorEastAsia"/>
              <w:lang w:eastAsia="en-GB"/>
            </w:rPr>
          </w:pPr>
          <w:r>
            <w:lastRenderedPageBreak/>
            <w:t>What approaches have proved effective?</w:t>
          </w:r>
          <w:r>
            <w:tab/>
          </w:r>
          <w:r>
            <w:fldChar w:fldCharType="begin"/>
          </w:r>
          <w:r>
            <w:instrText xml:space="preserve"> PAGEREF _Toc527713008 \h </w:instrText>
          </w:r>
          <w:r>
            <w:fldChar w:fldCharType="separate"/>
          </w:r>
          <w:r w:rsidR="0023126F">
            <w:t>46</w:t>
          </w:r>
          <w:r>
            <w:fldChar w:fldCharType="end"/>
          </w:r>
        </w:p>
        <w:p w14:paraId="5AA4E36F" w14:textId="4727985B" w:rsidR="0025026D" w:rsidRDefault="0025026D">
          <w:pPr>
            <w:pStyle w:val="TOC3"/>
            <w:rPr>
              <w:rFonts w:eastAsiaTheme="minorEastAsia"/>
              <w:lang w:eastAsia="en-GB"/>
            </w:rPr>
          </w:pPr>
          <w:r>
            <w:t>Key messages</w:t>
          </w:r>
          <w:r>
            <w:tab/>
          </w:r>
          <w:r>
            <w:fldChar w:fldCharType="begin"/>
          </w:r>
          <w:r>
            <w:instrText xml:space="preserve"> PAGEREF _Toc527713009 \h </w:instrText>
          </w:r>
          <w:r>
            <w:fldChar w:fldCharType="separate"/>
          </w:r>
          <w:r w:rsidR="0023126F">
            <w:t>53</w:t>
          </w:r>
          <w:r>
            <w:fldChar w:fldCharType="end"/>
          </w:r>
        </w:p>
        <w:p w14:paraId="02B5F471" w14:textId="63FA87EC" w:rsidR="0025026D" w:rsidRDefault="0025026D">
          <w:pPr>
            <w:pStyle w:val="TOC3"/>
            <w:rPr>
              <w:rFonts w:eastAsiaTheme="minorEastAsia"/>
              <w:lang w:eastAsia="en-GB"/>
            </w:rPr>
          </w:pPr>
          <w:r>
            <w:t>How well do DFAT’s systems and capacities facilitate the effective use of aid to strengthen economic partnerships?</w:t>
          </w:r>
          <w:r>
            <w:tab/>
          </w:r>
          <w:r>
            <w:fldChar w:fldCharType="begin"/>
          </w:r>
          <w:r>
            <w:instrText xml:space="preserve"> PAGEREF _Toc527713010 \h </w:instrText>
          </w:r>
          <w:r>
            <w:fldChar w:fldCharType="separate"/>
          </w:r>
          <w:r w:rsidR="0023126F">
            <w:t>54</w:t>
          </w:r>
          <w:r>
            <w:fldChar w:fldCharType="end"/>
          </w:r>
        </w:p>
        <w:p w14:paraId="196F41BC" w14:textId="558B4C68" w:rsidR="0025026D" w:rsidRDefault="0025026D">
          <w:pPr>
            <w:pStyle w:val="TOC3"/>
            <w:rPr>
              <w:rFonts w:eastAsiaTheme="minorEastAsia"/>
              <w:lang w:eastAsia="en-GB"/>
            </w:rPr>
          </w:pPr>
          <w:r>
            <w:t>Key messages</w:t>
          </w:r>
          <w:r>
            <w:tab/>
          </w:r>
          <w:r>
            <w:fldChar w:fldCharType="begin"/>
          </w:r>
          <w:r>
            <w:instrText xml:space="preserve"> PAGEREF _Toc527713011 \h </w:instrText>
          </w:r>
          <w:r>
            <w:fldChar w:fldCharType="separate"/>
          </w:r>
          <w:r w:rsidR="0023126F">
            <w:t>57</w:t>
          </w:r>
          <w:r>
            <w:fldChar w:fldCharType="end"/>
          </w:r>
        </w:p>
        <w:p w14:paraId="5C3982FE" w14:textId="61AD0D19" w:rsidR="0025026D" w:rsidRDefault="0025026D">
          <w:pPr>
            <w:pStyle w:val="TOC1"/>
            <w:rPr>
              <w:rFonts w:asciiTheme="minorHAnsi" w:eastAsiaTheme="minorEastAsia" w:hAnsiTheme="minorHAnsi"/>
              <w:b w:val="0"/>
              <w:caps w:val="0"/>
              <w:color w:val="auto"/>
              <w:spacing w:val="0"/>
              <w:u w:val="none"/>
              <w:lang w:eastAsia="en-GB"/>
            </w:rPr>
          </w:pPr>
          <w:r>
            <w:t>Recommendations</w:t>
          </w:r>
          <w:r>
            <w:tab/>
          </w:r>
          <w:r>
            <w:fldChar w:fldCharType="begin"/>
          </w:r>
          <w:r>
            <w:instrText xml:space="preserve"> PAGEREF _Toc527713012 \h </w:instrText>
          </w:r>
          <w:r>
            <w:fldChar w:fldCharType="separate"/>
          </w:r>
          <w:r w:rsidR="0023126F">
            <w:t>58</w:t>
          </w:r>
          <w:r>
            <w:fldChar w:fldCharType="end"/>
          </w:r>
        </w:p>
        <w:p w14:paraId="256335DF" w14:textId="0E50B020" w:rsidR="0025026D" w:rsidRDefault="0025026D">
          <w:pPr>
            <w:pStyle w:val="TOC1"/>
            <w:rPr>
              <w:rFonts w:asciiTheme="minorHAnsi" w:eastAsiaTheme="minorEastAsia" w:hAnsiTheme="minorHAnsi"/>
              <w:b w:val="0"/>
              <w:caps w:val="0"/>
              <w:color w:val="auto"/>
              <w:spacing w:val="0"/>
              <w:u w:val="none"/>
              <w:lang w:eastAsia="en-GB"/>
            </w:rPr>
          </w:pPr>
          <w:r>
            <w:t>ANNEXES</w:t>
          </w:r>
          <w:r>
            <w:tab/>
          </w:r>
          <w:r>
            <w:fldChar w:fldCharType="begin"/>
          </w:r>
          <w:r>
            <w:instrText xml:space="preserve"> PAGEREF _Toc527713013 \h </w:instrText>
          </w:r>
          <w:r>
            <w:fldChar w:fldCharType="separate"/>
          </w:r>
          <w:r w:rsidR="0023126F">
            <w:t>60</w:t>
          </w:r>
          <w:r>
            <w:fldChar w:fldCharType="end"/>
          </w:r>
        </w:p>
        <w:p w14:paraId="6A167F8E" w14:textId="2750F879" w:rsidR="0025026D" w:rsidRDefault="0025026D">
          <w:pPr>
            <w:pStyle w:val="TOC2"/>
            <w:rPr>
              <w:rFonts w:asciiTheme="minorHAnsi" w:eastAsiaTheme="minorEastAsia" w:hAnsiTheme="minorHAnsi" w:cstheme="minorBidi"/>
              <w:b w:val="0"/>
              <w:noProof/>
              <w:color w:val="auto"/>
              <w:u w:val="none"/>
              <w:lang w:eastAsia="en-GB"/>
            </w:rPr>
          </w:pPr>
          <w:r>
            <w:rPr>
              <w:noProof/>
            </w:rPr>
            <w:t>Annex A: Program sample</w:t>
          </w:r>
          <w:r>
            <w:rPr>
              <w:noProof/>
            </w:rPr>
            <w:tab/>
          </w:r>
          <w:r>
            <w:rPr>
              <w:noProof/>
            </w:rPr>
            <w:fldChar w:fldCharType="begin"/>
          </w:r>
          <w:r>
            <w:rPr>
              <w:noProof/>
            </w:rPr>
            <w:instrText xml:space="preserve"> PAGEREF _Toc527713014 \h </w:instrText>
          </w:r>
          <w:r>
            <w:rPr>
              <w:noProof/>
            </w:rPr>
          </w:r>
          <w:r>
            <w:rPr>
              <w:noProof/>
            </w:rPr>
            <w:fldChar w:fldCharType="separate"/>
          </w:r>
          <w:r w:rsidR="0023126F">
            <w:rPr>
              <w:noProof/>
            </w:rPr>
            <w:t>60</w:t>
          </w:r>
          <w:r>
            <w:rPr>
              <w:noProof/>
            </w:rPr>
            <w:fldChar w:fldCharType="end"/>
          </w:r>
        </w:p>
        <w:p w14:paraId="7C2858BA" w14:textId="3BD7F09A" w:rsidR="0025026D" w:rsidRDefault="0025026D">
          <w:pPr>
            <w:pStyle w:val="TOC2"/>
            <w:rPr>
              <w:rFonts w:asciiTheme="minorHAnsi" w:eastAsiaTheme="minorEastAsia" w:hAnsiTheme="minorHAnsi" w:cstheme="minorBidi"/>
              <w:b w:val="0"/>
              <w:noProof/>
              <w:color w:val="auto"/>
              <w:u w:val="none"/>
              <w:lang w:eastAsia="en-GB"/>
            </w:rPr>
          </w:pPr>
          <w:r>
            <w:rPr>
              <w:noProof/>
            </w:rPr>
            <w:t>Annex B: References</w:t>
          </w:r>
          <w:r>
            <w:rPr>
              <w:noProof/>
            </w:rPr>
            <w:tab/>
          </w:r>
          <w:r>
            <w:rPr>
              <w:noProof/>
            </w:rPr>
            <w:fldChar w:fldCharType="begin"/>
          </w:r>
          <w:r>
            <w:rPr>
              <w:noProof/>
            </w:rPr>
            <w:instrText xml:space="preserve"> PAGEREF _Toc527713015 \h </w:instrText>
          </w:r>
          <w:r>
            <w:rPr>
              <w:noProof/>
            </w:rPr>
          </w:r>
          <w:r>
            <w:rPr>
              <w:noProof/>
            </w:rPr>
            <w:fldChar w:fldCharType="separate"/>
          </w:r>
          <w:r w:rsidR="0023126F">
            <w:rPr>
              <w:noProof/>
            </w:rPr>
            <w:t>63</w:t>
          </w:r>
          <w:r>
            <w:rPr>
              <w:noProof/>
            </w:rPr>
            <w:fldChar w:fldCharType="end"/>
          </w:r>
        </w:p>
        <w:p w14:paraId="57FC2359" w14:textId="7E74D98E" w:rsidR="00DC4948" w:rsidRDefault="00DC4948" w:rsidP="00DC4948">
          <w:pPr>
            <w:pStyle w:val="TOC3"/>
            <w:tabs>
              <w:tab w:val="left" w:pos="1100"/>
            </w:tabs>
            <w:rPr>
              <w:rFonts w:eastAsiaTheme="minorEastAsia"/>
              <w:lang w:eastAsia="en-AU"/>
            </w:rPr>
          </w:pPr>
          <w:r>
            <w:rPr>
              <w:rFonts w:asciiTheme="majorHAnsi" w:eastAsiaTheme="minorEastAsia" w:hAnsiTheme="majorHAnsi" w:cs="Times New Roman"/>
              <w:color w:val="007C89" w:themeColor="accent1"/>
              <w:spacing w:val="20"/>
              <w:u w:val="single" w:color="007C89" w:themeColor="accent1"/>
              <w:lang w:val="en-US"/>
            </w:rPr>
            <w:fldChar w:fldCharType="end"/>
          </w:r>
          <w:r>
            <w:rPr>
              <w:rFonts w:eastAsiaTheme="minorEastAsia"/>
              <w:lang w:eastAsia="en-AU"/>
            </w:rPr>
            <w:t xml:space="preserve"> </w:t>
          </w:r>
        </w:p>
        <w:p w14:paraId="5F100D08" w14:textId="4D2D2130" w:rsidR="002F06DF" w:rsidRDefault="005850F4" w:rsidP="0056331A">
          <w:pPr>
            <w:tabs>
              <w:tab w:val="right" w:pos="10490"/>
            </w:tabs>
            <w:rPr>
              <w:bCs/>
              <w:noProof/>
            </w:rPr>
          </w:pPr>
        </w:p>
      </w:sdtContent>
    </w:sdt>
    <w:p w14:paraId="2E5A27CD" w14:textId="1D615DE3" w:rsidR="00C34B7A" w:rsidRDefault="00C34B7A" w:rsidP="00C34B7A">
      <w:pPr>
        <w:ind w:left="360"/>
        <w:rPr>
          <w:color w:val="1F497D"/>
        </w:rPr>
      </w:pPr>
    </w:p>
    <w:p w14:paraId="3B5B9685" w14:textId="67022C42" w:rsidR="00BB3308" w:rsidRDefault="00BB3308" w:rsidP="00C34B7A">
      <w:pPr>
        <w:ind w:left="360"/>
        <w:rPr>
          <w:color w:val="1F497D"/>
        </w:rPr>
      </w:pPr>
    </w:p>
    <w:p w14:paraId="5968DD8E" w14:textId="77777777" w:rsidR="00BB3308" w:rsidRDefault="00BB3308" w:rsidP="00C34B7A">
      <w:pPr>
        <w:ind w:left="360"/>
        <w:rPr>
          <w:color w:val="1F497D"/>
        </w:rPr>
      </w:pPr>
    </w:p>
    <w:p w14:paraId="05D0E48B" w14:textId="33E69767" w:rsidR="007530F9" w:rsidRDefault="007530F9" w:rsidP="00320768">
      <w:pPr>
        <w:rPr>
          <w:b/>
        </w:rPr>
      </w:pPr>
    </w:p>
    <w:p w14:paraId="6587AEC4" w14:textId="77777777" w:rsidR="0023126F" w:rsidRPr="0023126F" w:rsidRDefault="0023126F" w:rsidP="0023126F">
      <w:pPr>
        <w:pStyle w:val="Pa14"/>
        <w:spacing w:before="340" w:after="40"/>
        <w:rPr>
          <w:rFonts w:asciiTheme="majorHAnsi" w:hAnsiTheme="majorHAnsi"/>
          <w:b/>
          <w:caps/>
          <w:noProof/>
          <w:color w:val="007C89" w:themeColor="accent1"/>
          <w:spacing w:val="20"/>
          <w:sz w:val="22"/>
          <w:szCs w:val="22"/>
          <w:u w:val="single" w:color="007C89" w:themeColor="accent1"/>
        </w:rPr>
      </w:pPr>
      <w:r w:rsidRPr="0023126F">
        <w:rPr>
          <w:rFonts w:asciiTheme="majorHAnsi" w:hAnsiTheme="majorHAnsi"/>
          <w:b/>
          <w:caps/>
          <w:noProof/>
          <w:color w:val="007C89" w:themeColor="accent1"/>
          <w:spacing w:val="20"/>
          <w:sz w:val="22"/>
          <w:szCs w:val="22"/>
          <w:u w:val="single" w:color="007C89" w:themeColor="accent1"/>
        </w:rPr>
        <w:t xml:space="preserve">LIST OF TABLES AND FIGURES </w:t>
      </w:r>
    </w:p>
    <w:p w14:paraId="214894E2" w14:textId="727152BF" w:rsidR="0023126F" w:rsidRPr="0023126F" w:rsidRDefault="0023126F" w:rsidP="0030010F">
      <w:pPr>
        <w:pStyle w:val="Pa15"/>
        <w:spacing w:after="100" w:line="259" w:lineRule="auto"/>
        <w:rPr>
          <w:rFonts w:asciiTheme="minorHAnsi" w:hAnsiTheme="minorHAnsi"/>
          <w:noProof/>
          <w:sz w:val="22"/>
          <w:szCs w:val="22"/>
        </w:rPr>
      </w:pPr>
      <w:r w:rsidRPr="0023126F">
        <w:rPr>
          <w:rFonts w:asciiTheme="minorHAnsi" w:hAnsiTheme="minorHAnsi"/>
          <w:noProof/>
          <w:sz w:val="22"/>
          <w:szCs w:val="22"/>
        </w:rPr>
        <w:t>Table 1: Key stakeholders i</w:t>
      </w:r>
      <w:r>
        <w:rPr>
          <w:rFonts w:asciiTheme="minorHAnsi" w:hAnsiTheme="minorHAnsi"/>
          <w:noProof/>
          <w:sz w:val="22"/>
          <w:szCs w:val="22"/>
        </w:rPr>
        <w:t xml:space="preserve">nterviewed for this evaluation </w:t>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00BB3308">
        <w:rPr>
          <w:rFonts w:asciiTheme="minorHAnsi" w:hAnsiTheme="minorHAnsi"/>
          <w:noProof/>
          <w:sz w:val="22"/>
          <w:szCs w:val="22"/>
        </w:rPr>
        <w:tab/>
      </w:r>
      <w:r>
        <w:rPr>
          <w:rFonts w:asciiTheme="minorHAnsi" w:hAnsiTheme="minorHAnsi"/>
          <w:noProof/>
          <w:sz w:val="22"/>
          <w:szCs w:val="22"/>
        </w:rPr>
        <w:t>18</w:t>
      </w:r>
    </w:p>
    <w:p w14:paraId="7884695B" w14:textId="275B7E0C" w:rsidR="0023126F" w:rsidRPr="0023126F" w:rsidRDefault="0023126F" w:rsidP="0030010F">
      <w:pPr>
        <w:pStyle w:val="Pa15"/>
        <w:spacing w:after="100" w:line="259" w:lineRule="auto"/>
        <w:rPr>
          <w:rFonts w:asciiTheme="minorHAnsi" w:hAnsiTheme="minorHAnsi"/>
          <w:noProof/>
          <w:sz w:val="22"/>
          <w:szCs w:val="22"/>
        </w:rPr>
      </w:pPr>
      <w:r>
        <w:rPr>
          <w:rFonts w:asciiTheme="minorHAnsi" w:hAnsiTheme="minorHAnsi"/>
          <w:noProof/>
          <w:sz w:val="22"/>
          <w:szCs w:val="22"/>
        </w:rPr>
        <w:t>T</w:t>
      </w:r>
      <w:r w:rsidRPr="0023126F">
        <w:rPr>
          <w:rFonts w:asciiTheme="minorHAnsi" w:hAnsiTheme="minorHAnsi"/>
          <w:noProof/>
          <w:sz w:val="22"/>
          <w:szCs w:val="22"/>
        </w:rPr>
        <w:t xml:space="preserve">able 2: Australian support for World Bank trust funds in Indonesia </w:t>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00BB3308">
        <w:rPr>
          <w:rFonts w:asciiTheme="minorHAnsi" w:hAnsiTheme="minorHAnsi"/>
          <w:noProof/>
          <w:sz w:val="22"/>
          <w:szCs w:val="22"/>
        </w:rPr>
        <w:tab/>
      </w:r>
      <w:r>
        <w:rPr>
          <w:rFonts w:asciiTheme="minorHAnsi" w:hAnsiTheme="minorHAnsi"/>
          <w:noProof/>
          <w:sz w:val="22"/>
          <w:szCs w:val="22"/>
        </w:rPr>
        <w:t>32</w:t>
      </w:r>
    </w:p>
    <w:p w14:paraId="0ACABE4D" w14:textId="6AD453B3" w:rsidR="0023126F" w:rsidRPr="0023126F" w:rsidRDefault="0023126F" w:rsidP="0030010F">
      <w:pPr>
        <w:pStyle w:val="Default"/>
        <w:spacing w:after="160" w:line="259" w:lineRule="auto"/>
        <w:rPr>
          <w:rFonts w:asciiTheme="minorHAnsi" w:hAnsiTheme="minorHAnsi" w:cstheme="minorBidi"/>
          <w:noProof/>
          <w:color w:val="auto"/>
          <w:sz w:val="22"/>
          <w:szCs w:val="22"/>
        </w:rPr>
      </w:pPr>
      <w:r w:rsidRPr="0023126F">
        <w:rPr>
          <w:rFonts w:asciiTheme="minorHAnsi" w:hAnsiTheme="minorHAnsi" w:cstheme="minorBidi"/>
          <w:noProof/>
          <w:color w:val="auto"/>
          <w:sz w:val="22"/>
          <w:szCs w:val="22"/>
        </w:rPr>
        <w:t xml:space="preserve">Table 3: Significant policy changes reported in Indonesia, 2016–17 </w:t>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Pr>
          <w:rFonts w:asciiTheme="minorHAnsi" w:hAnsiTheme="minorHAnsi" w:cstheme="minorBidi"/>
          <w:noProof/>
          <w:color w:val="auto"/>
          <w:sz w:val="22"/>
          <w:szCs w:val="22"/>
        </w:rPr>
        <w:tab/>
      </w:r>
      <w:r w:rsidR="00BB3308">
        <w:rPr>
          <w:rFonts w:asciiTheme="minorHAnsi" w:hAnsiTheme="minorHAnsi" w:cstheme="minorBidi"/>
          <w:noProof/>
          <w:color w:val="auto"/>
          <w:sz w:val="22"/>
          <w:szCs w:val="22"/>
        </w:rPr>
        <w:tab/>
      </w:r>
      <w:r>
        <w:rPr>
          <w:rFonts w:asciiTheme="minorHAnsi" w:hAnsiTheme="minorHAnsi" w:cstheme="minorBidi"/>
          <w:noProof/>
          <w:color w:val="auto"/>
          <w:sz w:val="22"/>
          <w:szCs w:val="22"/>
        </w:rPr>
        <w:t>45</w:t>
      </w:r>
    </w:p>
    <w:p w14:paraId="1EF3355D" w14:textId="75E5B8FA" w:rsidR="0023126F" w:rsidRPr="0023126F" w:rsidRDefault="0023126F" w:rsidP="0030010F">
      <w:pPr>
        <w:pStyle w:val="Pa15"/>
        <w:spacing w:after="100" w:line="259" w:lineRule="auto"/>
        <w:rPr>
          <w:rFonts w:asciiTheme="minorHAnsi" w:hAnsiTheme="minorHAnsi"/>
          <w:noProof/>
          <w:sz w:val="22"/>
          <w:szCs w:val="22"/>
        </w:rPr>
      </w:pPr>
      <w:r w:rsidRPr="0023126F">
        <w:rPr>
          <w:rFonts w:asciiTheme="minorHAnsi" w:hAnsiTheme="minorHAnsi"/>
          <w:noProof/>
          <w:sz w:val="22"/>
          <w:szCs w:val="22"/>
        </w:rPr>
        <w:t>Figure 1: The S-curve</w:t>
      </w:r>
      <w:r>
        <w:rPr>
          <w:rFonts w:asciiTheme="minorHAnsi" w:hAnsiTheme="minorHAnsi"/>
          <w:noProof/>
          <w:sz w:val="22"/>
          <w:szCs w:val="22"/>
        </w:rPr>
        <w:t xml:space="preserve"> of institutional development</w:t>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00BB3308">
        <w:rPr>
          <w:rFonts w:asciiTheme="minorHAnsi" w:hAnsiTheme="minorHAnsi"/>
          <w:noProof/>
          <w:sz w:val="22"/>
          <w:szCs w:val="22"/>
        </w:rPr>
        <w:tab/>
      </w:r>
      <w:r>
        <w:rPr>
          <w:rFonts w:asciiTheme="minorHAnsi" w:hAnsiTheme="minorHAnsi"/>
          <w:noProof/>
          <w:sz w:val="22"/>
          <w:szCs w:val="22"/>
        </w:rPr>
        <w:t>25</w:t>
      </w:r>
    </w:p>
    <w:p w14:paraId="48605E8E" w14:textId="6B45427A" w:rsidR="0023126F" w:rsidRPr="0023126F" w:rsidRDefault="0023126F" w:rsidP="0030010F">
      <w:pPr>
        <w:spacing w:after="100"/>
        <w:rPr>
          <w:noProof/>
        </w:rPr>
      </w:pPr>
      <w:r w:rsidRPr="0023126F">
        <w:rPr>
          <w:noProof/>
        </w:rPr>
        <w:t>Figure 2: The ‘missing middle’ of development finance</w:t>
      </w:r>
      <w:r>
        <w:rPr>
          <w:noProof/>
        </w:rPr>
        <w:tab/>
      </w:r>
      <w:r>
        <w:rPr>
          <w:noProof/>
        </w:rPr>
        <w:tab/>
      </w:r>
      <w:r>
        <w:rPr>
          <w:noProof/>
        </w:rPr>
        <w:tab/>
      </w:r>
      <w:r>
        <w:rPr>
          <w:noProof/>
        </w:rPr>
        <w:tab/>
      </w:r>
      <w:r>
        <w:rPr>
          <w:noProof/>
        </w:rPr>
        <w:tab/>
      </w:r>
      <w:r>
        <w:rPr>
          <w:noProof/>
        </w:rPr>
        <w:tab/>
      </w:r>
      <w:r>
        <w:rPr>
          <w:noProof/>
        </w:rPr>
        <w:tab/>
      </w:r>
      <w:r>
        <w:rPr>
          <w:noProof/>
        </w:rPr>
        <w:tab/>
      </w:r>
      <w:r w:rsidR="00BB3308">
        <w:rPr>
          <w:noProof/>
        </w:rPr>
        <w:tab/>
      </w:r>
      <w:r>
        <w:rPr>
          <w:noProof/>
        </w:rPr>
        <w:tab/>
        <w:t>26</w:t>
      </w:r>
    </w:p>
    <w:p w14:paraId="6CC302BE" w14:textId="13FFCD68" w:rsidR="0023126F" w:rsidRDefault="0023126F" w:rsidP="00320768">
      <w:pPr>
        <w:rPr>
          <w:b/>
        </w:rPr>
      </w:pPr>
    </w:p>
    <w:p w14:paraId="5777D7B0" w14:textId="55EC9EFD" w:rsidR="0023126F" w:rsidRDefault="0023126F" w:rsidP="00320768">
      <w:pPr>
        <w:rPr>
          <w:b/>
        </w:rPr>
      </w:pPr>
    </w:p>
    <w:p w14:paraId="719C2361" w14:textId="170AB500" w:rsidR="00BB3308" w:rsidRDefault="00BB3308" w:rsidP="00320768">
      <w:pPr>
        <w:rPr>
          <w:b/>
        </w:rPr>
      </w:pPr>
    </w:p>
    <w:p w14:paraId="10CE8291" w14:textId="77777777" w:rsidR="00BB3308" w:rsidRPr="001B3B93" w:rsidRDefault="00BB3308" w:rsidP="00320768">
      <w:pPr>
        <w:rPr>
          <w:b/>
        </w:rPr>
        <w:sectPr w:rsidR="00BB3308" w:rsidRPr="001B3B93" w:rsidSect="00F21EFA">
          <w:pgSz w:w="11900" w:h="16840"/>
          <w:pgMar w:top="851" w:right="851" w:bottom="1418" w:left="851" w:header="505" w:footer="505" w:gutter="0"/>
          <w:pgNumType w:fmt="lowerRoman"/>
          <w:cols w:space="720"/>
          <w:titlePg/>
          <w:docGrid w:linePitch="360"/>
        </w:sectPr>
      </w:pPr>
    </w:p>
    <w:p w14:paraId="39DC6CE8" w14:textId="77777777" w:rsidR="00320768" w:rsidRPr="001B3B93" w:rsidRDefault="00320768" w:rsidP="00320768">
      <w:pPr>
        <w:rPr>
          <w:rFonts w:asciiTheme="majorHAnsi" w:eastAsiaTheme="majorEastAsia" w:hAnsiTheme="majorHAnsi" w:cstheme="majorBidi"/>
          <w:b/>
          <w:color w:val="005C66" w:themeColor="accent1" w:themeShade="BF"/>
          <w:sz w:val="32"/>
          <w:szCs w:val="32"/>
        </w:rPr>
      </w:pPr>
    </w:p>
    <w:p w14:paraId="584AD3E6" w14:textId="77777777" w:rsidR="00517753" w:rsidRPr="001B3B93" w:rsidRDefault="00517753" w:rsidP="00F241A7">
      <w:pPr>
        <w:pStyle w:val="ChapterHead"/>
        <w:framePr w:wrap="around"/>
      </w:pPr>
      <w:bookmarkStart w:id="8" w:name="_Toc497132940"/>
      <w:bookmarkStart w:id="9" w:name="_Toc497738318"/>
      <w:bookmarkStart w:id="10" w:name="_Toc508034102"/>
      <w:bookmarkStart w:id="11" w:name="_Toc527712985"/>
      <w:bookmarkStart w:id="12" w:name="_Hlk496654346"/>
      <w:r w:rsidRPr="001B3B93">
        <w:t>Executive Summary</w:t>
      </w:r>
      <w:bookmarkEnd w:id="8"/>
      <w:bookmarkEnd w:id="9"/>
      <w:bookmarkEnd w:id="10"/>
      <w:bookmarkEnd w:id="11"/>
    </w:p>
    <w:p w14:paraId="729447A1" w14:textId="33BD68C6" w:rsidR="00707ECE" w:rsidRDefault="00707ECE" w:rsidP="0020163A">
      <w:bookmarkStart w:id="13" w:name="_Hlk495849445"/>
      <w:bookmarkEnd w:id="12"/>
      <w:r>
        <w:t xml:space="preserve">As </w:t>
      </w:r>
      <w:bookmarkStart w:id="14" w:name="_Hlk520956163"/>
      <w:r>
        <w:t>middle-income countries (MICs)</w:t>
      </w:r>
      <w:bookmarkEnd w:id="14"/>
      <w:r>
        <w:t xml:space="preserve"> </w:t>
      </w:r>
      <w:r w:rsidR="00062229">
        <w:t>progress</w:t>
      </w:r>
      <w:r>
        <w:t xml:space="preserve"> towards more advanced economies, their need for external assistance changes. </w:t>
      </w:r>
      <w:r w:rsidR="00B715C9" w:rsidRPr="001C7483">
        <w:t>T</w:t>
      </w:r>
      <w:r w:rsidR="006F4F38" w:rsidRPr="00B715C9">
        <w:t xml:space="preserve">o sustain growth and manage rising inequality, </w:t>
      </w:r>
      <w:r w:rsidR="00B715C9" w:rsidRPr="00B715C9">
        <w:t>MICs face complex policy c</w:t>
      </w:r>
      <w:r w:rsidR="00B715C9">
        <w:t>hallenges which call</w:t>
      </w:r>
      <w:r w:rsidR="00E87151">
        <w:t xml:space="preserve"> for </w:t>
      </w:r>
      <w:r w:rsidR="006F4F38">
        <w:t>new institutions and capacities. They have access to more development finance but are not necessarily equipped to use it to best effect</w:t>
      </w:r>
      <w:r w:rsidR="00E666BE">
        <w:t>.</w:t>
      </w:r>
    </w:p>
    <w:p w14:paraId="5E685FC5" w14:textId="780760FD" w:rsidR="006F4F38" w:rsidRDefault="006F4F38" w:rsidP="0020163A">
      <w:r>
        <w:t xml:space="preserve">Australia uses the term ‘economic partnership’ to refer to a </w:t>
      </w:r>
      <w:r w:rsidR="00E87151">
        <w:t xml:space="preserve">maturing </w:t>
      </w:r>
      <w:r>
        <w:t xml:space="preserve">of its relationship with </w:t>
      </w:r>
      <w:r w:rsidR="00E87151">
        <w:t>MICs. Though it has not been precisely defined, the term acknowledges a shared interest in deepe</w:t>
      </w:r>
      <w:r w:rsidR="00B53073">
        <w:t>r</w:t>
      </w:r>
      <w:r w:rsidR="00E87151">
        <w:t xml:space="preserve"> bilateral economi</w:t>
      </w:r>
      <w:r w:rsidR="000C0828">
        <w:t>c</w:t>
      </w:r>
      <w:r w:rsidR="00E87151">
        <w:t xml:space="preserve"> ties and mutual prosperity. For </w:t>
      </w:r>
      <w:r w:rsidR="00487DF0">
        <w:t>the Department of Foreign Affairs and Trade (</w:t>
      </w:r>
      <w:r w:rsidR="00E87151">
        <w:t>DFAT</w:t>
      </w:r>
      <w:r w:rsidR="00487DF0">
        <w:t>)</w:t>
      </w:r>
      <w:r w:rsidR="00E87151">
        <w:t xml:space="preserve">, economic partnership is a </w:t>
      </w:r>
      <w:r w:rsidR="00B53073">
        <w:t xml:space="preserve">framing </w:t>
      </w:r>
      <w:r w:rsidR="00E87151">
        <w:t>concept that draws together its diplomatic, aid and trade work.</w:t>
      </w:r>
    </w:p>
    <w:p w14:paraId="7D2BD0DD" w14:textId="57D644DB" w:rsidR="00E87151" w:rsidRDefault="00E87151" w:rsidP="0020163A">
      <w:r>
        <w:t xml:space="preserve">This evaluation </w:t>
      </w:r>
      <w:r w:rsidR="008D4369">
        <w:t xml:space="preserve">assesses </w:t>
      </w:r>
      <w:r>
        <w:t>how Australian aid is evolving to support economic partnership</w:t>
      </w:r>
      <w:r w:rsidR="00B53073">
        <w:t>s</w:t>
      </w:r>
      <w:r w:rsidR="00EB21DA">
        <w:t xml:space="preserve"> with Asian MICs</w:t>
      </w:r>
      <w:r>
        <w:t xml:space="preserve">. </w:t>
      </w:r>
      <w:r w:rsidR="00B53073">
        <w:t>Looking at two case study countries</w:t>
      </w:r>
      <w:r w:rsidR="00EF07E5">
        <w:t>—</w:t>
      </w:r>
      <w:r w:rsidR="00B53073">
        <w:t>Indonesia and Vietnam</w:t>
      </w:r>
      <w:r w:rsidR="00EF07E5">
        <w:t>—</w:t>
      </w:r>
      <w:r w:rsidR="00B53073">
        <w:t xml:space="preserve">and </w:t>
      </w:r>
      <w:r w:rsidR="00EE7A51">
        <w:t xml:space="preserve">through the </w:t>
      </w:r>
      <w:bookmarkStart w:id="15" w:name="_Hlk520956403"/>
      <w:r w:rsidR="00B53073">
        <w:t>South</w:t>
      </w:r>
      <w:r w:rsidR="00EE7A51">
        <w:t>east</w:t>
      </w:r>
      <w:r w:rsidR="00B53073">
        <w:t xml:space="preserve"> Asia </w:t>
      </w:r>
      <w:bookmarkEnd w:id="15"/>
      <w:r w:rsidR="00B53073">
        <w:t xml:space="preserve">regional programs, it </w:t>
      </w:r>
      <w:r w:rsidR="008D4369">
        <w:t xml:space="preserve">explores </w:t>
      </w:r>
      <w:r w:rsidR="00B53073">
        <w:t xml:space="preserve">the transition away from the traditional </w:t>
      </w:r>
      <w:bookmarkStart w:id="16" w:name="_Hlk520956511"/>
      <w:r w:rsidR="00B53073">
        <w:t>donor-recipient relationship</w:t>
      </w:r>
      <w:bookmarkEnd w:id="16"/>
      <w:r w:rsidR="00B53073">
        <w:t xml:space="preserve"> towards </w:t>
      </w:r>
      <w:bookmarkStart w:id="17" w:name="_Hlk520956521"/>
      <w:r w:rsidR="00B53073">
        <w:t>knowledge-based assistance,</w:t>
      </w:r>
      <w:bookmarkEnd w:id="17"/>
      <w:r w:rsidR="00B53073">
        <w:t xml:space="preserve"> designed to support reform and help partner countries make better use of their own resources. While these trends are most advanced in Asian MICs, they are also present or emerging in other contexts </w:t>
      </w:r>
      <w:r w:rsidR="00EF07E5">
        <w:t xml:space="preserve">in which </w:t>
      </w:r>
      <w:r w:rsidR="00B53073">
        <w:t>Australia provides aid.</w:t>
      </w:r>
    </w:p>
    <w:p w14:paraId="5E33C264" w14:textId="7BEE5227" w:rsidR="00517009" w:rsidRDefault="00B53073" w:rsidP="007100CC">
      <w:r w:rsidRPr="006E0849">
        <w:t xml:space="preserve">The evaluation </w:t>
      </w:r>
      <w:r w:rsidR="000C0828">
        <w:t xml:space="preserve">also </w:t>
      </w:r>
      <w:r w:rsidR="008D4369" w:rsidRPr="006E0849">
        <w:t>assesses</w:t>
      </w:r>
      <w:r w:rsidRPr="006E0849">
        <w:t xml:space="preserve"> </w:t>
      </w:r>
      <w:r w:rsidR="00057310" w:rsidRPr="001B3B93">
        <w:t>what types of results are being achieved</w:t>
      </w:r>
      <w:r w:rsidR="00C3422A" w:rsidRPr="001B3B93">
        <w:t xml:space="preserve"> and </w:t>
      </w:r>
      <w:r w:rsidR="00967449">
        <w:t>what approaches are proving</w:t>
      </w:r>
      <w:r w:rsidR="00B715C9">
        <w:t xml:space="preserve"> to be</w:t>
      </w:r>
      <w:r w:rsidR="00C3422A" w:rsidRPr="001B3B93">
        <w:t xml:space="preserve"> effective. </w:t>
      </w:r>
      <w:r w:rsidR="008D4369">
        <w:t>The findings are pertinent to assessing the strategic case for Australia continuing to provide aid to Asian MICs.</w:t>
      </w:r>
    </w:p>
    <w:p w14:paraId="33DAB561" w14:textId="7283B28A" w:rsidR="000456AE" w:rsidRPr="001B3B93" w:rsidRDefault="0043031F" w:rsidP="000456AE">
      <w:pPr>
        <w:pStyle w:val="Heading4"/>
        <w:rPr>
          <w:rFonts w:eastAsia="Calibri"/>
        </w:rPr>
      </w:pPr>
      <w:r>
        <w:rPr>
          <w:rFonts w:eastAsia="Calibri"/>
        </w:rPr>
        <w:t xml:space="preserve">Reorienting </w:t>
      </w:r>
      <w:r w:rsidR="0023655A">
        <w:rPr>
          <w:rFonts w:eastAsia="Calibri"/>
        </w:rPr>
        <w:t>development cooperation</w:t>
      </w:r>
      <w:r w:rsidR="0023655A" w:rsidRPr="001B3B93">
        <w:rPr>
          <w:rFonts w:eastAsia="Calibri"/>
        </w:rPr>
        <w:t xml:space="preserve"> </w:t>
      </w:r>
      <w:r w:rsidR="00FE6E07" w:rsidRPr="001B3B93">
        <w:rPr>
          <w:rFonts w:eastAsia="Calibri"/>
        </w:rPr>
        <w:t xml:space="preserve">in support of </w:t>
      </w:r>
      <w:r w:rsidR="000456AE" w:rsidRPr="001B3B93">
        <w:rPr>
          <w:rFonts w:eastAsia="Calibri"/>
        </w:rPr>
        <w:t>economic partnership</w:t>
      </w:r>
      <w:r w:rsidR="00C00C73" w:rsidRPr="001B3B93">
        <w:rPr>
          <w:rFonts w:eastAsia="Calibri"/>
        </w:rPr>
        <w:t>s</w:t>
      </w:r>
    </w:p>
    <w:p w14:paraId="78412240" w14:textId="521C73ED" w:rsidR="00B3280C" w:rsidRDefault="00382DDC" w:rsidP="00517009">
      <w:pPr>
        <w:rPr>
          <w:szCs w:val="23"/>
        </w:rPr>
      </w:pPr>
      <w:r>
        <w:rPr>
          <w:szCs w:val="23"/>
        </w:rPr>
        <w:t xml:space="preserve">MICs such as Indonesia and Vietnam face a distinct set of development challenges. The pattern of growth that has brought them to </w:t>
      </w:r>
      <w:bookmarkStart w:id="18" w:name="_Hlk520956599"/>
      <w:r>
        <w:rPr>
          <w:szCs w:val="23"/>
        </w:rPr>
        <w:t>middle-income status</w:t>
      </w:r>
      <w:bookmarkEnd w:id="18"/>
      <w:r>
        <w:rPr>
          <w:szCs w:val="23"/>
        </w:rPr>
        <w:t xml:space="preserve"> begins to slow</w:t>
      </w:r>
      <w:r w:rsidR="00565691">
        <w:rPr>
          <w:szCs w:val="23"/>
        </w:rPr>
        <w:t xml:space="preserve">, </w:t>
      </w:r>
      <w:r>
        <w:rPr>
          <w:szCs w:val="23"/>
        </w:rPr>
        <w:t xml:space="preserve">while inequality rises and new social challenges emerge, </w:t>
      </w:r>
      <w:r w:rsidR="00A439B4">
        <w:rPr>
          <w:szCs w:val="23"/>
        </w:rPr>
        <w:t xml:space="preserve">including </w:t>
      </w:r>
      <w:r>
        <w:rPr>
          <w:szCs w:val="23"/>
        </w:rPr>
        <w:t xml:space="preserve">around rapid urbanisation. To escape </w:t>
      </w:r>
      <w:r w:rsidR="00565691">
        <w:rPr>
          <w:szCs w:val="23"/>
        </w:rPr>
        <w:t>this ‘middle</w:t>
      </w:r>
      <w:r w:rsidR="00EF07E5">
        <w:rPr>
          <w:szCs w:val="23"/>
        </w:rPr>
        <w:t>-</w:t>
      </w:r>
      <w:r w:rsidR="00565691">
        <w:rPr>
          <w:szCs w:val="23"/>
        </w:rPr>
        <w:t xml:space="preserve">income </w:t>
      </w:r>
      <w:r>
        <w:rPr>
          <w:szCs w:val="23"/>
        </w:rPr>
        <w:t>trap</w:t>
      </w:r>
      <w:r w:rsidR="00565691">
        <w:rPr>
          <w:szCs w:val="23"/>
        </w:rPr>
        <w:t>’</w:t>
      </w:r>
      <w:r>
        <w:rPr>
          <w:szCs w:val="23"/>
        </w:rPr>
        <w:t>, the</w:t>
      </w:r>
      <w:r w:rsidR="00EF07E5">
        <w:rPr>
          <w:szCs w:val="23"/>
        </w:rPr>
        <w:t>se countries</w:t>
      </w:r>
      <w:r>
        <w:rPr>
          <w:szCs w:val="23"/>
        </w:rPr>
        <w:t xml:space="preserve"> need to move to a different type of growth, based on </w:t>
      </w:r>
      <w:r w:rsidR="00565691">
        <w:rPr>
          <w:szCs w:val="23"/>
        </w:rPr>
        <w:t>increasing productivity and competitiveness</w:t>
      </w:r>
      <w:r w:rsidR="006147CF">
        <w:rPr>
          <w:szCs w:val="23"/>
        </w:rPr>
        <w:t xml:space="preserve">, while developing </w:t>
      </w:r>
      <w:r w:rsidR="001F34F0">
        <w:rPr>
          <w:szCs w:val="23"/>
        </w:rPr>
        <w:t xml:space="preserve">new social </w:t>
      </w:r>
      <w:r w:rsidR="006147CF">
        <w:rPr>
          <w:szCs w:val="23"/>
        </w:rPr>
        <w:t>policy instruments</w:t>
      </w:r>
      <w:r w:rsidR="00565691">
        <w:rPr>
          <w:szCs w:val="23"/>
        </w:rPr>
        <w:t xml:space="preserve">. </w:t>
      </w:r>
      <w:r w:rsidR="006147CF">
        <w:rPr>
          <w:szCs w:val="23"/>
        </w:rPr>
        <w:t xml:space="preserve">The challenge is not just technical but deeply political, requiring them to overcome vested interests that work against change. </w:t>
      </w:r>
      <w:r w:rsidR="00565691">
        <w:rPr>
          <w:szCs w:val="23"/>
        </w:rPr>
        <w:t>They may have a limited window of time to achieve this, while their demographic profile remains favourable</w:t>
      </w:r>
      <w:r w:rsidR="00EF07E5">
        <w:rPr>
          <w:szCs w:val="23"/>
        </w:rPr>
        <w:t xml:space="preserve"> and</w:t>
      </w:r>
      <w:r w:rsidR="006147CF">
        <w:rPr>
          <w:szCs w:val="23"/>
        </w:rPr>
        <w:t xml:space="preserve"> before an </w:t>
      </w:r>
      <w:bookmarkStart w:id="19" w:name="_Hlk520956736"/>
      <w:r w:rsidR="006147CF">
        <w:rPr>
          <w:szCs w:val="23"/>
        </w:rPr>
        <w:t>ag</w:t>
      </w:r>
      <w:r w:rsidR="00646E08">
        <w:rPr>
          <w:szCs w:val="23"/>
        </w:rPr>
        <w:t>e</w:t>
      </w:r>
      <w:r w:rsidR="006147CF">
        <w:rPr>
          <w:szCs w:val="23"/>
        </w:rPr>
        <w:t xml:space="preserve">ing </w:t>
      </w:r>
      <w:bookmarkEnd w:id="19"/>
      <w:r w:rsidR="006147CF">
        <w:rPr>
          <w:szCs w:val="23"/>
        </w:rPr>
        <w:t>population becomes a further constraint on growth</w:t>
      </w:r>
      <w:r w:rsidR="00565691">
        <w:rPr>
          <w:szCs w:val="23"/>
        </w:rPr>
        <w:t xml:space="preserve">. There is no guarantee that they will succeed: </w:t>
      </w:r>
      <w:r w:rsidR="006147CF">
        <w:rPr>
          <w:szCs w:val="23"/>
        </w:rPr>
        <w:t xml:space="preserve">historically, only a </w:t>
      </w:r>
      <w:r w:rsidR="00565691">
        <w:rPr>
          <w:szCs w:val="23"/>
        </w:rPr>
        <w:t>few MICs have gone on to become advanced economies.</w:t>
      </w:r>
    </w:p>
    <w:p w14:paraId="25125767" w14:textId="1BD82C11" w:rsidR="006147CF" w:rsidRDefault="006147CF">
      <w:pPr>
        <w:autoSpaceDE w:val="0"/>
        <w:autoSpaceDN w:val="0"/>
        <w:adjustRightInd w:val="0"/>
        <w:rPr>
          <w:szCs w:val="23"/>
        </w:rPr>
      </w:pPr>
      <w:r>
        <w:rPr>
          <w:szCs w:val="23"/>
        </w:rPr>
        <w:t>Many other bilateral donors</w:t>
      </w:r>
      <w:r w:rsidR="00EF07E5">
        <w:rPr>
          <w:szCs w:val="23"/>
        </w:rPr>
        <w:t>,</w:t>
      </w:r>
      <w:r w:rsidRPr="006147CF">
        <w:rPr>
          <w:szCs w:val="23"/>
        </w:rPr>
        <w:t xml:space="preserve"> including Canada</w:t>
      </w:r>
      <w:r w:rsidR="00487DF0">
        <w:rPr>
          <w:szCs w:val="23"/>
        </w:rPr>
        <w:t>,</w:t>
      </w:r>
      <w:r w:rsidR="00A62F4B">
        <w:rPr>
          <w:szCs w:val="23"/>
        </w:rPr>
        <w:t xml:space="preserve"> </w:t>
      </w:r>
      <w:r w:rsidRPr="006147CF">
        <w:rPr>
          <w:szCs w:val="23"/>
        </w:rPr>
        <w:t>Denmark, the Netherlands</w:t>
      </w:r>
      <w:r w:rsidR="00665ECD">
        <w:rPr>
          <w:szCs w:val="23"/>
        </w:rPr>
        <w:t>,</w:t>
      </w:r>
      <w:r w:rsidRPr="006147CF">
        <w:rPr>
          <w:szCs w:val="23"/>
        </w:rPr>
        <w:t xml:space="preserve"> Sweden </w:t>
      </w:r>
      <w:r w:rsidR="00487DF0">
        <w:rPr>
          <w:szCs w:val="23"/>
        </w:rPr>
        <w:t xml:space="preserve">the United Kingdom </w:t>
      </w:r>
      <w:r w:rsidR="00487DF0">
        <w:rPr>
          <w:rFonts w:ascii="Segoe UI" w:hAnsi="Segoe UI" w:cs="Segoe UI"/>
          <w:color w:val="000000"/>
          <w:sz w:val="21"/>
          <w:szCs w:val="21"/>
        </w:rPr>
        <w:t>are choosing to</w:t>
      </w:r>
      <w:r>
        <w:rPr>
          <w:szCs w:val="23"/>
        </w:rPr>
        <w:t xml:space="preserve"> concentrate their aid in low-income countries and fragile states. </w:t>
      </w:r>
      <w:r w:rsidR="001F34F0">
        <w:rPr>
          <w:szCs w:val="23"/>
        </w:rPr>
        <w:t>However, MICs are home to a growing proportion of the world’s poor and will be essential partners for achieving the Sustainable Development Goals.</w:t>
      </w:r>
    </w:p>
    <w:p w14:paraId="420963F1" w14:textId="77777777" w:rsidR="00DA1B7F" w:rsidRDefault="00DA1B7F" w:rsidP="00DA1B7F">
      <w:pPr>
        <w:autoSpaceDE w:val="0"/>
        <w:autoSpaceDN w:val="0"/>
        <w:adjustRightInd w:val="0"/>
        <w:rPr>
          <w:szCs w:val="23"/>
        </w:rPr>
      </w:pPr>
    </w:p>
    <w:p w14:paraId="79916DAA" w14:textId="637D566E" w:rsidR="00CA7307" w:rsidRPr="001B3B93" w:rsidRDefault="001F34F0" w:rsidP="00CA7307">
      <w:pPr>
        <w:rPr>
          <w:szCs w:val="23"/>
        </w:rPr>
      </w:pPr>
      <w:r>
        <w:rPr>
          <w:szCs w:val="23"/>
        </w:rPr>
        <w:lastRenderedPageBreak/>
        <w:t xml:space="preserve">As Indonesia and Vietnam have </w:t>
      </w:r>
      <w:r w:rsidR="00CA7307">
        <w:rPr>
          <w:szCs w:val="23"/>
        </w:rPr>
        <w:t xml:space="preserve">gained more access to both domestic and international development finance, Australia’s aid has fallen, absolutely and relatively. Australia has responded by </w:t>
      </w:r>
      <w:r w:rsidR="00CA7307" w:rsidRPr="001B3B93">
        <w:rPr>
          <w:szCs w:val="23"/>
        </w:rPr>
        <w:t xml:space="preserve">shifting </w:t>
      </w:r>
      <w:r w:rsidR="00CA7307">
        <w:rPr>
          <w:szCs w:val="23"/>
        </w:rPr>
        <w:t xml:space="preserve">its </w:t>
      </w:r>
      <w:r w:rsidR="00CA7307" w:rsidRPr="001B3B93">
        <w:rPr>
          <w:szCs w:val="23"/>
        </w:rPr>
        <w:t xml:space="preserve">focus </w:t>
      </w:r>
      <w:r w:rsidR="00CA7307">
        <w:rPr>
          <w:szCs w:val="23"/>
        </w:rPr>
        <w:t xml:space="preserve">away </w:t>
      </w:r>
      <w:r w:rsidR="00CA7307" w:rsidRPr="001B3B93">
        <w:rPr>
          <w:szCs w:val="23"/>
        </w:rPr>
        <w:t xml:space="preserve">from </w:t>
      </w:r>
      <w:r w:rsidR="007E3304">
        <w:rPr>
          <w:szCs w:val="23"/>
        </w:rPr>
        <w:t>supporting</w:t>
      </w:r>
      <w:r w:rsidR="00CA7307" w:rsidRPr="001B3B93">
        <w:rPr>
          <w:szCs w:val="23"/>
        </w:rPr>
        <w:t xml:space="preserve"> development results directly</w:t>
      </w:r>
      <w:r w:rsidR="00665ECD">
        <w:rPr>
          <w:szCs w:val="23"/>
        </w:rPr>
        <w:t xml:space="preserve"> and</w:t>
      </w:r>
      <w:r w:rsidR="00CA7307" w:rsidRPr="001B3B93">
        <w:rPr>
          <w:szCs w:val="23"/>
        </w:rPr>
        <w:t xml:space="preserve"> </w:t>
      </w:r>
      <w:r w:rsidR="00CA7307">
        <w:rPr>
          <w:szCs w:val="23"/>
        </w:rPr>
        <w:t xml:space="preserve">towards </w:t>
      </w:r>
      <w:bookmarkStart w:id="20" w:name="_Hlk520956933"/>
      <w:r w:rsidR="00CA7307">
        <w:rPr>
          <w:szCs w:val="23"/>
        </w:rPr>
        <w:t>knowledge-based assistance</w:t>
      </w:r>
      <w:bookmarkEnd w:id="20"/>
      <w:r w:rsidR="00CA7307">
        <w:rPr>
          <w:szCs w:val="23"/>
        </w:rPr>
        <w:t xml:space="preserve"> designed to support policy reform, build institutional capacity and </w:t>
      </w:r>
      <w:r w:rsidR="00704A85">
        <w:rPr>
          <w:szCs w:val="23"/>
        </w:rPr>
        <w:t>raise</w:t>
      </w:r>
      <w:r w:rsidR="00CA7307">
        <w:rPr>
          <w:szCs w:val="23"/>
        </w:rPr>
        <w:t xml:space="preserve"> the quality of national development spending. For example, Australia is moving away from financing infrastructure projects and toward</w:t>
      </w:r>
      <w:r w:rsidR="003920A9">
        <w:rPr>
          <w:szCs w:val="23"/>
        </w:rPr>
        <w:t>s</w:t>
      </w:r>
      <w:r w:rsidR="00CA7307">
        <w:rPr>
          <w:szCs w:val="23"/>
        </w:rPr>
        <w:t xml:space="preserve"> helping its partners access multilateral development bank</w:t>
      </w:r>
      <w:r w:rsidR="00413A7B">
        <w:rPr>
          <w:szCs w:val="23"/>
        </w:rPr>
        <w:t xml:space="preserve"> (MDB)</w:t>
      </w:r>
      <w:r w:rsidR="00CA7307">
        <w:rPr>
          <w:szCs w:val="23"/>
        </w:rPr>
        <w:t xml:space="preserve"> loans and improve their own investments. Through flexible, </w:t>
      </w:r>
      <w:bookmarkStart w:id="21" w:name="_Hlk520956974"/>
      <w:r w:rsidR="00CA7307">
        <w:rPr>
          <w:szCs w:val="23"/>
        </w:rPr>
        <w:t>problem-focused technical assistance</w:t>
      </w:r>
      <w:bookmarkEnd w:id="21"/>
      <w:r w:rsidR="00CA7307">
        <w:rPr>
          <w:szCs w:val="23"/>
        </w:rPr>
        <w:t xml:space="preserve">, based on an understanding of political opportunities and constraints, </w:t>
      </w:r>
      <w:r w:rsidR="00CA7307" w:rsidRPr="001B3B93">
        <w:rPr>
          <w:szCs w:val="23"/>
        </w:rPr>
        <w:t xml:space="preserve">Australia is positioning itself as a partner to reform-minded leaders and institutions. </w:t>
      </w:r>
      <w:r w:rsidR="00CA7307">
        <w:rPr>
          <w:szCs w:val="23"/>
        </w:rPr>
        <w:t xml:space="preserve">Through its regional programs, it </w:t>
      </w:r>
      <w:r w:rsidR="00CA7307" w:rsidRPr="001B3B93">
        <w:rPr>
          <w:szCs w:val="23"/>
        </w:rPr>
        <w:t xml:space="preserve">supports </w:t>
      </w:r>
      <w:r w:rsidR="00665ECD">
        <w:rPr>
          <w:szCs w:val="23"/>
        </w:rPr>
        <w:t xml:space="preserve">the </w:t>
      </w:r>
      <w:bookmarkStart w:id="22" w:name="_Hlk520957168"/>
      <w:r w:rsidR="00665ECD" w:rsidRPr="00665ECD">
        <w:rPr>
          <w:szCs w:val="23"/>
        </w:rPr>
        <w:t>Association of Southeast Asian Nations</w:t>
      </w:r>
      <w:r w:rsidR="00665ECD">
        <w:rPr>
          <w:szCs w:val="23"/>
        </w:rPr>
        <w:t>’</w:t>
      </w:r>
      <w:r w:rsidR="00665ECD" w:rsidRPr="00665ECD">
        <w:rPr>
          <w:szCs w:val="23"/>
        </w:rPr>
        <w:t xml:space="preserve"> </w:t>
      </w:r>
      <w:r w:rsidR="00665ECD">
        <w:rPr>
          <w:szCs w:val="23"/>
        </w:rPr>
        <w:t>(</w:t>
      </w:r>
      <w:r w:rsidR="00CA7307">
        <w:rPr>
          <w:szCs w:val="23"/>
        </w:rPr>
        <w:t>ASEAN</w:t>
      </w:r>
      <w:r w:rsidR="00665ECD">
        <w:rPr>
          <w:szCs w:val="23"/>
        </w:rPr>
        <w:t>)</w:t>
      </w:r>
      <w:bookmarkEnd w:id="22"/>
      <w:r w:rsidR="00CA7307">
        <w:rPr>
          <w:szCs w:val="23"/>
        </w:rPr>
        <w:t xml:space="preserve"> objectives on trade, connectivity and </w:t>
      </w:r>
      <w:r w:rsidR="00CA7307" w:rsidRPr="001B3B93">
        <w:rPr>
          <w:szCs w:val="23"/>
        </w:rPr>
        <w:t>economic integration.</w:t>
      </w:r>
    </w:p>
    <w:p w14:paraId="109C422A" w14:textId="1581AC8A" w:rsidR="003204D9" w:rsidRDefault="007509D9" w:rsidP="005639C5">
      <w:pPr>
        <w:rPr>
          <w:szCs w:val="23"/>
        </w:rPr>
      </w:pPr>
      <w:r>
        <w:rPr>
          <w:szCs w:val="23"/>
        </w:rPr>
        <w:t xml:space="preserve">While this is </w:t>
      </w:r>
      <w:r w:rsidR="003204D9">
        <w:rPr>
          <w:szCs w:val="23"/>
        </w:rPr>
        <w:t xml:space="preserve">a </w:t>
      </w:r>
      <w:r>
        <w:rPr>
          <w:szCs w:val="23"/>
        </w:rPr>
        <w:t xml:space="preserve">balancing rather than a </w:t>
      </w:r>
      <w:r w:rsidR="003204D9">
        <w:rPr>
          <w:szCs w:val="23"/>
        </w:rPr>
        <w:t xml:space="preserve">new </w:t>
      </w:r>
      <w:r>
        <w:rPr>
          <w:szCs w:val="23"/>
        </w:rPr>
        <w:t xml:space="preserve">approach to assistance, the evaluation finds that it </w:t>
      </w:r>
      <w:r w:rsidR="005639C5">
        <w:rPr>
          <w:szCs w:val="23"/>
        </w:rPr>
        <w:t xml:space="preserve">meets the evolving </w:t>
      </w:r>
      <w:r w:rsidR="00812296">
        <w:rPr>
          <w:szCs w:val="23"/>
        </w:rPr>
        <w:t xml:space="preserve">needs </w:t>
      </w:r>
      <w:r>
        <w:rPr>
          <w:szCs w:val="23"/>
        </w:rPr>
        <w:t xml:space="preserve">of </w:t>
      </w:r>
      <w:r w:rsidR="00665ECD">
        <w:rPr>
          <w:szCs w:val="23"/>
        </w:rPr>
        <w:t>Indonesia and Vietnam</w:t>
      </w:r>
      <w:r>
        <w:rPr>
          <w:szCs w:val="23"/>
        </w:rPr>
        <w:t xml:space="preserve">. It also supports Australia’s </w:t>
      </w:r>
      <w:r w:rsidR="003204D9">
        <w:rPr>
          <w:szCs w:val="23"/>
        </w:rPr>
        <w:t xml:space="preserve">clear </w:t>
      </w:r>
      <w:r>
        <w:rPr>
          <w:szCs w:val="23"/>
        </w:rPr>
        <w:t>strategic interest</w:t>
      </w:r>
      <w:r w:rsidR="003204D9">
        <w:rPr>
          <w:szCs w:val="23"/>
        </w:rPr>
        <w:t xml:space="preserve"> </w:t>
      </w:r>
      <w:r>
        <w:rPr>
          <w:szCs w:val="23"/>
        </w:rPr>
        <w:t xml:space="preserve">in the </w:t>
      </w:r>
      <w:r w:rsidR="003204D9">
        <w:rPr>
          <w:szCs w:val="23"/>
        </w:rPr>
        <w:t xml:space="preserve">progression </w:t>
      </w:r>
      <w:r>
        <w:rPr>
          <w:szCs w:val="23"/>
        </w:rPr>
        <w:t xml:space="preserve">of </w:t>
      </w:r>
      <w:r w:rsidR="005639C5">
        <w:rPr>
          <w:szCs w:val="23"/>
        </w:rPr>
        <w:t xml:space="preserve">Asian MICs </w:t>
      </w:r>
      <w:r>
        <w:rPr>
          <w:szCs w:val="23"/>
        </w:rPr>
        <w:t xml:space="preserve">towards advanced economies within a prosperous and integrated region. </w:t>
      </w:r>
      <w:r w:rsidR="003204D9" w:rsidRPr="003204D9">
        <w:rPr>
          <w:szCs w:val="23"/>
        </w:rPr>
        <w:t>Th</w:t>
      </w:r>
      <w:r w:rsidR="003204D9">
        <w:rPr>
          <w:szCs w:val="23"/>
        </w:rPr>
        <w:t>e</w:t>
      </w:r>
      <w:r w:rsidR="003204D9" w:rsidRPr="003204D9">
        <w:rPr>
          <w:szCs w:val="23"/>
        </w:rPr>
        <w:t xml:space="preserve"> </w:t>
      </w:r>
      <w:bookmarkStart w:id="23" w:name="_Hlk521223660"/>
      <w:r w:rsidR="003204D9" w:rsidRPr="00EE7A51">
        <w:rPr>
          <w:i/>
          <w:szCs w:val="23"/>
        </w:rPr>
        <w:t>2017 Foreign Policy White Paper</w:t>
      </w:r>
      <w:r w:rsidR="003204D9" w:rsidRPr="003204D9">
        <w:rPr>
          <w:szCs w:val="23"/>
        </w:rPr>
        <w:t xml:space="preserve"> </w:t>
      </w:r>
      <w:bookmarkEnd w:id="23"/>
      <w:r w:rsidR="003204D9" w:rsidRPr="003204D9">
        <w:rPr>
          <w:szCs w:val="23"/>
        </w:rPr>
        <w:t xml:space="preserve">states that </w:t>
      </w:r>
      <w:r w:rsidR="00665ECD">
        <w:rPr>
          <w:szCs w:val="23"/>
        </w:rPr>
        <w:t>‘</w:t>
      </w:r>
      <w:r w:rsidR="003204D9" w:rsidRPr="003204D9">
        <w:rPr>
          <w:szCs w:val="23"/>
        </w:rPr>
        <w:t>The Indo-Pacific encompasses our most important economic partners and its dynamism supports economic growth in Australia, creating jobs and increasing our standard of living</w:t>
      </w:r>
      <w:r w:rsidR="00665ECD">
        <w:rPr>
          <w:szCs w:val="23"/>
        </w:rPr>
        <w:t>.’</w:t>
      </w:r>
      <w:r w:rsidR="003204D9" w:rsidRPr="003204D9">
        <w:rPr>
          <w:szCs w:val="23"/>
        </w:rPr>
        <w:t xml:space="preserve"> </w:t>
      </w:r>
      <w:r w:rsidR="003204D9">
        <w:rPr>
          <w:szCs w:val="23"/>
        </w:rPr>
        <w:t>It also recognises that Australian security interests are closely tied to the stability of its neighbours, which could be threatened by rising inequality.</w:t>
      </w:r>
    </w:p>
    <w:p w14:paraId="32E1D4E5" w14:textId="2AC4E87A" w:rsidR="001F34F0" w:rsidRDefault="007509D9" w:rsidP="007100CC">
      <w:pPr>
        <w:rPr>
          <w:szCs w:val="23"/>
        </w:rPr>
      </w:pPr>
      <w:r>
        <w:rPr>
          <w:szCs w:val="23"/>
        </w:rPr>
        <w:t xml:space="preserve">Rather than transitioning out of bilateral aid, there is a strong case for </w:t>
      </w:r>
      <w:r w:rsidR="005639C5">
        <w:rPr>
          <w:szCs w:val="23"/>
        </w:rPr>
        <w:t xml:space="preserve">Australia </w:t>
      </w:r>
      <w:r>
        <w:rPr>
          <w:szCs w:val="23"/>
        </w:rPr>
        <w:t xml:space="preserve">remaining engaged </w:t>
      </w:r>
      <w:r w:rsidR="003204D9">
        <w:rPr>
          <w:szCs w:val="23"/>
        </w:rPr>
        <w:t xml:space="preserve">and continuing to build its comparative advantage as a </w:t>
      </w:r>
      <w:r w:rsidR="005639C5">
        <w:rPr>
          <w:szCs w:val="23"/>
        </w:rPr>
        <w:t>partner</w:t>
      </w:r>
      <w:r w:rsidR="003204D9">
        <w:rPr>
          <w:szCs w:val="23"/>
        </w:rPr>
        <w:t xml:space="preserve"> on </w:t>
      </w:r>
      <w:r w:rsidR="005639C5">
        <w:rPr>
          <w:szCs w:val="23"/>
        </w:rPr>
        <w:t>economic and social reform. Indeed, there may be a case for re-establishing development cooperation with Asian MICs from which the aid program has already exited.</w:t>
      </w:r>
    </w:p>
    <w:p w14:paraId="53B695B6" w14:textId="12029E86" w:rsidR="006147CF" w:rsidRDefault="006147CF" w:rsidP="007100CC">
      <w:pPr>
        <w:rPr>
          <w:szCs w:val="23"/>
        </w:rPr>
      </w:pPr>
      <w:r w:rsidRPr="006147CF">
        <w:rPr>
          <w:szCs w:val="23"/>
        </w:rPr>
        <w:t xml:space="preserve">So far, however, the nature of and rationale for economic partnership </w:t>
      </w:r>
      <w:r w:rsidR="003204D9">
        <w:rPr>
          <w:szCs w:val="23"/>
        </w:rPr>
        <w:t xml:space="preserve">in the two countries </w:t>
      </w:r>
      <w:r w:rsidRPr="006147CF">
        <w:rPr>
          <w:szCs w:val="23"/>
        </w:rPr>
        <w:t xml:space="preserve">is not clearly articulated or understood, </w:t>
      </w:r>
      <w:r w:rsidR="003204D9">
        <w:rPr>
          <w:szCs w:val="23"/>
        </w:rPr>
        <w:t xml:space="preserve">among counterparts </w:t>
      </w:r>
      <w:r w:rsidRPr="006147CF">
        <w:rPr>
          <w:szCs w:val="23"/>
        </w:rPr>
        <w:t xml:space="preserve">or Australian stakeholders. </w:t>
      </w:r>
      <w:r w:rsidR="003204D9">
        <w:rPr>
          <w:szCs w:val="23"/>
        </w:rPr>
        <w:t xml:space="preserve">Australian aid for Asian MICs </w:t>
      </w:r>
      <w:r w:rsidRPr="006147CF">
        <w:rPr>
          <w:szCs w:val="23"/>
        </w:rPr>
        <w:t>needs to be supported by a more compelling narrative explaining both the development rationale and Australia</w:t>
      </w:r>
      <w:r w:rsidR="00665ECD">
        <w:rPr>
          <w:szCs w:val="23"/>
        </w:rPr>
        <w:t>’s</w:t>
      </w:r>
      <w:r w:rsidRPr="006147CF">
        <w:rPr>
          <w:szCs w:val="23"/>
        </w:rPr>
        <w:t xml:space="preserve"> national interest.</w:t>
      </w:r>
    </w:p>
    <w:p w14:paraId="4B5B81AD" w14:textId="77777777" w:rsidR="00677216" w:rsidRPr="006147CF" w:rsidRDefault="00677216" w:rsidP="007100CC">
      <w:pPr>
        <w:rPr>
          <w:szCs w:val="23"/>
        </w:rPr>
      </w:pPr>
    </w:p>
    <w:tbl>
      <w:tblPr>
        <w:tblStyle w:val="TableGrid"/>
        <w:tblW w:w="10644" w:type="dxa"/>
        <w:tblBorders>
          <w:bottom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58"/>
        <w:gridCol w:w="10086"/>
      </w:tblGrid>
      <w:tr w:rsidR="000456AE" w:rsidRPr="001B3B93" w14:paraId="0887E630" w14:textId="77777777" w:rsidTr="00C342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8" w:type="dxa"/>
            <w:shd w:val="clear" w:color="auto" w:fill="auto"/>
            <w:vAlign w:val="center"/>
          </w:tcPr>
          <w:p w14:paraId="247508FE" w14:textId="77777777" w:rsidR="000456AE" w:rsidRPr="001B3B93" w:rsidRDefault="000456AE" w:rsidP="00C3422A">
            <w:pPr>
              <w:rPr>
                <w:rFonts w:cstheme="minorHAnsi"/>
                <w:b/>
                <w:color w:val="65C5B4" w:themeColor="background2"/>
                <w:szCs w:val="23"/>
              </w:rPr>
            </w:pPr>
          </w:p>
        </w:tc>
        <w:tc>
          <w:tcPr>
            <w:tcW w:w="10086" w:type="dxa"/>
            <w:tcBorders>
              <w:bottom w:val="single" w:sz="2" w:space="0" w:color="FFFFFF" w:themeColor="background1"/>
            </w:tcBorders>
            <w:vAlign w:val="center"/>
          </w:tcPr>
          <w:p w14:paraId="38E6C7B3" w14:textId="189B2096" w:rsidR="000456AE" w:rsidRPr="001B3B93" w:rsidRDefault="00F83078" w:rsidP="00C3422A">
            <w:pPr>
              <w:cnfStyle w:val="100000000000" w:firstRow="1" w:lastRow="0" w:firstColumn="0" w:lastColumn="0" w:oddVBand="0" w:evenVBand="0" w:oddHBand="0" w:evenHBand="0" w:firstRowFirstColumn="0" w:firstRowLastColumn="0" w:lastRowFirstColumn="0" w:lastRowLastColumn="0"/>
              <w:rPr>
                <w:rFonts w:cstheme="minorHAnsi"/>
                <w:b/>
                <w:color w:val="65C5B4" w:themeColor="background2"/>
                <w:spacing w:val="4"/>
                <w:sz w:val="28"/>
                <w:szCs w:val="28"/>
              </w:rPr>
            </w:pPr>
            <w:r>
              <w:rPr>
                <w:rFonts w:cstheme="minorHAnsi"/>
                <w:b/>
                <w:color w:val="FFFFFF" w:themeColor="background1"/>
                <w:spacing w:val="4"/>
                <w:sz w:val="28"/>
                <w:szCs w:val="28"/>
              </w:rPr>
              <w:t>Recommendation</w:t>
            </w:r>
          </w:p>
        </w:tc>
      </w:tr>
      <w:tr w:rsidR="000456AE" w:rsidRPr="001B3B93" w14:paraId="641A9315" w14:textId="77777777" w:rsidTr="00C3422A">
        <w:tc>
          <w:tcPr>
            <w:cnfStyle w:val="001000000000" w:firstRow="0" w:lastRow="0" w:firstColumn="1" w:lastColumn="0" w:oddVBand="0" w:evenVBand="0" w:oddHBand="0" w:evenHBand="0" w:firstRowFirstColumn="0" w:firstRowLastColumn="0" w:lastRowFirstColumn="0" w:lastRowLastColumn="0"/>
            <w:tcW w:w="558" w:type="dxa"/>
            <w:shd w:val="clear" w:color="auto" w:fill="485865" w:themeFill="text2"/>
          </w:tcPr>
          <w:p w14:paraId="60966FD7" w14:textId="77777777" w:rsidR="000456AE" w:rsidRPr="001B3B93" w:rsidRDefault="000456AE" w:rsidP="00C3422A">
            <w:pPr>
              <w:rPr>
                <w:rFonts w:cstheme="minorHAnsi"/>
                <w:b/>
                <w:color w:val="65C5B4" w:themeColor="background2"/>
                <w:sz w:val="28"/>
                <w:szCs w:val="28"/>
              </w:rPr>
            </w:pPr>
          </w:p>
        </w:tc>
        <w:tc>
          <w:tcPr>
            <w:tcW w:w="10086" w:type="dxa"/>
            <w:tcBorders>
              <w:top w:val="single" w:sz="2" w:space="0" w:color="FFFFFF" w:themeColor="background1"/>
            </w:tcBorders>
            <w:shd w:val="clear" w:color="auto" w:fill="D8DBDA" w:themeFill="accent5"/>
          </w:tcPr>
          <w:p w14:paraId="064D71FC" w14:textId="7F5DFA0C" w:rsidR="007100CC" w:rsidRPr="007100CC" w:rsidRDefault="00F96292" w:rsidP="000C55B6">
            <w:pPr>
              <w:pStyle w:val="ListBullet"/>
              <w:numPr>
                <w:ilvl w:val="0"/>
                <w:numId w:val="27"/>
              </w:numPr>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DFAT should </w:t>
            </w:r>
            <w:r w:rsidR="00944CA8" w:rsidRPr="001B3B93">
              <w:rPr>
                <w:b/>
                <w:color w:val="auto"/>
              </w:rPr>
              <w:t xml:space="preserve">set out the long-term strategic case </w:t>
            </w:r>
            <w:r w:rsidR="005F38E0">
              <w:rPr>
                <w:b/>
                <w:color w:val="auto"/>
              </w:rPr>
              <w:t xml:space="preserve">for </w:t>
            </w:r>
            <w:r w:rsidR="00805C6E">
              <w:rPr>
                <w:b/>
                <w:color w:val="auto"/>
              </w:rPr>
              <w:t xml:space="preserve">development cooperation </w:t>
            </w:r>
            <w:r w:rsidR="00944CA8" w:rsidRPr="001B3B93">
              <w:rPr>
                <w:b/>
                <w:color w:val="auto"/>
              </w:rPr>
              <w:t xml:space="preserve">in support of economic partnerships with </w:t>
            </w:r>
            <w:r w:rsidR="00A925D2">
              <w:rPr>
                <w:b/>
                <w:color w:val="auto"/>
              </w:rPr>
              <w:t>middle-income</w:t>
            </w:r>
            <w:r w:rsidR="00805C6E">
              <w:rPr>
                <w:b/>
                <w:color w:val="auto"/>
              </w:rPr>
              <w:t xml:space="preserve"> </w:t>
            </w:r>
            <w:r w:rsidR="00944CA8" w:rsidRPr="001B3B93">
              <w:rPr>
                <w:b/>
                <w:color w:val="auto"/>
              </w:rPr>
              <w:t xml:space="preserve">Asia, and how the quantum and approach to providing </w:t>
            </w:r>
            <w:r w:rsidR="00A925D2">
              <w:rPr>
                <w:b/>
                <w:color w:val="auto"/>
              </w:rPr>
              <w:t>assistance</w:t>
            </w:r>
            <w:r w:rsidR="00944CA8" w:rsidRPr="001B3B93">
              <w:rPr>
                <w:b/>
                <w:color w:val="auto"/>
              </w:rPr>
              <w:t xml:space="preserve"> might be expected to evolve as </w:t>
            </w:r>
            <w:r w:rsidR="007100CC">
              <w:rPr>
                <w:b/>
                <w:color w:val="auto"/>
              </w:rPr>
              <w:t xml:space="preserve">they </w:t>
            </w:r>
            <w:r w:rsidR="00805C6E">
              <w:rPr>
                <w:b/>
                <w:color w:val="auto"/>
              </w:rPr>
              <w:t>develop</w:t>
            </w:r>
            <w:r w:rsidR="00944CA8" w:rsidRPr="001B3B93">
              <w:rPr>
                <w:b/>
                <w:color w:val="auto"/>
              </w:rPr>
              <w:t>.</w:t>
            </w:r>
          </w:p>
        </w:tc>
      </w:tr>
    </w:tbl>
    <w:p w14:paraId="6E3FB108" w14:textId="06B021D9" w:rsidR="00805C6E" w:rsidRDefault="000456AE" w:rsidP="00805C6E">
      <w:pPr>
        <w:pStyle w:val="Heading4"/>
        <w:tabs>
          <w:tab w:val="left" w:pos="4650"/>
          <w:tab w:val="left" w:pos="7050"/>
        </w:tabs>
        <w:rPr>
          <w:rFonts w:eastAsia="Calibri"/>
        </w:rPr>
      </w:pPr>
      <w:r w:rsidRPr="001B3B93">
        <w:rPr>
          <w:rFonts w:eastAsia="Calibri"/>
        </w:rPr>
        <w:t>Aligning aid, trade and diplomacy</w:t>
      </w:r>
      <w:r w:rsidR="00805C6E">
        <w:rPr>
          <w:rFonts w:eastAsia="Calibri"/>
        </w:rPr>
        <w:tab/>
      </w:r>
    </w:p>
    <w:p w14:paraId="59D53889" w14:textId="339FBA4B" w:rsidR="00517009" w:rsidRDefault="00517009" w:rsidP="00517009">
      <w:r>
        <w:t xml:space="preserve">Aligning aid with trade and diplomatic efforts, in </w:t>
      </w:r>
      <w:r w:rsidR="00D34C31">
        <w:t xml:space="preserve">pursuit </w:t>
      </w:r>
      <w:r>
        <w:t xml:space="preserve">of mutual prosperity, is an </w:t>
      </w:r>
      <w:r w:rsidR="00D34C31">
        <w:t xml:space="preserve">objective of Australia’s </w:t>
      </w:r>
      <w:r>
        <w:t>economic partnerships.</w:t>
      </w:r>
    </w:p>
    <w:p w14:paraId="31B37879" w14:textId="3E0C4F6C" w:rsidR="000456AE" w:rsidRPr="001B3B93" w:rsidRDefault="00A41E14" w:rsidP="00574B28">
      <w:r>
        <w:t>Australia is a global proponent of using free trade to promote development, with development-friendly trade policies and a commitment to spending 20</w:t>
      </w:r>
      <w:r w:rsidR="002D3FAC">
        <w:t xml:space="preserve"> per cent</w:t>
      </w:r>
      <w:r>
        <w:t xml:space="preserve"> of its aid budget on aid for trade. </w:t>
      </w:r>
      <w:r w:rsidR="003C5161">
        <w:t>ASEAN regional program</w:t>
      </w:r>
      <w:r w:rsidR="00D34C31">
        <w:t>s</w:t>
      </w:r>
      <w:r w:rsidR="003C5161">
        <w:t xml:space="preserve"> support implementation of the ASEAN Economic Community and promote regional connectivity in the Greater Mekong sub-region. So far, however, DFAT has not attempted to align bilateral aid </w:t>
      </w:r>
      <w:r w:rsidR="00805C6E">
        <w:t xml:space="preserve">behind its trade objectives </w:t>
      </w:r>
      <w:r w:rsidR="003C5161">
        <w:t>in the two case study countries</w:t>
      </w:r>
      <w:r w:rsidR="00805C6E">
        <w:t>.</w:t>
      </w:r>
      <w:r w:rsidR="003C5161">
        <w:t xml:space="preserve"> It does </w:t>
      </w:r>
      <w:r w:rsidR="00732726">
        <w:t xml:space="preserve">not </w:t>
      </w:r>
      <w:r w:rsidR="000456AE" w:rsidRPr="001B3B93">
        <w:t xml:space="preserve">use aid programs to promote short-term trade or commercial interests and is careful to avoid </w:t>
      </w:r>
      <w:r w:rsidR="00732726">
        <w:t xml:space="preserve">perceived </w:t>
      </w:r>
      <w:r w:rsidR="000456AE" w:rsidRPr="001B3B93">
        <w:t>conflict of interest.</w:t>
      </w:r>
      <w:r w:rsidR="001B3B93">
        <w:t xml:space="preserve"> Rather, </w:t>
      </w:r>
      <w:r w:rsidR="00665ECD">
        <w:t xml:space="preserve">DFAT </w:t>
      </w:r>
      <w:r w:rsidR="001B3B93">
        <w:t xml:space="preserve">takes the long view that </w:t>
      </w:r>
      <w:r w:rsidR="001B6E79">
        <w:t xml:space="preserve">promoting </w:t>
      </w:r>
      <w:r w:rsidR="001B3B93">
        <w:t>open, well</w:t>
      </w:r>
      <w:r w:rsidR="00665ECD">
        <w:t>-</w:t>
      </w:r>
      <w:r w:rsidR="001B3B93">
        <w:t xml:space="preserve">run economies with stable and effective governments </w:t>
      </w:r>
      <w:r w:rsidR="001B6E79">
        <w:t>is the best means of</w:t>
      </w:r>
      <w:r w:rsidR="00036AFF">
        <w:t xml:space="preserve"> achieving</w:t>
      </w:r>
      <w:r w:rsidR="001B6E79">
        <w:t xml:space="preserve"> </w:t>
      </w:r>
      <w:r w:rsidR="001B3B93">
        <w:t>Australia’s long-term economic and security interests.</w:t>
      </w:r>
    </w:p>
    <w:p w14:paraId="4D219AC4" w14:textId="3CA77A0E" w:rsidR="000456AE" w:rsidRPr="001B3B93" w:rsidRDefault="00EE7A51" w:rsidP="000456AE">
      <w:r>
        <w:t xml:space="preserve">The evaluation </w:t>
      </w:r>
      <w:r w:rsidR="000456AE" w:rsidRPr="001B3B93">
        <w:t xml:space="preserve">suggests that this </w:t>
      </w:r>
      <w:r w:rsidR="00290A50" w:rsidRPr="001B3B93">
        <w:t xml:space="preserve">caution </w:t>
      </w:r>
      <w:r w:rsidR="00E35ED6" w:rsidRPr="001B3B93">
        <w:t>is appropriate</w:t>
      </w:r>
      <w:r w:rsidR="000456AE" w:rsidRPr="001B3B93">
        <w:t xml:space="preserve">. </w:t>
      </w:r>
      <w:r w:rsidR="0023655A">
        <w:t>U</w:t>
      </w:r>
      <w:r w:rsidR="00CB51A3">
        <w:t xml:space="preserve">sing </w:t>
      </w:r>
      <w:r w:rsidR="00B73930" w:rsidRPr="001B3B93">
        <w:t xml:space="preserve">aid </w:t>
      </w:r>
      <w:r w:rsidR="00732726">
        <w:t xml:space="preserve">for </w:t>
      </w:r>
      <w:r w:rsidR="00B73930" w:rsidRPr="001B3B93">
        <w:t>short-term Australian interests</w:t>
      </w:r>
      <w:r w:rsidR="00036AFF">
        <w:t xml:space="preserve"> </w:t>
      </w:r>
      <w:r w:rsidR="00B73930" w:rsidRPr="001B3B93">
        <w:t xml:space="preserve">would </w:t>
      </w:r>
      <w:r w:rsidR="0023655A">
        <w:t xml:space="preserve">undermine the conditions for effective development cooperation, </w:t>
      </w:r>
      <w:r w:rsidR="00B73930" w:rsidRPr="001B3B93">
        <w:t>result</w:t>
      </w:r>
      <w:r w:rsidR="0023655A">
        <w:t>ing</w:t>
      </w:r>
      <w:r w:rsidR="00B73930" w:rsidRPr="001B3B93">
        <w:t xml:space="preserve"> in a loss of influence. </w:t>
      </w:r>
      <w:r w:rsidR="00E35ED6" w:rsidRPr="001B3B93">
        <w:t>To be a</w:t>
      </w:r>
      <w:r w:rsidR="00B73930" w:rsidRPr="001B3B93">
        <w:t>n</w:t>
      </w:r>
      <w:r w:rsidR="00E35ED6" w:rsidRPr="001B3B93">
        <w:t xml:space="preserve"> </w:t>
      </w:r>
      <w:r w:rsidR="00B73930" w:rsidRPr="001B3B93">
        <w:t xml:space="preserve">effective </w:t>
      </w:r>
      <w:r w:rsidR="00E35ED6" w:rsidRPr="001B3B93">
        <w:lastRenderedPageBreak/>
        <w:t xml:space="preserve">partner on economic reform, DFAT needs </w:t>
      </w:r>
      <w:r w:rsidR="000456AE" w:rsidRPr="001B3B93">
        <w:t xml:space="preserve">to </w:t>
      </w:r>
      <w:r w:rsidR="00732726">
        <w:t xml:space="preserve">maintain </w:t>
      </w:r>
      <w:r w:rsidR="00E35ED6" w:rsidRPr="001B3B93">
        <w:t xml:space="preserve">relationships of </w:t>
      </w:r>
      <w:r w:rsidR="000456AE" w:rsidRPr="001B3B93">
        <w:t>trust with key individuals and institutions at the centre of government</w:t>
      </w:r>
      <w:r w:rsidR="004E76A9">
        <w:t>s</w:t>
      </w:r>
      <w:r w:rsidR="00F970F8" w:rsidRPr="001B3B93">
        <w:t xml:space="preserve">. </w:t>
      </w:r>
      <w:r w:rsidR="000456AE" w:rsidRPr="001B3B93">
        <w:t xml:space="preserve">The flagship economic governance programs in Indonesia and Vietnam </w:t>
      </w:r>
      <w:r w:rsidR="00E35ED6" w:rsidRPr="001B3B93">
        <w:t>do this</w:t>
      </w:r>
      <w:r w:rsidR="00B73930" w:rsidRPr="001B3B93">
        <w:t xml:space="preserve"> well</w:t>
      </w:r>
      <w:r w:rsidR="000456AE" w:rsidRPr="001B3B93">
        <w:t>.</w:t>
      </w:r>
    </w:p>
    <w:p w14:paraId="201E6676" w14:textId="77777777" w:rsidR="004E76A9" w:rsidRDefault="000456AE" w:rsidP="000456AE">
      <w:r w:rsidRPr="001B3B93">
        <w:t>However</w:t>
      </w:r>
      <w:r w:rsidR="00072982">
        <w:t>,</w:t>
      </w:r>
      <w:r w:rsidRPr="001B3B93">
        <w:t xml:space="preserve"> there is scope to strengthen the alignment of aid, trade and diplomacy in three ways.</w:t>
      </w:r>
    </w:p>
    <w:p w14:paraId="1D3B1EC2" w14:textId="05245D4F" w:rsidR="000456AE" w:rsidRPr="00DA1B7F" w:rsidRDefault="000456AE" w:rsidP="000456AE">
      <w:r w:rsidRPr="001B3B93">
        <w:t xml:space="preserve">First, there is </w:t>
      </w:r>
      <w:r w:rsidR="006E0795">
        <w:t>p</w:t>
      </w:r>
      <w:r w:rsidRPr="001B3B93">
        <w:t xml:space="preserve">otential to better align aid and </w:t>
      </w:r>
      <w:r w:rsidRPr="00DA1B7F">
        <w:t>diplomatic engagement</w:t>
      </w:r>
      <w:r w:rsidR="00E67848" w:rsidRPr="00DA1B7F">
        <w:t xml:space="preserve"> to </w:t>
      </w:r>
      <w:r w:rsidR="009F6BB5" w:rsidRPr="00DA1B7F">
        <w:t>achieve</w:t>
      </w:r>
      <w:r w:rsidRPr="00DA1B7F">
        <w:t xml:space="preserve"> </w:t>
      </w:r>
      <w:r w:rsidR="00036AFF" w:rsidRPr="00DA1B7F">
        <w:t xml:space="preserve">the </w:t>
      </w:r>
      <w:r w:rsidRPr="00DA1B7F">
        <w:t>objectives</w:t>
      </w:r>
      <w:r w:rsidR="00B73930" w:rsidRPr="00DA1B7F">
        <w:t xml:space="preserve"> </w:t>
      </w:r>
      <w:r w:rsidR="00072982" w:rsidRPr="00DA1B7F">
        <w:t xml:space="preserve">set out in </w:t>
      </w:r>
      <w:r w:rsidR="00D34C31" w:rsidRPr="00DA1B7F">
        <w:t xml:space="preserve">the </w:t>
      </w:r>
      <w:r w:rsidR="00350298" w:rsidRPr="00DA1B7F">
        <w:rPr>
          <w:i/>
        </w:rPr>
        <w:t xml:space="preserve">2017 Foreign Policy </w:t>
      </w:r>
      <w:r w:rsidR="00B73930" w:rsidRPr="00DA1B7F">
        <w:rPr>
          <w:i/>
        </w:rPr>
        <w:t>White Paper</w:t>
      </w:r>
      <w:r w:rsidRPr="00DA1B7F">
        <w:t xml:space="preserve">. This is already occurring to a degree. </w:t>
      </w:r>
      <w:r w:rsidR="00E35ED6" w:rsidRPr="00DA1B7F">
        <w:t>In Indonesia</w:t>
      </w:r>
      <w:r w:rsidR="00036AFF" w:rsidRPr="00DA1B7F">
        <w:t>,</w:t>
      </w:r>
      <w:r w:rsidR="00B73930" w:rsidRPr="00DA1B7F">
        <w:t xml:space="preserve"> for example</w:t>
      </w:r>
      <w:r w:rsidR="00E35ED6" w:rsidRPr="00DA1B7F">
        <w:t xml:space="preserve">, DFAT </w:t>
      </w:r>
      <w:r w:rsidR="009B2B42" w:rsidRPr="00DA1B7F">
        <w:t xml:space="preserve">has used </w:t>
      </w:r>
      <w:r w:rsidR="00E67848" w:rsidRPr="00DA1B7F">
        <w:t xml:space="preserve">opportunities created by the aid program to </w:t>
      </w:r>
      <w:r w:rsidR="00B73930" w:rsidRPr="00DA1B7F">
        <w:t xml:space="preserve">engage with senior policy makers </w:t>
      </w:r>
      <w:r w:rsidR="00E67848" w:rsidRPr="00DA1B7F">
        <w:t xml:space="preserve">and </w:t>
      </w:r>
      <w:r w:rsidR="00E35ED6" w:rsidRPr="00DA1B7F">
        <w:t xml:space="preserve">convey reform messages </w:t>
      </w:r>
      <w:r w:rsidRPr="00DA1B7F">
        <w:t>that support economic partnership</w:t>
      </w:r>
      <w:r w:rsidR="002F4CE3" w:rsidRPr="00DA1B7F">
        <w:t xml:space="preserve"> objectives</w:t>
      </w:r>
      <w:r w:rsidRPr="00DA1B7F">
        <w:t xml:space="preserve">. </w:t>
      </w:r>
      <w:r w:rsidR="001B3B93" w:rsidRPr="00DA1B7F">
        <w:t xml:space="preserve">Building on </w:t>
      </w:r>
      <w:r w:rsidR="00CB51A3" w:rsidRPr="00DA1B7F">
        <w:t>these efforts</w:t>
      </w:r>
      <w:r w:rsidRPr="00DA1B7F">
        <w:t xml:space="preserve">, </w:t>
      </w:r>
      <w:r w:rsidR="00E35ED6" w:rsidRPr="00DA1B7F">
        <w:t xml:space="preserve">there is scope </w:t>
      </w:r>
      <w:r w:rsidR="00072982" w:rsidRPr="00DA1B7F">
        <w:t xml:space="preserve">for DFAT to use aid programs more effectively as platforms for diplomatic engagement, and to articulate its </w:t>
      </w:r>
      <w:r w:rsidR="002D4CCC" w:rsidRPr="00DA1B7F">
        <w:t xml:space="preserve">influencing goals </w:t>
      </w:r>
      <w:r w:rsidR="00072982" w:rsidRPr="00DA1B7F">
        <w:t xml:space="preserve">more explicitly so they can be </w:t>
      </w:r>
      <w:r w:rsidR="002D4CCC" w:rsidRPr="00DA1B7F">
        <w:t>pursue</w:t>
      </w:r>
      <w:r w:rsidR="00072982" w:rsidRPr="00DA1B7F">
        <w:t>d</w:t>
      </w:r>
      <w:r w:rsidR="002D4CCC" w:rsidRPr="00DA1B7F">
        <w:t xml:space="preserve"> </w:t>
      </w:r>
      <w:r w:rsidRPr="00DA1B7F">
        <w:t xml:space="preserve">more </w:t>
      </w:r>
      <w:r w:rsidR="00072982" w:rsidRPr="00DA1B7F">
        <w:t xml:space="preserve">consistently </w:t>
      </w:r>
      <w:r w:rsidRPr="00DA1B7F">
        <w:t>and strategically</w:t>
      </w:r>
      <w:r w:rsidR="00E67848" w:rsidRPr="00DA1B7F">
        <w:t xml:space="preserve"> through the aid program and diplomatic</w:t>
      </w:r>
      <w:r w:rsidR="00072982" w:rsidRPr="00DA1B7F">
        <w:t xml:space="preserve"> engagement</w:t>
      </w:r>
      <w:r w:rsidRPr="00DA1B7F">
        <w:t>.</w:t>
      </w:r>
    </w:p>
    <w:p w14:paraId="2EB681D9" w14:textId="3301595A" w:rsidR="00072982" w:rsidRDefault="000456AE" w:rsidP="00083856">
      <w:r w:rsidRPr="00DA1B7F">
        <w:t xml:space="preserve">Second, </w:t>
      </w:r>
      <w:r w:rsidR="00072982" w:rsidRPr="00DA1B7F">
        <w:t xml:space="preserve">Australia is negotiating </w:t>
      </w:r>
      <w:r w:rsidRPr="00DA1B7F">
        <w:t xml:space="preserve">bilateral </w:t>
      </w:r>
      <w:r w:rsidR="00036AFF" w:rsidRPr="00DA1B7F">
        <w:t xml:space="preserve">and regional </w:t>
      </w:r>
      <w:r w:rsidRPr="00DA1B7F">
        <w:t>free trade agreements</w:t>
      </w:r>
      <w:r w:rsidR="00072982" w:rsidRPr="00DA1B7F">
        <w:t xml:space="preserve"> that include provision</w:t>
      </w:r>
      <w:r w:rsidR="00350298" w:rsidRPr="00DA1B7F">
        <w:t>s</w:t>
      </w:r>
      <w:r w:rsidR="00072982" w:rsidRPr="00DA1B7F">
        <w:t xml:space="preserve"> for broader economic cooperation</w:t>
      </w:r>
      <w:r w:rsidR="004E76A9" w:rsidRPr="00DA1B7F">
        <w:t>,</w:t>
      </w:r>
      <w:r w:rsidR="00072982" w:rsidRPr="00DA1B7F">
        <w:t xml:space="preserve"> including pledges of Australian support to help partner countries </w:t>
      </w:r>
      <w:r w:rsidR="00036AFF" w:rsidRPr="00DA1B7F">
        <w:t>take advantage</w:t>
      </w:r>
      <w:r w:rsidR="00036AFF">
        <w:t xml:space="preserve"> of new trading opportunities by improving their business regulations and addressing supply-side constraints. </w:t>
      </w:r>
      <w:r w:rsidR="00072982">
        <w:t xml:space="preserve">These more ambitious </w:t>
      </w:r>
      <w:r w:rsidR="009F7CD2" w:rsidRPr="001B3B93">
        <w:t xml:space="preserve">trade agreements </w:t>
      </w:r>
      <w:r w:rsidR="00072982">
        <w:t xml:space="preserve">offer </w:t>
      </w:r>
      <w:r w:rsidR="009F7CD2" w:rsidRPr="001B3B93">
        <w:t xml:space="preserve">an opportunity </w:t>
      </w:r>
      <w:r w:rsidR="00072982">
        <w:t>to use Australian aid to promote reforms that will deepen trade and investment ties, with benefits to firms in both countries.</w:t>
      </w:r>
    </w:p>
    <w:p w14:paraId="2729A172" w14:textId="70747CC7" w:rsidR="000456AE" w:rsidRPr="001B3B93" w:rsidRDefault="004E76A9" w:rsidP="000456AE">
      <w:r>
        <w:t>Third</w:t>
      </w:r>
      <w:r w:rsidR="002D4CCC" w:rsidRPr="001B3B93">
        <w:t>, t</w:t>
      </w:r>
      <w:r w:rsidR="000456AE" w:rsidRPr="001B3B93">
        <w:t xml:space="preserve">here may also be scope for </w:t>
      </w:r>
      <w:r w:rsidR="00083856">
        <w:t xml:space="preserve">targeting </w:t>
      </w:r>
      <w:r w:rsidR="000456AE" w:rsidRPr="001B3B93">
        <w:t xml:space="preserve">aid </w:t>
      </w:r>
      <w:r w:rsidR="00083856">
        <w:t xml:space="preserve">towards </w:t>
      </w:r>
      <w:r w:rsidR="000456AE" w:rsidRPr="001B3B93">
        <w:t xml:space="preserve">sectors that offer opportunities for mutual benefit. Provided the interests of the two countries are complementary, rather than competitive, then it is legitimate to use aid to support partner country objectives in sectors that might eventually offer opportunities for Australian companies. </w:t>
      </w:r>
      <w:r w:rsidR="00D34C31">
        <w:t xml:space="preserve">In Indonesia, for example, Australian support for the vocational training sector could simultaneously create opportunities for Australian firms and help address skills gaps in the Indonesian labour force. </w:t>
      </w:r>
      <w:r w:rsidR="000456AE" w:rsidRPr="001B3B93">
        <w:t xml:space="preserve">However, it is important to be transparent about the Australian interests involved and ensure that programs follow both the international </w:t>
      </w:r>
      <w:bookmarkStart w:id="24" w:name="_Hlk520957586"/>
      <w:r w:rsidR="000456AE" w:rsidRPr="001B3B93">
        <w:t>O</w:t>
      </w:r>
      <w:r>
        <w:t>fficial Development Assistance (O</w:t>
      </w:r>
      <w:r w:rsidR="000456AE" w:rsidRPr="001B3B93">
        <w:t>DA</w:t>
      </w:r>
      <w:r>
        <w:t>)</w:t>
      </w:r>
      <w:r w:rsidR="000456AE" w:rsidRPr="001B3B93">
        <w:t xml:space="preserve"> </w:t>
      </w:r>
      <w:bookmarkEnd w:id="24"/>
      <w:r w:rsidR="000456AE" w:rsidRPr="001B3B93">
        <w:t xml:space="preserve">definition and principles of good development practice. </w:t>
      </w:r>
      <w:r w:rsidR="00A925D2">
        <w:t>Successfully balancing the different interests requires some learning.</w:t>
      </w:r>
    </w:p>
    <w:p w14:paraId="03234991" w14:textId="77777777" w:rsidR="00283D26" w:rsidRPr="001B3B93" w:rsidRDefault="00283D26" w:rsidP="00677216">
      <w:pPr>
        <w:pStyle w:val="Footer"/>
      </w:pPr>
    </w:p>
    <w:tbl>
      <w:tblPr>
        <w:tblStyle w:val="TableGrid"/>
        <w:tblW w:w="10644" w:type="dxa"/>
        <w:tblBorders>
          <w:bottom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58"/>
        <w:gridCol w:w="10086"/>
      </w:tblGrid>
      <w:tr w:rsidR="000456AE" w:rsidRPr="001B3B93" w14:paraId="470E722B" w14:textId="77777777" w:rsidTr="00C342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8" w:type="dxa"/>
            <w:shd w:val="clear" w:color="auto" w:fill="auto"/>
            <w:vAlign w:val="center"/>
          </w:tcPr>
          <w:p w14:paraId="7BC9F4CC" w14:textId="77777777" w:rsidR="000456AE" w:rsidRPr="001B3B93" w:rsidRDefault="000456AE" w:rsidP="00C3422A">
            <w:pPr>
              <w:rPr>
                <w:rFonts w:cstheme="minorHAnsi"/>
                <w:b/>
                <w:color w:val="65C5B4" w:themeColor="background2"/>
                <w:szCs w:val="23"/>
              </w:rPr>
            </w:pPr>
          </w:p>
        </w:tc>
        <w:tc>
          <w:tcPr>
            <w:tcW w:w="10086" w:type="dxa"/>
            <w:tcBorders>
              <w:bottom w:val="single" w:sz="2" w:space="0" w:color="FFFFFF" w:themeColor="background1"/>
            </w:tcBorders>
            <w:vAlign w:val="center"/>
          </w:tcPr>
          <w:p w14:paraId="0DC12E00" w14:textId="79C59385" w:rsidR="000456AE" w:rsidRPr="001B3B93" w:rsidRDefault="00C20700" w:rsidP="009C5B0C">
            <w:pPr>
              <w:cnfStyle w:val="100000000000" w:firstRow="1" w:lastRow="0" w:firstColumn="0" w:lastColumn="0" w:oddVBand="0" w:evenVBand="0" w:oddHBand="0" w:evenHBand="0" w:firstRowFirstColumn="0" w:firstRowLastColumn="0" w:lastRowFirstColumn="0" w:lastRowLastColumn="0"/>
              <w:rPr>
                <w:rFonts w:cstheme="minorHAnsi"/>
                <w:b/>
                <w:color w:val="65C5B4" w:themeColor="background2"/>
                <w:spacing w:val="4"/>
                <w:sz w:val="28"/>
                <w:szCs w:val="28"/>
              </w:rPr>
            </w:pPr>
            <w:r>
              <w:rPr>
                <w:rFonts w:cstheme="minorHAnsi"/>
                <w:b/>
                <w:color w:val="FFFFFF" w:themeColor="background1"/>
                <w:spacing w:val="4"/>
                <w:sz w:val="28"/>
                <w:szCs w:val="28"/>
              </w:rPr>
              <w:t>R</w:t>
            </w:r>
            <w:r w:rsidR="000456AE" w:rsidRPr="001B3B93">
              <w:rPr>
                <w:rFonts w:cstheme="minorHAnsi"/>
                <w:b/>
                <w:color w:val="FFFFFF" w:themeColor="background1"/>
                <w:spacing w:val="4"/>
                <w:sz w:val="28"/>
                <w:szCs w:val="28"/>
              </w:rPr>
              <w:t>ecommendations</w:t>
            </w:r>
          </w:p>
        </w:tc>
      </w:tr>
      <w:tr w:rsidR="000456AE" w:rsidRPr="001B3B93" w14:paraId="346B8419" w14:textId="77777777" w:rsidTr="00C3422A">
        <w:tc>
          <w:tcPr>
            <w:cnfStyle w:val="001000000000" w:firstRow="0" w:lastRow="0" w:firstColumn="1" w:lastColumn="0" w:oddVBand="0" w:evenVBand="0" w:oddHBand="0" w:evenHBand="0" w:firstRowFirstColumn="0" w:firstRowLastColumn="0" w:lastRowFirstColumn="0" w:lastRowLastColumn="0"/>
            <w:tcW w:w="558" w:type="dxa"/>
            <w:shd w:val="clear" w:color="auto" w:fill="485865" w:themeFill="text2"/>
          </w:tcPr>
          <w:p w14:paraId="103EAFFE" w14:textId="77777777" w:rsidR="000456AE" w:rsidRPr="001B3B93" w:rsidRDefault="000456AE" w:rsidP="00C3422A">
            <w:pPr>
              <w:rPr>
                <w:rFonts w:cstheme="minorHAnsi"/>
                <w:b/>
                <w:color w:val="65C5B4" w:themeColor="background2"/>
                <w:sz w:val="28"/>
                <w:szCs w:val="28"/>
              </w:rPr>
            </w:pPr>
          </w:p>
        </w:tc>
        <w:tc>
          <w:tcPr>
            <w:tcW w:w="10086" w:type="dxa"/>
            <w:tcBorders>
              <w:top w:val="single" w:sz="2" w:space="0" w:color="FFFFFF" w:themeColor="background1"/>
            </w:tcBorders>
            <w:shd w:val="clear" w:color="auto" w:fill="D8DBDA" w:themeFill="accent5"/>
          </w:tcPr>
          <w:p w14:paraId="4FF26AFB" w14:textId="2BB93D2B" w:rsidR="009F7CD2" w:rsidRPr="001B3B93" w:rsidRDefault="000456AE" w:rsidP="000C55B6">
            <w:pPr>
              <w:pStyle w:val="ListBullet"/>
              <w:numPr>
                <w:ilvl w:val="0"/>
                <w:numId w:val="27"/>
              </w:numPr>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Within each </w:t>
            </w:r>
            <w:r w:rsidR="00944CA8" w:rsidRPr="001B3B93">
              <w:rPr>
                <w:b/>
                <w:color w:val="auto"/>
              </w:rPr>
              <w:t xml:space="preserve">of its </w:t>
            </w:r>
            <w:r w:rsidRPr="001B3B93">
              <w:rPr>
                <w:b/>
                <w:color w:val="auto"/>
              </w:rPr>
              <w:t>economic partnership</w:t>
            </w:r>
            <w:r w:rsidR="00944CA8" w:rsidRPr="001B3B93">
              <w:rPr>
                <w:b/>
                <w:color w:val="auto"/>
              </w:rPr>
              <w:t>s with ODA</w:t>
            </w:r>
            <w:r w:rsidR="002F6E32">
              <w:rPr>
                <w:b/>
                <w:color w:val="auto"/>
              </w:rPr>
              <w:t>-</w:t>
            </w:r>
            <w:r w:rsidR="00944CA8" w:rsidRPr="001B3B93">
              <w:rPr>
                <w:b/>
                <w:color w:val="auto"/>
              </w:rPr>
              <w:t>eligible countries</w:t>
            </w:r>
            <w:r w:rsidRPr="001B3B93">
              <w:rPr>
                <w:b/>
                <w:color w:val="auto"/>
              </w:rPr>
              <w:t>, DFAT should</w:t>
            </w:r>
            <w:r w:rsidR="009F7CD2" w:rsidRPr="001B3B93">
              <w:rPr>
                <w:b/>
                <w:color w:val="auto"/>
              </w:rPr>
              <w:t>:</w:t>
            </w:r>
          </w:p>
          <w:p w14:paraId="21FEF282" w14:textId="04EC23F1" w:rsidR="000456AE" w:rsidRDefault="000456AE"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articulate influencing objectives and ensure that the messaging is consistent across </w:t>
            </w:r>
            <w:r w:rsidR="00342019" w:rsidRPr="001B3B93">
              <w:rPr>
                <w:b/>
                <w:color w:val="auto"/>
              </w:rPr>
              <w:t xml:space="preserve">its </w:t>
            </w:r>
            <w:r w:rsidRPr="001B3B93">
              <w:rPr>
                <w:b/>
                <w:color w:val="auto"/>
              </w:rPr>
              <w:t>aid</w:t>
            </w:r>
            <w:r w:rsidR="003937A3" w:rsidRPr="001B3B93">
              <w:rPr>
                <w:b/>
                <w:color w:val="auto"/>
              </w:rPr>
              <w:t>, trade</w:t>
            </w:r>
            <w:r w:rsidRPr="001B3B93">
              <w:rPr>
                <w:b/>
                <w:color w:val="auto"/>
              </w:rPr>
              <w:t xml:space="preserve"> and diplomatic engagements</w:t>
            </w:r>
          </w:p>
          <w:p w14:paraId="1FBD8B48" w14:textId="7D8CB7F5" w:rsidR="002F6E32" w:rsidRPr="008A3CF5" w:rsidRDefault="002F6E32"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8A3CF5">
              <w:rPr>
                <w:b/>
                <w:color w:val="auto"/>
              </w:rPr>
              <w:t xml:space="preserve">focus its aid for trade investments on helping partner countries to </w:t>
            </w:r>
            <w:r w:rsidR="00FC2E92" w:rsidRPr="008A3CF5">
              <w:rPr>
                <w:b/>
                <w:color w:val="auto"/>
              </w:rPr>
              <w:t xml:space="preserve">take advantage of opportunities </w:t>
            </w:r>
            <w:r w:rsidR="00A925D2" w:rsidRPr="008A3CF5">
              <w:rPr>
                <w:b/>
                <w:color w:val="auto"/>
              </w:rPr>
              <w:t>in</w:t>
            </w:r>
            <w:r w:rsidR="00FC2E92" w:rsidRPr="008A3CF5">
              <w:rPr>
                <w:b/>
                <w:color w:val="auto"/>
              </w:rPr>
              <w:t xml:space="preserve"> bilateral and regional free trade agreements</w:t>
            </w:r>
          </w:p>
          <w:p w14:paraId="4CAA181A" w14:textId="77777777" w:rsidR="000456AE" w:rsidRPr="001B3B93" w:rsidRDefault="009D7A7C"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65C5B4" w:themeColor="background2"/>
              </w:rPr>
            </w:pPr>
            <w:r w:rsidRPr="001B3B93">
              <w:rPr>
                <w:b/>
                <w:color w:val="auto"/>
              </w:rPr>
              <w:t>look for opportunities to provide development assistance in</w:t>
            </w:r>
            <w:r w:rsidR="003937A3" w:rsidRPr="001B3B93">
              <w:rPr>
                <w:b/>
                <w:color w:val="auto"/>
              </w:rPr>
              <w:t xml:space="preserve"> sectors that offer the potential for mutual benefit, in ways that meet the conditions for good development practice</w:t>
            </w:r>
            <w:r w:rsidR="000456AE" w:rsidRPr="001B3B93">
              <w:rPr>
                <w:b/>
                <w:color w:val="auto"/>
              </w:rPr>
              <w:t>.</w:t>
            </w:r>
          </w:p>
        </w:tc>
      </w:tr>
    </w:tbl>
    <w:p w14:paraId="1BB78714" w14:textId="77777777" w:rsidR="000456AE" w:rsidRPr="001B3B93" w:rsidRDefault="000456AE" w:rsidP="000456AE">
      <w:pPr>
        <w:rPr>
          <w:i/>
          <w:color w:val="296C60" w:themeColor="background2" w:themeShade="80"/>
          <w:szCs w:val="23"/>
        </w:rPr>
      </w:pPr>
    </w:p>
    <w:p w14:paraId="6AC5D57E" w14:textId="77777777" w:rsidR="000456AE" w:rsidRPr="001B3B93" w:rsidRDefault="000456AE" w:rsidP="000456AE">
      <w:pPr>
        <w:pStyle w:val="Heading4"/>
        <w:rPr>
          <w:rFonts w:eastAsia="Calibri"/>
        </w:rPr>
      </w:pPr>
      <w:r w:rsidRPr="001B3B93">
        <w:rPr>
          <w:rFonts w:eastAsia="Calibri"/>
        </w:rPr>
        <w:t>Delivering results</w:t>
      </w:r>
    </w:p>
    <w:p w14:paraId="429C2AB3" w14:textId="5B353B7E" w:rsidR="00B2707E" w:rsidRPr="00967449" w:rsidRDefault="00B2707E" w:rsidP="00F57862">
      <w:r w:rsidRPr="00967449">
        <w:t xml:space="preserve">The evaluation finds that knowledge-based assistance </w:t>
      </w:r>
      <w:r w:rsidR="008B1FB3">
        <w:t xml:space="preserve">is </w:t>
      </w:r>
      <w:r w:rsidR="00D34C31">
        <w:t>mak</w:t>
      </w:r>
      <w:r w:rsidR="008B1FB3">
        <w:t>ing</w:t>
      </w:r>
      <w:r w:rsidR="00D34C31">
        <w:t xml:space="preserve"> a useful contribution to </w:t>
      </w:r>
      <w:r w:rsidR="008B1FB3">
        <w:t xml:space="preserve">supporting </w:t>
      </w:r>
      <w:r w:rsidR="00D34C31">
        <w:t>reform and improving national development expenditure</w:t>
      </w:r>
      <w:r w:rsidR="00A77D70">
        <w:t xml:space="preserve"> in the case study countries</w:t>
      </w:r>
      <w:r w:rsidR="00D34C31">
        <w:t xml:space="preserve">. </w:t>
      </w:r>
      <w:r w:rsidR="00805C6E">
        <w:t xml:space="preserve">Policy making </w:t>
      </w:r>
      <w:r w:rsidR="008B1FB3">
        <w:t xml:space="preserve">is a complex process and </w:t>
      </w:r>
      <w:r w:rsidR="00083856">
        <w:t xml:space="preserve">it can be </w:t>
      </w:r>
      <w:r w:rsidRPr="00967449">
        <w:t xml:space="preserve">difficult to </w:t>
      </w:r>
      <w:r w:rsidR="00CB51A3" w:rsidRPr="00967449">
        <w:t xml:space="preserve">determine </w:t>
      </w:r>
      <w:r w:rsidR="00083856">
        <w:t xml:space="preserve">how </w:t>
      </w:r>
      <w:r w:rsidR="008B1FB3">
        <w:t xml:space="preserve">influential </w:t>
      </w:r>
      <w:r w:rsidRPr="00967449">
        <w:t xml:space="preserve">Australian assistance </w:t>
      </w:r>
      <w:r w:rsidR="00083856">
        <w:t xml:space="preserve">has </w:t>
      </w:r>
      <w:r w:rsidR="008B1FB3">
        <w:t xml:space="preserve">been on </w:t>
      </w:r>
      <w:r w:rsidRPr="00967449">
        <w:t xml:space="preserve">specific reform outcomes. However, </w:t>
      </w:r>
      <w:r w:rsidR="008B1FB3">
        <w:t xml:space="preserve">in </w:t>
      </w:r>
      <w:r w:rsidR="004E76A9">
        <w:t>Indonesia and Vietnam</w:t>
      </w:r>
      <w:r w:rsidR="008B1FB3">
        <w:t xml:space="preserve">, </w:t>
      </w:r>
      <w:r w:rsidRPr="00967449">
        <w:t xml:space="preserve">Australian aid </w:t>
      </w:r>
      <w:r w:rsidR="00083856">
        <w:t xml:space="preserve">is providing quality technical and analytical inputs to support </w:t>
      </w:r>
      <w:r w:rsidR="00805C6E">
        <w:t>policy making and has</w:t>
      </w:r>
      <w:r w:rsidR="004E76A9">
        <w:t>,</w:t>
      </w:r>
      <w:r w:rsidR="00805C6E">
        <w:t xml:space="preserve"> </w:t>
      </w:r>
      <w:r w:rsidR="008B1FB3">
        <w:t>at times</w:t>
      </w:r>
      <w:r w:rsidR="004E76A9">
        <w:t>,</w:t>
      </w:r>
      <w:r w:rsidR="008B1FB3">
        <w:t xml:space="preserve"> </w:t>
      </w:r>
      <w:r w:rsidR="00805C6E">
        <w:t xml:space="preserve">been instrumental </w:t>
      </w:r>
      <w:r w:rsidR="008B1FB3">
        <w:t xml:space="preserve">in the design and implementation of important </w:t>
      </w:r>
      <w:r w:rsidR="00CB51A3" w:rsidRPr="00967449">
        <w:t>reform</w:t>
      </w:r>
      <w:r w:rsidR="00805C6E">
        <w:t>s</w:t>
      </w:r>
      <w:r w:rsidRPr="00967449">
        <w:t xml:space="preserve">. There are many examples, but </w:t>
      </w:r>
      <w:r w:rsidR="00805C6E">
        <w:t>p</w:t>
      </w:r>
      <w:r w:rsidR="00CB51A3" w:rsidRPr="00967449">
        <w:t xml:space="preserve">erhaps the most impressive </w:t>
      </w:r>
      <w:r w:rsidRPr="00967449">
        <w:t xml:space="preserve">is the work Australia has supported to improve the coverage and targeting </w:t>
      </w:r>
      <w:r w:rsidR="00CB51A3" w:rsidRPr="00967449">
        <w:t xml:space="preserve">of </w:t>
      </w:r>
      <w:r w:rsidRPr="00967449">
        <w:t xml:space="preserve">Indonesia’s social </w:t>
      </w:r>
      <w:r w:rsidR="00083856">
        <w:t xml:space="preserve">protection </w:t>
      </w:r>
      <w:r w:rsidRPr="00967449">
        <w:t xml:space="preserve">system. This has underpinned President Widodo’s successful efforts to </w:t>
      </w:r>
      <w:r w:rsidR="00083856">
        <w:t xml:space="preserve">ensure that only </w:t>
      </w:r>
      <w:r w:rsidR="00083856">
        <w:lastRenderedPageBreak/>
        <w:t>genuinely poor households receive electricity subsidies, leading to</w:t>
      </w:r>
      <w:r w:rsidRPr="00967449">
        <w:t xml:space="preserve"> savings of approximately AUD</w:t>
      </w:r>
      <w:r w:rsidR="00083856">
        <w:t>1.6</w:t>
      </w:r>
      <w:r w:rsidRPr="00967449">
        <w:t xml:space="preserve"> billion </w:t>
      </w:r>
      <w:r w:rsidR="00083856">
        <w:t xml:space="preserve">for </w:t>
      </w:r>
      <w:r w:rsidRPr="00967449">
        <w:t xml:space="preserve">the </w:t>
      </w:r>
      <w:r w:rsidR="00CB51A3" w:rsidRPr="00967449">
        <w:t>n</w:t>
      </w:r>
      <w:r w:rsidRPr="00967449">
        <w:t>ational budget.</w:t>
      </w:r>
    </w:p>
    <w:p w14:paraId="7C1EEC77" w14:textId="080D5040" w:rsidR="00B2707E" w:rsidRDefault="00B2707E" w:rsidP="000456AE">
      <w:r w:rsidRPr="00CB51A3">
        <w:t xml:space="preserve">In Vietnam, the knowledge-based </w:t>
      </w:r>
      <w:r w:rsidR="009F6BB5">
        <w:t>assistance</w:t>
      </w:r>
      <w:r w:rsidRPr="00CB51A3">
        <w:t xml:space="preserve"> is not as mature, but the work on competition policy is well positioned to address a major barrier to economic transition, which is the dominance of the economy by state-owned enterprises.</w:t>
      </w:r>
    </w:p>
    <w:p w14:paraId="40072FE4" w14:textId="4424932F" w:rsidR="000456AE" w:rsidRPr="001B3B93" w:rsidRDefault="000456AE" w:rsidP="000456AE">
      <w:r w:rsidRPr="001B3B93">
        <w:t xml:space="preserve">While </w:t>
      </w:r>
      <w:r w:rsidR="00C5745F">
        <w:t xml:space="preserve">the aid program can cite </w:t>
      </w:r>
      <w:r w:rsidRPr="001B3B93">
        <w:t xml:space="preserve">impressive achievements, it is important not to overstate the level of influence that can be achieved </w:t>
      </w:r>
      <w:r w:rsidR="00B73930" w:rsidRPr="001B3B93">
        <w:t>as an external actor</w:t>
      </w:r>
      <w:r w:rsidRPr="001B3B93">
        <w:t xml:space="preserve">. </w:t>
      </w:r>
      <w:r w:rsidR="002B612D" w:rsidRPr="00DA1B7F">
        <w:t>Policy</w:t>
      </w:r>
      <w:r w:rsidR="00350298" w:rsidRPr="00DA1B7F">
        <w:t xml:space="preserve"> </w:t>
      </w:r>
      <w:r w:rsidR="002B612D" w:rsidRPr="00DA1B7F">
        <w:t>making is</w:t>
      </w:r>
      <w:r w:rsidRPr="001B3B93">
        <w:t xml:space="preserve"> unpredictable and subject to many factors beyond Australia’s control. Knowledge-based</w:t>
      </w:r>
      <w:r w:rsidR="009F6BB5">
        <w:t xml:space="preserve"> assistance</w:t>
      </w:r>
      <w:r w:rsidRPr="001B3B93">
        <w:t xml:space="preserve"> works by allying with national reformers and helping to improve their prospects of success</w:t>
      </w:r>
      <w:r w:rsidR="002B612D" w:rsidRPr="001B3B93">
        <w:t>, but even with reform constituencies to work with there are no guarantee</w:t>
      </w:r>
      <w:r w:rsidR="009532EC">
        <w:t>s</w:t>
      </w:r>
      <w:r w:rsidR="002B612D" w:rsidRPr="001B3B93">
        <w:t xml:space="preserve"> </w:t>
      </w:r>
      <w:r w:rsidR="009532EC">
        <w:t xml:space="preserve">that </w:t>
      </w:r>
      <w:r w:rsidR="002B612D" w:rsidRPr="001B3B93">
        <w:t xml:space="preserve">good reforms will </w:t>
      </w:r>
      <w:r w:rsidR="00E213A0">
        <w:t>proceed</w:t>
      </w:r>
      <w:r w:rsidRPr="001B3B93">
        <w:t>.</w:t>
      </w:r>
      <w:r w:rsidR="00A03423">
        <w:t xml:space="preserve"> </w:t>
      </w:r>
      <w:r w:rsidR="00E213A0">
        <w:t xml:space="preserve">Even when </w:t>
      </w:r>
      <w:r w:rsidR="00A03423">
        <w:t xml:space="preserve">they do, </w:t>
      </w:r>
      <w:r w:rsidR="00E213A0">
        <w:t>support often needs to be sustained through implementation, to help guard against setbacks and reversals</w:t>
      </w:r>
      <w:r w:rsidR="00A03423">
        <w:t>.</w:t>
      </w:r>
    </w:p>
    <w:p w14:paraId="0DF621B3" w14:textId="2296BC5C" w:rsidR="00F57862" w:rsidRDefault="003937A3" w:rsidP="000456AE">
      <w:r w:rsidRPr="001B3B93">
        <w:t>In the case study countries,</w:t>
      </w:r>
      <w:r w:rsidR="00EE7A51">
        <w:t xml:space="preserve"> the evaluation team</w:t>
      </w:r>
      <w:r w:rsidR="004E76A9">
        <w:t xml:space="preserve"> </w:t>
      </w:r>
      <w:r w:rsidR="00E213A0">
        <w:t xml:space="preserve">assessed which approaches </w:t>
      </w:r>
      <w:r w:rsidR="002A1BE0" w:rsidRPr="00931B2A">
        <w:t>t</w:t>
      </w:r>
      <w:r w:rsidR="00E213A0" w:rsidRPr="00931B2A">
        <w:t xml:space="preserve">o </w:t>
      </w:r>
      <w:r w:rsidR="007705A8" w:rsidRPr="00931B2A">
        <w:t>knowledge-based assistance</w:t>
      </w:r>
      <w:r w:rsidR="00E213A0">
        <w:t xml:space="preserve"> were provi</w:t>
      </w:r>
      <w:r w:rsidR="00190213">
        <w:t xml:space="preserve">ng </w:t>
      </w:r>
      <w:r w:rsidR="00B715C9">
        <w:t xml:space="preserve">to be </w:t>
      </w:r>
      <w:r w:rsidR="00E213A0">
        <w:t>effective</w:t>
      </w:r>
      <w:r w:rsidR="00275E01">
        <w:t>.</w:t>
      </w:r>
    </w:p>
    <w:p w14:paraId="3F7D549E" w14:textId="20B0295A" w:rsidR="0035434A" w:rsidRPr="001B3B93" w:rsidRDefault="003937A3" w:rsidP="000C55B6">
      <w:pPr>
        <w:pStyle w:val="ListParagraph"/>
        <w:numPr>
          <w:ilvl w:val="0"/>
          <w:numId w:val="28"/>
        </w:numPr>
      </w:pPr>
      <w:r w:rsidRPr="001B3B93">
        <w:rPr>
          <w:b/>
        </w:rPr>
        <w:t xml:space="preserve">Economic governance facilities </w:t>
      </w:r>
      <w:r w:rsidRPr="001B3B93">
        <w:t xml:space="preserve">play a central role in </w:t>
      </w:r>
      <w:r w:rsidR="00292CB6">
        <w:t xml:space="preserve">the </w:t>
      </w:r>
      <w:r w:rsidRPr="001B3B93">
        <w:t>economic partnership</w:t>
      </w:r>
      <w:r w:rsidR="00190213">
        <w:t>s</w:t>
      </w:r>
      <w:r w:rsidRPr="001B3B93">
        <w:t xml:space="preserve">, </w:t>
      </w:r>
      <w:r w:rsidR="00B97828">
        <w:t>offering</w:t>
      </w:r>
      <w:r w:rsidR="00B97828" w:rsidRPr="001B3B93">
        <w:t xml:space="preserve"> </w:t>
      </w:r>
      <w:r w:rsidR="0051751B" w:rsidRPr="001B3B93">
        <w:t xml:space="preserve">a flexible package of </w:t>
      </w:r>
      <w:r w:rsidRPr="001B3B93">
        <w:t>research and analysis, technical advice and capacity building services across a range of economic and social policy areas</w:t>
      </w:r>
      <w:r w:rsidR="00275E01">
        <w:t>, and enabling Australia to position itself as a responsive partner to policy makers</w:t>
      </w:r>
      <w:r w:rsidRPr="001B3B93">
        <w:t xml:space="preserve">. </w:t>
      </w:r>
      <w:r w:rsidR="00441AB7">
        <w:t>They build relationships over time with key counterparts, with the flexibility to respond to reform opportunities as they emerge.</w:t>
      </w:r>
    </w:p>
    <w:p w14:paraId="722EA94A" w14:textId="58B52740" w:rsidR="000456AE" w:rsidRPr="001B3B93" w:rsidRDefault="000456AE" w:rsidP="000C55B6">
      <w:pPr>
        <w:pStyle w:val="ListParagraph"/>
        <w:numPr>
          <w:ilvl w:val="0"/>
          <w:numId w:val="28"/>
        </w:numPr>
      </w:pPr>
      <w:r w:rsidRPr="001B3B93">
        <w:rPr>
          <w:b/>
        </w:rPr>
        <w:t>Peer-to-peer partnerships</w:t>
      </w:r>
      <w:r w:rsidRPr="001B3B93">
        <w:t xml:space="preserve"> between </w:t>
      </w:r>
      <w:bookmarkStart w:id="25" w:name="_Hlk520957914"/>
      <w:r w:rsidRPr="001B3B93">
        <w:t>Australian government institutions</w:t>
      </w:r>
      <w:bookmarkEnd w:id="25"/>
      <w:r w:rsidRPr="001B3B93">
        <w:t xml:space="preserve"> and their counterparts in the partner countries help to build lasting ties between institutions and individuals, to the benefit of both sides.</w:t>
      </w:r>
    </w:p>
    <w:p w14:paraId="0321623D" w14:textId="38100EA2" w:rsidR="000456AE" w:rsidRPr="001B3B93" w:rsidRDefault="00A73BA9" w:rsidP="000C55B6">
      <w:pPr>
        <w:pStyle w:val="ListParagraph"/>
        <w:numPr>
          <w:ilvl w:val="0"/>
          <w:numId w:val="29"/>
        </w:numPr>
      </w:pPr>
      <w:r>
        <w:rPr>
          <w:b/>
        </w:rPr>
        <w:t xml:space="preserve">Asian Development Bank and World Bank </w:t>
      </w:r>
      <w:r w:rsidR="000456AE" w:rsidRPr="001B3B93">
        <w:rPr>
          <w:b/>
        </w:rPr>
        <w:t>trust funds</w:t>
      </w:r>
      <w:r w:rsidR="000456AE" w:rsidRPr="001B3B93">
        <w:t xml:space="preserve"> </w:t>
      </w:r>
      <w:r w:rsidR="00275E01">
        <w:t xml:space="preserve">help to </w:t>
      </w:r>
      <w:r w:rsidR="00B97828">
        <w:t xml:space="preserve">boost </w:t>
      </w:r>
      <w:r>
        <w:t xml:space="preserve">their </w:t>
      </w:r>
      <w:r w:rsidR="000456AE" w:rsidRPr="001B3B93">
        <w:t>capacity to provide research and analysis</w:t>
      </w:r>
      <w:r w:rsidR="00275E01">
        <w:t xml:space="preserve"> to the partner countries</w:t>
      </w:r>
      <w:r w:rsidR="002F4CE3">
        <w:t>. I</w:t>
      </w:r>
      <w:r w:rsidR="000456AE" w:rsidRPr="001B3B93">
        <w:t>n the right conditions</w:t>
      </w:r>
      <w:r w:rsidR="002F4CE3">
        <w:t>, this</w:t>
      </w:r>
      <w:r w:rsidR="000456AE" w:rsidRPr="001B3B93">
        <w:t xml:space="preserve"> </w:t>
      </w:r>
      <w:r w:rsidR="00275E01">
        <w:t xml:space="preserve">can improve the quality of </w:t>
      </w:r>
      <w:r w:rsidR="000456AE" w:rsidRPr="001B3B93">
        <w:t xml:space="preserve">other </w:t>
      </w:r>
      <w:bookmarkStart w:id="26" w:name="_Hlk520958002"/>
      <w:r w:rsidR="002F4CE3">
        <w:t>M</w:t>
      </w:r>
      <w:r w:rsidR="000456AE" w:rsidRPr="001B3B93">
        <w:t xml:space="preserve">DB </w:t>
      </w:r>
      <w:bookmarkEnd w:id="26"/>
      <w:r w:rsidR="00275E01">
        <w:t>finance</w:t>
      </w:r>
      <w:r w:rsidR="000456AE" w:rsidRPr="001B3B93">
        <w:t>.</w:t>
      </w:r>
    </w:p>
    <w:p w14:paraId="32C2766F" w14:textId="15A6C076" w:rsidR="000456AE" w:rsidRPr="001B3B93" w:rsidRDefault="007E4C67" w:rsidP="000C55B6">
      <w:pPr>
        <w:pStyle w:val="ListParagraph"/>
        <w:numPr>
          <w:ilvl w:val="0"/>
          <w:numId w:val="29"/>
        </w:numPr>
      </w:pPr>
      <w:r w:rsidRPr="001B3B93">
        <w:rPr>
          <w:b/>
        </w:rPr>
        <w:t>I</w:t>
      </w:r>
      <w:r w:rsidR="000456AE" w:rsidRPr="001B3B93">
        <w:rPr>
          <w:b/>
        </w:rPr>
        <w:t xml:space="preserve">nfrastructure </w:t>
      </w:r>
      <w:r w:rsidR="001711DB">
        <w:rPr>
          <w:b/>
        </w:rPr>
        <w:t xml:space="preserve">programs </w:t>
      </w:r>
      <w:r w:rsidR="001711DB">
        <w:t xml:space="preserve">are shifting </w:t>
      </w:r>
      <w:r w:rsidR="00AA7565">
        <w:t xml:space="preserve">their focus </w:t>
      </w:r>
      <w:r w:rsidR="001711DB">
        <w:t xml:space="preserve">from the direct financing of investment projects towards influencing national systems and capacities and using Australian aid to unlock </w:t>
      </w:r>
      <w:r w:rsidR="00AA7565">
        <w:t xml:space="preserve">access to other finance. </w:t>
      </w:r>
      <w:r w:rsidR="00937F01" w:rsidRPr="001B3B93">
        <w:t xml:space="preserve">DFAT is still </w:t>
      </w:r>
      <w:r w:rsidR="00793901" w:rsidRPr="001B3B93">
        <w:t xml:space="preserve">exploring how it can </w:t>
      </w:r>
      <w:r w:rsidR="00937F01" w:rsidRPr="001B3B93">
        <w:t>most effective</w:t>
      </w:r>
      <w:r w:rsidR="00793901" w:rsidRPr="001B3B93">
        <w:t xml:space="preserve">ly support </w:t>
      </w:r>
      <w:r w:rsidR="009532EC">
        <w:t xml:space="preserve">Asian </w:t>
      </w:r>
      <w:r w:rsidR="00793901" w:rsidRPr="001B3B93">
        <w:t>partners with their infrastructure needs</w:t>
      </w:r>
      <w:r w:rsidR="00937F01" w:rsidRPr="001B3B93">
        <w:t>.</w:t>
      </w:r>
    </w:p>
    <w:p w14:paraId="6946439C" w14:textId="792951AD" w:rsidR="000456AE" w:rsidRPr="001F40CB" w:rsidRDefault="000456AE" w:rsidP="005A53DC">
      <w:r w:rsidRPr="001B3B93">
        <w:t xml:space="preserve">No single </w:t>
      </w:r>
      <w:r w:rsidR="00FE4F13">
        <w:t xml:space="preserve">type of program </w:t>
      </w:r>
      <w:r w:rsidRPr="001B3B93">
        <w:t>stands out as best suited to economic partnership</w:t>
      </w:r>
      <w:r w:rsidR="00126A87">
        <w:t>s</w:t>
      </w:r>
      <w:r w:rsidRPr="001B3B93">
        <w:t xml:space="preserve"> and a diversity of approaches may </w:t>
      </w:r>
      <w:r w:rsidR="00F97741" w:rsidRPr="001B3B93">
        <w:t>work</w:t>
      </w:r>
      <w:r w:rsidRPr="001B3B93">
        <w:t xml:space="preserve"> best</w:t>
      </w:r>
      <w:r w:rsidR="00937F01" w:rsidRPr="001B3B93">
        <w:t xml:space="preserve"> </w:t>
      </w:r>
      <w:r w:rsidRPr="001B3B93">
        <w:t xml:space="preserve">when </w:t>
      </w:r>
      <w:r w:rsidR="00937F01" w:rsidRPr="001B3B93">
        <w:t xml:space="preserve">the </w:t>
      </w:r>
      <w:r w:rsidRPr="001B3B93">
        <w:t>resources are available</w:t>
      </w:r>
      <w:r w:rsidRPr="001F40CB">
        <w:t>.</w:t>
      </w:r>
      <w:r w:rsidR="005A25A9" w:rsidRPr="001F40CB">
        <w:t xml:space="preserve"> Australia needs to invest in long-term relationships with a range of counterpart institutions, while retaining the flexibility to scale activities up and down as the context evolves. </w:t>
      </w:r>
      <w:r w:rsidR="00894E59" w:rsidRPr="001F40CB">
        <w:t xml:space="preserve">It also needs to be willing to take a low profile in </w:t>
      </w:r>
      <w:r w:rsidR="00AA7565" w:rsidRPr="001F40CB">
        <w:t>helping national reformers to achieve their objectives</w:t>
      </w:r>
      <w:r w:rsidRPr="001F40CB">
        <w:t>.</w:t>
      </w:r>
      <w:r w:rsidR="00405BEB" w:rsidRPr="001F40CB">
        <w:t xml:space="preserve"> Programs are less convincing when they default to a train</w:t>
      </w:r>
      <w:r w:rsidR="00D420C4" w:rsidRPr="001F40CB">
        <w:t>-</w:t>
      </w:r>
      <w:r w:rsidR="00405BEB" w:rsidRPr="001F40CB">
        <w:t>and</w:t>
      </w:r>
      <w:r w:rsidR="00D420C4" w:rsidRPr="001F40CB">
        <w:t>-</w:t>
      </w:r>
      <w:r w:rsidR="00405BEB" w:rsidRPr="001F40CB">
        <w:t>equip approach to capacity building, in circumstances where capacity gaps are not the main constraint</w:t>
      </w:r>
      <w:r w:rsidR="00DF0D9E" w:rsidRPr="001F40CB">
        <w:t xml:space="preserve"> to</w:t>
      </w:r>
      <w:r w:rsidR="00405BEB" w:rsidRPr="001F40CB">
        <w:t xml:space="preserve"> institutional performance.</w:t>
      </w:r>
      <w:r w:rsidR="002B3ACB" w:rsidRPr="001F40CB">
        <w:t xml:space="preserve"> </w:t>
      </w:r>
    </w:p>
    <w:p w14:paraId="7193595F" w14:textId="15BCEEDD" w:rsidR="00AA7565" w:rsidRDefault="00E55921" w:rsidP="000456AE">
      <w:r w:rsidRPr="001F40CB">
        <w:t>Given changes in the geopolitical and economic landscape</w:t>
      </w:r>
      <w:r w:rsidR="009532EC" w:rsidRPr="001F40CB">
        <w:t>,</w:t>
      </w:r>
      <w:r w:rsidRPr="001F40CB">
        <w:t xml:space="preserve"> it </w:t>
      </w:r>
      <w:r w:rsidR="00894E59" w:rsidRPr="001F40CB">
        <w:t xml:space="preserve">remains to be seen </w:t>
      </w:r>
      <w:r w:rsidRPr="001F40CB">
        <w:t>how a mid-sized grant donor such as Australia can best use its resources to support countries with their infrastructure needs.</w:t>
      </w:r>
      <w:r w:rsidR="00793901" w:rsidRPr="001F40CB">
        <w:t xml:space="preserve"> </w:t>
      </w:r>
      <w:r w:rsidR="00FD71A3" w:rsidRPr="001F40CB">
        <w:t>There are</w:t>
      </w:r>
      <w:r w:rsidR="002E5A3D" w:rsidRPr="001F40CB">
        <w:t xml:space="preserve"> a range of views</w:t>
      </w:r>
      <w:r w:rsidR="00FD71A3" w:rsidRPr="001F40CB">
        <w:t xml:space="preserve"> </w:t>
      </w:r>
      <w:r w:rsidR="002E5A3D" w:rsidRPr="001F40CB">
        <w:t xml:space="preserve">about whether Australia still needs to </w:t>
      </w:r>
      <w:r w:rsidR="00AA7565" w:rsidRPr="001F40CB">
        <w:t xml:space="preserve">fund some </w:t>
      </w:r>
      <w:r w:rsidR="002E5A3D" w:rsidRPr="001F40CB">
        <w:t xml:space="preserve">infrastructure development </w:t>
      </w:r>
      <w:r w:rsidR="00894E59" w:rsidRPr="001F40CB">
        <w:t>to be a credible partner</w:t>
      </w:r>
      <w:r w:rsidR="002E5A3D" w:rsidRPr="001F40CB">
        <w:t xml:space="preserve">. In Indonesia, the piloting of new practices (such as </w:t>
      </w:r>
      <w:r w:rsidR="00B97828" w:rsidRPr="001F40CB">
        <w:t>performance</w:t>
      </w:r>
      <w:r w:rsidR="002E5A3D" w:rsidRPr="001F40CB">
        <w:t xml:space="preserve">-based financing for local infrastructure) has </w:t>
      </w:r>
      <w:r w:rsidR="00AA7565" w:rsidRPr="001F40CB">
        <w:t>led to some key changes in national infrastructure finance</w:t>
      </w:r>
      <w:r w:rsidR="002E5A3D" w:rsidRPr="001F40CB">
        <w:t xml:space="preserve">. On the other hand, simply funding high-quality infrastructure projects to demonstrate good practice has not always been an effective influencing approach, as there are limits on the extent to which </w:t>
      </w:r>
      <w:r w:rsidR="00894E59" w:rsidRPr="001F40CB">
        <w:t xml:space="preserve">new </w:t>
      </w:r>
      <w:r w:rsidR="002E5A3D" w:rsidRPr="001F40CB">
        <w:t>practices can be adopted within government budgets and systems.</w:t>
      </w:r>
      <w:r w:rsidR="00AA7565" w:rsidRPr="001F40CB">
        <w:t xml:space="preserve"> With infrastructure finance an arena for geo-economic competition</w:t>
      </w:r>
      <w:r w:rsidR="002259B6" w:rsidRPr="001F40CB">
        <w:t xml:space="preserve"> in the region</w:t>
      </w:r>
      <w:r w:rsidR="00AA7565" w:rsidRPr="001F40CB">
        <w:t xml:space="preserve">, as identified in the </w:t>
      </w:r>
      <w:r w:rsidR="00350298" w:rsidRPr="001F40CB">
        <w:rPr>
          <w:i/>
        </w:rPr>
        <w:t xml:space="preserve">2017 Foreign Policy </w:t>
      </w:r>
      <w:r w:rsidR="00AA7565" w:rsidRPr="001F40CB">
        <w:rPr>
          <w:i/>
        </w:rPr>
        <w:t>White Paper</w:t>
      </w:r>
      <w:r w:rsidR="00AA7565" w:rsidRPr="001F40CB">
        <w:t xml:space="preserve">, there </w:t>
      </w:r>
      <w:r w:rsidR="00805C6E" w:rsidRPr="001F40CB">
        <w:t xml:space="preserve">is </w:t>
      </w:r>
      <w:r w:rsidR="00AA7565" w:rsidRPr="001F40CB">
        <w:t>value</w:t>
      </w:r>
      <w:r w:rsidR="00AA7565">
        <w:t xml:space="preserve"> in helping partner countries to become more informed customers of infrastructure </w:t>
      </w:r>
      <w:r w:rsidR="002259B6">
        <w:t>finance.</w:t>
      </w:r>
    </w:p>
    <w:p w14:paraId="0C244E6F" w14:textId="77777777" w:rsidR="00BB3308" w:rsidRDefault="00BB3308" w:rsidP="000456AE"/>
    <w:p w14:paraId="05E55E33" w14:textId="77777777" w:rsidR="00677216" w:rsidRDefault="00677216" w:rsidP="00677216">
      <w:pPr>
        <w:pStyle w:val="Footer"/>
      </w:pPr>
    </w:p>
    <w:tbl>
      <w:tblPr>
        <w:tblStyle w:val="TableGrid"/>
        <w:tblW w:w="10644" w:type="dxa"/>
        <w:tblBorders>
          <w:bottom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58"/>
        <w:gridCol w:w="10086"/>
      </w:tblGrid>
      <w:tr w:rsidR="00405BEB" w:rsidRPr="001B3B93" w14:paraId="6D6811A8" w14:textId="77777777" w:rsidTr="00BC3B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8" w:type="dxa"/>
            <w:shd w:val="clear" w:color="auto" w:fill="auto"/>
            <w:vAlign w:val="center"/>
          </w:tcPr>
          <w:p w14:paraId="03B780A6" w14:textId="77777777" w:rsidR="00405BEB" w:rsidRPr="001B3B93" w:rsidRDefault="00405BEB" w:rsidP="00BC3B39">
            <w:pPr>
              <w:rPr>
                <w:rFonts w:cstheme="minorHAnsi"/>
                <w:b/>
                <w:color w:val="65C5B4" w:themeColor="background2"/>
                <w:szCs w:val="23"/>
              </w:rPr>
            </w:pPr>
          </w:p>
        </w:tc>
        <w:tc>
          <w:tcPr>
            <w:tcW w:w="10086" w:type="dxa"/>
            <w:tcBorders>
              <w:bottom w:val="single" w:sz="2" w:space="0" w:color="FFFFFF" w:themeColor="background1"/>
            </w:tcBorders>
            <w:vAlign w:val="center"/>
          </w:tcPr>
          <w:p w14:paraId="31CF010D" w14:textId="77777777" w:rsidR="00405BEB" w:rsidRPr="001B3B93" w:rsidRDefault="00405BEB" w:rsidP="00BC3B39">
            <w:pPr>
              <w:cnfStyle w:val="100000000000" w:firstRow="1" w:lastRow="0" w:firstColumn="0" w:lastColumn="0" w:oddVBand="0" w:evenVBand="0" w:oddHBand="0" w:evenHBand="0" w:firstRowFirstColumn="0" w:firstRowLastColumn="0" w:lastRowFirstColumn="0" w:lastRowLastColumn="0"/>
              <w:rPr>
                <w:rFonts w:cstheme="minorHAnsi"/>
                <w:b/>
                <w:color w:val="65C5B4" w:themeColor="background2"/>
                <w:spacing w:val="4"/>
                <w:sz w:val="28"/>
                <w:szCs w:val="28"/>
              </w:rPr>
            </w:pPr>
            <w:r>
              <w:rPr>
                <w:rFonts w:cstheme="minorHAnsi"/>
                <w:b/>
                <w:color w:val="FFFFFF" w:themeColor="background1"/>
                <w:spacing w:val="4"/>
                <w:sz w:val="28"/>
                <w:szCs w:val="28"/>
              </w:rPr>
              <w:t>R</w:t>
            </w:r>
            <w:r w:rsidRPr="001B3B93">
              <w:rPr>
                <w:rFonts w:cstheme="minorHAnsi"/>
                <w:b/>
                <w:color w:val="FFFFFF" w:themeColor="background1"/>
                <w:spacing w:val="4"/>
                <w:sz w:val="28"/>
                <w:szCs w:val="28"/>
              </w:rPr>
              <w:t>ecommendations</w:t>
            </w:r>
          </w:p>
        </w:tc>
      </w:tr>
      <w:tr w:rsidR="00405BEB" w:rsidRPr="001B3B93" w14:paraId="7C597D67" w14:textId="77777777" w:rsidTr="00BC3B39">
        <w:tc>
          <w:tcPr>
            <w:cnfStyle w:val="001000000000" w:firstRow="0" w:lastRow="0" w:firstColumn="1" w:lastColumn="0" w:oddVBand="0" w:evenVBand="0" w:oddHBand="0" w:evenHBand="0" w:firstRowFirstColumn="0" w:firstRowLastColumn="0" w:lastRowFirstColumn="0" w:lastRowLastColumn="0"/>
            <w:tcW w:w="558" w:type="dxa"/>
            <w:shd w:val="clear" w:color="auto" w:fill="485865" w:themeFill="text2"/>
          </w:tcPr>
          <w:p w14:paraId="4C7A543D" w14:textId="77777777" w:rsidR="00405BEB" w:rsidRPr="001B3B93" w:rsidRDefault="00405BEB" w:rsidP="00BC3B39">
            <w:pPr>
              <w:rPr>
                <w:rFonts w:cstheme="minorHAnsi"/>
                <w:b/>
                <w:color w:val="65C5B4" w:themeColor="background2"/>
                <w:sz w:val="28"/>
                <w:szCs w:val="28"/>
              </w:rPr>
            </w:pPr>
          </w:p>
        </w:tc>
        <w:tc>
          <w:tcPr>
            <w:tcW w:w="10086" w:type="dxa"/>
            <w:tcBorders>
              <w:top w:val="single" w:sz="2" w:space="0" w:color="FFFFFF" w:themeColor="background1"/>
            </w:tcBorders>
            <w:shd w:val="clear" w:color="auto" w:fill="D8DBDA" w:themeFill="accent5"/>
          </w:tcPr>
          <w:p w14:paraId="0BFE8BE5" w14:textId="12878EC1" w:rsidR="00405BEB" w:rsidRPr="006E0849" w:rsidRDefault="00405BEB" w:rsidP="000C55B6">
            <w:pPr>
              <w:pStyle w:val="ListBullet"/>
              <w:numPr>
                <w:ilvl w:val="0"/>
                <w:numId w:val="27"/>
              </w:numPr>
              <w:cnfStyle w:val="000000000000" w:firstRow="0" w:lastRow="0" w:firstColumn="0" w:lastColumn="0" w:oddVBand="0" w:evenVBand="0" w:oddHBand="0" w:evenHBand="0" w:firstRowFirstColumn="0" w:firstRowLastColumn="0" w:lastRowFirstColumn="0" w:lastRowLastColumn="0"/>
              <w:rPr>
                <w:b/>
                <w:color w:val="auto"/>
              </w:rPr>
            </w:pPr>
            <w:r w:rsidRPr="006E0849">
              <w:rPr>
                <w:b/>
              </w:rPr>
              <w:t xml:space="preserve">DFAT should </w:t>
            </w:r>
            <w:r w:rsidR="00624382" w:rsidRPr="006E0849">
              <w:rPr>
                <w:b/>
              </w:rPr>
              <w:t xml:space="preserve">continue to </w:t>
            </w:r>
            <w:r w:rsidRPr="006E0849">
              <w:rPr>
                <w:b/>
              </w:rPr>
              <w:t xml:space="preserve">develop </w:t>
            </w:r>
            <w:r w:rsidR="00624382" w:rsidRPr="006E0849">
              <w:rPr>
                <w:b/>
              </w:rPr>
              <w:t xml:space="preserve">the evidence base, technical expertise and </w:t>
            </w:r>
            <w:r w:rsidRPr="006E0849">
              <w:rPr>
                <w:b/>
              </w:rPr>
              <w:t xml:space="preserve">guidance on </w:t>
            </w:r>
            <w:r w:rsidR="0013199C" w:rsidRPr="006E0849">
              <w:rPr>
                <w:b/>
              </w:rPr>
              <w:t xml:space="preserve">the design and implementation of knowledge-based assistance, covering </w:t>
            </w:r>
            <w:r w:rsidR="00B61993" w:rsidRPr="006E0849">
              <w:rPr>
                <w:b/>
              </w:rPr>
              <w:t xml:space="preserve">issues </w:t>
            </w:r>
            <w:r w:rsidR="0013199C" w:rsidRPr="006E0849">
              <w:rPr>
                <w:b/>
              </w:rPr>
              <w:t>such as</w:t>
            </w:r>
            <w:r w:rsidR="002F4CE3">
              <w:rPr>
                <w:b/>
              </w:rPr>
              <w:t xml:space="preserve"> how to</w:t>
            </w:r>
            <w:r w:rsidRPr="006E0849">
              <w:rPr>
                <w:b/>
              </w:rPr>
              <w:t>:</w:t>
            </w:r>
          </w:p>
          <w:p w14:paraId="137EFE5C" w14:textId="60AFD89D" w:rsidR="00405BEB" w:rsidRPr="008554BF" w:rsidRDefault="0013199C"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8554BF">
              <w:rPr>
                <w:b/>
                <w:color w:val="auto"/>
              </w:rPr>
              <w:t xml:space="preserve">analyse policy-making processes in partner countries and identify opportunities for knowledge-based inputs to </w:t>
            </w:r>
            <w:r w:rsidR="00B438F8" w:rsidRPr="008554BF">
              <w:rPr>
                <w:b/>
                <w:color w:val="auto"/>
              </w:rPr>
              <w:t>support</w:t>
            </w:r>
            <w:r w:rsidRPr="008554BF">
              <w:rPr>
                <w:b/>
                <w:color w:val="auto"/>
              </w:rPr>
              <w:t xml:space="preserve"> policy and institutional reform</w:t>
            </w:r>
          </w:p>
          <w:p w14:paraId="4B406ACB" w14:textId="775C6EA1" w:rsidR="0013199C" w:rsidRPr="008554BF" w:rsidRDefault="0013199C"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8554BF">
              <w:rPr>
                <w:b/>
                <w:color w:val="auto"/>
              </w:rPr>
              <w:t>position aid programs to be useful partners to national reform</w:t>
            </w:r>
            <w:r w:rsidR="00745401" w:rsidRPr="008554BF">
              <w:rPr>
                <w:b/>
                <w:color w:val="auto"/>
              </w:rPr>
              <w:t>er</w:t>
            </w:r>
            <w:r w:rsidRPr="008554BF">
              <w:rPr>
                <w:b/>
                <w:color w:val="auto"/>
              </w:rPr>
              <w:t>s and build long-term relationships</w:t>
            </w:r>
          </w:p>
          <w:p w14:paraId="63B0F703" w14:textId="260DC698" w:rsidR="0013199C" w:rsidRPr="008554BF" w:rsidRDefault="00745401"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8554BF">
              <w:rPr>
                <w:b/>
                <w:color w:val="auto"/>
              </w:rPr>
              <w:t xml:space="preserve">apply problem-solving approaches to assistance, </w:t>
            </w:r>
            <w:r w:rsidR="0013199C" w:rsidRPr="008554BF">
              <w:rPr>
                <w:b/>
                <w:color w:val="auto"/>
              </w:rPr>
              <w:t>combin</w:t>
            </w:r>
            <w:r w:rsidRPr="008554BF">
              <w:rPr>
                <w:b/>
                <w:color w:val="auto"/>
              </w:rPr>
              <w:t>ing</w:t>
            </w:r>
            <w:r w:rsidR="0013199C" w:rsidRPr="008554BF">
              <w:rPr>
                <w:b/>
                <w:color w:val="auto"/>
              </w:rPr>
              <w:t xml:space="preserve"> short-term flexibility in activities and outputs with </w:t>
            </w:r>
            <w:r w:rsidRPr="008554BF">
              <w:rPr>
                <w:b/>
                <w:color w:val="auto"/>
              </w:rPr>
              <w:t xml:space="preserve">clarity in </w:t>
            </w:r>
            <w:r w:rsidR="0013199C" w:rsidRPr="008554BF">
              <w:rPr>
                <w:b/>
                <w:color w:val="auto"/>
              </w:rPr>
              <w:t>strategic objectives</w:t>
            </w:r>
          </w:p>
          <w:p w14:paraId="020D3DDB" w14:textId="5021B759" w:rsidR="00B61993" w:rsidRPr="008554BF" w:rsidRDefault="00B61993"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auto"/>
              </w:rPr>
            </w:pPr>
            <w:r w:rsidRPr="008554BF">
              <w:rPr>
                <w:b/>
                <w:color w:val="auto"/>
              </w:rPr>
              <w:t xml:space="preserve">engage with </w:t>
            </w:r>
            <w:r w:rsidR="00745401" w:rsidRPr="008554BF">
              <w:rPr>
                <w:b/>
                <w:color w:val="auto"/>
              </w:rPr>
              <w:t xml:space="preserve">and oversee </w:t>
            </w:r>
            <w:r w:rsidRPr="008554BF">
              <w:rPr>
                <w:b/>
                <w:color w:val="auto"/>
              </w:rPr>
              <w:t>implementers and multilateral partners</w:t>
            </w:r>
          </w:p>
          <w:p w14:paraId="388DA349" w14:textId="3E049F62" w:rsidR="00B61993" w:rsidRPr="006E0849" w:rsidRDefault="00B61993" w:rsidP="000C55B6">
            <w:pPr>
              <w:numPr>
                <w:ilvl w:val="1"/>
                <w:numId w:val="27"/>
              </w:numPr>
              <w:spacing w:after="80"/>
              <w:ind w:left="609"/>
              <w:cnfStyle w:val="000000000000" w:firstRow="0" w:lastRow="0" w:firstColumn="0" w:lastColumn="0" w:oddVBand="0" w:evenVBand="0" w:oddHBand="0" w:evenHBand="0" w:firstRowFirstColumn="0" w:firstRowLastColumn="0" w:lastRowFirstColumn="0" w:lastRowLastColumn="0"/>
              <w:rPr>
                <w:b/>
                <w:color w:val="65C5B4" w:themeColor="background2"/>
              </w:rPr>
            </w:pPr>
            <w:r w:rsidRPr="008554BF">
              <w:rPr>
                <w:b/>
                <w:color w:val="auto"/>
              </w:rPr>
              <w:t xml:space="preserve">design </w:t>
            </w:r>
            <w:r w:rsidRPr="006E0849">
              <w:rPr>
                <w:b/>
                <w:color w:val="auto"/>
              </w:rPr>
              <w:t>and implement influential pilots.</w:t>
            </w:r>
          </w:p>
          <w:p w14:paraId="410F205E" w14:textId="0E842A30" w:rsidR="00B61993" w:rsidRPr="006E0849" w:rsidRDefault="00B61993" w:rsidP="000C55B6">
            <w:pPr>
              <w:pStyle w:val="ListBullet"/>
              <w:numPr>
                <w:ilvl w:val="0"/>
                <w:numId w:val="27"/>
              </w:numPr>
              <w:cnfStyle w:val="000000000000" w:firstRow="0" w:lastRow="0" w:firstColumn="0" w:lastColumn="0" w:oddVBand="0" w:evenVBand="0" w:oddHBand="0" w:evenHBand="0" w:firstRowFirstColumn="0" w:firstRowLastColumn="0" w:lastRowFirstColumn="0" w:lastRowLastColumn="0"/>
              <w:rPr>
                <w:b/>
                <w:color w:val="auto"/>
              </w:rPr>
            </w:pPr>
            <w:r w:rsidRPr="006E0849">
              <w:rPr>
                <w:b/>
                <w:color w:val="auto"/>
              </w:rPr>
              <w:t>DFAT posts should encourage more interaction among their knowledge-based programs, for exchange of lessons and experience.</w:t>
            </w:r>
          </w:p>
        </w:tc>
      </w:tr>
    </w:tbl>
    <w:p w14:paraId="60A0510E" w14:textId="77777777" w:rsidR="000456AE" w:rsidRPr="001B3B93" w:rsidRDefault="000456AE" w:rsidP="000456AE">
      <w:pPr>
        <w:pStyle w:val="Heading4"/>
        <w:rPr>
          <w:rFonts w:eastAsia="Calibri"/>
        </w:rPr>
      </w:pPr>
      <w:r w:rsidRPr="001B3B93">
        <w:rPr>
          <w:rFonts w:eastAsia="Calibri"/>
        </w:rPr>
        <w:t>Systems and capacities</w:t>
      </w:r>
    </w:p>
    <w:p w14:paraId="5E56D3C2" w14:textId="357D011D" w:rsidR="002259B6" w:rsidRDefault="002259B6" w:rsidP="000456AE">
      <w:r>
        <w:t>Positioning aid to support economic partnerships calls for improvement in DFAT’s systems and capacities in a number of areas.</w:t>
      </w:r>
    </w:p>
    <w:p w14:paraId="54B1C52B" w14:textId="2FC126C9" w:rsidR="000456AE" w:rsidRPr="001B3B93" w:rsidRDefault="009341CF" w:rsidP="009341CF">
      <w:r w:rsidRPr="001B3B93">
        <w:rPr>
          <w:b/>
        </w:rPr>
        <w:t xml:space="preserve">Setting clear objectives: </w:t>
      </w:r>
      <w:r w:rsidRPr="001B3B93">
        <w:t>DFAT has not yet articulate</w:t>
      </w:r>
      <w:r w:rsidR="00F31E90" w:rsidRPr="001B3B93">
        <w:t>d</w:t>
      </w:r>
      <w:r w:rsidRPr="001B3B93">
        <w:t xml:space="preserve"> specific goals for economic partnerships with countries, or agreed</w:t>
      </w:r>
      <w:r w:rsidR="002F4CE3">
        <w:t xml:space="preserve"> on</w:t>
      </w:r>
      <w:r w:rsidRPr="001B3B93">
        <w:t xml:space="preserve"> those goals with the partner countries themselves. </w:t>
      </w:r>
      <w:r w:rsidR="002259B6">
        <w:t xml:space="preserve">This </w:t>
      </w:r>
      <w:r w:rsidRPr="001B3B93">
        <w:t>hamper</w:t>
      </w:r>
      <w:r w:rsidR="009532EC">
        <w:t>s</w:t>
      </w:r>
      <w:r w:rsidR="00EF6C2F">
        <w:t xml:space="preserve"> the</w:t>
      </w:r>
      <w:r w:rsidRPr="001B3B93">
        <w:t xml:space="preserve"> </w:t>
      </w:r>
      <w:r w:rsidR="000456AE" w:rsidRPr="001B3B93">
        <w:t xml:space="preserve">closer alignment of aid, trade and diplomatic work. </w:t>
      </w:r>
      <w:r w:rsidR="002F4CE3">
        <w:t>Adopting i</w:t>
      </w:r>
      <w:r w:rsidRPr="001B3B93">
        <w:t>ntegrated country and regional strategies</w:t>
      </w:r>
      <w:r w:rsidR="00793901" w:rsidRPr="001B3B93">
        <w:t>, which DFAT is considering,</w:t>
      </w:r>
      <w:r w:rsidRPr="001B3B93">
        <w:t xml:space="preserve"> offer</w:t>
      </w:r>
      <w:r w:rsidR="00793901" w:rsidRPr="001B3B93">
        <w:t>s</w:t>
      </w:r>
      <w:r w:rsidRPr="001B3B93">
        <w:t xml:space="preserve"> an </w:t>
      </w:r>
      <w:r w:rsidR="000456AE" w:rsidRPr="001B3B93">
        <w:t xml:space="preserve">opportunity to address this. For Asian MICs, </w:t>
      </w:r>
      <w:r w:rsidR="00EE7A51">
        <w:t>the evaluation team</w:t>
      </w:r>
      <w:r w:rsidR="00F31E90" w:rsidRPr="001B3B93">
        <w:t xml:space="preserve"> consider</w:t>
      </w:r>
      <w:r w:rsidR="002F4CE3">
        <w:t>s that</w:t>
      </w:r>
      <w:r w:rsidR="000456AE" w:rsidRPr="001B3B93">
        <w:t xml:space="preserve"> </w:t>
      </w:r>
      <w:r w:rsidR="00F31E90" w:rsidRPr="001B3B93">
        <w:t xml:space="preserve">DFAT </w:t>
      </w:r>
      <w:r w:rsidR="000456AE" w:rsidRPr="001B3B93">
        <w:t xml:space="preserve">should </w:t>
      </w:r>
      <w:r w:rsidR="00F31E90" w:rsidRPr="001B3B93">
        <w:t>develop strategies that</w:t>
      </w:r>
      <w:r w:rsidR="002F4CE3">
        <w:t xml:space="preserve"> will</w:t>
      </w:r>
      <w:r w:rsidR="00F31E90" w:rsidRPr="001B3B93">
        <w:t xml:space="preserve"> outline</w:t>
      </w:r>
      <w:r w:rsidR="000456AE" w:rsidRPr="001B3B93">
        <w:t>:</w:t>
      </w:r>
    </w:p>
    <w:p w14:paraId="42E5E155" w14:textId="39A92079" w:rsidR="009341CF" w:rsidRPr="001B3B93" w:rsidRDefault="002F4CE3" w:rsidP="000C55B6">
      <w:pPr>
        <w:pStyle w:val="ListParagraph"/>
        <w:numPr>
          <w:ilvl w:val="0"/>
          <w:numId w:val="25"/>
        </w:numPr>
      </w:pPr>
      <w:r>
        <w:t>h</w:t>
      </w:r>
      <w:r w:rsidR="009341CF" w:rsidRPr="001B3B93">
        <w:t xml:space="preserve">ow Australia will support </w:t>
      </w:r>
      <w:r>
        <w:t>a</w:t>
      </w:r>
      <w:r w:rsidRPr="001B3B93">
        <w:t xml:space="preserve"> </w:t>
      </w:r>
      <w:r w:rsidR="009341CF" w:rsidRPr="001B3B93">
        <w:t xml:space="preserve">country’s transition </w:t>
      </w:r>
      <w:r w:rsidR="00F31E90" w:rsidRPr="001B3B93">
        <w:t>to</w:t>
      </w:r>
      <w:r w:rsidR="009341CF" w:rsidRPr="001B3B93">
        <w:t xml:space="preserve"> </w:t>
      </w:r>
      <w:r w:rsidR="002259B6">
        <w:t>an advanced economy</w:t>
      </w:r>
    </w:p>
    <w:p w14:paraId="5E12BFF9" w14:textId="129B846A" w:rsidR="002259B6" w:rsidRDefault="009341CF" w:rsidP="000C55B6">
      <w:pPr>
        <w:pStyle w:val="ListParagraph"/>
        <w:numPr>
          <w:ilvl w:val="0"/>
          <w:numId w:val="25"/>
        </w:numPr>
      </w:pPr>
      <w:r w:rsidRPr="001B3B93">
        <w:t xml:space="preserve">Australia’s long-term plans for building bilateral economic </w:t>
      </w:r>
      <w:r w:rsidR="002259B6">
        <w:t>ties</w:t>
      </w:r>
      <w:r w:rsidRPr="001B3B93">
        <w:t>, including increasing overall trade and investment and promoting sectors of the economy that are of mutual interest</w:t>
      </w:r>
    </w:p>
    <w:p w14:paraId="3A09DC75" w14:textId="36BFA183" w:rsidR="002259B6" w:rsidRDefault="002F4CE3" w:rsidP="000C55B6">
      <w:pPr>
        <w:pStyle w:val="ListParagraph"/>
        <w:numPr>
          <w:ilvl w:val="0"/>
          <w:numId w:val="25"/>
        </w:numPr>
      </w:pPr>
      <w:r>
        <w:t>m</w:t>
      </w:r>
      <w:r w:rsidR="002259B6" w:rsidRPr="001B3B93">
        <w:t>edium-term policy and institutional objectives, to be built into the objectives of relevant aid programs and addressed in diplomatic engagements</w:t>
      </w:r>
    </w:p>
    <w:p w14:paraId="08024F9A" w14:textId="1FF9BDCB" w:rsidR="00F31E90" w:rsidRPr="001B3B93" w:rsidRDefault="002F4CE3" w:rsidP="000C55B6">
      <w:pPr>
        <w:pStyle w:val="ListParagraph"/>
        <w:numPr>
          <w:ilvl w:val="0"/>
          <w:numId w:val="25"/>
        </w:numPr>
      </w:pPr>
      <w:r>
        <w:t>a possible</w:t>
      </w:r>
      <w:r w:rsidR="00B161DA" w:rsidRPr="001B3B93">
        <w:t xml:space="preserve"> case for region-wide strategies on issues and sectors where there is synergy between development objectives and Australian economic interests (such as tourism or education).</w:t>
      </w:r>
    </w:p>
    <w:p w14:paraId="349E605B" w14:textId="7E1A2BBB" w:rsidR="000456AE" w:rsidRPr="001B3B93" w:rsidRDefault="009341CF" w:rsidP="000456AE">
      <w:r w:rsidRPr="001B3B93">
        <w:rPr>
          <w:b/>
        </w:rPr>
        <w:t xml:space="preserve">Analytical and diagnostic work: </w:t>
      </w:r>
      <w:r w:rsidR="000456AE" w:rsidRPr="001B3B93">
        <w:t xml:space="preserve">While </w:t>
      </w:r>
      <w:r w:rsidRPr="001B3B93">
        <w:t xml:space="preserve">the middle-income trap concept is a useful </w:t>
      </w:r>
      <w:r w:rsidR="00243911" w:rsidRPr="001B3B93">
        <w:t xml:space="preserve">overarching description of the </w:t>
      </w:r>
      <w:r w:rsidR="002259B6">
        <w:t xml:space="preserve">transition </w:t>
      </w:r>
      <w:r w:rsidR="00243911" w:rsidRPr="001B3B93">
        <w:t>challenge</w:t>
      </w:r>
      <w:r w:rsidR="002259B6">
        <w:t>s</w:t>
      </w:r>
      <w:r w:rsidR="00243911" w:rsidRPr="001B3B93">
        <w:t xml:space="preserve"> </w:t>
      </w:r>
      <w:r w:rsidR="002259B6">
        <w:t xml:space="preserve">facing </w:t>
      </w:r>
      <w:r w:rsidR="000456AE" w:rsidRPr="001B3B93">
        <w:t xml:space="preserve">Asian MICs, the dimensions of the trap and </w:t>
      </w:r>
      <w:r w:rsidR="00243911" w:rsidRPr="001B3B93">
        <w:t xml:space="preserve">possible </w:t>
      </w:r>
      <w:r w:rsidR="000456AE" w:rsidRPr="001B3B93">
        <w:t>pathway</w:t>
      </w:r>
      <w:r w:rsidR="00243911" w:rsidRPr="001B3B93">
        <w:t>s</w:t>
      </w:r>
      <w:r w:rsidR="000456AE" w:rsidRPr="001B3B93">
        <w:t xml:space="preserve"> for escaping</w:t>
      </w:r>
      <w:r w:rsidR="002F4CE3">
        <w:t xml:space="preserve"> from it</w:t>
      </w:r>
      <w:r w:rsidR="000456AE" w:rsidRPr="001B3B93">
        <w:t xml:space="preserve"> </w:t>
      </w:r>
      <w:r w:rsidR="00793901" w:rsidRPr="001B3B93">
        <w:t>are diverse</w:t>
      </w:r>
      <w:r w:rsidR="000456AE" w:rsidRPr="001B3B93">
        <w:t xml:space="preserve">. DFAT needs </w:t>
      </w:r>
      <w:r w:rsidR="002259B6">
        <w:t>a more structure</w:t>
      </w:r>
      <w:r w:rsidR="0065129A">
        <w:t>d</w:t>
      </w:r>
      <w:r w:rsidR="002259B6">
        <w:t xml:space="preserve"> way of </w:t>
      </w:r>
      <w:r w:rsidR="000456AE" w:rsidRPr="001B3B93">
        <w:t>access</w:t>
      </w:r>
      <w:r w:rsidR="002259B6">
        <w:t>ing</w:t>
      </w:r>
      <w:r w:rsidR="000456AE" w:rsidRPr="001B3B93">
        <w:t xml:space="preserve"> good quality </w:t>
      </w:r>
      <w:r w:rsidR="00B97828">
        <w:t>analysis</w:t>
      </w:r>
      <w:r w:rsidR="00B97828" w:rsidRPr="001B3B93">
        <w:t xml:space="preserve"> </w:t>
      </w:r>
      <w:r w:rsidR="006B1122" w:rsidRPr="001B3B93">
        <w:t xml:space="preserve">of </w:t>
      </w:r>
      <w:r w:rsidR="000456AE" w:rsidRPr="001B3B93">
        <w:t>growth</w:t>
      </w:r>
      <w:r w:rsidR="006B1122" w:rsidRPr="001B3B93">
        <w:t xml:space="preserve"> opportunities and constraints</w:t>
      </w:r>
      <w:r w:rsidR="000456AE" w:rsidRPr="001B3B93">
        <w:t xml:space="preserve">, </w:t>
      </w:r>
      <w:r w:rsidR="00243911" w:rsidRPr="001B3B93">
        <w:t xml:space="preserve">drivers </w:t>
      </w:r>
      <w:r w:rsidR="006B1122" w:rsidRPr="001B3B93">
        <w:t xml:space="preserve">of </w:t>
      </w:r>
      <w:r w:rsidR="000456AE" w:rsidRPr="001B3B93">
        <w:t xml:space="preserve">inequality, </w:t>
      </w:r>
      <w:r w:rsidR="006B1122" w:rsidRPr="001B3B93">
        <w:t>political economy</w:t>
      </w:r>
      <w:r w:rsidR="00243911" w:rsidRPr="001B3B93">
        <w:t>,</w:t>
      </w:r>
      <w:r w:rsidR="000456AE" w:rsidRPr="001B3B93">
        <w:t xml:space="preserve"> and vulnerability to shocks and crises. This knowledge can be built over time but should be periodically synthesised</w:t>
      </w:r>
      <w:r w:rsidR="00243911" w:rsidRPr="001B3B93">
        <w:t xml:space="preserve"> and use</w:t>
      </w:r>
      <w:r w:rsidR="00FC01FF">
        <w:t>d</w:t>
      </w:r>
      <w:r w:rsidR="00243911" w:rsidRPr="001B3B93">
        <w:t xml:space="preserve"> to refresh </w:t>
      </w:r>
      <w:r w:rsidR="00B97828">
        <w:t xml:space="preserve">economic </w:t>
      </w:r>
      <w:r w:rsidR="00243911" w:rsidRPr="001B3B93">
        <w:t>partnership</w:t>
      </w:r>
      <w:r w:rsidR="002F4CE3">
        <w:t xml:space="preserve"> objective</w:t>
      </w:r>
      <w:r w:rsidR="006B1122" w:rsidRPr="001B3B93">
        <w:t>s</w:t>
      </w:r>
      <w:r w:rsidR="000456AE" w:rsidRPr="001B3B93">
        <w:t>.</w:t>
      </w:r>
    </w:p>
    <w:p w14:paraId="306B8FA6" w14:textId="4D0C916E" w:rsidR="00FC01FF" w:rsidRPr="00805C6E" w:rsidRDefault="00243911" w:rsidP="000456AE">
      <w:r w:rsidRPr="001B3B93">
        <w:rPr>
          <w:b/>
        </w:rPr>
        <w:t xml:space="preserve">Capacity and skills: </w:t>
      </w:r>
      <w:r w:rsidR="00FC01FF">
        <w:t>The shift towards knowledge-based assistance arguably places greater management demands on DFAT posts, relative to the expenditure</w:t>
      </w:r>
      <w:r w:rsidR="00B97828">
        <w:t>. S</w:t>
      </w:r>
      <w:r w:rsidR="00FC01FF">
        <w:t xml:space="preserve">trategic oversight </w:t>
      </w:r>
      <w:r w:rsidR="00B97828">
        <w:t xml:space="preserve">is needed </w:t>
      </w:r>
      <w:r w:rsidR="00FC01FF">
        <w:t xml:space="preserve">to ensure that flexible programs remain coherent and </w:t>
      </w:r>
      <w:r w:rsidR="00B97828">
        <w:t xml:space="preserve">aligned to </w:t>
      </w:r>
      <w:r w:rsidR="00FC01FF">
        <w:t>economic partnership</w:t>
      </w:r>
      <w:r w:rsidR="002F4CE3">
        <w:t xml:space="preserve"> objectives</w:t>
      </w:r>
      <w:r w:rsidR="00FC01FF">
        <w:t>. Australia also gains greater benefits, in terms of influence and reputation, if DFAT participates actively in manag</w:t>
      </w:r>
      <w:r w:rsidR="003712BE">
        <w:t xml:space="preserve">ing </w:t>
      </w:r>
      <w:r w:rsidR="00FC01FF">
        <w:t xml:space="preserve">counterpart relationships. While technical expertise can be sourced through aid programs, </w:t>
      </w:r>
      <w:r w:rsidR="002F4CE3">
        <w:t xml:space="preserve">DFAT </w:t>
      </w:r>
      <w:r w:rsidR="00FC01FF">
        <w:t xml:space="preserve">staff need sufficient understanding of economic and policy issues to be able to absorb the analysis they receive and to engage with policy debates. </w:t>
      </w:r>
      <w:r w:rsidR="00221202" w:rsidRPr="00221202">
        <w:t>The establishment of cross-disciplinary communities of practice on economic and social policy issues would support this.</w:t>
      </w:r>
      <w:r w:rsidR="00221202">
        <w:t xml:space="preserve"> </w:t>
      </w:r>
      <w:r w:rsidR="00FC01FF">
        <w:t>DFAT would also benefit from making better use of the local knowledge and networks of its locally engaged staff.</w:t>
      </w:r>
    </w:p>
    <w:p w14:paraId="0E16367F" w14:textId="3047610B" w:rsidR="003D7E28" w:rsidRPr="001B3B93" w:rsidRDefault="003D7E28" w:rsidP="000456AE">
      <w:r w:rsidRPr="001B3B93">
        <w:rPr>
          <w:b/>
        </w:rPr>
        <w:lastRenderedPageBreak/>
        <w:t xml:space="preserve">Monitoring and reporting results: </w:t>
      </w:r>
      <w:r w:rsidR="00EE7A51" w:rsidRPr="001C7483">
        <w:t>The evaluation team</w:t>
      </w:r>
      <w:r w:rsidR="00EE7A51">
        <w:rPr>
          <w:b/>
        </w:rPr>
        <w:t xml:space="preserve"> </w:t>
      </w:r>
      <w:r w:rsidR="000456AE" w:rsidRPr="001B3B93">
        <w:t xml:space="preserve">found that DFAT has taken useful measures to improve the monitoring and reporting of results from its knowledge-based </w:t>
      </w:r>
      <w:r w:rsidR="003712BE">
        <w:t>assistance</w:t>
      </w:r>
      <w:r w:rsidR="000456AE" w:rsidRPr="001B3B93">
        <w:t xml:space="preserve">. The next step is to </w:t>
      </w:r>
      <w:r w:rsidR="006B1122" w:rsidRPr="001B3B93">
        <w:t>consider</w:t>
      </w:r>
      <w:r w:rsidR="00EE7A51">
        <w:t xml:space="preserve"> how to align </w:t>
      </w:r>
      <w:r w:rsidR="006B1122" w:rsidRPr="001B3B93">
        <w:t>these</w:t>
      </w:r>
      <w:r w:rsidR="000456AE" w:rsidRPr="001B3B93">
        <w:t xml:space="preserve"> influencing results </w:t>
      </w:r>
      <w:r w:rsidR="006B1122" w:rsidRPr="001B3B93">
        <w:t>with</w:t>
      </w:r>
      <w:r w:rsidR="000456AE" w:rsidRPr="001B3B93">
        <w:t xml:space="preserve"> the objectives of economic partnership</w:t>
      </w:r>
      <w:r w:rsidR="006B1122" w:rsidRPr="001B3B93">
        <w:t>s</w:t>
      </w:r>
      <w:r w:rsidR="000456AE" w:rsidRPr="001B3B93">
        <w:t xml:space="preserve"> (once articulated)</w:t>
      </w:r>
      <w:r w:rsidR="009C5B0C" w:rsidRPr="001B3B93">
        <w:t xml:space="preserve"> and </w:t>
      </w:r>
      <w:r w:rsidR="00C20700">
        <w:t xml:space="preserve">institute periodic reviews of </w:t>
      </w:r>
      <w:r w:rsidR="009C5B0C" w:rsidRPr="001B3B93">
        <w:t xml:space="preserve">how well </w:t>
      </w:r>
      <w:r w:rsidR="000456AE" w:rsidRPr="001B3B93">
        <w:t xml:space="preserve">positioned </w:t>
      </w:r>
      <w:r w:rsidR="009C5B0C" w:rsidRPr="001B3B93">
        <w:t xml:space="preserve">DFAT is </w:t>
      </w:r>
      <w:r w:rsidR="000456AE" w:rsidRPr="001B3B93">
        <w:t>to achiev</w:t>
      </w:r>
      <w:r w:rsidR="00C20700">
        <w:t>e</w:t>
      </w:r>
      <w:r w:rsidR="000456AE" w:rsidRPr="001B3B93">
        <w:t xml:space="preserve"> its objectives. </w:t>
      </w:r>
      <w:r w:rsidRPr="001B3B93">
        <w:t>It may be helpful</w:t>
      </w:r>
      <w:r w:rsidR="009C5B0C" w:rsidRPr="001B3B93">
        <w:t xml:space="preserve"> to</w:t>
      </w:r>
      <w:r w:rsidRPr="001B3B93">
        <w:t xml:space="preserve"> </w:t>
      </w:r>
      <w:r w:rsidR="000456AE" w:rsidRPr="001B3B93">
        <w:t>assign one of the economic governance programs the role of supporting monitoring and knowledge management across all relevant aid programs.</w:t>
      </w:r>
    </w:p>
    <w:p w14:paraId="05356CB9" w14:textId="77777777" w:rsidR="000456AE" w:rsidRPr="001B3B93" w:rsidRDefault="000456AE" w:rsidP="00677216">
      <w:pPr>
        <w:pStyle w:val="Footer"/>
      </w:pPr>
    </w:p>
    <w:tbl>
      <w:tblPr>
        <w:tblStyle w:val="TableGrid2"/>
        <w:tblW w:w="10644" w:type="dxa"/>
        <w:tblBorders>
          <w:bottom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58"/>
        <w:gridCol w:w="10086"/>
      </w:tblGrid>
      <w:tr w:rsidR="000456AE" w:rsidRPr="001B3B93" w14:paraId="1FA58760" w14:textId="77777777" w:rsidTr="00C342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8" w:type="dxa"/>
            <w:shd w:val="clear" w:color="auto" w:fill="auto"/>
            <w:vAlign w:val="center"/>
          </w:tcPr>
          <w:p w14:paraId="6D98ACBA" w14:textId="77777777" w:rsidR="000456AE" w:rsidRPr="001B3B93" w:rsidRDefault="000456AE" w:rsidP="00C3422A">
            <w:pPr>
              <w:spacing w:after="160" w:line="259" w:lineRule="auto"/>
              <w:rPr>
                <w:rFonts w:cstheme="minorHAnsi"/>
                <w:b/>
                <w:color w:val="65C5B4" w:themeColor="background2"/>
                <w:szCs w:val="23"/>
              </w:rPr>
            </w:pPr>
          </w:p>
        </w:tc>
        <w:tc>
          <w:tcPr>
            <w:tcW w:w="10086" w:type="dxa"/>
            <w:tcBorders>
              <w:bottom w:val="single" w:sz="2" w:space="0" w:color="FFFFFF" w:themeColor="background1"/>
            </w:tcBorders>
            <w:vAlign w:val="center"/>
          </w:tcPr>
          <w:p w14:paraId="15274C44" w14:textId="25FED9A3" w:rsidR="000456AE" w:rsidRPr="001B3B93" w:rsidRDefault="00C20700" w:rsidP="009C5B0C">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color w:val="65C5B4" w:themeColor="background2"/>
                <w:spacing w:val="4"/>
                <w:sz w:val="28"/>
                <w:szCs w:val="28"/>
              </w:rPr>
            </w:pPr>
            <w:r>
              <w:rPr>
                <w:rFonts w:cstheme="minorHAnsi"/>
                <w:b/>
                <w:color w:val="FFFFFF" w:themeColor="background1"/>
                <w:spacing w:val="4"/>
                <w:sz w:val="28"/>
                <w:szCs w:val="28"/>
              </w:rPr>
              <w:t>R</w:t>
            </w:r>
            <w:r w:rsidR="000456AE" w:rsidRPr="001B3B93">
              <w:rPr>
                <w:rFonts w:cstheme="minorHAnsi"/>
                <w:b/>
                <w:color w:val="FFFFFF" w:themeColor="background1"/>
                <w:spacing w:val="4"/>
                <w:sz w:val="28"/>
                <w:szCs w:val="28"/>
              </w:rPr>
              <w:t>ecommendations</w:t>
            </w:r>
          </w:p>
        </w:tc>
      </w:tr>
      <w:tr w:rsidR="000456AE" w:rsidRPr="001B3B93" w14:paraId="2E039708" w14:textId="77777777" w:rsidTr="00C3422A">
        <w:tc>
          <w:tcPr>
            <w:cnfStyle w:val="001000000000" w:firstRow="0" w:lastRow="0" w:firstColumn="1" w:lastColumn="0" w:oddVBand="0" w:evenVBand="0" w:oddHBand="0" w:evenHBand="0" w:firstRowFirstColumn="0" w:firstRowLastColumn="0" w:lastRowFirstColumn="0" w:lastRowLastColumn="0"/>
            <w:tcW w:w="558" w:type="dxa"/>
            <w:shd w:val="clear" w:color="auto" w:fill="485865" w:themeFill="text2"/>
          </w:tcPr>
          <w:p w14:paraId="2C4729F8" w14:textId="77777777" w:rsidR="000456AE" w:rsidRPr="001B3B93" w:rsidRDefault="000456AE" w:rsidP="00C3422A">
            <w:pPr>
              <w:spacing w:after="160" w:line="259" w:lineRule="auto"/>
              <w:rPr>
                <w:rFonts w:cstheme="minorHAnsi"/>
                <w:b/>
                <w:color w:val="65C5B4" w:themeColor="background2"/>
                <w:sz w:val="28"/>
                <w:szCs w:val="28"/>
              </w:rPr>
            </w:pPr>
          </w:p>
        </w:tc>
        <w:tc>
          <w:tcPr>
            <w:tcW w:w="10086" w:type="dxa"/>
            <w:tcBorders>
              <w:top w:val="single" w:sz="2" w:space="0" w:color="FFFFFF" w:themeColor="background1"/>
            </w:tcBorders>
            <w:shd w:val="clear" w:color="auto" w:fill="D8DBDA" w:themeFill="accent5"/>
          </w:tcPr>
          <w:p w14:paraId="4121DC7F" w14:textId="56419FA0" w:rsidR="00E22A9F" w:rsidRPr="001B3B93" w:rsidRDefault="00F31E90" w:rsidP="000C55B6">
            <w:pPr>
              <w:numPr>
                <w:ilvl w:val="0"/>
                <w:numId w:val="27"/>
              </w:numPr>
              <w:spacing w:after="80"/>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DFAT should e</w:t>
            </w:r>
            <w:r w:rsidR="00E22A9F" w:rsidRPr="001B3B93">
              <w:rPr>
                <w:b/>
                <w:color w:val="auto"/>
              </w:rPr>
              <w:t xml:space="preserve">nsure </w:t>
            </w:r>
            <w:r w:rsidR="00544471">
              <w:rPr>
                <w:b/>
                <w:color w:val="auto"/>
              </w:rPr>
              <w:t xml:space="preserve">that </w:t>
            </w:r>
            <w:r w:rsidR="00E22A9F" w:rsidRPr="001B3B93">
              <w:rPr>
                <w:b/>
                <w:color w:val="auto"/>
              </w:rPr>
              <w:t xml:space="preserve">future country and regional strategies for </w:t>
            </w:r>
            <w:r w:rsidR="0080168A">
              <w:rPr>
                <w:b/>
                <w:color w:val="auto"/>
              </w:rPr>
              <w:t>development assistance</w:t>
            </w:r>
            <w:r w:rsidR="00E22A9F" w:rsidRPr="001B3B93">
              <w:rPr>
                <w:b/>
                <w:color w:val="auto"/>
              </w:rPr>
              <w:t xml:space="preserve"> to </w:t>
            </w:r>
            <w:r w:rsidR="00831FB2">
              <w:rPr>
                <w:b/>
                <w:color w:val="auto"/>
              </w:rPr>
              <w:t>MICs</w:t>
            </w:r>
            <w:r w:rsidR="00E22A9F" w:rsidRPr="001B3B93">
              <w:rPr>
                <w:b/>
                <w:color w:val="auto"/>
              </w:rPr>
              <w:t>:</w:t>
            </w:r>
          </w:p>
          <w:p w14:paraId="4B14BFF7" w14:textId="0B7DB719" w:rsidR="00E22A9F" w:rsidRPr="001B3B93" w:rsidRDefault="00E22A9F"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are underpinned by </w:t>
            </w:r>
            <w:r w:rsidR="00C20700">
              <w:rPr>
                <w:b/>
                <w:color w:val="auto"/>
              </w:rPr>
              <w:t xml:space="preserve">suitable diagnostic work </w:t>
            </w:r>
            <w:r w:rsidR="0080168A">
              <w:rPr>
                <w:b/>
                <w:color w:val="auto"/>
              </w:rPr>
              <w:t xml:space="preserve">that identifies </w:t>
            </w:r>
            <w:r w:rsidRPr="001B3B93">
              <w:rPr>
                <w:b/>
                <w:color w:val="auto"/>
              </w:rPr>
              <w:t>opportunities for</w:t>
            </w:r>
            <w:r w:rsidR="0080168A">
              <w:rPr>
                <w:b/>
                <w:color w:val="auto"/>
              </w:rPr>
              <w:t>,</w:t>
            </w:r>
            <w:r w:rsidRPr="001B3B93">
              <w:rPr>
                <w:b/>
                <w:color w:val="auto"/>
              </w:rPr>
              <w:t xml:space="preserve"> and </w:t>
            </w:r>
            <w:r w:rsidR="00F31E90" w:rsidRPr="001B3B93">
              <w:rPr>
                <w:b/>
                <w:color w:val="auto"/>
              </w:rPr>
              <w:t>constraints on</w:t>
            </w:r>
            <w:r w:rsidR="0080168A">
              <w:rPr>
                <w:b/>
                <w:color w:val="auto"/>
              </w:rPr>
              <w:t>,</w:t>
            </w:r>
            <w:r w:rsidR="00F31E90" w:rsidRPr="001B3B93">
              <w:rPr>
                <w:b/>
                <w:color w:val="auto"/>
              </w:rPr>
              <w:t xml:space="preserve"> inclusive growth</w:t>
            </w:r>
            <w:r w:rsidR="00E67751" w:rsidRPr="001B3B93">
              <w:rPr>
                <w:b/>
                <w:color w:val="auto"/>
              </w:rPr>
              <w:t xml:space="preserve"> and transition to </w:t>
            </w:r>
            <w:r w:rsidR="00C20700">
              <w:rPr>
                <w:b/>
                <w:color w:val="auto"/>
              </w:rPr>
              <w:t>an advanced economy</w:t>
            </w:r>
          </w:p>
          <w:p w14:paraId="761539AC" w14:textId="07807ED0" w:rsidR="00E22A9F" w:rsidRPr="001B3B93" w:rsidRDefault="00E22A9F"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include </w:t>
            </w:r>
            <w:r w:rsidR="003D7E28" w:rsidRPr="001B3B93">
              <w:rPr>
                <w:b/>
                <w:color w:val="auto"/>
              </w:rPr>
              <w:t>a set of medium-term policy and institutional reform objectives</w:t>
            </w:r>
            <w:r w:rsidR="000456AE" w:rsidRPr="001B3B93">
              <w:rPr>
                <w:b/>
                <w:color w:val="auto"/>
              </w:rPr>
              <w:t xml:space="preserve">, </w:t>
            </w:r>
            <w:r w:rsidR="00C20700">
              <w:rPr>
                <w:b/>
                <w:color w:val="auto"/>
              </w:rPr>
              <w:t xml:space="preserve">with a shared advocacy strategy </w:t>
            </w:r>
            <w:r w:rsidR="000456AE" w:rsidRPr="001B3B93">
              <w:rPr>
                <w:b/>
                <w:color w:val="auto"/>
              </w:rPr>
              <w:t xml:space="preserve">to </w:t>
            </w:r>
            <w:r w:rsidR="003D7E28" w:rsidRPr="001B3B93">
              <w:rPr>
                <w:b/>
                <w:color w:val="auto"/>
              </w:rPr>
              <w:t xml:space="preserve">be pursued across </w:t>
            </w:r>
            <w:r w:rsidR="000456AE" w:rsidRPr="001B3B93">
              <w:rPr>
                <w:b/>
                <w:color w:val="auto"/>
              </w:rPr>
              <w:t>aid</w:t>
            </w:r>
            <w:r w:rsidR="003D7E28" w:rsidRPr="001B3B93">
              <w:rPr>
                <w:b/>
                <w:color w:val="auto"/>
              </w:rPr>
              <w:t>, trade</w:t>
            </w:r>
            <w:r w:rsidR="000456AE" w:rsidRPr="001B3B93">
              <w:rPr>
                <w:b/>
                <w:color w:val="auto"/>
              </w:rPr>
              <w:t xml:space="preserve"> and diplomatic engagements</w:t>
            </w:r>
            <w:r w:rsidR="004D6FD0">
              <w:rPr>
                <w:b/>
                <w:color w:val="auto"/>
              </w:rPr>
              <w:t xml:space="preserve"> and by other Australian government agencies where relevant</w:t>
            </w:r>
          </w:p>
          <w:p w14:paraId="27527E9C" w14:textId="3B06F9A2" w:rsidR="000456AE" w:rsidRPr="001B3B93" w:rsidRDefault="00E22A9F"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identify </w:t>
            </w:r>
            <w:r w:rsidR="002F6E32">
              <w:rPr>
                <w:b/>
                <w:color w:val="auto"/>
              </w:rPr>
              <w:t xml:space="preserve">sectors or </w:t>
            </w:r>
            <w:r w:rsidRPr="001B3B93">
              <w:rPr>
                <w:b/>
                <w:color w:val="auto"/>
              </w:rPr>
              <w:t>areas</w:t>
            </w:r>
            <w:r w:rsidR="000456AE" w:rsidRPr="001B3B93">
              <w:rPr>
                <w:b/>
                <w:color w:val="auto"/>
              </w:rPr>
              <w:t xml:space="preserve"> where </w:t>
            </w:r>
            <w:r w:rsidR="002F6E32">
              <w:rPr>
                <w:b/>
                <w:color w:val="auto"/>
              </w:rPr>
              <w:t xml:space="preserve">development cooperation can support </w:t>
            </w:r>
            <w:r w:rsidR="000456AE" w:rsidRPr="001B3B93">
              <w:rPr>
                <w:b/>
                <w:color w:val="auto"/>
              </w:rPr>
              <w:t>national development goals and Australian economic interests.</w:t>
            </w:r>
          </w:p>
          <w:p w14:paraId="22CFFBB8" w14:textId="2F8D71E8" w:rsidR="00E22A9F" w:rsidRPr="001B3B93" w:rsidRDefault="000456AE" w:rsidP="000C55B6">
            <w:pPr>
              <w:numPr>
                <w:ilvl w:val="0"/>
                <w:numId w:val="27"/>
              </w:numPr>
              <w:spacing w:after="80"/>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DFAT should ensure that posts in </w:t>
            </w:r>
            <w:r w:rsidR="002F6E32">
              <w:rPr>
                <w:b/>
                <w:color w:val="auto"/>
              </w:rPr>
              <w:t xml:space="preserve">economic partnership </w:t>
            </w:r>
            <w:r w:rsidRPr="001B3B93">
              <w:rPr>
                <w:b/>
                <w:color w:val="auto"/>
              </w:rPr>
              <w:t>countries</w:t>
            </w:r>
            <w:r w:rsidR="00E22A9F" w:rsidRPr="001B3B93">
              <w:rPr>
                <w:b/>
                <w:color w:val="auto"/>
              </w:rPr>
              <w:t>:</w:t>
            </w:r>
          </w:p>
          <w:p w14:paraId="1FF87B8A" w14:textId="7019DD7A" w:rsidR="00E22A9F" w:rsidRPr="001B3B93" w:rsidRDefault="000456AE"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 xml:space="preserve">have enough staff conversant on economic </w:t>
            </w:r>
            <w:r w:rsidR="002F6E32">
              <w:rPr>
                <w:b/>
                <w:color w:val="auto"/>
              </w:rPr>
              <w:t xml:space="preserve">and social </w:t>
            </w:r>
            <w:r w:rsidRPr="001B3B93">
              <w:rPr>
                <w:b/>
                <w:color w:val="auto"/>
              </w:rPr>
              <w:t xml:space="preserve">policy to </w:t>
            </w:r>
            <w:r w:rsidR="002F6E32">
              <w:rPr>
                <w:b/>
                <w:color w:val="auto"/>
              </w:rPr>
              <w:t xml:space="preserve">engage in policy dialogue and manage knowledge-based </w:t>
            </w:r>
            <w:r w:rsidRPr="001B3B93">
              <w:rPr>
                <w:b/>
                <w:color w:val="auto"/>
              </w:rPr>
              <w:t>programs and portfolios at a strategic level</w:t>
            </w:r>
          </w:p>
          <w:p w14:paraId="01EEF025" w14:textId="43092C31" w:rsidR="002F6E32" w:rsidRDefault="002F6E32"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Pr>
                <w:b/>
                <w:color w:val="auto"/>
              </w:rPr>
              <w:t>take measures to promote cross-disciplinary working, including with the trade area</w:t>
            </w:r>
          </w:p>
          <w:p w14:paraId="7E79CEA7" w14:textId="201BEEDD" w:rsidR="00A55B0F" w:rsidRDefault="00A55B0F"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1B3B93">
              <w:rPr>
                <w:b/>
                <w:color w:val="auto"/>
              </w:rPr>
              <w:t>examine ways to take better advantage and further develop the capabilities of their locally engaged staff, as a critical resource for pursuing economic partnerships</w:t>
            </w:r>
          </w:p>
          <w:p w14:paraId="4864676E" w14:textId="353F6992" w:rsidR="008554BF" w:rsidRDefault="008554BF" w:rsidP="000C55B6">
            <w:pPr>
              <w:numPr>
                <w:ilvl w:val="1"/>
                <w:numId w:val="27"/>
              </w:numPr>
              <w:spacing w:after="80"/>
              <w:ind w:left="751"/>
              <w:cnfStyle w:val="000000000000" w:firstRow="0" w:lastRow="0" w:firstColumn="0" w:lastColumn="0" w:oddVBand="0" w:evenVBand="0" w:oddHBand="0" w:evenHBand="0" w:firstRowFirstColumn="0" w:firstRowLastColumn="0" w:lastRowFirstColumn="0" w:lastRowLastColumn="0"/>
              <w:rPr>
                <w:b/>
                <w:color w:val="auto"/>
              </w:rPr>
            </w:pPr>
            <w:r w:rsidRPr="008554BF">
              <w:rPr>
                <w:b/>
                <w:color w:val="auto"/>
              </w:rPr>
              <w:t>have access to country-level monitoring and knowledge-management tools to assess progress against key reform objectives, the significance of Australia’s contribution, the ongoing relevance of its work and the health of the economic partnership</w:t>
            </w:r>
            <w:r w:rsidR="00544471">
              <w:rPr>
                <w:b/>
                <w:color w:val="auto"/>
              </w:rPr>
              <w:t>.</w:t>
            </w:r>
          </w:p>
          <w:p w14:paraId="1AA831BB" w14:textId="4966C505" w:rsidR="008554BF" w:rsidRPr="001B3B93" w:rsidRDefault="008554BF" w:rsidP="000C55B6">
            <w:pPr>
              <w:numPr>
                <w:ilvl w:val="0"/>
                <w:numId w:val="27"/>
              </w:numPr>
              <w:spacing w:after="80"/>
              <w:cnfStyle w:val="000000000000" w:firstRow="0" w:lastRow="0" w:firstColumn="0" w:lastColumn="0" w:oddVBand="0" w:evenVBand="0" w:oddHBand="0" w:evenHBand="0" w:firstRowFirstColumn="0" w:firstRowLastColumn="0" w:lastRowFirstColumn="0" w:lastRowLastColumn="0"/>
              <w:rPr>
                <w:b/>
                <w:color w:val="auto"/>
              </w:rPr>
            </w:pPr>
            <w:r w:rsidRPr="008554BF">
              <w:rPr>
                <w:b/>
                <w:bCs/>
                <w:color w:val="auto"/>
              </w:rPr>
              <w:t>DFAT should consider establishing a multidisciplinary community of practice among staff on economic partnerships, to share knowledge and experience on engaging with social and economic policy issues.</w:t>
            </w:r>
            <w:r w:rsidRPr="008554BF" w:rsidDel="006E0849">
              <w:rPr>
                <w:rStyle w:val="CommentReference"/>
                <w:color w:val="auto"/>
              </w:rPr>
              <w:t xml:space="preserve"> </w:t>
            </w:r>
          </w:p>
        </w:tc>
      </w:tr>
    </w:tbl>
    <w:p w14:paraId="5A306206" w14:textId="110FE215" w:rsidR="00FD185D" w:rsidRDefault="00C004AA" w:rsidP="006E0849">
      <w:pPr>
        <w:pStyle w:val="Heading4"/>
      </w:pPr>
      <w:bookmarkStart w:id="27" w:name="_Toc497738319"/>
      <w:bookmarkEnd w:id="13"/>
      <w:r>
        <w:t xml:space="preserve">Future </w:t>
      </w:r>
      <w:r w:rsidR="00221202">
        <w:t xml:space="preserve">Australian </w:t>
      </w:r>
      <w:r>
        <w:t xml:space="preserve">assistance to </w:t>
      </w:r>
      <w:r w:rsidR="00FD185D">
        <w:t>m</w:t>
      </w:r>
      <w:r>
        <w:t xml:space="preserve">iddle-income countries in </w:t>
      </w:r>
      <w:r w:rsidR="00FD185D">
        <w:t>Asia</w:t>
      </w:r>
    </w:p>
    <w:p w14:paraId="3BFEE390" w14:textId="0709BC0B" w:rsidR="00221202" w:rsidRDefault="00221202" w:rsidP="006E0849">
      <w:r w:rsidRPr="006E0849">
        <w:t xml:space="preserve">The findings of the evaluation </w:t>
      </w:r>
      <w:r w:rsidR="006A58D0" w:rsidRPr="006E0849">
        <w:t xml:space="preserve">are </w:t>
      </w:r>
      <w:r w:rsidRPr="006E0849">
        <w:t xml:space="preserve">relevant to ongoing discussions on the future of Australia’s development cooperation with Asian MICs. While </w:t>
      </w:r>
      <w:r w:rsidR="00EE7A51">
        <w:t xml:space="preserve">the evaluation team </w:t>
      </w:r>
      <w:r w:rsidRPr="006E0849">
        <w:t>found consensus among DFAT stakeholders that support should continue, there were also widespread concerns that it is vulnerable to a loss of public and political support and that DFAT need</w:t>
      </w:r>
      <w:r w:rsidR="00544471">
        <w:t>s</w:t>
      </w:r>
      <w:r w:rsidRPr="006E0849">
        <w:t xml:space="preserve"> </w:t>
      </w:r>
      <w:r w:rsidR="00405347" w:rsidRPr="006E0849">
        <w:t xml:space="preserve">new ways of </w:t>
      </w:r>
      <w:r w:rsidRPr="006E0849">
        <w:t>making the strategic case for continued aid.</w:t>
      </w:r>
    </w:p>
    <w:p w14:paraId="49EA3E37" w14:textId="2AAD961F" w:rsidR="00D269A2" w:rsidRPr="006D53D4" w:rsidRDefault="00D269A2" w:rsidP="00D269A2">
      <w:r w:rsidRPr="006D53D4">
        <w:t>This evaluation suggests three factor</w:t>
      </w:r>
      <w:r w:rsidR="00967449">
        <w:t>s should be</w:t>
      </w:r>
      <w:r w:rsidR="001C7483">
        <w:t xml:space="preserve"> taken into account when considering </w:t>
      </w:r>
      <w:r w:rsidR="00052AF7">
        <w:t xml:space="preserve">future assistance to </w:t>
      </w:r>
      <w:r w:rsidR="006A58D0">
        <w:t>MICs</w:t>
      </w:r>
      <w:r w:rsidR="00505CC7">
        <w:t xml:space="preserve"> </w:t>
      </w:r>
      <w:r w:rsidR="00052AF7">
        <w:t>in Asia.</w:t>
      </w:r>
    </w:p>
    <w:p w14:paraId="63C2AE1F" w14:textId="3652CFFA" w:rsidR="00CB151B" w:rsidRDefault="00D269A2" w:rsidP="00D269A2">
      <w:r w:rsidRPr="006D53D4">
        <w:t xml:space="preserve">First, nearly three-quarters of the world’s poor live in MICs. </w:t>
      </w:r>
      <w:r w:rsidR="00221202">
        <w:t xml:space="preserve">Working with MICs will be essential for achieving global development objectives. </w:t>
      </w:r>
      <w:r w:rsidR="00405347" w:rsidRPr="006E0849">
        <w:t xml:space="preserve">While </w:t>
      </w:r>
      <w:r w:rsidR="00221202" w:rsidRPr="006E0849">
        <w:t xml:space="preserve">other bilateral donors are choosing to focus on low-income countries, Australia is well placed to </w:t>
      </w:r>
      <w:r w:rsidR="00405347" w:rsidRPr="006E0849">
        <w:t xml:space="preserve">develop its specialisation in knowledge-based assistance to help MICs in its region address their social and economic challenges. The case for this support is bolstered by the difficulties that MICs face in moving to advanced economies and the high risks of stagnation and even instability that they face. </w:t>
      </w:r>
      <w:r w:rsidRPr="006E0849">
        <w:t xml:space="preserve">It should also be </w:t>
      </w:r>
      <w:r w:rsidR="00367012" w:rsidRPr="006E0849">
        <w:t xml:space="preserve">kept </w:t>
      </w:r>
      <w:r w:rsidRPr="006E0849">
        <w:t xml:space="preserve">in mind that the </w:t>
      </w:r>
      <w:r w:rsidRPr="006E0849">
        <w:lastRenderedPageBreak/>
        <w:t xml:space="preserve">capacity of these countries to cooperate in addressing </w:t>
      </w:r>
      <w:r w:rsidR="006D53D4" w:rsidRPr="006E0849">
        <w:t>regional challenges,</w:t>
      </w:r>
      <w:r w:rsidRPr="006E0849">
        <w:t xml:space="preserve"> such as climate c</w:t>
      </w:r>
      <w:r w:rsidRPr="006D53D4">
        <w:t xml:space="preserve">hange and </w:t>
      </w:r>
      <w:r w:rsidR="006D53D4">
        <w:t xml:space="preserve">cross-border health </w:t>
      </w:r>
      <w:r w:rsidRPr="006D53D4">
        <w:t>threats, will depend on their continued growth and development.</w:t>
      </w:r>
    </w:p>
    <w:p w14:paraId="3E9ED9F7" w14:textId="08DD8C0F" w:rsidR="00CB151B" w:rsidRDefault="00D269A2" w:rsidP="00677216">
      <w:r w:rsidRPr="006D53D4">
        <w:t>Second,</w:t>
      </w:r>
      <w:r w:rsidR="009B4100">
        <w:t xml:space="preserve"> t</w:t>
      </w:r>
      <w:r w:rsidRPr="006D53D4">
        <w:t xml:space="preserve">his evaluation highlights the broad and deep relationships the aid program has cultivated with </w:t>
      </w:r>
      <w:r w:rsidR="008F41C5">
        <w:t xml:space="preserve">key </w:t>
      </w:r>
      <w:r w:rsidR="00337EC5">
        <w:t>decision</w:t>
      </w:r>
      <w:r w:rsidR="00830AB2">
        <w:t>-</w:t>
      </w:r>
      <w:r w:rsidR="00337EC5">
        <w:t>makers</w:t>
      </w:r>
      <w:r w:rsidR="00337EC5" w:rsidRPr="006D53D4">
        <w:t xml:space="preserve"> </w:t>
      </w:r>
      <w:r w:rsidRPr="006D53D4">
        <w:t xml:space="preserve">in </w:t>
      </w:r>
      <w:r w:rsidR="008F41C5">
        <w:t>case study countries</w:t>
      </w:r>
      <w:r w:rsidRPr="006D53D4">
        <w:t xml:space="preserve">, and the access this provides </w:t>
      </w:r>
      <w:r w:rsidR="005106D7">
        <w:t xml:space="preserve">DFAT </w:t>
      </w:r>
      <w:r w:rsidRPr="006D53D4">
        <w:t xml:space="preserve">to prosecute </w:t>
      </w:r>
      <w:r w:rsidR="005106D7" w:rsidRPr="006E0849">
        <w:t xml:space="preserve">Australian </w:t>
      </w:r>
      <w:r w:rsidRPr="006E0849">
        <w:t xml:space="preserve">interests or work on </w:t>
      </w:r>
      <w:r w:rsidR="00337EC5" w:rsidRPr="006E0849">
        <w:t xml:space="preserve">issues </w:t>
      </w:r>
      <w:r w:rsidRPr="006E0849">
        <w:t>of mutual</w:t>
      </w:r>
      <w:r w:rsidR="00B21543" w:rsidRPr="006E0849">
        <w:t xml:space="preserve"> </w:t>
      </w:r>
      <w:r w:rsidRPr="006E0849">
        <w:t>interest.</w:t>
      </w:r>
      <w:r w:rsidR="00FD185D" w:rsidRPr="006E0849">
        <w:t xml:space="preserve"> </w:t>
      </w:r>
      <w:r w:rsidR="004852D0" w:rsidRPr="006E0849">
        <w:t xml:space="preserve">There will be financial and human resource costs to continuing to develop DFAT’s expertise on economic and social policy. </w:t>
      </w:r>
      <w:r w:rsidR="00FD185D" w:rsidRPr="006E0849">
        <w:t xml:space="preserve">However, </w:t>
      </w:r>
      <w:r w:rsidR="00337EC5" w:rsidRPr="006E0849">
        <w:t>DFAT’s representatives in</w:t>
      </w:r>
      <w:r w:rsidR="00544471">
        <w:t>-</w:t>
      </w:r>
      <w:r w:rsidR="00337EC5" w:rsidRPr="006E0849">
        <w:t>country are firmly of the view that these</w:t>
      </w:r>
      <w:r w:rsidR="00337EC5">
        <w:t xml:space="preserve"> </w:t>
      </w:r>
      <w:r w:rsidR="004852D0">
        <w:t xml:space="preserve">investments yield a positive return, in terms of Australia’s profile and reputation, and </w:t>
      </w:r>
      <w:r w:rsidR="00337EC5">
        <w:t xml:space="preserve">help them to manage </w:t>
      </w:r>
      <w:r w:rsidRPr="006D53D4">
        <w:t xml:space="preserve">the patches of turbulence that afflict bilateral relationships from time to time. The lesson of lost relationships and access experienced by other donors who wound down </w:t>
      </w:r>
      <w:r w:rsidR="004852D0">
        <w:t xml:space="preserve">their </w:t>
      </w:r>
      <w:r w:rsidRPr="006D53D4">
        <w:t>assistance to MICs abruptly is salient.</w:t>
      </w:r>
    </w:p>
    <w:p w14:paraId="7D9E30BC" w14:textId="0133B391" w:rsidR="00337EC5" w:rsidRDefault="00544471" w:rsidP="00D269A2">
      <w:r>
        <w:t>Third</w:t>
      </w:r>
      <w:r w:rsidR="00D269A2" w:rsidRPr="006D53D4">
        <w:t xml:space="preserve">, the aid program provides scope to work on areas of reform within countries that have potential pay-offs for Australia’s economic interests. </w:t>
      </w:r>
      <w:r w:rsidR="00337EC5">
        <w:t>Australian trade stands to benefit from measures that promote more open and prosperous national economies and greater regional economic integration. This evaluation suggests there may also be scope within economic partnerships to use aid more directly to promote bilateral economic ties.</w:t>
      </w:r>
    </w:p>
    <w:p w14:paraId="56B27919" w14:textId="5A9BDB23" w:rsidR="00643E4F" w:rsidRDefault="00D269A2" w:rsidP="0036183E">
      <w:r w:rsidRPr="006D53D4">
        <w:t xml:space="preserve">These factors suggest </w:t>
      </w:r>
      <w:r w:rsidR="0036183E">
        <w:t xml:space="preserve">that </w:t>
      </w:r>
      <w:r w:rsidRPr="006D53D4">
        <w:t xml:space="preserve">Australia should consider its approach to </w:t>
      </w:r>
      <w:r w:rsidR="00052AF7">
        <w:t xml:space="preserve">future development </w:t>
      </w:r>
      <w:r w:rsidRPr="006D53D4">
        <w:t xml:space="preserve">assistance carefully and not </w:t>
      </w:r>
      <w:r w:rsidR="0036183E">
        <w:t xml:space="preserve">move towards a hasty exit </w:t>
      </w:r>
      <w:r w:rsidR="004852D0">
        <w:t xml:space="preserve">based on </w:t>
      </w:r>
      <w:r w:rsidR="0036183E">
        <w:t xml:space="preserve">income thresholds, as some donors have done. Rather, </w:t>
      </w:r>
      <w:r w:rsidRPr="006D53D4">
        <w:t xml:space="preserve">decisions should </w:t>
      </w:r>
      <w:r w:rsidR="00544471">
        <w:t>account for</w:t>
      </w:r>
      <w:r w:rsidRPr="006D53D4">
        <w:t xml:space="preserve"> the </w:t>
      </w:r>
      <w:r w:rsidR="0036183E">
        <w:t xml:space="preserve">risks Asian MICs face of stagnation or reversal, and </w:t>
      </w:r>
      <w:r w:rsidRPr="006D53D4">
        <w:t xml:space="preserve">the capacity of aid to help </w:t>
      </w:r>
      <w:r w:rsidR="005C4F2E">
        <w:t>them o</w:t>
      </w:r>
      <w:r w:rsidRPr="006D53D4">
        <w:t xml:space="preserve">vercome constraints </w:t>
      </w:r>
      <w:r w:rsidR="0036183E">
        <w:t xml:space="preserve">on </w:t>
      </w:r>
      <w:r w:rsidRPr="006D53D4">
        <w:t>their development.</w:t>
      </w:r>
    </w:p>
    <w:p w14:paraId="1766137B" w14:textId="77777777" w:rsidR="00394279" w:rsidRDefault="00394279" w:rsidP="0036183E">
      <w:pPr>
        <w:sectPr w:rsidR="00394279" w:rsidSect="00216F57">
          <w:pgSz w:w="12240" w:h="15840"/>
          <w:pgMar w:top="851" w:right="851" w:bottom="1418" w:left="851" w:header="505" w:footer="505" w:gutter="0"/>
          <w:pgNumType w:start="1"/>
          <w:cols w:space="720"/>
          <w:titlePg/>
          <w:docGrid w:linePitch="360"/>
        </w:sectPr>
      </w:pPr>
    </w:p>
    <w:p w14:paraId="0C16A6FF" w14:textId="19B92AED" w:rsidR="00643E4F" w:rsidRPr="001B3B93" w:rsidRDefault="00B24E9D" w:rsidP="00643E4F">
      <w:pPr>
        <w:pStyle w:val="ChapterHead"/>
        <w:framePr w:wrap="around"/>
      </w:pPr>
      <w:bookmarkStart w:id="28" w:name="_Toc527712986"/>
      <w:r>
        <w:lastRenderedPageBreak/>
        <w:t>Management Response</w:t>
      </w:r>
      <w:bookmarkEnd w:id="28"/>
    </w:p>
    <w:p w14:paraId="0704F1F3" w14:textId="6CC05B19" w:rsidR="00CB151B" w:rsidRPr="00F541F4" w:rsidRDefault="000C0D25" w:rsidP="000C0D25">
      <w:pPr>
        <w:rPr>
          <w:rStyle w:val="s1"/>
          <w:spacing w:val="0"/>
          <w:sz w:val="14"/>
          <w:szCs w:val="14"/>
          <w:lang w:eastAsia="en-GB"/>
        </w:rPr>
      </w:pPr>
      <w:r>
        <w:rPr>
          <w:rStyle w:val="s1"/>
        </w:rPr>
        <w:t>DFAT welcomes this evaluation as valuable analysis of the evolving approach to Australia’s development cooperation in Asia. The evaluation provides a strong case for continued long-term engagement with Asian middle-income countries (MICs) that is consistent with Australia’s goals for sustainable economic growth and development in the region. It recognises a number of challenges and risks faced by MICs as their economies grow, including institutional deficits and rising inequality.</w:t>
      </w:r>
      <w:r>
        <w:rPr>
          <w:rStyle w:val="apple-converted-space"/>
          <w:spacing w:val="-2"/>
        </w:rPr>
        <w:t> </w:t>
      </w:r>
    </w:p>
    <w:p w14:paraId="1934509A" w14:textId="5CC50F6E" w:rsidR="00CB151B" w:rsidRPr="00F541F4" w:rsidRDefault="000C0D25" w:rsidP="000C0D25">
      <w:pPr>
        <w:rPr>
          <w:rStyle w:val="s2"/>
          <w:spacing w:val="0"/>
        </w:rPr>
      </w:pPr>
      <w:r>
        <w:rPr>
          <w:rStyle w:val="s1"/>
        </w:rPr>
        <w:t>Australia is committed to long-term economic partnerships that help Asian countries address these challenges, achieve their own reform priorities and contribute to Australia’s goals of a stable, prosperous and resilient region. We are focused on the ongoing needs of countries like Indonesia, the Philippines and Vietnam as they approach a challenging second stage of development associated with economic transition. Complex economic, social and structural reforms are necessary to sustain economic growth, tackle poverty and inequality, and maintain development gains. At the same time, there is risk of a development financing gap as these countries progressively experience reductions in funding and support from multilateral institutions as they ‘graduate’ from funding categories, and potentially withdrawal of other bilateral donors. Our partners will remain eligible for Official Development Assistance (ODA) for many years to come, enabling us to contribute our expertise in helping them to undertake economic and social reforms for their continued prosperity and stability.</w:t>
      </w:r>
      <w:r>
        <w:rPr>
          <w:rStyle w:val="apple-converted-space"/>
          <w:spacing w:val="-2"/>
        </w:rPr>
        <w:t> </w:t>
      </w:r>
    </w:p>
    <w:p w14:paraId="5A0D2CA7" w14:textId="510C37CA" w:rsidR="000C0D25" w:rsidRPr="00CB151B" w:rsidRDefault="000C0D25" w:rsidP="00CB151B">
      <w:r>
        <w:rPr>
          <w:rStyle w:val="s2"/>
        </w:rPr>
        <w:t>DFAT also welcomes the evaluation’s contribution to an evidence base on the most effective ways to deliver knowledge-based assistance. We welcome the evaluation’s affirmation of the impacts that are already being achieved through our partnerships in Indonesia and Vietnam. This includes that Australia has broad and deep development relationships with decision-makers in these countries, our provisions of quality technical and analytical inputs to support the policy process, and our ability to tip the balance in favour of politically challenging and developmentally significant reform.</w:t>
      </w:r>
    </w:p>
    <w:p w14:paraId="3772E5C1" w14:textId="56DDA85F" w:rsidR="00917BFA" w:rsidRDefault="000C0D25" w:rsidP="00CB151B">
      <w:r w:rsidRPr="00CB151B">
        <w:t>While not covered by the evaluation, our development partnerships in the Philippines and Sri Lanka also focus on knowledge-based assistance. In all these countries, Australia is promoting policy change and institutional development to meet the ongoing development challenges of the middle-income stage. Our emphasis is on helping our partners to maximise their own resources for inclusive growth and poverty reduction. Our reputation as a responsive and flexible development partner is key to our effectiveness in delivering knowledge-based assistance that makes a real difference to our partners.</w:t>
      </w:r>
    </w:p>
    <w:p w14:paraId="61BD20FE" w14:textId="77777777" w:rsidR="00CB151B" w:rsidRPr="00CB151B" w:rsidRDefault="000C0D25" w:rsidP="00CB151B">
      <w:r w:rsidRPr="00CB151B">
        <w:t>Our other development partners in Southeast Asia—Myanmar, Cambodia, DPR Laos and Timor-Leste—are lower MICs which are also classified as least developed countries. We have the same focus on working as trusted partners through our assistance to help them tackle fundamental development challenges and lift their populations out of poverty.</w:t>
      </w:r>
    </w:p>
    <w:p w14:paraId="2CA6E1E1" w14:textId="1A69FEAE" w:rsidR="00CB151B" w:rsidRDefault="000C0D25" w:rsidP="00CB151B">
      <w:r w:rsidRPr="00CB151B">
        <w:t xml:space="preserve">The future direction of each economic partnership is being informed by Australia’s </w:t>
      </w:r>
      <w:r w:rsidRPr="00CB151B">
        <w:rPr>
          <w:i/>
        </w:rPr>
        <w:t>2017 Foreign Policy White Paper</w:t>
      </w:r>
      <w:r w:rsidRPr="00CB151B">
        <w:t xml:space="preserve">, including the four tests for allocating development assistance: our national interest; promoting inclusive growth and reducing poverty; Australia’s contribution adds value and leverages partner funding; deliver results and value for money. In building integrated economic partnerships we will consult with our partners and further consolidate our </w:t>
      </w:r>
      <w:r w:rsidRPr="00CB151B">
        <w:lastRenderedPageBreak/>
        <w:t>resources into sectors where we have strong interests, strong comparative advantage and the most ability to support positive change. A Southeast Asia Development Strategy is under development that responds to the changing needs and context of the region within the framework of Australia’s foreign policy goals. This will be delivered through integrated development, trade and diplomacy efforts.</w:t>
      </w:r>
    </w:p>
    <w:p w14:paraId="2E8D767E" w14:textId="77777777" w:rsidR="000C0D25" w:rsidRPr="00CB151B" w:rsidRDefault="000C0D25" w:rsidP="00CB151B">
      <w:r w:rsidRPr="00CB151B">
        <w:t>The evaluation provides a useful framework for DFAT to provide a more cohesive approach to economic partnerships through the improvements outlined in the recommendations.</w:t>
      </w:r>
      <w:r w:rsidRPr="00CB151B">
        <w:t> </w:t>
      </w:r>
    </w:p>
    <w:p w14:paraId="78AF74D3" w14:textId="77777777" w:rsidR="000C0D25" w:rsidRPr="000C0D25" w:rsidRDefault="000C0D25" w:rsidP="00CB151B">
      <w:pPr>
        <w:pStyle w:val="Tablehead"/>
        <w:rPr>
          <w:lang w:eastAsia="en-GB"/>
        </w:rPr>
      </w:pPr>
      <w:r w:rsidRPr="000C0D25">
        <w:rPr>
          <w:lang w:eastAsia="en-GB"/>
        </w:rPr>
        <w:t>Individual management response to recommendations</w:t>
      </w:r>
    </w:p>
    <w:tbl>
      <w:tblPr>
        <w:tblStyle w:val="TableGrid1"/>
        <w:tblpPr w:leftFromText="180" w:rightFromText="180" w:vertAnchor="text" w:tblpY="1"/>
        <w:tblW w:w="0" w:type="auto"/>
        <w:tblCellMar>
          <w:bottom w:w="57" w:type="dxa"/>
        </w:tblCellMar>
        <w:tblLook w:val="04A0" w:firstRow="1" w:lastRow="0" w:firstColumn="1" w:lastColumn="0" w:noHBand="0" w:noVBand="1"/>
      </w:tblPr>
      <w:tblGrid>
        <w:gridCol w:w="5060"/>
        <w:gridCol w:w="3311"/>
        <w:gridCol w:w="2157"/>
      </w:tblGrid>
      <w:tr w:rsidR="00677216" w:rsidRPr="00CB151B" w14:paraId="5D38BC4D" w14:textId="77777777" w:rsidTr="00677216">
        <w:tc>
          <w:tcPr>
            <w:tcW w:w="0" w:type="auto"/>
            <w:gridSpan w:val="3"/>
            <w:shd w:val="clear" w:color="auto" w:fill="007C89" w:themeFill="accent1"/>
            <w:hideMark/>
          </w:tcPr>
          <w:p w14:paraId="7EF37768" w14:textId="7D1DAA58" w:rsidR="00CB151B" w:rsidRPr="00CB151B" w:rsidRDefault="00CB151B" w:rsidP="00917BFA">
            <w:pPr>
              <w:tabs>
                <w:tab w:val="left" w:pos="2940"/>
              </w:tabs>
            </w:pPr>
            <w:r w:rsidRPr="00917BFA">
              <w:rPr>
                <w:color w:val="FFFFFF" w:themeColor="background1"/>
              </w:rPr>
              <w:t>Recommendation 1</w:t>
            </w:r>
            <w:r w:rsidRPr="00917BFA">
              <w:rPr>
                <w:color w:val="FFFFFF" w:themeColor="background1"/>
              </w:rPr>
              <w:tab/>
            </w:r>
          </w:p>
        </w:tc>
      </w:tr>
      <w:tr w:rsidR="00D81D3A" w:rsidRPr="00CB151B" w14:paraId="6DD764C7" w14:textId="77777777" w:rsidTr="00677216">
        <w:tc>
          <w:tcPr>
            <w:tcW w:w="0" w:type="auto"/>
            <w:gridSpan w:val="3"/>
            <w:hideMark/>
          </w:tcPr>
          <w:p w14:paraId="649CC8FC" w14:textId="77777777" w:rsidR="00D81D3A" w:rsidRPr="00CB151B" w:rsidRDefault="00D81D3A" w:rsidP="00917BFA">
            <w:r w:rsidRPr="00CB151B">
              <w:t>DFAT should set out the long-term strategic case for development cooperation in support of economic partnerships with middle-income Asia, and how the quantum and approach to providing assistance might be expected to evolve as they develop.</w:t>
            </w:r>
          </w:p>
        </w:tc>
      </w:tr>
      <w:tr w:rsidR="005E0F8F" w:rsidRPr="00CB151B" w14:paraId="33306EDE" w14:textId="77777777" w:rsidTr="00677216">
        <w:tc>
          <w:tcPr>
            <w:tcW w:w="0" w:type="auto"/>
            <w:gridSpan w:val="3"/>
            <w:shd w:val="clear" w:color="auto" w:fill="D8DBDA" w:themeFill="accent5"/>
            <w:hideMark/>
          </w:tcPr>
          <w:p w14:paraId="7B422272" w14:textId="77777777" w:rsidR="005E0F8F" w:rsidRPr="00CB151B" w:rsidRDefault="005E0F8F" w:rsidP="00917BFA">
            <w:r w:rsidRPr="00CB151B">
              <w:t>Response*: Agree</w:t>
            </w:r>
          </w:p>
        </w:tc>
      </w:tr>
      <w:tr w:rsidR="00917BFA" w:rsidRPr="00CB151B" w14:paraId="3B8BE734" w14:textId="77777777" w:rsidTr="00677216">
        <w:tc>
          <w:tcPr>
            <w:tcW w:w="0" w:type="auto"/>
            <w:shd w:val="clear" w:color="auto" w:fill="A2DCD1" w:themeFill="background2" w:themeFillTint="99"/>
            <w:hideMark/>
          </w:tcPr>
          <w:p w14:paraId="641A1370" w14:textId="77777777" w:rsidR="000C0D25" w:rsidRPr="00917BFA" w:rsidRDefault="000C0D25" w:rsidP="00917BFA">
            <w:pPr>
              <w:rPr>
                <w:color w:val="212121" w:themeColor="text1" w:themeShade="80"/>
              </w:rPr>
            </w:pPr>
            <w:r w:rsidRPr="00917BFA">
              <w:rPr>
                <w:color w:val="212121" w:themeColor="text1" w:themeShade="80"/>
              </w:rPr>
              <w:t>Explanation</w:t>
            </w:r>
          </w:p>
        </w:tc>
        <w:tc>
          <w:tcPr>
            <w:tcW w:w="0" w:type="auto"/>
            <w:shd w:val="clear" w:color="auto" w:fill="A2DCD1" w:themeFill="background2" w:themeFillTint="99"/>
            <w:hideMark/>
          </w:tcPr>
          <w:p w14:paraId="576892E4" w14:textId="77777777" w:rsidR="000C0D25" w:rsidRPr="00917BFA" w:rsidRDefault="000C0D25" w:rsidP="00917BFA">
            <w:pPr>
              <w:rPr>
                <w:color w:val="212121" w:themeColor="text1" w:themeShade="80"/>
              </w:rPr>
            </w:pPr>
            <w:r w:rsidRPr="00917BFA">
              <w:rPr>
                <w:color w:val="212121" w:themeColor="text1" w:themeShade="80"/>
              </w:rPr>
              <w:t>Action plan</w:t>
            </w:r>
          </w:p>
        </w:tc>
        <w:tc>
          <w:tcPr>
            <w:tcW w:w="0" w:type="auto"/>
            <w:shd w:val="clear" w:color="auto" w:fill="A2DCD1" w:themeFill="background2" w:themeFillTint="99"/>
            <w:hideMark/>
          </w:tcPr>
          <w:p w14:paraId="61D8218C" w14:textId="77777777" w:rsidR="000C0D25" w:rsidRPr="00917BFA" w:rsidRDefault="000C0D25" w:rsidP="00917BFA">
            <w:pPr>
              <w:rPr>
                <w:color w:val="212121" w:themeColor="text1" w:themeShade="80"/>
              </w:rPr>
            </w:pPr>
            <w:r w:rsidRPr="00917BFA">
              <w:rPr>
                <w:color w:val="212121" w:themeColor="text1" w:themeShade="80"/>
              </w:rPr>
              <w:t>Responsible area(s) and timeframe</w:t>
            </w:r>
          </w:p>
        </w:tc>
      </w:tr>
      <w:tr w:rsidR="00917BFA" w:rsidRPr="00CB151B" w14:paraId="625F3A34" w14:textId="77777777" w:rsidTr="00677216">
        <w:tc>
          <w:tcPr>
            <w:tcW w:w="0" w:type="auto"/>
            <w:shd w:val="clear" w:color="auto" w:fill="E0F3EF" w:themeFill="background2" w:themeFillTint="33"/>
            <w:hideMark/>
          </w:tcPr>
          <w:p w14:paraId="01318C96" w14:textId="77777777" w:rsidR="000C0D25" w:rsidRPr="00CB151B" w:rsidRDefault="000C0D25" w:rsidP="00917BFA">
            <w:r w:rsidRPr="00CB151B">
              <w:t>DFAT is preparing an internal position paper on its development cooperation with MICs. It will include analysis on elements common to how we engage through development cooperation with MICs. How the quantum and approach to providing assistance might evolve as countries develop will depend on available budget resources and each country context and will be addressed through the development of aid investment plans. </w:t>
            </w:r>
          </w:p>
        </w:tc>
        <w:tc>
          <w:tcPr>
            <w:tcW w:w="0" w:type="auto"/>
            <w:shd w:val="clear" w:color="auto" w:fill="E0F3EF" w:themeFill="background2" w:themeFillTint="33"/>
            <w:hideMark/>
          </w:tcPr>
          <w:p w14:paraId="64EB1009" w14:textId="77777777" w:rsidR="000C0D25" w:rsidRPr="00CB151B" w:rsidRDefault="000C0D25" w:rsidP="00917BFA">
            <w:r w:rsidRPr="00CB151B">
              <w:t>Development Policy Division (DPD) has commenced work on an internal position paper on development cooperation with MICs.</w:t>
            </w:r>
          </w:p>
          <w:p w14:paraId="28D3164B" w14:textId="77777777" w:rsidR="000C0D25" w:rsidRPr="00CB151B" w:rsidRDefault="000C0D25" w:rsidP="00917BFA">
            <w:r w:rsidRPr="00CB151B">
              <w:t>The Southeast Asia Development Strategy will set out Australia’s approach to development cooperation in Southeast Asia for the next five years, in line with the Foreign Policy White Paper.</w:t>
            </w:r>
          </w:p>
          <w:p w14:paraId="52D35A15" w14:textId="096AC9A4" w:rsidR="000C0D25" w:rsidRPr="00CB151B" w:rsidRDefault="000C0D25" w:rsidP="00917BFA">
            <w:r w:rsidRPr="00CB151B">
              <w:t>While these strategies will discuss the approach to providing assistance, ultimately budget allocations are a decision of the Government as part of the annual budget process.</w:t>
            </w:r>
          </w:p>
        </w:tc>
        <w:tc>
          <w:tcPr>
            <w:tcW w:w="0" w:type="auto"/>
            <w:shd w:val="clear" w:color="auto" w:fill="E0F3EF" w:themeFill="background2" w:themeFillTint="33"/>
            <w:hideMark/>
          </w:tcPr>
          <w:p w14:paraId="1133A854" w14:textId="77777777" w:rsidR="000C0D25" w:rsidRPr="00CB151B" w:rsidRDefault="000C0D25" w:rsidP="00917BFA">
            <w:r w:rsidRPr="00CB151B">
              <w:t>DFAT position paper—DPD, December 2018.</w:t>
            </w:r>
          </w:p>
          <w:p w14:paraId="05CD6A0C" w14:textId="77777777" w:rsidR="000C0D25" w:rsidRPr="00CB151B" w:rsidRDefault="000C0D25" w:rsidP="00917BFA">
            <w:r w:rsidRPr="00CB151B">
              <w:t>Southeast Asia Development Strategy—Southeast Asia Division (SED), early 2019.</w:t>
            </w:r>
          </w:p>
          <w:p w14:paraId="346A056F" w14:textId="77777777" w:rsidR="000C0D25" w:rsidRPr="00CB151B" w:rsidRDefault="000C0D25" w:rsidP="00917BFA"/>
        </w:tc>
      </w:tr>
      <w:tr w:rsidR="005E0F8F" w:rsidRPr="00CB151B" w14:paraId="0AE0A0FE" w14:textId="77777777" w:rsidTr="00677216">
        <w:tc>
          <w:tcPr>
            <w:tcW w:w="0" w:type="auto"/>
            <w:gridSpan w:val="3"/>
            <w:shd w:val="clear" w:color="auto" w:fill="007C89" w:themeFill="accent1"/>
            <w:hideMark/>
          </w:tcPr>
          <w:p w14:paraId="7513924E" w14:textId="4DE1B331" w:rsidR="005E0F8F" w:rsidRPr="00CB151B" w:rsidRDefault="005E0F8F" w:rsidP="00917BFA">
            <w:r w:rsidRPr="00917BFA">
              <w:rPr>
                <w:color w:val="FFFFFF" w:themeColor="background1"/>
              </w:rPr>
              <w:t>Recommendation 2 </w:t>
            </w:r>
          </w:p>
        </w:tc>
      </w:tr>
      <w:tr w:rsidR="005E0F8F" w:rsidRPr="00CB151B" w14:paraId="71383A41" w14:textId="77777777" w:rsidTr="00677216">
        <w:tc>
          <w:tcPr>
            <w:tcW w:w="0" w:type="auto"/>
            <w:gridSpan w:val="3"/>
            <w:hideMark/>
          </w:tcPr>
          <w:p w14:paraId="219AB8F4" w14:textId="77777777" w:rsidR="005E0F8F" w:rsidRPr="00CB151B" w:rsidRDefault="005E0F8F" w:rsidP="00917BFA">
            <w:r w:rsidRPr="00CB151B">
              <w:t>Within each of its economic partnerships with ODA-eligible countries, DFAT should:</w:t>
            </w:r>
          </w:p>
          <w:p w14:paraId="47B62C60" w14:textId="77777777" w:rsidR="005E0F8F" w:rsidRPr="00917BFA" w:rsidRDefault="005E0F8F" w:rsidP="00917BFA">
            <w:pPr>
              <w:pStyle w:val="ListBullet"/>
            </w:pPr>
            <w:r w:rsidRPr="00917BFA">
              <w:t>articulate influencing objectives and ensure that the messaging is consistent across its aid, trade and diplomatic engagements</w:t>
            </w:r>
          </w:p>
          <w:p w14:paraId="32D14082" w14:textId="77777777" w:rsidR="005E0F8F" w:rsidRPr="00917BFA" w:rsidRDefault="005E0F8F" w:rsidP="00917BFA">
            <w:pPr>
              <w:pStyle w:val="ListBullet"/>
            </w:pPr>
            <w:r w:rsidRPr="00917BFA">
              <w:t>focus its aid for trade investments on helping partner countries to take advantage of opportunities in bilateral and regional free trade agreements</w:t>
            </w:r>
          </w:p>
          <w:p w14:paraId="532FF0DD" w14:textId="20A488B4" w:rsidR="005E0F8F" w:rsidRPr="00CB151B" w:rsidRDefault="005E0F8F" w:rsidP="00917BFA">
            <w:pPr>
              <w:pStyle w:val="ListBullet"/>
            </w:pPr>
            <w:r w:rsidRPr="00917BFA">
              <w:t>look for opportunities to provide development assistance in sectors that offer the potential for mutual benefit, in ways that meet the conditions for good development practice.</w:t>
            </w:r>
          </w:p>
        </w:tc>
      </w:tr>
      <w:tr w:rsidR="005E0F8F" w:rsidRPr="00CB151B" w14:paraId="7F5D8844" w14:textId="77777777" w:rsidTr="003C609F">
        <w:tc>
          <w:tcPr>
            <w:tcW w:w="0" w:type="auto"/>
            <w:gridSpan w:val="3"/>
            <w:tcBorders>
              <w:bottom w:val="single" w:sz="4" w:space="0" w:color="auto"/>
            </w:tcBorders>
            <w:shd w:val="clear" w:color="auto" w:fill="D8DBDA" w:themeFill="accent5"/>
            <w:hideMark/>
          </w:tcPr>
          <w:p w14:paraId="1C22D54C" w14:textId="6BDA320C" w:rsidR="005E0F8F" w:rsidRPr="00CB151B" w:rsidRDefault="005E0F8F" w:rsidP="00917BFA">
            <w:r w:rsidRPr="00CB151B">
              <w:t>Response: Agree</w:t>
            </w:r>
          </w:p>
        </w:tc>
      </w:tr>
    </w:tbl>
    <w:p w14:paraId="40108440" w14:textId="77777777" w:rsidR="003C609F" w:rsidRDefault="003C609F" w:rsidP="003C609F">
      <w:pPr>
        <w:pStyle w:val="FootnoteText"/>
        <w:rPr>
          <w:lang w:eastAsia="en-GB"/>
        </w:rPr>
      </w:pPr>
    </w:p>
    <w:p w14:paraId="43B2D8F8" w14:textId="54AE5461" w:rsidR="003C609F" w:rsidRPr="003C609F" w:rsidRDefault="003C609F" w:rsidP="003C609F">
      <w:pPr>
        <w:pStyle w:val="FootnoteText"/>
        <w:rPr>
          <w:lang w:eastAsia="en-GB"/>
        </w:rPr>
      </w:pPr>
      <w:r w:rsidRPr="003C609F">
        <w:rPr>
          <w:lang w:eastAsia="en-GB"/>
        </w:rPr>
        <w:t xml:space="preserve">* Agree/Agree </w:t>
      </w:r>
      <w:r>
        <w:rPr>
          <w:lang w:eastAsia="en-GB"/>
        </w:rPr>
        <w:t xml:space="preserve">in </w:t>
      </w:r>
      <w:r w:rsidRPr="003C609F">
        <w:rPr>
          <w:lang w:eastAsia="en-GB"/>
        </w:rPr>
        <w:t>part/Disagree</w:t>
      </w:r>
    </w:p>
    <w:tbl>
      <w:tblPr>
        <w:tblStyle w:val="TableGrid1"/>
        <w:tblpPr w:leftFromText="180" w:rightFromText="180" w:vertAnchor="text" w:tblpY="1"/>
        <w:tblW w:w="10538" w:type="dxa"/>
        <w:tblCellMar>
          <w:bottom w:w="57" w:type="dxa"/>
        </w:tblCellMar>
        <w:tblLook w:val="04A0" w:firstRow="1" w:lastRow="0" w:firstColumn="1" w:lastColumn="0" w:noHBand="0" w:noVBand="1"/>
      </w:tblPr>
      <w:tblGrid>
        <w:gridCol w:w="4273"/>
        <w:gridCol w:w="4151"/>
        <w:gridCol w:w="2114"/>
      </w:tblGrid>
      <w:tr w:rsidR="003C609F" w:rsidRPr="00CB151B" w14:paraId="7F99AEE5" w14:textId="77777777" w:rsidTr="003C609F">
        <w:tc>
          <w:tcPr>
            <w:tcW w:w="0" w:type="auto"/>
            <w:tcBorders>
              <w:top w:val="single" w:sz="4" w:space="0" w:color="auto"/>
            </w:tcBorders>
            <w:shd w:val="clear" w:color="auto" w:fill="A2DCD1" w:themeFill="background2" w:themeFillTint="99"/>
          </w:tcPr>
          <w:p w14:paraId="1F9B48C5" w14:textId="05C86705" w:rsidR="003C609F" w:rsidRPr="00CB151B" w:rsidRDefault="003C609F" w:rsidP="003C609F">
            <w:r w:rsidRPr="00CB151B">
              <w:lastRenderedPageBreak/>
              <w:t>Explanation</w:t>
            </w:r>
          </w:p>
        </w:tc>
        <w:tc>
          <w:tcPr>
            <w:tcW w:w="0" w:type="auto"/>
            <w:tcBorders>
              <w:top w:val="single" w:sz="4" w:space="0" w:color="auto"/>
            </w:tcBorders>
            <w:shd w:val="clear" w:color="auto" w:fill="A2DCD1" w:themeFill="background2" w:themeFillTint="99"/>
          </w:tcPr>
          <w:p w14:paraId="23437606" w14:textId="7424D287" w:rsidR="003C609F" w:rsidRPr="00CB151B" w:rsidRDefault="003C609F" w:rsidP="003C609F">
            <w:r w:rsidRPr="00CB151B">
              <w:t>Action plan</w:t>
            </w:r>
          </w:p>
        </w:tc>
        <w:tc>
          <w:tcPr>
            <w:tcW w:w="0" w:type="auto"/>
            <w:tcBorders>
              <w:top w:val="single" w:sz="4" w:space="0" w:color="auto"/>
              <w:bottom w:val="single" w:sz="4" w:space="0" w:color="auto"/>
            </w:tcBorders>
            <w:shd w:val="clear" w:color="auto" w:fill="A2DCD1" w:themeFill="background2" w:themeFillTint="99"/>
          </w:tcPr>
          <w:p w14:paraId="6E139074" w14:textId="43AD6939" w:rsidR="003C609F" w:rsidRPr="00CB151B" w:rsidRDefault="003C609F" w:rsidP="003C609F">
            <w:r w:rsidRPr="00CB151B">
              <w:t>Responsible area(s) and timeframe</w:t>
            </w:r>
          </w:p>
        </w:tc>
      </w:tr>
      <w:tr w:rsidR="00F541F4" w:rsidRPr="00CB151B" w14:paraId="64FC9562" w14:textId="77777777" w:rsidTr="003C609F">
        <w:tc>
          <w:tcPr>
            <w:tcW w:w="0" w:type="auto"/>
            <w:vMerge w:val="restart"/>
            <w:tcBorders>
              <w:top w:val="nil"/>
            </w:tcBorders>
            <w:shd w:val="clear" w:color="auto" w:fill="E0F3EF" w:themeFill="background2" w:themeFillTint="33"/>
            <w:hideMark/>
          </w:tcPr>
          <w:p w14:paraId="3CE95D92" w14:textId="77777777" w:rsidR="00F541F4" w:rsidRPr="00CB151B" w:rsidRDefault="00F541F4" w:rsidP="00917BFA">
            <w:r w:rsidRPr="00CB151B">
              <w:t>Australia’s objectives for development cooperation in each country will be set out in updated aid investment plans, which will be informed by a broader consideration of Australia’s aid, foreign policy and trade priorities for each bilateral relationship and overall integrated foreign policy goals set out in Australia’s Foreign Policy White Paper and DFAT’s Corporate Plan.</w:t>
            </w:r>
          </w:p>
          <w:p w14:paraId="694B9975" w14:textId="77777777" w:rsidR="00F541F4" w:rsidRPr="00CB151B" w:rsidRDefault="00F541F4" w:rsidP="00917BFA">
            <w:r w:rsidRPr="00CB151B">
              <w:t>As found in the evaluation, Australia achieves development impact by focusing on sectors where we have a comparative advantage to add value to our partner government’s priorities, including drawing on areas of Australia’s expertise. We will continue to strengthen this as our economic partnerships evolve, guided by the Southeast Asian Development Strategy and the Foreign Policy White Paper. </w:t>
            </w:r>
          </w:p>
          <w:p w14:paraId="144AF9BE" w14:textId="77777777" w:rsidR="00F541F4" w:rsidRPr="00CB151B" w:rsidRDefault="00F541F4" w:rsidP="00917BFA">
            <w:r w:rsidRPr="00CB151B">
              <w:t>Australia has incorporated development cooperation and capacity-building assistance in trade agreements with partner countries to assist them to become more active partners in, and optimise the benefits from, these agreements. For example, the Association of Southeast Asian Nation (ASEAN)-Australia-New Zealand Free Trade Agreement (AANZFTA) includes an economic cooperation chapter and is supported by economic cooperation program funded by Australia and New Zealand. Other trade agreements under developed will have similar provisions. Australia has leveraged DFAT’s partnership with the World Bank in Vietnam to initially provide modelling on the economic benefits of joining the Trans-Pacific Partnership and subsequently to assist the Government with implementation.</w:t>
            </w:r>
          </w:p>
          <w:p w14:paraId="1B5BB881" w14:textId="77777777" w:rsidR="00F541F4" w:rsidRPr="00CB151B" w:rsidRDefault="00F541F4" w:rsidP="00917BFA">
            <w:r w:rsidRPr="00CB151B">
              <w:t>Australia also takes account of partner country interests and needs in multilateral trading fora and our aid for trade investments support partner country trade deliberations.</w:t>
            </w:r>
          </w:p>
          <w:p w14:paraId="5FB7727E" w14:textId="28C1F578" w:rsidR="00F541F4" w:rsidRPr="00CB151B" w:rsidRDefault="00F541F4" w:rsidP="00355BEB">
            <w:r w:rsidRPr="00CB151B">
              <w:t xml:space="preserve">In Southeast Asia, our help to partner countries to take advantage of opportunities in bilateral and regional free trade agreements is complemented by </w:t>
            </w:r>
            <w:r w:rsidRPr="00CB151B">
              <w:lastRenderedPageBreak/>
              <w:t>investments focusing on country-specific constraints to growth, such as ease of doing business, competition and infrastructure.</w:t>
            </w:r>
          </w:p>
        </w:tc>
        <w:tc>
          <w:tcPr>
            <w:tcW w:w="0" w:type="auto"/>
            <w:vMerge w:val="restart"/>
            <w:tcBorders>
              <w:top w:val="nil"/>
            </w:tcBorders>
            <w:shd w:val="clear" w:color="auto" w:fill="E0F3EF" w:themeFill="background2" w:themeFillTint="33"/>
            <w:hideMark/>
          </w:tcPr>
          <w:p w14:paraId="1BB03E6B" w14:textId="77777777" w:rsidR="00F541F4" w:rsidRPr="00CB151B" w:rsidRDefault="00F541F4" w:rsidP="00917BFA">
            <w:r w:rsidRPr="00CB151B">
              <w:lastRenderedPageBreak/>
              <w:t>The Philippines will develop an updated aid investment plan in 2019.</w:t>
            </w:r>
          </w:p>
          <w:p w14:paraId="53573EE6" w14:textId="77777777" w:rsidR="00F541F4" w:rsidRPr="00CB151B" w:rsidRDefault="00F541F4" w:rsidP="00917BFA">
            <w:r w:rsidRPr="00CB151B">
              <w:t>The Indonesia aid investment plan will be finalised in 2020 to align with the Indonesian Government’s next medium-term development plan (2020–24). The aid investment plan will consider which Ministries we are seeking to work with and how these partnerships align with Australia’s development, foreign policy and trade priorities.</w:t>
            </w:r>
          </w:p>
          <w:p w14:paraId="02D66622" w14:textId="77777777" w:rsidR="00F541F4" w:rsidRPr="00CB151B" w:rsidRDefault="00F541F4" w:rsidP="00917BFA">
            <w:r w:rsidRPr="00CB151B">
              <w:t>The Vietnam aid investment plan is due to be updated in 2020 and will seek to build on the economic partnership that has evolved through the current aid investment plan in alignment with Vietnam’s Socio-Economic Development Plan 2021–25. </w:t>
            </w:r>
          </w:p>
          <w:p w14:paraId="7618C538" w14:textId="77777777" w:rsidR="00F541F4" w:rsidRPr="00CB151B" w:rsidRDefault="00F541F4" w:rsidP="00917BFA">
            <w:r w:rsidRPr="00CB151B">
              <w:t>The current Sri Lanka aid investment plan 2015–-19 has a strong focus on economic partnership. As DFAT drafts the next aid investment plan, planned for 2019–23, it will consider developing this further.</w:t>
            </w:r>
          </w:p>
          <w:p w14:paraId="5514E7F4" w14:textId="77777777" w:rsidR="00F541F4" w:rsidRPr="00CB151B" w:rsidRDefault="00F541F4" w:rsidP="00355BEB"/>
        </w:tc>
        <w:tc>
          <w:tcPr>
            <w:tcW w:w="0" w:type="auto"/>
            <w:tcBorders>
              <w:top w:val="single" w:sz="4" w:space="0" w:color="auto"/>
              <w:bottom w:val="nil"/>
            </w:tcBorders>
            <w:shd w:val="clear" w:color="auto" w:fill="E0F3EF" w:themeFill="background2" w:themeFillTint="33"/>
            <w:hideMark/>
          </w:tcPr>
          <w:p w14:paraId="018EA25E" w14:textId="77777777" w:rsidR="003C609F" w:rsidRPr="00CB151B" w:rsidRDefault="003C609F" w:rsidP="003C609F">
            <w:r w:rsidRPr="00CB151B">
              <w:t>SED, 2019 and 2020.</w:t>
            </w:r>
          </w:p>
          <w:p w14:paraId="665BA602" w14:textId="77777777" w:rsidR="00F541F4" w:rsidRPr="00CB151B" w:rsidRDefault="00F541F4" w:rsidP="00917BFA">
            <w:r w:rsidRPr="00CB151B">
              <w:t>South and West Asia Division, 2019.</w:t>
            </w:r>
          </w:p>
        </w:tc>
      </w:tr>
      <w:tr w:rsidR="00F541F4" w:rsidRPr="00CB151B" w14:paraId="212376D6" w14:textId="77777777" w:rsidTr="003C609F">
        <w:tc>
          <w:tcPr>
            <w:tcW w:w="0" w:type="auto"/>
            <w:vMerge/>
            <w:hideMark/>
          </w:tcPr>
          <w:p w14:paraId="21531996" w14:textId="6C468AE6" w:rsidR="00F541F4" w:rsidRPr="00CB151B" w:rsidRDefault="00F541F4" w:rsidP="00917BFA"/>
        </w:tc>
        <w:tc>
          <w:tcPr>
            <w:tcW w:w="0" w:type="auto"/>
            <w:vMerge/>
            <w:hideMark/>
          </w:tcPr>
          <w:p w14:paraId="587049D2" w14:textId="77777777" w:rsidR="00F541F4" w:rsidRPr="00CB151B" w:rsidRDefault="00F541F4" w:rsidP="00917BFA"/>
        </w:tc>
        <w:tc>
          <w:tcPr>
            <w:tcW w:w="0" w:type="auto"/>
            <w:tcBorders>
              <w:top w:val="nil"/>
            </w:tcBorders>
            <w:shd w:val="clear" w:color="auto" w:fill="E0F3EF" w:themeFill="background2" w:themeFillTint="33"/>
            <w:hideMark/>
          </w:tcPr>
          <w:p w14:paraId="66CCDDF2" w14:textId="77777777" w:rsidR="00F541F4" w:rsidRPr="00CB151B" w:rsidRDefault="00F541F4" w:rsidP="00917BFA"/>
          <w:p w14:paraId="5C6B72E4" w14:textId="77777777" w:rsidR="00F541F4" w:rsidRPr="00CB151B" w:rsidRDefault="00F541F4" w:rsidP="00917BFA"/>
        </w:tc>
      </w:tr>
      <w:tr w:rsidR="005E0F8F" w:rsidRPr="00CB151B" w14:paraId="75242885" w14:textId="77777777" w:rsidTr="003C609F">
        <w:tc>
          <w:tcPr>
            <w:tcW w:w="0" w:type="auto"/>
            <w:gridSpan w:val="3"/>
            <w:shd w:val="clear" w:color="auto" w:fill="007C89" w:themeFill="accent1"/>
            <w:hideMark/>
          </w:tcPr>
          <w:p w14:paraId="4CC3230B" w14:textId="62B4F97F" w:rsidR="005E0F8F" w:rsidRPr="00CB151B" w:rsidRDefault="005E0F8F" w:rsidP="00917BFA">
            <w:r w:rsidRPr="00917BFA">
              <w:rPr>
                <w:color w:val="FFFFFF" w:themeColor="background1"/>
              </w:rPr>
              <w:t>Recommendation 3 </w:t>
            </w:r>
          </w:p>
        </w:tc>
      </w:tr>
      <w:tr w:rsidR="005E0F8F" w:rsidRPr="00CB151B" w14:paraId="1092C196" w14:textId="77777777" w:rsidTr="003C609F">
        <w:tc>
          <w:tcPr>
            <w:tcW w:w="0" w:type="auto"/>
            <w:gridSpan w:val="3"/>
            <w:hideMark/>
          </w:tcPr>
          <w:p w14:paraId="449CB47E" w14:textId="77777777" w:rsidR="005E0F8F" w:rsidRPr="00CB151B" w:rsidRDefault="005E0F8F" w:rsidP="00917BFA">
            <w:r w:rsidRPr="00CB151B">
              <w:t>DFAT should continue to develop the evidence base, technical expertise and guidance on the design and implementation of knowledge-based assistance, covering issues such as:</w:t>
            </w:r>
          </w:p>
          <w:p w14:paraId="4AC51473" w14:textId="77777777" w:rsidR="005E0F8F" w:rsidRPr="00CB151B" w:rsidRDefault="005E0F8F" w:rsidP="00F541F4">
            <w:pPr>
              <w:pStyle w:val="ListBullet"/>
            </w:pPr>
            <w:r w:rsidRPr="00CB151B">
              <w:t>How to analyse policy-making processes in partner countries and identify opportunities for knowledge-based inputs to support policy and institutional reform.</w:t>
            </w:r>
          </w:p>
          <w:p w14:paraId="05AE4EFB" w14:textId="77777777" w:rsidR="005E0F8F" w:rsidRPr="00CB151B" w:rsidRDefault="005E0F8F" w:rsidP="00F541F4">
            <w:pPr>
              <w:pStyle w:val="ListBullet"/>
            </w:pPr>
            <w:r w:rsidRPr="00CB151B">
              <w:t>How to position aid programs to be useful partners to national reformers and build long-term relationships.</w:t>
            </w:r>
          </w:p>
          <w:p w14:paraId="0B18A670" w14:textId="77777777" w:rsidR="005E0F8F" w:rsidRPr="00CB151B" w:rsidRDefault="005E0F8F" w:rsidP="00F541F4">
            <w:pPr>
              <w:pStyle w:val="ListBullet"/>
            </w:pPr>
            <w:r w:rsidRPr="00CB151B">
              <w:t>How to apply problem-solving approaches to assistance, combining short-term flexibility in activities and outputs with clarity in strategic objectives.</w:t>
            </w:r>
          </w:p>
          <w:p w14:paraId="4BB5D374" w14:textId="77777777" w:rsidR="005E0F8F" w:rsidRPr="00CB151B" w:rsidRDefault="005E0F8F" w:rsidP="00F541F4">
            <w:pPr>
              <w:pStyle w:val="ListBullet"/>
            </w:pPr>
            <w:r w:rsidRPr="00CB151B">
              <w:t>How to engage with and oversee implementers and multilateral partners.</w:t>
            </w:r>
          </w:p>
          <w:p w14:paraId="704134C8" w14:textId="197DEEE5" w:rsidR="005E0F8F" w:rsidRPr="00CB151B" w:rsidRDefault="005E0F8F" w:rsidP="00F541F4">
            <w:pPr>
              <w:pStyle w:val="ListBullet"/>
            </w:pPr>
            <w:r w:rsidRPr="00CB151B">
              <w:t>How to design and implement influential pilots.</w:t>
            </w:r>
          </w:p>
        </w:tc>
      </w:tr>
      <w:tr w:rsidR="005E0F8F" w:rsidRPr="00CB151B" w14:paraId="7F313831" w14:textId="77777777" w:rsidTr="003C609F">
        <w:tc>
          <w:tcPr>
            <w:tcW w:w="0" w:type="auto"/>
            <w:gridSpan w:val="3"/>
            <w:shd w:val="clear" w:color="auto" w:fill="D8DBDA" w:themeFill="accent5"/>
            <w:hideMark/>
          </w:tcPr>
          <w:p w14:paraId="7CAFCBFA" w14:textId="6A45F2E4" w:rsidR="005E0F8F" w:rsidRPr="00CB151B" w:rsidRDefault="005E0F8F" w:rsidP="00917BFA">
            <w:r w:rsidRPr="00CB151B">
              <w:t>Response: Agree</w:t>
            </w:r>
          </w:p>
        </w:tc>
      </w:tr>
      <w:tr w:rsidR="00917BFA" w:rsidRPr="00CB151B" w14:paraId="467CA356" w14:textId="77777777" w:rsidTr="003C609F">
        <w:tc>
          <w:tcPr>
            <w:tcW w:w="0" w:type="auto"/>
            <w:shd w:val="clear" w:color="auto" w:fill="A2DCD1" w:themeFill="background2" w:themeFillTint="99"/>
            <w:hideMark/>
          </w:tcPr>
          <w:p w14:paraId="1E45B21A" w14:textId="77777777" w:rsidR="000C0D25" w:rsidRPr="00CB151B" w:rsidRDefault="000C0D25" w:rsidP="00917BFA">
            <w:r w:rsidRPr="00CB151B">
              <w:t>Explanation</w:t>
            </w:r>
          </w:p>
        </w:tc>
        <w:tc>
          <w:tcPr>
            <w:tcW w:w="0" w:type="auto"/>
            <w:shd w:val="clear" w:color="auto" w:fill="A2DCD1" w:themeFill="background2" w:themeFillTint="99"/>
            <w:hideMark/>
          </w:tcPr>
          <w:p w14:paraId="72CE647C" w14:textId="77777777" w:rsidR="000C0D25" w:rsidRPr="00CB151B" w:rsidRDefault="000C0D25" w:rsidP="00917BFA">
            <w:r w:rsidRPr="00CB151B">
              <w:t>Action plan</w:t>
            </w:r>
          </w:p>
        </w:tc>
        <w:tc>
          <w:tcPr>
            <w:tcW w:w="0" w:type="auto"/>
            <w:shd w:val="clear" w:color="auto" w:fill="A2DCD1" w:themeFill="background2" w:themeFillTint="99"/>
            <w:hideMark/>
          </w:tcPr>
          <w:p w14:paraId="72F1EF77" w14:textId="77777777" w:rsidR="000C0D25" w:rsidRPr="00CB151B" w:rsidRDefault="000C0D25" w:rsidP="00917BFA">
            <w:r w:rsidRPr="00CB151B">
              <w:t>Responsible area(s) and timeframe</w:t>
            </w:r>
          </w:p>
        </w:tc>
      </w:tr>
      <w:tr w:rsidR="00917BFA" w:rsidRPr="00CB151B" w14:paraId="461CDE75" w14:textId="77777777" w:rsidTr="003C609F">
        <w:tc>
          <w:tcPr>
            <w:tcW w:w="0" w:type="auto"/>
            <w:shd w:val="clear" w:color="auto" w:fill="E0F3EF" w:themeFill="background2" w:themeFillTint="33"/>
            <w:hideMark/>
          </w:tcPr>
          <w:p w14:paraId="369304DE" w14:textId="77777777" w:rsidR="000C0D25" w:rsidRPr="00CB151B" w:rsidRDefault="000C0D25" w:rsidP="00917BFA">
            <w:r w:rsidRPr="00CB151B">
              <w:t>DFAT is currently developing an Inclusive Growth and Governance Diagnostic (IGGD), which will include analysis of broader governance dynamics in a country, including policy-making processes. This will inform planning and strategy development.</w:t>
            </w:r>
          </w:p>
          <w:p w14:paraId="412E7E55" w14:textId="77777777" w:rsidR="000C0D25" w:rsidRPr="00CB151B" w:rsidRDefault="000C0D25" w:rsidP="00917BFA">
            <w:r w:rsidRPr="00CB151B">
              <w:t>DFAT will refresh its Effective Governance Strategy to set a common approach across its political, trade and development functions in understanding the political economy of partner countries and using stakeholder-based approaches for development assistance. </w:t>
            </w:r>
          </w:p>
          <w:p w14:paraId="2FB159DF" w14:textId="77777777" w:rsidR="000C0D25" w:rsidRPr="00CB151B" w:rsidRDefault="000C0D25" w:rsidP="00917BFA">
            <w:r w:rsidRPr="00CB151B">
              <w:t>DFAT currently offers political economy analysis training in Canberra and at posts, which helps staff identify opportunities for inputs to support policy and institutional reform.</w:t>
            </w:r>
          </w:p>
          <w:p w14:paraId="41D1956E" w14:textId="77777777" w:rsidR="000C0D25" w:rsidRPr="00CB151B" w:rsidRDefault="000C0D25" w:rsidP="00917BFA">
            <w:r w:rsidRPr="00CB151B">
              <w:t>DFAT will develop policy dialogue training, to build the capacity of DFAT staff to make constructive knowledge-based inputs to partner policy processes.</w:t>
            </w:r>
          </w:p>
          <w:p w14:paraId="205E7980" w14:textId="77777777" w:rsidR="000C0D25" w:rsidRPr="00CB151B" w:rsidRDefault="000C0D25" w:rsidP="00917BFA">
            <w:r w:rsidRPr="00CB151B">
              <w:t>DFAT is developing new guidance on capacity development, which will highlight the importance of taking a problem-solving approach to assistance.</w:t>
            </w:r>
          </w:p>
        </w:tc>
        <w:tc>
          <w:tcPr>
            <w:tcW w:w="0" w:type="auto"/>
            <w:shd w:val="clear" w:color="auto" w:fill="E0F3EF" w:themeFill="background2" w:themeFillTint="33"/>
            <w:hideMark/>
          </w:tcPr>
          <w:p w14:paraId="6367E37D" w14:textId="77777777" w:rsidR="000C0D25" w:rsidRPr="00CB151B" w:rsidRDefault="000C0D25" w:rsidP="00917BFA">
            <w:r w:rsidRPr="00CB151B">
              <w:t>The IGGD will be completed by end 2018, and the first joint diagnostic is likely in the first quarter of 2019.</w:t>
            </w:r>
          </w:p>
          <w:p w14:paraId="238F10E6" w14:textId="77777777" w:rsidR="000C0D25" w:rsidRPr="00CB151B" w:rsidRDefault="000C0D25" w:rsidP="00917BFA">
            <w:r w:rsidRPr="00CB151B">
              <w:t>The Principal Specialist Governance will lead a process for refresh of the Effectiveness Governance Strategy by the end of 2018.</w:t>
            </w:r>
          </w:p>
          <w:p w14:paraId="4287FCE7" w14:textId="77777777" w:rsidR="000C0D25" w:rsidRPr="00CB151B" w:rsidRDefault="000C0D25" w:rsidP="00917BFA">
            <w:r w:rsidRPr="00CB151B">
              <w:t>The Indonesia program has developed a draft pilot tracking tool and is undertaking a review of its piloting practices. This review will be used to agree to clearer ways of working with the Indonesian Government to ensure pilots are appropriate and influential. </w:t>
            </w:r>
          </w:p>
          <w:p w14:paraId="75FE1058" w14:textId="77777777" w:rsidR="000C0D25" w:rsidRPr="00CB151B" w:rsidRDefault="000C0D25" w:rsidP="00917BFA">
            <w:r w:rsidRPr="00CB151B">
              <w:t>The Indonesia program currently uses the Significant Policy Change process to measure the performance of knowledge-based assistance. To strengthen understanding of the policy-making process in Indonesia and the most effective ways to support institutional reform, the Indonesia program plans to undertake a meta-analysis of the first three years of Significant Policy Change results.</w:t>
            </w:r>
          </w:p>
          <w:p w14:paraId="2EC5E56C" w14:textId="77777777" w:rsidR="000C0D25" w:rsidRPr="00CB151B" w:rsidRDefault="000C0D25" w:rsidP="00917BFA">
            <w:r w:rsidRPr="00CB151B">
              <w:t>The Southeast Asia Division will explore methods for measuring Australia’s contribution to policy change through development cooperation for all economic partnership programs indicators.</w:t>
            </w:r>
          </w:p>
        </w:tc>
        <w:tc>
          <w:tcPr>
            <w:tcW w:w="0" w:type="auto"/>
            <w:shd w:val="clear" w:color="auto" w:fill="E0F3EF" w:themeFill="background2" w:themeFillTint="33"/>
            <w:hideMark/>
          </w:tcPr>
          <w:p w14:paraId="78FF37F9" w14:textId="77777777" w:rsidR="000C0D25" w:rsidRPr="00CB151B" w:rsidRDefault="000C0D25" w:rsidP="00917BFA">
            <w:r w:rsidRPr="00CB151B">
              <w:t>IGGD—DPD and Multilateral development and finance division (MDD), early 2019.</w:t>
            </w:r>
          </w:p>
          <w:p w14:paraId="72134031" w14:textId="77777777" w:rsidR="000C0D25" w:rsidRPr="00CB151B" w:rsidRDefault="000C0D25" w:rsidP="00917BFA">
            <w:r w:rsidRPr="00CB151B">
              <w:t>Governance Strategy refresh—DPD, early 2019.</w:t>
            </w:r>
          </w:p>
          <w:p w14:paraId="67929800" w14:textId="77777777" w:rsidR="000C0D25" w:rsidRPr="00CB151B" w:rsidRDefault="000C0D25" w:rsidP="00917BFA">
            <w:r w:rsidRPr="00CB151B">
              <w:t>Policy dialogue training—DPD, May 2019 (subject to resources).</w:t>
            </w:r>
          </w:p>
          <w:p w14:paraId="7DDE301B" w14:textId="77777777" w:rsidR="000C0D25" w:rsidRPr="00CB151B" w:rsidRDefault="000C0D25" w:rsidP="00917BFA">
            <w:r w:rsidRPr="00CB151B">
              <w:t>Capacity development guidance—DPD, end 2018.</w:t>
            </w:r>
          </w:p>
          <w:p w14:paraId="4FE88287" w14:textId="77777777" w:rsidR="000C0D25" w:rsidRPr="00CB151B" w:rsidRDefault="000C0D25" w:rsidP="00917BFA">
            <w:r w:rsidRPr="00CB151B">
              <w:t>Indonesia program reviews—SED, 2019.</w:t>
            </w:r>
          </w:p>
          <w:p w14:paraId="25E465A9" w14:textId="77777777" w:rsidR="000C0D25" w:rsidRPr="00CB151B" w:rsidRDefault="000C0D25" w:rsidP="00917BFA">
            <w:r w:rsidRPr="00CB151B">
              <w:t>Policy change contribution method for Southeast Asia programs—SED, 2019.</w:t>
            </w:r>
          </w:p>
        </w:tc>
      </w:tr>
      <w:tr w:rsidR="002E2126" w:rsidRPr="00917BFA" w14:paraId="5160D2CD" w14:textId="77777777" w:rsidTr="003C609F">
        <w:tc>
          <w:tcPr>
            <w:tcW w:w="0" w:type="auto"/>
            <w:gridSpan w:val="3"/>
            <w:shd w:val="clear" w:color="auto" w:fill="007C89" w:themeFill="accent1"/>
          </w:tcPr>
          <w:p w14:paraId="3CDEFB70" w14:textId="77777777" w:rsidR="002E2126" w:rsidRPr="00917BFA" w:rsidRDefault="002E2126" w:rsidP="00917BFA">
            <w:pPr>
              <w:rPr>
                <w:color w:val="FFFFFF" w:themeColor="background1"/>
              </w:rPr>
            </w:pPr>
          </w:p>
        </w:tc>
      </w:tr>
      <w:tr w:rsidR="00917BFA" w:rsidRPr="00917BFA" w14:paraId="14B267DE" w14:textId="77777777" w:rsidTr="003C609F">
        <w:tc>
          <w:tcPr>
            <w:tcW w:w="0" w:type="auto"/>
            <w:gridSpan w:val="3"/>
            <w:shd w:val="clear" w:color="auto" w:fill="007C89" w:themeFill="accent1"/>
            <w:hideMark/>
          </w:tcPr>
          <w:p w14:paraId="47B56361" w14:textId="5AA5ECC3" w:rsidR="005E0F8F" w:rsidRPr="00917BFA" w:rsidRDefault="005E0F8F" w:rsidP="00917BFA">
            <w:pPr>
              <w:rPr>
                <w:color w:val="FFFFFF" w:themeColor="background1"/>
              </w:rPr>
            </w:pPr>
            <w:r w:rsidRPr="00917BFA">
              <w:rPr>
                <w:color w:val="FFFFFF" w:themeColor="background1"/>
              </w:rPr>
              <w:lastRenderedPageBreak/>
              <w:t>Recommendation 4 </w:t>
            </w:r>
          </w:p>
        </w:tc>
      </w:tr>
      <w:tr w:rsidR="005E0F8F" w:rsidRPr="00CB151B" w14:paraId="3848B0EC" w14:textId="77777777" w:rsidTr="003C609F">
        <w:tc>
          <w:tcPr>
            <w:tcW w:w="0" w:type="auto"/>
            <w:gridSpan w:val="3"/>
            <w:hideMark/>
          </w:tcPr>
          <w:p w14:paraId="215E434D" w14:textId="421C7F44" w:rsidR="005E0F8F" w:rsidRPr="00CB151B" w:rsidRDefault="005E0F8F" w:rsidP="00917BFA">
            <w:r w:rsidRPr="00CB151B">
              <w:t>DFAT posts should encourage more interaction among their knowledge-based programs, for exchange of lessons and experience.</w:t>
            </w:r>
          </w:p>
        </w:tc>
      </w:tr>
      <w:tr w:rsidR="005E0F8F" w:rsidRPr="00CB151B" w14:paraId="2DEF75CE" w14:textId="77777777" w:rsidTr="003C609F">
        <w:tc>
          <w:tcPr>
            <w:tcW w:w="0" w:type="auto"/>
            <w:gridSpan w:val="3"/>
            <w:shd w:val="clear" w:color="auto" w:fill="D8DBDA" w:themeFill="accent5"/>
            <w:hideMark/>
          </w:tcPr>
          <w:p w14:paraId="47A206E6" w14:textId="27B9EC4C" w:rsidR="005E0F8F" w:rsidRPr="00CB151B" w:rsidRDefault="005E0F8F" w:rsidP="00917BFA">
            <w:r w:rsidRPr="00CB151B">
              <w:t>Response: Agree</w:t>
            </w:r>
          </w:p>
        </w:tc>
      </w:tr>
      <w:tr w:rsidR="00917BFA" w:rsidRPr="00CB151B" w14:paraId="43D143EC" w14:textId="77777777" w:rsidTr="003C609F">
        <w:tc>
          <w:tcPr>
            <w:tcW w:w="0" w:type="auto"/>
            <w:shd w:val="clear" w:color="auto" w:fill="A2DCD1" w:themeFill="background2" w:themeFillTint="99"/>
            <w:hideMark/>
          </w:tcPr>
          <w:p w14:paraId="568727EA" w14:textId="77777777" w:rsidR="000C0D25" w:rsidRPr="00CB151B" w:rsidRDefault="000C0D25" w:rsidP="00917BFA">
            <w:r w:rsidRPr="00CB151B">
              <w:t>Explanation</w:t>
            </w:r>
          </w:p>
        </w:tc>
        <w:tc>
          <w:tcPr>
            <w:tcW w:w="0" w:type="auto"/>
            <w:shd w:val="clear" w:color="auto" w:fill="A2DCD1" w:themeFill="background2" w:themeFillTint="99"/>
            <w:hideMark/>
          </w:tcPr>
          <w:p w14:paraId="1A13322C" w14:textId="77777777" w:rsidR="000C0D25" w:rsidRPr="00CB151B" w:rsidRDefault="000C0D25" w:rsidP="00917BFA">
            <w:r w:rsidRPr="00CB151B">
              <w:t>Action plan</w:t>
            </w:r>
          </w:p>
        </w:tc>
        <w:tc>
          <w:tcPr>
            <w:tcW w:w="0" w:type="auto"/>
            <w:shd w:val="clear" w:color="auto" w:fill="A2DCD1" w:themeFill="background2" w:themeFillTint="99"/>
            <w:hideMark/>
          </w:tcPr>
          <w:p w14:paraId="6D78869E" w14:textId="77777777" w:rsidR="000C0D25" w:rsidRPr="00CB151B" w:rsidRDefault="000C0D25" w:rsidP="00917BFA">
            <w:r w:rsidRPr="00CB151B">
              <w:t>Responsible area(s) and timeframe</w:t>
            </w:r>
          </w:p>
        </w:tc>
      </w:tr>
      <w:tr w:rsidR="00917BFA" w:rsidRPr="00CB151B" w14:paraId="0F7D2C63" w14:textId="77777777" w:rsidTr="003C609F">
        <w:tc>
          <w:tcPr>
            <w:tcW w:w="0" w:type="auto"/>
            <w:shd w:val="clear" w:color="auto" w:fill="E0F3EF" w:themeFill="background2" w:themeFillTint="33"/>
            <w:hideMark/>
          </w:tcPr>
          <w:p w14:paraId="4E279D8F" w14:textId="77777777" w:rsidR="000C0D25" w:rsidRPr="00CB151B" w:rsidRDefault="000C0D25" w:rsidP="00917BFA">
            <w:r w:rsidRPr="00CB151B">
              <w:t>DFAT acknowledges the value in continuing to build evidence and understanding of effective knowledge-based approaches, and will work to strengthen this through existing processes such as country-level Performance Assessment Frameworks and Aid Quality Checks.</w:t>
            </w:r>
          </w:p>
          <w:p w14:paraId="60D45535" w14:textId="77777777" w:rsidR="000C0D25" w:rsidRPr="00CB151B" w:rsidRDefault="000C0D25" w:rsidP="00917BFA">
            <w:r w:rsidRPr="00CB151B">
              <w:t>DFAT will establish a Working Group on Adaptive Programming to facilitate more interaction among programs. </w:t>
            </w:r>
          </w:p>
        </w:tc>
        <w:tc>
          <w:tcPr>
            <w:tcW w:w="0" w:type="auto"/>
            <w:shd w:val="clear" w:color="auto" w:fill="E0F3EF" w:themeFill="background2" w:themeFillTint="33"/>
            <w:hideMark/>
          </w:tcPr>
          <w:p w14:paraId="4CD5BF6D" w14:textId="77777777" w:rsidR="000C0D25" w:rsidRPr="00CB151B" w:rsidRDefault="000C0D25" w:rsidP="00917BFA">
            <w:r w:rsidRPr="00CB151B">
              <w:t>SED will explore the merits of including policy influence indicators in Performance Assessment Frameworks to support knowledge and learning. Additional opportunities to facilitate cross-programs exchanges will be sought—for example, the internal Southeast Asia Development Conference. </w:t>
            </w:r>
          </w:p>
        </w:tc>
        <w:tc>
          <w:tcPr>
            <w:tcW w:w="0" w:type="auto"/>
            <w:shd w:val="clear" w:color="auto" w:fill="E0F3EF" w:themeFill="background2" w:themeFillTint="33"/>
            <w:hideMark/>
          </w:tcPr>
          <w:p w14:paraId="3F1D8506" w14:textId="77777777" w:rsidR="000C0D25" w:rsidRPr="00CB151B" w:rsidRDefault="000C0D25" w:rsidP="00917BFA">
            <w:r w:rsidRPr="00CB151B">
              <w:t>Adaptive Programming Working Group—DPD and Contracting and aid management division end 2018.</w:t>
            </w:r>
          </w:p>
          <w:p w14:paraId="6A851B82" w14:textId="77777777" w:rsidR="000C0D25" w:rsidRPr="00CB151B" w:rsidRDefault="000C0D25" w:rsidP="00917BFA">
            <w:r w:rsidRPr="00CB151B">
              <w:t>Policy influence indicators—SED, 2019.</w:t>
            </w:r>
          </w:p>
        </w:tc>
      </w:tr>
      <w:tr w:rsidR="005E0F8F" w:rsidRPr="00CB151B" w14:paraId="71FE460A" w14:textId="77777777" w:rsidTr="003C609F">
        <w:tc>
          <w:tcPr>
            <w:tcW w:w="0" w:type="auto"/>
            <w:gridSpan w:val="3"/>
            <w:shd w:val="clear" w:color="auto" w:fill="007C89" w:themeFill="accent1"/>
            <w:hideMark/>
          </w:tcPr>
          <w:p w14:paraId="0DEDAC79" w14:textId="0CFAAC16" w:rsidR="005E0F8F" w:rsidRPr="00CB151B" w:rsidRDefault="005E0F8F" w:rsidP="00917BFA">
            <w:r w:rsidRPr="00917BFA">
              <w:rPr>
                <w:color w:val="FFFFFF" w:themeColor="background1"/>
              </w:rPr>
              <w:t>Recommendation 5 </w:t>
            </w:r>
          </w:p>
        </w:tc>
      </w:tr>
      <w:tr w:rsidR="005E0F8F" w:rsidRPr="00CB151B" w14:paraId="2CEBF604" w14:textId="77777777" w:rsidTr="003C609F">
        <w:tc>
          <w:tcPr>
            <w:tcW w:w="0" w:type="auto"/>
            <w:gridSpan w:val="3"/>
            <w:hideMark/>
          </w:tcPr>
          <w:p w14:paraId="122BFD8D" w14:textId="77777777" w:rsidR="005E0F8F" w:rsidRPr="00CB151B" w:rsidRDefault="005E0F8F" w:rsidP="00917BFA">
            <w:r w:rsidRPr="00CB151B">
              <w:t>DFAT should ensure future country and regional strategies for development assistance to MICs:</w:t>
            </w:r>
          </w:p>
          <w:p w14:paraId="3CAAC079" w14:textId="77777777" w:rsidR="005E0F8F" w:rsidRPr="00CB151B" w:rsidRDefault="005E0F8F" w:rsidP="00F541F4">
            <w:pPr>
              <w:pStyle w:val="ListBullet"/>
            </w:pPr>
            <w:r w:rsidRPr="00CB151B">
              <w:t>are underpinned by suitable diagnostic work that identifies opportunities for, and constraints on, inclusive growth and transition to an advanced economy</w:t>
            </w:r>
          </w:p>
          <w:p w14:paraId="7DA6B46A" w14:textId="77777777" w:rsidR="005E0F8F" w:rsidRPr="00CB151B" w:rsidRDefault="005E0F8F" w:rsidP="00F541F4">
            <w:pPr>
              <w:pStyle w:val="ListBullet"/>
            </w:pPr>
            <w:r w:rsidRPr="00CB151B">
              <w:t>include a set of medium-term policy and institutional reform objectives, with a shared advocacy strategy to be pursued across aid, trade and diplomatic engagements and by other Australian Government agencies where relevant</w:t>
            </w:r>
          </w:p>
          <w:p w14:paraId="2B6DC359" w14:textId="7F642F8E" w:rsidR="005E0F8F" w:rsidRPr="00CB151B" w:rsidRDefault="005E0F8F" w:rsidP="00F541F4">
            <w:pPr>
              <w:pStyle w:val="ListBullet"/>
            </w:pPr>
            <w:r w:rsidRPr="00CB151B">
              <w:t>identify sectors or areas where development cooperation can support national development goals and Australian economic interests.</w:t>
            </w:r>
          </w:p>
        </w:tc>
      </w:tr>
      <w:tr w:rsidR="005E0F8F" w:rsidRPr="00CB151B" w14:paraId="71883631" w14:textId="77777777" w:rsidTr="003C609F">
        <w:tc>
          <w:tcPr>
            <w:tcW w:w="0" w:type="auto"/>
            <w:gridSpan w:val="3"/>
            <w:shd w:val="clear" w:color="auto" w:fill="D8DBDA" w:themeFill="accent5"/>
            <w:hideMark/>
          </w:tcPr>
          <w:p w14:paraId="22640107" w14:textId="63F25058" w:rsidR="005E0F8F" w:rsidRPr="00CB151B" w:rsidRDefault="005E0F8F" w:rsidP="00917BFA">
            <w:r w:rsidRPr="00CB151B">
              <w:t>Response: Agree</w:t>
            </w:r>
          </w:p>
        </w:tc>
      </w:tr>
      <w:tr w:rsidR="00917BFA" w:rsidRPr="00CB151B" w14:paraId="3EE882B2" w14:textId="77777777" w:rsidTr="003C609F">
        <w:tc>
          <w:tcPr>
            <w:tcW w:w="0" w:type="auto"/>
            <w:shd w:val="clear" w:color="auto" w:fill="A2DCD1" w:themeFill="background2" w:themeFillTint="99"/>
            <w:hideMark/>
          </w:tcPr>
          <w:p w14:paraId="1193EF0A" w14:textId="77777777" w:rsidR="000C0D25" w:rsidRPr="00CB151B" w:rsidRDefault="000C0D25" w:rsidP="00917BFA">
            <w:r w:rsidRPr="00CB151B">
              <w:t>Explanation</w:t>
            </w:r>
          </w:p>
        </w:tc>
        <w:tc>
          <w:tcPr>
            <w:tcW w:w="0" w:type="auto"/>
            <w:shd w:val="clear" w:color="auto" w:fill="A2DCD1" w:themeFill="background2" w:themeFillTint="99"/>
            <w:hideMark/>
          </w:tcPr>
          <w:p w14:paraId="73460236" w14:textId="77777777" w:rsidR="000C0D25" w:rsidRPr="00CB151B" w:rsidRDefault="000C0D25" w:rsidP="00917BFA">
            <w:r w:rsidRPr="00CB151B">
              <w:t>Action plan</w:t>
            </w:r>
          </w:p>
        </w:tc>
        <w:tc>
          <w:tcPr>
            <w:tcW w:w="0" w:type="auto"/>
            <w:tcBorders>
              <w:bottom w:val="single" w:sz="4" w:space="0" w:color="auto"/>
            </w:tcBorders>
            <w:shd w:val="clear" w:color="auto" w:fill="A2DCD1" w:themeFill="background2" w:themeFillTint="99"/>
            <w:hideMark/>
          </w:tcPr>
          <w:p w14:paraId="5FCFB891" w14:textId="77777777" w:rsidR="000C0D25" w:rsidRPr="00CB151B" w:rsidRDefault="000C0D25" w:rsidP="00917BFA">
            <w:r w:rsidRPr="00CB151B">
              <w:t>Responsible area(s) and timeframe</w:t>
            </w:r>
          </w:p>
        </w:tc>
      </w:tr>
      <w:tr w:rsidR="00F541F4" w:rsidRPr="00CB151B" w14:paraId="31C7AFB8" w14:textId="77777777" w:rsidTr="003C609F">
        <w:trPr>
          <w:trHeight w:val="842"/>
        </w:trPr>
        <w:tc>
          <w:tcPr>
            <w:tcW w:w="0" w:type="auto"/>
            <w:vMerge w:val="restart"/>
            <w:shd w:val="clear" w:color="auto" w:fill="E0F3EF" w:themeFill="background2" w:themeFillTint="33"/>
            <w:hideMark/>
          </w:tcPr>
          <w:p w14:paraId="78EAAF57" w14:textId="77777777" w:rsidR="00F541F4" w:rsidRPr="00CB151B" w:rsidRDefault="00F541F4" w:rsidP="00917BFA">
            <w:r w:rsidRPr="00CB151B">
              <w:t>The IGGD tool will help country teams conduct robust economic and political-economy analysis to underpin their strategic development, providing a comprehensive analytical tool to inform preparation of aid investment plans together into one tool. DFAT also draws heavily on the analysis of the World Bank, International Monetary Fund, Asian Development Bank and other institutions regarding constraints to growth, inclusiveness and policy reform.</w:t>
            </w:r>
          </w:p>
          <w:p w14:paraId="2302E3B6" w14:textId="77777777" w:rsidR="00F541F4" w:rsidRPr="00CB151B" w:rsidRDefault="00F541F4" w:rsidP="00917BFA">
            <w:r w:rsidRPr="00CB151B">
              <w:t xml:space="preserve">DFAT, together with The Asia Foundation, is currently developing an Advanced Middle Income (AMIC) Framework that will analyse the political dynamics of economic transitions, and help to identify options for engagement. This process is being supplemented by a workshop series to trial </w:t>
            </w:r>
            <w:r w:rsidRPr="00CB151B">
              <w:lastRenderedPageBreak/>
              <w:t>new methods of engaging on middle income issues. </w:t>
            </w:r>
          </w:p>
          <w:p w14:paraId="40E693E2" w14:textId="77777777" w:rsidR="00F541F4" w:rsidRPr="00CB151B" w:rsidRDefault="00F541F4" w:rsidP="00917BFA">
            <w:r w:rsidRPr="00CB151B">
              <w:t>The Southeast Asia Development Strategy will identify priority objectives for Australia’s development cooperation in South East Asia to achieve Australia’s foreign policy goals (as set out in the Foreign Policy White Paper). The focus for development assistance to each country will then be determined according to where partner governments are seeking our assistance, Australia’s national interest and where Australia has strengths specific to each context.</w:t>
            </w:r>
          </w:p>
          <w:p w14:paraId="5E55A426" w14:textId="68C42BFA" w:rsidR="00F541F4" w:rsidRPr="00CB151B" w:rsidRDefault="00F541F4" w:rsidP="00355BEB">
            <w:r w:rsidRPr="00CB151B">
              <w:t>The current Sri Lanka aid investment plan (2015–19) already adopts an integrated advocacy approach, as will the next aid investment plan. Southeast Asian programs will incorporate an integrated advocacy approach into preparation of future strategies. </w:t>
            </w:r>
          </w:p>
        </w:tc>
        <w:tc>
          <w:tcPr>
            <w:tcW w:w="0" w:type="auto"/>
            <w:vMerge w:val="restart"/>
            <w:shd w:val="clear" w:color="auto" w:fill="E0F3EF" w:themeFill="background2" w:themeFillTint="33"/>
            <w:hideMark/>
          </w:tcPr>
          <w:p w14:paraId="16873646" w14:textId="77777777" w:rsidR="00F541F4" w:rsidRPr="00CB151B" w:rsidRDefault="00F541F4" w:rsidP="00917BFA">
            <w:r w:rsidRPr="00CB151B">
              <w:lastRenderedPageBreak/>
              <w:t>DPD is working with two posts to develop and field-test the AMIC Framework by early 2019.</w:t>
            </w:r>
          </w:p>
          <w:p w14:paraId="5C39E78E" w14:textId="77777777" w:rsidR="00F541F4" w:rsidRPr="00CB151B" w:rsidRDefault="00F541F4" w:rsidP="00917BFA">
            <w:r w:rsidRPr="00CB151B">
              <w:t>The Indonesia Program is working with the Development Economics Unit to produce a constraints-to-growth analysis to inform the next aid investment plan. The aid investment plan will consider objectives for Australian aid, including policy and institutional reform, which can be pursued across all of Australia’s relevant engagements in Indonesia.</w:t>
            </w:r>
          </w:p>
          <w:p w14:paraId="34752168" w14:textId="77777777" w:rsidR="00F541F4" w:rsidRPr="00CB151B" w:rsidRDefault="00F541F4" w:rsidP="00917BFA"/>
        </w:tc>
        <w:tc>
          <w:tcPr>
            <w:tcW w:w="0" w:type="auto"/>
            <w:tcBorders>
              <w:bottom w:val="single" w:sz="4" w:space="0" w:color="151716" w:themeColor="accent5" w:themeShade="1A"/>
            </w:tcBorders>
            <w:shd w:val="clear" w:color="auto" w:fill="E0F3EF" w:themeFill="background2" w:themeFillTint="33"/>
            <w:hideMark/>
          </w:tcPr>
          <w:p w14:paraId="0C8F5F10" w14:textId="77777777" w:rsidR="00F541F4" w:rsidRPr="00CB151B" w:rsidRDefault="00F541F4" w:rsidP="00917BFA">
            <w:r w:rsidRPr="00CB151B">
              <w:t>IGGD—DPD and MDD, early 2019.</w:t>
            </w:r>
          </w:p>
          <w:p w14:paraId="733E98D7" w14:textId="77777777" w:rsidR="00F541F4" w:rsidRPr="00CB151B" w:rsidRDefault="00F541F4" w:rsidP="00917BFA">
            <w:r w:rsidRPr="00CB151B">
              <w:t>AMIC Framework—DPD, early 2019.</w:t>
            </w:r>
          </w:p>
          <w:p w14:paraId="437A5A81" w14:textId="77777777" w:rsidR="00F541F4" w:rsidRPr="00CB151B" w:rsidRDefault="00F541F4" w:rsidP="00917BFA">
            <w:r w:rsidRPr="00CB151B">
              <w:t>Indonesia aid investment plan—SED, 2020.</w:t>
            </w:r>
          </w:p>
          <w:p w14:paraId="47EEDE01" w14:textId="77777777" w:rsidR="00F541F4" w:rsidRPr="00CB151B" w:rsidRDefault="00F541F4" w:rsidP="00F541F4">
            <w:pPr>
              <w:jc w:val="right"/>
            </w:pPr>
          </w:p>
        </w:tc>
      </w:tr>
      <w:tr w:rsidR="00F541F4" w:rsidRPr="00CB151B" w14:paraId="17A2F9F3" w14:textId="77777777" w:rsidTr="003C609F">
        <w:tc>
          <w:tcPr>
            <w:tcW w:w="0" w:type="auto"/>
            <w:vMerge/>
            <w:shd w:val="clear" w:color="auto" w:fill="E0F3EF" w:themeFill="background2" w:themeFillTint="33"/>
            <w:hideMark/>
          </w:tcPr>
          <w:p w14:paraId="3661A4E8" w14:textId="561FF4E5" w:rsidR="00F541F4" w:rsidRPr="00CB151B" w:rsidRDefault="00F541F4" w:rsidP="00917BFA"/>
        </w:tc>
        <w:tc>
          <w:tcPr>
            <w:tcW w:w="0" w:type="auto"/>
            <w:vMerge/>
            <w:shd w:val="clear" w:color="auto" w:fill="E0F3EF" w:themeFill="background2" w:themeFillTint="33"/>
            <w:hideMark/>
          </w:tcPr>
          <w:p w14:paraId="5B002B73" w14:textId="77777777" w:rsidR="00F541F4" w:rsidRPr="00CB151B" w:rsidRDefault="00F541F4" w:rsidP="00917BFA"/>
        </w:tc>
        <w:tc>
          <w:tcPr>
            <w:tcW w:w="0" w:type="auto"/>
            <w:tcBorders>
              <w:top w:val="single" w:sz="4" w:space="0" w:color="151716" w:themeColor="accent5" w:themeShade="1A"/>
            </w:tcBorders>
            <w:shd w:val="clear" w:color="auto" w:fill="E0F3EF" w:themeFill="background2" w:themeFillTint="33"/>
            <w:hideMark/>
          </w:tcPr>
          <w:p w14:paraId="308FCC72" w14:textId="77777777" w:rsidR="00F541F4" w:rsidRPr="00CB151B" w:rsidRDefault="00F541F4" w:rsidP="00917BFA"/>
        </w:tc>
      </w:tr>
      <w:tr w:rsidR="005E0F8F" w:rsidRPr="00CB151B" w14:paraId="2B754F9A" w14:textId="77777777" w:rsidTr="003C609F">
        <w:tc>
          <w:tcPr>
            <w:tcW w:w="0" w:type="auto"/>
            <w:gridSpan w:val="3"/>
            <w:shd w:val="clear" w:color="auto" w:fill="007C89" w:themeFill="accent1"/>
            <w:hideMark/>
          </w:tcPr>
          <w:p w14:paraId="05DDDD09" w14:textId="710D1D55" w:rsidR="005E0F8F" w:rsidRPr="00CB151B" w:rsidRDefault="005E0F8F" w:rsidP="00917BFA">
            <w:r w:rsidRPr="00917BFA">
              <w:rPr>
                <w:color w:val="FFFFFF" w:themeColor="background1"/>
              </w:rPr>
              <w:t>Recommendation 6 </w:t>
            </w:r>
          </w:p>
        </w:tc>
      </w:tr>
      <w:tr w:rsidR="005E0F8F" w:rsidRPr="00CB151B" w14:paraId="76623D23" w14:textId="77777777" w:rsidTr="003C609F">
        <w:tc>
          <w:tcPr>
            <w:tcW w:w="0" w:type="auto"/>
            <w:gridSpan w:val="3"/>
            <w:hideMark/>
          </w:tcPr>
          <w:p w14:paraId="7168A973" w14:textId="77777777" w:rsidR="005E0F8F" w:rsidRPr="00CB151B" w:rsidRDefault="005E0F8F" w:rsidP="00917BFA">
            <w:r w:rsidRPr="00CB151B">
              <w:t>DFAT should ensure that posts in economic partnership countries:</w:t>
            </w:r>
          </w:p>
          <w:p w14:paraId="57398B66" w14:textId="77777777" w:rsidR="005E0F8F" w:rsidRPr="00CB151B" w:rsidRDefault="005E0F8F" w:rsidP="00F541F4">
            <w:pPr>
              <w:pStyle w:val="ListBullet"/>
            </w:pPr>
            <w:r w:rsidRPr="00CB151B">
              <w:t>have enough staff conversant on economic and social policy to engage in policy dialogue and manage knowledge-based programs and portfolios at a strategic level</w:t>
            </w:r>
          </w:p>
          <w:p w14:paraId="55A5B42D" w14:textId="77777777" w:rsidR="005E0F8F" w:rsidRPr="00CB151B" w:rsidRDefault="005E0F8F" w:rsidP="00F541F4">
            <w:pPr>
              <w:pStyle w:val="ListBullet"/>
            </w:pPr>
            <w:r w:rsidRPr="00CB151B">
              <w:t>take measures to promote cross-disciplinary working, including with the trade area</w:t>
            </w:r>
          </w:p>
          <w:p w14:paraId="50FE004F" w14:textId="77777777" w:rsidR="005E0F8F" w:rsidRPr="00CB151B" w:rsidRDefault="005E0F8F" w:rsidP="00F541F4">
            <w:pPr>
              <w:pStyle w:val="ListBullet"/>
            </w:pPr>
            <w:r w:rsidRPr="00CB151B">
              <w:t>examine ways to take better advantage and further develop the capabilities of their locally engaged staff, as a critical resource for pursuing economic partnerships</w:t>
            </w:r>
          </w:p>
          <w:p w14:paraId="005FCDAE" w14:textId="3B5EA7FF" w:rsidR="005E0F8F" w:rsidRPr="00CB151B" w:rsidRDefault="005E0F8F" w:rsidP="00F541F4">
            <w:pPr>
              <w:pStyle w:val="ListBullet"/>
            </w:pPr>
            <w:r w:rsidRPr="00CB151B">
              <w:t>have access to country-level monitoring and knowledge-management tools to assess progress against key reform objectives, the significance of Australia’s contribution, the ongoing relevance of its work and the health of the economic partnership.</w:t>
            </w:r>
          </w:p>
        </w:tc>
      </w:tr>
      <w:tr w:rsidR="00917BFA" w:rsidRPr="00CB151B" w14:paraId="6F9CEDD8" w14:textId="77777777" w:rsidTr="003C609F">
        <w:tc>
          <w:tcPr>
            <w:tcW w:w="0" w:type="auto"/>
            <w:gridSpan w:val="3"/>
            <w:shd w:val="clear" w:color="auto" w:fill="D8DBDA" w:themeFill="accent5"/>
            <w:hideMark/>
          </w:tcPr>
          <w:p w14:paraId="37EF3A50" w14:textId="4FC1BD54" w:rsidR="00917BFA" w:rsidRPr="00CB151B" w:rsidRDefault="00917BFA" w:rsidP="00917BFA">
            <w:r w:rsidRPr="00CB151B">
              <w:t>Response: Agree</w:t>
            </w:r>
          </w:p>
        </w:tc>
      </w:tr>
      <w:tr w:rsidR="00917BFA" w:rsidRPr="00CB151B" w14:paraId="4EFDCA83" w14:textId="77777777" w:rsidTr="003C609F">
        <w:tc>
          <w:tcPr>
            <w:tcW w:w="0" w:type="auto"/>
            <w:shd w:val="clear" w:color="auto" w:fill="A2DCD1" w:themeFill="background2" w:themeFillTint="99"/>
            <w:hideMark/>
          </w:tcPr>
          <w:p w14:paraId="725D6F0D" w14:textId="77777777" w:rsidR="000C0D25" w:rsidRPr="00CB151B" w:rsidRDefault="000C0D25" w:rsidP="00917BFA">
            <w:r w:rsidRPr="00CB151B">
              <w:t>Explanation</w:t>
            </w:r>
          </w:p>
        </w:tc>
        <w:tc>
          <w:tcPr>
            <w:tcW w:w="0" w:type="auto"/>
            <w:shd w:val="clear" w:color="auto" w:fill="A2DCD1" w:themeFill="background2" w:themeFillTint="99"/>
            <w:hideMark/>
          </w:tcPr>
          <w:p w14:paraId="057A4208" w14:textId="77777777" w:rsidR="000C0D25" w:rsidRPr="00CB151B" w:rsidRDefault="000C0D25" w:rsidP="00917BFA">
            <w:r w:rsidRPr="00CB151B">
              <w:t>Action plan</w:t>
            </w:r>
          </w:p>
        </w:tc>
        <w:tc>
          <w:tcPr>
            <w:tcW w:w="0" w:type="auto"/>
            <w:shd w:val="clear" w:color="auto" w:fill="A2DCD1" w:themeFill="background2" w:themeFillTint="99"/>
            <w:hideMark/>
          </w:tcPr>
          <w:p w14:paraId="3E43ED92" w14:textId="77777777" w:rsidR="000C0D25" w:rsidRPr="00CB151B" w:rsidRDefault="000C0D25" w:rsidP="00917BFA">
            <w:r w:rsidRPr="00CB151B">
              <w:t>Responsible area(s) and timeframe</w:t>
            </w:r>
          </w:p>
        </w:tc>
      </w:tr>
      <w:tr w:rsidR="00917BFA" w:rsidRPr="00CB151B" w14:paraId="6074F4FE" w14:textId="77777777" w:rsidTr="003C609F">
        <w:tc>
          <w:tcPr>
            <w:tcW w:w="0" w:type="auto"/>
            <w:shd w:val="clear" w:color="auto" w:fill="E0F3EF" w:themeFill="background2" w:themeFillTint="33"/>
            <w:hideMark/>
          </w:tcPr>
          <w:p w14:paraId="794EE093" w14:textId="77777777" w:rsidR="000C0D25" w:rsidRPr="00CB151B" w:rsidRDefault="000C0D25" w:rsidP="00917BFA">
            <w:r w:rsidRPr="00CB151B">
              <w:t>To be effective in knowledge-based assistance, DFAT recognises the need for staff to be skilled in policy engagement and advocacy, as well as strong aid management capability. Highly qualified technical specialists in key sectors for technical credibility and senior locally engagement staff for continuity of relationships and country understanding are also necessary. </w:t>
            </w:r>
          </w:p>
          <w:p w14:paraId="620A5133" w14:textId="77777777" w:rsidR="000C0D25" w:rsidRPr="00CB151B" w:rsidRDefault="000C0D25" w:rsidP="00917BFA">
            <w:r w:rsidRPr="00CB151B">
              <w:t xml:space="preserve">DFAT’s Five-year Workforce Strategy (launched January 2018) seeks to strengthen development capability and career pathways in DFAT. The Strategy describes the development of ‘capability anchors’ for staff </w:t>
            </w:r>
            <w:r w:rsidRPr="00CB151B">
              <w:lastRenderedPageBreak/>
              <w:t>members, that is, development of areas of deep knowledge or expertise. A workforce plan for international development capability is currently being drafted by DFAT, defining an international development ‘capability anchor’ and outlining a first phase of actions required to build and deploy international development capability across the department. An International Development Capability task group was established (July 2018) to lead the first phase of work to build development capability consistent with the draft workforce plan for international development. </w:t>
            </w:r>
          </w:p>
          <w:p w14:paraId="40D9FDA6" w14:textId="77777777" w:rsidR="000C0D25" w:rsidRPr="00CB151B" w:rsidRDefault="000C0D25" w:rsidP="00917BFA">
            <w:r w:rsidRPr="00CB151B">
              <w:t>DFAT recognises the need for better trade skills in posts and better integration of trade and development cooperation. This will be pursued through integrated strategies. DFAT will explore how trade negotiations and development efforts can better support partners towards openness and reform. </w:t>
            </w:r>
          </w:p>
        </w:tc>
        <w:tc>
          <w:tcPr>
            <w:tcW w:w="0" w:type="auto"/>
            <w:shd w:val="clear" w:color="auto" w:fill="E0F3EF" w:themeFill="background2" w:themeFillTint="33"/>
            <w:hideMark/>
          </w:tcPr>
          <w:p w14:paraId="05E4A745" w14:textId="77777777" w:rsidR="000C0D25" w:rsidRPr="00CB151B" w:rsidRDefault="000C0D25" w:rsidP="00917BFA">
            <w:r w:rsidRPr="00CB151B">
              <w:lastRenderedPageBreak/>
              <w:t>International Development Capability Task Group key planned actions include reviewing mechanisms for posts to secure external technical expertise and building international technical experts in key sectors. It will also initiate a trail International Development Officer Program, seeking to build staff development capability through a program of work rotations, complemented by mentoring and formal learning. </w:t>
            </w:r>
          </w:p>
          <w:p w14:paraId="2FF1AD00" w14:textId="77777777" w:rsidR="000C0D25" w:rsidRPr="00CB151B" w:rsidRDefault="000C0D25" w:rsidP="00917BFA">
            <w:r w:rsidRPr="00CB151B">
              <w:t xml:space="preserve">DFAT’s Indonesia program is leading new practice in measuring the impact of knowledge-based assistance through the </w:t>
            </w:r>
            <w:r w:rsidRPr="00CB151B">
              <w:lastRenderedPageBreak/>
              <w:t>Significant Policy Change method. As above, the Southeast Asia Division will explore improvements to country-level monitoring of knowledge-based assistance through policy influencing indicators. </w:t>
            </w:r>
          </w:p>
          <w:p w14:paraId="6586B5E9" w14:textId="77777777" w:rsidR="000C0D25" w:rsidRPr="00CB151B" w:rsidRDefault="000C0D25" w:rsidP="00917BFA">
            <w:r w:rsidRPr="00CB151B">
              <w:t>Internal policy thinking on opportunities to better link up trade and development cooperation efforts.</w:t>
            </w:r>
          </w:p>
          <w:p w14:paraId="7BFD8E79" w14:textId="77777777" w:rsidR="000C0D25" w:rsidRPr="00CB151B" w:rsidRDefault="000C0D25" w:rsidP="00917BFA"/>
        </w:tc>
        <w:tc>
          <w:tcPr>
            <w:tcW w:w="0" w:type="auto"/>
            <w:shd w:val="clear" w:color="auto" w:fill="E0F3EF" w:themeFill="background2" w:themeFillTint="33"/>
            <w:hideMark/>
          </w:tcPr>
          <w:p w14:paraId="494FA833" w14:textId="77777777" w:rsidR="000C0D25" w:rsidRPr="00CB151B" w:rsidRDefault="000C0D25" w:rsidP="00917BFA">
            <w:r w:rsidRPr="00CB151B">
              <w:lastRenderedPageBreak/>
              <w:t>International Development Capability Task Group—Corporate Management Group.</w:t>
            </w:r>
          </w:p>
          <w:p w14:paraId="0FF48A44" w14:textId="77777777" w:rsidR="000C0D25" w:rsidRPr="00CB151B" w:rsidRDefault="000C0D25" w:rsidP="00917BFA">
            <w:r w:rsidRPr="00CB151B">
              <w:t>Country-level monitoring in Southeast Asia—SED, 2019.</w:t>
            </w:r>
          </w:p>
          <w:p w14:paraId="33690F19" w14:textId="77777777" w:rsidR="000C0D25" w:rsidRPr="00CB151B" w:rsidRDefault="000C0D25" w:rsidP="00917BFA"/>
        </w:tc>
      </w:tr>
      <w:tr w:rsidR="00917BFA" w:rsidRPr="00917BFA" w14:paraId="6699FBFD" w14:textId="77777777" w:rsidTr="003C609F">
        <w:tc>
          <w:tcPr>
            <w:tcW w:w="0" w:type="auto"/>
            <w:gridSpan w:val="3"/>
            <w:shd w:val="clear" w:color="auto" w:fill="007C89" w:themeFill="accent1"/>
            <w:hideMark/>
          </w:tcPr>
          <w:p w14:paraId="5FFF778B" w14:textId="27ECF181" w:rsidR="005E0F8F" w:rsidRPr="00917BFA" w:rsidRDefault="005E0F8F" w:rsidP="00917BFA">
            <w:pPr>
              <w:rPr>
                <w:color w:val="FFFFFF" w:themeColor="background1"/>
              </w:rPr>
            </w:pPr>
            <w:r w:rsidRPr="00917BFA">
              <w:rPr>
                <w:color w:val="FFFFFF" w:themeColor="background1"/>
              </w:rPr>
              <w:t>Recommendation 7 </w:t>
            </w:r>
          </w:p>
        </w:tc>
      </w:tr>
      <w:tr w:rsidR="005E0F8F" w:rsidRPr="00CB151B" w14:paraId="290EE2CA" w14:textId="77777777" w:rsidTr="003C609F">
        <w:tc>
          <w:tcPr>
            <w:tcW w:w="0" w:type="auto"/>
            <w:gridSpan w:val="3"/>
            <w:hideMark/>
          </w:tcPr>
          <w:p w14:paraId="2495FCC5" w14:textId="638551A4" w:rsidR="005E0F8F" w:rsidRPr="00CB151B" w:rsidRDefault="005E0F8F" w:rsidP="00917BFA">
            <w:r w:rsidRPr="00CB151B">
              <w:t>DFAT should consider establishing a multidisciplinary community of practice among staff on economic partnerships, to share knowledge and experience on engaging with social and economic policy issues.</w:t>
            </w:r>
          </w:p>
        </w:tc>
      </w:tr>
      <w:tr w:rsidR="005E0F8F" w:rsidRPr="00CB151B" w14:paraId="0CF8972C" w14:textId="77777777" w:rsidTr="003C609F">
        <w:tc>
          <w:tcPr>
            <w:tcW w:w="0" w:type="auto"/>
            <w:gridSpan w:val="3"/>
            <w:shd w:val="clear" w:color="auto" w:fill="D8DBDA" w:themeFill="accent5"/>
            <w:hideMark/>
          </w:tcPr>
          <w:p w14:paraId="36D10D50" w14:textId="18CE969A" w:rsidR="005E0F8F" w:rsidRPr="00CB151B" w:rsidRDefault="005E0F8F" w:rsidP="00917BFA">
            <w:r w:rsidRPr="00CB151B">
              <w:t>Response: Agree</w:t>
            </w:r>
          </w:p>
        </w:tc>
      </w:tr>
      <w:tr w:rsidR="00917BFA" w:rsidRPr="00CB151B" w14:paraId="54795614" w14:textId="77777777" w:rsidTr="003C609F">
        <w:tc>
          <w:tcPr>
            <w:tcW w:w="0" w:type="auto"/>
            <w:shd w:val="clear" w:color="auto" w:fill="A2DCD1" w:themeFill="background2" w:themeFillTint="99"/>
            <w:hideMark/>
          </w:tcPr>
          <w:p w14:paraId="37CC360C" w14:textId="77777777" w:rsidR="000C0D25" w:rsidRPr="00CB151B" w:rsidRDefault="000C0D25" w:rsidP="00917BFA">
            <w:r w:rsidRPr="00CB151B">
              <w:t>Explanation</w:t>
            </w:r>
          </w:p>
        </w:tc>
        <w:tc>
          <w:tcPr>
            <w:tcW w:w="0" w:type="auto"/>
            <w:shd w:val="clear" w:color="auto" w:fill="A2DCD1" w:themeFill="background2" w:themeFillTint="99"/>
            <w:hideMark/>
          </w:tcPr>
          <w:p w14:paraId="304233A4" w14:textId="77777777" w:rsidR="000C0D25" w:rsidRPr="00CB151B" w:rsidRDefault="000C0D25" w:rsidP="00917BFA">
            <w:r w:rsidRPr="00CB151B">
              <w:t>Action plan</w:t>
            </w:r>
          </w:p>
        </w:tc>
        <w:tc>
          <w:tcPr>
            <w:tcW w:w="0" w:type="auto"/>
            <w:shd w:val="clear" w:color="auto" w:fill="A2DCD1" w:themeFill="background2" w:themeFillTint="99"/>
            <w:hideMark/>
          </w:tcPr>
          <w:p w14:paraId="76C3E6C7" w14:textId="77777777" w:rsidR="000C0D25" w:rsidRPr="00CB151B" w:rsidRDefault="000C0D25" w:rsidP="00917BFA">
            <w:r w:rsidRPr="00CB151B">
              <w:t>Responsible area(s) and timeframe</w:t>
            </w:r>
          </w:p>
        </w:tc>
      </w:tr>
      <w:tr w:rsidR="00917BFA" w:rsidRPr="00CB151B" w14:paraId="0B4A3F18" w14:textId="77777777" w:rsidTr="003C609F">
        <w:tc>
          <w:tcPr>
            <w:tcW w:w="0" w:type="auto"/>
            <w:shd w:val="clear" w:color="auto" w:fill="E0F3EF" w:themeFill="background2" w:themeFillTint="33"/>
            <w:hideMark/>
          </w:tcPr>
          <w:p w14:paraId="4DE82BC9" w14:textId="77777777" w:rsidR="000C0D25" w:rsidRPr="00CB151B" w:rsidRDefault="000C0D25" w:rsidP="00917BFA">
            <w:r w:rsidRPr="00CB151B">
              <w:t>DFAT will commence a Working Group on Adaptive Programming. It will enable knowledge-sharing among program teams, including programs seeking to influence policies and the use of evidence in policy making.</w:t>
            </w:r>
          </w:p>
        </w:tc>
        <w:tc>
          <w:tcPr>
            <w:tcW w:w="0" w:type="auto"/>
            <w:shd w:val="clear" w:color="auto" w:fill="E0F3EF" w:themeFill="background2" w:themeFillTint="33"/>
            <w:hideMark/>
          </w:tcPr>
          <w:p w14:paraId="5EE494C9" w14:textId="77777777" w:rsidR="000C0D25" w:rsidRPr="00CB151B" w:rsidRDefault="000C0D25" w:rsidP="00917BFA"/>
        </w:tc>
        <w:tc>
          <w:tcPr>
            <w:tcW w:w="0" w:type="auto"/>
            <w:shd w:val="clear" w:color="auto" w:fill="E0F3EF" w:themeFill="background2" w:themeFillTint="33"/>
            <w:hideMark/>
          </w:tcPr>
          <w:p w14:paraId="022CC9E6" w14:textId="77777777" w:rsidR="000C0D25" w:rsidRPr="00CB151B" w:rsidRDefault="000C0D25" w:rsidP="00917BFA">
            <w:r w:rsidRPr="00CB151B">
              <w:t>Adaptive Programming Working Group—DPD and ACD, end 2018.</w:t>
            </w:r>
          </w:p>
        </w:tc>
      </w:tr>
    </w:tbl>
    <w:p w14:paraId="3A633A96" w14:textId="3BDE727F" w:rsidR="000C0D25" w:rsidRPr="000C0D25" w:rsidRDefault="00CB151B" w:rsidP="000C0D25">
      <w:pPr>
        <w:spacing w:before="63" w:after="21" w:line="195" w:lineRule="atLeast"/>
        <w:rPr>
          <w:rFonts w:ascii="Ubuntu Light" w:hAnsi="Ubuntu Light" w:cs="Times New Roman"/>
          <w:sz w:val="15"/>
          <w:szCs w:val="15"/>
          <w:lang w:eastAsia="en-GB"/>
        </w:rPr>
      </w:pPr>
      <w:r>
        <w:rPr>
          <w:rFonts w:ascii="Ubuntu Light" w:hAnsi="Ubuntu Light" w:cs="Times New Roman"/>
          <w:sz w:val="15"/>
          <w:szCs w:val="15"/>
          <w:lang w:eastAsia="en-GB"/>
        </w:rPr>
        <w:br w:type="textWrapping" w:clear="all"/>
      </w:r>
    </w:p>
    <w:p w14:paraId="70B6CF98" w14:textId="77777777" w:rsidR="000C0D25" w:rsidRDefault="000C0D25" w:rsidP="000C0D25"/>
    <w:p w14:paraId="04077E31" w14:textId="77777777" w:rsidR="000C0D25" w:rsidRDefault="000C0D25" w:rsidP="000C0D25">
      <w:pPr>
        <w:pStyle w:val="p2"/>
      </w:pPr>
    </w:p>
    <w:p w14:paraId="027F8171" w14:textId="0551C46F" w:rsidR="00643E4F" w:rsidRDefault="00643E4F" w:rsidP="00394279">
      <w:pPr>
        <w:pStyle w:val="BodyText"/>
        <w:rPr>
          <w:b/>
          <w:color w:val="007C89" w:themeColor="accent1"/>
        </w:rPr>
      </w:pPr>
    </w:p>
    <w:p w14:paraId="5CFBF421" w14:textId="284E1619" w:rsidR="00F872AC" w:rsidRDefault="00F872AC" w:rsidP="0036183E"/>
    <w:p w14:paraId="48D17C44" w14:textId="77777777" w:rsidR="00752CDC" w:rsidRDefault="00752CDC" w:rsidP="00E63779"/>
    <w:p w14:paraId="27991439" w14:textId="2801788F" w:rsidR="00216F57" w:rsidRDefault="00216F57" w:rsidP="00E63779"/>
    <w:p w14:paraId="5B7AC689" w14:textId="74BF5759" w:rsidR="00216F57" w:rsidRDefault="00216F57" w:rsidP="00216F57">
      <w:pPr>
        <w:tabs>
          <w:tab w:val="left" w:pos="9885"/>
        </w:tabs>
      </w:pPr>
    </w:p>
    <w:p w14:paraId="0DF2B369" w14:textId="05E4000A" w:rsidR="00752CDC" w:rsidRPr="00216F57" w:rsidRDefault="00216F57" w:rsidP="00216F57">
      <w:pPr>
        <w:tabs>
          <w:tab w:val="left" w:pos="9885"/>
        </w:tabs>
        <w:sectPr w:rsidR="00752CDC" w:rsidRPr="00216F57" w:rsidSect="000C0D25">
          <w:headerReference w:type="first" r:id="rId22"/>
          <w:pgSz w:w="12240" w:h="15840"/>
          <w:pgMar w:top="851" w:right="851" w:bottom="1418" w:left="851" w:header="505" w:footer="505" w:gutter="0"/>
          <w:cols w:space="720"/>
          <w:titlePg/>
          <w:docGrid w:linePitch="360"/>
        </w:sectPr>
      </w:pPr>
      <w:r>
        <w:tab/>
      </w:r>
    </w:p>
    <w:p w14:paraId="36A9882E" w14:textId="77777777" w:rsidR="00573305" w:rsidRPr="001B3B93" w:rsidRDefault="00590CA2" w:rsidP="000C55B6">
      <w:pPr>
        <w:pStyle w:val="ChapterHead"/>
        <w:framePr w:wrap="around"/>
        <w:numPr>
          <w:ilvl w:val="0"/>
          <w:numId w:val="9"/>
        </w:numPr>
      </w:pPr>
      <w:r w:rsidRPr="001B3B93">
        <w:lastRenderedPageBreak/>
        <w:t xml:space="preserve"> </w:t>
      </w:r>
      <w:bookmarkStart w:id="29" w:name="_Toc527712987"/>
      <w:r w:rsidR="00573305" w:rsidRPr="001B3B93">
        <w:t>Introduction</w:t>
      </w:r>
      <w:bookmarkEnd w:id="27"/>
      <w:bookmarkEnd w:id="29"/>
    </w:p>
    <w:p w14:paraId="20DA0C67" w14:textId="77777777" w:rsidR="000573D7" w:rsidRPr="001B3B93" w:rsidRDefault="000573D7" w:rsidP="00573305">
      <w:pPr>
        <w:rPr>
          <w:szCs w:val="23"/>
        </w:rPr>
      </w:pPr>
    </w:p>
    <w:p w14:paraId="50601507" w14:textId="11282445" w:rsidR="004852D0" w:rsidRDefault="004852D0" w:rsidP="000D6875">
      <w:r>
        <w:t xml:space="preserve">In recent years, </w:t>
      </w:r>
      <w:r w:rsidR="00B8699E">
        <w:t xml:space="preserve">the term </w:t>
      </w:r>
      <w:r>
        <w:t xml:space="preserve">‘economic partnership’ has </w:t>
      </w:r>
      <w:r w:rsidR="00B8699E">
        <w:t xml:space="preserve">been used to describe </w:t>
      </w:r>
      <w:r>
        <w:t>the relationship</w:t>
      </w:r>
      <w:r w:rsidR="00696E7D">
        <w:t>s</w:t>
      </w:r>
      <w:r>
        <w:t xml:space="preserve"> that Australia seeks to build with MICs in the Asia-Pacific region and beyond. </w:t>
      </w:r>
      <w:r w:rsidR="00320BDC">
        <w:t xml:space="preserve">Though it has not been precisely defined, it </w:t>
      </w:r>
      <w:r>
        <w:t xml:space="preserve">refers to a maturing of </w:t>
      </w:r>
      <w:r w:rsidR="00C71E3E">
        <w:t>bilateral relations</w:t>
      </w:r>
      <w:r>
        <w:t xml:space="preserve">, based on shared interests and closer economic ties. For DFAT, </w:t>
      </w:r>
      <w:r w:rsidR="00544471">
        <w:t xml:space="preserve">the term </w:t>
      </w:r>
      <w:r>
        <w:t xml:space="preserve">is a framing concept that encompasses diplomatic engagement, trade </w:t>
      </w:r>
      <w:r w:rsidR="000D292B">
        <w:t xml:space="preserve">initiatives </w:t>
      </w:r>
      <w:r>
        <w:t>and development cooperation.</w:t>
      </w:r>
    </w:p>
    <w:p w14:paraId="506F6BB3" w14:textId="5A69AC73" w:rsidR="00096D09" w:rsidRDefault="004852D0">
      <w:r>
        <w:t xml:space="preserve">This evaluation explores how </w:t>
      </w:r>
      <w:r w:rsidR="00D32138">
        <w:t xml:space="preserve">Australia’s </w:t>
      </w:r>
      <w:r>
        <w:t xml:space="preserve">development cooperation is evolving to support economic partnerships in two </w:t>
      </w:r>
      <w:r w:rsidR="00C71E3E">
        <w:t>Asian countries</w:t>
      </w:r>
      <w:r>
        <w:t xml:space="preserve">, Indonesia and </w:t>
      </w:r>
      <w:r w:rsidR="00B9361C">
        <w:t>Vietnam</w:t>
      </w:r>
      <w:r w:rsidR="00544471">
        <w:t>,</w:t>
      </w:r>
      <w:r w:rsidR="007B7A9B">
        <w:t xml:space="preserve"> and </w:t>
      </w:r>
      <w:r w:rsidR="00C71E3E">
        <w:t xml:space="preserve">through the </w:t>
      </w:r>
      <w:r w:rsidR="00FA38AC">
        <w:t>Southeast</w:t>
      </w:r>
      <w:r w:rsidR="00C71E3E">
        <w:t xml:space="preserve"> Asian regional program</w:t>
      </w:r>
      <w:r w:rsidR="00B9361C">
        <w:t xml:space="preserve">. </w:t>
      </w:r>
      <w:r w:rsidR="00C71E3E">
        <w:t xml:space="preserve">As MICs, </w:t>
      </w:r>
      <w:r w:rsidR="00544471">
        <w:t xml:space="preserve">Indonesia and Vietnam </w:t>
      </w:r>
      <w:r w:rsidR="00C71E3E">
        <w:t>have increasing access to development finance</w:t>
      </w:r>
      <w:r w:rsidR="001C39D4">
        <w:t xml:space="preserve"> and are </w:t>
      </w:r>
      <w:r w:rsidR="000664A4">
        <w:t xml:space="preserve">no longer </w:t>
      </w:r>
      <w:r w:rsidR="001C39D4">
        <w:t>dependent on aid</w:t>
      </w:r>
      <w:r w:rsidR="00C71E3E">
        <w:t>. However, they also face complex development challenges</w:t>
      </w:r>
      <w:r w:rsidR="00506F11">
        <w:t>—</w:t>
      </w:r>
      <w:r w:rsidR="00096D09">
        <w:t xml:space="preserve">a consequence of rapid economic and social change </w:t>
      </w:r>
      <w:r w:rsidR="00E01C4A">
        <w:t xml:space="preserve">and </w:t>
      </w:r>
      <w:r w:rsidR="00096D09">
        <w:t>residual poverty</w:t>
      </w:r>
      <w:r w:rsidR="00506F11">
        <w:t>—</w:t>
      </w:r>
      <w:r w:rsidR="00C72E9D">
        <w:t>and their progression toward</w:t>
      </w:r>
      <w:r w:rsidR="003920A9">
        <w:t>s</w:t>
      </w:r>
      <w:r w:rsidR="00C72E9D">
        <w:t xml:space="preserve"> advanced economies is by no means guaranteed. </w:t>
      </w:r>
      <w:r w:rsidR="00C72E9D" w:rsidRPr="001B3B93">
        <w:t>Of 101 MICs that existed in 1960, only 13 had achieved high-income status by 2008</w:t>
      </w:r>
      <w:r w:rsidR="00C71E3E">
        <w:t>.</w:t>
      </w:r>
      <w:r w:rsidR="00C72E9D" w:rsidRPr="001B3B93">
        <w:rPr>
          <w:vertAlign w:val="superscript"/>
        </w:rPr>
        <w:footnoteReference w:id="2"/>
      </w:r>
      <w:r w:rsidR="00C72E9D" w:rsidRPr="001B3B93">
        <w:t xml:space="preserve"> </w:t>
      </w:r>
      <w:r w:rsidR="0029437C">
        <w:t>T</w:t>
      </w:r>
      <w:r w:rsidR="0029437C" w:rsidRPr="0029437C">
        <w:t xml:space="preserve">he </w:t>
      </w:r>
      <w:r w:rsidR="0029437C" w:rsidRPr="00EE7A51">
        <w:rPr>
          <w:i/>
        </w:rPr>
        <w:t>2017 Foreign Policy White Paper</w:t>
      </w:r>
      <w:r w:rsidR="0029437C" w:rsidRPr="0029437C">
        <w:t xml:space="preserve"> articulates Australia’s strong interest in the continuing growth and stability of its Asian neighbours and in an open and prosperous regional economy.</w:t>
      </w:r>
      <w:r w:rsidR="0029437C" w:rsidRPr="0029437C">
        <w:rPr>
          <w:vertAlign w:val="superscript"/>
        </w:rPr>
        <w:footnoteReference w:id="3"/>
      </w:r>
    </w:p>
    <w:p w14:paraId="064F353D" w14:textId="6E6AC6A8" w:rsidR="009B7D7B" w:rsidRPr="001B3B93" w:rsidRDefault="009B7D7B" w:rsidP="00CF3C44">
      <w:pPr>
        <w:pBdr>
          <w:top w:val="single" w:sz="4" w:space="12" w:color="3DA18F" w:themeColor="background2" w:themeShade="BF"/>
          <w:bottom w:val="single" w:sz="4" w:space="5" w:color="3DA18F" w:themeColor="background2" w:themeShade="BF"/>
        </w:pBdr>
        <w:spacing w:before="240" w:after="240"/>
        <w:rPr>
          <w:b/>
          <w:i/>
          <w:iCs/>
          <w:color w:val="3DA18F" w:themeColor="background2" w:themeShade="BF"/>
        </w:rPr>
      </w:pPr>
      <w:bookmarkStart w:id="30" w:name="_Hlk521681308"/>
      <w:r w:rsidRPr="001B3B93">
        <w:rPr>
          <w:b/>
          <w:i/>
          <w:iCs/>
          <w:color w:val="3DA18F" w:themeColor="background2" w:themeShade="BF"/>
        </w:rPr>
        <w:t>Australia will continue to benefit from the complementarity of our economy with those of our neighbours. Asian economic growth, urbanisation and expanding middle classes will sustain or increase demand for minerals and energy, premium agricultural products, and services.</w:t>
      </w:r>
      <w:r w:rsidR="008D0D59">
        <w:rPr>
          <w:b/>
          <w:i/>
          <w:iCs/>
          <w:color w:val="3DA18F" w:themeColor="background2" w:themeShade="BF"/>
        </w:rPr>
        <w:t xml:space="preserve"> </w:t>
      </w:r>
      <w:r w:rsidR="00506F11" w:rsidRPr="003D3BD9">
        <w:rPr>
          <w:b/>
          <w:i/>
          <w:iCs/>
          <w:color w:val="3DA18F" w:themeColor="background2" w:themeShade="BF"/>
        </w:rPr>
        <w:t>—</w:t>
      </w:r>
      <w:r w:rsidR="008D0D59">
        <w:rPr>
          <w:i/>
          <w:iCs/>
          <w:color w:val="3DA18F" w:themeColor="background2" w:themeShade="BF"/>
        </w:rPr>
        <w:t xml:space="preserve"> </w:t>
      </w:r>
      <w:r w:rsidRPr="001B3B93">
        <w:rPr>
          <w:b/>
          <w:bCs/>
          <w:i/>
          <w:iCs/>
          <w:color w:val="3DA18F" w:themeColor="background2" w:themeShade="BF"/>
          <w:sz w:val="20"/>
        </w:rPr>
        <w:t>2017 Foreign Policy White Paper</w:t>
      </w:r>
    </w:p>
    <w:bookmarkEnd w:id="30"/>
    <w:p w14:paraId="7D063C64" w14:textId="217B9FB2" w:rsidR="00C71E3E" w:rsidRDefault="00320BDC" w:rsidP="00CE6015">
      <w:r>
        <w:t xml:space="preserve">The evaluation explores </w:t>
      </w:r>
      <w:r w:rsidR="0029437C">
        <w:t xml:space="preserve">the rebalancing of </w:t>
      </w:r>
      <w:r w:rsidR="000D292B">
        <w:t xml:space="preserve">development cooperation </w:t>
      </w:r>
      <w:r>
        <w:t>in</w:t>
      </w:r>
      <w:r w:rsidR="006A58D0">
        <w:t xml:space="preserve"> Indonesia and Vietnam</w:t>
      </w:r>
      <w:r>
        <w:t xml:space="preserve"> </w:t>
      </w:r>
      <w:r w:rsidR="000D292B">
        <w:t xml:space="preserve">towards </w:t>
      </w:r>
      <w:r>
        <w:t>knowledge-based assistance</w:t>
      </w:r>
      <w:r w:rsidR="000D292B">
        <w:t xml:space="preserve">, </w:t>
      </w:r>
      <w:r w:rsidR="0029437C">
        <w:t xml:space="preserve">in response to declining Australian aid budgets </w:t>
      </w:r>
      <w:r w:rsidR="000D292B">
        <w:t xml:space="preserve">and changing </w:t>
      </w:r>
      <w:r w:rsidR="000664A4">
        <w:t xml:space="preserve">partner </w:t>
      </w:r>
      <w:r w:rsidR="000D292B">
        <w:t>needs. It assesses what kinds of results are being achieved,</w:t>
      </w:r>
      <w:r w:rsidR="00696E7D">
        <w:t xml:space="preserve"> and </w:t>
      </w:r>
      <w:r w:rsidR="000664A4">
        <w:t xml:space="preserve">which </w:t>
      </w:r>
      <w:r w:rsidR="000D292B">
        <w:t xml:space="preserve">approaches are proving </w:t>
      </w:r>
      <w:r w:rsidR="00B715C9">
        <w:t xml:space="preserve">to be </w:t>
      </w:r>
      <w:r w:rsidR="000D292B">
        <w:t>effective.</w:t>
      </w:r>
      <w:r w:rsidR="00567D3D">
        <w:t xml:space="preserve"> While </w:t>
      </w:r>
      <w:r w:rsidR="00696E7D">
        <w:t xml:space="preserve">this </w:t>
      </w:r>
      <w:r w:rsidR="00B43281">
        <w:t xml:space="preserve">rebalancing </w:t>
      </w:r>
      <w:r w:rsidR="007A1391">
        <w:t xml:space="preserve">is </w:t>
      </w:r>
      <w:r w:rsidR="00B43281">
        <w:t xml:space="preserve">most advanced in </w:t>
      </w:r>
      <w:r w:rsidR="00567D3D">
        <w:t xml:space="preserve">Asian MICs, </w:t>
      </w:r>
      <w:r w:rsidR="00696E7D">
        <w:t xml:space="preserve">the findings of the evaluation may also be relevant to </w:t>
      </w:r>
      <w:r w:rsidR="00567D3D">
        <w:t xml:space="preserve">other contexts </w:t>
      </w:r>
      <w:r w:rsidR="00225784">
        <w:t xml:space="preserve">in which </w:t>
      </w:r>
      <w:r w:rsidR="00567D3D">
        <w:t>Australia provides aid.</w:t>
      </w:r>
    </w:p>
    <w:p w14:paraId="096C802F" w14:textId="1C88490B" w:rsidR="00E01C4A" w:rsidRPr="001B3B93" w:rsidRDefault="0029437C">
      <w:r w:rsidRPr="006E0849">
        <w:t xml:space="preserve">Some Asian MICs, such as Vietnam, faced an exodus of bilateral donors </w:t>
      </w:r>
      <w:r w:rsidR="000664A4" w:rsidRPr="006E0849">
        <w:t xml:space="preserve">once they reached the middle-income threshold. </w:t>
      </w:r>
      <w:r w:rsidR="00E01C4A" w:rsidRPr="006E0849">
        <w:t>In the past, Australia phased out bilateral aid to Thailand.</w:t>
      </w:r>
      <w:r w:rsidR="00E01C4A" w:rsidRPr="006E0849">
        <w:rPr>
          <w:rStyle w:val="FootnoteReference"/>
        </w:rPr>
        <w:footnoteReference w:id="4"/>
      </w:r>
      <w:r w:rsidR="00E01C4A" w:rsidRPr="006E0849">
        <w:t xml:space="preserve"> </w:t>
      </w:r>
      <w:r w:rsidR="000D292B" w:rsidRPr="006E0849">
        <w:t xml:space="preserve">In the coming years, </w:t>
      </w:r>
      <w:r w:rsidR="00225784">
        <w:t>Australia</w:t>
      </w:r>
      <w:r w:rsidR="00225784" w:rsidRPr="006E0849">
        <w:t xml:space="preserve"> </w:t>
      </w:r>
      <w:r w:rsidR="000D292B" w:rsidRPr="006E0849">
        <w:t xml:space="preserve">will need to </w:t>
      </w:r>
      <w:r w:rsidR="000D292B" w:rsidRPr="006E0849">
        <w:lastRenderedPageBreak/>
        <w:t xml:space="preserve">choose whether to continue to provide aid to </w:t>
      </w:r>
      <w:r w:rsidR="00567D3D" w:rsidRPr="006E0849">
        <w:t>countries such as Indonesia and Vietnam</w:t>
      </w:r>
      <w:r w:rsidR="000664A4" w:rsidRPr="006E0849">
        <w:t xml:space="preserve">. The findings of this evaluation are relevant to the question of whether there is still </w:t>
      </w:r>
      <w:r w:rsidR="00E01C4A" w:rsidRPr="006E0849">
        <w:t xml:space="preserve">a case for Australian aid to Asian MICs and, if so, what </w:t>
      </w:r>
      <w:r w:rsidR="000664A4" w:rsidRPr="006E0849">
        <w:t xml:space="preserve">it </w:t>
      </w:r>
      <w:r w:rsidR="00E01C4A" w:rsidRPr="006E0849">
        <w:t>should look like</w:t>
      </w:r>
      <w:r w:rsidR="000664A4" w:rsidRPr="006E0849">
        <w:t>.</w:t>
      </w:r>
      <w:r w:rsidR="00E01C4A" w:rsidRPr="006E0849">
        <w:t xml:space="preserve"> </w:t>
      </w:r>
    </w:p>
    <w:p w14:paraId="64DEFBAE" w14:textId="37B72736" w:rsidR="000D6875" w:rsidRPr="001B3B93" w:rsidRDefault="009B7D7B" w:rsidP="00771D96">
      <w:pPr>
        <w:pStyle w:val="Heading3"/>
        <w:spacing w:before="200" w:after="120"/>
      </w:pPr>
      <w:bookmarkStart w:id="31" w:name="_Toc527712988"/>
      <w:r>
        <w:t xml:space="preserve">Development cooperation and </w:t>
      </w:r>
      <w:r w:rsidR="000D6875" w:rsidRPr="001B3B93">
        <w:t>economic partnership</w:t>
      </w:r>
      <w:bookmarkEnd w:id="31"/>
    </w:p>
    <w:p w14:paraId="596A1D8C" w14:textId="3770858C" w:rsidR="00A15798" w:rsidRPr="001B3B93" w:rsidRDefault="00A44DB7" w:rsidP="0055103C">
      <w:r w:rsidRPr="001B3B93">
        <w:t xml:space="preserve">Australia’s </w:t>
      </w:r>
      <w:r w:rsidR="0055103C" w:rsidRPr="001B3B93">
        <w:t xml:space="preserve">2014 aid </w:t>
      </w:r>
      <w:r w:rsidRPr="001B3B93">
        <w:t xml:space="preserve">policy </w:t>
      </w:r>
      <w:r w:rsidR="0055103C" w:rsidRPr="001B3B93">
        <w:t xml:space="preserve">recognised </w:t>
      </w:r>
      <w:r w:rsidR="00C80F74" w:rsidRPr="001B3B93">
        <w:t xml:space="preserve">that </w:t>
      </w:r>
      <w:r w:rsidR="0055103C" w:rsidRPr="001B3B93">
        <w:t xml:space="preserve">dramatic </w:t>
      </w:r>
      <w:r w:rsidR="00CE277D" w:rsidRPr="001B3B93">
        <w:t>economic and geopolitical shifts</w:t>
      </w:r>
      <w:r w:rsidR="003D7579" w:rsidRPr="001B3B93">
        <w:t>, both in Asia and</w:t>
      </w:r>
      <w:r w:rsidR="00CE277D" w:rsidRPr="001B3B93">
        <w:t xml:space="preserve"> across the globe</w:t>
      </w:r>
      <w:r w:rsidR="003D7579" w:rsidRPr="001B3B93">
        <w:t>,</w:t>
      </w:r>
      <w:r w:rsidR="0055103C" w:rsidRPr="001B3B93">
        <w:t xml:space="preserve"> </w:t>
      </w:r>
      <w:r w:rsidR="00C80F74" w:rsidRPr="001B3B93">
        <w:t xml:space="preserve">called </w:t>
      </w:r>
      <w:r w:rsidR="0055103C" w:rsidRPr="001B3B93">
        <w:t xml:space="preserve">for </w:t>
      </w:r>
      <w:r w:rsidR="00225784">
        <w:t>‘</w:t>
      </w:r>
      <w:r w:rsidR="0055103C" w:rsidRPr="001B3B93">
        <w:t xml:space="preserve">a new </w:t>
      </w:r>
      <w:r w:rsidR="00900DFE" w:rsidRPr="001B3B93">
        <w:t>development</w:t>
      </w:r>
      <w:r w:rsidR="0055103C" w:rsidRPr="001B3B93">
        <w:t xml:space="preserve"> paradigm</w:t>
      </w:r>
      <w:r w:rsidR="00225784">
        <w:t>’</w:t>
      </w:r>
      <w:r w:rsidR="0055103C" w:rsidRPr="001B3B93">
        <w:t>.</w:t>
      </w:r>
      <w:r w:rsidR="00900DFE" w:rsidRPr="001B3B93">
        <w:rPr>
          <w:rStyle w:val="FootnoteReference"/>
        </w:rPr>
        <w:footnoteReference w:id="5"/>
      </w:r>
      <w:r w:rsidR="0055103C" w:rsidRPr="001B3B93">
        <w:t xml:space="preserve"> With </w:t>
      </w:r>
      <w:r w:rsidR="003D7579" w:rsidRPr="001B3B93">
        <w:t xml:space="preserve">global </w:t>
      </w:r>
      <w:r w:rsidR="0055103C" w:rsidRPr="001B3B93">
        <w:t xml:space="preserve">aid flows dwarfed by domestic revenues, foreign direct investment and remittances, </w:t>
      </w:r>
      <w:r w:rsidR="00225784">
        <w:t>Australia</w:t>
      </w:r>
      <w:r w:rsidR="00225784" w:rsidRPr="001B3B93">
        <w:t xml:space="preserve"> </w:t>
      </w:r>
      <w:r w:rsidR="003D7579" w:rsidRPr="001B3B93">
        <w:t xml:space="preserve">concluded that </w:t>
      </w:r>
      <w:r w:rsidRPr="001B3B93">
        <w:t xml:space="preserve">the </w:t>
      </w:r>
      <w:r w:rsidR="003D7579" w:rsidRPr="001B3B93">
        <w:t xml:space="preserve">future </w:t>
      </w:r>
      <w:r w:rsidRPr="001B3B93">
        <w:t xml:space="preserve">role of </w:t>
      </w:r>
      <w:r w:rsidR="0055103C" w:rsidRPr="001B3B93">
        <w:t xml:space="preserve">aid </w:t>
      </w:r>
      <w:r w:rsidR="003D7579" w:rsidRPr="001B3B93">
        <w:t xml:space="preserve">was </w:t>
      </w:r>
      <w:r w:rsidR="0055103C" w:rsidRPr="001B3B93">
        <w:t xml:space="preserve">as a catalyst </w:t>
      </w:r>
      <w:r w:rsidR="00C80F74" w:rsidRPr="001B3B93">
        <w:t xml:space="preserve">for </w:t>
      </w:r>
      <w:r w:rsidR="003D7579" w:rsidRPr="001B3B93">
        <w:t xml:space="preserve">mobilising other resources in support of </w:t>
      </w:r>
      <w:r w:rsidR="0055103C" w:rsidRPr="001B3B93">
        <w:t>economic growth and poverty reduction</w:t>
      </w:r>
      <w:r w:rsidRPr="001B3B93">
        <w:t xml:space="preserve">. </w:t>
      </w:r>
      <w:r w:rsidR="00225784">
        <w:t>Policy</w:t>
      </w:r>
      <w:r w:rsidR="00225784" w:rsidRPr="001B3B93">
        <w:t xml:space="preserve"> </w:t>
      </w:r>
      <w:r w:rsidRPr="001B3B93">
        <w:t>placed a</w:t>
      </w:r>
      <w:r w:rsidR="0055103C" w:rsidRPr="001B3B93">
        <w:t xml:space="preserve"> strong emphasis </w:t>
      </w:r>
      <w:r w:rsidR="003D7579" w:rsidRPr="001B3B93">
        <w:t xml:space="preserve">on </w:t>
      </w:r>
      <w:r w:rsidRPr="001B3B93">
        <w:t xml:space="preserve">using </w:t>
      </w:r>
      <w:r w:rsidR="0055103C" w:rsidRPr="001B3B93">
        <w:t xml:space="preserve">aid </w:t>
      </w:r>
      <w:r w:rsidRPr="001B3B93">
        <w:t xml:space="preserve">to promote increased </w:t>
      </w:r>
      <w:r w:rsidR="0055103C" w:rsidRPr="001B3B93">
        <w:t xml:space="preserve">trade. </w:t>
      </w:r>
      <w:r w:rsidR="005B24B3" w:rsidRPr="001B3B93">
        <w:t xml:space="preserve">It called for more mature partnerships with both developing country governments and the private sector. </w:t>
      </w:r>
      <w:r w:rsidR="0095489E" w:rsidRPr="001B3B93">
        <w:t>I</w:t>
      </w:r>
      <w:r w:rsidR="005B24B3" w:rsidRPr="001B3B93">
        <w:t xml:space="preserve">t stressed the need for aid to be nimble and innovative, </w:t>
      </w:r>
      <w:r w:rsidR="00A15798" w:rsidRPr="001B3B93">
        <w:t>using knowledge-based assistance to achieve systemic development pay-offs.</w:t>
      </w:r>
      <w:r w:rsidR="005B24B3" w:rsidRPr="001B3B93">
        <w:t xml:space="preserve"> </w:t>
      </w:r>
    </w:p>
    <w:p w14:paraId="56FC6DCF" w14:textId="3C223AA9" w:rsidR="00A15798" w:rsidRPr="001B3B93" w:rsidRDefault="00A15798" w:rsidP="00771D96">
      <w:pPr>
        <w:pBdr>
          <w:top w:val="single" w:sz="4" w:space="12" w:color="3DA18F" w:themeColor="background2" w:themeShade="BF"/>
          <w:bottom w:val="single" w:sz="4" w:space="5" w:color="3DA18F" w:themeColor="background2" w:themeShade="BF"/>
        </w:pBdr>
        <w:spacing w:after="120"/>
        <w:rPr>
          <w:b/>
          <w:i/>
          <w:iCs/>
          <w:color w:val="3DA18F" w:themeColor="background2" w:themeShade="BF"/>
        </w:rPr>
      </w:pPr>
      <w:r w:rsidRPr="001B3B93">
        <w:rPr>
          <w:b/>
          <w:i/>
          <w:iCs/>
          <w:color w:val="3DA18F" w:themeColor="background2" w:themeShade="BF"/>
        </w:rPr>
        <w:t xml:space="preserve">We have aligned the goal of poverty reduction with the pursuit of regional economic growth. This goal is in Australia’s national interest, as well as unambiguously in the interest of our region and it is consistent with our focus on ‘Economic Diplomacy’. Just as traditional diplomacy seeks to promote peace, economic diplomacy seeks to promote prosperity. </w:t>
      </w:r>
      <w:r w:rsidRPr="001B3B93">
        <w:rPr>
          <w:b/>
          <w:bCs/>
          <w:i/>
          <w:iCs/>
          <w:color w:val="3DA18F" w:themeColor="background2" w:themeShade="BF"/>
          <w:sz w:val="20"/>
        </w:rPr>
        <w:t>— The Hon Julie Bishop MP, Minister for Foreign Affairs, Speech to the National Press Club, 18 June 201</w:t>
      </w:r>
      <w:r w:rsidR="00B05C6C" w:rsidRPr="001B3B93">
        <w:rPr>
          <w:b/>
          <w:bCs/>
          <w:i/>
          <w:iCs/>
          <w:color w:val="3DA18F" w:themeColor="background2" w:themeShade="BF"/>
          <w:sz w:val="20"/>
        </w:rPr>
        <w:t>4</w:t>
      </w:r>
    </w:p>
    <w:p w14:paraId="2D0D71E5" w14:textId="0E16DE29" w:rsidR="008457C5" w:rsidRPr="001B3B93" w:rsidRDefault="00B05C6C" w:rsidP="008D18F2">
      <w:r w:rsidRPr="001B3B93">
        <w:t xml:space="preserve">The </w:t>
      </w:r>
      <w:r w:rsidR="0095489E" w:rsidRPr="001B3B93">
        <w:t xml:space="preserve">use of </w:t>
      </w:r>
      <w:r w:rsidR="00225784">
        <w:t>‘</w:t>
      </w:r>
      <w:r w:rsidRPr="001B3B93">
        <w:t>economic partnership</w:t>
      </w:r>
      <w:r w:rsidR="00225784">
        <w:t>’</w:t>
      </w:r>
      <w:r w:rsidRPr="001B3B93">
        <w:t xml:space="preserve"> </w:t>
      </w:r>
      <w:r w:rsidR="00E67751" w:rsidRPr="001B3B93">
        <w:t>as an overarching framework for this</w:t>
      </w:r>
      <w:r w:rsidR="008D18F2" w:rsidRPr="001B3B93">
        <w:t xml:space="preserve"> new </w:t>
      </w:r>
      <w:r w:rsidR="00E67751" w:rsidRPr="001B3B93">
        <w:t xml:space="preserve">aid </w:t>
      </w:r>
      <w:r w:rsidR="008D18F2" w:rsidRPr="001B3B93">
        <w:t xml:space="preserve">paradigm </w:t>
      </w:r>
      <w:r w:rsidR="0095489E" w:rsidRPr="001B3B93">
        <w:t xml:space="preserve">first appeared </w:t>
      </w:r>
      <w:r w:rsidRPr="001B3B93">
        <w:t xml:space="preserve">in DFAT’s May 2015 budget narrative. </w:t>
      </w:r>
      <w:r w:rsidR="00A44DB7" w:rsidRPr="001B3B93">
        <w:t xml:space="preserve">This </w:t>
      </w:r>
      <w:r w:rsidR="008457C5" w:rsidRPr="001B3B93">
        <w:t xml:space="preserve">talked of the need </w:t>
      </w:r>
      <w:r w:rsidR="00A44DB7" w:rsidRPr="001B3B93">
        <w:t>for a differentia</w:t>
      </w:r>
      <w:r w:rsidR="0095489E" w:rsidRPr="001B3B93">
        <w:t>ted</w:t>
      </w:r>
      <w:r w:rsidR="00A44DB7" w:rsidRPr="001B3B93">
        <w:t xml:space="preserve"> approach</w:t>
      </w:r>
      <w:r w:rsidR="00EE7A51">
        <w:t xml:space="preserve">. In the case of </w:t>
      </w:r>
      <w:r w:rsidR="0095489E" w:rsidRPr="001B3B93">
        <w:t xml:space="preserve">the Pacific, </w:t>
      </w:r>
      <w:r w:rsidR="001C7483">
        <w:t>this meant a continuing</w:t>
      </w:r>
      <w:r w:rsidR="008457C5" w:rsidRPr="001B3B93">
        <w:t xml:space="preserve"> commitment to traditional development assistance</w:t>
      </w:r>
      <w:r w:rsidR="00EE7A51">
        <w:t xml:space="preserve">. In the case of growing Asia, this has meant a shift </w:t>
      </w:r>
      <w:r w:rsidR="008457C5" w:rsidRPr="001B3B93">
        <w:t>towards economic partnerships</w:t>
      </w:r>
      <w:r w:rsidR="00EE7A51">
        <w:t>.</w:t>
      </w:r>
    </w:p>
    <w:p w14:paraId="7A79F4C7" w14:textId="6AF4CCBF" w:rsidR="0062257B" w:rsidRPr="001B3B93" w:rsidRDefault="000F5B64" w:rsidP="0055103C">
      <w:r w:rsidRPr="001B3B93">
        <w:t xml:space="preserve">The economic partnership narrative emerged against the backdrop of </w:t>
      </w:r>
      <w:r w:rsidR="00BE4F89" w:rsidRPr="001B3B93">
        <w:t xml:space="preserve">large </w:t>
      </w:r>
      <w:r w:rsidR="0095489E" w:rsidRPr="001B3B93">
        <w:t xml:space="preserve">reductions </w:t>
      </w:r>
      <w:r w:rsidR="00BE4F89" w:rsidRPr="001B3B93">
        <w:t>in the 2015</w:t>
      </w:r>
      <w:r w:rsidR="00225784">
        <w:t>–</w:t>
      </w:r>
      <w:r w:rsidR="00BE4F89" w:rsidRPr="001B3B93">
        <w:t>16 aid budget</w:t>
      </w:r>
      <w:r w:rsidRPr="001B3B93">
        <w:t xml:space="preserve">. </w:t>
      </w:r>
      <w:r w:rsidR="0095489E" w:rsidRPr="001B3B93">
        <w:t xml:space="preserve">With </w:t>
      </w:r>
      <w:r w:rsidR="00DD48F7" w:rsidRPr="001B3B93">
        <w:t xml:space="preserve">cuts </w:t>
      </w:r>
      <w:r w:rsidRPr="001B3B93">
        <w:t>of up to 40</w:t>
      </w:r>
      <w:r w:rsidR="002D3FAC">
        <w:t xml:space="preserve"> per cent</w:t>
      </w:r>
      <w:r w:rsidRPr="001B3B93">
        <w:t xml:space="preserve"> to Asian </w:t>
      </w:r>
      <w:r w:rsidR="00DD48F7" w:rsidRPr="001B3B93">
        <w:t>countries</w:t>
      </w:r>
      <w:r w:rsidRPr="001B3B93">
        <w:t xml:space="preserve">, </w:t>
      </w:r>
      <w:r w:rsidR="00513837" w:rsidRPr="001B3B93">
        <w:t xml:space="preserve">shifting from funding services and development projects directly towards </w:t>
      </w:r>
      <w:r w:rsidRPr="001B3B93">
        <w:t xml:space="preserve">catalysing other resources was </w:t>
      </w:r>
      <w:r w:rsidR="00DD48F7" w:rsidRPr="001B3B93">
        <w:t xml:space="preserve">identified </w:t>
      </w:r>
      <w:r w:rsidRPr="001B3B93">
        <w:t>as a means of maintaining impact</w:t>
      </w:r>
      <w:r w:rsidR="00513837" w:rsidRPr="001B3B93">
        <w:t xml:space="preserve"> and influence</w:t>
      </w:r>
      <w:r w:rsidRPr="001B3B93">
        <w:t xml:space="preserve">. In a 2016 speech, </w:t>
      </w:r>
      <w:r w:rsidR="008D0D59">
        <w:t xml:space="preserve">the then </w:t>
      </w:r>
      <w:r w:rsidRPr="001B3B93">
        <w:t xml:space="preserve">DFAT Secretary spoke of the opportunity for Australia to position itself as </w:t>
      </w:r>
      <w:r w:rsidR="00C80F74" w:rsidRPr="001B3B93">
        <w:t xml:space="preserve">an </w:t>
      </w:r>
      <w:r w:rsidRPr="001B3B93">
        <w:t>ally of economic reformers across the region, with its standing as partner of choice determined by the quality of its assistance, rather than the quantity.</w:t>
      </w:r>
      <w:r w:rsidR="00513837" w:rsidRPr="001B3B93">
        <w:rPr>
          <w:rStyle w:val="FootnoteReference"/>
        </w:rPr>
        <w:footnoteReference w:id="6"/>
      </w:r>
      <w:r w:rsidRPr="001B3B93">
        <w:t xml:space="preserve"> </w:t>
      </w:r>
      <w:r w:rsidR="003575A1" w:rsidRPr="001B3B93">
        <w:t xml:space="preserve">The term </w:t>
      </w:r>
      <w:r w:rsidR="00567D3D">
        <w:t xml:space="preserve">economic partnership </w:t>
      </w:r>
      <w:r w:rsidR="003575A1" w:rsidRPr="001B3B93">
        <w:t xml:space="preserve">also reflects DFAT’s goal of using Australia’s diplomatic, trade and aid resources in </w:t>
      </w:r>
      <w:r w:rsidR="00225784">
        <w:t>‘</w:t>
      </w:r>
      <w:r w:rsidR="003575A1" w:rsidRPr="001B3B93">
        <w:t>complementary and mutually reinforcing</w:t>
      </w:r>
      <w:r w:rsidR="00225784">
        <w:t>’</w:t>
      </w:r>
      <w:r w:rsidR="003575A1" w:rsidRPr="001B3B93">
        <w:t xml:space="preserve"> ways.</w:t>
      </w:r>
      <w:r w:rsidR="00513837" w:rsidRPr="001B3B93">
        <w:rPr>
          <w:vertAlign w:val="superscript"/>
        </w:rPr>
        <w:footnoteReference w:id="7"/>
      </w:r>
      <w:r w:rsidR="003575A1" w:rsidRPr="001B3B93">
        <w:t xml:space="preserve"> </w:t>
      </w:r>
    </w:p>
    <w:p w14:paraId="33B06FE7" w14:textId="2EE0EA99" w:rsidR="0062257B" w:rsidRPr="001B3B93" w:rsidRDefault="0062257B" w:rsidP="00771D96">
      <w:pPr>
        <w:pBdr>
          <w:top w:val="single" w:sz="4" w:space="11" w:color="3DA18F" w:themeColor="background2" w:themeShade="BF"/>
          <w:bottom w:val="single" w:sz="4" w:space="5" w:color="3DA18F" w:themeColor="background2" w:themeShade="BF"/>
        </w:pBdr>
        <w:spacing w:after="120"/>
        <w:rPr>
          <w:b/>
          <w:i/>
          <w:iCs/>
          <w:color w:val="3DA18F" w:themeColor="background2" w:themeShade="BF"/>
        </w:rPr>
      </w:pPr>
      <w:r w:rsidRPr="001B3B93">
        <w:rPr>
          <w:b/>
          <w:i/>
          <w:iCs/>
          <w:color w:val="3DA18F" w:themeColor="background2" w:themeShade="BF"/>
        </w:rPr>
        <w:t>We must recognise that the growing resources available to [Asian MICs] necessitate change in how aid is delivered in order for it to remain effective</w:t>
      </w:r>
      <w:r w:rsidR="00225784">
        <w:rPr>
          <w:b/>
          <w:i/>
          <w:iCs/>
          <w:color w:val="3DA18F" w:themeColor="background2" w:themeShade="BF"/>
        </w:rPr>
        <w:t xml:space="preserve"> </w:t>
      </w:r>
      <w:r w:rsidRPr="001B3B93">
        <w:rPr>
          <w:b/>
          <w:i/>
          <w:iCs/>
          <w:color w:val="3DA18F" w:themeColor="background2" w:themeShade="BF"/>
        </w:rPr>
        <w:t xml:space="preserve">… Australia is well placed to support the economic reform and development agendas in the region. Australia’s economic and broader public policy institutions are internationally recognised. Building on the partnerships at the institutional level between our economic policy makers and regulators and those in the region is a great opportunity for Australia. In what will become an increasingly contested space there </w:t>
      </w:r>
      <w:r w:rsidRPr="001B3B93">
        <w:rPr>
          <w:b/>
          <w:i/>
          <w:iCs/>
          <w:color w:val="3DA18F" w:themeColor="background2" w:themeShade="BF"/>
        </w:rPr>
        <w:lastRenderedPageBreak/>
        <w:t xml:space="preserve">will be even more premium placed on being a reliable partner. </w:t>
      </w:r>
      <w:r w:rsidRPr="001B3B93">
        <w:rPr>
          <w:b/>
          <w:bCs/>
          <w:i/>
          <w:iCs/>
          <w:color w:val="3DA18F" w:themeColor="background2" w:themeShade="BF"/>
          <w:sz w:val="20"/>
        </w:rPr>
        <w:t>— Peter Varghese, Secretary of the Department of Foreign Affairs, Speech to the 2016 Australasian Aid Conference, 10 February 2016</w:t>
      </w:r>
    </w:p>
    <w:p w14:paraId="12C1C344" w14:textId="43CB9086" w:rsidR="005F54D8" w:rsidRPr="001B3B93" w:rsidRDefault="00E52C85" w:rsidP="005F54D8">
      <w:r w:rsidRPr="001B3B93">
        <w:t>The</w:t>
      </w:r>
      <w:r w:rsidR="00225784">
        <w:t xml:space="preserve"> </w:t>
      </w:r>
      <w:r w:rsidR="00225784" w:rsidRPr="00EE7A51">
        <w:rPr>
          <w:i/>
        </w:rPr>
        <w:t>2017</w:t>
      </w:r>
      <w:r w:rsidRPr="00EE7A51">
        <w:rPr>
          <w:i/>
        </w:rPr>
        <w:t xml:space="preserve"> Foreign Policy White Paper</w:t>
      </w:r>
      <w:r w:rsidR="009A2A59" w:rsidRPr="001B3B93">
        <w:rPr>
          <w:vertAlign w:val="superscript"/>
        </w:rPr>
        <w:footnoteReference w:id="8"/>
      </w:r>
      <w:r w:rsidRPr="001B3B93">
        <w:t xml:space="preserve"> uses the term economic partnership to refer to deepening trade and investment links </w:t>
      </w:r>
      <w:r w:rsidRPr="001F40CB">
        <w:t>with Asia</w:t>
      </w:r>
      <w:r w:rsidR="00086053" w:rsidRPr="001F40CB">
        <w:t>n</w:t>
      </w:r>
      <w:r w:rsidRPr="001F40CB">
        <w:t xml:space="preserve"> countries </w:t>
      </w:r>
      <w:r w:rsidR="00B85ACA" w:rsidRPr="001F40CB">
        <w:t>and</w:t>
      </w:r>
      <w:r w:rsidR="00B85ACA" w:rsidRPr="001B3B93">
        <w:t xml:space="preserve"> others </w:t>
      </w:r>
      <w:r w:rsidRPr="001B3B93">
        <w:t xml:space="preserve">around the world. </w:t>
      </w:r>
      <w:r w:rsidR="00567D3D">
        <w:t>At times, it also uses the term more narrowly to refer to free trade agreements.</w:t>
      </w:r>
      <w:r w:rsidR="00665321">
        <w:t xml:space="preserve"> The white paper</w:t>
      </w:r>
      <w:r w:rsidRPr="001B3B93">
        <w:t xml:space="preserve"> stresses th</w:t>
      </w:r>
      <w:r w:rsidR="00665321">
        <w:t>at</w:t>
      </w:r>
      <w:r w:rsidRPr="001B3B93">
        <w:t xml:space="preserve"> Australia</w:t>
      </w:r>
      <w:r w:rsidR="00665321">
        <w:t xml:space="preserve"> has a</w:t>
      </w:r>
      <w:r w:rsidRPr="001B3B93">
        <w:t xml:space="preserve">n interest in </w:t>
      </w:r>
      <w:r w:rsidR="00665321">
        <w:t>‘</w:t>
      </w:r>
      <w:r w:rsidRPr="001B3B93">
        <w:t>an open, outward-looking regional economy</w:t>
      </w:r>
      <w:r w:rsidR="00665321">
        <w:t>’</w:t>
      </w:r>
      <w:r w:rsidRPr="001B3B93">
        <w:t xml:space="preserve"> to maximise growth and guard against the dangers of strategic rivalry. </w:t>
      </w:r>
      <w:r w:rsidR="003575A1" w:rsidRPr="001B3B93">
        <w:t>It states that Australia will stand against protectionism by championing an open, rules-based international trading system</w:t>
      </w:r>
      <w:r w:rsidR="00B3559E" w:rsidRPr="001B3B93">
        <w:t xml:space="preserve"> and pursuing the long-term goal of a region-wide free trade area</w:t>
      </w:r>
      <w:r w:rsidR="003575A1" w:rsidRPr="001B3B93">
        <w:t>.</w:t>
      </w:r>
    </w:p>
    <w:p w14:paraId="2E6CD315" w14:textId="3DB9BEA9" w:rsidR="004A4C73" w:rsidRPr="001B3B93" w:rsidRDefault="00911CB1" w:rsidP="00CF3C44">
      <w:pPr>
        <w:pStyle w:val="Heading3"/>
        <w:spacing w:before="200"/>
      </w:pPr>
      <w:bookmarkStart w:id="32" w:name="_Toc527712989"/>
      <w:r w:rsidRPr="001B3B93">
        <w:t>Purpose</w:t>
      </w:r>
      <w:r w:rsidR="00336DD8" w:rsidRPr="001B3B93">
        <w:t xml:space="preserve"> </w:t>
      </w:r>
      <w:r w:rsidR="0086440F">
        <w:t xml:space="preserve">and scope </w:t>
      </w:r>
      <w:r w:rsidRPr="001B3B93">
        <w:t>of the evaluation</w:t>
      </w:r>
      <w:bookmarkEnd w:id="32"/>
    </w:p>
    <w:p w14:paraId="1FEA9C21" w14:textId="412F4718" w:rsidR="00504FC8" w:rsidRPr="001B3B93" w:rsidRDefault="00826B18" w:rsidP="00962668">
      <w:r w:rsidRPr="00D06DC8">
        <w:t>The purpose</w:t>
      </w:r>
      <w:r w:rsidRPr="00B752EA">
        <w:t xml:space="preserve"> of the</w:t>
      </w:r>
      <w:r w:rsidRPr="001B3B93">
        <w:t xml:space="preserve"> evaluation is to explore the </w:t>
      </w:r>
      <w:r w:rsidR="00623CEC" w:rsidRPr="001B3B93">
        <w:t xml:space="preserve">role that aid </w:t>
      </w:r>
      <w:r w:rsidR="00B43281">
        <w:t xml:space="preserve">plays </w:t>
      </w:r>
      <w:r w:rsidR="00623CEC" w:rsidRPr="001B3B93">
        <w:t xml:space="preserve">in </w:t>
      </w:r>
      <w:r w:rsidR="00002570">
        <w:t>supporting</w:t>
      </w:r>
      <w:r w:rsidRPr="001B3B93">
        <w:t xml:space="preserve"> Australia’s economic partnerships </w:t>
      </w:r>
      <w:r w:rsidR="00B43281">
        <w:t xml:space="preserve">in Indonesia and Vietnam, and what </w:t>
      </w:r>
      <w:r w:rsidR="00DD48F7" w:rsidRPr="001B3B93">
        <w:t>kinds of results are being achieved</w:t>
      </w:r>
      <w:r w:rsidRPr="001B3B93">
        <w:t>.</w:t>
      </w:r>
      <w:r w:rsidR="001A52DA" w:rsidRPr="001B3B93">
        <w:t xml:space="preserve"> </w:t>
      </w:r>
      <w:r w:rsidR="004440AC">
        <w:t xml:space="preserve">It </w:t>
      </w:r>
      <w:r w:rsidR="00B43281">
        <w:t xml:space="preserve">also looks at what </w:t>
      </w:r>
      <w:r w:rsidR="00962668">
        <w:t xml:space="preserve">progress </w:t>
      </w:r>
      <w:r w:rsidR="00B43281">
        <w:t xml:space="preserve">is being made </w:t>
      </w:r>
      <w:r w:rsidR="00962668">
        <w:t xml:space="preserve">in aligning aid, trade and </w:t>
      </w:r>
      <w:r w:rsidR="00962668" w:rsidRPr="00AD0D48">
        <w:t xml:space="preserve">diplomatic initiatives. </w:t>
      </w:r>
      <w:r w:rsidR="00B43281" w:rsidRPr="00AD0D48">
        <w:t xml:space="preserve">It takes an </w:t>
      </w:r>
      <w:r w:rsidR="00DD48F7" w:rsidRPr="00AD0D48">
        <w:t>exploratory</w:t>
      </w:r>
      <w:r w:rsidR="00504FC8" w:rsidRPr="00AD0D48">
        <w:t xml:space="preserve"> approach</w:t>
      </w:r>
      <w:r w:rsidR="00B43281" w:rsidRPr="00AD0D48">
        <w:t>,</w:t>
      </w:r>
      <w:r w:rsidR="00504FC8" w:rsidRPr="00AD0D48">
        <w:t xml:space="preserve"> recognis</w:t>
      </w:r>
      <w:r w:rsidR="00B43281" w:rsidRPr="00AD0D48">
        <w:t>ing</w:t>
      </w:r>
      <w:r w:rsidR="00504FC8" w:rsidRPr="00AD0D48">
        <w:t xml:space="preserve"> that economic partnership is still emerging </w:t>
      </w:r>
      <w:r w:rsidR="00DD48F7" w:rsidRPr="00C833B2">
        <w:t xml:space="preserve">as an organising </w:t>
      </w:r>
      <w:r w:rsidR="00504FC8" w:rsidRPr="00C833B2">
        <w:t>concept for the Australian aid program</w:t>
      </w:r>
      <w:r w:rsidR="001A52DA" w:rsidRPr="00DA1B7F">
        <w:t xml:space="preserve"> </w:t>
      </w:r>
      <w:r w:rsidR="00B752EA" w:rsidRPr="00DA1B7F">
        <w:t xml:space="preserve">that </w:t>
      </w:r>
      <w:r w:rsidR="00504FC8" w:rsidRPr="00DA1B7F">
        <w:t>refer</w:t>
      </w:r>
      <w:r w:rsidR="00127003" w:rsidRPr="00DA1B7F">
        <w:t>s</w:t>
      </w:r>
      <w:r w:rsidR="00DD48F7" w:rsidRPr="00DA1B7F">
        <w:t xml:space="preserve"> to</w:t>
      </w:r>
      <w:r w:rsidR="00504FC8" w:rsidRPr="00DA1B7F">
        <w:t xml:space="preserve"> a direction of travel, rather than a </w:t>
      </w:r>
      <w:r w:rsidR="00DD48F7" w:rsidRPr="00DA1B7F">
        <w:t>defined destination</w:t>
      </w:r>
      <w:r w:rsidR="00504FC8" w:rsidRPr="00DA1B7F">
        <w:t>.</w:t>
      </w:r>
    </w:p>
    <w:p w14:paraId="06746D1E" w14:textId="57D0790F" w:rsidR="0016677A" w:rsidRPr="001B3B93" w:rsidRDefault="0016677A" w:rsidP="0055103C">
      <w:r w:rsidRPr="001B3B93">
        <w:t xml:space="preserve">The </w:t>
      </w:r>
      <w:r w:rsidR="00A8578B" w:rsidRPr="001B3B93">
        <w:t xml:space="preserve">scope </w:t>
      </w:r>
      <w:r w:rsidRPr="001B3B93">
        <w:t xml:space="preserve">of the evaluation was based on </w:t>
      </w:r>
      <w:r w:rsidR="004A188A" w:rsidRPr="001B3B93">
        <w:t>consultation</w:t>
      </w:r>
      <w:r w:rsidRPr="001B3B93">
        <w:t>s with DFAT stakeholders, who identified the</w:t>
      </w:r>
      <w:r w:rsidR="00B752EA">
        <w:t>se</w:t>
      </w:r>
      <w:r w:rsidRPr="001B3B93">
        <w:t xml:space="preserve"> objectives:</w:t>
      </w:r>
    </w:p>
    <w:p w14:paraId="3B8AC42F" w14:textId="3D4DDB1B" w:rsidR="0016677A" w:rsidRPr="001B3B93" w:rsidRDefault="007970A5" w:rsidP="000C55B6">
      <w:pPr>
        <w:pStyle w:val="ListParagraph"/>
        <w:numPr>
          <w:ilvl w:val="0"/>
          <w:numId w:val="12"/>
        </w:numPr>
      </w:pPr>
      <w:r>
        <w:t>a</w:t>
      </w:r>
      <w:r w:rsidR="0016677A" w:rsidRPr="001B3B93">
        <w:t>ssist DFAT to further articulate the economic partnership concept</w:t>
      </w:r>
    </w:p>
    <w:p w14:paraId="5594FFF6" w14:textId="092886B9" w:rsidR="0016677A" w:rsidRPr="001B3B93" w:rsidRDefault="007970A5" w:rsidP="000C55B6">
      <w:pPr>
        <w:pStyle w:val="ListParagraph"/>
        <w:numPr>
          <w:ilvl w:val="0"/>
          <w:numId w:val="12"/>
        </w:numPr>
      </w:pPr>
      <w:r>
        <w:t>e</w:t>
      </w:r>
      <w:r w:rsidR="0016677A" w:rsidRPr="001B3B93">
        <w:t>xplore whether DFAT is using its aid, trade and diplomatic instruments in complementary ways, and whether its capacities and systems facilit</w:t>
      </w:r>
      <w:r w:rsidR="00962668">
        <w:t>ate</w:t>
      </w:r>
      <w:r w:rsidR="0016677A" w:rsidRPr="001B3B93">
        <w:t xml:space="preserve"> this</w:t>
      </w:r>
    </w:p>
    <w:p w14:paraId="502C65BF" w14:textId="74BA065E" w:rsidR="0016677A" w:rsidRPr="001B3B93" w:rsidRDefault="007970A5" w:rsidP="000C55B6">
      <w:pPr>
        <w:pStyle w:val="ListParagraph"/>
        <w:numPr>
          <w:ilvl w:val="0"/>
          <w:numId w:val="12"/>
        </w:numPr>
      </w:pPr>
      <w:r>
        <w:t>e</w:t>
      </w:r>
      <w:r w:rsidR="00A8578B" w:rsidRPr="001B3B93">
        <w:t xml:space="preserve">xplore </w:t>
      </w:r>
      <w:r w:rsidR="00513837" w:rsidRPr="001B3B93">
        <w:t xml:space="preserve">what kinds of results are being achieved within economic partnerships, and </w:t>
      </w:r>
      <w:r w:rsidR="00A8578B" w:rsidRPr="001B3B93">
        <w:t xml:space="preserve">which approaches to </w:t>
      </w:r>
      <w:r w:rsidR="00B438F8">
        <w:t xml:space="preserve">supporting policy and institutional reform </w:t>
      </w:r>
      <w:r w:rsidR="00A8578B" w:rsidRPr="001B3B93">
        <w:t>are proving effective.</w:t>
      </w:r>
    </w:p>
    <w:p w14:paraId="52482102" w14:textId="6E9FF37B" w:rsidR="00C47A1C" w:rsidRPr="001F40CB" w:rsidRDefault="00C47A1C">
      <w:bookmarkStart w:id="33" w:name="_Hlk517702850"/>
      <w:r w:rsidRPr="001B3B93">
        <w:t xml:space="preserve">The scope of the review is not </w:t>
      </w:r>
      <w:r w:rsidRPr="001F40CB">
        <w:t xml:space="preserve">limited to economic sectors or economic growth-related objectives. </w:t>
      </w:r>
      <w:r w:rsidR="00962668" w:rsidRPr="001F40CB">
        <w:t>The changes in the aid program analysed relate to its methods</w:t>
      </w:r>
      <w:r w:rsidR="00B752EA" w:rsidRPr="001F40CB">
        <w:t>—</w:t>
      </w:r>
      <w:r w:rsidR="00962668" w:rsidRPr="001F40CB">
        <w:t>in particular, a shift towards knowledge-based assistance</w:t>
      </w:r>
      <w:r w:rsidR="00B752EA" w:rsidRPr="001F40CB">
        <w:t>—</w:t>
      </w:r>
      <w:r w:rsidR="00962668" w:rsidRPr="001F40CB">
        <w:t xml:space="preserve">and apply equally to Australian support on </w:t>
      </w:r>
      <w:r w:rsidRPr="001F40CB">
        <w:t>social policy or public services.</w:t>
      </w:r>
      <w:bookmarkEnd w:id="33"/>
    </w:p>
    <w:p w14:paraId="342734A6" w14:textId="77777777" w:rsidR="00A8578B" w:rsidRPr="001F40CB" w:rsidRDefault="00EA3048" w:rsidP="00EA3048">
      <w:pPr>
        <w:pStyle w:val="Heading3"/>
      </w:pPr>
      <w:bookmarkStart w:id="34" w:name="_Toc527712990"/>
      <w:r w:rsidRPr="001F40CB">
        <w:t>Evaluation questions</w:t>
      </w:r>
      <w:bookmarkEnd w:id="34"/>
    </w:p>
    <w:tbl>
      <w:tblPr>
        <w:tblStyle w:val="GridTable1Light-Accent1"/>
        <w:tblW w:w="105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FFFFFF" w:themeColor="background1"/>
        </w:tblBorders>
        <w:tblLook w:val="04A0" w:firstRow="1" w:lastRow="0" w:firstColumn="1" w:lastColumn="0" w:noHBand="0" w:noVBand="1"/>
      </w:tblPr>
      <w:tblGrid>
        <w:gridCol w:w="10528"/>
      </w:tblGrid>
      <w:tr w:rsidR="00EA3048" w:rsidRPr="001F40CB" w14:paraId="42B6D5CB" w14:textId="77777777" w:rsidTr="00EA304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528" w:type="dxa"/>
            <w:tcBorders>
              <w:top w:val="single" w:sz="4" w:space="0" w:color="FFFFFF" w:themeColor="background1"/>
              <w:bottom w:val="single" w:sz="4" w:space="0" w:color="FFFFFF" w:themeColor="background1"/>
            </w:tcBorders>
            <w:shd w:val="clear" w:color="auto" w:fill="007C89" w:themeFill="accent1"/>
            <w:vAlign w:val="center"/>
          </w:tcPr>
          <w:p w14:paraId="5F1BA5DC" w14:textId="77777777" w:rsidR="00EA3048" w:rsidRPr="001F40CB" w:rsidRDefault="00EA3048" w:rsidP="0095561B">
            <w:pPr>
              <w:pStyle w:val="TableHeading"/>
              <w:rPr>
                <w:b/>
                <w:bCs w:val="0"/>
                <w:szCs w:val="19"/>
              </w:rPr>
            </w:pPr>
            <w:r w:rsidRPr="001F40CB">
              <w:rPr>
                <w:b/>
                <w:bCs w:val="0"/>
                <w:szCs w:val="19"/>
              </w:rPr>
              <w:t>Evaluation questions</w:t>
            </w:r>
          </w:p>
        </w:tc>
      </w:tr>
      <w:tr w:rsidR="00EA3048" w:rsidRPr="001B3B93" w14:paraId="2D777F36"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single" w:sz="4" w:space="0" w:color="FFFFFF" w:themeColor="background1"/>
              <w:bottom w:val="nil"/>
            </w:tcBorders>
            <w:shd w:val="clear" w:color="auto" w:fill="FFFFFF" w:themeFill="background1"/>
          </w:tcPr>
          <w:p w14:paraId="7B34A3A9" w14:textId="5EFBD66F" w:rsidR="00EA3048" w:rsidRPr="001B3B93" w:rsidRDefault="00EA3048" w:rsidP="008031A9">
            <w:pPr>
              <w:spacing w:before="60" w:after="60"/>
              <w:rPr>
                <w:rFonts w:eastAsia="Calibri"/>
                <w:sz w:val="20"/>
                <w:szCs w:val="19"/>
              </w:rPr>
            </w:pPr>
            <w:r w:rsidRPr="001F40CB">
              <w:rPr>
                <w:color w:val="874121" w:themeColor="accent2" w:themeShade="BF"/>
                <w:sz w:val="20"/>
                <w:szCs w:val="19"/>
              </w:rPr>
              <w:t xml:space="preserve">1. Relevance: </w:t>
            </w:r>
            <w:r w:rsidRPr="001F40CB">
              <w:rPr>
                <w:sz w:val="20"/>
                <w:szCs w:val="19"/>
              </w:rPr>
              <w:t xml:space="preserve">How is Australian support evolving towards economic partnerships with Asian </w:t>
            </w:r>
            <w:r w:rsidR="007A79BF" w:rsidRPr="001F40CB">
              <w:rPr>
                <w:sz w:val="20"/>
                <w:szCs w:val="19"/>
              </w:rPr>
              <w:t>MIC</w:t>
            </w:r>
            <w:r w:rsidR="008031A9" w:rsidRPr="001F40CB">
              <w:rPr>
                <w:sz w:val="20"/>
                <w:szCs w:val="19"/>
              </w:rPr>
              <w:t>s</w:t>
            </w:r>
            <w:r w:rsidRPr="001F40CB">
              <w:rPr>
                <w:sz w:val="20"/>
                <w:szCs w:val="19"/>
              </w:rPr>
              <w:t>, and what might they become?</w:t>
            </w:r>
          </w:p>
        </w:tc>
      </w:tr>
      <w:tr w:rsidR="00EA3048" w:rsidRPr="001B3B93" w14:paraId="355E547E"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nil"/>
            </w:tcBorders>
            <w:shd w:val="clear" w:color="auto" w:fill="FFFFFF" w:themeFill="background1"/>
          </w:tcPr>
          <w:p w14:paraId="5C57F4FC" w14:textId="77777777" w:rsidR="00EA3048" w:rsidRPr="001B3B93" w:rsidRDefault="00EA3048" w:rsidP="000C55B6">
            <w:pPr>
              <w:pStyle w:val="ListParagraph"/>
              <w:numPr>
                <w:ilvl w:val="1"/>
                <w:numId w:val="13"/>
              </w:numPr>
              <w:autoSpaceDE w:val="0"/>
              <w:autoSpaceDN w:val="0"/>
              <w:adjustRightInd w:val="0"/>
              <w:ind w:left="870"/>
              <w:rPr>
                <w:b w:val="0"/>
                <w:sz w:val="20"/>
                <w:szCs w:val="19"/>
              </w:rPr>
            </w:pPr>
            <w:r w:rsidRPr="001B3B93">
              <w:rPr>
                <w:b w:val="0"/>
                <w:sz w:val="20"/>
                <w:szCs w:val="19"/>
              </w:rPr>
              <w:t>What are the emerging elements of economic partnerships with Asian middle-income countries?</w:t>
            </w:r>
          </w:p>
        </w:tc>
      </w:tr>
      <w:tr w:rsidR="00EA3048" w:rsidRPr="001B3B93" w14:paraId="631C74B9"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nil"/>
            </w:tcBorders>
            <w:shd w:val="clear" w:color="auto" w:fill="FFFFFF" w:themeFill="background1"/>
          </w:tcPr>
          <w:p w14:paraId="7EDC43A8" w14:textId="77777777" w:rsidR="00EA3048" w:rsidRPr="001B3B93" w:rsidRDefault="00EA3048" w:rsidP="000C55B6">
            <w:pPr>
              <w:pStyle w:val="ListParagraph"/>
              <w:numPr>
                <w:ilvl w:val="1"/>
                <w:numId w:val="13"/>
              </w:numPr>
              <w:autoSpaceDE w:val="0"/>
              <w:autoSpaceDN w:val="0"/>
              <w:adjustRightInd w:val="0"/>
              <w:ind w:left="870"/>
              <w:rPr>
                <w:b w:val="0"/>
                <w:sz w:val="20"/>
                <w:szCs w:val="19"/>
              </w:rPr>
            </w:pPr>
            <w:r w:rsidRPr="001B3B93">
              <w:rPr>
                <w:b w:val="0"/>
                <w:sz w:val="20"/>
                <w:szCs w:val="19"/>
              </w:rPr>
              <w:t>How are emerging economic partnerships reflecting the interests and priorities of Australia and the partner countries?</w:t>
            </w:r>
          </w:p>
        </w:tc>
      </w:tr>
      <w:tr w:rsidR="00EA3048" w:rsidRPr="001B3B93" w14:paraId="5EAD0C9D"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single" w:sz="4" w:space="0" w:color="auto"/>
            </w:tcBorders>
            <w:shd w:val="clear" w:color="auto" w:fill="FFFFFF" w:themeFill="background1"/>
          </w:tcPr>
          <w:p w14:paraId="55B6BE3D" w14:textId="77777777" w:rsidR="00EA3048" w:rsidRPr="001B3B93" w:rsidRDefault="00EA3048" w:rsidP="000C55B6">
            <w:pPr>
              <w:pStyle w:val="ListParagraph"/>
              <w:numPr>
                <w:ilvl w:val="1"/>
                <w:numId w:val="13"/>
              </w:numPr>
              <w:autoSpaceDE w:val="0"/>
              <w:autoSpaceDN w:val="0"/>
              <w:adjustRightInd w:val="0"/>
              <w:spacing w:after="60"/>
              <w:ind w:left="867" w:hanging="357"/>
              <w:rPr>
                <w:b w:val="0"/>
                <w:sz w:val="20"/>
                <w:szCs w:val="19"/>
              </w:rPr>
            </w:pPr>
            <w:r w:rsidRPr="001B3B93">
              <w:rPr>
                <w:b w:val="0"/>
                <w:sz w:val="20"/>
                <w:szCs w:val="19"/>
              </w:rPr>
              <w:t>What scope exists to improve the complementarity of aid, diplomatic and trade initiatives? What are the opportunities and risks presented by available options for improving complementarity?</w:t>
            </w:r>
          </w:p>
        </w:tc>
      </w:tr>
      <w:tr w:rsidR="00EA3048" w:rsidRPr="001B3B93" w14:paraId="6D42424C"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single" w:sz="4" w:space="0" w:color="auto"/>
              <w:bottom w:val="nil"/>
            </w:tcBorders>
            <w:shd w:val="clear" w:color="auto" w:fill="FFFFFF" w:themeFill="background1"/>
          </w:tcPr>
          <w:p w14:paraId="2FC9D6CD" w14:textId="77777777" w:rsidR="00EA3048" w:rsidRPr="001B3B93" w:rsidRDefault="00EA3048" w:rsidP="00EA3048">
            <w:pPr>
              <w:spacing w:before="60" w:after="60"/>
              <w:rPr>
                <w:color w:val="296C60" w:themeColor="background2" w:themeShade="80"/>
                <w:sz w:val="20"/>
                <w:szCs w:val="19"/>
              </w:rPr>
            </w:pPr>
            <w:r w:rsidRPr="001B3B93">
              <w:rPr>
                <w:color w:val="874121" w:themeColor="accent2" w:themeShade="BF"/>
                <w:sz w:val="20"/>
                <w:szCs w:val="19"/>
              </w:rPr>
              <w:t xml:space="preserve">2. Effectiveness: </w:t>
            </w:r>
            <w:r w:rsidRPr="001B3B93">
              <w:rPr>
                <w:sz w:val="20"/>
                <w:szCs w:val="19"/>
              </w:rPr>
              <w:t>What approaches have proved most effective in building economic partnerships?</w:t>
            </w:r>
          </w:p>
        </w:tc>
      </w:tr>
      <w:tr w:rsidR="00EA3048" w:rsidRPr="001B3B93" w14:paraId="02715236"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nil"/>
            </w:tcBorders>
            <w:shd w:val="clear" w:color="auto" w:fill="FFFFFF" w:themeFill="background1"/>
          </w:tcPr>
          <w:p w14:paraId="21F656EC" w14:textId="77777777" w:rsidR="00EA3048" w:rsidRPr="001B3B93" w:rsidRDefault="00EA3048" w:rsidP="000C55B6">
            <w:pPr>
              <w:pStyle w:val="ListParagraph"/>
              <w:numPr>
                <w:ilvl w:val="0"/>
                <w:numId w:val="14"/>
              </w:numPr>
              <w:autoSpaceDE w:val="0"/>
              <w:autoSpaceDN w:val="0"/>
              <w:adjustRightInd w:val="0"/>
              <w:ind w:left="870"/>
              <w:rPr>
                <w:b w:val="0"/>
                <w:sz w:val="20"/>
                <w:szCs w:val="19"/>
              </w:rPr>
            </w:pPr>
            <w:r w:rsidRPr="001B3B93">
              <w:rPr>
                <w:b w:val="0"/>
                <w:sz w:val="20"/>
                <w:szCs w:val="19"/>
              </w:rPr>
              <w:t>What types of results has the Australian aid program been able to achieve through its shift towards economic partnerships?</w:t>
            </w:r>
          </w:p>
        </w:tc>
      </w:tr>
      <w:tr w:rsidR="00EA3048" w:rsidRPr="001B3B93" w14:paraId="4A9127E7"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nil"/>
            </w:tcBorders>
            <w:shd w:val="clear" w:color="auto" w:fill="FFFFFF" w:themeFill="background1"/>
          </w:tcPr>
          <w:p w14:paraId="506B971E" w14:textId="77777777" w:rsidR="00EA3048" w:rsidRPr="001B3B93" w:rsidRDefault="00EA3048" w:rsidP="000C55B6">
            <w:pPr>
              <w:pStyle w:val="ListParagraph"/>
              <w:numPr>
                <w:ilvl w:val="0"/>
                <w:numId w:val="14"/>
              </w:numPr>
              <w:autoSpaceDE w:val="0"/>
              <w:autoSpaceDN w:val="0"/>
              <w:adjustRightInd w:val="0"/>
              <w:ind w:left="870"/>
              <w:rPr>
                <w:b w:val="0"/>
                <w:sz w:val="20"/>
                <w:szCs w:val="19"/>
              </w:rPr>
            </w:pPr>
            <w:r w:rsidRPr="001B3B93">
              <w:rPr>
                <w:b w:val="0"/>
                <w:sz w:val="20"/>
                <w:szCs w:val="19"/>
              </w:rPr>
              <w:lastRenderedPageBreak/>
              <w:t>What strategies and approaches have proved most effective at leveraging other resources and building policies and institutions to support inclusive growth?</w:t>
            </w:r>
          </w:p>
        </w:tc>
      </w:tr>
      <w:tr w:rsidR="00EA3048" w:rsidRPr="001B3B93" w14:paraId="5408D2D7" w14:textId="77777777" w:rsidTr="00EA3048">
        <w:tc>
          <w:tcPr>
            <w:cnfStyle w:val="001000000000" w:firstRow="0" w:lastRow="0" w:firstColumn="1" w:lastColumn="0" w:oddVBand="0" w:evenVBand="0" w:oddHBand="0" w:evenHBand="0" w:firstRowFirstColumn="0" w:firstRowLastColumn="0" w:lastRowFirstColumn="0" w:lastRowLastColumn="0"/>
            <w:tcW w:w="10528" w:type="dxa"/>
            <w:tcBorders>
              <w:top w:val="nil"/>
              <w:bottom w:val="single" w:sz="4" w:space="0" w:color="auto"/>
            </w:tcBorders>
            <w:shd w:val="clear" w:color="auto" w:fill="FFFFFF" w:themeFill="background1"/>
          </w:tcPr>
          <w:p w14:paraId="3DB496C5" w14:textId="77777777" w:rsidR="00EA3048" w:rsidRPr="001B3B93" w:rsidRDefault="00EA3048" w:rsidP="000C55B6">
            <w:pPr>
              <w:pStyle w:val="ListParagraph"/>
              <w:numPr>
                <w:ilvl w:val="0"/>
                <w:numId w:val="14"/>
              </w:numPr>
              <w:autoSpaceDE w:val="0"/>
              <w:autoSpaceDN w:val="0"/>
              <w:adjustRightInd w:val="0"/>
              <w:spacing w:after="60"/>
              <w:ind w:left="867" w:hanging="357"/>
              <w:rPr>
                <w:b w:val="0"/>
                <w:sz w:val="20"/>
                <w:szCs w:val="19"/>
              </w:rPr>
            </w:pPr>
            <w:r w:rsidRPr="001B3B93">
              <w:rPr>
                <w:b w:val="0"/>
                <w:sz w:val="20"/>
                <w:szCs w:val="19"/>
              </w:rPr>
              <w:t>How well do DFAT’s systems and capacities facilitate its economic partnerships?</w:t>
            </w:r>
          </w:p>
        </w:tc>
      </w:tr>
    </w:tbl>
    <w:p w14:paraId="580FD8F2" w14:textId="5B3ECC1D" w:rsidR="00FE46DA" w:rsidRPr="001B3B93" w:rsidRDefault="00FE46DA" w:rsidP="00CF3C44">
      <w:pPr>
        <w:pStyle w:val="Heading3"/>
        <w:spacing w:before="200"/>
      </w:pPr>
      <w:bookmarkStart w:id="35" w:name="_Toc527712991"/>
      <w:r w:rsidRPr="001B3B93">
        <w:t>Evaluation methods</w:t>
      </w:r>
      <w:bookmarkEnd w:id="35"/>
      <w:r w:rsidR="0060151C" w:rsidRPr="001B3B93">
        <w:t xml:space="preserve"> </w:t>
      </w:r>
    </w:p>
    <w:p w14:paraId="7302A20A" w14:textId="79D1D2FC" w:rsidR="00B85ACA" w:rsidRPr="001B3B93" w:rsidRDefault="00DB54DE" w:rsidP="0055103C">
      <w:r w:rsidRPr="001B3B93">
        <w:t xml:space="preserve">The </w:t>
      </w:r>
      <w:r w:rsidR="004A5FA0" w:rsidRPr="001B3B93">
        <w:t xml:space="preserve">evaluation </w:t>
      </w:r>
      <w:r w:rsidR="0095561B" w:rsidRPr="001B3B93">
        <w:t>began with</w:t>
      </w:r>
      <w:r w:rsidR="004A5FA0" w:rsidRPr="001B3B93">
        <w:t xml:space="preserve"> an analysis of the changing context for Australia’s development cooperation in Asia. </w:t>
      </w:r>
      <w:r w:rsidR="00B85ACA" w:rsidRPr="001B3B93">
        <w:t>Through a literature review</w:t>
      </w:r>
      <w:r w:rsidR="00B752EA">
        <w:t>,</w:t>
      </w:r>
      <w:r w:rsidR="00B85ACA" w:rsidRPr="001B3B93">
        <w:t xml:space="preserve"> and drawing on DFAT</w:t>
      </w:r>
      <w:r w:rsidR="004A188A" w:rsidRPr="001B3B93">
        <w:t>’s</w:t>
      </w:r>
      <w:r w:rsidR="00B85ACA" w:rsidRPr="001B3B93">
        <w:t xml:space="preserve"> ongoing work with The Asia Foundation</w:t>
      </w:r>
      <w:r w:rsidR="00B752EA">
        <w:t>, the evaluation</w:t>
      </w:r>
      <w:r w:rsidR="00B85ACA" w:rsidRPr="001B3B93">
        <w:t xml:space="preserve"> </w:t>
      </w:r>
      <w:r w:rsidR="004A188A" w:rsidRPr="001B3B93">
        <w:t xml:space="preserve">examined </w:t>
      </w:r>
      <w:r w:rsidR="004A5FA0" w:rsidRPr="001B3B93">
        <w:t xml:space="preserve">the development challenges facing MICs and </w:t>
      </w:r>
      <w:r w:rsidR="00583598">
        <w:t xml:space="preserve">their </w:t>
      </w:r>
      <w:r w:rsidR="003F311E">
        <w:t xml:space="preserve">changing </w:t>
      </w:r>
      <w:r w:rsidR="004A5FA0" w:rsidRPr="001B3B93">
        <w:t>development finance</w:t>
      </w:r>
      <w:r w:rsidR="004A0755">
        <w:t xml:space="preserve"> needs</w:t>
      </w:r>
      <w:r w:rsidR="004A5FA0" w:rsidRPr="001B3B93">
        <w:t xml:space="preserve">. </w:t>
      </w:r>
      <w:r w:rsidR="003F311E">
        <w:t>As comparators, i</w:t>
      </w:r>
      <w:r w:rsidR="004A5FA0" w:rsidRPr="001B3B93">
        <w:t xml:space="preserve">t </w:t>
      </w:r>
      <w:r w:rsidR="00A328BC">
        <w:t>considered</w:t>
      </w:r>
      <w:r w:rsidR="00A328BC" w:rsidRPr="001B3B93">
        <w:t xml:space="preserve"> </w:t>
      </w:r>
      <w:r w:rsidR="004A5FA0" w:rsidRPr="001B3B93">
        <w:t xml:space="preserve">how </w:t>
      </w:r>
      <w:r w:rsidR="003F311E">
        <w:t xml:space="preserve">a group of </w:t>
      </w:r>
      <w:r w:rsidR="00583598">
        <w:t xml:space="preserve">like-minded </w:t>
      </w:r>
      <w:r w:rsidR="004A5FA0" w:rsidRPr="001B3B93">
        <w:t>bilateral donors</w:t>
      </w:r>
      <w:r w:rsidR="00B752EA">
        <w:t>—specifically, Canada,</w:t>
      </w:r>
      <w:r w:rsidR="00EF6C2F">
        <w:t xml:space="preserve"> </w:t>
      </w:r>
      <w:r w:rsidR="00583598">
        <w:t xml:space="preserve">Denmark, the Netherlands, </w:t>
      </w:r>
      <w:r w:rsidR="00B752EA">
        <w:t>Sweden</w:t>
      </w:r>
      <w:r w:rsidR="00583598">
        <w:t xml:space="preserve"> and the United Kingdom</w:t>
      </w:r>
      <w:r w:rsidR="00B752EA">
        <w:t>—</w:t>
      </w:r>
      <w:r w:rsidR="008C16AB">
        <w:t xml:space="preserve">are adapting the amounts, types and objectives of </w:t>
      </w:r>
      <w:r w:rsidR="00B85ACA" w:rsidRPr="001B3B93">
        <w:t xml:space="preserve">development assistance to </w:t>
      </w:r>
      <w:r w:rsidR="00137988">
        <w:t>MICs</w:t>
      </w:r>
      <w:r w:rsidR="008C16AB">
        <w:t>, b</w:t>
      </w:r>
      <w:r w:rsidR="003F311E">
        <w:t xml:space="preserve">ased </w:t>
      </w:r>
      <w:r w:rsidR="00583598">
        <w:t xml:space="preserve">on development </w:t>
      </w:r>
      <w:r w:rsidR="003F311E">
        <w:t xml:space="preserve">policies </w:t>
      </w:r>
      <w:r w:rsidR="00583598">
        <w:t>and other published sources</w:t>
      </w:r>
      <w:r w:rsidR="00A328BC">
        <w:t xml:space="preserve">. As </w:t>
      </w:r>
      <w:r w:rsidR="008C16AB">
        <w:t xml:space="preserve">these </w:t>
      </w:r>
      <w:r w:rsidR="00A328BC">
        <w:t xml:space="preserve">changes to the context </w:t>
      </w:r>
      <w:r w:rsidR="008C16AB">
        <w:t xml:space="preserve">for development assistance </w:t>
      </w:r>
      <w:r w:rsidR="00A328BC">
        <w:t xml:space="preserve">are </w:t>
      </w:r>
      <w:r w:rsidR="008C16AB">
        <w:t xml:space="preserve">important </w:t>
      </w:r>
      <w:r w:rsidR="00A328BC">
        <w:t xml:space="preserve">to the evaluation conclusions, they are </w:t>
      </w:r>
      <w:r w:rsidR="00B752EA">
        <w:t>detailed</w:t>
      </w:r>
      <w:r w:rsidR="004A0755">
        <w:t xml:space="preserve"> in </w:t>
      </w:r>
      <w:r w:rsidR="00B752EA">
        <w:t>C</w:t>
      </w:r>
      <w:r w:rsidR="00A328BC">
        <w:t>hapter 2.</w:t>
      </w:r>
    </w:p>
    <w:p w14:paraId="7422E2AC" w14:textId="4AD580BD" w:rsidR="0091363E" w:rsidRDefault="0095561B">
      <w:r w:rsidRPr="001B3B93">
        <w:t xml:space="preserve">The </w:t>
      </w:r>
      <w:r w:rsidR="00127003" w:rsidRPr="001B3B93">
        <w:t xml:space="preserve">evaluation’s </w:t>
      </w:r>
      <w:r w:rsidRPr="001B3B93">
        <w:t xml:space="preserve">core </w:t>
      </w:r>
      <w:r w:rsidR="00127003" w:rsidRPr="001B3B93">
        <w:t>focus</w:t>
      </w:r>
      <w:r w:rsidRPr="001B3B93">
        <w:t xml:space="preserve"> was case studies of Australia’s </w:t>
      </w:r>
      <w:r w:rsidR="00FE6E07" w:rsidRPr="001B3B93">
        <w:t>aid to</w:t>
      </w:r>
      <w:r w:rsidRPr="001B3B93">
        <w:t xml:space="preserve"> Indonesia and Vietnam</w:t>
      </w:r>
      <w:r w:rsidR="00480EF9">
        <w:t>, with one-week visits to each in August 2017,</w:t>
      </w:r>
      <w:r w:rsidR="00127003" w:rsidRPr="001B3B93">
        <w:t xml:space="preserve"> </w:t>
      </w:r>
      <w:r w:rsidR="00172E76" w:rsidRPr="001B3B93">
        <w:t xml:space="preserve">and </w:t>
      </w:r>
      <w:r w:rsidR="004A0755">
        <w:t xml:space="preserve">a desk review </w:t>
      </w:r>
      <w:r w:rsidR="00172E76" w:rsidRPr="001B3B93">
        <w:t>of aspects of the South</w:t>
      </w:r>
      <w:r w:rsidR="00FA38AC">
        <w:t>e</w:t>
      </w:r>
      <w:r w:rsidR="00172E76" w:rsidRPr="001B3B93">
        <w:t>ast Asia Regional aid program</w:t>
      </w:r>
      <w:r w:rsidR="00392260" w:rsidRPr="001B3B93">
        <w:t xml:space="preserve">. </w:t>
      </w:r>
      <w:r w:rsidR="00FA38AC">
        <w:t xml:space="preserve">The evaluation team </w:t>
      </w:r>
      <w:r w:rsidR="0091363E" w:rsidRPr="0091363E">
        <w:t xml:space="preserve">reviewed a sample of 14 programs (Annex A), selected from a list identified by </w:t>
      </w:r>
      <w:r w:rsidR="00B70A58">
        <w:t xml:space="preserve">Bangkok, Hanoi and </w:t>
      </w:r>
      <w:r w:rsidR="00FA38AC">
        <w:t>Jakarta posts</w:t>
      </w:r>
      <w:r w:rsidR="0091363E" w:rsidRPr="0091363E">
        <w:t xml:space="preserve"> as characteristic of how Australian aid has evolved within economic partnerships.</w:t>
      </w:r>
      <w:r w:rsidR="0091363E" w:rsidRPr="0091363E">
        <w:rPr>
          <w:vertAlign w:val="superscript"/>
        </w:rPr>
        <w:footnoteReference w:id="9"/>
      </w:r>
      <w:r w:rsidR="0091363E" w:rsidRPr="0091363E">
        <w:t xml:space="preserve"> The sample was chosen to cover </w:t>
      </w:r>
      <w:r w:rsidR="00B752EA">
        <w:t>the</w:t>
      </w:r>
      <w:r w:rsidR="0091363E" w:rsidRPr="0091363E">
        <w:t xml:space="preserve"> subject areas </w:t>
      </w:r>
      <w:r w:rsidR="00B752EA">
        <w:t xml:space="preserve">of </w:t>
      </w:r>
      <w:r w:rsidR="0091363E" w:rsidRPr="0091363E">
        <w:t>economic governance</w:t>
      </w:r>
      <w:r w:rsidR="00B752EA">
        <w:t>,</w:t>
      </w:r>
      <w:r w:rsidR="0091363E" w:rsidRPr="0091363E">
        <w:t xml:space="preserve"> social protection</w:t>
      </w:r>
      <w:r w:rsidR="00B752EA">
        <w:t>,</w:t>
      </w:r>
      <w:r w:rsidR="0091363E" w:rsidRPr="0091363E">
        <w:t xml:space="preserve"> infrastructure</w:t>
      </w:r>
      <w:r w:rsidR="00B752EA">
        <w:t xml:space="preserve"> and </w:t>
      </w:r>
      <w:r w:rsidR="0091363E" w:rsidRPr="0091363E">
        <w:t>the business environment</w:t>
      </w:r>
      <w:r w:rsidR="00B752EA">
        <w:t xml:space="preserve"> as well as</w:t>
      </w:r>
      <w:r w:rsidR="0091363E" w:rsidRPr="0091363E">
        <w:t xml:space="preserve"> approaches to knowledge-based assistance.</w:t>
      </w:r>
    </w:p>
    <w:p w14:paraId="6D4BF5AB" w14:textId="27E0BFEC" w:rsidR="0091363E" w:rsidRDefault="00B72C8C">
      <w:r>
        <w:t xml:space="preserve">In each country, </w:t>
      </w:r>
      <w:r w:rsidR="00FA38AC">
        <w:t xml:space="preserve">the evaluation team </w:t>
      </w:r>
      <w:r w:rsidR="006D3009">
        <w:t>interviewed DFAT staff</w:t>
      </w:r>
      <w:r w:rsidR="00000756">
        <w:t>,</w:t>
      </w:r>
      <w:r w:rsidR="002B0510">
        <w:t xml:space="preserve"> key stakeholders from government </w:t>
      </w:r>
      <w:r w:rsidR="00000756">
        <w:t xml:space="preserve">and other development partners </w:t>
      </w:r>
      <w:r w:rsidR="002B0510">
        <w:t>on their understanding of economic partnership</w:t>
      </w:r>
      <w:r w:rsidR="00000756">
        <w:t xml:space="preserve"> and the role of knowledge-based assistance</w:t>
      </w:r>
      <w:r w:rsidR="002B0510">
        <w:t xml:space="preserve">. For each </w:t>
      </w:r>
      <w:r w:rsidR="00000756">
        <w:t xml:space="preserve">of the programs in </w:t>
      </w:r>
      <w:r w:rsidR="00B752EA">
        <w:t xml:space="preserve">the </w:t>
      </w:r>
      <w:r w:rsidR="00000756">
        <w:t xml:space="preserve">sample, </w:t>
      </w:r>
      <w:r w:rsidR="00FA38AC">
        <w:t>the evaluation team</w:t>
      </w:r>
      <w:r w:rsidR="00B752EA">
        <w:t xml:space="preserve"> </w:t>
      </w:r>
      <w:r w:rsidR="00000756">
        <w:t>reviewed program documentation and interviewed the responsible DFAT staff, implementing partners</w:t>
      </w:r>
      <w:r w:rsidR="00C763F0">
        <w:t>, national counterparts and other partners.</w:t>
      </w:r>
      <w:r w:rsidR="00FA38AC">
        <w:t xml:space="preserve"> The evaluation team</w:t>
      </w:r>
      <w:r w:rsidR="00B752EA" w:rsidRPr="0091363E">
        <w:t xml:space="preserve"> </w:t>
      </w:r>
      <w:r w:rsidR="0091363E">
        <w:t xml:space="preserve">also </w:t>
      </w:r>
      <w:r w:rsidR="0091363E" w:rsidRPr="0091363E">
        <w:t>conducted two visits to DFAT in Canberra</w:t>
      </w:r>
      <w:r w:rsidR="0091363E">
        <w:t xml:space="preserve">, interviewing key stakeholders from across the department </w:t>
      </w:r>
      <w:r w:rsidR="00C763F0">
        <w:t>and conducting two consultation</w:t>
      </w:r>
      <w:r w:rsidR="005C4F2E">
        <w:t>s</w:t>
      </w:r>
      <w:r w:rsidR="00C763F0">
        <w:t xml:space="preserve">, including a final workshop on the evaluation findings and recommendations. Altogether, around </w:t>
      </w:r>
      <w:r w:rsidR="00760EB8">
        <w:t>130</w:t>
      </w:r>
      <w:r w:rsidR="00C763F0">
        <w:t xml:space="preserve"> key stakeholders</w:t>
      </w:r>
      <w:r w:rsidR="003529C8">
        <w:t xml:space="preserve"> </w:t>
      </w:r>
      <w:r w:rsidR="00FA38AC">
        <w:t xml:space="preserve">were interviewed </w:t>
      </w:r>
      <w:r w:rsidR="003529C8">
        <w:t>(Table 1)</w:t>
      </w:r>
      <w:r w:rsidR="00C763F0">
        <w:t>.</w:t>
      </w:r>
    </w:p>
    <w:p w14:paraId="0980DAFC" w14:textId="4222D570" w:rsidR="0086440F" w:rsidRDefault="0086440F" w:rsidP="0055103C">
      <w:r>
        <w:t xml:space="preserve">Assessing the results of knowledge-based assistance is challenging, owing to the complexities of national policy processes. </w:t>
      </w:r>
      <w:r w:rsidR="00FA38AC">
        <w:t xml:space="preserve">The evidence in this evaluation </w:t>
      </w:r>
      <w:r w:rsidR="000C0828">
        <w:t>is</w:t>
      </w:r>
      <w:r>
        <w:t xml:space="preserve"> drawn from program reporting and interviews with the responsible DFAT staff, </w:t>
      </w:r>
      <w:r w:rsidR="00257E7E">
        <w:t xml:space="preserve">triangulated to the extent possible with documentary evidence and feedback </w:t>
      </w:r>
      <w:r w:rsidR="000C0828">
        <w:t>from</w:t>
      </w:r>
      <w:r w:rsidR="00257E7E">
        <w:t xml:space="preserve"> national stakeholders. However, the evaluation was not designed to test all results claims rigorously and there may be some risk of positive bias.</w:t>
      </w:r>
    </w:p>
    <w:p w14:paraId="410296FC" w14:textId="77777777" w:rsidR="0025026D" w:rsidRDefault="0025026D" w:rsidP="0055103C"/>
    <w:p w14:paraId="5B8A6019" w14:textId="58CA5E67" w:rsidR="00C34B7A" w:rsidRDefault="00C34B7A" w:rsidP="00CB151B">
      <w:pPr>
        <w:pStyle w:val="Tablehead"/>
      </w:pPr>
      <w:bookmarkStart w:id="36" w:name="_Toc527452041"/>
      <w:r w:rsidRPr="00C34B7A">
        <w:t xml:space="preserve">Table </w:t>
      </w:r>
      <w:r w:rsidR="0030010F">
        <w:rPr>
          <w:noProof/>
        </w:rPr>
        <w:fldChar w:fldCharType="begin"/>
      </w:r>
      <w:r w:rsidR="0030010F">
        <w:rPr>
          <w:noProof/>
        </w:rPr>
        <w:instrText xml:space="preserve"> SEQ Table \* ARABIC </w:instrText>
      </w:r>
      <w:r w:rsidR="0030010F">
        <w:rPr>
          <w:noProof/>
        </w:rPr>
        <w:fldChar w:fldCharType="separate"/>
      </w:r>
      <w:r>
        <w:rPr>
          <w:noProof/>
        </w:rPr>
        <w:t>1</w:t>
      </w:r>
      <w:r w:rsidR="0030010F">
        <w:rPr>
          <w:noProof/>
        </w:rPr>
        <w:fldChar w:fldCharType="end"/>
      </w:r>
      <w:r w:rsidRPr="00C34B7A">
        <w:t xml:space="preserve">: Key </w:t>
      </w:r>
      <w:r w:rsidRPr="00CB151B">
        <w:t>stakeholders interviewed for</w:t>
      </w:r>
      <w:r w:rsidRPr="00C34B7A">
        <w:t xml:space="preserve"> this evaluation</w:t>
      </w:r>
      <w:bookmarkEnd w:id="36"/>
    </w:p>
    <w:tbl>
      <w:tblPr>
        <w:tblStyle w:val="TableGrid11"/>
        <w:tblW w:w="10065" w:type="dxa"/>
        <w:tblLayout w:type="fixed"/>
        <w:tblLook w:val="04A0" w:firstRow="1" w:lastRow="0" w:firstColumn="1" w:lastColumn="0" w:noHBand="0" w:noVBand="1"/>
      </w:tblPr>
      <w:tblGrid>
        <w:gridCol w:w="5670"/>
        <w:gridCol w:w="1134"/>
        <w:gridCol w:w="1276"/>
        <w:gridCol w:w="1125"/>
        <w:gridCol w:w="860"/>
      </w:tblGrid>
      <w:tr w:rsidR="008D0F1E" w:rsidRPr="008D0F1E" w14:paraId="60B40F6A" w14:textId="77777777" w:rsidTr="00252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AF01381" w14:textId="77777777" w:rsidR="008D0F1E" w:rsidRPr="008D0F1E" w:rsidRDefault="008D0F1E" w:rsidP="008D0F1E">
            <w:pPr>
              <w:rPr>
                <w:rFonts w:ascii="Calibri" w:eastAsia="Calibri" w:hAnsi="Calibri" w:cs="Arial"/>
                <w:b/>
                <w:bCs/>
                <w:color w:val="FFFFFF"/>
              </w:rPr>
            </w:pPr>
            <w:r w:rsidRPr="008D0F1E">
              <w:rPr>
                <w:rFonts w:ascii="Calibri" w:eastAsia="Calibri" w:hAnsi="Calibri" w:cs="Arial"/>
                <w:b/>
                <w:bCs/>
                <w:color w:val="FFFFFF"/>
              </w:rPr>
              <w:t>Stakeholder group</w:t>
            </w:r>
          </w:p>
        </w:tc>
        <w:tc>
          <w:tcPr>
            <w:tcW w:w="1134" w:type="dxa"/>
          </w:tcPr>
          <w:p w14:paraId="672942BB" w14:textId="77777777" w:rsidR="008D0F1E" w:rsidRPr="008D0F1E" w:rsidRDefault="008D0F1E" w:rsidP="008D0F1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bCs/>
                <w:color w:val="FFFFFF"/>
              </w:rPr>
            </w:pPr>
            <w:r w:rsidRPr="008D0F1E">
              <w:rPr>
                <w:rFonts w:ascii="Calibri" w:eastAsia="Calibri" w:hAnsi="Calibri" w:cs="Arial"/>
                <w:b/>
                <w:bCs/>
                <w:color w:val="FFFFFF"/>
              </w:rPr>
              <w:t>Canberra</w:t>
            </w:r>
          </w:p>
        </w:tc>
        <w:tc>
          <w:tcPr>
            <w:tcW w:w="1276" w:type="dxa"/>
          </w:tcPr>
          <w:p w14:paraId="34F1FE57" w14:textId="77777777" w:rsidR="008D0F1E" w:rsidRPr="008D0F1E" w:rsidRDefault="008D0F1E" w:rsidP="008D0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color w:val="FFFFFF"/>
                <w:szCs w:val="23"/>
              </w:rPr>
            </w:pPr>
            <w:r w:rsidRPr="008D0F1E">
              <w:rPr>
                <w:rFonts w:ascii="Calibri" w:eastAsia="Calibri" w:hAnsi="Calibri" w:cs="Arial"/>
                <w:b/>
                <w:color w:val="FFFFFF"/>
                <w:szCs w:val="23"/>
              </w:rPr>
              <w:t>Indonesia</w:t>
            </w:r>
          </w:p>
        </w:tc>
        <w:tc>
          <w:tcPr>
            <w:tcW w:w="1125" w:type="dxa"/>
          </w:tcPr>
          <w:p w14:paraId="42B7137E" w14:textId="77777777" w:rsidR="008D0F1E" w:rsidRPr="008D0F1E" w:rsidRDefault="008D0F1E" w:rsidP="008D0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color w:val="FFFFFF"/>
                <w:szCs w:val="23"/>
              </w:rPr>
            </w:pPr>
            <w:r w:rsidRPr="008D0F1E">
              <w:rPr>
                <w:rFonts w:ascii="Calibri" w:eastAsia="Calibri" w:hAnsi="Calibri" w:cs="Arial"/>
                <w:b/>
                <w:color w:val="FFFFFF"/>
                <w:szCs w:val="23"/>
              </w:rPr>
              <w:t>Vietnam</w:t>
            </w:r>
          </w:p>
        </w:tc>
        <w:tc>
          <w:tcPr>
            <w:tcW w:w="860" w:type="dxa"/>
          </w:tcPr>
          <w:p w14:paraId="047391FB" w14:textId="77777777" w:rsidR="008D0F1E" w:rsidRPr="008D0F1E" w:rsidRDefault="008D0F1E" w:rsidP="00771D96">
            <w:pPr>
              <w:ind w:left="-10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color w:val="FFFFFF"/>
                <w:szCs w:val="23"/>
              </w:rPr>
            </w:pPr>
            <w:r w:rsidRPr="008D0F1E">
              <w:rPr>
                <w:rFonts w:ascii="Calibri" w:eastAsia="Calibri" w:hAnsi="Calibri" w:cs="Arial"/>
                <w:b/>
                <w:color w:val="FFFFFF"/>
                <w:szCs w:val="23"/>
              </w:rPr>
              <w:t>Total</w:t>
            </w:r>
          </w:p>
        </w:tc>
      </w:tr>
      <w:tr w:rsidR="008D0F1E" w:rsidRPr="008D0F1E" w14:paraId="491BA2C3" w14:textId="77777777" w:rsidTr="00252555">
        <w:tc>
          <w:tcPr>
            <w:cnfStyle w:val="001000000000" w:firstRow="0" w:lastRow="0" w:firstColumn="1" w:lastColumn="0" w:oddVBand="0" w:evenVBand="0" w:oddHBand="0" w:evenHBand="0" w:firstRowFirstColumn="0" w:firstRowLastColumn="0" w:lastRowFirstColumn="0" w:lastRowLastColumn="0"/>
            <w:tcW w:w="5670" w:type="dxa"/>
          </w:tcPr>
          <w:p w14:paraId="76C04F6A" w14:textId="77777777" w:rsidR="008D0F1E" w:rsidRPr="008D0F1E" w:rsidRDefault="008D0F1E" w:rsidP="008D0F1E">
            <w:pPr>
              <w:rPr>
                <w:rFonts w:ascii="Calibri" w:eastAsia="Calibri" w:hAnsi="Calibri" w:cs="Arial"/>
              </w:rPr>
            </w:pPr>
            <w:r w:rsidRPr="008D0F1E">
              <w:rPr>
                <w:rFonts w:ascii="Calibri" w:eastAsia="Calibri" w:hAnsi="Calibri" w:cs="Arial"/>
              </w:rPr>
              <w:t>DFAT</w:t>
            </w:r>
          </w:p>
        </w:tc>
        <w:tc>
          <w:tcPr>
            <w:tcW w:w="1134" w:type="dxa"/>
          </w:tcPr>
          <w:p w14:paraId="4AB383A7"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8D0F1E">
              <w:rPr>
                <w:rFonts w:ascii="Calibri" w:eastAsia="Calibri" w:hAnsi="Calibri" w:cs="Arial"/>
              </w:rPr>
              <w:t>19</w:t>
            </w:r>
          </w:p>
        </w:tc>
        <w:tc>
          <w:tcPr>
            <w:tcW w:w="1276" w:type="dxa"/>
          </w:tcPr>
          <w:p w14:paraId="63CE781B"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24</w:t>
            </w:r>
          </w:p>
        </w:tc>
        <w:tc>
          <w:tcPr>
            <w:tcW w:w="1125" w:type="dxa"/>
          </w:tcPr>
          <w:p w14:paraId="02E286DE"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13</w:t>
            </w:r>
          </w:p>
        </w:tc>
        <w:tc>
          <w:tcPr>
            <w:tcW w:w="860" w:type="dxa"/>
          </w:tcPr>
          <w:p w14:paraId="475CAB12" w14:textId="77777777" w:rsidR="008D0F1E" w:rsidRPr="008D0F1E" w:rsidRDefault="008D0F1E" w:rsidP="00771D96">
            <w:pPr>
              <w:ind w:left="27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56</w:t>
            </w:r>
          </w:p>
        </w:tc>
      </w:tr>
      <w:tr w:rsidR="008D0F1E" w:rsidRPr="008D0F1E" w14:paraId="287D5F1B" w14:textId="77777777" w:rsidTr="00252555">
        <w:tc>
          <w:tcPr>
            <w:cnfStyle w:val="001000000000" w:firstRow="0" w:lastRow="0" w:firstColumn="1" w:lastColumn="0" w:oddVBand="0" w:evenVBand="0" w:oddHBand="0" w:evenHBand="0" w:firstRowFirstColumn="0" w:firstRowLastColumn="0" w:lastRowFirstColumn="0" w:lastRowLastColumn="0"/>
            <w:tcW w:w="5670" w:type="dxa"/>
          </w:tcPr>
          <w:p w14:paraId="443FFFC9" w14:textId="77777777" w:rsidR="008D0F1E" w:rsidRPr="008D0F1E" w:rsidRDefault="008D0F1E" w:rsidP="008D0F1E">
            <w:pPr>
              <w:rPr>
                <w:rFonts w:ascii="Calibri" w:eastAsia="Calibri" w:hAnsi="Calibri" w:cs="Arial"/>
              </w:rPr>
            </w:pPr>
            <w:r w:rsidRPr="008D0F1E">
              <w:rPr>
                <w:rFonts w:ascii="Calibri" w:eastAsia="Calibri" w:hAnsi="Calibri" w:cs="Arial"/>
              </w:rPr>
              <w:t>Other Australian government departments</w:t>
            </w:r>
          </w:p>
        </w:tc>
        <w:tc>
          <w:tcPr>
            <w:tcW w:w="1134" w:type="dxa"/>
          </w:tcPr>
          <w:p w14:paraId="66449FE7"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276" w:type="dxa"/>
          </w:tcPr>
          <w:p w14:paraId="71B7519B"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3</w:t>
            </w:r>
          </w:p>
        </w:tc>
        <w:tc>
          <w:tcPr>
            <w:tcW w:w="1125" w:type="dxa"/>
          </w:tcPr>
          <w:p w14:paraId="20C2AEB5"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5</w:t>
            </w:r>
          </w:p>
        </w:tc>
        <w:tc>
          <w:tcPr>
            <w:tcW w:w="860" w:type="dxa"/>
          </w:tcPr>
          <w:p w14:paraId="67B511EB" w14:textId="77777777" w:rsidR="008D0F1E" w:rsidRPr="008D0F1E" w:rsidRDefault="008D0F1E" w:rsidP="00771D96">
            <w:pPr>
              <w:ind w:left="27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8</w:t>
            </w:r>
          </w:p>
        </w:tc>
      </w:tr>
      <w:tr w:rsidR="008D0F1E" w:rsidRPr="008D0F1E" w14:paraId="09FEE5C8" w14:textId="77777777" w:rsidTr="00252555">
        <w:tc>
          <w:tcPr>
            <w:cnfStyle w:val="001000000000" w:firstRow="0" w:lastRow="0" w:firstColumn="1" w:lastColumn="0" w:oddVBand="0" w:evenVBand="0" w:oddHBand="0" w:evenHBand="0" w:firstRowFirstColumn="0" w:firstRowLastColumn="0" w:lastRowFirstColumn="0" w:lastRowLastColumn="0"/>
            <w:tcW w:w="5670" w:type="dxa"/>
          </w:tcPr>
          <w:p w14:paraId="6CB65683" w14:textId="77777777" w:rsidR="008D0F1E" w:rsidRPr="008D0F1E" w:rsidRDefault="008D0F1E" w:rsidP="008D0F1E">
            <w:pPr>
              <w:rPr>
                <w:rFonts w:ascii="Calibri" w:eastAsia="Calibri" w:hAnsi="Calibri" w:cs="Arial"/>
              </w:rPr>
            </w:pPr>
            <w:r w:rsidRPr="008D0F1E">
              <w:rPr>
                <w:rFonts w:ascii="Calibri" w:eastAsia="Calibri" w:hAnsi="Calibri" w:cs="Arial"/>
              </w:rPr>
              <w:t>Government officials</w:t>
            </w:r>
          </w:p>
          <w:p w14:paraId="2A21D946" w14:textId="5E04C463" w:rsidR="008D0F1E" w:rsidRPr="00FA38AC" w:rsidRDefault="008D0F1E" w:rsidP="008D0F1E">
            <w:pPr>
              <w:spacing w:before="60" w:after="60"/>
              <w:ind w:left="240"/>
              <w:rPr>
                <w:rFonts w:ascii="Calibri" w:eastAsia="Calibri" w:hAnsi="Calibri" w:cs="Arial"/>
              </w:rPr>
            </w:pPr>
            <w:r w:rsidRPr="00FA38AC">
              <w:rPr>
                <w:rFonts w:ascii="Calibri" w:eastAsia="Calibri" w:hAnsi="Calibri" w:cs="Arial"/>
                <w:b/>
                <w:color w:val="296C60"/>
                <w:szCs w:val="23"/>
              </w:rPr>
              <w:lastRenderedPageBreak/>
              <w:t>Indonesia:</w:t>
            </w:r>
            <w:r w:rsidRPr="00FA38AC">
              <w:rPr>
                <w:rFonts w:ascii="Calibri" w:eastAsia="Calibri" w:hAnsi="Calibri" w:cs="Arial"/>
              </w:rPr>
              <w:t xml:space="preserve"> Ministry of National Development Planning (BAPPENAS)</w:t>
            </w:r>
            <w:r w:rsidR="00B752EA">
              <w:rPr>
                <w:rFonts w:ascii="Calibri" w:eastAsia="Calibri" w:hAnsi="Calibri" w:cs="Arial"/>
              </w:rPr>
              <w:t>,</w:t>
            </w:r>
            <w:r w:rsidRPr="00FA38AC">
              <w:rPr>
                <w:rFonts w:ascii="Calibri" w:eastAsia="Calibri" w:hAnsi="Calibri" w:cs="Arial"/>
              </w:rPr>
              <w:t xml:space="preserve"> Coordinating Ministry for Economic Affairs</w:t>
            </w:r>
            <w:r w:rsidR="00B752EA">
              <w:rPr>
                <w:rFonts w:ascii="Calibri" w:eastAsia="Calibri" w:hAnsi="Calibri" w:cs="Arial"/>
              </w:rPr>
              <w:t>,</w:t>
            </w:r>
            <w:r w:rsidRPr="00FA38AC">
              <w:rPr>
                <w:rFonts w:ascii="Calibri" w:eastAsia="Calibri" w:hAnsi="Calibri" w:cs="Arial"/>
              </w:rPr>
              <w:t xml:space="preserve"> Ministry of Finance</w:t>
            </w:r>
            <w:r w:rsidR="00B752EA">
              <w:rPr>
                <w:rFonts w:ascii="Calibri" w:eastAsia="Calibri" w:hAnsi="Calibri" w:cs="Arial"/>
              </w:rPr>
              <w:t>,</w:t>
            </w:r>
            <w:r w:rsidRPr="00FA38AC">
              <w:rPr>
                <w:rFonts w:ascii="Calibri" w:eastAsia="Calibri" w:hAnsi="Calibri" w:cs="Arial"/>
              </w:rPr>
              <w:t xml:space="preserve"> Indonesian Financial Transaction Reports and Analysis Centr</w:t>
            </w:r>
            <w:r w:rsidR="00760EB8" w:rsidRPr="00FA38AC">
              <w:rPr>
                <w:rFonts w:ascii="Calibri" w:eastAsia="Calibri" w:hAnsi="Calibri" w:cs="Arial"/>
              </w:rPr>
              <w:t>e</w:t>
            </w:r>
          </w:p>
          <w:p w14:paraId="6F992BAB" w14:textId="475D538C" w:rsidR="008D0F1E" w:rsidRPr="008D0F1E" w:rsidRDefault="008D0F1E" w:rsidP="008D0F1E">
            <w:pPr>
              <w:spacing w:before="60" w:after="60"/>
              <w:ind w:left="240"/>
              <w:rPr>
                <w:rFonts w:ascii="Calibri" w:eastAsia="Calibri" w:hAnsi="Calibri" w:cs="Arial"/>
              </w:rPr>
            </w:pPr>
            <w:r w:rsidRPr="00FA38AC">
              <w:rPr>
                <w:rFonts w:ascii="Calibri" w:eastAsia="Calibri" w:hAnsi="Calibri" w:cs="Arial"/>
                <w:b/>
                <w:color w:val="296C60"/>
                <w:szCs w:val="23"/>
              </w:rPr>
              <w:t>Vietnam:</w:t>
            </w:r>
            <w:r w:rsidRPr="00FA38AC">
              <w:rPr>
                <w:rFonts w:ascii="Calibri" w:eastAsia="Calibri" w:hAnsi="Calibri" w:cs="Arial"/>
              </w:rPr>
              <w:t xml:space="preserve"> Ministry of Planning and Investment</w:t>
            </w:r>
            <w:r w:rsidR="00B752EA">
              <w:rPr>
                <w:rFonts w:ascii="Calibri" w:eastAsia="Calibri" w:hAnsi="Calibri" w:cs="Arial"/>
              </w:rPr>
              <w:t>,</w:t>
            </w:r>
            <w:r w:rsidRPr="00FA38AC">
              <w:rPr>
                <w:rFonts w:ascii="Calibri" w:eastAsia="Calibri" w:hAnsi="Calibri" w:cs="Arial"/>
              </w:rPr>
              <w:t xml:space="preserve"> Ministry of Foreign Affairs</w:t>
            </w:r>
            <w:r w:rsidR="00B752EA">
              <w:rPr>
                <w:rFonts w:ascii="Calibri" w:eastAsia="Calibri" w:hAnsi="Calibri" w:cs="Arial"/>
              </w:rPr>
              <w:t>,</w:t>
            </w:r>
            <w:r w:rsidRPr="00FA38AC">
              <w:rPr>
                <w:rFonts w:ascii="Calibri" w:eastAsia="Calibri" w:hAnsi="Calibri" w:cs="Arial"/>
              </w:rPr>
              <w:t xml:space="preserve"> Ministry of Finance</w:t>
            </w:r>
            <w:r w:rsidR="00B752EA">
              <w:rPr>
                <w:rFonts w:ascii="Calibri" w:eastAsia="Calibri" w:hAnsi="Calibri" w:cs="Arial"/>
              </w:rPr>
              <w:t>,</w:t>
            </w:r>
            <w:r w:rsidRPr="00FA38AC">
              <w:rPr>
                <w:rFonts w:ascii="Calibri" w:eastAsia="Calibri" w:hAnsi="Calibri" w:cs="Arial"/>
              </w:rPr>
              <w:t xml:space="preserve"> Ministry of Industry and Trade</w:t>
            </w:r>
            <w:r w:rsidR="00B752EA">
              <w:rPr>
                <w:rFonts w:ascii="Calibri" w:eastAsia="Calibri" w:hAnsi="Calibri" w:cs="Arial"/>
              </w:rPr>
              <w:t>,</w:t>
            </w:r>
            <w:r w:rsidRPr="00FA38AC">
              <w:rPr>
                <w:rFonts w:ascii="Calibri" w:eastAsia="Calibri" w:hAnsi="Calibri" w:cs="Arial"/>
              </w:rPr>
              <w:t xml:space="preserve"> Ministry of Transport</w:t>
            </w:r>
            <w:r w:rsidR="00B752EA">
              <w:rPr>
                <w:rFonts w:ascii="Calibri" w:eastAsia="Calibri" w:hAnsi="Calibri" w:cs="Arial"/>
              </w:rPr>
              <w:t>,</w:t>
            </w:r>
            <w:r w:rsidRPr="00FA38AC">
              <w:rPr>
                <w:rFonts w:ascii="Calibri" w:eastAsia="Calibri" w:hAnsi="Calibri" w:cs="Arial"/>
              </w:rPr>
              <w:t xml:space="preserve"> Vietnam Competition Authority. Quasi-government bodies: Vietnam Business Forum; Central Institute for Economic Management</w:t>
            </w:r>
          </w:p>
        </w:tc>
        <w:tc>
          <w:tcPr>
            <w:tcW w:w="1134" w:type="dxa"/>
          </w:tcPr>
          <w:p w14:paraId="622D25C5" w14:textId="77777777" w:rsidR="008D0F1E" w:rsidRPr="008D0F1E" w:rsidDel="005734DC"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276" w:type="dxa"/>
          </w:tcPr>
          <w:p w14:paraId="790EF112"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6</w:t>
            </w:r>
          </w:p>
        </w:tc>
        <w:tc>
          <w:tcPr>
            <w:tcW w:w="1125" w:type="dxa"/>
          </w:tcPr>
          <w:p w14:paraId="4D433F11"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14</w:t>
            </w:r>
          </w:p>
        </w:tc>
        <w:tc>
          <w:tcPr>
            <w:tcW w:w="860" w:type="dxa"/>
          </w:tcPr>
          <w:p w14:paraId="27D74F03" w14:textId="77777777" w:rsidR="008D0F1E" w:rsidRPr="008D0F1E" w:rsidRDefault="008D0F1E" w:rsidP="00771D96">
            <w:pPr>
              <w:ind w:left="27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20</w:t>
            </w:r>
          </w:p>
        </w:tc>
      </w:tr>
      <w:tr w:rsidR="008D0F1E" w:rsidRPr="008D0F1E" w14:paraId="1D76DFC5" w14:textId="77777777" w:rsidTr="00252555">
        <w:tc>
          <w:tcPr>
            <w:cnfStyle w:val="001000000000" w:firstRow="0" w:lastRow="0" w:firstColumn="1" w:lastColumn="0" w:oddVBand="0" w:evenVBand="0" w:oddHBand="0" w:evenHBand="0" w:firstRowFirstColumn="0" w:firstRowLastColumn="0" w:lastRowFirstColumn="0" w:lastRowLastColumn="0"/>
            <w:tcW w:w="5670" w:type="dxa"/>
          </w:tcPr>
          <w:p w14:paraId="12C1EC45" w14:textId="77777777" w:rsidR="008D0F1E" w:rsidRPr="008D0F1E" w:rsidRDefault="008D0F1E" w:rsidP="008D0F1E">
            <w:pPr>
              <w:rPr>
                <w:rFonts w:ascii="Calibri" w:eastAsia="Calibri" w:hAnsi="Calibri" w:cs="Arial"/>
              </w:rPr>
            </w:pPr>
            <w:r w:rsidRPr="008D0F1E">
              <w:rPr>
                <w:rFonts w:ascii="Calibri" w:eastAsia="Calibri" w:hAnsi="Calibri" w:cs="Arial"/>
              </w:rPr>
              <w:t>Development partners</w:t>
            </w:r>
          </w:p>
          <w:p w14:paraId="3491D8E7" w14:textId="013A3460" w:rsidR="008D0F1E" w:rsidRPr="00FA38AC" w:rsidRDefault="008D0F1E" w:rsidP="008D0F1E">
            <w:pPr>
              <w:spacing w:before="60" w:after="60"/>
              <w:ind w:left="240"/>
              <w:rPr>
                <w:rFonts w:ascii="Calibri" w:eastAsia="Calibri" w:hAnsi="Calibri" w:cs="Arial"/>
              </w:rPr>
            </w:pPr>
            <w:r w:rsidRPr="00FA38AC">
              <w:rPr>
                <w:rFonts w:ascii="Calibri" w:eastAsia="Calibri" w:hAnsi="Calibri" w:cs="Arial"/>
              </w:rPr>
              <w:t>Asian Development Bank</w:t>
            </w:r>
            <w:r w:rsidR="00B70A58">
              <w:rPr>
                <w:rFonts w:ascii="Calibri" w:eastAsia="Calibri" w:hAnsi="Calibri" w:cs="Arial"/>
              </w:rPr>
              <w:t>,</w:t>
            </w:r>
            <w:r w:rsidRPr="00FA38AC">
              <w:rPr>
                <w:rFonts w:ascii="Calibri" w:eastAsia="Calibri" w:hAnsi="Calibri" w:cs="Arial"/>
              </w:rPr>
              <w:t xml:space="preserve"> Canada</w:t>
            </w:r>
            <w:r w:rsidR="00B70A58">
              <w:rPr>
                <w:rFonts w:ascii="Calibri" w:eastAsia="Calibri" w:hAnsi="Calibri" w:cs="Arial"/>
              </w:rPr>
              <w:t>,</w:t>
            </w:r>
            <w:r w:rsidRPr="00FA38AC">
              <w:rPr>
                <w:rFonts w:ascii="Calibri" w:eastAsia="Calibri" w:hAnsi="Calibri" w:cs="Arial"/>
              </w:rPr>
              <w:t xml:space="preserve"> France</w:t>
            </w:r>
            <w:r w:rsidR="00B70A58">
              <w:rPr>
                <w:rFonts w:ascii="Calibri" w:eastAsia="Calibri" w:hAnsi="Calibri" w:cs="Arial"/>
              </w:rPr>
              <w:t>,</w:t>
            </w:r>
            <w:r w:rsidRPr="00FA38AC">
              <w:rPr>
                <w:rFonts w:ascii="Calibri" w:eastAsia="Calibri" w:hAnsi="Calibri" w:cs="Arial"/>
              </w:rPr>
              <w:t xml:space="preserve"> Germany</w:t>
            </w:r>
            <w:r w:rsidR="00B70A58">
              <w:rPr>
                <w:rFonts w:ascii="Calibri" w:eastAsia="Calibri" w:hAnsi="Calibri" w:cs="Arial"/>
              </w:rPr>
              <w:t>,</w:t>
            </w:r>
            <w:r w:rsidRPr="00FA38AC">
              <w:rPr>
                <w:rFonts w:ascii="Calibri" w:eastAsia="Calibri" w:hAnsi="Calibri" w:cs="Arial"/>
              </w:rPr>
              <w:t xml:space="preserve"> Ireland</w:t>
            </w:r>
            <w:r w:rsidR="00B70A58">
              <w:rPr>
                <w:rFonts w:ascii="Calibri" w:eastAsia="Calibri" w:hAnsi="Calibri" w:cs="Arial"/>
              </w:rPr>
              <w:t>,</w:t>
            </w:r>
            <w:r w:rsidRPr="00FA38AC">
              <w:rPr>
                <w:rFonts w:ascii="Calibri" w:eastAsia="Calibri" w:hAnsi="Calibri" w:cs="Arial"/>
              </w:rPr>
              <w:t xml:space="preserve"> </w:t>
            </w:r>
            <w:r w:rsidR="00CB6DCE">
              <w:rPr>
                <w:rFonts w:ascii="Calibri" w:eastAsia="Calibri" w:hAnsi="Calibri" w:cs="Arial"/>
              </w:rPr>
              <w:t xml:space="preserve">the </w:t>
            </w:r>
            <w:r w:rsidRPr="00FA38AC">
              <w:rPr>
                <w:rFonts w:ascii="Calibri" w:eastAsia="Calibri" w:hAnsi="Calibri" w:cs="Arial"/>
              </w:rPr>
              <w:t>Netherlands; New Zealand</w:t>
            </w:r>
            <w:r w:rsidR="00B70A58">
              <w:rPr>
                <w:rFonts w:ascii="Calibri" w:eastAsia="Calibri" w:hAnsi="Calibri" w:cs="Arial"/>
              </w:rPr>
              <w:t>,</w:t>
            </w:r>
            <w:r w:rsidRPr="00FA38AC">
              <w:rPr>
                <w:rFonts w:ascii="Calibri" w:eastAsia="Calibri" w:hAnsi="Calibri" w:cs="Arial"/>
              </w:rPr>
              <w:t xml:space="preserve"> United Kingdom; United States</w:t>
            </w:r>
            <w:r w:rsidR="00B70A58">
              <w:rPr>
                <w:rFonts w:ascii="Calibri" w:eastAsia="Calibri" w:hAnsi="Calibri" w:cs="Arial"/>
              </w:rPr>
              <w:t>,</w:t>
            </w:r>
            <w:r w:rsidRPr="00FA38AC">
              <w:rPr>
                <w:rFonts w:ascii="Calibri" w:eastAsia="Calibri" w:hAnsi="Calibri" w:cs="Arial"/>
              </w:rPr>
              <w:t xml:space="preserve"> World Bank</w:t>
            </w:r>
          </w:p>
        </w:tc>
        <w:tc>
          <w:tcPr>
            <w:tcW w:w="1134" w:type="dxa"/>
          </w:tcPr>
          <w:p w14:paraId="5A3AD47B" w14:textId="77777777" w:rsidR="008D0F1E" w:rsidRPr="008D0F1E" w:rsidDel="005734DC"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276" w:type="dxa"/>
          </w:tcPr>
          <w:p w14:paraId="1DF6663A"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7</w:t>
            </w:r>
          </w:p>
        </w:tc>
        <w:tc>
          <w:tcPr>
            <w:tcW w:w="1125" w:type="dxa"/>
          </w:tcPr>
          <w:p w14:paraId="10BC75FF"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4</w:t>
            </w:r>
          </w:p>
        </w:tc>
        <w:tc>
          <w:tcPr>
            <w:tcW w:w="860" w:type="dxa"/>
          </w:tcPr>
          <w:p w14:paraId="29077095" w14:textId="77777777" w:rsidR="008D0F1E" w:rsidRPr="008D0F1E" w:rsidRDefault="008D0F1E" w:rsidP="00771D96">
            <w:pPr>
              <w:ind w:left="27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11</w:t>
            </w:r>
          </w:p>
        </w:tc>
      </w:tr>
      <w:tr w:rsidR="008D0F1E" w:rsidRPr="008D0F1E" w14:paraId="3748F86C" w14:textId="77777777" w:rsidTr="00252555">
        <w:tc>
          <w:tcPr>
            <w:cnfStyle w:val="001000000000" w:firstRow="0" w:lastRow="0" w:firstColumn="1" w:lastColumn="0" w:oddVBand="0" w:evenVBand="0" w:oddHBand="0" w:evenHBand="0" w:firstRowFirstColumn="0" w:firstRowLastColumn="0" w:lastRowFirstColumn="0" w:lastRowLastColumn="0"/>
            <w:tcW w:w="5670" w:type="dxa"/>
          </w:tcPr>
          <w:p w14:paraId="747341A9" w14:textId="77777777" w:rsidR="008D0F1E" w:rsidRPr="008D0F1E" w:rsidRDefault="008D0F1E" w:rsidP="008D0F1E">
            <w:pPr>
              <w:rPr>
                <w:rFonts w:ascii="Calibri" w:eastAsia="Calibri" w:hAnsi="Calibri" w:cs="Arial"/>
              </w:rPr>
            </w:pPr>
            <w:r w:rsidRPr="008D0F1E">
              <w:rPr>
                <w:rFonts w:ascii="Calibri" w:eastAsia="Calibri" w:hAnsi="Calibri" w:cs="Arial"/>
              </w:rPr>
              <w:t>Implementers</w:t>
            </w:r>
          </w:p>
          <w:p w14:paraId="04AAD9F9" w14:textId="4FF6A28B" w:rsidR="008D0F1E" w:rsidRPr="00FA38AC" w:rsidRDefault="008D0F1E" w:rsidP="008D0F1E">
            <w:pPr>
              <w:spacing w:before="60" w:after="60"/>
              <w:ind w:left="240"/>
              <w:rPr>
                <w:rFonts w:ascii="Calibri" w:eastAsia="Calibri" w:hAnsi="Calibri" w:cs="Arial"/>
              </w:rPr>
            </w:pPr>
            <w:r w:rsidRPr="00FA38AC">
              <w:rPr>
                <w:rFonts w:ascii="Calibri" w:eastAsia="Calibri" w:hAnsi="Calibri" w:cs="Arial"/>
              </w:rPr>
              <w:t>Includes contractors, grantees and other stakeholders involved in programs</w:t>
            </w:r>
          </w:p>
        </w:tc>
        <w:tc>
          <w:tcPr>
            <w:tcW w:w="1134" w:type="dxa"/>
          </w:tcPr>
          <w:p w14:paraId="2978D663" w14:textId="77777777" w:rsidR="008D0F1E" w:rsidRPr="008D0F1E" w:rsidDel="005734DC"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8D0F1E">
              <w:rPr>
                <w:rFonts w:ascii="Calibri" w:eastAsia="Calibri" w:hAnsi="Calibri" w:cs="Arial"/>
              </w:rPr>
              <w:t>2</w:t>
            </w:r>
          </w:p>
        </w:tc>
        <w:tc>
          <w:tcPr>
            <w:tcW w:w="1276" w:type="dxa"/>
          </w:tcPr>
          <w:p w14:paraId="1BC55EE5"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33</w:t>
            </w:r>
          </w:p>
        </w:tc>
        <w:tc>
          <w:tcPr>
            <w:tcW w:w="1125" w:type="dxa"/>
          </w:tcPr>
          <w:p w14:paraId="7DD6433D" w14:textId="77777777" w:rsidR="008D0F1E" w:rsidRPr="008D0F1E" w:rsidRDefault="008D0F1E" w:rsidP="008D0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8</w:t>
            </w:r>
          </w:p>
        </w:tc>
        <w:tc>
          <w:tcPr>
            <w:tcW w:w="860" w:type="dxa"/>
          </w:tcPr>
          <w:p w14:paraId="1FDE8960" w14:textId="77777777" w:rsidR="008D0F1E" w:rsidRPr="008D0F1E" w:rsidRDefault="008D0F1E" w:rsidP="00771D96">
            <w:pPr>
              <w:ind w:left="27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3"/>
              </w:rPr>
            </w:pPr>
            <w:r w:rsidRPr="008D0F1E">
              <w:rPr>
                <w:rFonts w:ascii="Calibri" w:eastAsia="Calibri" w:hAnsi="Calibri" w:cs="Arial"/>
                <w:szCs w:val="23"/>
              </w:rPr>
              <w:t>43</w:t>
            </w:r>
          </w:p>
        </w:tc>
      </w:tr>
    </w:tbl>
    <w:p w14:paraId="527C75B5" w14:textId="77777777" w:rsidR="008D0F1E" w:rsidRPr="001B3B93" w:rsidRDefault="008D0F1E" w:rsidP="0055103C">
      <w:pPr>
        <w:sectPr w:rsidR="008D0F1E" w:rsidRPr="001B3B93" w:rsidSect="00216F57">
          <w:pgSz w:w="12240" w:h="15840"/>
          <w:pgMar w:top="851" w:right="851" w:bottom="1418" w:left="851" w:header="720" w:footer="510" w:gutter="0"/>
          <w:cols w:space="720"/>
          <w:titlePg/>
          <w:docGrid w:linePitch="360"/>
        </w:sectPr>
      </w:pPr>
    </w:p>
    <w:p w14:paraId="6F03D1BD" w14:textId="6F443117" w:rsidR="002F06DF" w:rsidRPr="001B3B93" w:rsidRDefault="00767B13" w:rsidP="000C55B6">
      <w:pPr>
        <w:pStyle w:val="ChapterHead"/>
        <w:framePr w:wrap="around" w:hAnchor="page" w:x="976" w:y="1891"/>
        <w:numPr>
          <w:ilvl w:val="0"/>
          <w:numId w:val="9"/>
        </w:numPr>
      </w:pPr>
      <w:bookmarkStart w:id="37" w:name="_Toc497738327"/>
      <w:r w:rsidRPr="001B3B93">
        <w:lastRenderedPageBreak/>
        <w:t xml:space="preserve"> </w:t>
      </w:r>
      <w:bookmarkStart w:id="38" w:name="_Toc527712992"/>
      <w:bookmarkEnd w:id="37"/>
      <w:r w:rsidR="00BE369B" w:rsidRPr="001B3B93">
        <w:t>C</w:t>
      </w:r>
      <w:r w:rsidR="00AD4FBC">
        <w:t>ontext</w:t>
      </w:r>
      <w:r w:rsidR="00BE369B" w:rsidRPr="001B3B93">
        <w:t xml:space="preserve">: </w:t>
      </w:r>
      <w:r w:rsidR="00652556" w:rsidRPr="001B3B93">
        <w:t xml:space="preserve">Aid </w:t>
      </w:r>
      <w:r w:rsidR="00D5665C">
        <w:t>to</w:t>
      </w:r>
      <w:r w:rsidR="00652556" w:rsidRPr="001B3B93">
        <w:t xml:space="preserve"> middle-income countries</w:t>
      </w:r>
      <w:bookmarkEnd w:id="38"/>
    </w:p>
    <w:p w14:paraId="0092402B" w14:textId="77777777" w:rsidR="00986A63" w:rsidRPr="001B3B93" w:rsidRDefault="00986A63" w:rsidP="00516916"/>
    <w:p w14:paraId="05B45285" w14:textId="64D1C16B" w:rsidR="00127003" w:rsidRPr="001B3B93" w:rsidRDefault="00366428" w:rsidP="002F06DF">
      <w:r w:rsidRPr="001B3B93">
        <w:t xml:space="preserve">Among </w:t>
      </w:r>
      <w:r w:rsidR="00C66A4A" w:rsidRPr="001B3B93">
        <w:t>donors</w:t>
      </w:r>
      <w:r w:rsidR="00E95F08" w:rsidRPr="001B3B93">
        <w:t xml:space="preserve">, there is debate on the merits of </w:t>
      </w:r>
      <w:r w:rsidR="00C66A4A" w:rsidRPr="001B3B93">
        <w:t xml:space="preserve">continuing aid </w:t>
      </w:r>
      <w:r w:rsidR="00E95F08" w:rsidRPr="001B3B93">
        <w:t xml:space="preserve">to MICs </w:t>
      </w:r>
      <w:r w:rsidR="00785A40">
        <w:t xml:space="preserve">as they progress towards </w:t>
      </w:r>
      <w:r w:rsidR="00AD7720">
        <w:t>developed economies</w:t>
      </w:r>
      <w:r w:rsidR="00E95F08" w:rsidRPr="001B3B93">
        <w:t>.</w:t>
      </w:r>
    </w:p>
    <w:p w14:paraId="71CE61D3" w14:textId="35A5335A" w:rsidR="00E95F08" w:rsidRPr="001B3B93" w:rsidRDefault="00785A40" w:rsidP="002F06DF">
      <w:r>
        <w:t xml:space="preserve">As </w:t>
      </w:r>
      <w:r w:rsidR="00513837" w:rsidRPr="001B3B93">
        <w:t xml:space="preserve">domestic </w:t>
      </w:r>
      <w:r w:rsidR="00B3411E" w:rsidRPr="001B3B93">
        <w:t xml:space="preserve">revenues and </w:t>
      </w:r>
      <w:r w:rsidR="00E95F08" w:rsidRPr="001B3B93">
        <w:t xml:space="preserve">access to </w:t>
      </w:r>
      <w:r w:rsidR="00B3411E" w:rsidRPr="001B3B93">
        <w:t xml:space="preserve">external </w:t>
      </w:r>
      <w:r w:rsidR="00E95F08" w:rsidRPr="001B3B93">
        <w:t>finance</w:t>
      </w:r>
      <w:r>
        <w:t xml:space="preserve"> grow</w:t>
      </w:r>
      <w:r w:rsidR="00E95F08" w:rsidRPr="001B3B93">
        <w:t xml:space="preserve">, </w:t>
      </w:r>
      <w:r w:rsidR="00C66A4A" w:rsidRPr="001B3B93">
        <w:t xml:space="preserve">MICs </w:t>
      </w:r>
      <w:r>
        <w:t xml:space="preserve">become less dependent </w:t>
      </w:r>
      <w:r w:rsidR="00C66A4A" w:rsidRPr="001B3B93">
        <w:t>on aid to fund their development. In an era of widespread public scepticism towards aid, it is increasingly difficult to make a political case for financial assistance to countries that are emerging as economic powers in their own right.</w:t>
      </w:r>
    </w:p>
    <w:p w14:paraId="158BD91E" w14:textId="7343E868" w:rsidR="00C66A4A" w:rsidRPr="001B3B93" w:rsidRDefault="00C66A4A" w:rsidP="002F06DF">
      <w:r w:rsidRPr="001B3B93">
        <w:t xml:space="preserve">On the other hand, </w:t>
      </w:r>
      <w:r w:rsidR="00B3411E" w:rsidRPr="001B3B93">
        <w:t>MICs are home to 73</w:t>
      </w:r>
      <w:r w:rsidR="002D3FAC">
        <w:t xml:space="preserve"> per cent</w:t>
      </w:r>
      <w:r w:rsidR="00B3411E" w:rsidRPr="001B3B93">
        <w:t xml:space="preserve"> of the world’s poor (Box </w:t>
      </w:r>
      <w:r w:rsidR="00297DFF">
        <w:t>1</w:t>
      </w:r>
      <w:r w:rsidR="00B3411E" w:rsidRPr="001B3B93">
        <w:t xml:space="preserve">) and this proportion will increase in the coming years as more countries reach the </w:t>
      </w:r>
      <w:r w:rsidR="00F91497" w:rsidRPr="001B3B93">
        <w:t>middle-</w:t>
      </w:r>
      <w:r w:rsidR="00B3411E" w:rsidRPr="001B3B93">
        <w:t xml:space="preserve">income threshold. That makes MICs indispensable partners in achieving the Sustainable Development Goals. MICs also confront difficult </w:t>
      </w:r>
      <w:r w:rsidRPr="001B3B93">
        <w:t xml:space="preserve">development challenges and may have a limited window of time to address them before rising inequality and unfavourable demographics </w:t>
      </w:r>
      <w:r w:rsidR="00F91497" w:rsidRPr="001B3B93">
        <w:t xml:space="preserve">make them </w:t>
      </w:r>
      <w:r w:rsidR="00AD7720">
        <w:t xml:space="preserve">even </w:t>
      </w:r>
      <w:r w:rsidR="00F91497" w:rsidRPr="001B3B93">
        <w:t>more difficult</w:t>
      </w:r>
      <w:r w:rsidR="00AD7720">
        <w:t xml:space="preserve"> to solve</w:t>
      </w:r>
      <w:r w:rsidRPr="001B3B93">
        <w:t>.</w:t>
      </w:r>
    </w:p>
    <w:p w14:paraId="3115190F" w14:textId="51389FCE" w:rsidR="00C66A4A" w:rsidRPr="001B3B93" w:rsidRDefault="00B72DE2" w:rsidP="002F06DF">
      <w:r>
        <w:t>T</w:t>
      </w:r>
      <w:r w:rsidR="00C66A4A" w:rsidRPr="001B3B93">
        <w:t>his section</w:t>
      </w:r>
      <w:r>
        <w:t xml:space="preserve"> </w:t>
      </w:r>
      <w:r w:rsidR="00B3411E" w:rsidRPr="001B3B93">
        <w:t>describe</w:t>
      </w:r>
      <w:r>
        <w:t>s</w:t>
      </w:r>
      <w:r w:rsidR="00B3411E" w:rsidRPr="001B3B93">
        <w:t xml:space="preserve"> </w:t>
      </w:r>
      <w:r w:rsidR="00C66A4A" w:rsidRPr="001B3B93">
        <w:t xml:space="preserve">the </w:t>
      </w:r>
      <w:r w:rsidR="002C7B66" w:rsidRPr="001B3B93">
        <w:t xml:space="preserve">context for Australia’s </w:t>
      </w:r>
      <w:r w:rsidR="00B3411E" w:rsidRPr="001B3B93">
        <w:t xml:space="preserve">pursuit of </w:t>
      </w:r>
      <w:r w:rsidR="002C7B66" w:rsidRPr="001B3B93">
        <w:t xml:space="preserve">economic partnerships in Asia, including changing patterns of development finance, the development </w:t>
      </w:r>
      <w:r w:rsidR="00DD2608">
        <w:t xml:space="preserve">challenges </w:t>
      </w:r>
      <w:r w:rsidR="002C7B66" w:rsidRPr="001B3B93">
        <w:t>facing MICs and how other bilateral donors are responding.</w:t>
      </w:r>
    </w:p>
    <w:p w14:paraId="116F2107" w14:textId="5DCFEE0D" w:rsidR="00C66A4A" w:rsidRPr="001B3B93" w:rsidRDefault="00C66A4A" w:rsidP="00C66A4A">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rPr>
          <w:color w:val="FFFFFF" w:themeColor="accent6"/>
        </w:rPr>
      </w:pPr>
      <w:r w:rsidRPr="001B3B93">
        <w:t xml:space="preserve">Box </w:t>
      </w:r>
      <w:r w:rsidR="00297DFF">
        <w:t>1</w:t>
      </w:r>
      <w:r w:rsidRPr="001B3B93">
        <w:t>: What are middle-income countries?</w:t>
      </w:r>
    </w:p>
    <w:p w14:paraId="6F52D571" w14:textId="0656A8F1" w:rsidR="00C66A4A" w:rsidRDefault="00C66A4A" w:rsidP="00C66A4A">
      <w:pPr>
        <w:pStyle w:val="Box1Bullet"/>
        <w:numPr>
          <w:ilvl w:val="0"/>
          <w:numId w:val="0"/>
        </w:numPr>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0"/>
        <w:ind w:left="284"/>
        <w:rPr>
          <w:sz w:val="22"/>
        </w:rPr>
      </w:pPr>
      <w:r w:rsidRPr="001B3B93">
        <w:rPr>
          <w:sz w:val="22"/>
        </w:rPr>
        <w:t>M</w:t>
      </w:r>
      <w:r w:rsidR="00B70A58">
        <w:rPr>
          <w:sz w:val="22"/>
        </w:rPr>
        <w:t>ICs</w:t>
      </w:r>
      <w:r w:rsidRPr="001B3B93">
        <w:rPr>
          <w:sz w:val="22"/>
        </w:rPr>
        <w:t xml:space="preserve"> are those with a </w:t>
      </w:r>
      <w:r w:rsidRPr="00FA38AC">
        <w:rPr>
          <w:sz w:val="22"/>
        </w:rPr>
        <w:t>per capita</w:t>
      </w:r>
      <w:r w:rsidRPr="001B3B93">
        <w:rPr>
          <w:sz w:val="22"/>
        </w:rPr>
        <w:t xml:space="preserve"> gross national income of between </w:t>
      </w:r>
      <w:r w:rsidR="003605F7">
        <w:rPr>
          <w:sz w:val="22"/>
        </w:rPr>
        <w:t>USD</w:t>
      </w:r>
      <w:r w:rsidRPr="001B3B93">
        <w:rPr>
          <w:sz w:val="22"/>
        </w:rPr>
        <w:t>1,0</w:t>
      </w:r>
      <w:r w:rsidR="00AD7720">
        <w:rPr>
          <w:sz w:val="22"/>
        </w:rPr>
        <w:t>0</w:t>
      </w:r>
      <w:r w:rsidRPr="001B3B93">
        <w:rPr>
          <w:sz w:val="22"/>
        </w:rPr>
        <w:t xml:space="preserve">6 and </w:t>
      </w:r>
      <w:r w:rsidR="003605F7">
        <w:rPr>
          <w:sz w:val="22"/>
        </w:rPr>
        <w:t>USD</w:t>
      </w:r>
      <w:r w:rsidRPr="001B3B93">
        <w:rPr>
          <w:sz w:val="22"/>
        </w:rPr>
        <w:t>12,</w:t>
      </w:r>
      <w:r w:rsidR="00AD7720">
        <w:rPr>
          <w:sz w:val="22"/>
        </w:rPr>
        <w:t>23</w:t>
      </w:r>
      <w:r w:rsidRPr="001B3B93">
        <w:rPr>
          <w:sz w:val="22"/>
        </w:rPr>
        <w:t xml:space="preserve">5. They are a diverse group, in terms of size, population and level of development. They are home to around </w:t>
      </w:r>
      <w:r w:rsidR="00CC4A45">
        <w:rPr>
          <w:sz w:val="22"/>
        </w:rPr>
        <w:t>5</w:t>
      </w:r>
      <w:r w:rsidR="00CC4A45" w:rsidRPr="001B3B93">
        <w:rPr>
          <w:sz w:val="22"/>
        </w:rPr>
        <w:t xml:space="preserve"> </w:t>
      </w:r>
      <w:r w:rsidRPr="001B3B93">
        <w:rPr>
          <w:sz w:val="22"/>
        </w:rPr>
        <w:t xml:space="preserve">billion people, produce </w:t>
      </w:r>
      <w:r w:rsidR="00665ECD">
        <w:rPr>
          <w:sz w:val="22"/>
        </w:rPr>
        <w:t>one-</w:t>
      </w:r>
      <w:r w:rsidRPr="001B3B93">
        <w:rPr>
          <w:sz w:val="22"/>
        </w:rPr>
        <w:t xml:space="preserve">third of global </w:t>
      </w:r>
      <w:bookmarkStart w:id="39" w:name="_Hlk520972627"/>
      <w:r w:rsidR="00B72DE2">
        <w:rPr>
          <w:sz w:val="22"/>
        </w:rPr>
        <w:t>gross domestic product (</w:t>
      </w:r>
      <w:r w:rsidRPr="001B3B93">
        <w:rPr>
          <w:sz w:val="22"/>
        </w:rPr>
        <w:t>GDP</w:t>
      </w:r>
      <w:r w:rsidR="00B72DE2">
        <w:rPr>
          <w:sz w:val="22"/>
        </w:rPr>
        <w:t>)</w:t>
      </w:r>
      <w:r w:rsidRPr="001B3B93">
        <w:rPr>
          <w:sz w:val="22"/>
        </w:rPr>
        <w:t xml:space="preserve"> </w:t>
      </w:r>
      <w:bookmarkEnd w:id="39"/>
      <w:r w:rsidRPr="001B3B93">
        <w:rPr>
          <w:sz w:val="22"/>
        </w:rPr>
        <w:t>and are a major source of global growth. However, they also account for 73</w:t>
      </w:r>
      <w:r w:rsidR="002D3FAC">
        <w:rPr>
          <w:sz w:val="22"/>
        </w:rPr>
        <w:t xml:space="preserve"> per cent</w:t>
      </w:r>
      <w:r w:rsidRPr="001B3B93">
        <w:rPr>
          <w:sz w:val="22"/>
        </w:rPr>
        <w:t xml:space="preserve"> of the world’s poor. Inequality within MICs is a leading cause of global poverty and </w:t>
      </w:r>
      <w:r w:rsidR="002C7B66" w:rsidRPr="001B3B93">
        <w:rPr>
          <w:sz w:val="22"/>
        </w:rPr>
        <w:t xml:space="preserve">may prove to be </w:t>
      </w:r>
      <w:r w:rsidRPr="001B3B93">
        <w:rPr>
          <w:sz w:val="22"/>
        </w:rPr>
        <w:t>one of the most difficult obstacles to achieving the Sustainable Development Goals.</w:t>
      </w:r>
    </w:p>
    <w:p w14:paraId="55E59D5C" w14:textId="6873C5F0" w:rsidR="002B32AE" w:rsidRDefault="002B32AE" w:rsidP="00C66A4A">
      <w:pPr>
        <w:pStyle w:val="Box1Bullet"/>
        <w:numPr>
          <w:ilvl w:val="0"/>
          <w:numId w:val="0"/>
        </w:numPr>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0"/>
        <w:ind w:left="284"/>
        <w:rPr>
          <w:sz w:val="22"/>
        </w:rPr>
      </w:pPr>
      <w:r>
        <w:rPr>
          <w:sz w:val="22"/>
        </w:rPr>
        <w:t>Historically, only a small number of countries have made the transition from MICs to advanced economies. The difficulty of doing so has come to be referred to as the ‘middle-income trap’.</w:t>
      </w:r>
    </w:p>
    <w:p w14:paraId="3C7D68D9" w14:textId="272F9295" w:rsidR="00FC5059" w:rsidRPr="001B3B93" w:rsidRDefault="00FC5059" w:rsidP="00C66A4A">
      <w:pPr>
        <w:pStyle w:val="Box1Bullet"/>
        <w:numPr>
          <w:ilvl w:val="0"/>
          <w:numId w:val="0"/>
        </w:numPr>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0"/>
        <w:ind w:left="284"/>
        <w:rPr>
          <w:sz w:val="22"/>
        </w:rPr>
      </w:pPr>
      <w:r>
        <w:rPr>
          <w:sz w:val="22"/>
        </w:rPr>
        <w:t xml:space="preserve">Most of the Asia-Pacific countries that receive Australian aid are </w:t>
      </w:r>
      <w:r w:rsidR="005B716E">
        <w:rPr>
          <w:sz w:val="22"/>
        </w:rPr>
        <w:t xml:space="preserve">above the </w:t>
      </w:r>
      <w:r>
        <w:rPr>
          <w:sz w:val="22"/>
        </w:rPr>
        <w:t xml:space="preserve">middle-income </w:t>
      </w:r>
      <w:r w:rsidR="005B716E">
        <w:rPr>
          <w:sz w:val="22"/>
        </w:rPr>
        <w:t>threshold</w:t>
      </w:r>
      <w:r>
        <w:rPr>
          <w:sz w:val="22"/>
        </w:rPr>
        <w:t>.</w:t>
      </w:r>
      <w:r w:rsidR="005B716E">
        <w:rPr>
          <w:sz w:val="22"/>
        </w:rPr>
        <w:t xml:space="preserve"> This evaluation focuses on Asian MICs, which face </w:t>
      </w:r>
      <w:r w:rsidR="00C43882">
        <w:rPr>
          <w:sz w:val="22"/>
        </w:rPr>
        <w:t xml:space="preserve">a </w:t>
      </w:r>
      <w:r w:rsidR="005B716E">
        <w:rPr>
          <w:sz w:val="22"/>
        </w:rPr>
        <w:t xml:space="preserve">distinct </w:t>
      </w:r>
      <w:r w:rsidR="00C43882">
        <w:rPr>
          <w:sz w:val="22"/>
        </w:rPr>
        <w:t xml:space="preserve">set of social and </w:t>
      </w:r>
      <w:r w:rsidR="005B716E">
        <w:rPr>
          <w:sz w:val="22"/>
        </w:rPr>
        <w:t>economic challenges.</w:t>
      </w:r>
    </w:p>
    <w:p w14:paraId="57D35054" w14:textId="60DBC415" w:rsidR="00C66A4A" w:rsidRPr="001C7483" w:rsidRDefault="00EA2B6E" w:rsidP="00C66A4A">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sz w:val="18"/>
          <w:szCs w:val="18"/>
        </w:rPr>
      </w:pPr>
      <w:r w:rsidRPr="001C7483">
        <w:t xml:space="preserve">Source: </w:t>
      </w:r>
      <w:r w:rsidR="00C66A4A" w:rsidRPr="001C7483">
        <w:t>World Bank</w:t>
      </w:r>
      <w:hyperlink r:id="rId23" w:history="1">
        <w:r w:rsidR="00C66A4A" w:rsidRPr="001C7483">
          <w:rPr>
            <w:rStyle w:val="Hyperlink"/>
          </w:rPr>
          <w:t>, Middle-Income Countries</w:t>
        </w:r>
        <w:r w:rsidR="00B72DE2" w:rsidRPr="001C7483">
          <w:rPr>
            <w:rStyle w:val="Hyperlink"/>
          </w:rPr>
          <w:t>—</w:t>
        </w:r>
        <w:r w:rsidR="00C66A4A" w:rsidRPr="001C7483">
          <w:rPr>
            <w:rStyle w:val="Hyperlink"/>
          </w:rPr>
          <w:t>Overview</w:t>
        </w:r>
      </w:hyperlink>
      <w:r w:rsidR="00C66A4A" w:rsidRPr="001C7483">
        <w:t xml:space="preserve">, </w:t>
      </w:r>
      <w:r w:rsidR="00AD7720" w:rsidRPr="001C7483">
        <w:t>March 2018</w:t>
      </w:r>
      <w:r w:rsidR="00B72DE2" w:rsidRPr="001C7483">
        <w:rPr>
          <w:rStyle w:val="Hyperlink"/>
        </w:rPr>
        <w:t xml:space="preserve">; </w:t>
      </w:r>
      <w:r w:rsidR="002B32AE" w:rsidRPr="001C7483">
        <w:t xml:space="preserve">William Cole, </w:t>
      </w:r>
      <w:r w:rsidR="002B32AE" w:rsidRPr="003D3BD9">
        <w:rPr>
          <w:i/>
        </w:rPr>
        <w:t>Advanced Middle Income Countries in Asia: Challenges and Opportunities Ahead</w:t>
      </w:r>
      <w:r w:rsidR="002B32AE" w:rsidRPr="001C7483">
        <w:t>, The Asia Foundation, May 2017</w:t>
      </w:r>
      <w:r w:rsidR="00FA38AC">
        <w:t xml:space="preserve"> (unpublished)</w:t>
      </w:r>
      <w:r w:rsidR="00B72DE2" w:rsidRPr="001C7483">
        <w:t>.</w:t>
      </w:r>
    </w:p>
    <w:p w14:paraId="60BD7F27" w14:textId="77777777" w:rsidR="005E0ED8" w:rsidRPr="001B3B93" w:rsidRDefault="002C7B66" w:rsidP="002C7B66">
      <w:pPr>
        <w:pStyle w:val="Heading3"/>
      </w:pPr>
      <w:bookmarkStart w:id="40" w:name="_Toc527712993"/>
      <w:r w:rsidRPr="001B3B93">
        <w:lastRenderedPageBreak/>
        <w:t>Changing patterns of development finance</w:t>
      </w:r>
      <w:bookmarkEnd w:id="40"/>
      <w:r w:rsidRPr="001B3B93">
        <w:t xml:space="preserve"> </w:t>
      </w:r>
    </w:p>
    <w:p w14:paraId="60C3F6CC" w14:textId="2A061D7E" w:rsidR="00C548E4" w:rsidRPr="001B3B93" w:rsidRDefault="002A6447" w:rsidP="002F06DF">
      <w:pPr>
        <w:rPr>
          <w:szCs w:val="23"/>
        </w:rPr>
      </w:pPr>
      <w:r w:rsidRPr="00AD0D48">
        <w:rPr>
          <w:szCs w:val="23"/>
        </w:rPr>
        <w:t xml:space="preserve">ODA </w:t>
      </w:r>
      <w:r w:rsidR="00C548E4" w:rsidRPr="00AD0D48">
        <w:rPr>
          <w:szCs w:val="23"/>
        </w:rPr>
        <w:t>from</w:t>
      </w:r>
      <w:r w:rsidR="00C548E4" w:rsidRPr="001B3B93">
        <w:rPr>
          <w:szCs w:val="23"/>
        </w:rPr>
        <w:t xml:space="preserve"> all donors </w:t>
      </w:r>
      <w:r w:rsidRPr="001B3B93">
        <w:rPr>
          <w:szCs w:val="23"/>
        </w:rPr>
        <w:t xml:space="preserve">reached </w:t>
      </w:r>
      <w:r w:rsidR="007B7A9B">
        <w:rPr>
          <w:szCs w:val="23"/>
        </w:rPr>
        <w:t>a high of USD</w:t>
      </w:r>
      <w:r w:rsidR="00C548E4" w:rsidRPr="001B3B93">
        <w:rPr>
          <w:szCs w:val="23"/>
        </w:rPr>
        <w:t xml:space="preserve">142 billion in 2016, </w:t>
      </w:r>
      <w:r w:rsidR="00B3411E" w:rsidRPr="001B3B93">
        <w:rPr>
          <w:szCs w:val="23"/>
        </w:rPr>
        <w:t xml:space="preserve">representing a </w:t>
      </w:r>
      <w:r w:rsidR="00C548E4" w:rsidRPr="001B3B93">
        <w:rPr>
          <w:szCs w:val="23"/>
        </w:rPr>
        <w:t xml:space="preserve">doubling </w:t>
      </w:r>
      <w:r w:rsidR="00B3411E" w:rsidRPr="001B3B93">
        <w:rPr>
          <w:szCs w:val="23"/>
        </w:rPr>
        <w:t xml:space="preserve">of aid levels from </w:t>
      </w:r>
      <w:r w:rsidR="00C548E4" w:rsidRPr="001B3B93">
        <w:rPr>
          <w:szCs w:val="23"/>
        </w:rPr>
        <w:t>the turn of the century.</w:t>
      </w:r>
      <w:r w:rsidR="00C548E4" w:rsidRPr="001B3B93">
        <w:rPr>
          <w:rStyle w:val="FootnoteReference"/>
          <w:szCs w:val="23"/>
        </w:rPr>
        <w:footnoteReference w:id="10"/>
      </w:r>
      <w:r w:rsidR="00C548E4" w:rsidRPr="001B3B93">
        <w:rPr>
          <w:szCs w:val="23"/>
        </w:rPr>
        <w:t xml:space="preserve"> </w:t>
      </w:r>
      <w:r w:rsidR="00B3411E" w:rsidRPr="001B3B93">
        <w:rPr>
          <w:szCs w:val="23"/>
        </w:rPr>
        <w:t>In spite of this,</w:t>
      </w:r>
      <w:r w:rsidR="00C548E4" w:rsidRPr="001B3B93">
        <w:rPr>
          <w:szCs w:val="23"/>
        </w:rPr>
        <w:t xml:space="preserve"> </w:t>
      </w:r>
      <w:r w:rsidR="00B3411E" w:rsidRPr="001B3B93">
        <w:rPr>
          <w:szCs w:val="23"/>
        </w:rPr>
        <w:t xml:space="preserve">even larger </w:t>
      </w:r>
      <w:r w:rsidR="00424782" w:rsidRPr="001B3B93">
        <w:rPr>
          <w:szCs w:val="23"/>
        </w:rPr>
        <w:t xml:space="preserve">increases in domestic revenues and foreign </w:t>
      </w:r>
      <w:r w:rsidR="009E143A" w:rsidRPr="001B3B93">
        <w:rPr>
          <w:szCs w:val="23"/>
        </w:rPr>
        <w:t>d</w:t>
      </w:r>
      <w:r w:rsidR="00424782" w:rsidRPr="001B3B93">
        <w:rPr>
          <w:szCs w:val="23"/>
        </w:rPr>
        <w:t>irect investment</w:t>
      </w:r>
      <w:r w:rsidR="00B3411E" w:rsidRPr="001B3B93">
        <w:rPr>
          <w:szCs w:val="23"/>
        </w:rPr>
        <w:t xml:space="preserve"> have meant that</w:t>
      </w:r>
      <w:r w:rsidR="00424782" w:rsidRPr="001B3B93">
        <w:rPr>
          <w:szCs w:val="23"/>
        </w:rPr>
        <w:t xml:space="preserve"> aid </w:t>
      </w:r>
      <w:r w:rsidR="00B3411E" w:rsidRPr="001B3B93">
        <w:rPr>
          <w:szCs w:val="23"/>
        </w:rPr>
        <w:t xml:space="preserve">now </w:t>
      </w:r>
      <w:r w:rsidR="00C548E4" w:rsidRPr="001B3B93">
        <w:rPr>
          <w:szCs w:val="23"/>
        </w:rPr>
        <w:t xml:space="preserve">accounts for a </w:t>
      </w:r>
      <w:r w:rsidR="00E20B7A">
        <w:rPr>
          <w:szCs w:val="23"/>
        </w:rPr>
        <w:t xml:space="preserve">much </w:t>
      </w:r>
      <w:r w:rsidR="00B3411E" w:rsidRPr="001B3B93">
        <w:rPr>
          <w:szCs w:val="23"/>
        </w:rPr>
        <w:t xml:space="preserve">smaller </w:t>
      </w:r>
      <w:r w:rsidR="00C548E4" w:rsidRPr="001B3B93">
        <w:rPr>
          <w:szCs w:val="23"/>
        </w:rPr>
        <w:t xml:space="preserve">share of the finance available to developing countries </w:t>
      </w:r>
      <w:r w:rsidR="00B3411E" w:rsidRPr="001B3B93">
        <w:rPr>
          <w:szCs w:val="23"/>
        </w:rPr>
        <w:t>than it did 15 years ago</w:t>
      </w:r>
      <w:r w:rsidR="005C79B4" w:rsidRPr="001B3B93">
        <w:rPr>
          <w:szCs w:val="23"/>
        </w:rPr>
        <w:t>, especially for MICs</w:t>
      </w:r>
      <w:r w:rsidR="00424782" w:rsidRPr="001B3B93">
        <w:rPr>
          <w:szCs w:val="23"/>
        </w:rPr>
        <w:t>.</w:t>
      </w:r>
      <w:r w:rsidR="00E20B7A">
        <w:rPr>
          <w:rStyle w:val="FootnoteReference"/>
          <w:szCs w:val="23"/>
        </w:rPr>
        <w:footnoteReference w:id="11"/>
      </w:r>
    </w:p>
    <w:p w14:paraId="58DFE512" w14:textId="5184C8B0" w:rsidR="00571527" w:rsidRPr="005262B6" w:rsidRDefault="00571527" w:rsidP="002F06DF">
      <w:pPr>
        <w:rPr>
          <w:szCs w:val="23"/>
        </w:rPr>
      </w:pPr>
      <w:r w:rsidRPr="001B3B93">
        <w:rPr>
          <w:szCs w:val="23"/>
        </w:rPr>
        <w:t xml:space="preserve">These trends are </w:t>
      </w:r>
      <w:r w:rsidR="00F91497" w:rsidRPr="001B3B93">
        <w:rPr>
          <w:szCs w:val="23"/>
        </w:rPr>
        <w:t xml:space="preserve">clearly visible </w:t>
      </w:r>
      <w:r w:rsidRPr="001B3B93">
        <w:rPr>
          <w:szCs w:val="23"/>
        </w:rPr>
        <w:t xml:space="preserve">in Asian MICs such as Indonesia </w:t>
      </w:r>
      <w:r w:rsidRPr="005262B6">
        <w:rPr>
          <w:szCs w:val="23"/>
        </w:rPr>
        <w:t xml:space="preserve">and Vietnam. Both have </w:t>
      </w:r>
      <w:r w:rsidR="005E11EA" w:rsidRPr="005262B6">
        <w:rPr>
          <w:szCs w:val="23"/>
        </w:rPr>
        <w:t xml:space="preserve">achieved strong </w:t>
      </w:r>
      <w:r w:rsidRPr="005262B6">
        <w:rPr>
          <w:szCs w:val="23"/>
        </w:rPr>
        <w:t>growth over the past decade, averaging 5.6</w:t>
      </w:r>
      <w:r w:rsidR="002D3FAC" w:rsidRPr="005262B6">
        <w:rPr>
          <w:szCs w:val="23"/>
        </w:rPr>
        <w:t xml:space="preserve"> </w:t>
      </w:r>
      <w:r w:rsidR="002D3FAC" w:rsidRPr="005262B6">
        <w:t>per cent</w:t>
      </w:r>
      <w:r w:rsidR="002D3FAC" w:rsidRPr="005262B6">
        <w:rPr>
          <w:szCs w:val="23"/>
        </w:rPr>
        <w:t xml:space="preserve"> </w:t>
      </w:r>
      <w:r w:rsidRPr="005262B6">
        <w:rPr>
          <w:szCs w:val="23"/>
        </w:rPr>
        <w:t>and 6</w:t>
      </w:r>
      <w:r w:rsidR="002D3FAC" w:rsidRPr="005262B6">
        <w:rPr>
          <w:szCs w:val="23"/>
        </w:rPr>
        <w:t xml:space="preserve"> </w:t>
      </w:r>
      <w:r w:rsidR="002D3FAC" w:rsidRPr="005262B6">
        <w:t>per cent</w:t>
      </w:r>
      <w:r w:rsidRPr="005262B6">
        <w:rPr>
          <w:szCs w:val="23"/>
        </w:rPr>
        <w:t xml:space="preserve"> respectively (</w:t>
      </w:r>
      <w:r w:rsidRPr="001F40CB">
        <w:rPr>
          <w:szCs w:val="23"/>
        </w:rPr>
        <w:t>2007</w:t>
      </w:r>
      <w:r w:rsidR="00225784" w:rsidRPr="001F40CB">
        <w:rPr>
          <w:szCs w:val="23"/>
        </w:rPr>
        <w:t>–</w:t>
      </w:r>
      <w:r w:rsidR="00D079F3" w:rsidRPr="001F40CB">
        <w:rPr>
          <w:szCs w:val="23"/>
        </w:rPr>
        <w:t>1</w:t>
      </w:r>
      <w:r w:rsidRPr="001F40CB">
        <w:rPr>
          <w:szCs w:val="23"/>
        </w:rPr>
        <w:t>6).</w:t>
      </w:r>
      <w:r w:rsidRPr="001F40CB">
        <w:rPr>
          <w:rStyle w:val="FootnoteReference"/>
          <w:szCs w:val="23"/>
        </w:rPr>
        <w:footnoteReference w:id="12"/>
      </w:r>
      <w:r w:rsidR="005E11EA" w:rsidRPr="005262B6">
        <w:rPr>
          <w:szCs w:val="23"/>
        </w:rPr>
        <w:t xml:space="preserve"> This has translated into significant increases in public revenue. Indonesia’s tax revenue increased fourfold between 2007 and 2015, while Vietnam’s has more than doubled.</w:t>
      </w:r>
      <w:r w:rsidR="005E11EA" w:rsidRPr="005262B6">
        <w:rPr>
          <w:rStyle w:val="FootnoteReference"/>
          <w:szCs w:val="23"/>
        </w:rPr>
        <w:footnoteReference w:id="13"/>
      </w:r>
      <w:r w:rsidR="005E11EA" w:rsidRPr="005262B6">
        <w:rPr>
          <w:szCs w:val="23"/>
        </w:rPr>
        <w:t xml:space="preserve"> Foreign direct investment has also increase</w:t>
      </w:r>
      <w:r w:rsidR="00155667" w:rsidRPr="005262B6">
        <w:rPr>
          <w:szCs w:val="23"/>
        </w:rPr>
        <w:t xml:space="preserve">d: </w:t>
      </w:r>
      <w:r w:rsidR="00B72DE2" w:rsidRPr="005262B6">
        <w:rPr>
          <w:szCs w:val="23"/>
        </w:rPr>
        <w:t>I</w:t>
      </w:r>
      <w:r w:rsidR="007B7A9B" w:rsidRPr="005262B6">
        <w:rPr>
          <w:szCs w:val="23"/>
        </w:rPr>
        <w:t>n Indonesia, it leapt from USD4.9 billion in 2009 to USD</w:t>
      </w:r>
      <w:r w:rsidR="00155667" w:rsidRPr="001F40CB">
        <w:rPr>
          <w:szCs w:val="23"/>
        </w:rPr>
        <w:t>25 billion in 2014, before suffering falls in 2015 and 2016.</w:t>
      </w:r>
      <w:r w:rsidR="00155667" w:rsidRPr="005262B6">
        <w:rPr>
          <w:rStyle w:val="FootnoteReference"/>
          <w:szCs w:val="23"/>
        </w:rPr>
        <w:footnoteReference w:id="14"/>
      </w:r>
    </w:p>
    <w:p w14:paraId="2063D223" w14:textId="387F43E1" w:rsidR="00571527" w:rsidRPr="005262B6" w:rsidRDefault="00155667" w:rsidP="002F06DF">
      <w:pPr>
        <w:rPr>
          <w:szCs w:val="23"/>
        </w:rPr>
      </w:pPr>
      <w:bookmarkStart w:id="41" w:name="_Hlk503604851"/>
      <w:r w:rsidRPr="001F40CB">
        <w:rPr>
          <w:szCs w:val="23"/>
        </w:rPr>
        <w:t xml:space="preserve">These trends have reduced </w:t>
      </w:r>
      <w:r w:rsidR="00193AC4" w:rsidRPr="001F40CB">
        <w:rPr>
          <w:szCs w:val="23"/>
        </w:rPr>
        <w:t xml:space="preserve">reliance on </w:t>
      </w:r>
      <w:r w:rsidR="00F06550" w:rsidRPr="001F40CB">
        <w:rPr>
          <w:szCs w:val="23"/>
        </w:rPr>
        <w:t xml:space="preserve">ODA. </w:t>
      </w:r>
      <w:r w:rsidR="0023060D" w:rsidRPr="001F40CB">
        <w:rPr>
          <w:szCs w:val="23"/>
        </w:rPr>
        <w:t>As a share of the national budget, ODA reached a peak of 28</w:t>
      </w:r>
      <w:r w:rsidR="002D3FAC" w:rsidRPr="001F40CB">
        <w:rPr>
          <w:szCs w:val="23"/>
        </w:rPr>
        <w:t xml:space="preserve"> </w:t>
      </w:r>
      <w:r w:rsidR="002D3FAC" w:rsidRPr="001F40CB">
        <w:t>per cent</w:t>
      </w:r>
      <w:r w:rsidR="0023060D" w:rsidRPr="001F40CB">
        <w:rPr>
          <w:szCs w:val="23"/>
        </w:rPr>
        <w:t xml:space="preserve"> in 1988</w:t>
      </w:r>
      <w:r w:rsidR="00B72DE2" w:rsidRPr="001F40CB">
        <w:rPr>
          <w:szCs w:val="23"/>
        </w:rPr>
        <w:t>–</w:t>
      </w:r>
      <w:r w:rsidR="0023060D" w:rsidRPr="001F40CB">
        <w:rPr>
          <w:szCs w:val="23"/>
        </w:rPr>
        <w:t>89 for Indonesia and had declined to just 4</w:t>
      </w:r>
      <w:r w:rsidR="002D3FAC" w:rsidRPr="001F40CB">
        <w:rPr>
          <w:szCs w:val="23"/>
        </w:rPr>
        <w:t xml:space="preserve"> </w:t>
      </w:r>
      <w:r w:rsidR="002D3FAC" w:rsidRPr="001F40CB">
        <w:t>per cent</w:t>
      </w:r>
      <w:r w:rsidR="0023060D" w:rsidRPr="001F40CB">
        <w:rPr>
          <w:szCs w:val="23"/>
        </w:rPr>
        <w:t xml:space="preserve"> by 2008, while in Vietnam it fell from 25</w:t>
      </w:r>
      <w:r w:rsidR="002D3FAC" w:rsidRPr="001F40CB">
        <w:rPr>
          <w:szCs w:val="23"/>
        </w:rPr>
        <w:t xml:space="preserve"> </w:t>
      </w:r>
      <w:r w:rsidR="002D3FAC" w:rsidRPr="001F40CB">
        <w:t>per cent</w:t>
      </w:r>
      <w:r w:rsidR="002D3FAC" w:rsidRPr="001F40CB">
        <w:rPr>
          <w:szCs w:val="23"/>
        </w:rPr>
        <w:t xml:space="preserve"> </w:t>
      </w:r>
      <w:r w:rsidR="0023060D" w:rsidRPr="001F40CB">
        <w:rPr>
          <w:szCs w:val="23"/>
        </w:rPr>
        <w:t>in 2003 to 11</w:t>
      </w:r>
      <w:r w:rsidR="002D3FAC" w:rsidRPr="001F40CB">
        <w:rPr>
          <w:szCs w:val="23"/>
        </w:rPr>
        <w:t xml:space="preserve"> </w:t>
      </w:r>
      <w:r w:rsidR="002D3FAC" w:rsidRPr="001F40CB">
        <w:t>per cent</w:t>
      </w:r>
      <w:r w:rsidR="002D3FAC" w:rsidRPr="001F40CB">
        <w:rPr>
          <w:szCs w:val="23"/>
        </w:rPr>
        <w:t xml:space="preserve"> </w:t>
      </w:r>
      <w:r w:rsidR="0023060D" w:rsidRPr="001F40CB">
        <w:rPr>
          <w:szCs w:val="23"/>
        </w:rPr>
        <w:t>in 2013.</w:t>
      </w:r>
      <w:r w:rsidR="0023060D" w:rsidRPr="005262B6">
        <w:rPr>
          <w:rStyle w:val="FootnoteReference"/>
          <w:szCs w:val="23"/>
        </w:rPr>
        <w:footnoteReference w:id="15"/>
      </w:r>
    </w:p>
    <w:bookmarkEnd w:id="41"/>
    <w:p w14:paraId="30814017" w14:textId="53E93C15" w:rsidR="0023060D" w:rsidRPr="001F40CB" w:rsidRDefault="00D34E2A" w:rsidP="002F06DF">
      <w:pPr>
        <w:rPr>
          <w:szCs w:val="23"/>
        </w:rPr>
      </w:pPr>
      <w:r w:rsidRPr="001F40CB">
        <w:rPr>
          <w:szCs w:val="23"/>
        </w:rPr>
        <w:t>O</w:t>
      </w:r>
      <w:r w:rsidR="00966407" w:rsidRPr="001F40CB">
        <w:rPr>
          <w:szCs w:val="23"/>
        </w:rPr>
        <w:t xml:space="preserve">rganisation for </w:t>
      </w:r>
      <w:r w:rsidR="00C833B2" w:rsidRPr="001F40CB">
        <w:rPr>
          <w:szCs w:val="23"/>
        </w:rPr>
        <w:t>E</w:t>
      </w:r>
      <w:r w:rsidR="00966407" w:rsidRPr="001F40CB">
        <w:rPr>
          <w:szCs w:val="23"/>
        </w:rPr>
        <w:t>conomic Co-operation Development (O</w:t>
      </w:r>
      <w:r w:rsidRPr="001F40CB">
        <w:rPr>
          <w:szCs w:val="23"/>
        </w:rPr>
        <w:t>ECD</w:t>
      </w:r>
      <w:r w:rsidR="00966407" w:rsidRPr="005262B6">
        <w:rPr>
          <w:szCs w:val="23"/>
        </w:rPr>
        <w:t>)</w:t>
      </w:r>
      <w:r w:rsidRPr="005262B6">
        <w:rPr>
          <w:szCs w:val="23"/>
        </w:rPr>
        <w:t xml:space="preserve"> donors </w:t>
      </w:r>
      <w:r w:rsidR="00331A04" w:rsidRPr="005262B6">
        <w:rPr>
          <w:szCs w:val="23"/>
        </w:rPr>
        <w:t>have responded to</w:t>
      </w:r>
      <w:r w:rsidR="00B34383" w:rsidRPr="005262B6">
        <w:rPr>
          <w:szCs w:val="23"/>
        </w:rPr>
        <w:t xml:space="preserve"> the region’s growth performan</w:t>
      </w:r>
      <w:r w:rsidR="00B34383" w:rsidRPr="001F40CB">
        <w:rPr>
          <w:szCs w:val="23"/>
        </w:rPr>
        <w:t>ce</w:t>
      </w:r>
      <w:r w:rsidR="00A22BA1" w:rsidRPr="001F40CB">
        <w:rPr>
          <w:szCs w:val="23"/>
        </w:rPr>
        <w:t xml:space="preserve"> by reducing</w:t>
      </w:r>
      <w:r w:rsidR="00B34383" w:rsidRPr="001F40CB">
        <w:rPr>
          <w:szCs w:val="23"/>
        </w:rPr>
        <w:t xml:space="preserve"> </w:t>
      </w:r>
      <w:r w:rsidR="0023060D" w:rsidRPr="001F40CB">
        <w:rPr>
          <w:szCs w:val="23"/>
        </w:rPr>
        <w:t xml:space="preserve">ODA to </w:t>
      </w:r>
      <w:r w:rsidR="00FA38AC" w:rsidRPr="001F40CB">
        <w:rPr>
          <w:szCs w:val="23"/>
        </w:rPr>
        <w:t>Southeast</w:t>
      </w:r>
      <w:r w:rsidR="0023060D" w:rsidRPr="001F40CB">
        <w:rPr>
          <w:szCs w:val="23"/>
        </w:rPr>
        <w:t xml:space="preserve"> Asia from </w:t>
      </w:r>
      <w:r w:rsidR="00B34383" w:rsidRPr="001F40CB">
        <w:rPr>
          <w:szCs w:val="23"/>
        </w:rPr>
        <w:t xml:space="preserve">its </w:t>
      </w:r>
      <w:r w:rsidR="0023060D" w:rsidRPr="001F40CB">
        <w:rPr>
          <w:szCs w:val="23"/>
        </w:rPr>
        <w:t xml:space="preserve">peak </w:t>
      </w:r>
      <w:r w:rsidR="007B7A9B" w:rsidRPr="001F40CB">
        <w:rPr>
          <w:szCs w:val="23"/>
        </w:rPr>
        <w:t>of USD</w:t>
      </w:r>
      <w:r w:rsidR="00F91497" w:rsidRPr="001F40CB">
        <w:rPr>
          <w:szCs w:val="23"/>
        </w:rPr>
        <w:t>9.4</w:t>
      </w:r>
      <w:r w:rsidR="00E65D22" w:rsidRPr="001F40CB">
        <w:rPr>
          <w:szCs w:val="23"/>
        </w:rPr>
        <w:t xml:space="preserve"> billion </w:t>
      </w:r>
      <w:r w:rsidR="0023060D" w:rsidRPr="001F40CB">
        <w:rPr>
          <w:szCs w:val="23"/>
        </w:rPr>
        <w:t>in 2013</w:t>
      </w:r>
      <w:r w:rsidR="007B7A9B" w:rsidRPr="001F40CB">
        <w:rPr>
          <w:szCs w:val="23"/>
        </w:rPr>
        <w:t xml:space="preserve"> to USD</w:t>
      </w:r>
      <w:r w:rsidR="00F91497" w:rsidRPr="001F40CB">
        <w:rPr>
          <w:szCs w:val="23"/>
        </w:rPr>
        <w:t>6 billion in 2016</w:t>
      </w:r>
      <w:r w:rsidR="0023060D" w:rsidRPr="001F40CB">
        <w:rPr>
          <w:szCs w:val="23"/>
        </w:rPr>
        <w:t>.</w:t>
      </w:r>
      <w:r w:rsidR="006C7126" w:rsidRPr="005262B6">
        <w:rPr>
          <w:rStyle w:val="FootnoteReference"/>
          <w:szCs w:val="23"/>
        </w:rPr>
        <w:footnoteReference w:id="16"/>
      </w:r>
      <w:r w:rsidR="0023060D" w:rsidRPr="005262B6">
        <w:rPr>
          <w:szCs w:val="23"/>
        </w:rPr>
        <w:t xml:space="preserve"> </w:t>
      </w:r>
      <w:r w:rsidR="009E143A" w:rsidRPr="001F40CB">
        <w:rPr>
          <w:szCs w:val="23"/>
        </w:rPr>
        <w:t xml:space="preserve">MDBs are the largest source of ODA to Vietnam and Indonesia, but the terms of their support </w:t>
      </w:r>
      <w:r w:rsidR="00367012" w:rsidRPr="001F40CB">
        <w:rPr>
          <w:szCs w:val="23"/>
        </w:rPr>
        <w:t xml:space="preserve">are </w:t>
      </w:r>
      <w:r w:rsidR="009E143A" w:rsidRPr="001F40CB">
        <w:rPr>
          <w:szCs w:val="23"/>
        </w:rPr>
        <w:t xml:space="preserve">changing. </w:t>
      </w:r>
      <w:r w:rsidR="0023060D" w:rsidRPr="001F40CB">
        <w:rPr>
          <w:szCs w:val="23"/>
        </w:rPr>
        <w:t>Indonesia graduated from the World Bank’s concessional window in 2009</w:t>
      </w:r>
      <w:r w:rsidR="009E143A" w:rsidRPr="005262B6">
        <w:rPr>
          <w:rStyle w:val="FootnoteReference"/>
          <w:szCs w:val="23"/>
        </w:rPr>
        <w:footnoteReference w:id="17"/>
      </w:r>
      <w:r w:rsidR="00450A49" w:rsidRPr="005262B6">
        <w:rPr>
          <w:szCs w:val="23"/>
        </w:rPr>
        <w:t xml:space="preserve">, </w:t>
      </w:r>
      <w:r w:rsidR="0023060D" w:rsidRPr="005262B6">
        <w:rPr>
          <w:szCs w:val="23"/>
        </w:rPr>
        <w:t>while Vietnam</w:t>
      </w:r>
      <w:r w:rsidR="00B34383" w:rsidRPr="005262B6">
        <w:rPr>
          <w:szCs w:val="23"/>
        </w:rPr>
        <w:t xml:space="preserve"> graduate</w:t>
      </w:r>
      <w:r w:rsidR="00B937BC" w:rsidRPr="005262B6">
        <w:rPr>
          <w:szCs w:val="23"/>
        </w:rPr>
        <w:t>d</w:t>
      </w:r>
      <w:r w:rsidR="00B34383" w:rsidRPr="005262B6">
        <w:rPr>
          <w:szCs w:val="23"/>
        </w:rPr>
        <w:t xml:space="preserve"> </w:t>
      </w:r>
      <w:r w:rsidR="00B937BC" w:rsidRPr="005262B6">
        <w:rPr>
          <w:szCs w:val="23"/>
        </w:rPr>
        <w:t xml:space="preserve">in 2017 </w:t>
      </w:r>
      <w:r w:rsidR="00B34383" w:rsidRPr="005262B6">
        <w:rPr>
          <w:szCs w:val="23"/>
        </w:rPr>
        <w:t xml:space="preserve">(but will have access to ‘blended’ finance for a transitional period). </w:t>
      </w:r>
      <w:r w:rsidR="009E143A" w:rsidRPr="001F40CB">
        <w:rPr>
          <w:szCs w:val="23"/>
        </w:rPr>
        <w:t>OECD donors have begun to phase out their assistance to most countries in the region</w:t>
      </w:r>
      <w:r w:rsidR="00B72DE2" w:rsidRPr="001F40CB">
        <w:rPr>
          <w:szCs w:val="23"/>
        </w:rPr>
        <w:t>,</w:t>
      </w:r>
      <w:r w:rsidR="009E143A" w:rsidRPr="001F40CB">
        <w:rPr>
          <w:szCs w:val="23"/>
        </w:rPr>
        <w:t xml:space="preserve"> with the exception of </w:t>
      </w:r>
      <w:r w:rsidR="00E65D22" w:rsidRPr="001F40CB">
        <w:rPr>
          <w:szCs w:val="23"/>
        </w:rPr>
        <w:t xml:space="preserve">the regional donors, </w:t>
      </w:r>
      <w:r w:rsidR="009E143A" w:rsidRPr="001F40CB">
        <w:rPr>
          <w:szCs w:val="23"/>
        </w:rPr>
        <w:t>Australia, Japan and Korea.</w:t>
      </w:r>
    </w:p>
    <w:p w14:paraId="69846EBF" w14:textId="77777777" w:rsidR="00E65D22" w:rsidRPr="001F40CB" w:rsidRDefault="00E65D22" w:rsidP="00E65D22">
      <w:pPr>
        <w:pStyle w:val="Heading3"/>
      </w:pPr>
      <w:bookmarkStart w:id="42" w:name="_Toc527712994"/>
      <w:r w:rsidRPr="001F40CB">
        <w:lastRenderedPageBreak/>
        <w:t>China and India</w:t>
      </w:r>
      <w:bookmarkEnd w:id="42"/>
    </w:p>
    <w:p w14:paraId="18997EAA" w14:textId="0AC85215" w:rsidR="007267BE" w:rsidRPr="001F40CB" w:rsidRDefault="006C7126" w:rsidP="002F06DF">
      <w:pPr>
        <w:rPr>
          <w:szCs w:val="23"/>
        </w:rPr>
      </w:pPr>
      <w:r w:rsidRPr="001F40CB">
        <w:rPr>
          <w:szCs w:val="23"/>
        </w:rPr>
        <w:t xml:space="preserve">China and India have become major new players in the region. </w:t>
      </w:r>
      <w:r w:rsidR="00E65D22" w:rsidRPr="001F40CB">
        <w:rPr>
          <w:szCs w:val="23"/>
        </w:rPr>
        <w:t xml:space="preserve">The </w:t>
      </w:r>
      <w:r w:rsidR="00350298" w:rsidRPr="001F40CB">
        <w:rPr>
          <w:i/>
          <w:szCs w:val="23"/>
        </w:rPr>
        <w:t xml:space="preserve">2017 Foreign Policy </w:t>
      </w:r>
      <w:r w:rsidR="00E65D22" w:rsidRPr="001F40CB">
        <w:rPr>
          <w:i/>
          <w:szCs w:val="23"/>
        </w:rPr>
        <w:t>White Paper</w:t>
      </w:r>
      <w:r w:rsidR="00E65D22" w:rsidRPr="005262B6">
        <w:rPr>
          <w:i/>
          <w:szCs w:val="23"/>
        </w:rPr>
        <w:t xml:space="preserve"> </w:t>
      </w:r>
      <w:r w:rsidR="00E65D22" w:rsidRPr="005262B6">
        <w:rPr>
          <w:szCs w:val="23"/>
        </w:rPr>
        <w:t xml:space="preserve">notes that economic growth in Asia has been accompanied by increased </w:t>
      </w:r>
      <w:r w:rsidR="00B72DE2" w:rsidRPr="001F40CB">
        <w:rPr>
          <w:szCs w:val="23"/>
        </w:rPr>
        <w:t>’</w:t>
      </w:r>
      <w:r w:rsidR="00E65D22" w:rsidRPr="001F40CB">
        <w:rPr>
          <w:szCs w:val="23"/>
        </w:rPr>
        <w:t>geo-economic competition</w:t>
      </w:r>
      <w:r w:rsidR="00B72DE2" w:rsidRPr="001F40CB">
        <w:rPr>
          <w:szCs w:val="23"/>
        </w:rPr>
        <w:t>’</w:t>
      </w:r>
      <w:r w:rsidR="00E65D22" w:rsidRPr="001F40CB">
        <w:rPr>
          <w:szCs w:val="23"/>
        </w:rPr>
        <w:t>, with trade, investment and infrastructure finance used as instruments to build strategic influence and secure commercial advantage.</w:t>
      </w:r>
    </w:p>
    <w:p w14:paraId="539CFB1A" w14:textId="59B31448" w:rsidR="00791B4D" w:rsidRPr="001B3B93" w:rsidRDefault="007267BE" w:rsidP="002F06DF">
      <w:pPr>
        <w:rPr>
          <w:szCs w:val="23"/>
        </w:rPr>
      </w:pPr>
      <w:r w:rsidRPr="001F40CB">
        <w:rPr>
          <w:szCs w:val="23"/>
        </w:rPr>
        <w:t xml:space="preserve">A new </w:t>
      </w:r>
      <w:r w:rsidR="00331A04" w:rsidRPr="001F40CB">
        <w:rPr>
          <w:szCs w:val="23"/>
        </w:rPr>
        <w:t>database</w:t>
      </w:r>
      <w:r w:rsidR="00280BD7" w:rsidRPr="005262B6">
        <w:rPr>
          <w:rStyle w:val="FootnoteReference"/>
          <w:szCs w:val="23"/>
        </w:rPr>
        <w:footnoteReference w:id="18"/>
      </w:r>
      <w:r w:rsidRPr="001F40CB">
        <w:rPr>
          <w:szCs w:val="23"/>
        </w:rPr>
        <w:t xml:space="preserve"> of Chinese</w:t>
      </w:r>
      <w:r w:rsidR="00450A49" w:rsidRPr="001F40CB">
        <w:rPr>
          <w:szCs w:val="23"/>
        </w:rPr>
        <w:t xml:space="preserve"> aid</w:t>
      </w:r>
      <w:r w:rsidR="00FA38AC" w:rsidRPr="005262B6">
        <w:rPr>
          <w:szCs w:val="23"/>
        </w:rPr>
        <w:t xml:space="preserve"> </w:t>
      </w:r>
      <w:r w:rsidRPr="005262B6">
        <w:rPr>
          <w:szCs w:val="23"/>
        </w:rPr>
        <w:t xml:space="preserve">and </w:t>
      </w:r>
      <w:r w:rsidR="004A5ABE" w:rsidRPr="005262B6">
        <w:rPr>
          <w:szCs w:val="23"/>
        </w:rPr>
        <w:t>‘</w:t>
      </w:r>
      <w:r w:rsidRPr="005262B6">
        <w:rPr>
          <w:szCs w:val="23"/>
        </w:rPr>
        <w:t>other official flows</w:t>
      </w:r>
      <w:r w:rsidR="00B01F56" w:rsidRPr="005262B6">
        <w:rPr>
          <w:szCs w:val="23"/>
        </w:rPr>
        <w:t>’</w:t>
      </w:r>
      <w:r w:rsidRPr="005262B6">
        <w:rPr>
          <w:szCs w:val="23"/>
        </w:rPr>
        <w:t xml:space="preserve"> shows at least USD64.4 billion spent in South</w:t>
      </w:r>
      <w:r w:rsidR="00626206" w:rsidRPr="005262B6">
        <w:rPr>
          <w:szCs w:val="23"/>
        </w:rPr>
        <w:t>e</w:t>
      </w:r>
      <w:r w:rsidRPr="005262B6">
        <w:rPr>
          <w:szCs w:val="23"/>
        </w:rPr>
        <w:t>ast</w:t>
      </w:r>
      <w:r w:rsidRPr="001B3B93">
        <w:rPr>
          <w:szCs w:val="23"/>
        </w:rPr>
        <w:t xml:space="preserve"> Asia betw</w:t>
      </w:r>
      <w:r w:rsidR="007B7A9B">
        <w:rPr>
          <w:szCs w:val="23"/>
        </w:rPr>
        <w:t>een 2000 and 2014, of which USD</w:t>
      </w:r>
      <w:r w:rsidRPr="001B3B93">
        <w:rPr>
          <w:szCs w:val="23"/>
        </w:rPr>
        <w:t xml:space="preserve">11.5 billion was </w:t>
      </w:r>
      <w:r w:rsidR="004A5ABE">
        <w:rPr>
          <w:szCs w:val="23"/>
        </w:rPr>
        <w:t>‘</w:t>
      </w:r>
      <w:r w:rsidRPr="001B3B93">
        <w:rPr>
          <w:szCs w:val="23"/>
        </w:rPr>
        <w:t>ODA-like</w:t>
      </w:r>
      <w:r w:rsidR="004A5ABE">
        <w:rPr>
          <w:szCs w:val="23"/>
        </w:rPr>
        <w:t>’</w:t>
      </w:r>
      <w:r w:rsidRPr="001B3B93">
        <w:rPr>
          <w:szCs w:val="23"/>
        </w:rPr>
        <w:t xml:space="preserve">. </w:t>
      </w:r>
      <w:r w:rsidR="006A221F" w:rsidRPr="001B3B93">
        <w:rPr>
          <w:szCs w:val="23"/>
        </w:rPr>
        <w:t xml:space="preserve">Of </w:t>
      </w:r>
      <w:r w:rsidR="00255D2B" w:rsidRPr="001B3B93">
        <w:rPr>
          <w:szCs w:val="23"/>
        </w:rPr>
        <w:t>China’s total flows</w:t>
      </w:r>
      <w:r w:rsidR="00D34BF8">
        <w:rPr>
          <w:szCs w:val="23"/>
        </w:rPr>
        <w:t>,</w:t>
      </w:r>
      <w:r w:rsidR="006A221F" w:rsidRPr="001B3B93">
        <w:rPr>
          <w:szCs w:val="23"/>
        </w:rPr>
        <w:t xml:space="preserve"> USD17 billion was spent in Indonesia on 86 projects, </w:t>
      </w:r>
      <w:r w:rsidR="00252CA8" w:rsidRPr="001B3B93">
        <w:rPr>
          <w:szCs w:val="23"/>
        </w:rPr>
        <w:t>at</w:t>
      </w:r>
      <w:r w:rsidR="007B7A9B">
        <w:rPr>
          <w:szCs w:val="23"/>
        </w:rPr>
        <w:t xml:space="preserve"> an average of USD</w:t>
      </w:r>
      <w:r w:rsidR="006A221F" w:rsidRPr="001B3B93">
        <w:rPr>
          <w:szCs w:val="23"/>
        </w:rPr>
        <w:t>2.5 billion per year</w:t>
      </w:r>
      <w:r w:rsidR="00791B4D" w:rsidRPr="001B3B93">
        <w:rPr>
          <w:szCs w:val="23"/>
        </w:rPr>
        <w:t xml:space="preserve">. </w:t>
      </w:r>
      <w:r w:rsidR="00255D2B" w:rsidRPr="001B3B93">
        <w:rPr>
          <w:szCs w:val="23"/>
        </w:rPr>
        <w:t xml:space="preserve">By </w:t>
      </w:r>
      <w:r w:rsidR="00791B4D" w:rsidRPr="001B3B93">
        <w:rPr>
          <w:szCs w:val="23"/>
        </w:rPr>
        <w:t>compar</w:t>
      </w:r>
      <w:r w:rsidR="00255D2B" w:rsidRPr="001B3B93">
        <w:rPr>
          <w:szCs w:val="23"/>
        </w:rPr>
        <w:t>i</w:t>
      </w:r>
      <w:r w:rsidR="00791B4D" w:rsidRPr="001B3B93">
        <w:rPr>
          <w:szCs w:val="23"/>
        </w:rPr>
        <w:t>s</w:t>
      </w:r>
      <w:r w:rsidR="00255D2B" w:rsidRPr="001B3B93">
        <w:rPr>
          <w:szCs w:val="23"/>
        </w:rPr>
        <w:t>on</w:t>
      </w:r>
      <w:r w:rsidR="00B01F56">
        <w:rPr>
          <w:szCs w:val="23"/>
        </w:rPr>
        <w:t>,</w:t>
      </w:r>
      <w:r w:rsidR="00791B4D" w:rsidRPr="001B3B93">
        <w:rPr>
          <w:szCs w:val="23"/>
        </w:rPr>
        <w:t xml:space="preserve"> Australia</w:t>
      </w:r>
      <w:r w:rsidR="00255D2B" w:rsidRPr="001B3B93">
        <w:rPr>
          <w:szCs w:val="23"/>
        </w:rPr>
        <w:t>n</w:t>
      </w:r>
      <w:r w:rsidR="00791B4D" w:rsidRPr="001B3B93">
        <w:rPr>
          <w:szCs w:val="23"/>
        </w:rPr>
        <w:t xml:space="preserve"> aid to Indonesia </w:t>
      </w:r>
      <w:r w:rsidR="00255D2B" w:rsidRPr="001B3B93">
        <w:rPr>
          <w:szCs w:val="23"/>
        </w:rPr>
        <w:t xml:space="preserve">was </w:t>
      </w:r>
      <w:r w:rsidR="00791B4D" w:rsidRPr="001B3B93">
        <w:rPr>
          <w:szCs w:val="23"/>
        </w:rPr>
        <w:t xml:space="preserve">USD376 million for 2015, </w:t>
      </w:r>
      <w:r w:rsidR="00380C8B" w:rsidRPr="001B3B93">
        <w:rPr>
          <w:szCs w:val="23"/>
        </w:rPr>
        <w:t xml:space="preserve">and </w:t>
      </w:r>
      <w:r w:rsidR="00255D2B" w:rsidRPr="001B3B93">
        <w:rPr>
          <w:szCs w:val="23"/>
        </w:rPr>
        <w:t xml:space="preserve">Indonesia’s </w:t>
      </w:r>
      <w:r w:rsidR="00B01F56">
        <w:rPr>
          <w:szCs w:val="23"/>
        </w:rPr>
        <w:t xml:space="preserve">total </w:t>
      </w:r>
      <w:r w:rsidR="00791B4D" w:rsidRPr="001B3B93">
        <w:rPr>
          <w:szCs w:val="23"/>
        </w:rPr>
        <w:t xml:space="preserve">ODA receipts </w:t>
      </w:r>
      <w:r w:rsidR="00255D2B" w:rsidRPr="001B3B93">
        <w:rPr>
          <w:szCs w:val="23"/>
        </w:rPr>
        <w:t xml:space="preserve">were </w:t>
      </w:r>
      <w:r w:rsidR="007B7A9B">
        <w:rPr>
          <w:szCs w:val="23"/>
        </w:rPr>
        <w:t>USD</w:t>
      </w:r>
      <w:r w:rsidR="00791B4D" w:rsidRPr="001B3B93">
        <w:rPr>
          <w:szCs w:val="23"/>
        </w:rPr>
        <w:t>13.5 billion</w:t>
      </w:r>
      <w:r w:rsidR="00255D2B" w:rsidRPr="001B3B93">
        <w:rPr>
          <w:szCs w:val="23"/>
        </w:rPr>
        <w:t xml:space="preserve"> in the same year</w:t>
      </w:r>
      <w:r w:rsidR="00791B4D" w:rsidRPr="001B3B93">
        <w:rPr>
          <w:szCs w:val="23"/>
        </w:rPr>
        <w:t>.</w:t>
      </w:r>
      <w:r w:rsidR="00791B4D" w:rsidRPr="001B3B93">
        <w:rPr>
          <w:rStyle w:val="FootnoteReference"/>
          <w:szCs w:val="23"/>
        </w:rPr>
        <w:footnoteReference w:id="19"/>
      </w:r>
      <w:r w:rsidR="00791B4D" w:rsidRPr="001B3B93">
        <w:rPr>
          <w:szCs w:val="23"/>
        </w:rPr>
        <w:t xml:space="preserve"> Vietnam is </w:t>
      </w:r>
      <w:r w:rsidR="00B01F56">
        <w:rPr>
          <w:szCs w:val="23"/>
        </w:rPr>
        <w:t xml:space="preserve">cautious in accepting </w:t>
      </w:r>
      <w:r w:rsidR="00791B4D" w:rsidRPr="001B3B93">
        <w:rPr>
          <w:szCs w:val="23"/>
        </w:rPr>
        <w:t>Chin</w:t>
      </w:r>
      <w:r w:rsidR="00B01F56">
        <w:rPr>
          <w:szCs w:val="23"/>
        </w:rPr>
        <w:t>ese finance</w:t>
      </w:r>
      <w:r w:rsidR="00791B4D" w:rsidRPr="001B3B93">
        <w:rPr>
          <w:szCs w:val="23"/>
        </w:rPr>
        <w:t xml:space="preserve"> but has </w:t>
      </w:r>
      <w:r w:rsidR="00A22BA1" w:rsidRPr="001B3B93">
        <w:rPr>
          <w:szCs w:val="23"/>
        </w:rPr>
        <w:t xml:space="preserve">still </w:t>
      </w:r>
      <w:r w:rsidR="00791B4D" w:rsidRPr="001B3B93">
        <w:rPr>
          <w:szCs w:val="23"/>
        </w:rPr>
        <w:t xml:space="preserve">accepted USD4.2 billion in Chinese loans over the 15-year period for which data is available. </w:t>
      </w:r>
      <w:r w:rsidR="00B01F56">
        <w:rPr>
          <w:szCs w:val="23"/>
        </w:rPr>
        <w:t xml:space="preserve">A number of countries in the region are much more dependent on Chinese support; </w:t>
      </w:r>
      <w:r w:rsidR="00B73C10">
        <w:rPr>
          <w:szCs w:val="23"/>
        </w:rPr>
        <w:t xml:space="preserve">in Cambodia, </w:t>
      </w:r>
      <w:r w:rsidR="00B01F56">
        <w:rPr>
          <w:szCs w:val="23"/>
        </w:rPr>
        <w:t xml:space="preserve">for example, Chinese investment </w:t>
      </w:r>
      <w:r w:rsidR="00380C8B" w:rsidRPr="001B3B93">
        <w:rPr>
          <w:szCs w:val="23"/>
        </w:rPr>
        <w:t>reportedly account</w:t>
      </w:r>
      <w:r w:rsidR="00B01F56">
        <w:rPr>
          <w:szCs w:val="23"/>
        </w:rPr>
        <w:t>s</w:t>
      </w:r>
      <w:r w:rsidR="00380C8B" w:rsidRPr="001B3B93">
        <w:rPr>
          <w:szCs w:val="23"/>
        </w:rPr>
        <w:t xml:space="preserve"> for 70</w:t>
      </w:r>
      <w:r w:rsidR="002D3FAC">
        <w:rPr>
          <w:szCs w:val="23"/>
        </w:rPr>
        <w:t xml:space="preserve"> </w:t>
      </w:r>
      <w:r w:rsidR="002D3FAC">
        <w:t>per cent</w:t>
      </w:r>
      <w:r w:rsidR="002D3FAC" w:rsidRPr="001B3B93">
        <w:rPr>
          <w:szCs w:val="23"/>
        </w:rPr>
        <w:t xml:space="preserve"> </w:t>
      </w:r>
      <w:r w:rsidR="00380C8B" w:rsidRPr="001B3B93">
        <w:rPr>
          <w:szCs w:val="23"/>
        </w:rPr>
        <w:t xml:space="preserve">of </w:t>
      </w:r>
      <w:r w:rsidR="00C47DA8" w:rsidRPr="001B3B93">
        <w:rPr>
          <w:szCs w:val="23"/>
        </w:rPr>
        <w:t>all</w:t>
      </w:r>
      <w:r w:rsidR="00380C8B" w:rsidRPr="001B3B93">
        <w:rPr>
          <w:szCs w:val="23"/>
        </w:rPr>
        <w:t xml:space="preserve"> industrial investment</w:t>
      </w:r>
      <w:r w:rsidR="00C47DA8" w:rsidRPr="001B3B93">
        <w:rPr>
          <w:szCs w:val="23"/>
        </w:rPr>
        <w:t>.</w:t>
      </w:r>
      <w:r w:rsidR="00C47DA8" w:rsidRPr="001B3B93">
        <w:rPr>
          <w:szCs w:val="23"/>
          <w:vertAlign w:val="superscript"/>
        </w:rPr>
        <w:footnoteReference w:id="20"/>
      </w:r>
    </w:p>
    <w:p w14:paraId="4859E8E4" w14:textId="4E213483" w:rsidR="00791B4D" w:rsidRPr="001B3B93" w:rsidRDefault="00791B4D" w:rsidP="002F06DF">
      <w:pPr>
        <w:rPr>
          <w:szCs w:val="23"/>
        </w:rPr>
      </w:pPr>
      <w:r w:rsidRPr="001B3B93">
        <w:rPr>
          <w:szCs w:val="23"/>
        </w:rPr>
        <w:t>Chinese support is heavily focused on infrastructure. In Indonesia, it has financed bridges, roads, power plants and railway projects</w:t>
      </w:r>
      <w:r w:rsidR="00B73C10">
        <w:rPr>
          <w:szCs w:val="23"/>
        </w:rPr>
        <w:t>,</w:t>
      </w:r>
      <w:r w:rsidRPr="001B3B93">
        <w:rPr>
          <w:szCs w:val="23"/>
        </w:rPr>
        <w:t xml:space="preserve"> all designed and constructed by Chinese firms. The only exceptions have been a slum improvement project financed through the Asian Infrastructure Investment Bank</w:t>
      </w:r>
      <w:r w:rsidR="00380C8B" w:rsidRPr="001B3B93">
        <w:rPr>
          <w:szCs w:val="23"/>
        </w:rPr>
        <w:t>, the establishment of Confucius institutes at Indonesian universities</w:t>
      </w:r>
      <w:r w:rsidR="00B73C10">
        <w:rPr>
          <w:szCs w:val="23"/>
        </w:rPr>
        <w:t>,</w:t>
      </w:r>
      <w:r w:rsidR="00380C8B" w:rsidRPr="001B3B93">
        <w:rPr>
          <w:szCs w:val="23"/>
        </w:rPr>
        <w:t xml:space="preserve"> and scholarships for Indonesian students to study in China.</w:t>
      </w:r>
      <w:r w:rsidR="00B937BC" w:rsidRPr="001B3B93">
        <w:rPr>
          <w:rStyle w:val="FootnoteReference"/>
          <w:szCs w:val="23"/>
        </w:rPr>
        <w:footnoteReference w:id="21"/>
      </w:r>
    </w:p>
    <w:p w14:paraId="4A0921C9" w14:textId="5E1F2BF2" w:rsidR="00534BF2" w:rsidRDefault="00A304C1" w:rsidP="002F06DF">
      <w:pPr>
        <w:rPr>
          <w:szCs w:val="23"/>
        </w:rPr>
      </w:pPr>
      <w:r w:rsidRPr="001B3B93">
        <w:rPr>
          <w:szCs w:val="23"/>
        </w:rPr>
        <w:t xml:space="preserve">India has </w:t>
      </w:r>
      <w:r w:rsidR="006C7126" w:rsidRPr="001B3B93">
        <w:rPr>
          <w:szCs w:val="23"/>
        </w:rPr>
        <w:t xml:space="preserve">increased its focus on </w:t>
      </w:r>
      <w:r w:rsidR="00FA38AC">
        <w:rPr>
          <w:szCs w:val="23"/>
        </w:rPr>
        <w:t>Southeast</w:t>
      </w:r>
      <w:r w:rsidR="00F63FD9" w:rsidRPr="001B3B93">
        <w:rPr>
          <w:szCs w:val="23"/>
        </w:rPr>
        <w:t xml:space="preserve"> Asia. It has concluded bilateral trade agreements with ASEAN and a number </w:t>
      </w:r>
      <w:r w:rsidR="006C7126" w:rsidRPr="001B3B93">
        <w:rPr>
          <w:szCs w:val="23"/>
        </w:rPr>
        <w:t xml:space="preserve">of </w:t>
      </w:r>
      <w:r w:rsidR="00F63FD9" w:rsidRPr="001B3B93">
        <w:rPr>
          <w:szCs w:val="23"/>
        </w:rPr>
        <w:t>individual states. India is also funding transport projects in several ASEAN countries, to support connectivity. Its tr</w:t>
      </w:r>
      <w:r w:rsidR="007B7A9B">
        <w:rPr>
          <w:szCs w:val="23"/>
        </w:rPr>
        <w:t>ade with ASEAN has grown to USD</w:t>
      </w:r>
      <w:r w:rsidR="00F63FD9" w:rsidRPr="001B3B93">
        <w:rPr>
          <w:szCs w:val="23"/>
        </w:rPr>
        <w:t>70 billion in 2016-17.</w:t>
      </w:r>
      <w:r w:rsidR="00F63FD9" w:rsidRPr="001B3B93">
        <w:rPr>
          <w:rStyle w:val="FootnoteReference"/>
          <w:szCs w:val="23"/>
        </w:rPr>
        <w:footnoteReference w:id="22"/>
      </w:r>
      <w:r w:rsidR="00F63FD9" w:rsidRPr="001B3B93">
        <w:rPr>
          <w:szCs w:val="23"/>
        </w:rPr>
        <w:t xml:space="preserve"> </w:t>
      </w:r>
      <w:r w:rsidR="00534BF2">
        <w:rPr>
          <w:szCs w:val="23"/>
        </w:rPr>
        <w:t xml:space="preserve">While Chinese and Indian loans may offer opportunities for developing countries, </w:t>
      </w:r>
      <w:r w:rsidR="00271EAE">
        <w:rPr>
          <w:szCs w:val="23"/>
        </w:rPr>
        <w:t>it is in Australia’s interest that they are fair and transparent in their terms and avoid creating unsustainable debt burdens.</w:t>
      </w:r>
      <w:r w:rsidR="00271EAE">
        <w:rPr>
          <w:rStyle w:val="FootnoteReference"/>
          <w:szCs w:val="23"/>
        </w:rPr>
        <w:footnoteReference w:id="23"/>
      </w:r>
    </w:p>
    <w:p w14:paraId="66CC5C6D" w14:textId="77777777" w:rsidR="005E0ED8" w:rsidRPr="001B3B93" w:rsidRDefault="006C7126" w:rsidP="00EA2125">
      <w:pPr>
        <w:pStyle w:val="Heading3"/>
      </w:pPr>
      <w:bookmarkStart w:id="43" w:name="_Toc527712995"/>
      <w:r w:rsidRPr="001B3B93">
        <w:t>The middle-income trap</w:t>
      </w:r>
      <w:bookmarkEnd w:id="43"/>
    </w:p>
    <w:p w14:paraId="4902A4BA" w14:textId="148C5996" w:rsidR="009436C4" w:rsidRPr="001B3B93" w:rsidRDefault="009436C4" w:rsidP="002E2126">
      <w:pPr>
        <w:spacing w:after="120"/>
      </w:pPr>
      <w:r w:rsidRPr="001B3B93">
        <w:t xml:space="preserve">According to the literature, </w:t>
      </w:r>
      <w:r w:rsidR="00271EAE">
        <w:t>as they progress towards upper middle</w:t>
      </w:r>
      <w:r w:rsidR="00603E30">
        <w:t>-</w:t>
      </w:r>
      <w:r w:rsidR="00271EAE">
        <w:t>income status</w:t>
      </w:r>
      <w:r w:rsidRPr="001B3B93">
        <w:t xml:space="preserve">, MICs are likely to encounter a set of conditions that hamper their continued economic growth, leading to a middle-income trap. </w:t>
      </w:r>
      <w:r w:rsidR="00C43882">
        <w:t>Over the same period</w:t>
      </w:r>
      <w:r w:rsidR="004E323F">
        <w:t xml:space="preserve">, their growth tends to become less pro-poor in nature, leading to rising inequality. </w:t>
      </w:r>
      <w:r w:rsidRPr="001B3B93">
        <w:t xml:space="preserve">There are </w:t>
      </w:r>
      <w:r w:rsidR="0043167E">
        <w:t>various</w:t>
      </w:r>
      <w:r w:rsidR="0043167E" w:rsidRPr="001B3B93">
        <w:t xml:space="preserve"> </w:t>
      </w:r>
      <w:r w:rsidRPr="001B3B93">
        <w:t xml:space="preserve">explanations for this </w:t>
      </w:r>
      <w:r w:rsidR="00C43882">
        <w:t xml:space="preserve">phenomenon </w:t>
      </w:r>
      <w:r w:rsidRPr="001B3B93">
        <w:t xml:space="preserve">and </w:t>
      </w:r>
      <w:r w:rsidR="00D34BF8">
        <w:t>varying</w:t>
      </w:r>
      <w:r w:rsidR="00D34BF8" w:rsidRPr="001B3B93">
        <w:t xml:space="preserve"> </w:t>
      </w:r>
      <w:r w:rsidRPr="001B3B93">
        <w:t>evidence as to the level of income at which it occurs.</w:t>
      </w:r>
      <w:r w:rsidRPr="001B3B93">
        <w:rPr>
          <w:rStyle w:val="FootnoteReference"/>
        </w:rPr>
        <w:footnoteReference w:id="24"/>
      </w:r>
      <w:r w:rsidRPr="001B3B93">
        <w:t xml:space="preserve"> However, the existence of a middle-income trap is widely accepted, appearing in </w:t>
      </w:r>
      <w:r w:rsidR="00071FB6">
        <w:t>more than</w:t>
      </w:r>
      <w:r w:rsidR="00071FB6" w:rsidRPr="001B3B93">
        <w:t xml:space="preserve"> </w:t>
      </w:r>
      <w:r w:rsidRPr="001B3B93">
        <w:t xml:space="preserve">300 articles. </w:t>
      </w:r>
      <w:r w:rsidR="004E323F">
        <w:t xml:space="preserve">The </w:t>
      </w:r>
      <w:r w:rsidR="00BF0EF5">
        <w:t xml:space="preserve">literature </w:t>
      </w:r>
      <w:r w:rsidR="004E323F">
        <w:t xml:space="preserve">is </w:t>
      </w:r>
      <w:r w:rsidR="0043167E">
        <w:t xml:space="preserve">more </w:t>
      </w:r>
      <w:r w:rsidR="004E323F">
        <w:t xml:space="preserve">relevant </w:t>
      </w:r>
      <w:r w:rsidR="0043167E">
        <w:t xml:space="preserve">to </w:t>
      </w:r>
      <w:r w:rsidR="004E323F">
        <w:t xml:space="preserve">Asian </w:t>
      </w:r>
      <w:r w:rsidR="004E323F">
        <w:lastRenderedPageBreak/>
        <w:t xml:space="preserve">MICs than </w:t>
      </w:r>
      <w:r w:rsidR="00071FB6">
        <w:t xml:space="preserve">to </w:t>
      </w:r>
      <w:r w:rsidR="004E323F">
        <w:t xml:space="preserve">Pacific countries, due to their size, level of industrial development and regional context. While Pacific </w:t>
      </w:r>
      <w:r w:rsidR="00BF0EF5">
        <w:t xml:space="preserve">MICs </w:t>
      </w:r>
      <w:r w:rsidR="004E323F">
        <w:t xml:space="preserve">may also face </w:t>
      </w:r>
      <w:r w:rsidR="00BF0EF5">
        <w:t xml:space="preserve">constraints on their </w:t>
      </w:r>
      <w:r w:rsidR="0043167E">
        <w:t>growth</w:t>
      </w:r>
      <w:r w:rsidR="004E323F">
        <w:t xml:space="preserve">, </w:t>
      </w:r>
      <w:r w:rsidR="00BF0EF5">
        <w:t xml:space="preserve">they </w:t>
      </w:r>
      <w:r w:rsidR="004E323F">
        <w:t xml:space="preserve">are likely to be </w:t>
      </w:r>
      <w:r w:rsidR="00BF0EF5">
        <w:t xml:space="preserve">of a </w:t>
      </w:r>
      <w:r w:rsidR="004E323F">
        <w:t>different nature.</w:t>
      </w:r>
    </w:p>
    <w:p w14:paraId="05765954" w14:textId="21694E58" w:rsidR="00EA2125" w:rsidRPr="001B3B93" w:rsidRDefault="006C7126" w:rsidP="002E2126">
      <w:pPr>
        <w:spacing w:after="120"/>
      </w:pPr>
      <w:r w:rsidRPr="001B3B93">
        <w:t>DFAT-funded r</w:t>
      </w:r>
      <w:r w:rsidR="00F42668" w:rsidRPr="001B3B93">
        <w:t xml:space="preserve">esearch by The Asia Foundation </w:t>
      </w:r>
      <w:r w:rsidRPr="001B3B93">
        <w:t>explains the difficulty that MICs face in sustaining growth.</w:t>
      </w:r>
      <w:r w:rsidR="00A87C6C" w:rsidRPr="001B3B93">
        <w:rPr>
          <w:rStyle w:val="FootnoteReference"/>
        </w:rPr>
        <w:footnoteReference w:id="25"/>
      </w:r>
      <w:r w:rsidR="00F42668" w:rsidRPr="001B3B93">
        <w:t xml:space="preserve"> Countries such as China and Vietnam escaped low-income status through </w:t>
      </w:r>
      <w:r w:rsidRPr="001B3B93">
        <w:t xml:space="preserve">a change in the structure of their economies </w:t>
      </w:r>
      <w:r w:rsidR="00F42668" w:rsidRPr="001B3B93">
        <w:t>from low productivity agriculture into light manufacturing</w:t>
      </w:r>
      <w:r w:rsidRPr="001B3B93">
        <w:t>. M</w:t>
      </w:r>
      <w:r w:rsidR="00F42668" w:rsidRPr="001B3B93">
        <w:t xml:space="preserve">ass employment in low-skilled sectors such as textiles </w:t>
      </w:r>
      <w:r w:rsidRPr="001B3B93">
        <w:t xml:space="preserve">was the </w:t>
      </w:r>
      <w:r w:rsidR="00F42668" w:rsidRPr="001B3B93">
        <w:t>driv</w:t>
      </w:r>
      <w:r w:rsidRPr="001B3B93">
        <w:t xml:space="preserve">er of large-scale </w:t>
      </w:r>
      <w:r w:rsidR="00F42668" w:rsidRPr="001B3B93">
        <w:t xml:space="preserve">poverty reduction. </w:t>
      </w:r>
      <w:r w:rsidR="00D34BF8">
        <w:t>After a period of industrial development</w:t>
      </w:r>
      <w:r w:rsidR="003117D5" w:rsidRPr="001B3B93">
        <w:t xml:space="preserve">, </w:t>
      </w:r>
      <w:r w:rsidRPr="001B3B93">
        <w:t xml:space="preserve">however, MICs face </w:t>
      </w:r>
      <w:r w:rsidR="003117D5" w:rsidRPr="001B3B93">
        <w:t>a point where the</w:t>
      </w:r>
      <w:r w:rsidR="00F42668" w:rsidRPr="001B3B93">
        <w:t xml:space="preserve"> supply of surplus labour begins to dry up, wages increase</w:t>
      </w:r>
      <w:r w:rsidR="00EF6C2F">
        <w:t>,</w:t>
      </w:r>
      <w:r w:rsidR="00F42668" w:rsidRPr="001B3B93">
        <w:t xml:space="preserve"> and the economy loses its labour-cost advantage. </w:t>
      </w:r>
      <w:r w:rsidR="00EA2125" w:rsidRPr="001B3B93">
        <w:t xml:space="preserve">This typically occurs at an income level of around USD4,000 per capita (although other factors, such as natural resource wealth, can delay it). </w:t>
      </w:r>
      <w:r w:rsidR="00F42668" w:rsidRPr="001B3B93">
        <w:t xml:space="preserve">From that point, </w:t>
      </w:r>
      <w:r w:rsidR="00FA2947" w:rsidRPr="001B3B93">
        <w:t xml:space="preserve">continued </w:t>
      </w:r>
      <w:r w:rsidR="00F42668" w:rsidRPr="001B3B93">
        <w:t xml:space="preserve">growth requires a </w:t>
      </w:r>
      <w:r w:rsidRPr="001B3B93">
        <w:t xml:space="preserve">further </w:t>
      </w:r>
      <w:r w:rsidR="00F42668" w:rsidRPr="001B3B93">
        <w:t xml:space="preserve">structural shift </w:t>
      </w:r>
      <w:r w:rsidR="00FA2947" w:rsidRPr="001B3B93">
        <w:t>to</w:t>
      </w:r>
      <w:r w:rsidRPr="001B3B93">
        <w:t>wards</w:t>
      </w:r>
      <w:r w:rsidR="00FA2947" w:rsidRPr="001B3B93">
        <w:t xml:space="preserve"> </w:t>
      </w:r>
      <w:r w:rsidR="00F42668" w:rsidRPr="001B3B93">
        <w:t xml:space="preserve">more specialised, higher-productivity manufacturing. </w:t>
      </w:r>
      <w:r w:rsidR="001C6EBA" w:rsidRPr="001B3B93">
        <w:t>While t</w:t>
      </w:r>
      <w:r w:rsidR="00F42668" w:rsidRPr="001B3B93">
        <w:t xml:space="preserve">his was </w:t>
      </w:r>
      <w:r w:rsidR="001C6EBA" w:rsidRPr="001B3B93">
        <w:t xml:space="preserve">achieved </w:t>
      </w:r>
      <w:r w:rsidR="00F42668" w:rsidRPr="001B3B93">
        <w:t>by ‘Asian tigers’ such as S</w:t>
      </w:r>
      <w:r w:rsidR="00E90F85">
        <w:t>ingapore and S</w:t>
      </w:r>
      <w:r w:rsidR="00F42668" w:rsidRPr="001B3B93">
        <w:t xml:space="preserve">outh Korea, </w:t>
      </w:r>
      <w:r w:rsidR="001C6EBA" w:rsidRPr="001B3B93">
        <w:t xml:space="preserve">most </w:t>
      </w:r>
      <w:r w:rsidR="00EA2125" w:rsidRPr="001B3B93">
        <w:t>MICs</w:t>
      </w:r>
      <w:r w:rsidR="001C6EBA" w:rsidRPr="001B3B93">
        <w:t xml:space="preserve"> find it </w:t>
      </w:r>
      <w:r w:rsidR="00EA2125" w:rsidRPr="001B3B93">
        <w:t xml:space="preserve">very difficult. </w:t>
      </w:r>
    </w:p>
    <w:p w14:paraId="37FE19C4" w14:textId="465F0290" w:rsidR="002E2126" w:rsidRDefault="006C7126" w:rsidP="00FA38AC">
      <w:r w:rsidRPr="001B3B93">
        <w:t xml:space="preserve">Escaping </w:t>
      </w:r>
      <w:r w:rsidR="00A87C6C" w:rsidRPr="001B3B93">
        <w:t>the middle-income trap</w:t>
      </w:r>
      <w:r w:rsidRPr="001B3B93">
        <w:t xml:space="preserve"> </w:t>
      </w:r>
      <w:r w:rsidR="00271EAE">
        <w:t xml:space="preserve">requires the rapid development of </w:t>
      </w:r>
      <w:r w:rsidR="00E6569C" w:rsidRPr="001B3B93">
        <w:t>more sophisticated policies and institutions.</w:t>
      </w:r>
      <w:r w:rsidR="00E6569C" w:rsidRPr="001B3B93">
        <w:rPr>
          <w:rStyle w:val="FootnoteReference"/>
        </w:rPr>
        <w:footnoteReference w:id="26"/>
      </w:r>
      <w:r w:rsidR="00E6569C" w:rsidRPr="001B3B93">
        <w:t xml:space="preserve"> Government </w:t>
      </w:r>
      <w:r w:rsidRPr="001B3B93">
        <w:t xml:space="preserve">intervention is </w:t>
      </w:r>
      <w:r w:rsidR="00E6569C" w:rsidRPr="001B3B93">
        <w:t>needed to stimulate entrepreneurship</w:t>
      </w:r>
      <w:r w:rsidR="00710178" w:rsidRPr="001B3B93">
        <w:t>,</w:t>
      </w:r>
      <w:r w:rsidR="00E6569C" w:rsidRPr="001B3B93">
        <w:t xml:space="preserve"> </w:t>
      </w:r>
      <w:r w:rsidR="00710178" w:rsidRPr="001B3B93">
        <w:t xml:space="preserve">attract </w:t>
      </w:r>
      <w:r w:rsidR="00E6569C" w:rsidRPr="001B3B93">
        <w:t xml:space="preserve">new technologies, build human capacity, upgrade infrastructure, </w:t>
      </w:r>
      <w:r w:rsidR="009448C0" w:rsidRPr="001B3B93">
        <w:t xml:space="preserve">improve the business environment </w:t>
      </w:r>
      <w:r w:rsidR="00E6569C" w:rsidRPr="001B3B93">
        <w:t>and manage rapidly growing cities. The</w:t>
      </w:r>
      <w:r w:rsidR="007B7A9B">
        <w:t>s</w:t>
      </w:r>
      <w:r w:rsidR="00E6569C" w:rsidRPr="001B3B93">
        <w:t>e are expensive reforms that call for increase</w:t>
      </w:r>
      <w:r w:rsidR="009448C0" w:rsidRPr="001B3B93">
        <w:t xml:space="preserve">s in </w:t>
      </w:r>
      <w:r w:rsidR="00E6569C" w:rsidRPr="001B3B93">
        <w:t>tax revenues</w:t>
      </w:r>
      <w:r w:rsidR="009448C0" w:rsidRPr="001B3B93">
        <w:t xml:space="preserve"> and public expenditure</w:t>
      </w:r>
      <w:r w:rsidR="00E6569C" w:rsidRPr="001B3B93">
        <w:t xml:space="preserve">. </w:t>
      </w:r>
      <w:r w:rsidR="00E6569C" w:rsidRPr="006E0849">
        <w:t>This phase of development is also as</w:t>
      </w:r>
      <w:r w:rsidR="000C0828">
        <w:t>sociated with rising inequality</w:t>
      </w:r>
      <w:r w:rsidR="00071FB6">
        <w:t>—</w:t>
      </w:r>
      <w:r w:rsidR="00E6569C" w:rsidRPr="006E0849">
        <w:t>a</w:t>
      </w:r>
      <w:r w:rsidR="00E6569C" w:rsidRPr="001B3B93">
        <w:t xml:space="preserve"> pattern already visible in both Indonesia</w:t>
      </w:r>
      <w:r w:rsidR="001C6EBA" w:rsidRPr="001B3B93">
        <w:t xml:space="preserve"> and Vietna</w:t>
      </w:r>
      <w:r w:rsidR="001C6EBA" w:rsidRPr="00C833B2">
        <w:t>m</w:t>
      </w:r>
      <w:r w:rsidR="00662B31" w:rsidRPr="00C833B2">
        <w:rPr>
          <w:rStyle w:val="FootnoteReference"/>
        </w:rPr>
        <w:footnoteReference w:id="27"/>
      </w:r>
      <w:r w:rsidR="00E90F85" w:rsidRPr="00C833B2">
        <w:t xml:space="preserve">, </w:t>
      </w:r>
      <w:r w:rsidR="007B7A9B" w:rsidRPr="00C833B2">
        <w:t>which</w:t>
      </w:r>
      <w:r w:rsidR="00662B31" w:rsidRPr="001B3B93">
        <w:t xml:space="preserve"> can create new sources of social and political tension.</w:t>
      </w:r>
      <w:r w:rsidR="00FA38AC" w:rsidRPr="00FA38AC">
        <w:t xml:space="preserve"> </w:t>
      </w:r>
      <w:r w:rsidR="00FA38AC" w:rsidRPr="001B3B93">
        <w:t>Countries reach this point in their development with deep institutional deficits</w:t>
      </w:r>
      <w:r w:rsidR="00FA38AC">
        <w:t xml:space="preserve"> (Box 2)</w:t>
      </w:r>
      <w:r w:rsidR="00FA38AC" w:rsidRPr="001B3B93">
        <w:t>.</w:t>
      </w:r>
    </w:p>
    <w:p w14:paraId="45F21FD3" w14:textId="77777777" w:rsidR="002E2126" w:rsidRDefault="002E2126">
      <w:r>
        <w:br w:type="page"/>
      </w:r>
    </w:p>
    <w:p w14:paraId="029918F4" w14:textId="77777777" w:rsidR="002E2126" w:rsidRDefault="002E2126" w:rsidP="00FA38AC"/>
    <w:p w14:paraId="1A4D5ACC" w14:textId="77777777" w:rsidR="00FA38AC" w:rsidRPr="001B3B93" w:rsidRDefault="00FA38AC" w:rsidP="002E2126">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line="240" w:lineRule="auto"/>
        <w:contextualSpacing/>
        <w:rPr>
          <w:color w:val="FFFFFF" w:themeColor="accent6"/>
        </w:rPr>
      </w:pPr>
      <w:r w:rsidRPr="001B3B93">
        <w:t xml:space="preserve">Box </w:t>
      </w:r>
      <w:r>
        <w:t>2</w:t>
      </w:r>
      <w:r w:rsidRPr="001B3B93">
        <w:t>: Institutional deficits in Vietnam</w:t>
      </w:r>
    </w:p>
    <w:p w14:paraId="24A10CCB" w14:textId="06C860BE" w:rsidR="00FA38AC" w:rsidRPr="001B3B93" w:rsidRDefault="00FA38AC" w:rsidP="00FA38A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color w:val="495965"/>
        </w:rPr>
      </w:pPr>
      <w:r w:rsidRPr="001B3B93">
        <w:rPr>
          <w:color w:val="495965"/>
        </w:rPr>
        <w:t>Since the launch of its economic reforms in the 1980s, Vietnam has been one of the most dynamic economies in the world, sustaining growth rates above 7</w:t>
      </w:r>
      <w:r>
        <w:rPr>
          <w:color w:val="495965"/>
        </w:rPr>
        <w:t xml:space="preserve"> </w:t>
      </w:r>
      <w:r w:rsidRPr="00D741F7">
        <w:rPr>
          <w:color w:val="495965"/>
        </w:rPr>
        <w:t>per cent</w:t>
      </w:r>
      <w:r w:rsidRPr="001B3B93">
        <w:rPr>
          <w:color w:val="495965"/>
        </w:rPr>
        <w:t xml:space="preserve"> over a 20-year period and quadrupling the size of the economy. The growth in low-skilled manufacturing resulted in poverty declining by 2.9 percentage points per year, from 58</w:t>
      </w:r>
      <w:r>
        <w:rPr>
          <w:color w:val="495965"/>
        </w:rPr>
        <w:t xml:space="preserve"> </w:t>
      </w:r>
      <w:r w:rsidRPr="00D741F7">
        <w:rPr>
          <w:color w:val="495965"/>
        </w:rPr>
        <w:t>per cent</w:t>
      </w:r>
      <w:r>
        <w:rPr>
          <w:color w:val="495965"/>
        </w:rPr>
        <w:t xml:space="preserve"> </w:t>
      </w:r>
      <w:r w:rsidRPr="001B3B93">
        <w:rPr>
          <w:color w:val="495965"/>
        </w:rPr>
        <w:t>in 1993 to 13.5</w:t>
      </w:r>
      <w:r>
        <w:rPr>
          <w:color w:val="495965"/>
        </w:rPr>
        <w:t xml:space="preserve"> </w:t>
      </w:r>
      <w:r w:rsidRPr="002D3FAC">
        <w:rPr>
          <w:color w:val="495965"/>
        </w:rPr>
        <w:t xml:space="preserve">per cent </w:t>
      </w:r>
      <w:r w:rsidRPr="001B3B93">
        <w:rPr>
          <w:color w:val="495965"/>
        </w:rPr>
        <w:t>in 2014.</w:t>
      </w:r>
      <w:r w:rsidRPr="001B3B93">
        <w:rPr>
          <w:color w:val="495965"/>
          <w:vertAlign w:val="superscript"/>
        </w:rPr>
        <w:footnoteReference w:id="28"/>
      </w:r>
      <w:r w:rsidRPr="001B3B93">
        <w:rPr>
          <w:color w:val="495965"/>
        </w:rPr>
        <w:t xml:space="preserve"> Yet as the country begins to lose its low-cost labour advantage, its ability to transition to a new development path is hel</w:t>
      </w:r>
      <w:r>
        <w:rPr>
          <w:color w:val="495965"/>
        </w:rPr>
        <w:t>d</w:t>
      </w:r>
      <w:r w:rsidRPr="001B3B93">
        <w:rPr>
          <w:color w:val="495965"/>
        </w:rPr>
        <w:t xml:space="preserve"> back by deep institutional constraints.</w:t>
      </w:r>
    </w:p>
    <w:p w14:paraId="51748290" w14:textId="77777777" w:rsidR="00FA38AC" w:rsidRPr="001B3B93"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rPr>
          <w:color w:val="495965"/>
        </w:rPr>
      </w:pPr>
      <w:r w:rsidRPr="001B3B93">
        <w:rPr>
          <w:rFonts w:cstheme="minorHAnsi"/>
          <w:color w:val="495965"/>
        </w:rPr>
        <w:t xml:space="preserve">• </w:t>
      </w:r>
      <w:r>
        <w:rPr>
          <w:color w:val="495965"/>
        </w:rPr>
        <w:t>Vietnam’s</w:t>
      </w:r>
      <w:r w:rsidRPr="001B3B93">
        <w:rPr>
          <w:color w:val="495965"/>
        </w:rPr>
        <w:t xml:space="preserve"> transition to a market economy remains incomplete, and state ownership of major enterprises, large budget deficits and high rates of public debt crowd out the development of an indigenous private sector.</w:t>
      </w:r>
    </w:p>
    <w:p w14:paraId="7DC1BEB4" w14:textId="77777777" w:rsidR="00FA38AC" w:rsidRPr="001B3B93"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rPr>
          <w:color w:val="495965"/>
        </w:rPr>
      </w:pPr>
      <w:r w:rsidRPr="001B3B93">
        <w:rPr>
          <w:rFonts w:cstheme="minorHAnsi"/>
          <w:color w:val="495965"/>
        </w:rPr>
        <w:t xml:space="preserve">• </w:t>
      </w:r>
      <w:r w:rsidRPr="001B3B93">
        <w:rPr>
          <w:color w:val="495965"/>
        </w:rPr>
        <w:t>According to World Bank measures, regulatory quality has improved little over the past 20 years.</w:t>
      </w:r>
    </w:p>
    <w:p w14:paraId="0CBDEAEB" w14:textId="77777777" w:rsidR="00FA38AC" w:rsidRPr="001B3B93"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rPr>
          <w:color w:val="495965"/>
        </w:rPr>
      </w:pPr>
      <w:r w:rsidRPr="001B3B93">
        <w:rPr>
          <w:rFonts w:cstheme="minorHAnsi"/>
          <w:color w:val="495965"/>
        </w:rPr>
        <w:t xml:space="preserve">• </w:t>
      </w:r>
      <w:r w:rsidRPr="001B3B93">
        <w:rPr>
          <w:color w:val="495965"/>
        </w:rPr>
        <w:t>Public investment remains highly inefficient, owing to an inadequate legal framework for investment management, weak planning and budgeting, and coordination challenges across 63 provinces. Political economy pressures lead to many public investment projects being launched but never completed.</w:t>
      </w:r>
    </w:p>
    <w:p w14:paraId="6CE9DFA8" w14:textId="77777777" w:rsidR="00FA38AC" w:rsidRPr="001B3B93"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line="240" w:lineRule="auto"/>
        <w:rPr>
          <w:color w:val="495965"/>
        </w:rPr>
      </w:pPr>
      <w:r w:rsidRPr="001B3B93">
        <w:rPr>
          <w:rFonts w:cstheme="minorHAnsi"/>
          <w:color w:val="495965"/>
        </w:rPr>
        <w:t xml:space="preserve">• </w:t>
      </w:r>
      <w:r w:rsidRPr="001B3B93">
        <w:rPr>
          <w:color w:val="495965"/>
        </w:rPr>
        <w:t>To fund the expansion of public services, both formal user charges and informal co-payments have increased, creating problems of access and equity.</w:t>
      </w:r>
    </w:p>
    <w:p w14:paraId="63362943" w14:textId="77777777" w:rsidR="00FA38AC" w:rsidRPr="001B3B93"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60" w:after="60" w:line="240" w:lineRule="auto"/>
        <w:rPr>
          <w:color w:val="495965"/>
        </w:rPr>
      </w:pPr>
      <w:r w:rsidRPr="001B3B93">
        <w:rPr>
          <w:rFonts w:cstheme="minorHAnsi"/>
          <w:color w:val="495965"/>
        </w:rPr>
        <w:t xml:space="preserve">• </w:t>
      </w:r>
      <w:r w:rsidRPr="001B3B93">
        <w:rPr>
          <w:color w:val="495965"/>
        </w:rPr>
        <w:t>While foreign direct investment is high, it is dominated by low value-added assembly operations that bring few wider economic benefits (such as technology transfer or building local supply chains).</w:t>
      </w:r>
    </w:p>
    <w:p w14:paraId="2FD9EBA6" w14:textId="2A6B3082" w:rsidR="00FA38AC" w:rsidRDefault="00FA38AC" w:rsidP="002E2126">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spacing w:before="0" w:after="60" w:line="240" w:lineRule="auto"/>
      </w:pPr>
      <w:r w:rsidRPr="00D741F7">
        <w:t>Source</w:t>
      </w:r>
      <w:r w:rsidRPr="005262B6">
        <w:t>:</w:t>
      </w:r>
      <w:r w:rsidR="00930379" w:rsidRPr="005262B6">
        <w:t xml:space="preserve"> Cox and Hanh, </w:t>
      </w:r>
      <w:hyperlink r:id="rId24" w:history="1">
        <w:r w:rsidR="00930379" w:rsidRPr="005262B6">
          <w:rPr>
            <w:rStyle w:val="Hyperlink"/>
          </w:rPr>
          <w:t>Development Finance for Sustainable Development Goals in Vietnam</w:t>
        </w:r>
      </w:hyperlink>
      <w:r w:rsidR="00930379" w:rsidRPr="005262B6">
        <w:t>, 2014</w:t>
      </w:r>
      <w:r w:rsidR="005262B6">
        <w:t>.</w:t>
      </w:r>
    </w:p>
    <w:p w14:paraId="284D9241" w14:textId="1FBC6F61" w:rsidR="00EA2125" w:rsidRPr="001B3B93" w:rsidRDefault="00EA2125" w:rsidP="002F06DF"/>
    <w:p w14:paraId="2BC3711F" w14:textId="3CF84438" w:rsidR="00FA38AC" w:rsidRPr="001B3B93" w:rsidRDefault="00FA38AC" w:rsidP="00FA38AC">
      <w:r w:rsidRPr="001B3B93">
        <w:t xml:space="preserve">Early-stage industrialisation can be achieved with a basic endowment of public institutions. </w:t>
      </w:r>
      <w:r w:rsidR="009448C0" w:rsidRPr="001B3B93">
        <w:t xml:space="preserve">The next phase of development, however, calls for much more sophisticated institutions. </w:t>
      </w:r>
      <w:r w:rsidR="00710178" w:rsidRPr="001B3B93">
        <w:t xml:space="preserve">The Asia Foundation calls this the ‘S-curve’ of institutional development (Figure </w:t>
      </w:r>
      <w:r w:rsidR="002A35BC">
        <w:t>1</w:t>
      </w:r>
      <w:r w:rsidR="00710178" w:rsidRPr="001B3B93">
        <w:t>)</w:t>
      </w:r>
      <w:r w:rsidR="00BC6680">
        <w:t>.</w:t>
      </w:r>
      <w:r>
        <w:t xml:space="preserve"> </w:t>
      </w:r>
      <w:r w:rsidRPr="001B3B93">
        <w:t>Overcoming this institutional deficit is a deeply political challenge. Industrialisation creates new business and bureaucratic elites able to influence public policy in their own interest, creating barriers to entry and preventing the ‘creative destruction’ needed to move to a more productive economy.</w:t>
      </w:r>
      <w:r w:rsidRPr="001B3B93">
        <w:rPr>
          <w:rStyle w:val="FootnoteReference"/>
        </w:rPr>
        <w:footnoteReference w:id="29"/>
      </w:r>
      <w:r w:rsidRPr="001B3B93">
        <w:t xml:space="preserve"> The rise of the middle </w:t>
      </w:r>
      <w:r w:rsidRPr="005262B6">
        <w:t>class</w:t>
      </w:r>
      <w:r w:rsidRPr="005262B6">
        <w:rPr>
          <w:vertAlign w:val="superscript"/>
        </w:rPr>
        <w:footnoteReference w:id="30"/>
      </w:r>
      <w:r w:rsidRPr="005262B6">
        <w:t xml:space="preserve"> and the politicisation</w:t>
      </w:r>
      <w:r w:rsidRPr="001B3B93">
        <w:t xml:space="preserve"> of inequality can lead to a fragmentation of </w:t>
      </w:r>
      <w:r w:rsidRPr="00C833B2">
        <w:t>politics</w:t>
      </w:r>
      <w:r w:rsidRPr="00C833B2">
        <w:rPr>
          <w:rStyle w:val="FootnoteReference"/>
        </w:rPr>
        <w:footnoteReference w:id="31"/>
      </w:r>
      <w:r w:rsidR="00E90F85" w:rsidRPr="00C833B2">
        <w:t xml:space="preserve">, </w:t>
      </w:r>
      <w:r w:rsidRPr="00C833B2">
        <w:t>making</w:t>
      </w:r>
      <w:r w:rsidRPr="001B3B93">
        <w:t xml:space="preserve"> it more difficult to change policy direction.</w:t>
      </w:r>
      <w:r w:rsidRPr="001B3B93">
        <w:rPr>
          <w:rStyle w:val="FootnoteReference"/>
        </w:rPr>
        <w:footnoteReference w:id="32"/>
      </w:r>
      <w:r>
        <w:t xml:space="preserve"> These political challenges are likely to manifest in different ways in different countries, requiring different approaches to external support.</w:t>
      </w:r>
    </w:p>
    <w:p w14:paraId="6304C2D2" w14:textId="77777777" w:rsidR="00EF6C2F" w:rsidRPr="001B3B93" w:rsidRDefault="00EF6C2F" w:rsidP="002F06DF"/>
    <w:p w14:paraId="4C71049D" w14:textId="64ED1E01" w:rsidR="00C34B7A" w:rsidRPr="00C34B7A" w:rsidRDefault="00C34B7A" w:rsidP="00C34B7A">
      <w:pPr>
        <w:pStyle w:val="Caption"/>
        <w:keepNext/>
        <w:rPr>
          <w:b/>
          <w:iCs w:val="0"/>
          <w:color w:val="005C66" w:themeColor="accent1" w:themeShade="BF"/>
          <w:sz w:val="22"/>
          <w:szCs w:val="22"/>
        </w:rPr>
      </w:pPr>
      <w:r w:rsidRPr="00C34B7A">
        <w:rPr>
          <w:b/>
          <w:iCs w:val="0"/>
          <w:color w:val="005C66" w:themeColor="accent1" w:themeShade="BF"/>
          <w:sz w:val="22"/>
          <w:szCs w:val="22"/>
        </w:rPr>
        <w:t xml:space="preserve">Figure </w:t>
      </w:r>
      <w:r w:rsidRPr="00C34B7A">
        <w:rPr>
          <w:b/>
          <w:iCs w:val="0"/>
          <w:color w:val="005C66" w:themeColor="accent1" w:themeShade="BF"/>
          <w:sz w:val="22"/>
          <w:szCs w:val="22"/>
        </w:rPr>
        <w:fldChar w:fldCharType="begin"/>
      </w:r>
      <w:r w:rsidRPr="00C34B7A">
        <w:rPr>
          <w:b/>
          <w:iCs w:val="0"/>
          <w:color w:val="005C66" w:themeColor="accent1" w:themeShade="BF"/>
          <w:sz w:val="22"/>
          <w:szCs w:val="22"/>
        </w:rPr>
        <w:instrText xml:space="preserve"> SEQ Figure \* ARABIC </w:instrText>
      </w:r>
      <w:r w:rsidRPr="00C34B7A">
        <w:rPr>
          <w:b/>
          <w:iCs w:val="0"/>
          <w:color w:val="005C66" w:themeColor="accent1" w:themeShade="BF"/>
          <w:sz w:val="22"/>
          <w:szCs w:val="22"/>
        </w:rPr>
        <w:fldChar w:fldCharType="separate"/>
      </w:r>
      <w:r>
        <w:rPr>
          <w:b/>
          <w:iCs w:val="0"/>
          <w:noProof/>
          <w:color w:val="005C66" w:themeColor="accent1" w:themeShade="BF"/>
          <w:sz w:val="22"/>
          <w:szCs w:val="22"/>
        </w:rPr>
        <w:t>1</w:t>
      </w:r>
      <w:r w:rsidRPr="00C34B7A">
        <w:rPr>
          <w:b/>
          <w:iCs w:val="0"/>
          <w:color w:val="005C66" w:themeColor="accent1" w:themeShade="BF"/>
          <w:sz w:val="22"/>
          <w:szCs w:val="22"/>
        </w:rPr>
        <w:fldChar w:fldCharType="end"/>
      </w:r>
      <w:r w:rsidRPr="00C34B7A">
        <w:rPr>
          <w:b/>
          <w:iCs w:val="0"/>
          <w:color w:val="005C66" w:themeColor="accent1" w:themeShade="BF"/>
          <w:sz w:val="22"/>
          <w:szCs w:val="22"/>
        </w:rPr>
        <w:t>: The S-curve of institutional development</w:t>
      </w:r>
    </w:p>
    <w:p w14:paraId="06948418" w14:textId="4500367F" w:rsidR="00710178" w:rsidRDefault="00710178" w:rsidP="00710178">
      <w:r w:rsidRPr="001B3B93">
        <w:rPr>
          <w:rFonts w:eastAsia="Calibri" w:cs="Times New Roman"/>
          <w:noProof/>
          <w:lang w:eastAsia="en-AU"/>
        </w:rPr>
        <mc:AlternateContent>
          <mc:Choice Requires="wpg">
            <w:drawing>
              <wp:inline distT="0" distB="0" distL="0" distR="0" wp14:anchorId="5DD44DFF" wp14:editId="435D3883">
                <wp:extent cx="5170170" cy="3413570"/>
                <wp:effectExtent l="0" t="0" r="11430" b="0"/>
                <wp:docPr id="4" name="Group 4" descr="This figure shows that between income levels $1000 and $4000 the stock of public institutions is low. To move from $4000 to advanced economy of $25 000, major institutional investment is needed, leading to a rapid increase in stock. Once countries reach advanced economy, most institutions are in place and stock remains high. "/>
                <wp:cNvGraphicFramePr/>
                <a:graphic xmlns:a="http://schemas.openxmlformats.org/drawingml/2006/main">
                  <a:graphicData uri="http://schemas.microsoft.com/office/word/2010/wordprocessingGroup">
                    <wpg:wgp>
                      <wpg:cNvGrpSpPr/>
                      <wpg:grpSpPr>
                        <a:xfrm>
                          <a:off x="0" y="0"/>
                          <a:ext cx="5170170" cy="3413570"/>
                          <a:chOff x="0" y="0"/>
                          <a:chExt cx="5170170" cy="3284220"/>
                        </a:xfrm>
                      </wpg:grpSpPr>
                      <wps:wsp>
                        <wps:cNvPr id="5" name="Text Box 5"/>
                        <wps:cNvSpPr txBox="1"/>
                        <wps:spPr>
                          <a:xfrm>
                            <a:off x="1184910" y="3059430"/>
                            <a:ext cx="590550" cy="220980"/>
                          </a:xfrm>
                          <a:prstGeom prst="rect">
                            <a:avLst/>
                          </a:prstGeom>
                          <a:solidFill>
                            <a:sysClr val="window" lastClr="FFFFFF"/>
                          </a:solidFill>
                          <a:ln w="6350">
                            <a:noFill/>
                          </a:ln>
                        </wps:spPr>
                        <wps:txbx>
                          <w:txbxContent>
                            <w:p w14:paraId="78EF918A" w14:textId="77777777" w:rsidR="00222AD3" w:rsidRPr="000018AD" w:rsidRDefault="00222AD3" w:rsidP="00710178">
                              <w:pPr>
                                <w:rPr>
                                  <w:b/>
                                  <w:i/>
                                  <w:sz w:val="18"/>
                                </w:rPr>
                              </w:pPr>
                              <w:r w:rsidRPr="000018AD">
                                <w:rPr>
                                  <w:b/>
                                  <w:i/>
                                  <w:sz w:val="18"/>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55270" y="0"/>
                            <a:ext cx="369570" cy="1093470"/>
                          </a:xfrm>
                          <a:prstGeom prst="rect">
                            <a:avLst/>
                          </a:prstGeom>
                          <a:solidFill>
                            <a:sysClr val="window" lastClr="FFFFFF"/>
                          </a:solidFill>
                          <a:ln w="6350">
                            <a:noFill/>
                          </a:ln>
                        </wps:spPr>
                        <wps:txbx>
                          <w:txbxContent>
                            <w:p w14:paraId="787AB689" w14:textId="77777777" w:rsidR="00222AD3" w:rsidRPr="000018AD" w:rsidRDefault="00222AD3" w:rsidP="00710178">
                              <w:pPr>
                                <w:jc w:val="right"/>
                                <w:rPr>
                                  <w:b/>
                                  <w:i/>
                                </w:rPr>
                              </w:pPr>
                              <w:r w:rsidRPr="000018AD">
                                <w:rPr>
                                  <w:b/>
                                  <w:i/>
                                </w:rPr>
                                <w:t>High</w:t>
                              </w:r>
                            </w:p>
                            <w:p w14:paraId="16B9A5E6" w14:textId="77777777" w:rsidR="00222AD3" w:rsidRPr="000018AD" w:rsidRDefault="00222AD3" w:rsidP="00710178">
                              <w:pPr>
                                <w:jc w:val="right"/>
                                <w:rPr>
                                  <w:b/>
                                  <w:i/>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7" name="Text Box 7"/>
                        <wps:cNvSpPr txBox="1"/>
                        <wps:spPr>
                          <a:xfrm>
                            <a:off x="255270" y="1958340"/>
                            <a:ext cx="369570" cy="1093470"/>
                          </a:xfrm>
                          <a:prstGeom prst="rect">
                            <a:avLst/>
                          </a:prstGeom>
                          <a:solidFill>
                            <a:sysClr val="window" lastClr="FFFFFF"/>
                          </a:solidFill>
                          <a:ln w="6350">
                            <a:noFill/>
                          </a:ln>
                        </wps:spPr>
                        <wps:txbx>
                          <w:txbxContent>
                            <w:p w14:paraId="00A7083C" w14:textId="77777777" w:rsidR="00222AD3" w:rsidRPr="000018AD" w:rsidRDefault="00222AD3" w:rsidP="00710178">
                              <w:pPr>
                                <w:rPr>
                                  <w:b/>
                                  <w:i/>
                                </w:rPr>
                              </w:pPr>
                              <w:r>
                                <w:rPr>
                                  <w:b/>
                                  <w:i/>
                                </w:rPr>
                                <w:t>Low</w:t>
                              </w:r>
                            </w:p>
                            <w:p w14:paraId="22F38532" w14:textId="77777777" w:rsidR="00222AD3" w:rsidRPr="000018AD" w:rsidRDefault="00222AD3" w:rsidP="00710178">
                              <w:pPr>
                                <w:jc w:val="right"/>
                                <w:rPr>
                                  <w:b/>
                                  <w:i/>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8" name="Rectangle 8"/>
                        <wps:cNvSpPr/>
                        <wps:spPr>
                          <a:xfrm>
                            <a:off x="552450" y="0"/>
                            <a:ext cx="4617720" cy="3055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H="1">
                            <a:off x="1493520" y="7620"/>
                            <a:ext cx="0" cy="3051810"/>
                          </a:xfrm>
                          <a:prstGeom prst="line">
                            <a:avLst/>
                          </a:prstGeom>
                          <a:noFill/>
                          <a:ln w="6350" cap="flat" cmpd="sng" algn="ctr">
                            <a:solidFill>
                              <a:sysClr val="windowText" lastClr="000000"/>
                            </a:solidFill>
                            <a:prstDash val="solid"/>
                            <a:miter lim="800000"/>
                          </a:ln>
                          <a:effectLst/>
                        </wps:spPr>
                        <wps:bodyPr/>
                      </wps:wsp>
                      <wps:wsp>
                        <wps:cNvPr id="10" name="Straight Connector 10"/>
                        <wps:cNvCnPr/>
                        <wps:spPr>
                          <a:xfrm flipH="1">
                            <a:off x="2533650" y="7620"/>
                            <a:ext cx="22860" cy="3044190"/>
                          </a:xfrm>
                          <a:prstGeom prst="line">
                            <a:avLst/>
                          </a:prstGeom>
                          <a:noFill/>
                          <a:ln w="6350" cap="flat" cmpd="sng" algn="ctr">
                            <a:solidFill>
                              <a:sysClr val="windowText" lastClr="000000"/>
                            </a:solidFill>
                            <a:prstDash val="solid"/>
                            <a:miter lim="800000"/>
                          </a:ln>
                          <a:effectLst/>
                        </wps:spPr>
                        <wps:bodyPr/>
                      </wps:wsp>
                      <wps:wsp>
                        <wps:cNvPr id="11" name="Straight Connector 11"/>
                        <wps:cNvCnPr/>
                        <wps:spPr>
                          <a:xfrm flipH="1">
                            <a:off x="4137660" y="7620"/>
                            <a:ext cx="0" cy="3048000"/>
                          </a:xfrm>
                          <a:prstGeom prst="line">
                            <a:avLst/>
                          </a:prstGeom>
                          <a:noFill/>
                          <a:ln w="6350" cap="flat" cmpd="sng" algn="ctr">
                            <a:solidFill>
                              <a:sysClr val="windowText" lastClr="000000"/>
                            </a:solidFill>
                            <a:prstDash val="solid"/>
                            <a:miter lim="800000"/>
                          </a:ln>
                          <a:effectLst/>
                        </wps:spPr>
                        <wps:bodyPr/>
                      </wps:wsp>
                      <wps:wsp>
                        <wps:cNvPr id="12" name="Freeform: Shape 12"/>
                        <wps:cNvSpPr/>
                        <wps:spPr>
                          <a:xfrm>
                            <a:off x="636270" y="708660"/>
                            <a:ext cx="4404360" cy="2090420"/>
                          </a:xfrm>
                          <a:custGeom>
                            <a:avLst/>
                            <a:gdLst>
                              <a:gd name="connsiteX0" fmla="*/ 4347210 w 4347210"/>
                              <a:gd name="connsiteY0" fmla="*/ 21958 h 2235568"/>
                              <a:gd name="connsiteX1" fmla="*/ 3135630 w 4347210"/>
                              <a:gd name="connsiteY1" fmla="*/ 261988 h 2235568"/>
                              <a:gd name="connsiteX2" fmla="*/ 2023110 w 4347210"/>
                              <a:gd name="connsiteY2" fmla="*/ 1877428 h 2235568"/>
                              <a:gd name="connsiteX3" fmla="*/ 0 w 4347210"/>
                              <a:gd name="connsiteY3" fmla="*/ 2235568 h 2235568"/>
                            </a:gdLst>
                            <a:ahLst/>
                            <a:cxnLst>
                              <a:cxn ang="0">
                                <a:pos x="connsiteX0" y="connsiteY0"/>
                              </a:cxn>
                              <a:cxn ang="0">
                                <a:pos x="connsiteX1" y="connsiteY1"/>
                              </a:cxn>
                              <a:cxn ang="0">
                                <a:pos x="connsiteX2" y="connsiteY2"/>
                              </a:cxn>
                              <a:cxn ang="0">
                                <a:pos x="connsiteX3" y="connsiteY3"/>
                              </a:cxn>
                            </a:cxnLst>
                            <a:rect l="l" t="t" r="r" b="b"/>
                            <a:pathLst>
                              <a:path w="4347210" h="2235568">
                                <a:moveTo>
                                  <a:pt x="4347210" y="21958"/>
                                </a:moveTo>
                                <a:cubicBezTo>
                                  <a:pt x="3935095" y="-12650"/>
                                  <a:pt x="3522980" y="-47257"/>
                                  <a:pt x="3135630" y="261988"/>
                                </a:cubicBezTo>
                                <a:cubicBezTo>
                                  <a:pt x="2748280" y="571233"/>
                                  <a:pt x="2545715" y="1548498"/>
                                  <a:pt x="2023110" y="1877428"/>
                                </a:cubicBezTo>
                                <a:cubicBezTo>
                                  <a:pt x="1500505" y="2206358"/>
                                  <a:pt x="750252" y="2220963"/>
                                  <a:pt x="0" y="2235568"/>
                                </a:cubicBezTo>
                              </a:path>
                            </a:pathLst>
                          </a:cu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565910" y="1958340"/>
                            <a:ext cx="849630" cy="335280"/>
                          </a:xfrm>
                          <a:prstGeom prst="rect">
                            <a:avLst/>
                          </a:prstGeom>
                          <a:solidFill>
                            <a:sysClr val="window" lastClr="FFFFFF"/>
                          </a:solidFill>
                          <a:ln w="6350">
                            <a:solidFill>
                              <a:prstClr val="black"/>
                            </a:solidFill>
                          </a:ln>
                        </wps:spPr>
                        <wps:txbx>
                          <w:txbxContent>
                            <w:p w14:paraId="66C3C3A3" w14:textId="77777777" w:rsidR="00222AD3" w:rsidRPr="00361ACB" w:rsidRDefault="00222AD3" w:rsidP="00710178">
                              <w:pPr>
                                <w:jc w:val="center"/>
                                <w:rPr>
                                  <w:sz w:val="14"/>
                                </w:rPr>
                              </w:pPr>
                              <w:r>
                                <w:rPr>
                                  <w:sz w:val="14"/>
                                </w:rPr>
                                <w:t>Basic institutions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402330" y="1725930"/>
                            <a:ext cx="636270" cy="605790"/>
                          </a:xfrm>
                          <a:prstGeom prst="rect">
                            <a:avLst/>
                          </a:prstGeom>
                          <a:solidFill>
                            <a:sysClr val="window" lastClr="FFFFFF"/>
                          </a:solidFill>
                          <a:ln w="6350">
                            <a:solidFill>
                              <a:prstClr val="black"/>
                            </a:solidFill>
                          </a:ln>
                        </wps:spPr>
                        <wps:txbx>
                          <w:txbxContent>
                            <w:p w14:paraId="367AF1FB" w14:textId="77777777" w:rsidR="00222AD3" w:rsidRPr="00361ACB" w:rsidRDefault="00222AD3" w:rsidP="00710178">
                              <w:pPr>
                                <w:jc w:val="center"/>
                                <w:rPr>
                                  <w:sz w:val="14"/>
                                </w:rPr>
                              </w:pPr>
                              <w:r>
                                <w:rPr>
                                  <w:sz w:val="14"/>
                                </w:rPr>
                                <w:t>Major institutional investment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H="1">
                            <a:off x="1710690" y="2293620"/>
                            <a:ext cx="121920" cy="403860"/>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Straight Arrow Connector 16"/>
                        <wps:cNvCnPr/>
                        <wps:spPr>
                          <a:xfrm>
                            <a:off x="2133600" y="2293620"/>
                            <a:ext cx="95250" cy="29337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Straight Arrow Connector 17"/>
                        <wps:cNvCnPr/>
                        <wps:spPr>
                          <a:xfrm flipH="1" flipV="1">
                            <a:off x="3569970" y="1348740"/>
                            <a:ext cx="160020" cy="377190"/>
                          </a:xfrm>
                          <a:prstGeom prst="straightConnector1">
                            <a:avLst/>
                          </a:prstGeom>
                          <a:noFill/>
                          <a:ln w="6350" cap="flat" cmpd="sng" algn="ctr">
                            <a:solidFill>
                              <a:sysClr val="windowText" lastClr="000000"/>
                            </a:solidFill>
                            <a:prstDash val="solid"/>
                            <a:miter lim="800000"/>
                            <a:tailEnd type="triangle"/>
                          </a:ln>
                          <a:effectLst/>
                        </wps:spPr>
                        <wps:bodyPr/>
                      </wps:wsp>
                      <wps:wsp>
                        <wps:cNvPr id="18" name="Straight Arrow Connector 18"/>
                        <wps:cNvCnPr/>
                        <wps:spPr>
                          <a:xfrm flipH="1">
                            <a:off x="3147060" y="2034540"/>
                            <a:ext cx="255270" cy="3810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Rectangle 19"/>
                        <wps:cNvSpPr/>
                        <wps:spPr>
                          <a:xfrm>
                            <a:off x="4331970" y="1040130"/>
                            <a:ext cx="735330" cy="464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2E5222" w14:textId="77777777" w:rsidR="00222AD3" w:rsidRPr="000018AD" w:rsidRDefault="00222AD3" w:rsidP="00710178">
                              <w:pPr>
                                <w:jc w:val="center"/>
                                <w:rPr>
                                  <w:sz w:val="14"/>
                                </w:rPr>
                              </w:pPr>
                              <w:r>
                                <w:rPr>
                                  <w:sz w:val="14"/>
                                </w:rPr>
                                <w:t>Mature institutions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flipV="1">
                            <a:off x="4693920" y="807720"/>
                            <a:ext cx="0" cy="23241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Text Box 21"/>
                        <wps:cNvSpPr txBox="1"/>
                        <wps:spPr>
                          <a:xfrm>
                            <a:off x="0" y="7620"/>
                            <a:ext cx="369570" cy="3044190"/>
                          </a:xfrm>
                          <a:prstGeom prst="rect">
                            <a:avLst/>
                          </a:prstGeom>
                          <a:solidFill>
                            <a:sysClr val="window" lastClr="FFFFFF"/>
                          </a:solidFill>
                          <a:ln w="6350">
                            <a:noFill/>
                          </a:ln>
                        </wps:spPr>
                        <wps:txbx>
                          <w:txbxContent>
                            <w:p w14:paraId="6E3143B2" w14:textId="77777777" w:rsidR="00222AD3" w:rsidRPr="000018AD" w:rsidRDefault="00222AD3" w:rsidP="00710178">
                              <w:pPr>
                                <w:jc w:val="center"/>
                                <w:rPr>
                                  <w:b/>
                                  <w:i/>
                                </w:rPr>
                              </w:pPr>
                              <w:r>
                                <w:rPr>
                                  <w:b/>
                                  <w:i/>
                                </w:rPr>
                                <w:t>Total stock of public institutions</w:t>
                              </w:r>
                            </w:p>
                            <w:p w14:paraId="72FEFC5F" w14:textId="77777777" w:rsidR="00222AD3" w:rsidRPr="000018AD" w:rsidRDefault="00222AD3" w:rsidP="00710178">
                              <w:pPr>
                                <w:jc w:val="right"/>
                                <w:rPr>
                                  <w:b/>
                                  <w:i/>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844290" y="3063240"/>
                            <a:ext cx="590550" cy="220980"/>
                          </a:xfrm>
                          <a:prstGeom prst="rect">
                            <a:avLst/>
                          </a:prstGeom>
                          <a:solidFill>
                            <a:sysClr val="window" lastClr="FFFFFF"/>
                          </a:solidFill>
                          <a:ln w="6350">
                            <a:noFill/>
                          </a:ln>
                        </wps:spPr>
                        <wps:txbx>
                          <w:txbxContent>
                            <w:p w14:paraId="0B0CFF10" w14:textId="77777777" w:rsidR="00222AD3" w:rsidRPr="000018AD" w:rsidRDefault="00222AD3" w:rsidP="00710178">
                              <w:pPr>
                                <w:rPr>
                                  <w:b/>
                                  <w:i/>
                                  <w:sz w:val="18"/>
                                </w:rPr>
                              </w:pPr>
                              <w:r>
                                <w:rPr>
                                  <w:b/>
                                  <w:i/>
                                  <w:sz w:val="18"/>
                                </w:rPr>
                                <w:t>$25</w:t>
                              </w:r>
                              <w:r w:rsidRPr="000018AD">
                                <w:rPr>
                                  <w:b/>
                                  <w:i/>
                                  <w:sz w:val="18"/>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40280" y="3063240"/>
                            <a:ext cx="590550" cy="220980"/>
                          </a:xfrm>
                          <a:prstGeom prst="rect">
                            <a:avLst/>
                          </a:prstGeom>
                          <a:solidFill>
                            <a:sysClr val="window" lastClr="FFFFFF"/>
                          </a:solidFill>
                          <a:ln w="6350">
                            <a:noFill/>
                          </a:ln>
                        </wps:spPr>
                        <wps:txbx>
                          <w:txbxContent>
                            <w:p w14:paraId="32936223" w14:textId="77777777" w:rsidR="00222AD3" w:rsidRPr="000018AD" w:rsidRDefault="00222AD3" w:rsidP="00710178">
                              <w:pPr>
                                <w:rPr>
                                  <w:b/>
                                  <w:i/>
                                  <w:sz w:val="18"/>
                                </w:rPr>
                              </w:pPr>
                              <w:r>
                                <w:rPr>
                                  <w:b/>
                                  <w:i/>
                                  <w:sz w:val="18"/>
                                </w:rPr>
                                <w:t>$4</w:t>
                              </w:r>
                              <w:r w:rsidRPr="000018AD">
                                <w:rPr>
                                  <w:b/>
                                  <w:i/>
                                  <w:sz w:val="18"/>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D44DFF" id="Group 4" o:spid="_x0000_s1027" alt="This figure shows that between income levels $1000 and $4000 the stock of public institutions is low. To move from $4000 to advanced economy of $25 000, major institutional investment is needed, leading to a rapid increase in stock. Once countries reach advanced economy, most institutions are in place and stock remains high. " style="width:407.1pt;height:268.8pt;mso-position-horizontal-relative:char;mso-position-vertical-relative:line" coordsize="51701,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">
                <v:shape id="Text Box 5" o:spid="_x0000_s1028" type="#_x0000_t202" style="position:absolute;left:11849;top:30594;width:5905;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78EF918A" w14:textId="77777777" w:rsidR="00222AD3" w:rsidRPr="000018AD" w:rsidRDefault="00222AD3" w:rsidP="00710178">
                        <w:pPr>
                          <w:rPr>
                            <w:b/>
                            <w:i/>
                            <w:sz w:val="18"/>
                          </w:rPr>
                        </w:pPr>
                        <w:r w:rsidRPr="000018AD">
                          <w:rPr>
                            <w:b/>
                            <w:i/>
                            <w:sz w:val="18"/>
                          </w:rPr>
                          <w:t>$1,000</w:t>
                        </w:r>
                      </w:p>
                    </w:txbxContent>
                  </v:textbox>
                </v:shape>
                <v:shape id="Text Box 6" o:spid="_x0000_s1029" type="#_x0000_t202" style="position:absolute;left:2552;width:3696;height:10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" fillcolor="window" stroked="f" strokeweight=".5pt">
                  <v:textbox style="layout-flow:vertical;mso-layout-flow-alt:bottom-to-top">
                    <w:txbxContent>
                      <w:p w14:paraId="787AB689" w14:textId="77777777" w:rsidR="00222AD3" w:rsidRPr="000018AD" w:rsidRDefault="00222AD3" w:rsidP="00710178">
                        <w:pPr>
                          <w:jc w:val="right"/>
                          <w:rPr>
                            <w:b/>
                            <w:i/>
                          </w:rPr>
                        </w:pPr>
                        <w:r w:rsidRPr="000018AD">
                          <w:rPr>
                            <w:b/>
                            <w:i/>
                          </w:rPr>
                          <w:t>High</w:t>
                        </w:r>
                      </w:p>
                      <w:p w14:paraId="16B9A5E6" w14:textId="77777777" w:rsidR="00222AD3" w:rsidRPr="000018AD" w:rsidRDefault="00222AD3" w:rsidP="00710178">
                        <w:pPr>
                          <w:jc w:val="right"/>
                          <w:rPr>
                            <w:b/>
                            <w:i/>
                          </w:rPr>
                        </w:pPr>
                      </w:p>
                    </w:txbxContent>
                  </v:textbox>
                </v:shape>
                <v:shape id="Text Box 7" o:spid="_x0000_s1030" type="#_x0000_t202" style="position:absolute;left:2552;top:19583;width:3696;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" fillcolor="window" stroked="f" strokeweight=".5pt">
                  <v:textbox style="layout-flow:vertical;mso-layout-flow-alt:bottom-to-top">
                    <w:txbxContent>
                      <w:p w14:paraId="00A7083C" w14:textId="77777777" w:rsidR="00222AD3" w:rsidRPr="000018AD" w:rsidRDefault="00222AD3" w:rsidP="00710178">
                        <w:pPr>
                          <w:rPr>
                            <w:b/>
                            <w:i/>
                          </w:rPr>
                        </w:pPr>
                        <w:r>
                          <w:rPr>
                            <w:b/>
                            <w:i/>
                          </w:rPr>
                          <w:t>Low</w:t>
                        </w:r>
                      </w:p>
                      <w:p w14:paraId="22F38532" w14:textId="77777777" w:rsidR="00222AD3" w:rsidRPr="000018AD" w:rsidRDefault="00222AD3" w:rsidP="00710178">
                        <w:pPr>
                          <w:jc w:val="right"/>
                          <w:rPr>
                            <w:b/>
                            <w:i/>
                          </w:rPr>
                        </w:pPr>
                      </w:p>
                    </w:txbxContent>
                  </v:textbox>
                </v:shape>
                <v:rect id="Rectangle 8" o:spid="_x0000_s1031" style="position:absolute;left:5524;width:46177;height:30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line id="Straight Connector 9" o:spid="_x0000_s1032" style="position:absolute;flip:x;visibility:visible;mso-wrap-style:square" from="14935,76" to="14935,3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" strokecolor="windowText" strokeweight=".5pt">
                  <v:stroke joinstyle="miter"/>
                </v:line>
                <v:line id="Straight Connector 10" o:spid="_x0000_s1033" style="position:absolute;flip:x;visibility:visible;mso-wrap-style:square" from="25336,76" to="25565,3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line id="Straight Connector 11" o:spid="_x0000_s1034" style="position:absolute;flip:x;visibility:visible;mso-wrap-style:square" from="41376,76" to="41376,3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" strokecolor="windowText" strokeweight=".5pt">
                  <v:stroke joinstyle="miter"/>
                </v:line>
                <v:shape id="Freeform: Shape 12" o:spid="_x0000_s1035" style="position:absolute;left:6362;top:7086;width:44044;height:20904;visibility:visible;mso-wrap-style:square;v-text-anchor:middle" coordsize="4347210,223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" path="m4347210,21958c3935095,-12650,3522980,-47257,3135630,261988,2748280,571233,2545715,1548498,2023110,1877428,1500505,2206358,750252,2220963,,2235568e" filled="f" strokecolor="#ffc000" strokeweight="1.5pt">
                  <v:stroke joinstyle="miter"/>
                  <v:path arrowok="t" o:connecttype="custom" o:connectlocs="4404360,20532;3176852,244978;2049707,1755533;0,2090420" o:connectangles="0,0,0,0"/>
                </v:shape>
                <v:shape id="Text Box 13" o:spid="_x0000_s1036" type="#_x0000_t202" style="position:absolute;left:15659;top:19583;width:849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66C3C3A3" w14:textId="77777777" w:rsidR="00222AD3" w:rsidRPr="00361ACB" w:rsidRDefault="00222AD3" w:rsidP="00710178">
                        <w:pPr>
                          <w:jc w:val="center"/>
                          <w:rPr>
                            <w:sz w:val="14"/>
                          </w:rPr>
                        </w:pPr>
                        <w:r>
                          <w:rPr>
                            <w:sz w:val="14"/>
                          </w:rPr>
                          <w:t>Basic institutions required</w:t>
                        </w:r>
                      </w:p>
                    </w:txbxContent>
                  </v:textbox>
                </v:shape>
                <v:shape id="Text Box 14" o:spid="_x0000_s1037" type="#_x0000_t202" style="position:absolute;left:34023;top:17259;width:6363;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367AF1FB" w14:textId="77777777" w:rsidR="00222AD3" w:rsidRPr="00361ACB" w:rsidRDefault="00222AD3" w:rsidP="00710178">
                        <w:pPr>
                          <w:jc w:val="center"/>
                          <w:rPr>
                            <w:sz w:val="14"/>
                          </w:rPr>
                        </w:pPr>
                        <w:r>
                          <w:rPr>
                            <w:sz w:val="14"/>
                          </w:rPr>
                          <w:t>Major institutional investment required</w:t>
                        </w:r>
                      </w:p>
                    </w:txbxContent>
                  </v:textbox>
                </v:shape>
                <v:shapetype id="_x0000_t32" coordsize="21600,21600" o:spt="32" o:oned="t" path="m,l21600,21600e" filled="f">
                  <v:path arrowok="t" fillok="f" o:connecttype="none"/>
                  <o:lock v:ext="edit" shapetype="t"/>
                </v:shapetype>
                <v:shape id="Straight Arrow Connector 15" o:spid="_x0000_s1038" type="#_x0000_t32" style="position:absolute;left:17106;top:22936;width:1220;height:4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" strokecolor="windowText" strokeweight=".5pt">
                  <v:stroke endarrow="block" joinstyle="miter"/>
                </v:shape>
                <v:shape id="Straight Arrow Connector 16" o:spid="_x0000_s1039" type="#_x0000_t32" style="position:absolute;left:21336;top:22936;width:952;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v:shape>
                <v:shape id="Straight Arrow Connector 17" o:spid="_x0000_s1040" type="#_x0000_t32" style="position:absolute;left:35699;top:13487;width:1600;height:37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" strokecolor="windowText" strokeweight=".5pt">
                  <v:stroke endarrow="block" joinstyle="miter"/>
                </v:shape>
                <v:shape id="Straight Arrow Connector 18" o:spid="_x0000_s1041" type="#_x0000_t32" style="position:absolute;left:31470;top:20345;width:2553;height: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rect id="Rectangle 19" o:spid="_x0000_s1042" style="position:absolute;left:43319;top:10401;width:7354;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502E5222" w14:textId="77777777" w:rsidR="00222AD3" w:rsidRPr="000018AD" w:rsidRDefault="00222AD3" w:rsidP="00710178">
                        <w:pPr>
                          <w:jc w:val="center"/>
                          <w:rPr>
                            <w:sz w:val="14"/>
                          </w:rPr>
                        </w:pPr>
                        <w:r>
                          <w:rPr>
                            <w:sz w:val="14"/>
                          </w:rPr>
                          <w:t>Mature institutions in place</w:t>
                        </w:r>
                      </w:p>
                    </w:txbxContent>
                  </v:textbox>
                </v:rect>
                <v:shape id="Straight Arrow Connector 20" o:spid="_x0000_s1043" type="#_x0000_t32" style="position:absolute;left:46939;top:8077;width:0;height:2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" strokecolor="windowText" strokeweight=".5pt">
                  <v:stroke endarrow="block" joinstyle="miter"/>
                </v:shape>
                <v:shape id="Text Box 21" o:spid="_x0000_s1044" type="#_x0000_t202" style="position:absolute;top:76;width:3695;height:30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" fillcolor="window" stroked="f" strokeweight=".5pt">
                  <v:textbox style="layout-flow:vertical;mso-layout-flow-alt:bottom-to-top">
                    <w:txbxContent>
                      <w:p w14:paraId="6E3143B2" w14:textId="77777777" w:rsidR="00222AD3" w:rsidRPr="000018AD" w:rsidRDefault="00222AD3" w:rsidP="00710178">
                        <w:pPr>
                          <w:jc w:val="center"/>
                          <w:rPr>
                            <w:b/>
                            <w:i/>
                          </w:rPr>
                        </w:pPr>
                        <w:r>
                          <w:rPr>
                            <w:b/>
                            <w:i/>
                          </w:rPr>
                          <w:t>Total stock of public institutions</w:t>
                        </w:r>
                      </w:p>
                      <w:p w14:paraId="72FEFC5F" w14:textId="77777777" w:rsidR="00222AD3" w:rsidRPr="000018AD" w:rsidRDefault="00222AD3" w:rsidP="00710178">
                        <w:pPr>
                          <w:jc w:val="right"/>
                          <w:rPr>
                            <w:b/>
                            <w:i/>
                          </w:rPr>
                        </w:pPr>
                      </w:p>
                    </w:txbxContent>
                  </v:textbox>
                </v:shape>
                <v:shape id="Text Box 22" o:spid="_x0000_s1045" type="#_x0000_t202" style="position:absolute;left:38442;top:30632;width:590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14:paraId="0B0CFF10" w14:textId="77777777" w:rsidR="00222AD3" w:rsidRPr="000018AD" w:rsidRDefault="00222AD3" w:rsidP="00710178">
                        <w:pPr>
                          <w:rPr>
                            <w:b/>
                            <w:i/>
                            <w:sz w:val="18"/>
                          </w:rPr>
                        </w:pPr>
                        <w:r>
                          <w:rPr>
                            <w:b/>
                            <w:i/>
                            <w:sz w:val="18"/>
                          </w:rPr>
                          <w:t>$25</w:t>
                        </w:r>
                        <w:r w:rsidRPr="000018AD">
                          <w:rPr>
                            <w:b/>
                            <w:i/>
                            <w:sz w:val="18"/>
                          </w:rPr>
                          <w:t>,000</w:t>
                        </w:r>
                      </w:p>
                    </w:txbxContent>
                  </v:textbox>
                </v:shape>
                <v:shape id="Text Box 23" o:spid="_x0000_s1046" type="#_x0000_t202" style="position:absolute;left:22402;top:30632;width:590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32936223" w14:textId="77777777" w:rsidR="00222AD3" w:rsidRPr="000018AD" w:rsidRDefault="00222AD3" w:rsidP="00710178">
                        <w:pPr>
                          <w:rPr>
                            <w:b/>
                            <w:i/>
                            <w:sz w:val="18"/>
                          </w:rPr>
                        </w:pPr>
                        <w:r>
                          <w:rPr>
                            <w:b/>
                            <w:i/>
                            <w:sz w:val="18"/>
                          </w:rPr>
                          <w:t>$4</w:t>
                        </w:r>
                        <w:r w:rsidRPr="000018AD">
                          <w:rPr>
                            <w:b/>
                            <w:i/>
                            <w:sz w:val="18"/>
                          </w:rPr>
                          <w:t>,000</w:t>
                        </w:r>
                      </w:p>
                    </w:txbxContent>
                  </v:textbox>
                </v:shape>
                <w10:anchorlock/>
              </v:group>
            </w:pict>
          </mc:Fallback>
        </mc:AlternateContent>
      </w:r>
    </w:p>
    <w:p w14:paraId="34377ACF" w14:textId="2B5DC511" w:rsidR="00EA2B6E" w:rsidRPr="00805C6E" w:rsidRDefault="00271EAE" w:rsidP="00805C6E">
      <w:pPr>
        <w:rPr>
          <w:color w:val="005C66" w:themeColor="accent3" w:themeShade="BF"/>
          <w:sz w:val="18"/>
          <w:szCs w:val="23"/>
        </w:rPr>
      </w:pPr>
      <w:r w:rsidRPr="00805C6E">
        <w:rPr>
          <w:color w:val="005C66" w:themeColor="accent3" w:themeShade="BF"/>
          <w:sz w:val="18"/>
          <w:szCs w:val="23"/>
        </w:rPr>
        <w:t>Adapted from</w:t>
      </w:r>
      <w:r w:rsidR="00EA2B6E" w:rsidRPr="00805C6E">
        <w:rPr>
          <w:color w:val="005C66" w:themeColor="accent3" w:themeShade="BF"/>
          <w:sz w:val="18"/>
          <w:szCs w:val="23"/>
        </w:rPr>
        <w:t>:</w:t>
      </w:r>
      <w:r w:rsidRPr="00805C6E">
        <w:rPr>
          <w:color w:val="005C66" w:themeColor="accent3" w:themeShade="BF"/>
          <w:sz w:val="18"/>
          <w:szCs w:val="23"/>
        </w:rPr>
        <w:t xml:space="preserve"> William Cole, </w:t>
      </w:r>
      <w:r w:rsidRPr="001C7483">
        <w:rPr>
          <w:i/>
          <w:color w:val="005C66" w:themeColor="accent3" w:themeShade="BF"/>
          <w:sz w:val="18"/>
          <w:szCs w:val="23"/>
        </w:rPr>
        <w:t>Advanced Middle Income Countries in Asia: Challenges and Opportunities Ahead</w:t>
      </w:r>
      <w:r w:rsidRPr="00805C6E">
        <w:rPr>
          <w:color w:val="005C66" w:themeColor="accent3" w:themeShade="BF"/>
          <w:sz w:val="18"/>
          <w:szCs w:val="23"/>
        </w:rPr>
        <w:t xml:space="preserve">, </w:t>
      </w:r>
      <w:r w:rsidR="00B715C9">
        <w:rPr>
          <w:color w:val="005C66" w:themeColor="accent3" w:themeShade="BF"/>
          <w:sz w:val="18"/>
          <w:szCs w:val="23"/>
        </w:rPr>
        <w:t>T</w:t>
      </w:r>
      <w:r w:rsidR="00F74302" w:rsidRPr="00805C6E">
        <w:rPr>
          <w:color w:val="005C66" w:themeColor="accent3" w:themeShade="BF"/>
          <w:sz w:val="18"/>
          <w:szCs w:val="23"/>
        </w:rPr>
        <w:t>he</w:t>
      </w:r>
      <w:r w:rsidRPr="00805C6E">
        <w:rPr>
          <w:color w:val="005C66" w:themeColor="accent3" w:themeShade="BF"/>
          <w:sz w:val="18"/>
          <w:szCs w:val="23"/>
        </w:rPr>
        <w:t xml:space="preserve"> Asia Foundation, May 2017.</w:t>
      </w:r>
    </w:p>
    <w:p w14:paraId="37E70A53" w14:textId="77777777" w:rsidR="00E34674" w:rsidRDefault="00E34674" w:rsidP="002F06DF"/>
    <w:p w14:paraId="28B6400F" w14:textId="08769A2B" w:rsidR="001C6EBA" w:rsidRPr="001B3B93" w:rsidRDefault="00004DCA" w:rsidP="001C6EBA">
      <w:r w:rsidRPr="001B3B93">
        <w:t xml:space="preserve">MICs </w:t>
      </w:r>
      <w:r w:rsidR="00B10977" w:rsidRPr="001B3B93">
        <w:t xml:space="preserve">can </w:t>
      </w:r>
      <w:r w:rsidRPr="001B3B93">
        <w:t>also face shortfalls in development finance. W</w:t>
      </w:r>
      <w:r w:rsidR="001C6EBA" w:rsidRPr="001B3B93">
        <w:t xml:space="preserve">hile the rise in domestic revenues eventually more than compensates for the loss in ODA, MICs go through a period where their </w:t>
      </w:r>
      <w:r w:rsidRPr="001B3B93">
        <w:t xml:space="preserve">overall </w:t>
      </w:r>
      <w:r w:rsidR="001C6EBA" w:rsidRPr="001B3B93">
        <w:t xml:space="preserve">development finance stagnates and even declines, before recovering again. </w:t>
      </w:r>
      <w:r w:rsidR="006631FC" w:rsidRPr="001B3B93">
        <w:t xml:space="preserve">Kharas describe this </w:t>
      </w:r>
      <w:r w:rsidR="001C6EBA" w:rsidRPr="001B3B93">
        <w:t xml:space="preserve">as the </w:t>
      </w:r>
      <w:bookmarkStart w:id="44" w:name="_Hlk520987058"/>
      <w:r w:rsidR="001C6EBA" w:rsidRPr="001B3B93">
        <w:t xml:space="preserve">‘missing middle’ </w:t>
      </w:r>
      <w:bookmarkEnd w:id="44"/>
      <w:r w:rsidR="001C6EBA" w:rsidRPr="001B3B93">
        <w:t>of development finance</w:t>
      </w:r>
      <w:r w:rsidR="009448C0" w:rsidRPr="001B3B93">
        <w:t xml:space="preserve"> (Figure </w:t>
      </w:r>
      <w:r w:rsidR="002A35BC">
        <w:t>2</w:t>
      </w:r>
      <w:r w:rsidR="009448C0" w:rsidRPr="001B3B93">
        <w:t>)</w:t>
      </w:r>
      <w:r w:rsidR="001C6EBA" w:rsidRPr="001B3B93">
        <w:t>.</w:t>
      </w:r>
      <w:r w:rsidR="001C6EBA" w:rsidRPr="001B3B93">
        <w:rPr>
          <w:vertAlign w:val="superscript"/>
        </w:rPr>
        <w:footnoteReference w:id="33"/>
      </w:r>
      <w:r w:rsidR="001C6EBA" w:rsidRPr="001B3B93">
        <w:t xml:space="preserve"> As a group, MICs </w:t>
      </w:r>
      <w:r w:rsidR="009448C0" w:rsidRPr="001B3B93">
        <w:t xml:space="preserve">are </w:t>
      </w:r>
      <w:r w:rsidR="001C6EBA" w:rsidRPr="001B3B93">
        <w:t xml:space="preserve">poor at tax collection. </w:t>
      </w:r>
      <w:r w:rsidR="00B10977" w:rsidRPr="001B3B93">
        <w:t xml:space="preserve">For example, </w:t>
      </w:r>
      <w:r w:rsidR="001C6EBA" w:rsidRPr="001B3B93">
        <w:t>Bangladesh, Indonesia</w:t>
      </w:r>
      <w:r w:rsidR="00585B77" w:rsidRPr="001B3B93">
        <w:t>,</w:t>
      </w:r>
      <w:r w:rsidR="001C6EBA" w:rsidRPr="001B3B93">
        <w:t xml:space="preserve"> </w:t>
      </w:r>
      <w:r w:rsidR="00585B77" w:rsidRPr="001B3B93">
        <w:t xml:space="preserve">the Philippines and Sri Lanka </w:t>
      </w:r>
      <w:r w:rsidR="001C6EBA" w:rsidRPr="001B3B93">
        <w:t xml:space="preserve">all have tax-to-GDP ratios of below </w:t>
      </w:r>
      <w:r w:rsidR="001C6EBA" w:rsidRPr="001F40CB">
        <w:t>15</w:t>
      </w:r>
      <w:r w:rsidR="002D3FAC" w:rsidRPr="001F40CB">
        <w:t xml:space="preserve"> per cent</w:t>
      </w:r>
      <w:r w:rsidR="00585B77" w:rsidRPr="001F40CB">
        <w:rPr>
          <w:rStyle w:val="FootnoteReference"/>
        </w:rPr>
        <w:footnoteReference w:id="34"/>
      </w:r>
      <w:r w:rsidR="00771D2C" w:rsidRPr="001F40CB">
        <w:t>,</w:t>
      </w:r>
      <w:r w:rsidR="001C6EBA" w:rsidRPr="001F40CB">
        <w:t xml:space="preserve"> </w:t>
      </w:r>
      <w:r w:rsidR="00585B77" w:rsidRPr="001F40CB">
        <w:t xml:space="preserve">which is viewed as the minimum required to </w:t>
      </w:r>
      <w:r w:rsidR="00AE12ED" w:rsidRPr="001F40CB">
        <w:t>cover</w:t>
      </w:r>
      <w:r w:rsidR="00585B77" w:rsidRPr="001F40CB">
        <w:t xml:space="preserve"> basic state functions</w:t>
      </w:r>
      <w:r w:rsidR="001C6EBA" w:rsidRPr="001F40CB">
        <w:t>.</w:t>
      </w:r>
      <w:r w:rsidR="00C03D43" w:rsidRPr="001F40CB">
        <w:t xml:space="preserve"> OECD countries average 34</w:t>
      </w:r>
      <w:r w:rsidR="002D3FAC" w:rsidRPr="001F40CB">
        <w:t xml:space="preserve"> per cent</w:t>
      </w:r>
      <w:r w:rsidR="00C03D43" w:rsidRPr="001F40CB">
        <w:t>.</w:t>
      </w:r>
      <w:r w:rsidR="001C6EBA" w:rsidRPr="001F40CB">
        <w:rPr>
          <w:vertAlign w:val="superscript"/>
        </w:rPr>
        <w:footnoteReference w:id="35"/>
      </w:r>
      <w:r w:rsidR="001C6EBA" w:rsidRPr="001B3B93">
        <w:t xml:space="preserve"> </w:t>
      </w:r>
    </w:p>
    <w:p w14:paraId="27F3F638" w14:textId="7995C72F" w:rsidR="00C34B7A" w:rsidRPr="00C34B7A" w:rsidRDefault="00C34B7A" w:rsidP="00C34B7A">
      <w:pPr>
        <w:pStyle w:val="Caption"/>
        <w:keepNext/>
        <w:rPr>
          <w:b/>
          <w:iCs w:val="0"/>
          <w:color w:val="005C66" w:themeColor="accent1" w:themeShade="BF"/>
          <w:sz w:val="22"/>
          <w:szCs w:val="22"/>
        </w:rPr>
      </w:pPr>
      <w:r w:rsidRPr="00C34B7A">
        <w:rPr>
          <w:b/>
          <w:iCs w:val="0"/>
          <w:color w:val="005C66" w:themeColor="accent1" w:themeShade="BF"/>
          <w:sz w:val="22"/>
          <w:szCs w:val="22"/>
        </w:rPr>
        <w:lastRenderedPageBreak/>
        <w:t xml:space="preserve">Figure </w:t>
      </w:r>
      <w:r w:rsidRPr="00C34B7A">
        <w:rPr>
          <w:b/>
          <w:iCs w:val="0"/>
          <w:color w:val="005C66" w:themeColor="accent1" w:themeShade="BF"/>
          <w:sz w:val="22"/>
          <w:szCs w:val="22"/>
        </w:rPr>
        <w:fldChar w:fldCharType="begin"/>
      </w:r>
      <w:r w:rsidRPr="00C34B7A">
        <w:rPr>
          <w:b/>
          <w:iCs w:val="0"/>
          <w:color w:val="005C66" w:themeColor="accent1" w:themeShade="BF"/>
          <w:sz w:val="22"/>
          <w:szCs w:val="22"/>
        </w:rPr>
        <w:instrText xml:space="preserve"> SEQ Figure \* ARABIC </w:instrText>
      </w:r>
      <w:r w:rsidRPr="00C34B7A">
        <w:rPr>
          <w:b/>
          <w:iCs w:val="0"/>
          <w:color w:val="005C66" w:themeColor="accent1" w:themeShade="BF"/>
          <w:sz w:val="22"/>
          <w:szCs w:val="22"/>
        </w:rPr>
        <w:fldChar w:fldCharType="separate"/>
      </w:r>
      <w:r w:rsidRPr="00C34B7A">
        <w:rPr>
          <w:b/>
          <w:iCs w:val="0"/>
          <w:color w:val="005C66" w:themeColor="accent1" w:themeShade="BF"/>
          <w:sz w:val="22"/>
          <w:szCs w:val="22"/>
        </w:rPr>
        <w:t>2</w:t>
      </w:r>
      <w:r w:rsidRPr="00C34B7A">
        <w:rPr>
          <w:b/>
          <w:iCs w:val="0"/>
          <w:color w:val="005C66" w:themeColor="accent1" w:themeShade="BF"/>
          <w:sz w:val="22"/>
          <w:szCs w:val="22"/>
        </w:rPr>
        <w:fldChar w:fldCharType="end"/>
      </w:r>
      <w:r w:rsidRPr="00C34B7A">
        <w:rPr>
          <w:b/>
          <w:iCs w:val="0"/>
          <w:color w:val="005C66" w:themeColor="accent1" w:themeShade="BF"/>
          <w:sz w:val="22"/>
          <w:szCs w:val="22"/>
        </w:rPr>
        <w:t>: The 'missing middle' of development finance</w:t>
      </w:r>
    </w:p>
    <w:p w14:paraId="70F5C550" w14:textId="77777777" w:rsidR="001C6EBA" w:rsidRPr="001B3B93" w:rsidRDefault="001C6EBA" w:rsidP="001C6EBA">
      <w:pPr>
        <w:rPr>
          <w:b/>
        </w:rPr>
      </w:pPr>
      <w:r w:rsidRPr="001B3B93">
        <w:rPr>
          <w:b/>
          <w:noProof/>
          <w:lang w:eastAsia="en-AU"/>
        </w:rPr>
        <w:drawing>
          <wp:inline distT="0" distB="0" distL="0" distR="0" wp14:anchorId="70AE8FC9" wp14:editId="49828AEB">
            <wp:extent cx="5372100" cy="2609850"/>
            <wp:effectExtent l="0" t="0" r="0" b="0"/>
            <wp:docPr id="3" name="Picture 3" descr="This figure shows that as GDP per capita increases, ODA and ODF decline (as a per cent of GDP). At the same time, share of GDP from tax revenues increase, but at a lower rate. The result is that total revenues declines as countries’ GDP increases to a point and then begins to increase once tax revenue is high enough to overcome loss of ODA and O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1028" t="7876" r="2306" b="5772"/>
                    <a:stretch/>
                  </pic:blipFill>
                  <pic:spPr bwMode="auto">
                    <a:xfrm>
                      <a:off x="0" y="0"/>
                      <a:ext cx="5374725" cy="2611125"/>
                    </a:xfrm>
                    <a:prstGeom prst="rect">
                      <a:avLst/>
                    </a:prstGeom>
                    <a:noFill/>
                    <a:ln>
                      <a:noFill/>
                    </a:ln>
                    <a:extLst>
                      <a:ext uri="{53640926-AAD7-44D8-BBD7-CCE9431645EC}">
                        <a14:shadowObscured xmlns:a14="http://schemas.microsoft.com/office/drawing/2010/main"/>
                      </a:ext>
                    </a:extLst>
                  </pic:spPr>
                </pic:pic>
              </a:graphicData>
            </a:graphic>
          </wp:inline>
        </w:drawing>
      </w:r>
    </w:p>
    <w:p w14:paraId="1F9F78B0" w14:textId="38978B9A" w:rsidR="001C6EBA" w:rsidRPr="001B3B93" w:rsidRDefault="001C6EBA" w:rsidP="00004DCA">
      <w:pPr>
        <w:jc w:val="right"/>
        <w:rPr>
          <w:color w:val="005C66" w:themeColor="accent3" w:themeShade="BF"/>
          <w:sz w:val="18"/>
          <w:szCs w:val="23"/>
        </w:rPr>
      </w:pPr>
      <w:r w:rsidRPr="001B3B93">
        <w:rPr>
          <w:color w:val="005C66" w:themeColor="accent3" w:themeShade="BF"/>
          <w:sz w:val="18"/>
          <w:szCs w:val="23"/>
        </w:rPr>
        <w:t xml:space="preserve">Source: Kharas at al, </w:t>
      </w:r>
      <w:hyperlink r:id="rId26" w:history="1">
        <w:r w:rsidR="00BC6680" w:rsidRPr="00BC6680">
          <w:rPr>
            <w:rStyle w:val="Hyperlink"/>
            <w:sz w:val="18"/>
            <w:szCs w:val="23"/>
          </w:rPr>
          <w:t>‘</w:t>
        </w:r>
        <w:r w:rsidRPr="00BC6680">
          <w:rPr>
            <w:rStyle w:val="Hyperlink"/>
            <w:sz w:val="18"/>
            <w:szCs w:val="23"/>
          </w:rPr>
          <w:t>Financing the post 2015 Sustainable Development Goals: a rough road-map</w:t>
        </w:r>
        <w:r w:rsidR="00BC6680" w:rsidRPr="00BC6680">
          <w:rPr>
            <w:rStyle w:val="Hyperlink"/>
            <w:sz w:val="18"/>
            <w:szCs w:val="23"/>
          </w:rPr>
          <w:t>’</w:t>
        </w:r>
      </w:hyperlink>
      <w:r w:rsidRPr="001B3B93">
        <w:rPr>
          <w:color w:val="005C66" w:themeColor="accent3" w:themeShade="BF"/>
          <w:sz w:val="18"/>
          <w:szCs w:val="23"/>
        </w:rPr>
        <w:t>, Overseas Development Institute, 2014</w:t>
      </w:r>
      <w:r w:rsidR="00BC6680">
        <w:rPr>
          <w:color w:val="005C66" w:themeColor="accent3" w:themeShade="BF"/>
          <w:sz w:val="18"/>
          <w:szCs w:val="23"/>
        </w:rPr>
        <w:t>.</w:t>
      </w:r>
    </w:p>
    <w:p w14:paraId="43E5BDB2" w14:textId="77777777" w:rsidR="001C6EBA" w:rsidRPr="001B3B93" w:rsidRDefault="001C6EBA" w:rsidP="001C6EBA"/>
    <w:p w14:paraId="5FAB339F" w14:textId="301829EC" w:rsidR="00CD6390" w:rsidRPr="001B3B93" w:rsidRDefault="002C716A">
      <w:r w:rsidRPr="001B3B93">
        <w:t xml:space="preserve">MICs </w:t>
      </w:r>
      <w:r w:rsidR="00B10977" w:rsidRPr="001B3B93">
        <w:t>have a</w:t>
      </w:r>
      <w:r w:rsidRPr="001B3B93">
        <w:t xml:space="preserve"> limited window of time to address these challenges. </w:t>
      </w:r>
      <w:r w:rsidR="00B10977" w:rsidRPr="001B3B93">
        <w:t>Initially</w:t>
      </w:r>
      <w:r w:rsidRPr="001B3B93">
        <w:t xml:space="preserve">, </w:t>
      </w:r>
      <w:r w:rsidR="009448C0" w:rsidRPr="001B3B93">
        <w:t xml:space="preserve">they </w:t>
      </w:r>
      <w:r w:rsidRPr="001B3B93">
        <w:t xml:space="preserve">enjoy a </w:t>
      </w:r>
      <w:bookmarkStart w:id="45" w:name="_Hlk520987240"/>
      <w:r w:rsidRPr="001B3B93">
        <w:t>‘demographic dividend’</w:t>
      </w:r>
      <w:bookmarkEnd w:id="45"/>
      <w:r w:rsidRPr="001B3B93">
        <w:t xml:space="preserve">, where a decline in fertility creates a favourable age structure, with a low rate of dependants to working-age people, helping to fuel economic growth. Within a few decades, however, </w:t>
      </w:r>
      <w:r w:rsidR="001B7D89" w:rsidRPr="001B3B93">
        <w:t xml:space="preserve">the </w:t>
      </w:r>
      <w:r w:rsidRPr="001B3B93">
        <w:t>population</w:t>
      </w:r>
      <w:r w:rsidR="001B7D89" w:rsidRPr="001B3B93">
        <w:t xml:space="preserve"> begins to age</w:t>
      </w:r>
      <w:r w:rsidRPr="001B3B93">
        <w:t>.</w:t>
      </w:r>
      <w:r w:rsidRPr="001B3B93">
        <w:rPr>
          <w:rStyle w:val="FootnoteReference"/>
        </w:rPr>
        <w:footnoteReference w:id="36"/>
      </w:r>
      <w:r w:rsidRPr="001B3B93">
        <w:t xml:space="preserve"> In Indonesia, for example, the World Bank predicts that the dependency ratio will start to rise between 2020 </w:t>
      </w:r>
      <w:r w:rsidRPr="001F40CB">
        <w:t>and 2025</w:t>
      </w:r>
      <w:r w:rsidRPr="001F40CB">
        <w:rPr>
          <w:vertAlign w:val="superscript"/>
        </w:rPr>
        <w:footnoteReference w:id="37"/>
      </w:r>
      <w:r w:rsidR="00771D2C" w:rsidRPr="001F40CB">
        <w:t>,</w:t>
      </w:r>
      <w:r w:rsidRPr="001F40CB">
        <w:t xml:space="preserve"> after which</w:t>
      </w:r>
      <w:r w:rsidRPr="001B3B93">
        <w:t xml:space="preserve"> the task of escaping the middle-income trap becomes more difficult.</w:t>
      </w:r>
      <w:r w:rsidRPr="001B3B93">
        <w:rPr>
          <w:vertAlign w:val="superscript"/>
        </w:rPr>
        <w:footnoteReference w:id="38"/>
      </w:r>
    </w:p>
    <w:p w14:paraId="6AA61963" w14:textId="77777777" w:rsidR="00A237F6" w:rsidRPr="001B3B93" w:rsidRDefault="00B86A91" w:rsidP="00572CD7">
      <w:pPr>
        <w:pStyle w:val="Heading3"/>
      </w:pPr>
      <w:bookmarkStart w:id="46" w:name="_Toc527712996"/>
      <w:r w:rsidRPr="001B3B93">
        <w:t>T</w:t>
      </w:r>
      <w:r w:rsidR="00A237F6" w:rsidRPr="001B3B93">
        <w:t>rends on development cooperation with MICs</w:t>
      </w:r>
      <w:bookmarkEnd w:id="46"/>
    </w:p>
    <w:p w14:paraId="0128D91D" w14:textId="787831A0" w:rsidR="00C87A9C" w:rsidRPr="001B3B93" w:rsidRDefault="001A3E86" w:rsidP="002F06DF">
      <w:pPr>
        <w:rPr>
          <w:szCs w:val="23"/>
        </w:rPr>
      </w:pPr>
      <w:r w:rsidRPr="001B3B93">
        <w:rPr>
          <w:szCs w:val="23"/>
        </w:rPr>
        <w:t xml:space="preserve">To assess how other bilateral donors approach development cooperation with MICs, </w:t>
      </w:r>
      <w:r w:rsidR="00FA38AC">
        <w:rPr>
          <w:szCs w:val="23"/>
        </w:rPr>
        <w:t>the evaluation team</w:t>
      </w:r>
      <w:r w:rsidR="00FA49A0" w:rsidRPr="001B3B93">
        <w:rPr>
          <w:szCs w:val="23"/>
        </w:rPr>
        <w:t xml:space="preserve"> </w:t>
      </w:r>
      <w:r w:rsidR="00B86A91" w:rsidRPr="001B3B93">
        <w:rPr>
          <w:szCs w:val="23"/>
        </w:rPr>
        <w:t xml:space="preserve">examined the aid policies </w:t>
      </w:r>
      <w:r w:rsidRPr="001B3B93">
        <w:rPr>
          <w:szCs w:val="23"/>
        </w:rPr>
        <w:t xml:space="preserve">of </w:t>
      </w:r>
      <w:r w:rsidR="00FA49A0">
        <w:rPr>
          <w:szCs w:val="23"/>
        </w:rPr>
        <w:t xml:space="preserve">Canada, </w:t>
      </w:r>
      <w:r w:rsidRPr="001B3B93">
        <w:rPr>
          <w:szCs w:val="23"/>
        </w:rPr>
        <w:t xml:space="preserve">Denmark, the Netherlands, </w:t>
      </w:r>
      <w:r w:rsidR="00FA49A0">
        <w:rPr>
          <w:szCs w:val="23"/>
        </w:rPr>
        <w:t>Sweden</w:t>
      </w:r>
      <w:r w:rsidRPr="001B3B93">
        <w:rPr>
          <w:szCs w:val="23"/>
        </w:rPr>
        <w:t xml:space="preserve"> and the U</w:t>
      </w:r>
      <w:r w:rsidR="00830AB2">
        <w:rPr>
          <w:szCs w:val="23"/>
        </w:rPr>
        <w:t xml:space="preserve">nited </w:t>
      </w:r>
      <w:r w:rsidRPr="001B3B93">
        <w:rPr>
          <w:szCs w:val="23"/>
        </w:rPr>
        <w:t>K</w:t>
      </w:r>
      <w:r w:rsidR="00830AB2">
        <w:rPr>
          <w:szCs w:val="23"/>
        </w:rPr>
        <w:t>ingdom</w:t>
      </w:r>
      <w:r w:rsidR="00284CDE">
        <w:rPr>
          <w:szCs w:val="23"/>
        </w:rPr>
        <w:t xml:space="preserve">’s </w:t>
      </w:r>
      <w:bookmarkStart w:id="47" w:name="_Hlk520987626"/>
      <w:r w:rsidR="00284CDE">
        <w:rPr>
          <w:szCs w:val="23"/>
        </w:rPr>
        <w:t>Department for International Development</w:t>
      </w:r>
      <w:r w:rsidR="008D0F1E">
        <w:rPr>
          <w:szCs w:val="23"/>
        </w:rPr>
        <w:t xml:space="preserve"> (DFID</w:t>
      </w:r>
      <w:bookmarkEnd w:id="47"/>
      <w:r w:rsidR="008D0F1E">
        <w:rPr>
          <w:szCs w:val="23"/>
        </w:rPr>
        <w:t>)</w:t>
      </w:r>
      <w:r w:rsidRPr="001B3B93">
        <w:rPr>
          <w:szCs w:val="23"/>
        </w:rPr>
        <w:t xml:space="preserve">. </w:t>
      </w:r>
      <w:r w:rsidR="000A4EF0">
        <w:rPr>
          <w:szCs w:val="23"/>
        </w:rPr>
        <w:t>C</w:t>
      </w:r>
      <w:r w:rsidR="005525B6" w:rsidRPr="001B3B93">
        <w:rPr>
          <w:szCs w:val="23"/>
        </w:rPr>
        <w:t>ommon themes emerged.</w:t>
      </w:r>
    </w:p>
    <w:p w14:paraId="171DE177" w14:textId="6B5D7438" w:rsidR="005525B6" w:rsidRPr="001B3B93" w:rsidRDefault="002719F3" w:rsidP="0085281E">
      <w:pPr>
        <w:rPr>
          <w:szCs w:val="23"/>
        </w:rPr>
      </w:pPr>
      <w:r w:rsidRPr="001B3B93">
        <w:rPr>
          <w:szCs w:val="23"/>
        </w:rPr>
        <w:t xml:space="preserve">Canada, </w:t>
      </w:r>
      <w:r w:rsidR="001B7404" w:rsidRPr="001B3B93">
        <w:rPr>
          <w:szCs w:val="23"/>
        </w:rPr>
        <w:t>Denmark</w:t>
      </w:r>
      <w:r w:rsidRPr="001B3B93">
        <w:rPr>
          <w:szCs w:val="23"/>
        </w:rPr>
        <w:t>,</w:t>
      </w:r>
      <w:r w:rsidR="001B7404" w:rsidRPr="001B3B93">
        <w:rPr>
          <w:szCs w:val="23"/>
        </w:rPr>
        <w:t xml:space="preserve"> the Netherlands </w:t>
      </w:r>
      <w:r w:rsidRPr="001B3B93">
        <w:rPr>
          <w:szCs w:val="23"/>
        </w:rPr>
        <w:t xml:space="preserve">and Sweden </w:t>
      </w:r>
      <w:r w:rsidR="001B7404" w:rsidRPr="001B3B93">
        <w:rPr>
          <w:szCs w:val="23"/>
        </w:rPr>
        <w:t xml:space="preserve">all </w:t>
      </w:r>
      <w:r w:rsidR="00B86A91" w:rsidRPr="001B3B93">
        <w:rPr>
          <w:szCs w:val="23"/>
        </w:rPr>
        <w:t>use the</w:t>
      </w:r>
      <w:r w:rsidR="0085281E" w:rsidRPr="001B3B93">
        <w:rPr>
          <w:szCs w:val="23"/>
        </w:rPr>
        <w:t xml:space="preserve"> language of ‘partnership’ </w:t>
      </w:r>
      <w:r w:rsidR="00406D09" w:rsidRPr="001B3B93">
        <w:rPr>
          <w:szCs w:val="23"/>
        </w:rPr>
        <w:t xml:space="preserve">to signal </w:t>
      </w:r>
      <w:r w:rsidR="0085281E" w:rsidRPr="001B3B93">
        <w:rPr>
          <w:szCs w:val="23"/>
        </w:rPr>
        <w:t xml:space="preserve">a maturing of </w:t>
      </w:r>
      <w:r w:rsidR="00B86A91" w:rsidRPr="001B3B93">
        <w:rPr>
          <w:szCs w:val="23"/>
        </w:rPr>
        <w:t xml:space="preserve">aid </w:t>
      </w:r>
      <w:r w:rsidR="0085281E" w:rsidRPr="001B3B93">
        <w:rPr>
          <w:szCs w:val="23"/>
        </w:rPr>
        <w:t>relationship</w:t>
      </w:r>
      <w:r w:rsidR="00B86A91" w:rsidRPr="001B3B93">
        <w:rPr>
          <w:szCs w:val="23"/>
        </w:rPr>
        <w:t>s with MICs</w:t>
      </w:r>
      <w:r w:rsidR="0085281E" w:rsidRPr="001B3B93">
        <w:rPr>
          <w:szCs w:val="23"/>
        </w:rPr>
        <w:t xml:space="preserve">. Recognising that the primary purpose of aid to MICs is no longer </w:t>
      </w:r>
      <w:r w:rsidR="00406D09" w:rsidRPr="001B3B93">
        <w:rPr>
          <w:szCs w:val="23"/>
        </w:rPr>
        <w:t>to fill</w:t>
      </w:r>
      <w:r w:rsidR="0085281E" w:rsidRPr="001B3B93">
        <w:rPr>
          <w:szCs w:val="23"/>
        </w:rPr>
        <w:t xml:space="preserve"> finance gaps, </w:t>
      </w:r>
      <w:r w:rsidR="00FA49A0">
        <w:rPr>
          <w:szCs w:val="23"/>
        </w:rPr>
        <w:t>these countries</w:t>
      </w:r>
      <w:r w:rsidR="00FA49A0" w:rsidRPr="001B3B93">
        <w:rPr>
          <w:szCs w:val="23"/>
        </w:rPr>
        <w:t xml:space="preserve"> </w:t>
      </w:r>
      <w:r w:rsidR="001B7D89" w:rsidRPr="001B3B93">
        <w:rPr>
          <w:szCs w:val="23"/>
        </w:rPr>
        <w:t xml:space="preserve">are </w:t>
      </w:r>
      <w:r w:rsidR="0085281E" w:rsidRPr="001B3B93">
        <w:rPr>
          <w:szCs w:val="23"/>
        </w:rPr>
        <w:t>shift</w:t>
      </w:r>
      <w:r w:rsidR="001B7D89" w:rsidRPr="001B3B93">
        <w:rPr>
          <w:szCs w:val="23"/>
        </w:rPr>
        <w:t>ing</w:t>
      </w:r>
      <w:r w:rsidR="0085281E" w:rsidRPr="001B3B93">
        <w:rPr>
          <w:szCs w:val="23"/>
        </w:rPr>
        <w:t xml:space="preserve"> towards knowledge-based </w:t>
      </w:r>
      <w:r w:rsidR="009F6BB5">
        <w:rPr>
          <w:szCs w:val="23"/>
        </w:rPr>
        <w:t>assistanc</w:t>
      </w:r>
      <w:r w:rsidR="00883629">
        <w:rPr>
          <w:szCs w:val="23"/>
        </w:rPr>
        <w:t>e</w:t>
      </w:r>
      <w:r w:rsidR="0085281E" w:rsidRPr="001B3B93">
        <w:rPr>
          <w:szCs w:val="23"/>
        </w:rPr>
        <w:t xml:space="preserve"> (that is, technical assistance and capacity building). The smaller European donors focus their </w:t>
      </w:r>
      <w:r w:rsidR="0001183C" w:rsidRPr="001B3B93">
        <w:rPr>
          <w:szCs w:val="23"/>
        </w:rPr>
        <w:t xml:space="preserve">partnerships </w:t>
      </w:r>
      <w:r w:rsidR="0085281E" w:rsidRPr="001B3B93">
        <w:rPr>
          <w:szCs w:val="23"/>
        </w:rPr>
        <w:t>in niche areas where they have a strong technical offer (</w:t>
      </w:r>
      <w:r w:rsidR="00FA49A0">
        <w:rPr>
          <w:szCs w:val="23"/>
        </w:rPr>
        <w:t>for example,</w:t>
      </w:r>
      <w:r w:rsidR="0085281E" w:rsidRPr="001B3B93">
        <w:rPr>
          <w:szCs w:val="23"/>
        </w:rPr>
        <w:t xml:space="preserve"> the Netherlands on water management, Norway on fisheries </w:t>
      </w:r>
      <w:r w:rsidR="00FA49A0">
        <w:rPr>
          <w:szCs w:val="23"/>
        </w:rPr>
        <w:t>and</w:t>
      </w:r>
      <w:r w:rsidR="00FA49A0" w:rsidRPr="001B3B93">
        <w:rPr>
          <w:szCs w:val="23"/>
        </w:rPr>
        <w:t xml:space="preserve"> </w:t>
      </w:r>
      <w:r w:rsidR="0085281E" w:rsidRPr="001B3B93">
        <w:rPr>
          <w:szCs w:val="23"/>
        </w:rPr>
        <w:t>Ireland on innovation polic</w:t>
      </w:r>
      <w:r w:rsidR="00D03389" w:rsidRPr="001B3B93">
        <w:rPr>
          <w:szCs w:val="23"/>
        </w:rPr>
        <w:t>y</w:t>
      </w:r>
      <w:r w:rsidR="0085281E" w:rsidRPr="001B3B93">
        <w:rPr>
          <w:szCs w:val="23"/>
        </w:rPr>
        <w:t xml:space="preserve">). </w:t>
      </w:r>
      <w:r w:rsidR="001B7D89" w:rsidRPr="001B3B93">
        <w:rPr>
          <w:szCs w:val="23"/>
        </w:rPr>
        <w:t>P</w:t>
      </w:r>
      <w:r w:rsidR="0001183C" w:rsidRPr="001B3B93">
        <w:rPr>
          <w:szCs w:val="23"/>
        </w:rPr>
        <w:t xml:space="preserve">artnership between government </w:t>
      </w:r>
      <w:r w:rsidR="001B7404" w:rsidRPr="001B3B93">
        <w:rPr>
          <w:szCs w:val="23"/>
        </w:rPr>
        <w:t xml:space="preserve">institutions is </w:t>
      </w:r>
      <w:r w:rsidR="00406D09" w:rsidRPr="001B3B93">
        <w:rPr>
          <w:szCs w:val="23"/>
        </w:rPr>
        <w:t xml:space="preserve">a </w:t>
      </w:r>
      <w:r w:rsidR="001B7404" w:rsidRPr="001B3B93">
        <w:rPr>
          <w:szCs w:val="23"/>
        </w:rPr>
        <w:t>common</w:t>
      </w:r>
      <w:r w:rsidR="00406D09" w:rsidRPr="001B3B93">
        <w:rPr>
          <w:szCs w:val="23"/>
        </w:rPr>
        <w:t xml:space="preserve"> approach</w:t>
      </w:r>
      <w:r w:rsidR="001B7404" w:rsidRPr="001B3B93">
        <w:rPr>
          <w:szCs w:val="23"/>
        </w:rPr>
        <w:t xml:space="preserve">. </w:t>
      </w:r>
      <w:r w:rsidR="0085281E" w:rsidRPr="001B3B93">
        <w:rPr>
          <w:szCs w:val="23"/>
        </w:rPr>
        <w:t xml:space="preserve">There is also a </w:t>
      </w:r>
      <w:r w:rsidR="00C35972" w:rsidRPr="001B3B93">
        <w:rPr>
          <w:szCs w:val="23"/>
        </w:rPr>
        <w:t xml:space="preserve">change in </w:t>
      </w:r>
      <w:r w:rsidR="00406D09" w:rsidRPr="001B3B93">
        <w:rPr>
          <w:szCs w:val="23"/>
        </w:rPr>
        <w:t xml:space="preserve">the </w:t>
      </w:r>
      <w:r w:rsidR="00C35972" w:rsidRPr="001B3B93">
        <w:rPr>
          <w:szCs w:val="23"/>
        </w:rPr>
        <w:t>sector</w:t>
      </w:r>
      <w:r w:rsidR="00406D09" w:rsidRPr="001B3B93">
        <w:rPr>
          <w:szCs w:val="23"/>
        </w:rPr>
        <w:t>al</w:t>
      </w:r>
      <w:r w:rsidR="00C35972" w:rsidRPr="001B3B93">
        <w:rPr>
          <w:szCs w:val="23"/>
        </w:rPr>
        <w:t xml:space="preserve"> </w:t>
      </w:r>
      <w:r w:rsidR="00406D09" w:rsidRPr="001B3B93">
        <w:rPr>
          <w:szCs w:val="23"/>
        </w:rPr>
        <w:t xml:space="preserve">balance, away from social sectors and </w:t>
      </w:r>
      <w:r w:rsidR="0085281E" w:rsidRPr="001B3B93">
        <w:rPr>
          <w:szCs w:val="23"/>
        </w:rPr>
        <w:t xml:space="preserve">towards </w:t>
      </w:r>
      <w:r w:rsidR="00406D09" w:rsidRPr="001B3B93">
        <w:rPr>
          <w:szCs w:val="23"/>
        </w:rPr>
        <w:t xml:space="preserve">economic development. This includes </w:t>
      </w:r>
      <w:r w:rsidR="0085281E" w:rsidRPr="001B3B93">
        <w:rPr>
          <w:szCs w:val="23"/>
        </w:rPr>
        <w:t>direct support to the private secto</w:t>
      </w:r>
      <w:r w:rsidR="00406D09" w:rsidRPr="001B3B93">
        <w:rPr>
          <w:szCs w:val="23"/>
        </w:rPr>
        <w:t xml:space="preserve">r, often in the form of </w:t>
      </w:r>
      <w:r w:rsidR="0085281E" w:rsidRPr="001B3B93">
        <w:rPr>
          <w:szCs w:val="23"/>
        </w:rPr>
        <w:t>loans and equity investments.</w:t>
      </w:r>
    </w:p>
    <w:p w14:paraId="705F40FC" w14:textId="49F95221" w:rsidR="00A3726A" w:rsidRPr="001B3B93" w:rsidRDefault="0034303C" w:rsidP="00284CDE">
      <w:pPr>
        <w:rPr>
          <w:szCs w:val="23"/>
        </w:rPr>
      </w:pPr>
      <w:r>
        <w:rPr>
          <w:szCs w:val="23"/>
        </w:rPr>
        <w:lastRenderedPageBreak/>
        <w:t>A</w:t>
      </w:r>
      <w:r w:rsidR="00284CDE">
        <w:rPr>
          <w:szCs w:val="23"/>
        </w:rPr>
        <w:t>ll five donors</w:t>
      </w:r>
      <w:r>
        <w:rPr>
          <w:szCs w:val="23"/>
        </w:rPr>
        <w:t xml:space="preserve"> are concentrating their aid in low-income countries and fragile states</w:t>
      </w:r>
      <w:r w:rsidR="00F26C51">
        <w:rPr>
          <w:szCs w:val="23"/>
        </w:rPr>
        <w:t xml:space="preserve"> and </w:t>
      </w:r>
      <w:r>
        <w:rPr>
          <w:szCs w:val="23"/>
        </w:rPr>
        <w:t xml:space="preserve">transitioning out of MICs, in whole or in part. Denmark, DFID, the Netherlands and Sweden have </w:t>
      </w:r>
      <w:r w:rsidR="00F26C51">
        <w:rPr>
          <w:szCs w:val="23"/>
        </w:rPr>
        <w:t xml:space="preserve">all </w:t>
      </w:r>
      <w:r>
        <w:rPr>
          <w:szCs w:val="23"/>
        </w:rPr>
        <w:t xml:space="preserve">exited from aid </w:t>
      </w:r>
      <w:r w:rsidR="00F26C51">
        <w:rPr>
          <w:szCs w:val="23"/>
        </w:rPr>
        <w:t xml:space="preserve">to Vietnam, although some ODA continues to flow there through regional instruments and multilateral channels. </w:t>
      </w:r>
      <w:r w:rsidR="00FA6BFE">
        <w:rPr>
          <w:szCs w:val="23"/>
        </w:rPr>
        <w:t>DFID has phased out most bilateral aid to China, India, Indonesia and South Africa since 2011, but U</w:t>
      </w:r>
      <w:r w:rsidR="00830AB2">
        <w:rPr>
          <w:szCs w:val="23"/>
        </w:rPr>
        <w:t xml:space="preserve">nited </w:t>
      </w:r>
      <w:r w:rsidR="00FA6BFE">
        <w:rPr>
          <w:szCs w:val="23"/>
        </w:rPr>
        <w:t>K</w:t>
      </w:r>
      <w:r w:rsidR="00830AB2">
        <w:rPr>
          <w:szCs w:val="23"/>
        </w:rPr>
        <w:t>ingdom</w:t>
      </w:r>
      <w:r w:rsidR="00FA6BFE">
        <w:rPr>
          <w:szCs w:val="23"/>
        </w:rPr>
        <w:t xml:space="preserve"> aid continues to flow to MICs in the form of international climate finance, through the development finance institution CDC</w:t>
      </w:r>
      <w:r w:rsidR="00FA49A0">
        <w:rPr>
          <w:szCs w:val="23"/>
        </w:rPr>
        <w:t xml:space="preserve"> Group</w:t>
      </w:r>
      <w:r w:rsidR="00FA6BFE">
        <w:rPr>
          <w:szCs w:val="23"/>
        </w:rPr>
        <w:t xml:space="preserve"> and through cross-government funds on prosperity and security issues.</w:t>
      </w:r>
    </w:p>
    <w:p w14:paraId="5749C66A" w14:textId="1928736A" w:rsidR="009C5D4B" w:rsidRDefault="00B81A88" w:rsidP="002F06DF">
      <w:pPr>
        <w:rPr>
          <w:szCs w:val="23"/>
        </w:rPr>
      </w:pPr>
      <w:r>
        <w:rPr>
          <w:szCs w:val="23"/>
        </w:rPr>
        <w:t>D</w:t>
      </w:r>
      <w:r w:rsidR="00406D09" w:rsidRPr="001B3B93">
        <w:rPr>
          <w:szCs w:val="23"/>
        </w:rPr>
        <w:t xml:space="preserve">onor policies </w:t>
      </w:r>
      <w:r>
        <w:rPr>
          <w:szCs w:val="23"/>
        </w:rPr>
        <w:t xml:space="preserve">made no reference </w:t>
      </w:r>
      <w:r w:rsidR="00406D09" w:rsidRPr="001B3B93">
        <w:rPr>
          <w:szCs w:val="23"/>
        </w:rPr>
        <w:t xml:space="preserve">to middle-income traps or the </w:t>
      </w:r>
      <w:r w:rsidR="001B7D89" w:rsidRPr="001B3B93">
        <w:rPr>
          <w:szCs w:val="23"/>
        </w:rPr>
        <w:t xml:space="preserve">development </w:t>
      </w:r>
      <w:r w:rsidR="00406D09" w:rsidRPr="001B3B93">
        <w:rPr>
          <w:szCs w:val="23"/>
        </w:rPr>
        <w:t>risk</w:t>
      </w:r>
      <w:r w:rsidR="001B7D89" w:rsidRPr="001B3B93">
        <w:rPr>
          <w:szCs w:val="23"/>
        </w:rPr>
        <w:t>s</w:t>
      </w:r>
      <w:r w:rsidR="00406D09" w:rsidRPr="001B3B93">
        <w:rPr>
          <w:szCs w:val="23"/>
        </w:rPr>
        <w:t xml:space="preserve"> </w:t>
      </w:r>
      <w:r w:rsidR="001B7D89" w:rsidRPr="001B3B93">
        <w:rPr>
          <w:szCs w:val="23"/>
        </w:rPr>
        <w:t>facing MICs</w:t>
      </w:r>
      <w:r w:rsidR="009C5D4B">
        <w:rPr>
          <w:szCs w:val="23"/>
        </w:rPr>
        <w:t xml:space="preserve">. </w:t>
      </w:r>
      <w:r w:rsidR="009C5D4B" w:rsidRPr="009C5D4B">
        <w:rPr>
          <w:szCs w:val="23"/>
        </w:rPr>
        <w:t>In the coming years, as more low-income countries reach MIC status, the proportion of the global poor living in MICs will increase.</w:t>
      </w:r>
      <w:r w:rsidR="009C5D4B">
        <w:rPr>
          <w:szCs w:val="23"/>
        </w:rPr>
        <w:t xml:space="preserve"> The S</w:t>
      </w:r>
      <w:r w:rsidR="00665ECD">
        <w:rPr>
          <w:szCs w:val="23"/>
        </w:rPr>
        <w:t>ustainable Development Goals</w:t>
      </w:r>
      <w:r w:rsidR="009C5D4B">
        <w:rPr>
          <w:szCs w:val="23"/>
        </w:rPr>
        <w:t xml:space="preserve"> will</w:t>
      </w:r>
      <w:r w:rsidR="00127896">
        <w:rPr>
          <w:szCs w:val="23"/>
        </w:rPr>
        <w:t xml:space="preserve"> not</w:t>
      </w:r>
      <w:r w:rsidR="009C5D4B">
        <w:rPr>
          <w:szCs w:val="23"/>
        </w:rPr>
        <w:t xml:space="preserve"> be achieved without a significant acceleration of progress in MICs. </w:t>
      </w:r>
      <w:r w:rsidR="007B7A9B">
        <w:rPr>
          <w:szCs w:val="23"/>
        </w:rPr>
        <w:t>T</w:t>
      </w:r>
      <w:r w:rsidR="009C5D4B">
        <w:rPr>
          <w:szCs w:val="23"/>
        </w:rPr>
        <w:t xml:space="preserve">he question of how development cooperation can support this has not been a focus of global development policy dialogue. </w:t>
      </w:r>
      <w:r w:rsidR="007F04B8">
        <w:rPr>
          <w:szCs w:val="23"/>
        </w:rPr>
        <w:t xml:space="preserve">However, </w:t>
      </w:r>
      <w:r w:rsidR="00185BE6">
        <w:rPr>
          <w:szCs w:val="23"/>
        </w:rPr>
        <w:t>the 2018 general capital increase for the World Bank comes with a commitment to increase lending to lower middle-income countries</w:t>
      </w:r>
      <w:r w:rsidR="00A37BB3">
        <w:rPr>
          <w:szCs w:val="23"/>
        </w:rPr>
        <w:t xml:space="preserve"> with the greatest financing needs</w:t>
      </w:r>
      <w:r w:rsidR="00AC54BF">
        <w:rPr>
          <w:szCs w:val="23"/>
        </w:rPr>
        <w:t>.</w:t>
      </w:r>
      <w:r w:rsidR="00AC54BF">
        <w:rPr>
          <w:rStyle w:val="FootnoteReference"/>
          <w:szCs w:val="23"/>
        </w:rPr>
        <w:footnoteReference w:id="39"/>
      </w:r>
    </w:p>
    <w:p w14:paraId="50891623" w14:textId="65533F91" w:rsidR="00F80458" w:rsidRDefault="009C5D4B" w:rsidP="00FC3FC2">
      <w:pPr>
        <w:rPr>
          <w:szCs w:val="23"/>
        </w:rPr>
      </w:pPr>
      <w:r>
        <w:rPr>
          <w:szCs w:val="23"/>
        </w:rPr>
        <w:t xml:space="preserve">There is a limited literature on </w:t>
      </w:r>
      <w:r w:rsidR="007F04B8">
        <w:rPr>
          <w:szCs w:val="23"/>
        </w:rPr>
        <w:t>how donors manage exit or transition from bilateral aid. It suggest</w:t>
      </w:r>
      <w:r w:rsidR="00FA49A0">
        <w:rPr>
          <w:szCs w:val="23"/>
        </w:rPr>
        <w:t>s</w:t>
      </w:r>
      <w:r w:rsidR="007F04B8">
        <w:rPr>
          <w:szCs w:val="23"/>
        </w:rPr>
        <w:t xml:space="preserve"> that the </w:t>
      </w:r>
      <w:r w:rsidR="004D3D31" w:rsidRPr="001B3B93">
        <w:rPr>
          <w:szCs w:val="23"/>
        </w:rPr>
        <w:t xml:space="preserve">primary driver </w:t>
      </w:r>
      <w:r w:rsidR="007F04B8">
        <w:rPr>
          <w:szCs w:val="23"/>
        </w:rPr>
        <w:t xml:space="preserve">has been </w:t>
      </w:r>
      <w:r w:rsidR="00D158B9" w:rsidRPr="001B3B93">
        <w:rPr>
          <w:szCs w:val="23"/>
        </w:rPr>
        <w:t xml:space="preserve">political </w:t>
      </w:r>
      <w:r w:rsidR="00C4546F" w:rsidRPr="001B3B93">
        <w:rPr>
          <w:szCs w:val="23"/>
        </w:rPr>
        <w:t xml:space="preserve">pressures </w:t>
      </w:r>
      <w:r w:rsidR="00D158B9" w:rsidRPr="001B3B93">
        <w:rPr>
          <w:szCs w:val="23"/>
        </w:rPr>
        <w:t>in donor countr</w:t>
      </w:r>
      <w:r w:rsidR="004D3D31" w:rsidRPr="001B3B93">
        <w:rPr>
          <w:szCs w:val="23"/>
        </w:rPr>
        <w:t>ies</w:t>
      </w:r>
      <w:r w:rsidR="00D158B9" w:rsidRPr="001B3B93">
        <w:rPr>
          <w:szCs w:val="23"/>
        </w:rPr>
        <w:t xml:space="preserve">. </w:t>
      </w:r>
      <w:r w:rsidR="00335060" w:rsidRPr="001B3B93">
        <w:rPr>
          <w:szCs w:val="23"/>
        </w:rPr>
        <w:t>A report by the U</w:t>
      </w:r>
      <w:r w:rsidR="00830AB2">
        <w:rPr>
          <w:szCs w:val="23"/>
        </w:rPr>
        <w:t xml:space="preserve">nited </w:t>
      </w:r>
      <w:r w:rsidR="00335060" w:rsidRPr="001B3B93">
        <w:rPr>
          <w:szCs w:val="23"/>
        </w:rPr>
        <w:t>K</w:t>
      </w:r>
      <w:r w:rsidR="00830AB2">
        <w:rPr>
          <w:szCs w:val="23"/>
        </w:rPr>
        <w:t>ingdom</w:t>
      </w:r>
      <w:r w:rsidR="00335060" w:rsidRPr="001B3B93">
        <w:rPr>
          <w:szCs w:val="23"/>
        </w:rPr>
        <w:t xml:space="preserve">’s </w:t>
      </w:r>
      <w:bookmarkStart w:id="48" w:name="_Hlk520987841"/>
      <w:r w:rsidR="00335060" w:rsidRPr="001B3B93">
        <w:rPr>
          <w:szCs w:val="23"/>
        </w:rPr>
        <w:t>Independent Commission for Aid Impact</w:t>
      </w:r>
      <w:r w:rsidR="007B7A9B">
        <w:rPr>
          <w:szCs w:val="23"/>
        </w:rPr>
        <w:t xml:space="preserve"> (ICAI</w:t>
      </w:r>
      <w:bookmarkEnd w:id="48"/>
      <w:r w:rsidR="007B7A9B">
        <w:rPr>
          <w:szCs w:val="23"/>
        </w:rPr>
        <w:t>)</w:t>
      </w:r>
      <w:r w:rsidR="009B6D0F" w:rsidRPr="001B3B93">
        <w:rPr>
          <w:szCs w:val="23"/>
          <w:vertAlign w:val="superscript"/>
        </w:rPr>
        <w:footnoteReference w:id="40"/>
      </w:r>
      <w:r w:rsidR="00335060" w:rsidRPr="001B3B93">
        <w:rPr>
          <w:szCs w:val="23"/>
        </w:rPr>
        <w:t xml:space="preserve"> </w:t>
      </w:r>
      <w:r w:rsidR="009B6D0F" w:rsidRPr="001B3B93">
        <w:rPr>
          <w:szCs w:val="23"/>
        </w:rPr>
        <w:t xml:space="preserve">found that such pressures had led to poorly planned and executed exits from both India and South Africa (Box </w:t>
      </w:r>
      <w:r w:rsidR="00297DFF">
        <w:rPr>
          <w:szCs w:val="23"/>
        </w:rPr>
        <w:t>3</w:t>
      </w:r>
      <w:r w:rsidR="009B6D0F" w:rsidRPr="001B3B93">
        <w:rPr>
          <w:szCs w:val="23"/>
        </w:rPr>
        <w:t xml:space="preserve">). The lesson is an instructive one for Australia: </w:t>
      </w:r>
      <w:r w:rsidR="00FA49A0">
        <w:rPr>
          <w:szCs w:val="23"/>
        </w:rPr>
        <w:t>I</w:t>
      </w:r>
      <w:r w:rsidR="009B6D0F" w:rsidRPr="001B3B93">
        <w:rPr>
          <w:szCs w:val="23"/>
        </w:rPr>
        <w:t>f the case for continued aid to Asian MICs is not clearly articulated, there is a risk that political pressures on the aid program might lead to hasty exit</w:t>
      </w:r>
      <w:r w:rsidR="004D3D31" w:rsidRPr="001B3B93">
        <w:rPr>
          <w:szCs w:val="23"/>
        </w:rPr>
        <w:t>s and damage bilateral relationships</w:t>
      </w:r>
      <w:r w:rsidR="009B6D0F" w:rsidRPr="001B3B93">
        <w:rPr>
          <w:szCs w:val="23"/>
        </w:rPr>
        <w:t>.</w:t>
      </w:r>
    </w:p>
    <w:p w14:paraId="45BA8D52" w14:textId="77777777" w:rsidR="00F80458" w:rsidRDefault="00F80458">
      <w:pPr>
        <w:rPr>
          <w:szCs w:val="23"/>
        </w:rPr>
      </w:pPr>
      <w:r>
        <w:rPr>
          <w:szCs w:val="23"/>
        </w:rPr>
        <w:br w:type="page"/>
      </w:r>
    </w:p>
    <w:p w14:paraId="0333626A" w14:textId="77777777" w:rsidR="00D158B9" w:rsidRPr="001B3B93" w:rsidRDefault="00D158B9" w:rsidP="00FC3FC2">
      <w:pPr>
        <w:rPr>
          <w:szCs w:val="23"/>
        </w:rPr>
      </w:pPr>
    </w:p>
    <w:p w14:paraId="36231162" w14:textId="6CA6F0FB" w:rsidR="0055515C" w:rsidRPr="001B3B93" w:rsidRDefault="0055515C" w:rsidP="0055515C">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297DFF">
        <w:t>3</w:t>
      </w:r>
      <w:r w:rsidRPr="001B3B93">
        <w:t xml:space="preserve">: DFID’s </w:t>
      </w:r>
      <w:r w:rsidR="00E62184" w:rsidRPr="001B3B93">
        <w:t>challenges</w:t>
      </w:r>
      <w:r w:rsidR="00721DA8" w:rsidRPr="001B3B93">
        <w:t xml:space="preserve"> with managing transition</w:t>
      </w:r>
    </w:p>
    <w:p w14:paraId="7A5EC02E" w14:textId="0845DF16" w:rsidR="0055515C" w:rsidRPr="001B3B93" w:rsidRDefault="0055515C" w:rsidP="0055515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DFID’s longest and arguably most successful development partnership was with India, where it enjoyed an unrivalled depth of relationships with institutions </w:t>
      </w:r>
      <w:r w:rsidR="007B7A9B">
        <w:t xml:space="preserve">at </w:t>
      </w:r>
      <w:r w:rsidRPr="001B3B93">
        <w:t>national and state level</w:t>
      </w:r>
      <w:r w:rsidR="007B7A9B">
        <w:t>s</w:t>
      </w:r>
      <w:r w:rsidRPr="001B3B93">
        <w:t>. It had also invested over many years in developing national civil society.</w:t>
      </w:r>
    </w:p>
    <w:p w14:paraId="1FFF8DEA" w14:textId="188AC77D" w:rsidR="0055515C" w:rsidRPr="001B3B93" w:rsidRDefault="0055515C" w:rsidP="0055515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In 2012, following a sustained campaign in the U</w:t>
      </w:r>
      <w:r w:rsidR="00830AB2">
        <w:t xml:space="preserve">nited </w:t>
      </w:r>
      <w:r w:rsidRPr="001B3B93">
        <w:t>K</w:t>
      </w:r>
      <w:r w:rsidR="00830AB2">
        <w:t>ingdom</w:t>
      </w:r>
      <w:r w:rsidRPr="001B3B93">
        <w:t xml:space="preserve"> press, DFID announced that it would end financial aid to India by 2015, while continuing technical assistance and capital investment. </w:t>
      </w:r>
      <w:r w:rsidR="0034748C" w:rsidRPr="001B3B93">
        <w:t>W</w:t>
      </w:r>
      <w:r w:rsidRPr="001B3B93">
        <w:t xml:space="preserve">hile the transition was agreed with central government counterparts, the objectives were not </w:t>
      </w:r>
      <w:r w:rsidR="0034748C" w:rsidRPr="001B3B93">
        <w:t xml:space="preserve">well </w:t>
      </w:r>
      <w:r w:rsidRPr="001B3B93">
        <w:t>communicated to national stakeholders</w:t>
      </w:r>
      <w:r w:rsidR="00BC6504" w:rsidRPr="001B3B93">
        <w:t xml:space="preserve">, </w:t>
      </w:r>
      <w:r w:rsidR="0034748C" w:rsidRPr="001B3B93">
        <w:t xml:space="preserve">causing damage to </w:t>
      </w:r>
      <w:r w:rsidR="00BC6504" w:rsidRPr="001B3B93">
        <w:t>relationships</w:t>
      </w:r>
      <w:r w:rsidRPr="001B3B93">
        <w:t>. A public communication plan agreed between the two governments was disregarded when U</w:t>
      </w:r>
      <w:r w:rsidR="00830AB2">
        <w:t xml:space="preserve">nited </w:t>
      </w:r>
      <w:r w:rsidRPr="001B3B93">
        <w:t>K</w:t>
      </w:r>
      <w:r w:rsidR="00830AB2">
        <w:t>ingdom</w:t>
      </w:r>
      <w:r w:rsidRPr="001B3B93">
        <w:t xml:space="preserve"> officials made premature announcements. </w:t>
      </w:r>
      <w:r w:rsidR="00BC6504" w:rsidRPr="001B3B93">
        <w:t xml:space="preserve">DFID also faced difficulties in communicating its ongoing work in India to the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t xml:space="preserve"> </w:t>
      </w:r>
      <w:r w:rsidR="00BC6504" w:rsidRPr="001B3B93">
        <w:t>public</w:t>
      </w:r>
      <w:r w:rsidR="0034748C" w:rsidRPr="001B3B93">
        <w:t>, opening itself to additional criticism</w:t>
      </w:r>
      <w:r w:rsidR="00BC6504" w:rsidRPr="001B3B93">
        <w:t xml:space="preserve">. </w:t>
      </w:r>
      <w:r w:rsidR="0034748C" w:rsidRPr="001B3B93">
        <w:t>Without DFID support, Indian civil society organisations experienced both a loss of funding and a loss of access to government. U</w:t>
      </w:r>
      <w:r w:rsidR="00830AB2">
        <w:t>nited Kingdom</w:t>
      </w:r>
      <w:r w:rsidR="0034748C" w:rsidRPr="001B3B93">
        <w:t>’s ICAI found that these risks had not been properly identified or managed.</w:t>
      </w:r>
    </w:p>
    <w:p w14:paraId="29F3FE62" w14:textId="77777777" w:rsidR="0034748C" w:rsidRPr="001B3B93" w:rsidRDefault="001839A3" w:rsidP="0055515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In contrast,</w:t>
      </w:r>
      <w:r w:rsidR="0034748C" w:rsidRPr="001B3B93">
        <w:t xml:space="preserve"> ICAI found that, in Indonesia, DFID successfully transitioned to a relationship focused on climate change, while in Vietnam, its management of exit from aid was held up by the government as an example for other donors to follow.</w:t>
      </w:r>
    </w:p>
    <w:p w14:paraId="1072CE2C" w14:textId="1D7CF075" w:rsidR="0055515C" w:rsidRPr="001B3B93" w:rsidRDefault="0055515C" w:rsidP="0055515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sz w:val="18"/>
          <w:szCs w:val="18"/>
        </w:rPr>
      </w:pPr>
      <w:r w:rsidRPr="00FA38AC">
        <w:t xml:space="preserve">Source: </w:t>
      </w:r>
      <w:r w:rsidR="0034748C" w:rsidRPr="00FA38AC">
        <w:t>ICAI,</w:t>
      </w:r>
      <w:r w:rsidR="0034748C" w:rsidRPr="001B3B93">
        <w:rPr>
          <w:i/>
        </w:rPr>
        <w:t xml:space="preserve"> </w:t>
      </w:r>
      <w:hyperlink r:id="rId27" w:history="1">
        <w:r w:rsidR="0034748C" w:rsidRPr="00FA49A0">
          <w:rPr>
            <w:rStyle w:val="Hyperlink"/>
            <w:i/>
          </w:rPr>
          <w:t>When aid relationships change: DFID’s approach to managing exit and transition in its development partnerships</w:t>
        </w:r>
      </w:hyperlink>
      <w:r w:rsidR="0034748C" w:rsidRPr="001B3B93">
        <w:t>, November 2016</w:t>
      </w:r>
      <w:r w:rsidRPr="001B3B93">
        <w:t>.</w:t>
      </w:r>
    </w:p>
    <w:p w14:paraId="1F5C15EC" w14:textId="77777777" w:rsidR="0034748C" w:rsidRPr="001B3B93" w:rsidRDefault="0034748C" w:rsidP="002F06DF">
      <w:pPr>
        <w:rPr>
          <w:szCs w:val="23"/>
        </w:rPr>
      </w:pPr>
    </w:p>
    <w:p w14:paraId="2AC1D175" w14:textId="102CD89F" w:rsidR="00F80458" w:rsidRDefault="000E4ED6" w:rsidP="002F06DF">
      <w:pPr>
        <w:rPr>
          <w:szCs w:val="23"/>
        </w:rPr>
      </w:pPr>
      <w:r w:rsidRPr="001B3B93">
        <w:rPr>
          <w:szCs w:val="23"/>
        </w:rPr>
        <w:t>With the exception of Canada, d</w:t>
      </w:r>
      <w:r w:rsidR="00886B7D" w:rsidRPr="001B3B93">
        <w:rPr>
          <w:szCs w:val="23"/>
        </w:rPr>
        <w:t>onor</w:t>
      </w:r>
      <w:r w:rsidR="009B6D0F" w:rsidRPr="001B3B93">
        <w:rPr>
          <w:szCs w:val="23"/>
        </w:rPr>
        <w:t xml:space="preserve">s’ rationale for aid to MICs includes strong elements of </w:t>
      </w:r>
      <w:r w:rsidR="00864C79" w:rsidRPr="001B3B93">
        <w:rPr>
          <w:szCs w:val="23"/>
        </w:rPr>
        <w:t xml:space="preserve">mutual benefit. The Netherlands, for example, </w:t>
      </w:r>
      <w:r w:rsidR="006F6E74" w:rsidRPr="001B3B93">
        <w:rPr>
          <w:szCs w:val="23"/>
        </w:rPr>
        <w:t>states</w:t>
      </w:r>
      <w:r w:rsidR="00FA49A0">
        <w:rPr>
          <w:szCs w:val="23"/>
        </w:rPr>
        <w:t xml:space="preserve"> that</w:t>
      </w:r>
      <w:r w:rsidR="006F6E74" w:rsidRPr="001B3B93">
        <w:rPr>
          <w:szCs w:val="23"/>
        </w:rPr>
        <w:t xml:space="preserve"> </w:t>
      </w:r>
      <w:r w:rsidR="00864C79" w:rsidRPr="001B3B93">
        <w:rPr>
          <w:szCs w:val="23"/>
        </w:rPr>
        <w:t xml:space="preserve">the purpose of trade-related support for MICs </w:t>
      </w:r>
      <w:r w:rsidR="00C445A1">
        <w:rPr>
          <w:szCs w:val="23"/>
        </w:rPr>
        <w:t>i</w:t>
      </w:r>
      <w:r w:rsidR="00864C79" w:rsidRPr="001B3B93">
        <w:rPr>
          <w:szCs w:val="23"/>
        </w:rPr>
        <w:t xml:space="preserve">s supporting growth and employment creation in both countries. </w:t>
      </w:r>
      <w:r w:rsidR="00B80CE2" w:rsidRPr="001B3B93">
        <w:rPr>
          <w:szCs w:val="23"/>
        </w:rPr>
        <w:t>The U</w:t>
      </w:r>
      <w:r w:rsidR="00830AB2">
        <w:rPr>
          <w:szCs w:val="23"/>
        </w:rPr>
        <w:t xml:space="preserve">nited </w:t>
      </w:r>
      <w:r w:rsidR="00B80CE2" w:rsidRPr="001B3B93">
        <w:rPr>
          <w:szCs w:val="23"/>
        </w:rPr>
        <w:t>K</w:t>
      </w:r>
      <w:r w:rsidR="00830AB2">
        <w:rPr>
          <w:szCs w:val="23"/>
        </w:rPr>
        <w:t>ingdom</w:t>
      </w:r>
      <w:r w:rsidR="00B80CE2" w:rsidRPr="001B3B93">
        <w:rPr>
          <w:szCs w:val="23"/>
        </w:rPr>
        <w:t xml:space="preserve"> has moved </w:t>
      </w:r>
      <w:r w:rsidR="001839A3" w:rsidRPr="001B3B93">
        <w:rPr>
          <w:szCs w:val="23"/>
        </w:rPr>
        <w:t xml:space="preserve">the </w:t>
      </w:r>
      <w:r w:rsidR="00B80CE2" w:rsidRPr="001B3B93">
        <w:rPr>
          <w:szCs w:val="23"/>
        </w:rPr>
        <w:t xml:space="preserve">most decisively in this direction. </w:t>
      </w:r>
      <w:r w:rsidR="00FC3FC2" w:rsidRPr="001B3B93">
        <w:rPr>
          <w:szCs w:val="23"/>
        </w:rPr>
        <w:t>One of the four objectives of the U</w:t>
      </w:r>
      <w:r w:rsidR="00830AB2">
        <w:rPr>
          <w:szCs w:val="23"/>
        </w:rPr>
        <w:t xml:space="preserve">nited </w:t>
      </w:r>
      <w:r w:rsidR="00FC3FC2" w:rsidRPr="001B3B93">
        <w:rPr>
          <w:szCs w:val="23"/>
        </w:rPr>
        <w:t>K</w:t>
      </w:r>
      <w:r w:rsidR="00830AB2">
        <w:rPr>
          <w:szCs w:val="23"/>
        </w:rPr>
        <w:t>ingdom</w:t>
      </w:r>
      <w:r w:rsidR="00FC3FC2" w:rsidRPr="001B3B93">
        <w:rPr>
          <w:szCs w:val="23"/>
        </w:rPr>
        <w:t xml:space="preserve"> Aid Strategy is promoting global prosperity, to reduc</w:t>
      </w:r>
      <w:r w:rsidR="006F6E74" w:rsidRPr="001B3B93">
        <w:rPr>
          <w:szCs w:val="23"/>
        </w:rPr>
        <w:t>e</w:t>
      </w:r>
      <w:r w:rsidR="00FC3FC2" w:rsidRPr="001B3B93">
        <w:rPr>
          <w:szCs w:val="23"/>
        </w:rPr>
        <w:t xml:space="preserve"> poverty and strengthen trade and investment opportunities for the U</w:t>
      </w:r>
      <w:r w:rsidR="00830AB2">
        <w:rPr>
          <w:szCs w:val="23"/>
        </w:rPr>
        <w:t xml:space="preserve">nited </w:t>
      </w:r>
      <w:r w:rsidR="00FC3FC2" w:rsidRPr="001B3B93">
        <w:rPr>
          <w:szCs w:val="23"/>
        </w:rPr>
        <w:t>K</w:t>
      </w:r>
      <w:r w:rsidR="00830AB2">
        <w:rPr>
          <w:szCs w:val="23"/>
        </w:rPr>
        <w:t>ingdom</w:t>
      </w:r>
      <w:r w:rsidR="00FC3FC2" w:rsidRPr="001B3B93">
        <w:rPr>
          <w:szCs w:val="23"/>
        </w:rPr>
        <w:t>.</w:t>
      </w:r>
      <w:r w:rsidR="00FC3FC2" w:rsidRPr="001B3B93">
        <w:rPr>
          <w:rStyle w:val="FootnoteReference"/>
          <w:szCs w:val="23"/>
        </w:rPr>
        <w:footnoteReference w:id="41"/>
      </w:r>
      <w:r w:rsidR="00FC3FC2" w:rsidRPr="001B3B93">
        <w:rPr>
          <w:szCs w:val="23"/>
        </w:rPr>
        <w:t xml:space="preserve"> </w:t>
      </w:r>
      <w:r w:rsidR="006F6E74" w:rsidRPr="001B3B93">
        <w:rPr>
          <w:szCs w:val="23"/>
        </w:rPr>
        <w:t xml:space="preserve">The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rPr>
          <w:szCs w:val="23"/>
        </w:rPr>
        <w:t xml:space="preserve"> </w:t>
      </w:r>
      <w:r w:rsidR="00FA49A0">
        <w:rPr>
          <w:szCs w:val="23"/>
        </w:rPr>
        <w:t>G</w:t>
      </w:r>
      <w:r w:rsidR="006F6E74" w:rsidRPr="001B3B93">
        <w:rPr>
          <w:szCs w:val="23"/>
        </w:rPr>
        <w:t xml:space="preserve">overnment </w:t>
      </w:r>
      <w:r w:rsidR="00FC3FC2" w:rsidRPr="001B3B93">
        <w:rPr>
          <w:szCs w:val="23"/>
        </w:rPr>
        <w:t>has established a cross-government Prosperity Fund, under the authority of the National Security Council, with</w:t>
      </w:r>
      <w:r w:rsidR="00A44331" w:rsidRPr="001B3B93">
        <w:rPr>
          <w:szCs w:val="23"/>
        </w:rPr>
        <w:t xml:space="preserve"> a budget of</w:t>
      </w:r>
      <w:r w:rsidR="007B7A9B">
        <w:rPr>
          <w:szCs w:val="23"/>
        </w:rPr>
        <w:t xml:space="preserve"> GBP</w:t>
      </w:r>
      <w:r w:rsidR="00FC3FC2" w:rsidRPr="001B3B93">
        <w:rPr>
          <w:szCs w:val="23"/>
        </w:rPr>
        <w:t xml:space="preserve">1.2 billion over six years. </w:t>
      </w:r>
      <w:r w:rsidR="00EA1E8E" w:rsidRPr="001B3B93">
        <w:rPr>
          <w:szCs w:val="23"/>
        </w:rPr>
        <w:t xml:space="preserve">Even </w:t>
      </w:r>
      <w:r w:rsidR="00FC3FC2" w:rsidRPr="001B3B93">
        <w:rPr>
          <w:szCs w:val="23"/>
        </w:rPr>
        <w:t xml:space="preserve">as DFID </w:t>
      </w:r>
      <w:r w:rsidR="00EA1E8E" w:rsidRPr="001B3B93">
        <w:rPr>
          <w:szCs w:val="23"/>
        </w:rPr>
        <w:t>phases out traditional aid</w:t>
      </w:r>
      <w:r w:rsidR="00FC3FC2" w:rsidRPr="001B3B93">
        <w:rPr>
          <w:szCs w:val="23"/>
        </w:rPr>
        <w:t xml:space="preserve">, the Prosperity Fund is directing substantial </w:t>
      </w:r>
      <w:r w:rsidR="00EA1E8E" w:rsidRPr="001B3B93">
        <w:rPr>
          <w:szCs w:val="23"/>
        </w:rPr>
        <w:t xml:space="preserve">ODA </w:t>
      </w:r>
      <w:r w:rsidR="00FC3FC2" w:rsidRPr="001B3B93">
        <w:rPr>
          <w:szCs w:val="23"/>
        </w:rPr>
        <w:t xml:space="preserve">back </w:t>
      </w:r>
      <w:r w:rsidR="004D3D31" w:rsidRPr="001B3B93">
        <w:rPr>
          <w:szCs w:val="23"/>
        </w:rPr>
        <w:t>in</w:t>
      </w:r>
      <w:r w:rsidR="00FC3FC2" w:rsidRPr="001B3B93">
        <w:rPr>
          <w:szCs w:val="23"/>
        </w:rPr>
        <w:t xml:space="preserve">to MICs, where commercial opportunities for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rPr>
          <w:szCs w:val="23"/>
        </w:rPr>
        <w:t xml:space="preserve"> </w:t>
      </w:r>
      <w:r w:rsidR="00FC3FC2" w:rsidRPr="001B3B93">
        <w:rPr>
          <w:szCs w:val="23"/>
        </w:rPr>
        <w:t xml:space="preserve">firms are most likely to arise (Box </w:t>
      </w:r>
      <w:r w:rsidR="00297DFF">
        <w:rPr>
          <w:szCs w:val="23"/>
        </w:rPr>
        <w:t>4</w:t>
      </w:r>
      <w:r w:rsidR="00FC3FC2" w:rsidRPr="001B3B93">
        <w:rPr>
          <w:szCs w:val="23"/>
        </w:rPr>
        <w:t xml:space="preserve">). </w:t>
      </w:r>
      <w:r w:rsidR="008D0F1E">
        <w:rPr>
          <w:szCs w:val="23"/>
        </w:rPr>
        <w:t>T</w:t>
      </w:r>
      <w:r w:rsidR="006F6E74" w:rsidRPr="001B3B93">
        <w:rPr>
          <w:szCs w:val="23"/>
        </w:rPr>
        <w:t>he Netherlands ha</w:t>
      </w:r>
      <w:r w:rsidR="008D0F1E">
        <w:rPr>
          <w:szCs w:val="23"/>
        </w:rPr>
        <w:t>s</w:t>
      </w:r>
      <w:r w:rsidR="006F6E74" w:rsidRPr="001B3B93">
        <w:rPr>
          <w:szCs w:val="23"/>
        </w:rPr>
        <w:t xml:space="preserve"> also used aid to facilitate links between </w:t>
      </w:r>
      <w:r w:rsidR="006661FB">
        <w:rPr>
          <w:szCs w:val="23"/>
        </w:rPr>
        <w:t>its</w:t>
      </w:r>
      <w:r w:rsidR="006661FB" w:rsidRPr="001B3B93">
        <w:rPr>
          <w:szCs w:val="23"/>
        </w:rPr>
        <w:t xml:space="preserve"> </w:t>
      </w:r>
      <w:r w:rsidR="006F6E74" w:rsidRPr="001B3B93">
        <w:rPr>
          <w:szCs w:val="23"/>
        </w:rPr>
        <w:t>own companies and companies in Asian MICs, although on a smaller scale.</w:t>
      </w:r>
      <w:r w:rsidR="00EA1E8E" w:rsidRPr="001B3B93">
        <w:rPr>
          <w:szCs w:val="23"/>
        </w:rPr>
        <w:t xml:space="preserve"> As yet, there is no firm evidence on the effectiveness of these new approaches and</w:t>
      </w:r>
      <w:r w:rsidR="000E1DAE">
        <w:rPr>
          <w:szCs w:val="23"/>
        </w:rPr>
        <w:t xml:space="preserve"> </w:t>
      </w:r>
      <w:r w:rsidR="00EA1E8E" w:rsidRPr="001B3B93">
        <w:rPr>
          <w:szCs w:val="23"/>
        </w:rPr>
        <w:t>whether the</w:t>
      </w:r>
      <w:r w:rsidR="004D3D31" w:rsidRPr="001B3B93">
        <w:rPr>
          <w:szCs w:val="23"/>
        </w:rPr>
        <w:t>ir</w:t>
      </w:r>
      <w:r w:rsidR="00EA1E8E" w:rsidRPr="001B3B93">
        <w:rPr>
          <w:szCs w:val="23"/>
        </w:rPr>
        <w:t xml:space="preserve"> pursuit of mutual benefit detract</w:t>
      </w:r>
      <w:r w:rsidR="004D3D31" w:rsidRPr="001B3B93">
        <w:rPr>
          <w:szCs w:val="23"/>
        </w:rPr>
        <w:t>s</w:t>
      </w:r>
      <w:r w:rsidR="00EA1E8E" w:rsidRPr="001B3B93">
        <w:rPr>
          <w:szCs w:val="23"/>
        </w:rPr>
        <w:t xml:space="preserve"> from their primary objective of promoting development, which is the basis for their ODA eligibility.</w:t>
      </w:r>
    </w:p>
    <w:p w14:paraId="237EFC18" w14:textId="77777777" w:rsidR="00F80458" w:rsidRDefault="00F80458">
      <w:pPr>
        <w:rPr>
          <w:szCs w:val="23"/>
        </w:rPr>
      </w:pPr>
      <w:r>
        <w:rPr>
          <w:szCs w:val="23"/>
        </w:rPr>
        <w:br w:type="page"/>
      </w:r>
    </w:p>
    <w:p w14:paraId="5C71ADFE" w14:textId="77777777" w:rsidR="00864C79" w:rsidRPr="001B3B93" w:rsidRDefault="00864C79" w:rsidP="002F06DF">
      <w:pPr>
        <w:rPr>
          <w:szCs w:val="23"/>
        </w:rPr>
      </w:pPr>
    </w:p>
    <w:p w14:paraId="688D3D5C" w14:textId="191FB37F" w:rsidR="00FC3FC2" w:rsidRPr="001B3B93" w:rsidRDefault="00FC3FC2" w:rsidP="00FC3FC2">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bookmarkStart w:id="49" w:name="_Hlk505161069"/>
      <w:r w:rsidRPr="001B3B93">
        <w:t xml:space="preserve">Box </w:t>
      </w:r>
      <w:r w:rsidR="00297DFF">
        <w:t>4</w:t>
      </w:r>
      <w:r w:rsidRPr="001B3B93">
        <w:t>: The</w:t>
      </w:r>
      <w:r w:rsidR="00830AB2" w:rsidRPr="00830AB2">
        <w:rPr>
          <w:szCs w:val="23"/>
        </w:rPr>
        <w:t xml:space="preserve"> </w:t>
      </w:r>
      <w:r w:rsidR="00830AB2" w:rsidRPr="001B3B93">
        <w:rPr>
          <w:szCs w:val="23"/>
        </w:rPr>
        <w:t>U</w:t>
      </w:r>
      <w:r w:rsidR="00830AB2">
        <w:rPr>
          <w:szCs w:val="23"/>
        </w:rPr>
        <w:t xml:space="preserve">nited </w:t>
      </w:r>
      <w:r w:rsidR="00830AB2" w:rsidRPr="001B3B93">
        <w:rPr>
          <w:szCs w:val="23"/>
        </w:rPr>
        <w:t>K</w:t>
      </w:r>
      <w:r w:rsidR="00830AB2">
        <w:rPr>
          <w:szCs w:val="23"/>
        </w:rPr>
        <w:t>ingdom</w:t>
      </w:r>
      <w:r w:rsidR="00EF6C2F">
        <w:rPr>
          <w:szCs w:val="23"/>
        </w:rPr>
        <w:t xml:space="preserve"> </w:t>
      </w:r>
      <w:r w:rsidRPr="001B3B93">
        <w:t>Prosperity Fund</w:t>
      </w:r>
    </w:p>
    <w:p w14:paraId="0D77D3AF" w14:textId="20F775B5" w:rsidR="00FC3FC2" w:rsidRPr="001B3B93" w:rsidRDefault="00FC3FC2" w:rsidP="00FC3FC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The Prosperity Fund is a cross-government fund with a budget of </w:t>
      </w:r>
      <w:r w:rsidR="007B7A9B">
        <w:t>GBP</w:t>
      </w:r>
      <w:r w:rsidRPr="001B3B93">
        <w:t>1.2 billion (2016</w:t>
      </w:r>
      <w:r w:rsidR="006661FB">
        <w:t>–</w:t>
      </w:r>
      <w:r w:rsidRPr="001B3B93">
        <w:t>17 to 20</w:t>
      </w:r>
      <w:r w:rsidR="00E0094B">
        <w:t>21</w:t>
      </w:r>
      <w:r w:rsidR="006661FB">
        <w:t>–</w:t>
      </w:r>
      <w:r w:rsidRPr="001B3B93">
        <w:t>22)</w:t>
      </w:r>
      <w:r w:rsidR="00BE369B" w:rsidRPr="001B3B93">
        <w:t xml:space="preserve"> for promoting economic development and prosperity in developing countries. Its primary purpose is poverty reduction, but it also has an explicit </w:t>
      </w:r>
      <w:r w:rsidR="006661FB">
        <w:t>‘</w:t>
      </w:r>
      <w:r w:rsidR="00BE369B" w:rsidRPr="001B3B93">
        <w:t>secondary purpose</w:t>
      </w:r>
      <w:r w:rsidR="006661FB">
        <w:t>’</w:t>
      </w:r>
      <w:r w:rsidR="00BE369B" w:rsidRPr="001B3B93">
        <w:t xml:space="preserve"> of creating opportunities for international business, including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t xml:space="preserve"> </w:t>
      </w:r>
      <w:r w:rsidR="00BE369B" w:rsidRPr="001B3B93">
        <w:t xml:space="preserve">business. While its remit is global, it is focusing most of its resources on MICs, especially in Asia. It supports improvements to the business climate and competitiveness. It also supports the development of sectors where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rsidDel="00830AB2">
        <w:t xml:space="preserve"> </w:t>
      </w:r>
      <w:r w:rsidR="00BE369B" w:rsidRPr="001B3B93">
        <w:t xml:space="preserve">companies are judged to be competitive, such as clean energy, the financial sector and health services. </w:t>
      </w:r>
    </w:p>
    <w:p w14:paraId="49008B35" w14:textId="674BAB37" w:rsidR="00BE369B" w:rsidRPr="001B3B93" w:rsidRDefault="00BE369B" w:rsidP="00FC3FC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For example, in Thailand, the Prosperity Fund supported the development of the first Public Procurement Act. Approved in December 2016, the Act standardises public procurement practice and makes it more transparent. </w:t>
      </w:r>
      <w:r w:rsidR="00EA1E8E" w:rsidRPr="001B3B93">
        <w:t xml:space="preserve">Through these reforms, the Prosperity Fund believes that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t xml:space="preserve"> </w:t>
      </w:r>
      <w:r w:rsidR="00EA1E8E" w:rsidRPr="001B3B93">
        <w:t>and other international firms will have greater access to f</w:t>
      </w:r>
      <w:r w:rsidRPr="001B3B93">
        <w:t xml:space="preserve">orthcoming tenders </w:t>
      </w:r>
      <w:r w:rsidR="00EA1E8E" w:rsidRPr="001B3B93">
        <w:t xml:space="preserve">to expand </w:t>
      </w:r>
      <w:r w:rsidRPr="001B3B93">
        <w:t>mass transit systems and airports</w:t>
      </w:r>
      <w:r w:rsidR="00EA1E8E" w:rsidRPr="001B3B93">
        <w:t>,</w:t>
      </w:r>
      <w:r w:rsidRPr="001B3B93">
        <w:t xml:space="preserve"> </w:t>
      </w:r>
      <w:r w:rsidR="00EA1E8E" w:rsidRPr="001B3B93">
        <w:t xml:space="preserve">opening </w:t>
      </w:r>
      <w:r w:rsidRPr="001B3B93">
        <w:t xml:space="preserve">up </w:t>
      </w:r>
      <w:r w:rsidR="007B7A9B">
        <w:t>GBP</w:t>
      </w:r>
      <w:r w:rsidRPr="001B3B93">
        <w:t>1 billion in opportunities.</w:t>
      </w:r>
    </w:p>
    <w:p w14:paraId="34E957A8" w14:textId="255176F7" w:rsidR="00D158B9" w:rsidRPr="001B3B93" w:rsidRDefault="00D158B9" w:rsidP="00FC3FC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As the Prosperity Fund is still at an early stage, </w:t>
      </w:r>
      <w:r w:rsidR="008D0F1E">
        <w:t>it is too early to assess its achievements against either its primary or secondary purpose</w:t>
      </w:r>
      <w:r w:rsidRPr="001B3B93">
        <w:t>.</w:t>
      </w:r>
    </w:p>
    <w:p w14:paraId="76D494FB" w14:textId="119D33BE" w:rsidR="00FC3FC2" w:rsidRPr="001B3B93" w:rsidRDefault="00BE369B" w:rsidP="00BE369B">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sz w:val="18"/>
          <w:szCs w:val="18"/>
        </w:rPr>
      </w:pPr>
      <w:r w:rsidRPr="005262B6">
        <w:t>Sources:</w:t>
      </w:r>
      <w:r w:rsidRPr="005262B6">
        <w:rPr>
          <w:i/>
        </w:rPr>
        <w:t xml:space="preserve"> </w:t>
      </w:r>
      <w:r w:rsidR="00CE3420" w:rsidRPr="005262B6">
        <w:rPr>
          <w:i/>
        </w:rPr>
        <w:t xml:space="preserve">ICAI, </w:t>
      </w:r>
      <w:hyperlink r:id="rId28" w:history="1">
        <w:r w:rsidRPr="005262B6">
          <w:rPr>
            <w:rStyle w:val="Hyperlink"/>
            <w:i/>
          </w:rPr>
          <w:t>The cross government Prosperity Fund: a rapid review</w:t>
        </w:r>
      </w:hyperlink>
      <w:r w:rsidRPr="005262B6">
        <w:t>, February</w:t>
      </w:r>
      <w:r w:rsidRPr="001B3B93">
        <w:t xml:space="preserve"> 2017; </w:t>
      </w:r>
      <w:r w:rsidR="00830AB2" w:rsidRPr="001B3B93">
        <w:rPr>
          <w:szCs w:val="23"/>
        </w:rPr>
        <w:t>U</w:t>
      </w:r>
      <w:r w:rsidR="00830AB2">
        <w:rPr>
          <w:szCs w:val="23"/>
        </w:rPr>
        <w:t xml:space="preserve">nited </w:t>
      </w:r>
      <w:r w:rsidR="00830AB2" w:rsidRPr="001B3B93">
        <w:rPr>
          <w:szCs w:val="23"/>
        </w:rPr>
        <w:t>K</w:t>
      </w:r>
      <w:r w:rsidR="00830AB2">
        <w:rPr>
          <w:szCs w:val="23"/>
        </w:rPr>
        <w:t>ingdom</w:t>
      </w:r>
      <w:r w:rsidR="00830AB2" w:rsidRPr="001B3B93">
        <w:t xml:space="preserve"> </w:t>
      </w:r>
      <w:r w:rsidRPr="001B3B93">
        <w:t xml:space="preserve">Government, </w:t>
      </w:r>
      <w:hyperlink r:id="rId29" w:history="1">
        <w:r w:rsidRPr="006661FB">
          <w:rPr>
            <w:rStyle w:val="Hyperlink"/>
            <w:i/>
          </w:rPr>
          <w:t>Prosperity Fund: Annual Report 2016/17</w:t>
        </w:r>
      </w:hyperlink>
      <w:r w:rsidRPr="001B3B93">
        <w:t>, December 2017.</w:t>
      </w:r>
    </w:p>
    <w:bookmarkEnd w:id="49"/>
    <w:p w14:paraId="54644FED" w14:textId="77777777" w:rsidR="00344BFC" w:rsidRPr="001B3B93" w:rsidRDefault="00344BFC" w:rsidP="002F06DF">
      <w:pPr>
        <w:rPr>
          <w:szCs w:val="23"/>
        </w:rPr>
      </w:pPr>
    </w:p>
    <w:p w14:paraId="275B22EC" w14:textId="4BBB6B7F" w:rsidR="00C87A9C" w:rsidRPr="001B3B93" w:rsidRDefault="00721DA8" w:rsidP="00E62184">
      <w:pPr>
        <w:pStyle w:val="Heading3"/>
      </w:pPr>
      <w:bookmarkStart w:id="50" w:name="_Toc527712997"/>
      <w:r w:rsidRPr="001B3B93">
        <w:t xml:space="preserve">Key </w:t>
      </w:r>
      <w:r w:rsidR="00F8017F">
        <w:t>messages</w:t>
      </w:r>
      <w:bookmarkEnd w:id="50"/>
    </w:p>
    <w:p w14:paraId="6E5779D2" w14:textId="77777777" w:rsidR="00C47DA8" w:rsidRPr="001B3B93" w:rsidRDefault="00C47DA8" w:rsidP="000C55B6">
      <w:pPr>
        <w:pStyle w:val="ListParagraph"/>
        <w:numPr>
          <w:ilvl w:val="0"/>
          <w:numId w:val="15"/>
        </w:numPr>
        <w:ind w:left="714" w:hanging="357"/>
        <w:contextualSpacing w:val="0"/>
      </w:pPr>
      <w:r w:rsidRPr="001B3B93">
        <w:t>ODA is a declining share of the finance available to Asian MICs.</w:t>
      </w:r>
    </w:p>
    <w:p w14:paraId="2CE94F12" w14:textId="1EB097EE" w:rsidR="00CE7721" w:rsidRPr="001B3B93" w:rsidRDefault="00AC54BF" w:rsidP="000C55B6">
      <w:pPr>
        <w:pStyle w:val="ListParagraph"/>
        <w:numPr>
          <w:ilvl w:val="0"/>
          <w:numId w:val="15"/>
        </w:numPr>
        <w:ind w:left="714" w:hanging="357"/>
        <w:contextualSpacing w:val="0"/>
      </w:pPr>
      <w:r>
        <w:t>Infrastructure finance has become an arena for competition for influence</w:t>
      </w:r>
      <w:r w:rsidR="00CE7721" w:rsidRPr="001B3B93">
        <w:t>.</w:t>
      </w:r>
    </w:p>
    <w:p w14:paraId="0D8B4108" w14:textId="77777777" w:rsidR="00C47DA8" w:rsidRPr="001B3B93" w:rsidRDefault="00721DA8" w:rsidP="000C55B6">
      <w:pPr>
        <w:pStyle w:val="ListParagraph"/>
        <w:numPr>
          <w:ilvl w:val="0"/>
          <w:numId w:val="15"/>
        </w:numPr>
        <w:ind w:left="714" w:hanging="357"/>
        <w:contextualSpacing w:val="0"/>
      </w:pPr>
      <w:r w:rsidRPr="001B3B93">
        <w:t>MICs</w:t>
      </w:r>
      <w:r w:rsidR="00C47DA8" w:rsidRPr="001B3B93">
        <w:t xml:space="preserve"> face </w:t>
      </w:r>
      <w:r w:rsidRPr="001B3B93">
        <w:t>difficult economic transition</w:t>
      </w:r>
      <w:r w:rsidR="00C47DA8" w:rsidRPr="001B3B93">
        <w:t>s</w:t>
      </w:r>
      <w:r w:rsidRPr="001B3B93">
        <w:t>, with real risks of stagnation and setbacks.</w:t>
      </w:r>
      <w:r w:rsidR="00402AED" w:rsidRPr="001B3B93">
        <w:t xml:space="preserve"> </w:t>
      </w:r>
      <w:r w:rsidR="00A44331" w:rsidRPr="001B3B93">
        <w:t xml:space="preserve">Escaping the middle-income trap </w:t>
      </w:r>
      <w:r w:rsidR="00EA1E8E" w:rsidRPr="001B3B93">
        <w:t xml:space="preserve">requires the development </w:t>
      </w:r>
      <w:r w:rsidR="004D3D31" w:rsidRPr="001B3B93">
        <w:t xml:space="preserve">of </w:t>
      </w:r>
      <w:r w:rsidR="00A44331" w:rsidRPr="001B3B93">
        <w:t>more sophisticated institutions and polic</w:t>
      </w:r>
      <w:r w:rsidR="004D3D31" w:rsidRPr="001B3B93">
        <w:t>ies</w:t>
      </w:r>
      <w:r w:rsidR="00A44331" w:rsidRPr="001B3B93">
        <w:t>.</w:t>
      </w:r>
    </w:p>
    <w:p w14:paraId="324A7B11" w14:textId="4C719249" w:rsidR="00344BFC" w:rsidRPr="001B3B93" w:rsidRDefault="00A44331" w:rsidP="000C55B6">
      <w:pPr>
        <w:pStyle w:val="ListParagraph"/>
        <w:numPr>
          <w:ilvl w:val="0"/>
          <w:numId w:val="15"/>
        </w:numPr>
        <w:ind w:left="714" w:hanging="357"/>
        <w:contextualSpacing w:val="0"/>
      </w:pPr>
      <w:r w:rsidRPr="001B3B93">
        <w:t>Other bilateral donor</w:t>
      </w:r>
      <w:r w:rsidR="001839A3" w:rsidRPr="001B3B93">
        <w:t>s</w:t>
      </w:r>
      <w:r w:rsidRPr="001B3B93">
        <w:t xml:space="preserve"> have moved </w:t>
      </w:r>
      <w:r w:rsidRPr="005262B6">
        <w:t>towards a partnership model of assistance</w:t>
      </w:r>
      <w:r w:rsidRPr="001B3B93">
        <w:t xml:space="preserve"> for MICs. This has involved shifting from traditional sector support towards knowledge</w:t>
      </w:r>
      <w:r w:rsidR="00344BFC" w:rsidRPr="001B3B93">
        <w:t>-based assistance</w:t>
      </w:r>
      <w:r w:rsidR="005D1EA2" w:rsidRPr="001B3B93">
        <w:t xml:space="preserve"> focused on promoting</w:t>
      </w:r>
      <w:r w:rsidRPr="001B3B93">
        <w:t xml:space="preserve"> economic development.</w:t>
      </w:r>
    </w:p>
    <w:p w14:paraId="6E6006A0" w14:textId="583FD402" w:rsidR="00CE7721" w:rsidRPr="001B3B93" w:rsidRDefault="00A44331" w:rsidP="000C55B6">
      <w:pPr>
        <w:pStyle w:val="ListParagraph"/>
        <w:numPr>
          <w:ilvl w:val="0"/>
          <w:numId w:val="15"/>
        </w:numPr>
        <w:ind w:left="714" w:hanging="357"/>
        <w:contextualSpacing w:val="0"/>
      </w:pPr>
      <w:r w:rsidRPr="001B3B93">
        <w:t xml:space="preserve">In </w:t>
      </w:r>
      <w:r w:rsidR="00344BFC" w:rsidRPr="001B3B93">
        <w:t xml:space="preserve">most </w:t>
      </w:r>
      <w:r w:rsidRPr="001B3B93">
        <w:t xml:space="preserve">cases, </w:t>
      </w:r>
      <w:r w:rsidR="00FA38AC">
        <w:t xml:space="preserve">the transition to a partnership model is </w:t>
      </w:r>
      <w:r w:rsidRPr="001B3B93">
        <w:t>a transitional step to phasing out bilateral assistance.</w:t>
      </w:r>
      <w:r w:rsidR="00344BFC" w:rsidRPr="001B3B93">
        <w:t xml:space="preserve"> There is little or no focus </w:t>
      </w:r>
      <w:r w:rsidR="00CE7721" w:rsidRPr="001B3B93">
        <w:t>in aid polic</w:t>
      </w:r>
      <w:r w:rsidR="006F6E74" w:rsidRPr="001B3B93">
        <w:t>ies</w:t>
      </w:r>
      <w:r w:rsidR="00CE7721" w:rsidRPr="001B3B93">
        <w:t xml:space="preserve"> </w:t>
      </w:r>
      <w:r w:rsidR="00344BFC" w:rsidRPr="001B3B93">
        <w:t>on helping MICs through economic transition</w:t>
      </w:r>
      <w:r w:rsidR="006F6E74" w:rsidRPr="001B3B93">
        <w:t>s</w:t>
      </w:r>
      <w:r w:rsidR="006661FB">
        <w:t>, which is</w:t>
      </w:r>
      <w:r w:rsidR="00CE7721" w:rsidRPr="001B3B93">
        <w:t xml:space="preserve"> a potential blind spot in the global approach to </w:t>
      </w:r>
      <w:r w:rsidR="006F6E74" w:rsidRPr="001B3B93">
        <w:t xml:space="preserve">implementing </w:t>
      </w:r>
      <w:r w:rsidR="00CE7721" w:rsidRPr="001B3B93">
        <w:t>the S</w:t>
      </w:r>
      <w:r w:rsidR="00665ECD">
        <w:t>ustainable Development Goals</w:t>
      </w:r>
      <w:r w:rsidR="00344BFC" w:rsidRPr="001B3B93">
        <w:t>.</w:t>
      </w:r>
    </w:p>
    <w:p w14:paraId="74EB24F4" w14:textId="77777777" w:rsidR="00CE7721" w:rsidRPr="001B3B93" w:rsidRDefault="00CE7721" w:rsidP="000C55B6">
      <w:pPr>
        <w:pStyle w:val="ListParagraph"/>
        <w:numPr>
          <w:ilvl w:val="0"/>
          <w:numId w:val="15"/>
        </w:numPr>
        <w:ind w:left="714" w:hanging="357"/>
        <w:contextualSpacing w:val="0"/>
      </w:pPr>
      <w:r w:rsidRPr="001B3B93">
        <w:t xml:space="preserve">The pursuit of mutual economic benefit is </w:t>
      </w:r>
      <w:r w:rsidR="004D7CB0" w:rsidRPr="001B3B93">
        <w:t xml:space="preserve">emerging as </w:t>
      </w:r>
      <w:r w:rsidRPr="001B3B93">
        <w:t xml:space="preserve">a common objective of bilateral </w:t>
      </w:r>
      <w:r w:rsidR="004D7CB0" w:rsidRPr="001B3B93">
        <w:t xml:space="preserve">aid </w:t>
      </w:r>
      <w:r w:rsidRPr="001B3B93">
        <w:t xml:space="preserve">to MICs. However, </w:t>
      </w:r>
      <w:r w:rsidR="001646FC" w:rsidRPr="001B3B93">
        <w:t xml:space="preserve">the effectiveness of using </w:t>
      </w:r>
      <w:r w:rsidRPr="001B3B93">
        <w:t>aid</w:t>
      </w:r>
      <w:r w:rsidR="001646FC" w:rsidRPr="001B3B93">
        <w:t xml:space="preserve"> programs to build </w:t>
      </w:r>
      <w:r w:rsidR="004D7CB0" w:rsidRPr="001B3B93">
        <w:t>trade and investment links</w:t>
      </w:r>
      <w:r w:rsidR="001646FC" w:rsidRPr="001B3B93">
        <w:t xml:space="preserve"> remains untested</w:t>
      </w:r>
      <w:r w:rsidRPr="001B3B93">
        <w:t>.</w:t>
      </w:r>
    </w:p>
    <w:p w14:paraId="7BF59627" w14:textId="77777777" w:rsidR="00C87A9C" w:rsidRPr="001B3B93" w:rsidRDefault="00C87A9C" w:rsidP="002F06DF">
      <w:pPr>
        <w:rPr>
          <w:szCs w:val="23"/>
        </w:rPr>
        <w:sectPr w:rsidR="00C87A9C" w:rsidRPr="001B3B93" w:rsidSect="00F21EFA">
          <w:pgSz w:w="12240" w:h="15840"/>
          <w:pgMar w:top="851" w:right="851" w:bottom="1418" w:left="851" w:header="510" w:footer="505" w:gutter="0"/>
          <w:cols w:space="720"/>
          <w:titlePg/>
          <w:docGrid w:linePitch="360"/>
        </w:sectPr>
      </w:pPr>
    </w:p>
    <w:p w14:paraId="178E5D91" w14:textId="77777777" w:rsidR="00516916" w:rsidRPr="000C55B6" w:rsidRDefault="00516916" w:rsidP="000C55B6">
      <w:pPr>
        <w:spacing w:after="120"/>
        <w:rPr>
          <w:sz w:val="28"/>
          <w:szCs w:val="28"/>
        </w:rPr>
      </w:pPr>
    </w:p>
    <w:p w14:paraId="4BA83FD8" w14:textId="77777777" w:rsidR="002F06DF" w:rsidRPr="001B3B93" w:rsidRDefault="00F62014" w:rsidP="00806EF5">
      <w:pPr>
        <w:pStyle w:val="ChapterHead"/>
        <w:framePr w:wrap="around" w:hAnchor="page" w:x="841" w:y="1876"/>
        <w:ind w:left="360"/>
      </w:pPr>
      <w:bookmarkStart w:id="51" w:name="_Toc497738332"/>
      <w:bookmarkStart w:id="52" w:name="_Toc527712998"/>
      <w:r w:rsidRPr="001B3B93">
        <w:t xml:space="preserve">3. </w:t>
      </w:r>
      <w:bookmarkEnd w:id="51"/>
      <w:r w:rsidR="001D441C" w:rsidRPr="001B3B93">
        <w:t>The evolution of economic partnerships</w:t>
      </w:r>
      <w:bookmarkEnd w:id="52"/>
      <w:r w:rsidR="001D441C" w:rsidRPr="001B3B93">
        <w:t xml:space="preserve"> </w:t>
      </w:r>
    </w:p>
    <w:p w14:paraId="10A615D7" w14:textId="6D994523" w:rsidR="00FF29F5" w:rsidRPr="001B3B93" w:rsidRDefault="006661FB">
      <w:pPr>
        <w:rPr>
          <w:szCs w:val="23"/>
        </w:rPr>
      </w:pPr>
      <w:bookmarkStart w:id="53" w:name="_Toc497738335"/>
      <w:r>
        <w:rPr>
          <w:szCs w:val="23"/>
        </w:rPr>
        <w:t>T</w:t>
      </w:r>
      <w:r w:rsidR="004D7CB0" w:rsidRPr="001B3B93">
        <w:rPr>
          <w:szCs w:val="23"/>
        </w:rPr>
        <w:t xml:space="preserve">his chapter </w:t>
      </w:r>
      <w:r w:rsidR="006D3E44" w:rsidRPr="001B3B93">
        <w:rPr>
          <w:szCs w:val="23"/>
        </w:rPr>
        <w:t>assess</w:t>
      </w:r>
      <w:r>
        <w:rPr>
          <w:szCs w:val="23"/>
        </w:rPr>
        <w:t>es</w:t>
      </w:r>
      <w:r w:rsidR="004D7CB0" w:rsidRPr="001B3B93">
        <w:rPr>
          <w:szCs w:val="23"/>
        </w:rPr>
        <w:t xml:space="preserve"> how Australian </w:t>
      </w:r>
      <w:r w:rsidR="0087406C">
        <w:rPr>
          <w:szCs w:val="23"/>
        </w:rPr>
        <w:t xml:space="preserve">aid is </w:t>
      </w:r>
      <w:r w:rsidR="004D7CB0" w:rsidRPr="001B3B93">
        <w:rPr>
          <w:szCs w:val="23"/>
        </w:rPr>
        <w:t>evolving</w:t>
      </w:r>
      <w:r w:rsidR="0087406C">
        <w:rPr>
          <w:szCs w:val="23"/>
        </w:rPr>
        <w:t xml:space="preserve"> to support </w:t>
      </w:r>
      <w:r w:rsidR="004D7CB0" w:rsidRPr="001B3B93">
        <w:rPr>
          <w:szCs w:val="23"/>
        </w:rPr>
        <w:t xml:space="preserve">economic partnerships </w:t>
      </w:r>
      <w:r w:rsidR="00BF0EF5">
        <w:rPr>
          <w:szCs w:val="23"/>
        </w:rPr>
        <w:t>in Indonesia and Vietnam</w:t>
      </w:r>
      <w:r w:rsidR="004D7CB0" w:rsidRPr="001B3B93">
        <w:rPr>
          <w:szCs w:val="23"/>
        </w:rPr>
        <w:t xml:space="preserve">. </w:t>
      </w:r>
      <w:r>
        <w:rPr>
          <w:szCs w:val="23"/>
        </w:rPr>
        <w:t>It</w:t>
      </w:r>
      <w:r w:rsidRPr="001B3B93">
        <w:rPr>
          <w:szCs w:val="23"/>
        </w:rPr>
        <w:t xml:space="preserve"> </w:t>
      </w:r>
      <w:r w:rsidR="004D7CB0" w:rsidRPr="001B3B93">
        <w:rPr>
          <w:szCs w:val="23"/>
        </w:rPr>
        <w:t>look</w:t>
      </w:r>
      <w:r>
        <w:rPr>
          <w:szCs w:val="23"/>
        </w:rPr>
        <w:t>s</w:t>
      </w:r>
      <w:r w:rsidR="004D7CB0" w:rsidRPr="001B3B93">
        <w:rPr>
          <w:szCs w:val="23"/>
        </w:rPr>
        <w:t xml:space="preserve"> first at changes taking place in the objectives and forms of Australian development assistance. </w:t>
      </w:r>
      <w:r>
        <w:rPr>
          <w:szCs w:val="23"/>
        </w:rPr>
        <w:t>It</w:t>
      </w:r>
      <w:r w:rsidRPr="001B3B93">
        <w:rPr>
          <w:szCs w:val="23"/>
        </w:rPr>
        <w:t xml:space="preserve"> </w:t>
      </w:r>
      <w:r w:rsidR="004D7CB0" w:rsidRPr="001B3B93">
        <w:rPr>
          <w:szCs w:val="23"/>
        </w:rPr>
        <w:t>then explore</w:t>
      </w:r>
      <w:r>
        <w:rPr>
          <w:szCs w:val="23"/>
        </w:rPr>
        <w:t>s</w:t>
      </w:r>
      <w:r w:rsidR="004D7CB0" w:rsidRPr="001B3B93">
        <w:rPr>
          <w:szCs w:val="23"/>
        </w:rPr>
        <w:t xml:space="preserve"> the relevance of the economic partnership idea to the interests and priorities of Australia and the partner countries. Finally, </w:t>
      </w:r>
      <w:r>
        <w:rPr>
          <w:szCs w:val="23"/>
        </w:rPr>
        <w:t>it</w:t>
      </w:r>
      <w:r w:rsidRPr="001B3B93">
        <w:rPr>
          <w:szCs w:val="23"/>
        </w:rPr>
        <w:t xml:space="preserve"> </w:t>
      </w:r>
      <w:r w:rsidR="00995186">
        <w:rPr>
          <w:szCs w:val="23"/>
        </w:rPr>
        <w:t>assess</w:t>
      </w:r>
      <w:r>
        <w:rPr>
          <w:szCs w:val="23"/>
        </w:rPr>
        <w:t>es</w:t>
      </w:r>
      <w:r w:rsidR="00995186">
        <w:rPr>
          <w:szCs w:val="23"/>
        </w:rPr>
        <w:t xml:space="preserve"> </w:t>
      </w:r>
      <w:r w:rsidR="00B40DAD" w:rsidRPr="001B3B93">
        <w:rPr>
          <w:szCs w:val="23"/>
        </w:rPr>
        <w:t xml:space="preserve">options </w:t>
      </w:r>
      <w:r w:rsidR="004D7CB0" w:rsidRPr="001B3B93">
        <w:rPr>
          <w:szCs w:val="23"/>
        </w:rPr>
        <w:t xml:space="preserve">for improving the complementarity of aid, trade and economic diplomacy, and what risks and opportunities </w:t>
      </w:r>
      <w:r w:rsidR="00B40DAD" w:rsidRPr="001B3B93">
        <w:rPr>
          <w:szCs w:val="23"/>
        </w:rPr>
        <w:t>th</w:t>
      </w:r>
      <w:r w:rsidR="00EE6548">
        <w:rPr>
          <w:szCs w:val="23"/>
        </w:rPr>
        <w:t>at</w:t>
      </w:r>
      <w:r w:rsidR="00B40DAD" w:rsidRPr="001B3B93">
        <w:rPr>
          <w:szCs w:val="23"/>
        </w:rPr>
        <w:t xml:space="preserve"> </w:t>
      </w:r>
      <w:r w:rsidR="004D7CB0" w:rsidRPr="001B3B93">
        <w:rPr>
          <w:szCs w:val="23"/>
        </w:rPr>
        <w:t>might present.</w:t>
      </w:r>
    </w:p>
    <w:p w14:paraId="4EA0A0D0" w14:textId="77777777" w:rsidR="004D7CB0" w:rsidRPr="001B3B93" w:rsidRDefault="004D7CB0" w:rsidP="004D7CB0">
      <w:pPr>
        <w:pStyle w:val="Heading3"/>
      </w:pPr>
      <w:bookmarkStart w:id="54" w:name="_Toc527712999"/>
      <w:r w:rsidRPr="001B3B93">
        <w:t>The emerging elements of economic partnership</w:t>
      </w:r>
      <w:bookmarkEnd w:id="54"/>
    </w:p>
    <w:p w14:paraId="1E565D5F" w14:textId="69842CE8" w:rsidR="00995186" w:rsidRDefault="00995186" w:rsidP="00D54EFD">
      <w:pPr>
        <w:rPr>
          <w:szCs w:val="23"/>
        </w:rPr>
      </w:pPr>
      <w:r>
        <w:rPr>
          <w:szCs w:val="23"/>
        </w:rPr>
        <w:t xml:space="preserve">In both </w:t>
      </w:r>
      <w:r w:rsidR="006661FB">
        <w:rPr>
          <w:szCs w:val="23"/>
        </w:rPr>
        <w:t>Indonesia and Vietnam</w:t>
      </w:r>
      <w:r>
        <w:rPr>
          <w:szCs w:val="23"/>
        </w:rPr>
        <w:t xml:space="preserve">, there has been an evolution in the form and objectives of Australian assistance, as country programs have responded to declining aid budgets, both absolutely and relative to other sources of development finance. This has been a </w:t>
      </w:r>
      <w:bookmarkStart w:id="55" w:name="_Hlk520988418"/>
      <w:r>
        <w:rPr>
          <w:szCs w:val="23"/>
        </w:rPr>
        <w:t xml:space="preserve">rebalancing </w:t>
      </w:r>
      <w:bookmarkEnd w:id="55"/>
      <w:r>
        <w:rPr>
          <w:szCs w:val="23"/>
        </w:rPr>
        <w:t>rather than</w:t>
      </w:r>
      <w:r w:rsidR="006661FB">
        <w:rPr>
          <w:szCs w:val="23"/>
        </w:rPr>
        <w:t xml:space="preserve"> a</w:t>
      </w:r>
      <w:r>
        <w:rPr>
          <w:szCs w:val="23"/>
        </w:rPr>
        <w:t xml:space="preserve"> change </w:t>
      </w:r>
      <w:r w:rsidR="00CA01FC">
        <w:rPr>
          <w:szCs w:val="23"/>
        </w:rPr>
        <w:t xml:space="preserve">of </w:t>
      </w:r>
      <w:r>
        <w:rPr>
          <w:szCs w:val="23"/>
        </w:rPr>
        <w:t xml:space="preserve">direction. </w:t>
      </w:r>
      <w:r w:rsidR="00CA01FC" w:rsidRPr="00CA01FC">
        <w:rPr>
          <w:szCs w:val="23"/>
        </w:rPr>
        <w:t xml:space="preserve">While they predate the economic partnership concept and are not necessarily unique to </w:t>
      </w:r>
      <w:r w:rsidR="00127896">
        <w:rPr>
          <w:szCs w:val="23"/>
        </w:rPr>
        <w:t xml:space="preserve">Asian </w:t>
      </w:r>
      <w:r w:rsidR="00CA01FC" w:rsidRPr="00CA01FC">
        <w:rPr>
          <w:szCs w:val="23"/>
        </w:rPr>
        <w:t xml:space="preserve">MICs, </w:t>
      </w:r>
      <w:r w:rsidR="00CA01FC">
        <w:rPr>
          <w:szCs w:val="23"/>
        </w:rPr>
        <w:t xml:space="preserve">the elements described here </w:t>
      </w:r>
      <w:r w:rsidR="00CA01FC" w:rsidRPr="00CA01FC">
        <w:rPr>
          <w:szCs w:val="23"/>
        </w:rPr>
        <w:t>were identified in discussions with DFAT posts and other stakeholders as most associated with economic partnership.</w:t>
      </w:r>
    </w:p>
    <w:p w14:paraId="03461EE3" w14:textId="7AB46F13" w:rsidR="00D54EFD" w:rsidRPr="001B3B93" w:rsidRDefault="00D54EFD" w:rsidP="00D54EFD">
      <w:pPr>
        <w:rPr>
          <w:i/>
          <w:color w:val="296C60" w:themeColor="background2" w:themeShade="80"/>
          <w:szCs w:val="23"/>
        </w:rPr>
      </w:pPr>
      <w:r w:rsidRPr="001B3B93">
        <w:rPr>
          <w:i/>
          <w:color w:val="296C60" w:themeColor="background2" w:themeShade="80"/>
          <w:szCs w:val="23"/>
        </w:rPr>
        <w:t xml:space="preserve">From bricks and mortar to knowledge-based </w:t>
      </w:r>
      <w:r w:rsidR="009F6BB5">
        <w:rPr>
          <w:i/>
          <w:color w:val="296C60" w:themeColor="background2" w:themeShade="80"/>
          <w:szCs w:val="23"/>
        </w:rPr>
        <w:t>assistance</w:t>
      </w:r>
    </w:p>
    <w:p w14:paraId="341B9D58" w14:textId="492E6167" w:rsidR="005E3C3B" w:rsidRPr="001B3B93" w:rsidRDefault="00D54EFD">
      <w:pPr>
        <w:rPr>
          <w:szCs w:val="23"/>
        </w:rPr>
      </w:pPr>
      <w:r w:rsidRPr="001B3B93">
        <w:rPr>
          <w:szCs w:val="23"/>
        </w:rPr>
        <w:t xml:space="preserve">In </w:t>
      </w:r>
      <w:r w:rsidR="004D7CB0" w:rsidRPr="001B3B93">
        <w:rPr>
          <w:szCs w:val="23"/>
        </w:rPr>
        <w:t>both Indonesia and Vietnam</w:t>
      </w:r>
      <w:r w:rsidRPr="001B3B93">
        <w:rPr>
          <w:szCs w:val="23"/>
        </w:rPr>
        <w:t>,</w:t>
      </w:r>
      <w:r w:rsidR="004D7CB0" w:rsidRPr="001B3B93">
        <w:rPr>
          <w:szCs w:val="23"/>
        </w:rPr>
        <w:t xml:space="preserve"> </w:t>
      </w:r>
      <w:r w:rsidR="006D3E44" w:rsidRPr="001B3B93">
        <w:rPr>
          <w:szCs w:val="23"/>
        </w:rPr>
        <w:t xml:space="preserve">there has been a </w:t>
      </w:r>
      <w:r w:rsidRPr="001B3B93">
        <w:rPr>
          <w:szCs w:val="23"/>
        </w:rPr>
        <w:t xml:space="preserve">marked </w:t>
      </w:r>
      <w:r w:rsidR="005E3C3B" w:rsidRPr="001B3B93">
        <w:rPr>
          <w:szCs w:val="23"/>
        </w:rPr>
        <w:t xml:space="preserve">shift </w:t>
      </w:r>
      <w:r w:rsidRPr="001B3B93">
        <w:rPr>
          <w:szCs w:val="23"/>
        </w:rPr>
        <w:t xml:space="preserve">in the balance of Australia’s development cooperation, </w:t>
      </w:r>
      <w:r w:rsidR="00C457B7" w:rsidRPr="001B3B93">
        <w:rPr>
          <w:szCs w:val="23"/>
        </w:rPr>
        <w:t>away from the direct financing of development results</w:t>
      </w:r>
      <w:r w:rsidRPr="001B3B93">
        <w:rPr>
          <w:szCs w:val="23"/>
        </w:rPr>
        <w:t xml:space="preserve"> towards </w:t>
      </w:r>
      <w:r w:rsidR="00C73F30">
        <w:rPr>
          <w:szCs w:val="23"/>
        </w:rPr>
        <w:t xml:space="preserve">knowledge-based assistance </w:t>
      </w:r>
      <w:r w:rsidR="00C15A84">
        <w:rPr>
          <w:szCs w:val="23"/>
        </w:rPr>
        <w:t xml:space="preserve">that aims to </w:t>
      </w:r>
      <w:r w:rsidRPr="001B3B93">
        <w:rPr>
          <w:szCs w:val="23"/>
        </w:rPr>
        <w:t>promot</w:t>
      </w:r>
      <w:r w:rsidR="00C15A84">
        <w:rPr>
          <w:szCs w:val="23"/>
        </w:rPr>
        <w:t>e</w:t>
      </w:r>
      <w:r w:rsidRPr="001B3B93">
        <w:rPr>
          <w:szCs w:val="23"/>
        </w:rPr>
        <w:t xml:space="preserve"> </w:t>
      </w:r>
      <w:r w:rsidR="00C457B7" w:rsidRPr="001B3B93">
        <w:rPr>
          <w:szCs w:val="23"/>
        </w:rPr>
        <w:t xml:space="preserve">policy change and institutional development and </w:t>
      </w:r>
      <w:r w:rsidR="007C1196">
        <w:rPr>
          <w:szCs w:val="23"/>
        </w:rPr>
        <w:t xml:space="preserve">improve </w:t>
      </w:r>
      <w:r w:rsidR="00C457B7" w:rsidRPr="001B3B93">
        <w:rPr>
          <w:szCs w:val="23"/>
        </w:rPr>
        <w:t xml:space="preserve">how partner countries use their own </w:t>
      </w:r>
      <w:r w:rsidR="00FA0B3B" w:rsidRPr="001B3B93">
        <w:rPr>
          <w:szCs w:val="23"/>
        </w:rPr>
        <w:t>resources</w:t>
      </w:r>
      <w:r w:rsidR="00C457B7" w:rsidRPr="001B3B93">
        <w:rPr>
          <w:szCs w:val="23"/>
        </w:rPr>
        <w:t>.</w:t>
      </w:r>
    </w:p>
    <w:p w14:paraId="226FF943" w14:textId="033FAE6C" w:rsidR="00C457B7" w:rsidRPr="001B3B93" w:rsidRDefault="00C457B7">
      <w:pPr>
        <w:rPr>
          <w:szCs w:val="23"/>
        </w:rPr>
      </w:pPr>
      <w:r w:rsidRPr="001B3B93">
        <w:rPr>
          <w:szCs w:val="23"/>
        </w:rPr>
        <w:t xml:space="preserve">In Indonesia, this shift is </w:t>
      </w:r>
      <w:r w:rsidR="00E03951" w:rsidRPr="001B3B93">
        <w:rPr>
          <w:szCs w:val="23"/>
        </w:rPr>
        <w:t xml:space="preserve">visible </w:t>
      </w:r>
      <w:r w:rsidR="00C1226A" w:rsidRPr="001B3B93">
        <w:rPr>
          <w:szCs w:val="23"/>
        </w:rPr>
        <w:t>i</w:t>
      </w:r>
      <w:r w:rsidRPr="001B3B93">
        <w:rPr>
          <w:szCs w:val="23"/>
        </w:rPr>
        <w:t xml:space="preserve">n </w:t>
      </w:r>
      <w:r w:rsidR="006B1E63" w:rsidRPr="001B3B93">
        <w:rPr>
          <w:szCs w:val="23"/>
        </w:rPr>
        <w:t xml:space="preserve">a number of </w:t>
      </w:r>
      <w:r w:rsidRPr="001B3B93">
        <w:rPr>
          <w:szCs w:val="23"/>
        </w:rPr>
        <w:t xml:space="preserve">sectors. In 2010, Australia </w:t>
      </w:r>
      <w:r w:rsidR="006B1E63" w:rsidRPr="001B3B93">
        <w:rPr>
          <w:szCs w:val="23"/>
        </w:rPr>
        <w:t>announced an education program to build or expand 2,000 junior secondary schools.</w:t>
      </w:r>
      <w:r w:rsidR="006B1E63" w:rsidRPr="001B3B93">
        <w:rPr>
          <w:rStyle w:val="FootnoteReference"/>
          <w:szCs w:val="23"/>
        </w:rPr>
        <w:footnoteReference w:id="42"/>
      </w:r>
      <w:r w:rsidR="006B1E63" w:rsidRPr="001B3B93">
        <w:rPr>
          <w:szCs w:val="23"/>
        </w:rPr>
        <w:t xml:space="preserve"> The next iteration of the program </w:t>
      </w:r>
      <w:r w:rsidR="006D3E44" w:rsidRPr="001B3B93">
        <w:rPr>
          <w:szCs w:val="23"/>
        </w:rPr>
        <w:t xml:space="preserve">focused </w:t>
      </w:r>
      <w:r w:rsidR="00E03951" w:rsidRPr="001B3B93">
        <w:rPr>
          <w:szCs w:val="23"/>
        </w:rPr>
        <w:t xml:space="preserve">instead </w:t>
      </w:r>
      <w:r w:rsidR="006B1E63" w:rsidRPr="001B3B93">
        <w:rPr>
          <w:szCs w:val="23"/>
        </w:rPr>
        <w:t>on what happens within those classrooms, by influencing education policy and teaching practice.</w:t>
      </w:r>
      <w:r w:rsidR="006B1E63" w:rsidRPr="001B3B93">
        <w:rPr>
          <w:rStyle w:val="FootnoteReference"/>
          <w:szCs w:val="23"/>
        </w:rPr>
        <w:footnoteReference w:id="43"/>
      </w:r>
      <w:r w:rsidR="00E03951" w:rsidRPr="001B3B93">
        <w:rPr>
          <w:szCs w:val="23"/>
        </w:rPr>
        <w:t xml:space="preserve"> Australia made substantial investments </w:t>
      </w:r>
      <w:r w:rsidR="00B40DAD" w:rsidRPr="001B3B93">
        <w:rPr>
          <w:szCs w:val="23"/>
        </w:rPr>
        <w:t xml:space="preserve">in building </w:t>
      </w:r>
      <w:r w:rsidR="002C5FB9" w:rsidRPr="001B3B93">
        <w:rPr>
          <w:szCs w:val="23"/>
        </w:rPr>
        <w:t>infrastructure over the past decade</w:t>
      </w:r>
      <w:r w:rsidR="00E03951" w:rsidRPr="001B3B93">
        <w:rPr>
          <w:szCs w:val="23"/>
        </w:rPr>
        <w:t xml:space="preserve">, including a </w:t>
      </w:r>
      <w:r w:rsidR="00AE4FE6">
        <w:rPr>
          <w:szCs w:val="23"/>
        </w:rPr>
        <w:t>AUD</w:t>
      </w:r>
      <w:r w:rsidR="00E03951" w:rsidRPr="001B3B93">
        <w:rPr>
          <w:szCs w:val="23"/>
        </w:rPr>
        <w:t xml:space="preserve">300 million loan </w:t>
      </w:r>
      <w:r w:rsidR="008C7500" w:rsidRPr="001B3B93">
        <w:rPr>
          <w:szCs w:val="23"/>
        </w:rPr>
        <w:t xml:space="preserve">for road building </w:t>
      </w:r>
      <w:bookmarkStart w:id="56" w:name="_Hlk520988501"/>
      <w:r w:rsidR="00E03951" w:rsidRPr="001B3B93">
        <w:rPr>
          <w:szCs w:val="23"/>
        </w:rPr>
        <w:t xml:space="preserve">(Eastern Indonesia National Roads Improvement Project (EINRIP) </w:t>
      </w:r>
      <w:bookmarkEnd w:id="56"/>
      <w:r w:rsidR="00E03951" w:rsidRPr="001B3B93">
        <w:rPr>
          <w:szCs w:val="23"/>
        </w:rPr>
        <w:t>2005</w:t>
      </w:r>
      <w:r w:rsidR="006661FB">
        <w:rPr>
          <w:szCs w:val="23"/>
        </w:rPr>
        <w:t>–</w:t>
      </w:r>
      <w:r w:rsidR="00E03951" w:rsidRPr="001B3B93">
        <w:rPr>
          <w:szCs w:val="23"/>
        </w:rPr>
        <w:t xml:space="preserve">16) and </w:t>
      </w:r>
      <w:r w:rsidR="002C5FB9" w:rsidRPr="001F40CB">
        <w:rPr>
          <w:szCs w:val="23"/>
        </w:rPr>
        <w:t xml:space="preserve">a </w:t>
      </w:r>
      <w:r w:rsidR="00AE4FE6" w:rsidRPr="001F40CB">
        <w:rPr>
          <w:szCs w:val="23"/>
        </w:rPr>
        <w:t>AUD</w:t>
      </w:r>
      <w:r w:rsidR="00E03951" w:rsidRPr="001F40CB">
        <w:rPr>
          <w:szCs w:val="23"/>
        </w:rPr>
        <w:t>23</w:t>
      </w:r>
      <w:r w:rsidR="00F27213" w:rsidRPr="001F40CB">
        <w:rPr>
          <w:szCs w:val="23"/>
        </w:rPr>
        <w:t>9</w:t>
      </w:r>
      <w:r w:rsidR="00E03951" w:rsidRPr="001F40CB">
        <w:rPr>
          <w:szCs w:val="23"/>
        </w:rPr>
        <w:t xml:space="preserve"> million</w:t>
      </w:r>
      <w:r w:rsidR="00E03951" w:rsidRPr="001F40CB">
        <w:rPr>
          <w:b/>
          <w:szCs w:val="23"/>
        </w:rPr>
        <w:t xml:space="preserve"> </w:t>
      </w:r>
      <w:r w:rsidR="002C5FB9" w:rsidRPr="001F40CB">
        <w:rPr>
          <w:szCs w:val="23"/>
        </w:rPr>
        <w:t>fund</w:t>
      </w:r>
      <w:r w:rsidR="002C5FB9" w:rsidRPr="001B3B93">
        <w:rPr>
          <w:szCs w:val="23"/>
        </w:rPr>
        <w:t xml:space="preserve"> </w:t>
      </w:r>
      <w:r w:rsidR="00020E8D" w:rsidRPr="001B3B93">
        <w:rPr>
          <w:szCs w:val="23"/>
        </w:rPr>
        <w:t xml:space="preserve">to raise quality standards </w:t>
      </w:r>
      <w:r w:rsidR="002C5FB9" w:rsidRPr="001B3B93">
        <w:rPr>
          <w:szCs w:val="23"/>
        </w:rPr>
        <w:t>(</w:t>
      </w:r>
      <w:bookmarkStart w:id="57" w:name="_Hlk520988542"/>
      <w:r w:rsidR="002C5FB9" w:rsidRPr="001B3B93">
        <w:rPr>
          <w:szCs w:val="23"/>
        </w:rPr>
        <w:t>Indonesia Infrastructure Initiative (IndII)</w:t>
      </w:r>
      <w:bookmarkEnd w:id="57"/>
      <w:r w:rsidR="002C5FB9" w:rsidRPr="001B3B93">
        <w:rPr>
          <w:szCs w:val="23"/>
        </w:rPr>
        <w:t xml:space="preserve"> 2007</w:t>
      </w:r>
      <w:r w:rsidR="006661FB">
        <w:rPr>
          <w:szCs w:val="23"/>
        </w:rPr>
        <w:t>–</w:t>
      </w:r>
      <w:r w:rsidR="002C5FB9" w:rsidRPr="001B3B93">
        <w:rPr>
          <w:szCs w:val="23"/>
        </w:rPr>
        <w:t>17).</w:t>
      </w:r>
      <w:r w:rsidR="002C5FB9" w:rsidRPr="001B3B93">
        <w:rPr>
          <w:b/>
          <w:szCs w:val="23"/>
        </w:rPr>
        <w:t xml:space="preserve"> </w:t>
      </w:r>
      <w:r w:rsidR="00D54EFD" w:rsidRPr="001B3B93">
        <w:rPr>
          <w:szCs w:val="23"/>
        </w:rPr>
        <w:t>A</w:t>
      </w:r>
      <w:r w:rsidR="002C5FB9" w:rsidRPr="001B3B93">
        <w:rPr>
          <w:szCs w:val="23"/>
        </w:rPr>
        <w:t xml:space="preserve">s the Indonesia </w:t>
      </w:r>
      <w:r w:rsidR="006661FB">
        <w:rPr>
          <w:szCs w:val="23"/>
        </w:rPr>
        <w:t>G</w:t>
      </w:r>
      <w:r w:rsidR="002C5FB9" w:rsidRPr="001B3B93">
        <w:rPr>
          <w:szCs w:val="23"/>
        </w:rPr>
        <w:t xml:space="preserve">overnment’s own infrastructure </w:t>
      </w:r>
      <w:r w:rsidR="00BD1129" w:rsidRPr="001B3B93">
        <w:rPr>
          <w:szCs w:val="23"/>
        </w:rPr>
        <w:t xml:space="preserve">investment </w:t>
      </w:r>
      <w:r w:rsidR="002C5FB9" w:rsidRPr="001B3B93">
        <w:rPr>
          <w:szCs w:val="23"/>
        </w:rPr>
        <w:t xml:space="preserve">has risen, the balance of Australian support has shifted from construction </w:t>
      </w:r>
      <w:r w:rsidR="00BD1129" w:rsidRPr="001B3B93">
        <w:rPr>
          <w:szCs w:val="23"/>
        </w:rPr>
        <w:t xml:space="preserve">to </w:t>
      </w:r>
      <w:r w:rsidR="002C5FB9" w:rsidRPr="001B3B93">
        <w:rPr>
          <w:szCs w:val="23"/>
        </w:rPr>
        <w:t xml:space="preserve">technical </w:t>
      </w:r>
      <w:r w:rsidR="00020E8D" w:rsidRPr="001B3B93">
        <w:rPr>
          <w:szCs w:val="23"/>
        </w:rPr>
        <w:t xml:space="preserve">and advisory </w:t>
      </w:r>
      <w:r w:rsidR="002C5FB9" w:rsidRPr="001B3B93">
        <w:rPr>
          <w:szCs w:val="23"/>
        </w:rPr>
        <w:t xml:space="preserve">support. A new </w:t>
      </w:r>
      <w:r w:rsidR="00AE4FE6">
        <w:rPr>
          <w:szCs w:val="23"/>
        </w:rPr>
        <w:t>AUD</w:t>
      </w:r>
      <w:r w:rsidR="002C5FB9" w:rsidRPr="001B3B93">
        <w:rPr>
          <w:szCs w:val="23"/>
        </w:rPr>
        <w:t>300 million program (Indonesia Australia</w:t>
      </w:r>
      <w:r w:rsidR="00DF4DAB">
        <w:rPr>
          <w:szCs w:val="23"/>
        </w:rPr>
        <w:t xml:space="preserve"> Partnership for Infrastructure </w:t>
      </w:r>
      <w:r w:rsidR="002C5FB9" w:rsidRPr="001B3B93">
        <w:rPr>
          <w:szCs w:val="23"/>
        </w:rPr>
        <w:t>201</w:t>
      </w:r>
      <w:r w:rsidR="00DF4DAB">
        <w:rPr>
          <w:szCs w:val="23"/>
        </w:rPr>
        <w:t>6</w:t>
      </w:r>
      <w:r w:rsidR="006661FB">
        <w:rPr>
          <w:szCs w:val="23"/>
        </w:rPr>
        <w:t>–</w:t>
      </w:r>
      <w:r w:rsidR="002C5FB9" w:rsidRPr="001B3B93">
        <w:rPr>
          <w:szCs w:val="23"/>
        </w:rPr>
        <w:t>2</w:t>
      </w:r>
      <w:r w:rsidR="00DF4DAB">
        <w:rPr>
          <w:szCs w:val="23"/>
        </w:rPr>
        <w:t>6</w:t>
      </w:r>
      <w:r w:rsidR="002C5FB9" w:rsidRPr="001B3B93">
        <w:rPr>
          <w:szCs w:val="23"/>
        </w:rPr>
        <w:t xml:space="preserve">) uses a facility model </w:t>
      </w:r>
      <w:r w:rsidR="00BD1129" w:rsidRPr="001B3B93">
        <w:rPr>
          <w:szCs w:val="23"/>
        </w:rPr>
        <w:t xml:space="preserve">to support </w:t>
      </w:r>
      <w:r w:rsidR="002C5FB9" w:rsidRPr="001B3B93">
        <w:rPr>
          <w:szCs w:val="23"/>
        </w:rPr>
        <w:t>policy development and project management, with funding for construction mainly used for pilot</w:t>
      </w:r>
      <w:r w:rsidR="00BD1129" w:rsidRPr="001B3B93">
        <w:rPr>
          <w:szCs w:val="23"/>
        </w:rPr>
        <w:t>s</w:t>
      </w:r>
      <w:r w:rsidR="002C5FB9" w:rsidRPr="001B3B93">
        <w:rPr>
          <w:szCs w:val="23"/>
        </w:rPr>
        <w:t>.</w:t>
      </w:r>
    </w:p>
    <w:p w14:paraId="3CBA43FA" w14:textId="32C924CC" w:rsidR="005C130F" w:rsidRPr="001B3B93" w:rsidRDefault="002C5FB9">
      <w:pPr>
        <w:rPr>
          <w:szCs w:val="23"/>
        </w:rPr>
      </w:pPr>
      <w:r w:rsidRPr="001B3B93">
        <w:rPr>
          <w:szCs w:val="23"/>
        </w:rPr>
        <w:lastRenderedPageBreak/>
        <w:t>DFAT Indonesia has also develop</w:t>
      </w:r>
      <w:r w:rsidR="005C130F" w:rsidRPr="001B3B93">
        <w:rPr>
          <w:szCs w:val="23"/>
        </w:rPr>
        <w:t>ed</w:t>
      </w:r>
      <w:r w:rsidRPr="001B3B93">
        <w:rPr>
          <w:szCs w:val="23"/>
        </w:rPr>
        <w:t xml:space="preserve"> a number of programs that are </w:t>
      </w:r>
      <w:r w:rsidR="00C1226A" w:rsidRPr="001B3B93">
        <w:rPr>
          <w:szCs w:val="23"/>
        </w:rPr>
        <w:t>solely</w:t>
      </w:r>
      <w:r w:rsidRPr="001B3B93">
        <w:rPr>
          <w:szCs w:val="23"/>
        </w:rPr>
        <w:t xml:space="preserve"> </w:t>
      </w:r>
      <w:r w:rsidR="005C130F" w:rsidRPr="001B3B93">
        <w:rPr>
          <w:szCs w:val="23"/>
        </w:rPr>
        <w:t xml:space="preserve">or largely </w:t>
      </w:r>
      <w:r w:rsidRPr="001B3B93">
        <w:rPr>
          <w:szCs w:val="23"/>
        </w:rPr>
        <w:t>knowledge-based, including</w:t>
      </w:r>
      <w:r w:rsidR="00F43692">
        <w:rPr>
          <w:szCs w:val="23"/>
        </w:rPr>
        <w:t xml:space="preserve"> a</w:t>
      </w:r>
      <w:r w:rsidR="00C563E6" w:rsidRPr="001B3B93">
        <w:rPr>
          <w:szCs w:val="23"/>
        </w:rPr>
        <w:t>:</w:t>
      </w:r>
      <w:r w:rsidRPr="001B3B93">
        <w:rPr>
          <w:szCs w:val="23"/>
        </w:rPr>
        <w:t xml:space="preserve"> </w:t>
      </w:r>
    </w:p>
    <w:p w14:paraId="50CE8FFB" w14:textId="091F7F87" w:rsidR="005C130F" w:rsidRPr="001F40CB" w:rsidRDefault="002C5FB9" w:rsidP="000C55B6">
      <w:pPr>
        <w:pStyle w:val="ListParagraph"/>
        <w:numPr>
          <w:ilvl w:val="0"/>
          <w:numId w:val="16"/>
        </w:numPr>
        <w:rPr>
          <w:szCs w:val="23"/>
        </w:rPr>
      </w:pPr>
      <w:r w:rsidRPr="001B3B93">
        <w:rPr>
          <w:szCs w:val="23"/>
        </w:rPr>
        <w:t>technical assistance facility on economic governance (</w:t>
      </w:r>
      <w:bookmarkStart w:id="58" w:name="_Hlk520988679"/>
      <w:r w:rsidRPr="001B3B93">
        <w:rPr>
          <w:szCs w:val="23"/>
        </w:rPr>
        <w:t>Australia Indonesia Partnership for Economic Gover</w:t>
      </w:r>
      <w:r w:rsidR="005C130F" w:rsidRPr="001B3B93">
        <w:rPr>
          <w:szCs w:val="23"/>
        </w:rPr>
        <w:t>n</w:t>
      </w:r>
      <w:r w:rsidRPr="001B3B93">
        <w:rPr>
          <w:szCs w:val="23"/>
        </w:rPr>
        <w:t xml:space="preserve">ance </w:t>
      </w:r>
      <w:r w:rsidR="005C130F" w:rsidRPr="001B3B93">
        <w:rPr>
          <w:szCs w:val="23"/>
        </w:rPr>
        <w:t>(AIPEG</w:t>
      </w:r>
      <w:r w:rsidR="005C130F" w:rsidRPr="001F40CB">
        <w:rPr>
          <w:szCs w:val="23"/>
        </w:rPr>
        <w:t xml:space="preserve">) </w:t>
      </w:r>
      <w:bookmarkEnd w:id="58"/>
      <w:r w:rsidR="00AE4FE6" w:rsidRPr="001F40CB">
        <w:rPr>
          <w:szCs w:val="23"/>
        </w:rPr>
        <w:t>AUD</w:t>
      </w:r>
      <w:r w:rsidR="005C130F" w:rsidRPr="001F40CB">
        <w:rPr>
          <w:szCs w:val="23"/>
        </w:rPr>
        <w:t>112 million</w:t>
      </w:r>
      <w:r w:rsidR="003D3BD9" w:rsidRPr="001F40CB">
        <w:rPr>
          <w:szCs w:val="23"/>
        </w:rPr>
        <w:t>; 2009–18</w:t>
      </w:r>
      <w:r w:rsidR="005C130F" w:rsidRPr="001F40CB">
        <w:rPr>
          <w:szCs w:val="23"/>
        </w:rPr>
        <w:t xml:space="preserve">) </w:t>
      </w:r>
    </w:p>
    <w:p w14:paraId="1F7678F0" w14:textId="53C16A21" w:rsidR="002C5FB9" w:rsidRPr="001F40CB" w:rsidRDefault="005C130F" w:rsidP="000C55B6">
      <w:pPr>
        <w:pStyle w:val="ListParagraph"/>
        <w:numPr>
          <w:ilvl w:val="0"/>
          <w:numId w:val="16"/>
        </w:numPr>
        <w:rPr>
          <w:szCs w:val="23"/>
        </w:rPr>
      </w:pPr>
      <w:r w:rsidRPr="001F40CB">
        <w:rPr>
          <w:szCs w:val="23"/>
        </w:rPr>
        <w:t>fund that support</w:t>
      </w:r>
      <w:r w:rsidR="008F1A6E" w:rsidRPr="001F40CB">
        <w:rPr>
          <w:szCs w:val="23"/>
        </w:rPr>
        <w:t>s</w:t>
      </w:r>
      <w:r w:rsidRPr="001F40CB">
        <w:rPr>
          <w:szCs w:val="23"/>
        </w:rPr>
        <w:t xml:space="preserve"> partnerships between Australian and Indonesia</w:t>
      </w:r>
      <w:r w:rsidR="00BD2851" w:rsidRPr="001F40CB">
        <w:rPr>
          <w:szCs w:val="23"/>
        </w:rPr>
        <w:t xml:space="preserve"> </w:t>
      </w:r>
      <w:r w:rsidR="00B715C9" w:rsidRPr="001F40CB">
        <w:rPr>
          <w:szCs w:val="23"/>
        </w:rPr>
        <w:t>g</w:t>
      </w:r>
      <w:r w:rsidRPr="001F40CB">
        <w:rPr>
          <w:szCs w:val="23"/>
        </w:rPr>
        <w:t>overnment institutions (</w:t>
      </w:r>
      <w:bookmarkStart w:id="59" w:name="_Hlk520988699"/>
      <w:r w:rsidRPr="001F40CB">
        <w:rPr>
          <w:szCs w:val="23"/>
        </w:rPr>
        <w:t xml:space="preserve">Government Partnership Fund </w:t>
      </w:r>
      <w:r w:rsidR="003802FD" w:rsidRPr="001F40CB">
        <w:rPr>
          <w:szCs w:val="23"/>
        </w:rPr>
        <w:t xml:space="preserve">Phase II </w:t>
      </w:r>
      <w:r w:rsidRPr="001F40CB">
        <w:rPr>
          <w:szCs w:val="23"/>
        </w:rPr>
        <w:t>(GPF)</w:t>
      </w:r>
      <w:bookmarkEnd w:id="59"/>
      <w:r w:rsidRPr="001F40CB">
        <w:rPr>
          <w:szCs w:val="23"/>
        </w:rPr>
        <w:t xml:space="preserve"> </w:t>
      </w:r>
      <w:r w:rsidR="00AE4FE6" w:rsidRPr="001F40CB">
        <w:rPr>
          <w:szCs w:val="23"/>
        </w:rPr>
        <w:t>AUD</w:t>
      </w:r>
      <w:r w:rsidR="003802FD" w:rsidRPr="001F40CB">
        <w:rPr>
          <w:szCs w:val="23"/>
        </w:rPr>
        <w:t>118</w:t>
      </w:r>
      <w:r w:rsidRPr="001F40CB">
        <w:rPr>
          <w:szCs w:val="23"/>
        </w:rPr>
        <w:t xml:space="preserve"> million</w:t>
      </w:r>
      <w:r w:rsidR="003D3BD9" w:rsidRPr="001F40CB">
        <w:rPr>
          <w:szCs w:val="23"/>
        </w:rPr>
        <w:t>; 20</w:t>
      </w:r>
      <w:r w:rsidR="003802FD" w:rsidRPr="001F40CB">
        <w:rPr>
          <w:szCs w:val="23"/>
        </w:rPr>
        <w:t>11</w:t>
      </w:r>
      <w:r w:rsidR="00F27213" w:rsidRPr="001F40CB">
        <w:rPr>
          <w:szCs w:val="23"/>
        </w:rPr>
        <w:t>—17)</w:t>
      </w:r>
      <w:r w:rsidR="00BD3980" w:rsidRPr="001F40CB">
        <w:rPr>
          <w:rStyle w:val="FootnoteReference"/>
          <w:szCs w:val="23"/>
        </w:rPr>
        <w:footnoteReference w:id="44"/>
      </w:r>
    </w:p>
    <w:p w14:paraId="1F0A401E" w14:textId="7AED19FF" w:rsidR="005C130F" w:rsidRPr="001F40CB" w:rsidRDefault="005C130F" w:rsidP="000C55B6">
      <w:pPr>
        <w:pStyle w:val="ListParagraph"/>
        <w:numPr>
          <w:ilvl w:val="0"/>
          <w:numId w:val="16"/>
        </w:numPr>
        <w:rPr>
          <w:szCs w:val="23"/>
        </w:rPr>
      </w:pPr>
      <w:r w:rsidRPr="001F40CB">
        <w:rPr>
          <w:szCs w:val="23"/>
        </w:rPr>
        <w:t>program to increase the access of Indonesian policy makers to research and analysis (</w:t>
      </w:r>
      <w:r w:rsidR="00BD3980" w:rsidRPr="001F40CB">
        <w:rPr>
          <w:szCs w:val="23"/>
        </w:rPr>
        <w:t>t</w:t>
      </w:r>
      <w:r w:rsidRPr="001F40CB">
        <w:rPr>
          <w:szCs w:val="23"/>
        </w:rPr>
        <w:t xml:space="preserve">he </w:t>
      </w:r>
      <w:bookmarkStart w:id="60" w:name="_Hlk520988730"/>
      <w:r w:rsidRPr="001F40CB">
        <w:rPr>
          <w:szCs w:val="23"/>
        </w:rPr>
        <w:t xml:space="preserve">Knowledge Sector Initiative </w:t>
      </w:r>
      <w:bookmarkEnd w:id="60"/>
      <w:r w:rsidR="00AE4FE6" w:rsidRPr="001F40CB">
        <w:rPr>
          <w:szCs w:val="23"/>
        </w:rPr>
        <w:t>AUD</w:t>
      </w:r>
      <w:r w:rsidRPr="001F40CB">
        <w:rPr>
          <w:szCs w:val="23"/>
        </w:rPr>
        <w:t>64 million</w:t>
      </w:r>
      <w:r w:rsidR="003D3BD9" w:rsidRPr="001F40CB">
        <w:rPr>
          <w:szCs w:val="23"/>
        </w:rPr>
        <w:t>; 2012–22)</w:t>
      </w:r>
    </w:p>
    <w:p w14:paraId="674A89D3" w14:textId="292A67D4" w:rsidR="005C130F" w:rsidRPr="001F40CB" w:rsidRDefault="005C130F" w:rsidP="000C55B6">
      <w:pPr>
        <w:pStyle w:val="ListParagraph"/>
        <w:numPr>
          <w:ilvl w:val="0"/>
          <w:numId w:val="16"/>
        </w:numPr>
        <w:rPr>
          <w:szCs w:val="23"/>
        </w:rPr>
      </w:pPr>
      <w:r w:rsidRPr="001F40CB">
        <w:rPr>
          <w:szCs w:val="23"/>
        </w:rPr>
        <w:t>facility that builds the capacity of the Indonesia</w:t>
      </w:r>
      <w:r w:rsidR="00BD2851" w:rsidRPr="001F40CB">
        <w:rPr>
          <w:szCs w:val="23"/>
        </w:rPr>
        <w:t xml:space="preserve"> G</w:t>
      </w:r>
      <w:r w:rsidRPr="001F40CB">
        <w:rPr>
          <w:szCs w:val="23"/>
        </w:rPr>
        <w:t xml:space="preserve">overnment to </w:t>
      </w:r>
      <w:r w:rsidR="00020E8D" w:rsidRPr="001F40CB">
        <w:rPr>
          <w:szCs w:val="23"/>
        </w:rPr>
        <w:t xml:space="preserve">design and implement </w:t>
      </w:r>
      <w:r w:rsidRPr="001F40CB">
        <w:rPr>
          <w:szCs w:val="23"/>
        </w:rPr>
        <w:t>effective social protection programs (</w:t>
      </w:r>
      <w:bookmarkStart w:id="61" w:name="_Hlk521761063"/>
      <w:r w:rsidRPr="001F40CB">
        <w:rPr>
          <w:szCs w:val="23"/>
        </w:rPr>
        <w:t>Towards a Strong and Prosperous Indonesia Society</w:t>
      </w:r>
      <w:bookmarkEnd w:id="61"/>
      <w:r w:rsidRPr="001F40CB">
        <w:rPr>
          <w:szCs w:val="23"/>
        </w:rPr>
        <w:t xml:space="preserve"> (MA</w:t>
      </w:r>
      <w:r w:rsidR="0065129A" w:rsidRPr="001F40CB">
        <w:rPr>
          <w:szCs w:val="23"/>
        </w:rPr>
        <w:t>H</w:t>
      </w:r>
      <w:r w:rsidRPr="001F40CB">
        <w:rPr>
          <w:szCs w:val="23"/>
        </w:rPr>
        <w:t xml:space="preserve">KOTA) </w:t>
      </w:r>
      <w:r w:rsidR="007074BE" w:rsidRPr="001F40CB">
        <w:rPr>
          <w:szCs w:val="23"/>
        </w:rPr>
        <w:t>AUD62</w:t>
      </w:r>
      <w:r w:rsidRPr="001F40CB">
        <w:rPr>
          <w:szCs w:val="23"/>
        </w:rPr>
        <w:t>million</w:t>
      </w:r>
      <w:r w:rsidR="003D3BD9" w:rsidRPr="001F40CB">
        <w:rPr>
          <w:szCs w:val="23"/>
        </w:rPr>
        <w:t xml:space="preserve">; </w:t>
      </w:r>
      <w:r w:rsidR="001F40CB">
        <w:rPr>
          <w:szCs w:val="23"/>
        </w:rPr>
        <w:br/>
      </w:r>
      <w:r w:rsidR="003D3BD9" w:rsidRPr="001F40CB">
        <w:rPr>
          <w:szCs w:val="23"/>
        </w:rPr>
        <w:t>2016–19</w:t>
      </w:r>
      <w:r w:rsidR="00F43692" w:rsidRPr="001F40CB">
        <w:rPr>
          <w:szCs w:val="23"/>
        </w:rPr>
        <w:t>)</w:t>
      </w:r>
      <w:r w:rsidRPr="001F40CB">
        <w:rPr>
          <w:szCs w:val="23"/>
        </w:rPr>
        <w:t>.</w:t>
      </w:r>
    </w:p>
    <w:p w14:paraId="31965612" w14:textId="105A80B9" w:rsidR="00552431" w:rsidRPr="001F40CB" w:rsidRDefault="00C563E6" w:rsidP="005C130F">
      <w:pPr>
        <w:rPr>
          <w:szCs w:val="23"/>
        </w:rPr>
      </w:pPr>
      <w:r w:rsidRPr="001F40CB">
        <w:rPr>
          <w:szCs w:val="23"/>
        </w:rPr>
        <w:t xml:space="preserve">In Vietnam, </w:t>
      </w:r>
      <w:r w:rsidR="00C1226A" w:rsidRPr="001F40CB">
        <w:rPr>
          <w:szCs w:val="23"/>
        </w:rPr>
        <w:t xml:space="preserve">Australia’s flagship program </w:t>
      </w:r>
      <w:r w:rsidR="00552431" w:rsidRPr="001F40CB">
        <w:rPr>
          <w:szCs w:val="23"/>
        </w:rPr>
        <w:t xml:space="preserve">in recent years has been </w:t>
      </w:r>
      <w:r w:rsidRPr="001F40CB">
        <w:rPr>
          <w:szCs w:val="23"/>
        </w:rPr>
        <w:t>the Cao Lanh Bridge (</w:t>
      </w:r>
      <w:r w:rsidR="00AE4FE6" w:rsidRPr="001F40CB">
        <w:rPr>
          <w:szCs w:val="23"/>
        </w:rPr>
        <w:t>AUD</w:t>
      </w:r>
      <w:r w:rsidRPr="001F40CB">
        <w:rPr>
          <w:szCs w:val="23"/>
        </w:rPr>
        <w:t>160 million</w:t>
      </w:r>
      <w:r w:rsidR="003D3BD9" w:rsidRPr="001F40CB">
        <w:rPr>
          <w:szCs w:val="23"/>
        </w:rPr>
        <w:t>; 2011–18</w:t>
      </w:r>
      <w:r w:rsidRPr="001F40CB">
        <w:rPr>
          <w:szCs w:val="23"/>
        </w:rPr>
        <w:t>)</w:t>
      </w:r>
      <w:r w:rsidR="00552431" w:rsidRPr="001F40CB">
        <w:rPr>
          <w:szCs w:val="23"/>
        </w:rPr>
        <w:t xml:space="preserve">, which is DFAT’s largest single investment in mainland </w:t>
      </w:r>
      <w:r w:rsidR="00FA38AC" w:rsidRPr="001F40CB">
        <w:rPr>
          <w:szCs w:val="23"/>
        </w:rPr>
        <w:t>Southeast</w:t>
      </w:r>
      <w:r w:rsidR="00552431" w:rsidRPr="001F40CB">
        <w:rPr>
          <w:szCs w:val="23"/>
        </w:rPr>
        <w:t xml:space="preserve"> Asia.</w:t>
      </w:r>
      <w:r w:rsidRPr="001F40CB">
        <w:rPr>
          <w:szCs w:val="23"/>
        </w:rPr>
        <w:t xml:space="preserve"> </w:t>
      </w:r>
      <w:r w:rsidR="00552431" w:rsidRPr="001F40CB">
        <w:rPr>
          <w:szCs w:val="23"/>
        </w:rPr>
        <w:t xml:space="preserve">As that project </w:t>
      </w:r>
      <w:r w:rsidR="006D3E44" w:rsidRPr="001F40CB">
        <w:rPr>
          <w:szCs w:val="23"/>
        </w:rPr>
        <w:t>ends</w:t>
      </w:r>
      <w:r w:rsidR="00552431" w:rsidRPr="001F40CB">
        <w:rPr>
          <w:szCs w:val="23"/>
        </w:rPr>
        <w:t xml:space="preserve">, </w:t>
      </w:r>
      <w:r w:rsidR="00C1226A" w:rsidRPr="001F40CB">
        <w:rPr>
          <w:szCs w:val="23"/>
        </w:rPr>
        <w:t xml:space="preserve">the direction of travel is away from bricks and mortar towards </w:t>
      </w:r>
      <w:r w:rsidR="00552431" w:rsidRPr="001F40CB">
        <w:rPr>
          <w:szCs w:val="23"/>
        </w:rPr>
        <w:t>a new generation of programs that are primarily knowledge-based, including</w:t>
      </w:r>
      <w:r w:rsidR="00F43692" w:rsidRPr="001F40CB">
        <w:rPr>
          <w:szCs w:val="23"/>
        </w:rPr>
        <w:t xml:space="preserve"> </w:t>
      </w:r>
      <w:r w:rsidR="006847AB" w:rsidRPr="001F40CB">
        <w:rPr>
          <w:szCs w:val="23"/>
        </w:rPr>
        <w:t>a</w:t>
      </w:r>
      <w:r w:rsidR="00552431" w:rsidRPr="001F40CB">
        <w:rPr>
          <w:szCs w:val="23"/>
        </w:rPr>
        <w:t>:</w:t>
      </w:r>
    </w:p>
    <w:p w14:paraId="6F70B206" w14:textId="3101BEE4" w:rsidR="00020E8D" w:rsidRPr="001F40CB" w:rsidRDefault="00020E8D" w:rsidP="000C55B6">
      <w:pPr>
        <w:pStyle w:val="ListParagraph"/>
        <w:numPr>
          <w:ilvl w:val="0"/>
          <w:numId w:val="17"/>
        </w:numPr>
        <w:rPr>
          <w:szCs w:val="23"/>
        </w:rPr>
      </w:pPr>
      <w:r w:rsidRPr="001F40CB">
        <w:rPr>
          <w:szCs w:val="23"/>
        </w:rPr>
        <w:t>new transport partnership designed to address weaknesses in project preparation and implementation, and to increase private infrastructure finance</w:t>
      </w:r>
      <w:r w:rsidR="00810180" w:rsidRPr="001F40CB">
        <w:rPr>
          <w:szCs w:val="23"/>
        </w:rPr>
        <w:t xml:space="preserve"> through </w:t>
      </w:r>
      <w:bookmarkStart w:id="62" w:name="_Hlk520988913"/>
      <w:r w:rsidR="00810180" w:rsidRPr="001F40CB">
        <w:rPr>
          <w:szCs w:val="23"/>
        </w:rPr>
        <w:t>public-private partnerships</w:t>
      </w:r>
      <w:bookmarkEnd w:id="62"/>
      <w:r w:rsidRPr="001F40CB">
        <w:rPr>
          <w:szCs w:val="23"/>
        </w:rPr>
        <w:t xml:space="preserve"> (Australia Vietnam Transport Development Partnership</w:t>
      </w:r>
      <w:r w:rsidR="00F74212" w:rsidRPr="001F40CB">
        <w:rPr>
          <w:szCs w:val="23"/>
        </w:rPr>
        <w:t xml:space="preserve"> or Aus4Transport</w:t>
      </w:r>
      <w:r w:rsidRPr="001F40CB">
        <w:rPr>
          <w:szCs w:val="23"/>
        </w:rPr>
        <w:t xml:space="preserve"> </w:t>
      </w:r>
      <w:r w:rsidR="00AE4FE6" w:rsidRPr="001F40CB">
        <w:rPr>
          <w:szCs w:val="23"/>
        </w:rPr>
        <w:t>AUD</w:t>
      </w:r>
      <w:r w:rsidRPr="001F40CB">
        <w:rPr>
          <w:szCs w:val="23"/>
        </w:rPr>
        <w:t>3</w:t>
      </w:r>
      <w:r w:rsidR="007074BE" w:rsidRPr="001F40CB">
        <w:rPr>
          <w:szCs w:val="23"/>
        </w:rPr>
        <w:t>0</w:t>
      </w:r>
      <w:r w:rsidRPr="001F40CB">
        <w:rPr>
          <w:szCs w:val="23"/>
        </w:rPr>
        <w:t xml:space="preserve"> million</w:t>
      </w:r>
      <w:r w:rsidR="003D3BD9" w:rsidRPr="001F40CB">
        <w:rPr>
          <w:szCs w:val="23"/>
        </w:rPr>
        <w:t>; 2017–21</w:t>
      </w:r>
      <w:r w:rsidRPr="001F40CB">
        <w:rPr>
          <w:szCs w:val="23"/>
        </w:rPr>
        <w:t>)</w:t>
      </w:r>
    </w:p>
    <w:p w14:paraId="516A86F1" w14:textId="7F806FF7" w:rsidR="00C1226A" w:rsidRPr="001F40CB" w:rsidRDefault="00C1226A" w:rsidP="000C55B6">
      <w:pPr>
        <w:pStyle w:val="ListParagraph"/>
        <w:numPr>
          <w:ilvl w:val="0"/>
          <w:numId w:val="17"/>
        </w:numPr>
        <w:rPr>
          <w:szCs w:val="23"/>
        </w:rPr>
      </w:pPr>
      <w:r w:rsidRPr="001F40CB">
        <w:rPr>
          <w:szCs w:val="23"/>
        </w:rPr>
        <w:t>technical assistance facility that supports competition policy and the shift towards a market-based economy (</w:t>
      </w:r>
      <w:bookmarkStart w:id="63" w:name="_Hlk520988940"/>
      <w:r w:rsidRPr="001F40CB">
        <w:rPr>
          <w:szCs w:val="23"/>
        </w:rPr>
        <w:t xml:space="preserve">Restructuring for </w:t>
      </w:r>
      <w:r w:rsidRPr="00F219BE">
        <w:rPr>
          <w:szCs w:val="23"/>
        </w:rPr>
        <w:t xml:space="preserve">a </w:t>
      </w:r>
      <w:r w:rsidR="00541A08" w:rsidRPr="00F219BE">
        <w:rPr>
          <w:szCs w:val="23"/>
        </w:rPr>
        <w:t xml:space="preserve">More </w:t>
      </w:r>
      <w:r w:rsidRPr="00F219BE">
        <w:rPr>
          <w:szCs w:val="23"/>
        </w:rPr>
        <w:t>Competitive</w:t>
      </w:r>
      <w:r w:rsidRPr="001F40CB">
        <w:rPr>
          <w:szCs w:val="23"/>
        </w:rPr>
        <w:t xml:space="preserve"> Vietnam</w:t>
      </w:r>
      <w:r w:rsidR="00DC5C5B" w:rsidRPr="001F40CB">
        <w:rPr>
          <w:szCs w:val="23"/>
        </w:rPr>
        <w:t xml:space="preserve"> (RCV)</w:t>
      </w:r>
      <w:bookmarkEnd w:id="63"/>
      <w:r w:rsidRPr="001F40CB">
        <w:rPr>
          <w:szCs w:val="23"/>
        </w:rPr>
        <w:t xml:space="preserve"> </w:t>
      </w:r>
      <w:r w:rsidR="00AE4FE6" w:rsidRPr="001F40CB">
        <w:rPr>
          <w:szCs w:val="23"/>
        </w:rPr>
        <w:t>AUD</w:t>
      </w:r>
      <w:r w:rsidRPr="001F40CB">
        <w:rPr>
          <w:szCs w:val="23"/>
        </w:rPr>
        <w:t>3.6 million</w:t>
      </w:r>
      <w:r w:rsidR="003D3BD9" w:rsidRPr="001F40CB">
        <w:rPr>
          <w:szCs w:val="23"/>
        </w:rPr>
        <w:t>;</w:t>
      </w:r>
      <w:r w:rsidRPr="001F40CB">
        <w:rPr>
          <w:szCs w:val="23"/>
        </w:rPr>
        <w:t xml:space="preserve"> </w:t>
      </w:r>
      <w:r w:rsidR="003D3BD9" w:rsidRPr="001F40CB">
        <w:rPr>
          <w:szCs w:val="23"/>
        </w:rPr>
        <w:t>2014–17</w:t>
      </w:r>
      <w:r w:rsidR="00DC5C5B" w:rsidRPr="001F40CB">
        <w:rPr>
          <w:szCs w:val="23"/>
        </w:rPr>
        <w:t>)</w:t>
      </w:r>
      <w:r w:rsidR="003D3BD9" w:rsidRPr="001F40CB">
        <w:rPr>
          <w:szCs w:val="23"/>
        </w:rPr>
        <w:t xml:space="preserve"> </w:t>
      </w:r>
      <w:r w:rsidRPr="001F40CB">
        <w:rPr>
          <w:szCs w:val="23"/>
        </w:rPr>
        <w:t xml:space="preserve">and its successor program, Aus4Reform </w:t>
      </w:r>
      <w:r w:rsidR="00AE4FE6" w:rsidRPr="001F40CB">
        <w:rPr>
          <w:szCs w:val="23"/>
        </w:rPr>
        <w:t>AUD</w:t>
      </w:r>
      <w:r w:rsidRPr="001F40CB">
        <w:rPr>
          <w:szCs w:val="23"/>
        </w:rPr>
        <w:t>6 million</w:t>
      </w:r>
      <w:r w:rsidR="003D3BD9" w:rsidRPr="001F40CB">
        <w:rPr>
          <w:szCs w:val="23"/>
        </w:rPr>
        <w:t>; 2017–21</w:t>
      </w:r>
      <w:r w:rsidRPr="001F40CB">
        <w:rPr>
          <w:szCs w:val="23"/>
        </w:rPr>
        <w:t>)</w:t>
      </w:r>
    </w:p>
    <w:p w14:paraId="7EC7A1A4" w14:textId="5236788E" w:rsidR="00C1226A" w:rsidRPr="001F40CB" w:rsidRDefault="00C1226A" w:rsidP="000C55B6">
      <w:pPr>
        <w:pStyle w:val="ListParagraph"/>
        <w:numPr>
          <w:ilvl w:val="0"/>
          <w:numId w:val="17"/>
        </w:numPr>
        <w:rPr>
          <w:szCs w:val="23"/>
        </w:rPr>
      </w:pPr>
      <w:r w:rsidRPr="001F40CB">
        <w:rPr>
          <w:szCs w:val="23"/>
        </w:rPr>
        <w:t xml:space="preserve">partnership with the World Bank to support analytical and advisory work in key policy and reform areas (Australia-World Bank Strategic Partnership in Vietnam Phase 1 </w:t>
      </w:r>
      <w:r w:rsidR="00AE4FE6" w:rsidRPr="001F40CB">
        <w:rPr>
          <w:szCs w:val="23"/>
        </w:rPr>
        <w:t>AUD</w:t>
      </w:r>
      <w:r w:rsidRPr="001F40CB">
        <w:rPr>
          <w:szCs w:val="23"/>
        </w:rPr>
        <w:t>30.5 million</w:t>
      </w:r>
      <w:r w:rsidR="003D3BD9" w:rsidRPr="001F40CB">
        <w:rPr>
          <w:szCs w:val="23"/>
        </w:rPr>
        <w:t>; 2012–16</w:t>
      </w:r>
      <w:r w:rsidRPr="001F40CB">
        <w:rPr>
          <w:szCs w:val="23"/>
        </w:rPr>
        <w:t xml:space="preserve"> and Phase 2 </w:t>
      </w:r>
      <w:r w:rsidR="00AE4FE6" w:rsidRPr="001F40CB">
        <w:rPr>
          <w:szCs w:val="23"/>
        </w:rPr>
        <w:t>AUD</w:t>
      </w:r>
      <w:r w:rsidRPr="001F40CB">
        <w:rPr>
          <w:szCs w:val="23"/>
        </w:rPr>
        <w:t>25 million</w:t>
      </w:r>
      <w:r w:rsidR="003D3BD9" w:rsidRPr="001F40CB">
        <w:rPr>
          <w:szCs w:val="23"/>
        </w:rPr>
        <w:t>; 2016–21</w:t>
      </w:r>
      <w:r w:rsidRPr="001F40CB">
        <w:rPr>
          <w:szCs w:val="23"/>
        </w:rPr>
        <w:t>).</w:t>
      </w:r>
    </w:p>
    <w:p w14:paraId="47F534AA" w14:textId="378276A6" w:rsidR="00810180" w:rsidRDefault="00C1226A" w:rsidP="00C1226A">
      <w:pPr>
        <w:rPr>
          <w:szCs w:val="23"/>
        </w:rPr>
      </w:pPr>
      <w:bookmarkStart w:id="64" w:name="_Hlk515452607"/>
      <w:r w:rsidRPr="001B3B93">
        <w:rPr>
          <w:szCs w:val="23"/>
        </w:rPr>
        <w:t xml:space="preserve">It would be </w:t>
      </w:r>
      <w:r w:rsidR="007976A2" w:rsidRPr="001B3B93">
        <w:rPr>
          <w:szCs w:val="23"/>
        </w:rPr>
        <w:t xml:space="preserve">wrong </w:t>
      </w:r>
      <w:r w:rsidRPr="001B3B93">
        <w:rPr>
          <w:szCs w:val="23"/>
        </w:rPr>
        <w:t>to overstate the novelty</w:t>
      </w:r>
      <w:r w:rsidR="00814AF1" w:rsidRPr="001B3B93">
        <w:rPr>
          <w:szCs w:val="23"/>
        </w:rPr>
        <w:t xml:space="preserve"> of </w:t>
      </w:r>
      <w:r w:rsidR="00FA38AC">
        <w:rPr>
          <w:szCs w:val="23"/>
        </w:rPr>
        <w:t>knowledge-based assistance</w:t>
      </w:r>
      <w:r w:rsidR="001C7483">
        <w:rPr>
          <w:szCs w:val="23"/>
        </w:rPr>
        <w:t xml:space="preserve">. </w:t>
      </w:r>
      <w:r w:rsidR="00FA38AC">
        <w:rPr>
          <w:szCs w:val="23"/>
        </w:rPr>
        <w:t>It</w:t>
      </w:r>
      <w:r w:rsidR="00127896">
        <w:rPr>
          <w:szCs w:val="23"/>
        </w:rPr>
        <w:t xml:space="preserve"> has</w:t>
      </w:r>
      <w:r w:rsidR="00814AF1" w:rsidRPr="001B3B93">
        <w:rPr>
          <w:szCs w:val="23"/>
        </w:rPr>
        <w:t xml:space="preserve"> always been </w:t>
      </w:r>
      <w:r w:rsidR="006D3E44" w:rsidRPr="001B3B93">
        <w:rPr>
          <w:szCs w:val="23"/>
        </w:rPr>
        <w:t xml:space="preserve">important to </w:t>
      </w:r>
      <w:r w:rsidR="00814AF1" w:rsidRPr="001B3B93">
        <w:rPr>
          <w:szCs w:val="23"/>
        </w:rPr>
        <w:t xml:space="preserve">Australian development cooperation. However, </w:t>
      </w:r>
      <w:r w:rsidR="005F1744" w:rsidRPr="001B3B93">
        <w:rPr>
          <w:szCs w:val="23"/>
        </w:rPr>
        <w:t xml:space="preserve">as the partner countries’ need </w:t>
      </w:r>
      <w:r w:rsidR="00755C8A" w:rsidRPr="001B3B93">
        <w:rPr>
          <w:szCs w:val="23"/>
        </w:rPr>
        <w:t xml:space="preserve">for </w:t>
      </w:r>
      <w:r w:rsidR="005F1744" w:rsidRPr="001B3B93">
        <w:rPr>
          <w:szCs w:val="23"/>
        </w:rPr>
        <w:t xml:space="preserve">ODA to fill financing gaps has </w:t>
      </w:r>
      <w:r w:rsidR="00020E8D" w:rsidRPr="001B3B93">
        <w:rPr>
          <w:szCs w:val="23"/>
        </w:rPr>
        <w:t>decreased and as Australian aid budgets have declined</w:t>
      </w:r>
      <w:r w:rsidR="005F1744" w:rsidRPr="001B3B93">
        <w:rPr>
          <w:szCs w:val="23"/>
        </w:rPr>
        <w:t xml:space="preserve">, </w:t>
      </w:r>
      <w:r w:rsidR="00810180">
        <w:rPr>
          <w:szCs w:val="23"/>
        </w:rPr>
        <w:t xml:space="preserve">knowledge-based assistance has emerged as </w:t>
      </w:r>
      <w:r w:rsidR="006470DB">
        <w:rPr>
          <w:szCs w:val="23"/>
        </w:rPr>
        <w:t>a c</w:t>
      </w:r>
      <w:r w:rsidR="00810180">
        <w:rPr>
          <w:szCs w:val="23"/>
        </w:rPr>
        <w:t>entral focus of Australian assistance.</w:t>
      </w:r>
      <w:bookmarkEnd w:id="64"/>
    </w:p>
    <w:p w14:paraId="158B8DDC" w14:textId="77777777" w:rsidR="00AE68D1" w:rsidRPr="001B3B93" w:rsidRDefault="00AE68D1" w:rsidP="00C1226A">
      <w:pPr>
        <w:rPr>
          <w:i/>
          <w:color w:val="296C60" w:themeColor="background2" w:themeShade="80"/>
          <w:szCs w:val="23"/>
        </w:rPr>
      </w:pPr>
      <w:r w:rsidRPr="001B3B93">
        <w:rPr>
          <w:i/>
          <w:color w:val="296C60" w:themeColor="background2" w:themeShade="80"/>
          <w:szCs w:val="23"/>
        </w:rPr>
        <w:t>Backing reformers</w:t>
      </w:r>
    </w:p>
    <w:p w14:paraId="25CDEC6B" w14:textId="79655B6E" w:rsidR="00222F18" w:rsidRPr="001B3B93" w:rsidRDefault="005F1744" w:rsidP="00C1226A">
      <w:pPr>
        <w:rPr>
          <w:szCs w:val="23"/>
        </w:rPr>
      </w:pPr>
      <w:r w:rsidRPr="001B3B93">
        <w:rPr>
          <w:szCs w:val="23"/>
        </w:rPr>
        <w:t xml:space="preserve">A distinctive feature of this </w:t>
      </w:r>
      <w:r w:rsidR="00BD1129" w:rsidRPr="001B3B93">
        <w:rPr>
          <w:szCs w:val="23"/>
        </w:rPr>
        <w:t xml:space="preserve">change </w:t>
      </w:r>
      <w:r w:rsidRPr="001B3B93">
        <w:rPr>
          <w:szCs w:val="23"/>
        </w:rPr>
        <w:t xml:space="preserve">is a strategy of positioning Australia as a partner for economic and social policy reform. Using variations on the facility model, </w:t>
      </w:r>
      <w:r w:rsidR="00BD3980" w:rsidRPr="001B3B93">
        <w:rPr>
          <w:szCs w:val="23"/>
        </w:rPr>
        <w:t xml:space="preserve">DFAT programs </w:t>
      </w:r>
      <w:r w:rsidR="00BD1129" w:rsidRPr="001B3B93">
        <w:rPr>
          <w:szCs w:val="23"/>
        </w:rPr>
        <w:t>provide</w:t>
      </w:r>
      <w:r w:rsidR="00222F18" w:rsidRPr="001B3B93">
        <w:rPr>
          <w:szCs w:val="23"/>
        </w:rPr>
        <w:t xml:space="preserve"> </w:t>
      </w:r>
      <w:r w:rsidR="006D3E44" w:rsidRPr="001B3B93">
        <w:rPr>
          <w:szCs w:val="23"/>
        </w:rPr>
        <w:t xml:space="preserve">advice </w:t>
      </w:r>
      <w:r w:rsidR="00AA4812" w:rsidRPr="001B3B93">
        <w:rPr>
          <w:szCs w:val="23"/>
        </w:rPr>
        <w:t xml:space="preserve">and technical support to </w:t>
      </w:r>
      <w:r w:rsidR="007976A2" w:rsidRPr="001B3B93">
        <w:rPr>
          <w:szCs w:val="23"/>
        </w:rPr>
        <w:t>help</w:t>
      </w:r>
      <w:r w:rsidR="00AA4812" w:rsidRPr="001B3B93">
        <w:rPr>
          <w:szCs w:val="23"/>
        </w:rPr>
        <w:t xml:space="preserve"> reformers and reform initiatives. </w:t>
      </w:r>
      <w:r w:rsidR="00BD1129" w:rsidRPr="001B3B93">
        <w:rPr>
          <w:szCs w:val="23"/>
        </w:rPr>
        <w:t>P</w:t>
      </w:r>
      <w:r w:rsidR="00AA4812" w:rsidRPr="001B3B93">
        <w:rPr>
          <w:szCs w:val="23"/>
        </w:rPr>
        <w:t xml:space="preserve">riorities are </w:t>
      </w:r>
      <w:r w:rsidR="00020E8D" w:rsidRPr="001B3B93">
        <w:rPr>
          <w:szCs w:val="23"/>
        </w:rPr>
        <w:t xml:space="preserve">agreed </w:t>
      </w:r>
      <w:r w:rsidR="00AA4812" w:rsidRPr="001B3B93">
        <w:rPr>
          <w:szCs w:val="23"/>
        </w:rPr>
        <w:t>with national counterparts, to increase ownership.</w:t>
      </w:r>
      <w:r w:rsidR="00222F18" w:rsidRPr="001B3B93">
        <w:rPr>
          <w:szCs w:val="23"/>
        </w:rPr>
        <w:t xml:space="preserve"> The</w:t>
      </w:r>
      <w:r w:rsidR="00BD1129" w:rsidRPr="001B3B93">
        <w:rPr>
          <w:szCs w:val="23"/>
        </w:rPr>
        <w:t xml:space="preserve"> programs</w:t>
      </w:r>
      <w:r w:rsidR="00222F18" w:rsidRPr="001B3B93">
        <w:rPr>
          <w:szCs w:val="23"/>
        </w:rPr>
        <w:t xml:space="preserve"> are designed with the flexibility to respond quickly to reform opportunities as they emerge, as well as </w:t>
      </w:r>
      <w:r w:rsidR="007976A2" w:rsidRPr="001B3B93">
        <w:rPr>
          <w:szCs w:val="23"/>
        </w:rPr>
        <w:t xml:space="preserve">to </w:t>
      </w:r>
      <w:r w:rsidR="00222F18" w:rsidRPr="001B3B93">
        <w:rPr>
          <w:szCs w:val="23"/>
        </w:rPr>
        <w:t xml:space="preserve">support longer-term change. The main economic governance facilities </w:t>
      </w:r>
      <w:r w:rsidR="007976A2" w:rsidRPr="001B3B93">
        <w:rPr>
          <w:szCs w:val="23"/>
        </w:rPr>
        <w:t>in the two countries</w:t>
      </w:r>
      <w:r w:rsidR="00F43692">
        <w:rPr>
          <w:szCs w:val="23"/>
        </w:rPr>
        <w:t>—</w:t>
      </w:r>
      <w:r w:rsidR="00222F18" w:rsidRPr="001B3B93">
        <w:rPr>
          <w:szCs w:val="23"/>
        </w:rPr>
        <w:t>AIPEG and RCV</w:t>
      </w:r>
      <w:r w:rsidR="00F43692">
        <w:rPr>
          <w:szCs w:val="23"/>
        </w:rPr>
        <w:t>—</w:t>
      </w:r>
      <w:r w:rsidR="00222F18" w:rsidRPr="001B3B93">
        <w:rPr>
          <w:szCs w:val="23"/>
        </w:rPr>
        <w:t>work in a politically informed</w:t>
      </w:r>
      <w:r w:rsidR="00810180">
        <w:rPr>
          <w:szCs w:val="23"/>
        </w:rPr>
        <w:t xml:space="preserve"> manner to </w:t>
      </w:r>
      <w:r w:rsidR="00264C78">
        <w:rPr>
          <w:szCs w:val="23"/>
        </w:rPr>
        <w:t>help national</w:t>
      </w:r>
      <w:r w:rsidR="00810180">
        <w:rPr>
          <w:szCs w:val="23"/>
        </w:rPr>
        <w:t xml:space="preserve"> reformers achieve their objectives</w:t>
      </w:r>
      <w:r w:rsidR="00AE68D1" w:rsidRPr="001B3B93">
        <w:rPr>
          <w:szCs w:val="23"/>
        </w:rPr>
        <w:t xml:space="preserve">. </w:t>
      </w:r>
    </w:p>
    <w:p w14:paraId="67F380E3" w14:textId="00600718" w:rsidR="00AE68D1" w:rsidRPr="001B3B93" w:rsidRDefault="00FA38AC" w:rsidP="00C1226A">
      <w:pPr>
        <w:rPr>
          <w:szCs w:val="23"/>
        </w:rPr>
      </w:pPr>
      <w:r>
        <w:rPr>
          <w:szCs w:val="23"/>
        </w:rPr>
        <w:t xml:space="preserve">The evaluation team </w:t>
      </w:r>
      <w:r w:rsidR="00A30B29">
        <w:rPr>
          <w:szCs w:val="23"/>
        </w:rPr>
        <w:t xml:space="preserve">interviewed stakeholders from the central ministries responsible for development cooperation and a number of other counterpart agencies, as well as a selection of other development partners. When asked to identify the strengths of Australian aid, a significant number identified </w:t>
      </w:r>
      <w:r w:rsidR="00BD1129" w:rsidRPr="001B3B93">
        <w:rPr>
          <w:szCs w:val="23"/>
        </w:rPr>
        <w:t xml:space="preserve">support for </w:t>
      </w:r>
      <w:r w:rsidR="00AE68D1" w:rsidRPr="001B3B93">
        <w:rPr>
          <w:szCs w:val="23"/>
        </w:rPr>
        <w:t xml:space="preserve">national reformers </w:t>
      </w:r>
      <w:r w:rsidR="00A30B29">
        <w:rPr>
          <w:szCs w:val="23"/>
        </w:rPr>
        <w:t>through flexible technical assistance</w:t>
      </w:r>
      <w:r w:rsidR="00AE68D1" w:rsidRPr="001B3B93">
        <w:rPr>
          <w:szCs w:val="23"/>
        </w:rPr>
        <w:t>. In Vietnam, the dep</w:t>
      </w:r>
      <w:r w:rsidR="00AE68D1" w:rsidRPr="000C55B6">
        <w:rPr>
          <w:szCs w:val="23"/>
        </w:rPr>
        <w:t xml:space="preserve">arture of most bilateral donors has left Australia </w:t>
      </w:r>
      <w:r w:rsidR="00CC30C5" w:rsidRPr="000C55B6">
        <w:rPr>
          <w:szCs w:val="23"/>
        </w:rPr>
        <w:t xml:space="preserve">in </w:t>
      </w:r>
      <w:r w:rsidR="000C55B6" w:rsidRPr="000C55B6">
        <w:rPr>
          <w:szCs w:val="23"/>
        </w:rPr>
        <w:t xml:space="preserve">a </w:t>
      </w:r>
      <w:r w:rsidR="00CC30C5" w:rsidRPr="000C55B6">
        <w:rPr>
          <w:szCs w:val="23"/>
        </w:rPr>
        <w:t xml:space="preserve">useful position, </w:t>
      </w:r>
      <w:r w:rsidR="000A6B50" w:rsidRPr="000C55B6">
        <w:rPr>
          <w:szCs w:val="23"/>
        </w:rPr>
        <w:t xml:space="preserve">not too large and </w:t>
      </w:r>
      <w:r w:rsidR="00AE68D1" w:rsidRPr="000C55B6">
        <w:rPr>
          <w:szCs w:val="23"/>
        </w:rPr>
        <w:t>not too small. In</w:t>
      </w:r>
      <w:r w:rsidR="00AE68D1" w:rsidRPr="001B3B93">
        <w:rPr>
          <w:szCs w:val="23"/>
        </w:rPr>
        <w:t xml:space="preserve"> Indonesia, </w:t>
      </w:r>
      <w:r w:rsidR="00810180">
        <w:rPr>
          <w:szCs w:val="23"/>
        </w:rPr>
        <w:t xml:space="preserve">the combination of technical assistance facilities and World Bank trust funds </w:t>
      </w:r>
      <w:r w:rsidR="00810180">
        <w:rPr>
          <w:szCs w:val="23"/>
        </w:rPr>
        <w:lastRenderedPageBreak/>
        <w:t>give</w:t>
      </w:r>
      <w:r w:rsidR="00A30B29">
        <w:rPr>
          <w:szCs w:val="23"/>
        </w:rPr>
        <w:t>s</w:t>
      </w:r>
      <w:r w:rsidR="00810180">
        <w:rPr>
          <w:szCs w:val="23"/>
        </w:rPr>
        <w:t xml:space="preserve"> Australia multiple points of support for economic and social policy making. </w:t>
      </w:r>
      <w:r w:rsidR="00264C78" w:rsidRPr="00264C78">
        <w:rPr>
          <w:szCs w:val="23"/>
        </w:rPr>
        <w:t xml:space="preserve">In Indonesia, a </w:t>
      </w:r>
      <w:r w:rsidR="00A30B29">
        <w:rPr>
          <w:szCs w:val="23"/>
        </w:rPr>
        <w:t xml:space="preserve">senior official </w:t>
      </w:r>
      <w:r w:rsidR="00264C78" w:rsidRPr="00264C78">
        <w:rPr>
          <w:szCs w:val="23"/>
        </w:rPr>
        <w:t xml:space="preserve">in the infrastructure sector described DFAT </w:t>
      </w:r>
      <w:r w:rsidR="006470DB">
        <w:rPr>
          <w:szCs w:val="23"/>
        </w:rPr>
        <w:t>assistance</w:t>
      </w:r>
      <w:r w:rsidR="00264C78" w:rsidRPr="00264C78">
        <w:rPr>
          <w:szCs w:val="23"/>
        </w:rPr>
        <w:t xml:space="preserve"> as aligned with the government’s priorities and </w:t>
      </w:r>
      <w:r w:rsidR="00264C78">
        <w:rPr>
          <w:szCs w:val="23"/>
        </w:rPr>
        <w:t>useful in support</w:t>
      </w:r>
      <w:r w:rsidR="00A30B29">
        <w:rPr>
          <w:szCs w:val="23"/>
        </w:rPr>
        <w:t>ing</w:t>
      </w:r>
      <w:r w:rsidR="00264C78">
        <w:rPr>
          <w:szCs w:val="23"/>
        </w:rPr>
        <w:t xml:space="preserve"> </w:t>
      </w:r>
      <w:r w:rsidR="00264C78" w:rsidRPr="00264C78">
        <w:rPr>
          <w:szCs w:val="23"/>
        </w:rPr>
        <w:t>evidence-based polic</w:t>
      </w:r>
      <w:r w:rsidR="00264C78">
        <w:rPr>
          <w:szCs w:val="23"/>
        </w:rPr>
        <w:t>ies</w:t>
      </w:r>
      <w:r w:rsidR="00264C78" w:rsidRPr="00264C78">
        <w:rPr>
          <w:szCs w:val="23"/>
        </w:rPr>
        <w:t xml:space="preserve">. </w:t>
      </w:r>
      <w:r w:rsidR="002B4D44">
        <w:rPr>
          <w:szCs w:val="23"/>
        </w:rPr>
        <w:t>Several Indonesian informants familiar with Australian aid noted that</w:t>
      </w:r>
      <w:r w:rsidR="001646FC" w:rsidRPr="001B3B93">
        <w:rPr>
          <w:szCs w:val="23"/>
        </w:rPr>
        <w:t>, w</w:t>
      </w:r>
      <w:r w:rsidR="00AE68D1" w:rsidRPr="001B3B93">
        <w:rPr>
          <w:szCs w:val="23"/>
        </w:rPr>
        <w:t xml:space="preserve">hile the MDBs have a comparative advantage in </w:t>
      </w:r>
      <w:r w:rsidR="00810180">
        <w:rPr>
          <w:szCs w:val="23"/>
        </w:rPr>
        <w:t xml:space="preserve">more </w:t>
      </w:r>
      <w:r w:rsidR="00AE68D1" w:rsidRPr="001B3B93">
        <w:rPr>
          <w:szCs w:val="23"/>
        </w:rPr>
        <w:t xml:space="preserve">technical subjects and in </w:t>
      </w:r>
      <w:r w:rsidR="002B4D44">
        <w:rPr>
          <w:szCs w:val="23"/>
        </w:rPr>
        <w:t xml:space="preserve">drawing on </w:t>
      </w:r>
      <w:r w:rsidR="00810180">
        <w:rPr>
          <w:szCs w:val="23"/>
        </w:rPr>
        <w:t xml:space="preserve">comparative </w:t>
      </w:r>
      <w:r w:rsidR="00AE68D1" w:rsidRPr="001B3B93">
        <w:rPr>
          <w:szCs w:val="23"/>
        </w:rPr>
        <w:t>international experience, Australia</w:t>
      </w:r>
      <w:r w:rsidR="00810180">
        <w:rPr>
          <w:szCs w:val="23"/>
        </w:rPr>
        <w:t xml:space="preserve">n programs are adept </w:t>
      </w:r>
      <w:r w:rsidR="002B4D44">
        <w:rPr>
          <w:szCs w:val="23"/>
        </w:rPr>
        <w:t xml:space="preserve">at building relationships and </w:t>
      </w:r>
      <w:r w:rsidR="00810180">
        <w:rPr>
          <w:szCs w:val="23"/>
        </w:rPr>
        <w:t xml:space="preserve">tailoring their </w:t>
      </w:r>
      <w:r w:rsidR="00264C78">
        <w:rPr>
          <w:szCs w:val="23"/>
        </w:rPr>
        <w:t xml:space="preserve">knowledge products to </w:t>
      </w:r>
      <w:r w:rsidR="002B4D44">
        <w:rPr>
          <w:szCs w:val="23"/>
        </w:rPr>
        <w:t>the political context</w:t>
      </w:r>
      <w:r w:rsidR="00AE68D1" w:rsidRPr="001B3B93">
        <w:rPr>
          <w:szCs w:val="23"/>
        </w:rPr>
        <w:t>.</w:t>
      </w:r>
    </w:p>
    <w:p w14:paraId="03A47144" w14:textId="77777777" w:rsidR="005F1744" w:rsidRPr="001B3B93" w:rsidRDefault="001524FB" w:rsidP="00772412">
      <w:pPr>
        <w:spacing w:after="120"/>
        <w:rPr>
          <w:i/>
          <w:color w:val="296C60" w:themeColor="background2" w:themeShade="80"/>
          <w:szCs w:val="23"/>
        </w:rPr>
      </w:pPr>
      <w:r w:rsidRPr="001B3B93">
        <w:rPr>
          <w:i/>
          <w:color w:val="296C60" w:themeColor="background2" w:themeShade="80"/>
          <w:szCs w:val="23"/>
        </w:rPr>
        <w:t>Influencing</w:t>
      </w:r>
      <w:r w:rsidR="001E5FF3" w:rsidRPr="001B3B93">
        <w:rPr>
          <w:i/>
          <w:color w:val="296C60" w:themeColor="background2" w:themeShade="80"/>
          <w:szCs w:val="23"/>
        </w:rPr>
        <w:t xml:space="preserve"> other development finance</w:t>
      </w:r>
    </w:p>
    <w:p w14:paraId="5699E74A" w14:textId="175CB52A" w:rsidR="001E5FF3" w:rsidRPr="001B3B93" w:rsidRDefault="00264C78" w:rsidP="00C1226A">
      <w:r>
        <w:t>T</w:t>
      </w:r>
      <w:r w:rsidR="000D5283" w:rsidRPr="001B3B93">
        <w:t xml:space="preserve">here is a strong focus on improving </w:t>
      </w:r>
      <w:r w:rsidR="00EC5CAB" w:rsidRPr="001B3B93">
        <w:t>how</w:t>
      </w:r>
      <w:r w:rsidR="000D5283" w:rsidRPr="001B3B93">
        <w:t xml:space="preserve"> governments </w:t>
      </w:r>
      <w:r w:rsidR="00EC5CAB" w:rsidRPr="001B3B93">
        <w:t xml:space="preserve">maximise and use </w:t>
      </w:r>
      <w:r w:rsidR="000D5283" w:rsidRPr="001B3B93">
        <w:t xml:space="preserve">their own </w:t>
      </w:r>
      <w:r w:rsidR="00EC5CAB" w:rsidRPr="001B3B93">
        <w:t>resources</w:t>
      </w:r>
      <w:r w:rsidR="000D5283" w:rsidRPr="001B3B93">
        <w:t xml:space="preserve">. </w:t>
      </w:r>
      <w:r w:rsidR="008E7A22" w:rsidRPr="001B3B93">
        <w:t xml:space="preserve">In Indonesia, </w:t>
      </w:r>
      <w:r w:rsidR="00EC5CAB" w:rsidRPr="001B3B93">
        <w:t>Australian advis</w:t>
      </w:r>
      <w:r w:rsidR="00830AB2">
        <w:t>e</w:t>
      </w:r>
      <w:r w:rsidR="00EC5CAB" w:rsidRPr="001B3B93">
        <w:t xml:space="preserve">rs are helping </w:t>
      </w:r>
      <w:r w:rsidR="008E7A22" w:rsidRPr="001B3B93">
        <w:t xml:space="preserve">to </w:t>
      </w:r>
      <w:r w:rsidR="00EC5CAB" w:rsidRPr="001B3B93">
        <w:t xml:space="preserve">improve </w:t>
      </w:r>
      <w:r w:rsidR="007976A2" w:rsidRPr="001B3B93">
        <w:t xml:space="preserve">revenue raising capacity, </w:t>
      </w:r>
      <w:r w:rsidR="008E7A22" w:rsidRPr="001B3B93">
        <w:t xml:space="preserve">introduce medium-term budget planning, </w:t>
      </w:r>
      <w:r w:rsidR="007976A2" w:rsidRPr="001B3B93">
        <w:t xml:space="preserve">align </w:t>
      </w:r>
      <w:r w:rsidR="008E7A22" w:rsidRPr="001B3B93">
        <w:t xml:space="preserve">planning and budgeting systems, </w:t>
      </w:r>
      <w:r w:rsidR="007976A2" w:rsidRPr="001B3B93">
        <w:t xml:space="preserve">improve </w:t>
      </w:r>
      <w:r w:rsidR="00D90FF9" w:rsidRPr="001B3B93">
        <w:t xml:space="preserve">transfers </w:t>
      </w:r>
      <w:r w:rsidR="008E7A22" w:rsidRPr="001B3B93">
        <w:t xml:space="preserve">to local government, </w:t>
      </w:r>
      <w:r w:rsidR="007976A2" w:rsidRPr="001B3B93">
        <w:t xml:space="preserve">replace </w:t>
      </w:r>
      <w:r w:rsidR="008E7A22" w:rsidRPr="001B3B93">
        <w:t>wasteful</w:t>
      </w:r>
      <w:r w:rsidR="00732205">
        <w:t xml:space="preserve"> </w:t>
      </w:r>
      <w:r w:rsidR="008E7A22" w:rsidRPr="001B3B93">
        <w:t xml:space="preserve">subsidies </w:t>
      </w:r>
      <w:r w:rsidR="007976A2" w:rsidRPr="001B3B93">
        <w:t xml:space="preserve">with </w:t>
      </w:r>
      <w:r w:rsidR="00F33C21" w:rsidRPr="001B3B93">
        <w:t>targeted social welfare measures</w:t>
      </w:r>
      <w:r w:rsidR="007976A2" w:rsidRPr="001B3B93">
        <w:t>,</w:t>
      </w:r>
      <w:r w:rsidR="008E7A22" w:rsidRPr="001B3B93">
        <w:t xml:space="preserve"> and pilot new models of infrastructure finance. In Vietnam, through the World Bank partnership, DFAT has supported the government to articulate </w:t>
      </w:r>
      <w:r w:rsidR="007976A2" w:rsidRPr="001B3B93">
        <w:t xml:space="preserve">its </w:t>
      </w:r>
      <w:r w:rsidR="008E7A22" w:rsidRPr="001B3B93">
        <w:t xml:space="preserve">development policies (including through the </w:t>
      </w:r>
      <w:r w:rsidR="008E7A22" w:rsidRPr="001B3B93">
        <w:rPr>
          <w:i/>
        </w:rPr>
        <w:t xml:space="preserve">Vietnam 2035 </w:t>
      </w:r>
      <w:r w:rsidR="00BD1129" w:rsidRPr="001B3B93">
        <w:t>study</w:t>
      </w:r>
      <w:r w:rsidR="008E7A22" w:rsidRPr="001B3B93">
        <w:rPr>
          <w:rStyle w:val="FootnoteReference"/>
        </w:rPr>
        <w:footnoteReference w:id="45"/>
      </w:r>
      <w:r w:rsidR="008E7A22" w:rsidRPr="001B3B93">
        <w:t>) and convert the</w:t>
      </w:r>
      <w:r w:rsidR="007976A2" w:rsidRPr="001B3B93">
        <w:t>se</w:t>
      </w:r>
      <w:r w:rsidR="008E7A22" w:rsidRPr="001B3B93">
        <w:t xml:space="preserve"> into budget priorities (</w:t>
      </w:r>
      <w:r w:rsidR="00685723" w:rsidRPr="001B3B93">
        <w:t>including through a public expenditure review).</w:t>
      </w:r>
      <w:r w:rsidR="00020E8D" w:rsidRPr="001B3B93">
        <w:t xml:space="preserve"> These are challenging areas </w:t>
      </w:r>
      <w:r w:rsidR="00D90FF9" w:rsidRPr="001B3B93">
        <w:t xml:space="preserve">in which </w:t>
      </w:r>
      <w:r w:rsidR="00020E8D" w:rsidRPr="001B3B93">
        <w:t xml:space="preserve">to achieve </w:t>
      </w:r>
      <w:r w:rsidR="00D90FF9" w:rsidRPr="001B3B93">
        <w:t>breakthroughs</w:t>
      </w:r>
      <w:r w:rsidR="00020E8D" w:rsidRPr="001B3B93">
        <w:t xml:space="preserve">, but the </w:t>
      </w:r>
      <w:r w:rsidR="00D90FF9" w:rsidRPr="001B3B93">
        <w:t xml:space="preserve">development </w:t>
      </w:r>
      <w:r w:rsidR="00020E8D" w:rsidRPr="001B3B93">
        <w:t>returns are potentially high.</w:t>
      </w:r>
    </w:p>
    <w:p w14:paraId="694AD474" w14:textId="394D308A" w:rsidR="00934B90" w:rsidRPr="001B3B93" w:rsidRDefault="00685723" w:rsidP="00F77C84">
      <w:pPr>
        <w:tabs>
          <w:tab w:val="left" w:pos="990"/>
        </w:tabs>
        <w:rPr>
          <w:szCs w:val="23"/>
        </w:rPr>
      </w:pPr>
      <w:r w:rsidRPr="001B3B93">
        <w:rPr>
          <w:szCs w:val="23"/>
        </w:rPr>
        <w:t xml:space="preserve">Australia is also </w:t>
      </w:r>
      <w:r w:rsidR="00EC5CAB" w:rsidRPr="001B3B93">
        <w:rPr>
          <w:szCs w:val="23"/>
        </w:rPr>
        <w:t xml:space="preserve">investing heavily </w:t>
      </w:r>
      <w:r w:rsidRPr="001B3B93">
        <w:rPr>
          <w:szCs w:val="23"/>
        </w:rPr>
        <w:t xml:space="preserve">in strengthening the capacity of the </w:t>
      </w:r>
      <w:r w:rsidR="00EC5CAB" w:rsidRPr="001B3B93">
        <w:rPr>
          <w:szCs w:val="23"/>
        </w:rPr>
        <w:t xml:space="preserve">World Bank and </w:t>
      </w:r>
      <w:bookmarkStart w:id="65" w:name="_Hlk520989277"/>
      <w:r w:rsidR="00EC5CAB" w:rsidRPr="001B3B93">
        <w:rPr>
          <w:szCs w:val="23"/>
        </w:rPr>
        <w:t>Asian Development Bank</w:t>
      </w:r>
      <w:bookmarkEnd w:id="65"/>
      <w:r w:rsidRPr="001B3B93">
        <w:rPr>
          <w:szCs w:val="23"/>
        </w:rPr>
        <w:t xml:space="preserve">. </w:t>
      </w:r>
      <w:r w:rsidR="00096B7B" w:rsidRPr="001B3B93">
        <w:rPr>
          <w:szCs w:val="23"/>
        </w:rPr>
        <w:t>In Indonesia</w:t>
      </w:r>
      <w:r w:rsidR="00B500E5" w:rsidRPr="001B3B93">
        <w:rPr>
          <w:szCs w:val="23"/>
        </w:rPr>
        <w:t>, Australia</w:t>
      </w:r>
      <w:r w:rsidR="00096B7B" w:rsidRPr="001B3B93">
        <w:rPr>
          <w:szCs w:val="23"/>
        </w:rPr>
        <w:t xml:space="preserve"> </w:t>
      </w:r>
      <w:r w:rsidR="0001183C" w:rsidRPr="001B3B93">
        <w:rPr>
          <w:szCs w:val="23"/>
        </w:rPr>
        <w:t xml:space="preserve">contributes to </w:t>
      </w:r>
      <w:r w:rsidR="00096B7B" w:rsidRPr="001B3B93">
        <w:rPr>
          <w:szCs w:val="23"/>
        </w:rPr>
        <w:t xml:space="preserve">seven World Bank trust funds, with total funding of nearly </w:t>
      </w:r>
      <w:r w:rsidR="00AE4FE6">
        <w:rPr>
          <w:szCs w:val="23"/>
        </w:rPr>
        <w:t>AUD</w:t>
      </w:r>
      <w:r w:rsidR="00096B7B" w:rsidRPr="001B3B93">
        <w:rPr>
          <w:szCs w:val="23"/>
        </w:rPr>
        <w:t>4</w:t>
      </w:r>
      <w:r w:rsidR="00DF4DAB">
        <w:rPr>
          <w:szCs w:val="23"/>
        </w:rPr>
        <w:t>00</w:t>
      </w:r>
      <w:r w:rsidR="00096B7B" w:rsidRPr="001B3B93">
        <w:rPr>
          <w:szCs w:val="23"/>
        </w:rPr>
        <w:t xml:space="preserve"> million (</w:t>
      </w:r>
      <w:r w:rsidR="00934B90" w:rsidRPr="001B3B93">
        <w:rPr>
          <w:szCs w:val="23"/>
        </w:rPr>
        <w:t xml:space="preserve">Table </w:t>
      </w:r>
      <w:r w:rsidR="003529C8">
        <w:rPr>
          <w:szCs w:val="23"/>
        </w:rPr>
        <w:t>2</w:t>
      </w:r>
      <w:r w:rsidR="00096B7B" w:rsidRPr="001B3B93">
        <w:rPr>
          <w:szCs w:val="23"/>
        </w:rPr>
        <w:t>)</w:t>
      </w:r>
      <w:r w:rsidR="00264F2A">
        <w:rPr>
          <w:szCs w:val="23"/>
        </w:rPr>
        <w:t>,</w:t>
      </w:r>
      <w:r w:rsidR="00732205">
        <w:rPr>
          <w:szCs w:val="23"/>
        </w:rPr>
        <w:t xml:space="preserve"> although most funding was transferred </w:t>
      </w:r>
      <w:r w:rsidR="00AF7B61">
        <w:rPr>
          <w:szCs w:val="23"/>
        </w:rPr>
        <w:t>during 2008</w:t>
      </w:r>
      <w:r w:rsidR="00F43692">
        <w:rPr>
          <w:szCs w:val="23"/>
        </w:rPr>
        <w:t>–</w:t>
      </w:r>
      <w:r w:rsidR="00AF7B61">
        <w:rPr>
          <w:szCs w:val="23"/>
        </w:rPr>
        <w:t xml:space="preserve">12 </w:t>
      </w:r>
      <w:r w:rsidR="007977B1">
        <w:rPr>
          <w:szCs w:val="23"/>
        </w:rPr>
        <w:t>when the Indonesia program was scaling up</w:t>
      </w:r>
      <w:r w:rsidR="00096B7B" w:rsidRPr="001B3B93">
        <w:rPr>
          <w:szCs w:val="23"/>
        </w:rPr>
        <w:t xml:space="preserve">. These trust funds have </w:t>
      </w:r>
      <w:r w:rsidR="00934B90" w:rsidRPr="001B3B93">
        <w:rPr>
          <w:szCs w:val="23"/>
        </w:rPr>
        <w:t xml:space="preserve">enabled the World Bank to build its Indonesia </w:t>
      </w:r>
      <w:r w:rsidR="00096B7B" w:rsidRPr="001B3B93">
        <w:rPr>
          <w:szCs w:val="23"/>
        </w:rPr>
        <w:t>country office into the largest in the world</w:t>
      </w:r>
      <w:r w:rsidR="00D90FF9" w:rsidRPr="001B3B93">
        <w:rPr>
          <w:szCs w:val="23"/>
        </w:rPr>
        <w:t>, with a regular program of analytical work</w:t>
      </w:r>
      <w:r w:rsidR="00934B90" w:rsidRPr="001B3B93">
        <w:rPr>
          <w:szCs w:val="23"/>
        </w:rPr>
        <w:t xml:space="preserve">. </w:t>
      </w:r>
      <w:r w:rsidR="00D90FF9" w:rsidRPr="001B3B93">
        <w:rPr>
          <w:szCs w:val="23"/>
        </w:rPr>
        <w:t>MDBs in MICs have fewer resources to fund advisory work and project preparation, and the trust funds help to fill this gap.</w:t>
      </w:r>
    </w:p>
    <w:p w14:paraId="51DAC933" w14:textId="49ECDCA6" w:rsidR="00C34B7A" w:rsidRPr="00C34B7A" w:rsidRDefault="00C34B7A" w:rsidP="00772412">
      <w:pPr>
        <w:pStyle w:val="Caption"/>
        <w:keepNext/>
        <w:spacing w:before="120" w:after="0"/>
        <w:rPr>
          <w:b/>
          <w:iCs w:val="0"/>
          <w:color w:val="296C60" w:themeColor="background2" w:themeShade="80"/>
          <w:sz w:val="22"/>
          <w:szCs w:val="23"/>
        </w:rPr>
      </w:pPr>
      <w:bookmarkStart w:id="66" w:name="_Toc527452042"/>
      <w:bookmarkStart w:id="67" w:name="_Hlk517666126"/>
      <w:bookmarkStart w:id="68" w:name="_Hlk504838799"/>
      <w:r w:rsidRPr="00C34B7A">
        <w:rPr>
          <w:b/>
          <w:iCs w:val="0"/>
          <w:color w:val="296C60" w:themeColor="background2" w:themeShade="80"/>
          <w:sz w:val="22"/>
          <w:szCs w:val="23"/>
        </w:rPr>
        <w:t xml:space="preserve">Table </w:t>
      </w:r>
      <w:r w:rsidRPr="00C34B7A">
        <w:rPr>
          <w:b/>
          <w:iCs w:val="0"/>
          <w:color w:val="296C60" w:themeColor="background2" w:themeShade="80"/>
          <w:sz w:val="22"/>
          <w:szCs w:val="23"/>
        </w:rPr>
        <w:fldChar w:fldCharType="begin"/>
      </w:r>
      <w:r w:rsidRPr="00C34B7A">
        <w:rPr>
          <w:b/>
          <w:iCs w:val="0"/>
          <w:color w:val="296C60" w:themeColor="background2" w:themeShade="80"/>
          <w:sz w:val="22"/>
          <w:szCs w:val="23"/>
        </w:rPr>
        <w:instrText xml:space="preserve"> SEQ Table \* ARABIC </w:instrText>
      </w:r>
      <w:r w:rsidRPr="00C34B7A">
        <w:rPr>
          <w:b/>
          <w:iCs w:val="0"/>
          <w:color w:val="296C60" w:themeColor="background2" w:themeShade="80"/>
          <w:sz w:val="22"/>
          <w:szCs w:val="23"/>
        </w:rPr>
        <w:fldChar w:fldCharType="separate"/>
      </w:r>
      <w:r>
        <w:rPr>
          <w:b/>
          <w:iCs w:val="0"/>
          <w:noProof/>
          <w:color w:val="296C60" w:themeColor="background2" w:themeShade="80"/>
          <w:sz w:val="22"/>
          <w:szCs w:val="23"/>
        </w:rPr>
        <w:t>2</w:t>
      </w:r>
      <w:r w:rsidRPr="00C34B7A">
        <w:rPr>
          <w:b/>
          <w:iCs w:val="0"/>
          <w:color w:val="296C60" w:themeColor="background2" w:themeShade="80"/>
          <w:sz w:val="22"/>
          <w:szCs w:val="23"/>
        </w:rPr>
        <w:fldChar w:fldCharType="end"/>
      </w:r>
      <w:r w:rsidRPr="00C34B7A">
        <w:rPr>
          <w:b/>
          <w:iCs w:val="0"/>
          <w:color w:val="296C60" w:themeColor="background2" w:themeShade="80"/>
          <w:sz w:val="22"/>
          <w:szCs w:val="23"/>
        </w:rPr>
        <w:t>: Australian support for World Bank trust funds in Indonesia</w:t>
      </w:r>
      <w:bookmarkEnd w:id="66"/>
    </w:p>
    <w:tbl>
      <w:tblPr>
        <w:tblStyle w:val="TableGrid"/>
        <w:tblW w:w="10780" w:type="dxa"/>
        <w:tblLook w:val="04A0" w:firstRow="1" w:lastRow="0" w:firstColumn="1" w:lastColumn="0" w:noHBand="0" w:noVBand="1"/>
      </w:tblPr>
      <w:tblGrid>
        <w:gridCol w:w="2634"/>
        <w:gridCol w:w="5066"/>
        <w:gridCol w:w="1540"/>
        <w:gridCol w:w="1296"/>
        <w:gridCol w:w="244"/>
      </w:tblGrid>
      <w:tr w:rsidR="00934B90" w:rsidRPr="001B3B93" w14:paraId="2371C50B" w14:textId="77777777" w:rsidTr="00934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092B86BD" w14:textId="77777777" w:rsidR="00934B90" w:rsidRPr="001B3B93" w:rsidRDefault="00934B90" w:rsidP="00934B90">
            <w:pPr>
              <w:rPr>
                <w:b/>
                <w:bCs/>
                <w:color w:val="FFFFFF" w:themeColor="background1"/>
              </w:rPr>
            </w:pPr>
            <w:bookmarkStart w:id="69" w:name="_Hlk514063681"/>
            <w:r w:rsidRPr="001B3B93">
              <w:rPr>
                <w:b/>
                <w:bCs/>
                <w:color w:val="FFFFFF" w:themeColor="background1"/>
              </w:rPr>
              <w:t>Sector</w:t>
            </w:r>
          </w:p>
        </w:tc>
        <w:tc>
          <w:tcPr>
            <w:tcW w:w="5066" w:type="dxa"/>
          </w:tcPr>
          <w:p w14:paraId="65DCAA8B" w14:textId="1180A4D4" w:rsidR="00934B90" w:rsidRPr="001B3B93" w:rsidRDefault="00934B90" w:rsidP="00934B9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B3B93">
              <w:rPr>
                <w:b/>
                <w:bCs/>
                <w:color w:val="FFFFFF" w:themeColor="background1"/>
              </w:rPr>
              <w:t xml:space="preserve">Trust </w:t>
            </w:r>
            <w:r w:rsidR="00830AB2">
              <w:rPr>
                <w:b/>
                <w:bCs/>
                <w:color w:val="FFFFFF" w:themeColor="background1"/>
              </w:rPr>
              <w:t>f</w:t>
            </w:r>
            <w:r w:rsidRPr="001B3B93">
              <w:rPr>
                <w:b/>
                <w:bCs/>
                <w:color w:val="FFFFFF" w:themeColor="background1"/>
              </w:rPr>
              <w:t>und</w:t>
            </w:r>
          </w:p>
        </w:tc>
        <w:tc>
          <w:tcPr>
            <w:tcW w:w="1540" w:type="dxa"/>
          </w:tcPr>
          <w:p w14:paraId="5D8784F0" w14:textId="5D17FBA7" w:rsidR="00934B90" w:rsidRPr="001B3B93" w:rsidRDefault="00934B90" w:rsidP="00934B9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B3B93">
              <w:rPr>
                <w:b/>
                <w:bCs/>
                <w:color w:val="FFFFFF" w:themeColor="background1"/>
              </w:rPr>
              <w:t>Funding (</w:t>
            </w:r>
            <w:r w:rsidR="00DD117F">
              <w:rPr>
                <w:b/>
                <w:bCs/>
                <w:color w:val="FFFFFF" w:themeColor="background1"/>
              </w:rPr>
              <w:t xml:space="preserve">million </w:t>
            </w:r>
            <w:r w:rsidRPr="001B3B93">
              <w:rPr>
                <w:b/>
                <w:bCs/>
                <w:color w:val="FFFFFF" w:themeColor="background1"/>
              </w:rPr>
              <w:t>AUD)</w:t>
            </w:r>
          </w:p>
        </w:tc>
        <w:tc>
          <w:tcPr>
            <w:tcW w:w="1296" w:type="dxa"/>
          </w:tcPr>
          <w:p w14:paraId="3303E15A" w14:textId="77777777" w:rsidR="00934B90" w:rsidRPr="001B3B93" w:rsidRDefault="00934B90" w:rsidP="00934B9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B3B93">
              <w:rPr>
                <w:b/>
                <w:bCs/>
                <w:color w:val="FFFFFF" w:themeColor="background1"/>
              </w:rPr>
              <w:t>Duration</w:t>
            </w:r>
          </w:p>
        </w:tc>
        <w:tc>
          <w:tcPr>
            <w:tcW w:w="244" w:type="dxa"/>
          </w:tcPr>
          <w:p w14:paraId="36E8FE55" w14:textId="77777777" w:rsidR="00934B90" w:rsidRPr="001B3B93" w:rsidRDefault="00934B90" w:rsidP="00934B90">
            <w:pPr>
              <w:cnfStyle w:val="100000000000" w:firstRow="1" w:lastRow="0" w:firstColumn="0" w:lastColumn="0" w:oddVBand="0" w:evenVBand="0" w:oddHBand="0" w:evenHBand="0" w:firstRowFirstColumn="0" w:firstRowLastColumn="0" w:lastRowFirstColumn="0" w:lastRowLastColumn="0"/>
              <w:rPr>
                <w:color w:val="FFFFFF" w:themeColor="background1"/>
                <w:szCs w:val="23"/>
              </w:rPr>
            </w:pPr>
          </w:p>
        </w:tc>
      </w:tr>
      <w:tr w:rsidR="00934B90" w:rsidRPr="001B3B93" w14:paraId="005106B2"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5EA0F962" w14:textId="77777777" w:rsidR="00934B90" w:rsidRPr="001B3B93" w:rsidRDefault="00934B90" w:rsidP="00934B90">
            <w:r w:rsidRPr="001B3B93">
              <w:t>Economic governance</w:t>
            </w:r>
          </w:p>
        </w:tc>
        <w:tc>
          <w:tcPr>
            <w:tcW w:w="5066" w:type="dxa"/>
          </w:tcPr>
          <w:p w14:paraId="608BFBE4" w14:textId="5B5681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Support for Macroeconomic and Fiscal Policy Analysis</w:t>
            </w:r>
          </w:p>
        </w:tc>
        <w:tc>
          <w:tcPr>
            <w:tcW w:w="1540" w:type="dxa"/>
          </w:tcPr>
          <w:p w14:paraId="754B4B1E" w14:textId="7EFCD41E" w:rsidR="00934B90" w:rsidRPr="001B3B93" w:rsidRDefault="00DF4DAB" w:rsidP="00934B90">
            <w:pPr>
              <w:cnfStyle w:val="000000000000" w:firstRow="0" w:lastRow="0" w:firstColumn="0" w:lastColumn="0" w:oddVBand="0" w:evenVBand="0" w:oddHBand="0" w:evenHBand="0" w:firstRowFirstColumn="0" w:firstRowLastColumn="0" w:lastRowFirstColumn="0" w:lastRowLastColumn="0"/>
            </w:pPr>
            <w:r>
              <w:t>7.3</w:t>
            </w:r>
          </w:p>
          <w:p w14:paraId="648DB050"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p>
        </w:tc>
        <w:tc>
          <w:tcPr>
            <w:tcW w:w="1296" w:type="dxa"/>
          </w:tcPr>
          <w:p w14:paraId="2AB1D4FD" w14:textId="0C5E5D78" w:rsidR="00934B90" w:rsidRPr="001B3B93" w:rsidRDefault="00934B90" w:rsidP="00DF4DAB">
            <w:pPr>
              <w:cnfStyle w:val="000000000000" w:firstRow="0" w:lastRow="0" w:firstColumn="0" w:lastColumn="0" w:oddVBand="0" w:evenVBand="0" w:oddHBand="0" w:evenHBand="0" w:firstRowFirstColumn="0" w:firstRowLastColumn="0" w:lastRowFirstColumn="0" w:lastRowLastColumn="0"/>
            </w:pPr>
            <w:r w:rsidRPr="001B3B93">
              <w:t>2012</w:t>
            </w:r>
            <w:r w:rsidR="00264F2A">
              <w:t>–</w:t>
            </w:r>
            <w:r w:rsidR="00DF4DAB">
              <w:t>20</w:t>
            </w:r>
          </w:p>
        </w:tc>
        <w:tc>
          <w:tcPr>
            <w:tcW w:w="244" w:type="dxa"/>
          </w:tcPr>
          <w:p w14:paraId="0344C548"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tr w:rsidR="00934B90" w:rsidRPr="001B3B93" w14:paraId="59C84807"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3F7A7C3C" w14:textId="77777777" w:rsidR="00934B90" w:rsidRPr="001B3B93" w:rsidRDefault="00934B90" w:rsidP="00934B90">
            <w:r w:rsidRPr="001B3B93">
              <w:t>Infrastructure</w:t>
            </w:r>
          </w:p>
        </w:tc>
        <w:tc>
          <w:tcPr>
            <w:tcW w:w="5066" w:type="dxa"/>
          </w:tcPr>
          <w:p w14:paraId="58FCE2A8" w14:textId="652DACD3"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 xml:space="preserve">Indonesia Infrastructure Support </w:t>
            </w:r>
          </w:p>
        </w:tc>
        <w:tc>
          <w:tcPr>
            <w:tcW w:w="1540" w:type="dxa"/>
          </w:tcPr>
          <w:p w14:paraId="789020F1" w14:textId="44629024"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40</w:t>
            </w:r>
          </w:p>
        </w:tc>
        <w:tc>
          <w:tcPr>
            <w:tcW w:w="1296" w:type="dxa"/>
          </w:tcPr>
          <w:p w14:paraId="4C4CBC8E" w14:textId="01697EFB" w:rsidR="00934B90" w:rsidRPr="001B3B93" w:rsidRDefault="00934B90" w:rsidP="00DF4DAB">
            <w:pPr>
              <w:cnfStyle w:val="000000000000" w:firstRow="0" w:lastRow="0" w:firstColumn="0" w:lastColumn="0" w:oddVBand="0" w:evenVBand="0" w:oddHBand="0" w:evenHBand="0" w:firstRowFirstColumn="0" w:firstRowLastColumn="0" w:lastRowFirstColumn="0" w:lastRowLastColumn="0"/>
            </w:pPr>
            <w:r w:rsidRPr="001B3B93">
              <w:t>2008</w:t>
            </w:r>
            <w:r w:rsidR="00264F2A">
              <w:t>–</w:t>
            </w:r>
            <w:r w:rsidR="00DF4DAB">
              <w:t>19</w:t>
            </w:r>
          </w:p>
        </w:tc>
        <w:tc>
          <w:tcPr>
            <w:tcW w:w="244" w:type="dxa"/>
          </w:tcPr>
          <w:p w14:paraId="36EA68EE"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bookmarkEnd w:id="67"/>
      <w:tr w:rsidR="00934B90" w:rsidRPr="001B3B93" w14:paraId="46C34309"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73801F03" w14:textId="77777777" w:rsidR="00934B90" w:rsidRPr="001B3B93" w:rsidRDefault="00934B90" w:rsidP="00934B90">
            <w:r w:rsidRPr="001B3B93">
              <w:t>Infrastructure</w:t>
            </w:r>
          </w:p>
        </w:tc>
        <w:tc>
          <w:tcPr>
            <w:tcW w:w="5066" w:type="dxa"/>
          </w:tcPr>
          <w:p w14:paraId="1532BA91" w14:textId="3F228E5B"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 xml:space="preserve">Water Supply </w:t>
            </w:r>
            <w:r w:rsidR="00264F2A">
              <w:t>and</w:t>
            </w:r>
            <w:r w:rsidRPr="001B3B93">
              <w:t xml:space="preserve"> Sanitation for Low Income Communities</w:t>
            </w:r>
          </w:p>
        </w:tc>
        <w:tc>
          <w:tcPr>
            <w:tcW w:w="1540" w:type="dxa"/>
          </w:tcPr>
          <w:p w14:paraId="562C058C" w14:textId="14408614"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114</w:t>
            </w:r>
          </w:p>
        </w:tc>
        <w:tc>
          <w:tcPr>
            <w:tcW w:w="1296" w:type="dxa"/>
          </w:tcPr>
          <w:p w14:paraId="71DDA087" w14:textId="2062CDDE"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2008</w:t>
            </w:r>
            <w:r w:rsidR="00264F2A">
              <w:t>–</w:t>
            </w:r>
            <w:r w:rsidRPr="001B3B93">
              <w:t>21</w:t>
            </w:r>
          </w:p>
        </w:tc>
        <w:tc>
          <w:tcPr>
            <w:tcW w:w="244" w:type="dxa"/>
          </w:tcPr>
          <w:p w14:paraId="5E643E9F"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bookmarkEnd w:id="68"/>
      <w:tr w:rsidR="00934B90" w:rsidRPr="001B3B93" w14:paraId="4084D21A"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4BEF91FA" w14:textId="77777777" w:rsidR="00934B90" w:rsidRPr="001B3B93" w:rsidRDefault="00934B90" w:rsidP="00934B90">
            <w:r w:rsidRPr="001B3B93">
              <w:t>Community development</w:t>
            </w:r>
          </w:p>
        </w:tc>
        <w:tc>
          <w:tcPr>
            <w:tcW w:w="5066" w:type="dxa"/>
          </w:tcPr>
          <w:p w14:paraId="40BFF844" w14:textId="7BD434BD"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Local Solutions to Poverty</w:t>
            </w:r>
            <w:r w:rsidR="00264F2A">
              <w:t>,</w:t>
            </w:r>
            <w:r w:rsidRPr="001B3B93">
              <w:t xml:space="preserve"> formerly</w:t>
            </w:r>
            <w:r w:rsidR="008D319B">
              <w:t xml:space="preserve"> National Program for Community Empowerment</w:t>
            </w:r>
            <w:r w:rsidRPr="001B3B93">
              <w:t xml:space="preserve"> Support Facility</w:t>
            </w:r>
          </w:p>
        </w:tc>
        <w:tc>
          <w:tcPr>
            <w:tcW w:w="1540" w:type="dxa"/>
          </w:tcPr>
          <w:p w14:paraId="1FA41761" w14:textId="0A646E4F"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191.5</w:t>
            </w:r>
          </w:p>
        </w:tc>
        <w:tc>
          <w:tcPr>
            <w:tcW w:w="1296" w:type="dxa"/>
          </w:tcPr>
          <w:p w14:paraId="7521B36F" w14:textId="64BD6E36"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2008</w:t>
            </w:r>
            <w:r w:rsidR="00264F2A">
              <w:t>–</w:t>
            </w:r>
            <w:r w:rsidRPr="001B3B93">
              <w:t>20</w:t>
            </w:r>
          </w:p>
        </w:tc>
        <w:tc>
          <w:tcPr>
            <w:tcW w:w="244" w:type="dxa"/>
          </w:tcPr>
          <w:p w14:paraId="28EDA94E"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bookmarkEnd w:id="69"/>
      <w:tr w:rsidR="00934B90" w:rsidRPr="001B3B93" w14:paraId="0E10B7DD"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427D1533" w14:textId="77777777" w:rsidR="00934B90" w:rsidRPr="001B3B93" w:rsidRDefault="00934B90" w:rsidP="00934B90">
            <w:r w:rsidRPr="001B3B93">
              <w:t>Social protection</w:t>
            </w:r>
          </w:p>
        </w:tc>
        <w:tc>
          <w:tcPr>
            <w:tcW w:w="5066" w:type="dxa"/>
          </w:tcPr>
          <w:p w14:paraId="53A312A1" w14:textId="6D75C5F4"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 xml:space="preserve">Partnership for Knowledge Based Poverty Reduction </w:t>
            </w:r>
          </w:p>
        </w:tc>
        <w:tc>
          <w:tcPr>
            <w:tcW w:w="1540" w:type="dxa"/>
          </w:tcPr>
          <w:p w14:paraId="320E80CF" w14:textId="49E87349"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w:t>
            </w:r>
            <w:r w:rsidR="00DF4DAB">
              <w:t>8.4</w:t>
            </w:r>
          </w:p>
        </w:tc>
        <w:tc>
          <w:tcPr>
            <w:tcW w:w="1296" w:type="dxa"/>
          </w:tcPr>
          <w:p w14:paraId="71704243" w14:textId="0C9E21FE"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2010</w:t>
            </w:r>
            <w:r w:rsidR="00264F2A">
              <w:t>–</w:t>
            </w:r>
            <w:r w:rsidRPr="001B3B93">
              <w:t>19</w:t>
            </w:r>
          </w:p>
        </w:tc>
        <w:tc>
          <w:tcPr>
            <w:tcW w:w="244" w:type="dxa"/>
          </w:tcPr>
          <w:p w14:paraId="7AAB05F6"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tr w:rsidR="00934B90" w:rsidRPr="001B3B93" w14:paraId="09980A91"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326A58C0" w14:textId="77777777" w:rsidR="00934B90" w:rsidRPr="001B3B93" w:rsidRDefault="00934B90" w:rsidP="00934B90">
            <w:r w:rsidRPr="001B3B93">
              <w:t>Education</w:t>
            </w:r>
          </w:p>
        </w:tc>
        <w:tc>
          <w:tcPr>
            <w:tcW w:w="5066" w:type="dxa"/>
          </w:tcPr>
          <w:p w14:paraId="34DB91D2" w14:textId="0A8AC50F"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Improving Dimensions of Teaching, Education Management and Learning Environment</w:t>
            </w:r>
          </w:p>
        </w:tc>
        <w:tc>
          <w:tcPr>
            <w:tcW w:w="1540" w:type="dxa"/>
          </w:tcPr>
          <w:p w14:paraId="6675F77C" w14:textId="759BA643"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9</w:t>
            </w:r>
          </w:p>
        </w:tc>
        <w:tc>
          <w:tcPr>
            <w:tcW w:w="1296" w:type="dxa"/>
          </w:tcPr>
          <w:p w14:paraId="56A433DA" w14:textId="3A6B26FD"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2016</w:t>
            </w:r>
            <w:r w:rsidR="00264F2A">
              <w:t>–</w:t>
            </w:r>
            <w:r w:rsidRPr="001B3B93">
              <w:t>19</w:t>
            </w:r>
          </w:p>
        </w:tc>
        <w:tc>
          <w:tcPr>
            <w:tcW w:w="244" w:type="dxa"/>
          </w:tcPr>
          <w:p w14:paraId="746609EF"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tr w:rsidR="00934B90" w:rsidRPr="001B3B93" w14:paraId="349B8D1C" w14:textId="77777777" w:rsidTr="00934B90">
        <w:tc>
          <w:tcPr>
            <w:cnfStyle w:val="001000000000" w:firstRow="0" w:lastRow="0" w:firstColumn="1" w:lastColumn="0" w:oddVBand="0" w:evenVBand="0" w:oddHBand="0" w:evenHBand="0" w:firstRowFirstColumn="0" w:firstRowLastColumn="0" w:lastRowFirstColumn="0" w:lastRowLastColumn="0"/>
            <w:tcW w:w="2634" w:type="dxa"/>
          </w:tcPr>
          <w:p w14:paraId="28DA1027" w14:textId="77777777" w:rsidR="00934B90" w:rsidRPr="001B3B93" w:rsidRDefault="00934B90" w:rsidP="00934B90">
            <w:r w:rsidRPr="001B3B93">
              <w:t>Environmental governance</w:t>
            </w:r>
          </w:p>
        </w:tc>
        <w:tc>
          <w:tcPr>
            <w:tcW w:w="5066" w:type="dxa"/>
          </w:tcPr>
          <w:p w14:paraId="50AA79D7" w14:textId="3EB9EF7E"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 xml:space="preserve">Sustainable Landscape Management Multi-Donor Trust Fund </w:t>
            </w:r>
          </w:p>
        </w:tc>
        <w:tc>
          <w:tcPr>
            <w:tcW w:w="1540" w:type="dxa"/>
          </w:tcPr>
          <w:p w14:paraId="3711067F" w14:textId="6F464402"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5.2</w:t>
            </w:r>
          </w:p>
        </w:tc>
        <w:tc>
          <w:tcPr>
            <w:tcW w:w="1296" w:type="dxa"/>
          </w:tcPr>
          <w:p w14:paraId="2333045D" w14:textId="01BBF179"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pPr>
            <w:r w:rsidRPr="001B3B93">
              <w:t>2017</w:t>
            </w:r>
            <w:r w:rsidR="00264F2A">
              <w:t>–</w:t>
            </w:r>
            <w:r w:rsidRPr="001B3B93">
              <w:t>19</w:t>
            </w:r>
          </w:p>
        </w:tc>
        <w:tc>
          <w:tcPr>
            <w:tcW w:w="244" w:type="dxa"/>
          </w:tcPr>
          <w:p w14:paraId="773B2F89" w14:textId="77777777" w:rsidR="00934B90" w:rsidRPr="001B3B93" w:rsidRDefault="00934B90" w:rsidP="00934B90">
            <w:pPr>
              <w:cnfStyle w:val="000000000000" w:firstRow="0" w:lastRow="0" w:firstColumn="0" w:lastColumn="0" w:oddVBand="0" w:evenVBand="0" w:oddHBand="0" w:evenHBand="0" w:firstRowFirstColumn="0" w:firstRowLastColumn="0" w:lastRowFirstColumn="0" w:lastRowLastColumn="0"/>
              <w:rPr>
                <w:szCs w:val="23"/>
              </w:rPr>
            </w:pPr>
          </w:p>
        </w:tc>
      </w:tr>
    </w:tbl>
    <w:p w14:paraId="4E814C34" w14:textId="5840BD00" w:rsidR="00552431" w:rsidRPr="00215188" w:rsidRDefault="00934B90" w:rsidP="005C130F">
      <w:pPr>
        <w:rPr>
          <w:sz w:val="20"/>
          <w:szCs w:val="23"/>
        </w:rPr>
      </w:pPr>
      <w:r w:rsidRPr="00215188">
        <w:rPr>
          <w:sz w:val="20"/>
          <w:szCs w:val="23"/>
        </w:rPr>
        <w:t xml:space="preserve">Source: Data provided by DFAT Indonesia </w:t>
      </w:r>
      <w:r w:rsidR="00BD2851" w:rsidRPr="00215188">
        <w:rPr>
          <w:sz w:val="20"/>
          <w:szCs w:val="23"/>
        </w:rPr>
        <w:t>P</w:t>
      </w:r>
      <w:r w:rsidRPr="00215188">
        <w:rPr>
          <w:sz w:val="20"/>
          <w:szCs w:val="23"/>
        </w:rPr>
        <w:t>ost</w:t>
      </w:r>
      <w:r w:rsidR="00BD2851">
        <w:rPr>
          <w:sz w:val="20"/>
          <w:szCs w:val="23"/>
        </w:rPr>
        <w:t>.</w:t>
      </w:r>
    </w:p>
    <w:p w14:paraId="64ECC3A6" w14:textId="4B516515" w:rsidR="007074BE" w:rsidRPr="001B3B93" w:rsidRDefault="00D52DA9">
      <w:pPr>
        <w:rPr>
          <w:szCs w:val="23"/>
        </w:rPr>
      </w:pPr>
      <w:r w:rsidRPr="00D6671A">
        <w:rPr>
          <w:szCs w:val="23"/>
        </w:rPr>
        <w:lastRenderedPageBreak/>
        <w:t>In both countries</w:t>
      </w:r>
      <w:r w:rsidRPr="001B3B93">
        <w:rPr>
          <w:szCs w:val="23"/>
        </w:rPr>
        <w:t xml:space="preserve">, Australia is </w:t>
      </w:r>
      <w:r w:rsidR="00E90FB9" w:rsidRPr="001B3B93">
        <w:rPr>
          <w:szCs w:val="23"/>
        </w:rPr>
        <w:t xml:space="preserve">working with </w:t>
      </w:r>
      <w:r w:rsidR="006470DB">
        <w:rPr>
          <w:szCs w:val="23"/>
        </w:rPr>
        <w:t xml:space="preserve">the </w:t>
      </w:r>
      <w:r w:rsidR="00E90FB9" w:rsidRPr="001B3B93">
        <w:rPr>
          <w:szCs w:val="23"/>
        </w:rPr>
        <w:t xml:space="preserve">government </w:t>
      </w:r>
      <w:r w:rsidRPr="001B3B93">
        <w:rPr>
          <w:szCs w:val="23"/>
        </w:rPr>
        <w:t>to improve the enabling environment for private business</w:t>
      </w:r>
      <w:r w:rsidR="00D90FF9" w:rsidRPr="001B3B93">
        <w:rPr>
          <w:szCs w:val="23"/>
        </w:rPr>
        <w:t xml:space="preserve"> and to build government capacity to enter into </w:t>
      </w:r>
      <w:r w:rsidR="007B1136" w:rsidRPr="001B3B93">
        <w:rPr>
          <w:szCs w:val="23"/>
        </w:rPr>
        <w:t xml:space="preserve">public-private partnerships </w:t>
      </w:r>
      <w:r w:rsidR="00D90FF9" w:rsidRPr="001B3B93">
        <w:rPr>
          <w:szCs w:val="23"/>
        </w:rPr>
        <w:t xml:space="preserve">for </w:t>
      </w:r>
      <w:r w:rsidR="007B1136" w:rsidRPr="001B3B93">
        <w:rPr>
          <w:szCs w:val="23"/>
        </w:rPr>
        <w:t>infrastructure development.</w:t>
      </w:r>
      <w:r w:rsidRPr="001B3B93">
        <w:rPr>
          <w:szCs w:val="23"/>
        </w:rPr>
        <w:t xml:space="preserve"> </w:t>
      </w:r>
      <w:r w:rsidR="004E7600">
        <w:rPr>
          <w:szCs w:val="23"/>
        </w:rPr>
        <w:t>At the time of</w:t>
      </w:r>
      <w:r w:rsidR="00215188">
        <w:rPr>
          <w:szCs w:val="23"/>
        </w:rPr>
        <w:t xml:space="preserve"> </w:t>
      </w:r>
      <w:r w:rsidR="004E7600">
        <w:rPr>
          <w:szCs w:val="23"/>
        </w:rPr>
        <w:t>field work</w:t>
      </w:r>
      <w:r w:rsidR="00215188">
        <w:rPr>
          <w:szCs w:val="23"/>
        </w:rPr>
        <w:t xml:space="preserve"> for this evaluation</w:t>
      </w:r>
      <w:r w:rsidRPr="001B3B93">
        <w:rPr>
          <w:szCs w:val="23"/>
        </w:rPr>
        <w:t xml:space="preserve">, </w:t>
      </w:r>
      <w:r w:rsidR="001646FC" w:rsidRPr="001B3B93">
        <w:rPr>
          <w:szCs w:val="23"/>
        </w:rPr>
        <w:t xml:space="preserve">there </w:t>
      </w:r>
      <w:r w:rsidR="004E7600">
        <w:rPr>
          <w:szCs w:val="23"/>
        </w:rPr>
        <w:t xml:space="preserve">had </w:t>
      </w:r>
      <w:r w:rsidR="001646FC" w:rsidRPr="001B3B93">
        <w:rPr>
          <w:szCs w:val="23"/>
        </w:rPr>
        <w:t xml:space="preserve">been no </w:t>
      </w:r>
      <w:r w:rsidR="007B1136" w:rsidRPr="001B3B93">
        <w:rPr>
          <w:szCs w:val="23"/>
        </w:rPr>
        <w:t xml:space="preserve">significant </w:t>
      </w:r>
      <w:r w:rsidR="007976A2" w:rsidRPr="001B3B93">
        <w:rPr>
          <w:szCs w:val="23"/>
        </w:rPr>
        <w:t xml:space="preserve">shift towards </w:t>
      </w:r>
      <w:r w:rsidR="00D90FF9" w:rsidRPr="001B3B93">
        <w:rPr>
          <w:szCs w:val="23"/>
        </w:rPr>
        <w:t xml:space="preserve">supporting </w:t>
      </w:r>
      <w:r w:rsidRPr="001B3B93">
        <w:rPr>
          <w:szCs w:val="23"/>
        </w:rPr>
        <w:t>the private sector</w:t>
      </w:r>
      <w:r w:rsidR="00D90FF9" w:rsidRPr="001B3B93">
        <w:rPr>
          <w:szCs w:val="23"/>
        </w:rPr>
        <w:t xml:space="preserve"> through development capital investment (</w:t>
      </w:r>
      <w:r w:rsidR="00D81F07" w:rsidRPr="001B3B93">
        <w:rPr>
          <w:szCs w:val="23"/>
        </w:rPr>
        <w:t>loans, equity or guarantees</w:t>
      </w:r>
      <w:r w:rsidR="00D90FF9" w:rsidRPr="001B3B93">
        <w:rPr>
          <w:szCs w:val="23"/>
        </w:rPr>
        <w:t>)</w:t>
      </w:r>
      <w:r w:rsidR="003A28AB" w:rsidRPr="001B3B93">
        <w:rPr>
          <w:szCs w:val="23"/>
        </w:rPr>
        <w:t xml:space="preserve">. </w:t>
      </w:r>
      <w:r w:rsidR="004E7600">
        <w:rPr>
          <w:szCs w:val="23"/>
        </w:rPr>
        <w:t>In November 2017, however, DFAT announced the establishment of a new AUD40 million Emerging Markets Impact Investment Fund, which will provide development capital investment for small</w:t>
      </w:r>
      <w:r w:rsidR="00264F2A">
        <w:rPr>
          <w:szCs w:val="23"/>
        </w:rPr>
        <w:t>-</w:t>
      </w:r>
      <w:r w:rsidR="004E7600">
        <w:rPr>
          <w:szCs w:val="23"/>
        </w:rPr>
        <w:t>to</w:t>
      </w:r>
      <w:r w:rsidR="00264F2A">
        <w:rPr>
          <w:szCs w:val="23"/>
        </w:rPr>
        <w:t>-</w:t>
      </w:r>
      <w:r w:rsidR="004E7600">
        <w:rPr>
          <w:szCs w:val="23"/>
        </w:rPr>
        <w:t xml:space="preserve">medium enterprises in South and </w:t>
      </w:r>
      <w:r w:rsidR="00FA38AC">
        <w:rPr>
          <w:szCs w:val="23"/>
        </w:rPr>
        <w:t>Southeast</w:t>
      </w:r>
      <w:r w:rsidR="004E7600">
        <w:rPr>
          <w:szCs w:val="23"/>
        </w:rPr>
        <w:t xml:space="preserve"> Asia, with a focus on social impact.</w:t>
      </w:r>
      <w:r w:rsidR="004E7600">
        <w:rPr>
          <w:rStyle w:val="FootnoteReference"/>
          <w:szCs w:val="23"/>
        </w:rPr>
        <w:footnoteReference w:id="46"/>
      </w:r>
      <w:r w:rsidR="004E7600">
        <w:rPr>
          <w:szCs w:val="23"/>
        </w:rPr>
        <w:t xml:space="preserve"> T</w:t>
      </w:r>
      <w:r w:rsidR="003A28AB" w:rsidRPr="001B3B93">
        <w:rPr>
          <w:szCs w:val="23"/>
        </w:rPr>
        <w:t xml:space="preserve">here is ongoing debate on whether Australia should </w:t>
      </w:r>
      <w:r w:rsidR="004E7600">
        <w:rPr>
          <w:szCs w:val="23"/>
        </w:rPr>
        <w:t xml:space="preserve">follow other bilateral donors and </w:t>
      </w:r>
      <w:r w:rsidR="003A28AB" w:rsidRPr="001B3B93">
        <w:rPr>
          <w:szCs w:val="23"/>
        </w:rPr>
        <w:t xml:space="preserve">develop </w:t>
      </w:r>
      <w:r w:rsidR="004E7600">
        <w:rPr>
          <w:szCs w:val="23"/>
        </w:rPr>
        <w:t xml:space="preserve">a more substantial </w:t>
      </w:r>
      <w:r w:rsidR="003A28AB" w:rsidRPr="001B3B93">
        <w:rPr>
          <w:szCs w:val="23"/>
        </w:rPr>
        <w:t>development finance institution</w:t>
      </w:r>
      <w:r w:rsidR="00F33C21" w:rsidRPr="001B3B93">
        <w:rPr>
          <w:szCs w:val="23"/>
        </w:rPr>
        <w:t xml:space="preserve"> (Box </w:t>
      </w:r>
      <w:r w:rsidR="00297DFF">
        <w:rPr>
          <w:szCs w:val="23"/>
        </w:rPr>
        <w:t>5</w:t>
      </w:r>
      <w:r w:rsidR="00F33C21" w:rsidRPr="001B3B93">
        <w:rPr>
          <w:szCs w:val="23"/>
        </w:rPr>
        <w:t>)</w:t>
      </w:r>
      <w:r w:rsidR="000727BB" w:rsidRPr="001B3B93">
        <w:rPr>
          <w:szCs w:val="23"/>
        </w:rPr>
        <w:t>.</w:t>
      </w:r>
    </w:p>
    <w:p w14:paraId="4FEBA8BB" w14:textId="1B34EE72" w:rsidR="00F33C21" w:rsidRPr="001B3B93" w:rsidRDefault="00F33C21" w:rsidP="00F33C21">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297DFF">
        <w:t>5</w:t>
      </w:r>
      <w:r w:rsidRPr="001B3B93">
        <w:t xml:space="preserve">: Is there a case for </w:t>
      </w:r>
      <w:r w:rsidR="00AF1EC5" w:rsidRPr="001B3B93">
        <w:t>development capital investment in Asian MICs</w:t>
      </w:r>
      <w:r w:rsidRPr="001B3B93">
        <w:t>?</w:t>
      </w:r>
    </w:p>
    <w:p w14:paraId="4B1A23CD" w14:textId="0EBBC1AC" w:rsidR="00C561E4" w:rsidRDefault="004814AC" w:rsidP="007074BE">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lang w:eastAsia="ja-JP"/>
        </w:rPr>
      </w:pPr>
      <w:r>
        <w:t xml:space="preserve">Unlike many other bilateral donors, </w:t>
      </w:r>
      <w:r w:rsidR="00F33C21" w:rsidRPr="001B3B93">
        <w:t xml:space="preserve">Australia </w:t>
      </w:r>
      <w:r w:rsidR="00CB2FBF" w:rsidRPr="001B3B93">
        <w:t xml:space="preserve">does not have its </w:t>
      </w:r>
      <w:r w:rsidR="00F33C21" w:rsidRPr="001B3B93">
        <w:t xml:space="preserve">own </w:t>
      </w:r>
      <w:bookmarkStart w:id="70" w:name="_Hlk520989705"/>
      <w:r w:rsidR="00F33C21" w:rsidRPr="001B3B93">
        <w:t>development finance institution</w:t>
      </w:r>
      <w:bookmarkEnd w:id="70"/>
      <w:r w:rsidR="00F33C21" w:rsidRPr="001B3B93">
        <w:t xml:space="preserve">. </w:t>
      </w:r>
      <w:r>
        <w:t xml:space="preserve">There is debate within DFAT as to whether </w:t>
      </w:r>
      <w:r w:rsidR="00F33C21" w:rsidRPr="001B3B93">
        <w:t>this would be a useful addition to Australia’s economic partnerships</w:t>
      </w:r>
      <w:r>
        <w:t>. Some take the view that</w:t>
      </w:r>
      <w:r w:rsidR="00F33C21" w:rsidRPr="001B3B93">
        <w:t xml:space="preserve"> the ability to provide loans, equity investments and guarantees would enable Australia to </w:t>
      </w:r>
      <w:r w:rsidR="00137FC7" w:rsidRPr="001B3B93">
        <w:t xml:space="preserve">achieve </w:t>
      </w:r>
      <w:r w:rsidR="00F33C21" w:rsidRPr="001B3B93">
        <w:t>more impact with a constrained aid budget, including by leveraging private investment.</w:t>
      </w:r>
      <w:r w:rsidR="005758F5" w:rsidRPr="001B3B93">
        <w:t xml:space="preserve"> The 2014 </w:t>
      </w:r>
      <w:r w:rsidR="00137FC7" w:rsidRPr="001B3B93">
        <w:t xml:space="preserve">aid policy </w:t>
      </w:r>
      <w:r w:rsidR="005758F5" w:rsidRPr="001B3B93">
        <w:t xml:space="preserve">notes the importance of leveraging private sector </w:t>
      </w:r>
      <w:r w:rsidR="0045068E" w:rsidRPr="001B3B93">
        <w:t xml:space="preserve">resources, but also cautions that Australian aid </w:t>
      </w:r>
      <w:r w:rsidR="00264F2A">
        <w:t>‘</w:t>
      </w:r>
      <w:r w:rsidR="0045068E" w:rsidRPr="001B3B93">
        <w:rPr>
          <w:lang w:eastAsia="ja-JP"/>
        </w:rPr>
        <w:t>will not subsidise business by financing activities that a business would otherwise have financed itself.</w:t>
      </w:r>
      <w:r w:rsidR="00264F2A">
        <w:rPr>
          <w:lang w:eastAsia="ja-JP"/>
        </w:rPr>
        <w:t>’</w:t>
      </w:r>
      <w:r w:rsidR="009B5109" w:rsidRPr="001B3B93">
        <w:rPr>
          <w:rStyle w:val="FootnoteReference"/>
          <w:lang w:eastAsia="ja-JP"/>
        </w:rPr>
        <w:footnoteReference w:id="47"/>
      </w:r>
      <w:r w:rsidR="00AF1EC5" w:rsidRPr="001B3B93">
        <w:rPr>
          <w:lang w:eastAsia="ja-JP"/>
        </w:rPr>
        <w:t xml:space="preserve"> </w:t>
      </w:r>
      <w:r w:rsidR="00685DFA" w:rsidRPr="001B3B93">
        <w:rPr>
          <w:lang w:eastAsia="ja-JP"/>
        </w:rPr>
        <w:t xml:space="preserve">This </w:t>
      </w:r>
      <w:r w:rsidR="00137FC7" w:rsidRPr="001B3B93">
        <w:rPr>
          <w:lang w:eastAsia="ja-JP"/>
        </w:rPr>
        <w:t xml:space="preserve">principle of ‘additionality’ is key to the development case for </w:t>
      </w:r>
      <w:r w:rsidR="00413A7B">
        <w:rPr>
          <w:lang w:eastAsia="ja-JP"/>
        </w:rPr>
        <w:t xml:space="preserve">development finance </w:t>
      </w:r>
      <w:r w:rsidR="00413A7B" w:rsidRPr="001F40CB">
        <w:rPr>
          <w:lang w:eastAsia="ja-JP"/>
        </w:rPr>
        <w:t>institutions</w:t>
      </w:r>
      <w:r w:rsidR="00EB6288" w:rsidRPr="001F40CB">
        <w:rPr>
          <w:lang w:eastAsia="ja-JP"/>
        </w:rPr>
        <w:t>.</w:t>
      </w:r>
      <w:r w:rsidR="00137FC7" w:rsidRPr="001F40CB">
        <w:rPr>
          <w:lang w:eastAsia="ja-JP"/>
        </w:rPr>
        <w:t xml:space="preserve"> </w:t>
      </w:r>
      <w:r w:rsidR="00264F2A" w:rsidRPr="001F40CB">
        <w:rPr>
          <w:lang w:eastAsia="ja-JP"/>
        </w:rPr>
        <w:t>T</w:t>
      </w:r>
      <w:r w:rsidR="003A28AB" w:rsidRPr="001F40CB">
        <w:rPr>
          <w:lang w:eastAsia="ja-JP"/>
        </w:rPr>
        <w:t xml:space="preserve">hey deliver </w:t>
      </w:r>
      <w:r w:rsidR="00137FC7" w:rsidRPr="001F40CB">
        <w:rPr>
          <w:lang w:eastAsia="ja-JP"/>
        </w:rPr>
        <w:t xml:space="preserve">impact </w:t>
      </w:r>
      <w:r w:rsidRPr="001F40CB">
        <w:rPr>
          <w:lang w:eastAsia="ja-JP"/>
        </w:rPr>
        <w:t xml:space="preserve">by </w:t>
      </w:r>
      <w:r w:rsidR="00137FC7" w:rsidRPr="001F40CB">
        <w:rPr>
          <w:lang w:eastAsia="ja-JP"/>
        </w:rPr>
        <w:t>demonstrating</w:t>
      </w:r>
      <w:r w:rsidR="00137FC7" w:rsidRPr="001B3B93">
        <w:rPr>
          <w:lang w:eastAsia="ja-JP"/>
        </w:rPr>
        <w:t xml:space="preserve"> that commercial returns are </w:t>
      </w:r>
      <w:r w:rsidR="003A28AB" w:rsidRPr="001B3B93">
        <w:rPr>
          <w:lang w:eastAsia="ja-JP"/>
        </w:rPr>
        <w:t>achievable</w:t>
      </w:r>
      <w:r>
        <w:rPr>
          <w:lang w:eastAsia="ja-JP"/>
        </w:rPr>
        <w:t xml:space="preserve"> </w:t>
      </w:r>
      <w:r w:rsidRPr="004814AC">
        <w:rPr>
          <w:lang w:eastAsia="ja-JP"/>
        </w:rPr>
        <w:t>in areas underserved by the market</w:t>
      </w:r>
      <w:r w:rsidR="00137FC7" w:rsidRPr="001B3B93">
        <w:rPr>
          <w:lang w:eastAsia="ja-JP"/>
        </w:rPr>
        <w:t>, thereby encourag</w:t>
      </w:r>
      <w:r w:rsidR="003A28AB" w:rsidRPr="001B3B93">
        <w:rPr>
          <w:lang w:eastAsia="ja-JP"/>
        </w:rPr>
        <w:t>ing</w:t>
      </w:r>
      <w:r w:rsidR="00137FC7" w:rsidRPr="001B3B93">
        <w:rPr>
          <w:lang w:eastAsia="ja-JP"/>
        </w:rPr>
        <w:t xml:space="preserve"> more private</w:t>
      </w:r>
      <w:r w:rsidR="008F253D">
        <w:rPr>
          <w:lang w:eastAsia="ja-JP"/>
        </w:rPr>
        <w:t xml:space="preserve"> </w:t>
      </w:r>
      <w:r w:rsidR="00137FC7" w:rsidRPr="001B3B93">
        <w:rPr>
          <w:lang w:eastAsia="ja-JP"/>
        </w:rPr>
        <w:t xml:space="preserve">sector </w:t>
      </w:r>
      <w:r w:rsidR="00C561E4" w:rsidRPr="001B3B93">
        <w:rPr>
          <w:lang w:eastAsia="ja-JP"/>
        </w:rPr>
        <w:t>investment</w:t>
      </w:r>
      <w:r w:rsidR="00137FC7" w:rsidRPr="001B3B93">
        <w:rPr>
          <w:lang w:eastAsia="ja-JP"/>
        </w:rPr>
        <w:t xml:space="preserve">. </w:t>
      </w:r>
      <w:r w:rsidR="003A28AB" w:rsidRPr="001B3B93">
        <w:rPr>
          <w:lang w:eastAsia="ja-JP"/>
        </w:rPr>
        <w:t>D</w:t>
      </w:r>
      <w:r w:rsidR="00413A7B">
        <w:rPr>
          <w:lang w:eastAsia="ja-JP"/>
        </w:rPr>
        <w:t>evelopment finance institutions</w:t>
      </w:r>
      <w:r w:rsidR="003A28AB" w:rsidRPr="001B3B93">
        <w:rPr>
          <w:lang w:eastAsia="ja-JP"/>
        </w:rPr>
        <w:t xml:space="preserve"> </w:t>
      </w:r>
      <w:r w:rsidR="00137FC7" w:rsidRPr="001B3B93">
        <w:rPr>
          <w:lang w:eastAsia="ja-JP"/>
        </w:rPr>
        <w:t xml:space="preserve">seek to invest in areas where private finance is scarce or not available at reasonable terms, often because the market overestimates the level of risk involved. </w:t>
      </w:r>
      <w:r w:rsidR="00C561E4" w:rsidRPr="001B3B93">
        <w:rPr>
          <w:lang w:eastAsia="ja-JP"/>
        </w:rPr>
        <w:t xml:space="preserve">Opportunities for additionality are more likely to arise in low-income countries and countries affected by political instability, than in Asian MICs with active financial </w:t>
      </w:r>
      <w:r w:rsidR="003A28AB" w:rsidRPr="001B3B93">
        <w:rPr>
          <w:lang w:eastAsia="ja-JP"/>
        </w:rPr>
        <w:t>systems</w:t>
      </w:r>
      <w:r w:rsidR="00C561E4" w:rsidRPr="001B3B93">
        <w:rPr>
          <w:lang w:eastAsia="ja-JP"/>
        </w:rPr>
        <w:t>. While there may be market failures</w:t>
      </w:r>
      <w:r w:rsidR="00264F2A">
        <w:rPr>
          <w:lang w:eastAsia="ja-JP"/>
        </w:rPr>
        <w:t>—</w:t>
      </w:r>
      <w:r w:rsidR="00C561E4" w:rsidRPr="001B3B93">
        <w:rPr>
          <w:lang w:eastAsia="ja-JP"/>
        </w:rPr>
        <w:t>in particular</w:t>
      </w:r>
      <w:r w:rsidR="006847AB">
        <w:rPr>
          <w:lang w:eastAsia="ja-JP"/>
        </w:rPr>
        <w:t>,</w:t>
      </w:r>
      <w:r w:rsidR="00C561E4" w:rsidRPr="001B3B93">
        <w:rPr>
          <w:lang w:eastAsia="ja-JP"/>
        </w:rPr>
        <w:t xml:space="preserve"> sectors or localities</w:t>
      </w:r>
      <w:r w:rsidR="00264F2A">
        <w:rPr>
          <w:lang w:eastAsia="ja-JP"/>
        </w:rPr>
        <w:t>—</w:t>
      </w:r>
      <w:r w:rsidR="000D6FBB" w:rsidRPr="001B3B93">
        <w:rPr>
          <w:lang w:eastAsia="ja-JP"/>
        </w:rPr>
        <w:t xml:space="preserve">detailed analysis would be required to establish whether there is a </w:t>
      </w:r>
      <w:r w:rsidR="00C561E4" w:rsidRPr="001B3B93">
        <w:rPr>
          <w:lang w:eastAsia="ja-JP"/>
        </w:rPr>
        <w:t xml:space="preserve">case for development capital </w:t>
      </w:r>
      <w:r w:rsidR="003A28AB" w:rsidRPr="001B3B93">
        <w:rPr>
          <w:lang w:eastAsia="ja-JP"/>
        </w:rPr>
        <w:t xml:space="preserve">investment </w:t>
      </w:r>
      <w:r w:rsidR="00C561E4" w:rsidRPr="001B3B93">
        <w:rPr>
          <w:lang w:eastAsia="ja-JP"/>
        </w:rPr>
        <w:t>in Asian MICs.</w:t>
      </w:r>
    </w:p>
    <w:p w14:paraId="538B7742" w14:textId="12BCF9F2" w:rsidR="00EA2B6E" w:rsidRPr="00215188" w:rsidRDefault="00EA2B6E" w:rsidP="00F33C21">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lang w:eastAsia="ja-JP"/>
        </w:rPr>
      </w:pPr>
      <w:r w:rsidRPr="00215188">
        <w:rPr>
          <w:lang w:eastAsia="ja-JP"/>
        </w:rPr>
        <w:t>Source:</w:t>
      </w:r>
      <w:r w:rsidR="004814AC" w:rsidRPr="00215188">
        <w:rPr>
          <w:color w:val="auto"/>
          <w:sz w:val="22"/>
        </w:rPr>
        <w:t xml:space="preserve"> </w:t>
      </w:r>
      <w:r w:rsidR="004814AC" w:rsidRPr="00215188">
        <w:rPr>
          <w:lang w:eastAsia="ja-JP"/>
        </w:rPr>
        <w:t xml:space="preserve">Kingombe, C., Masse, I and te Velde, DW, </w:t>
      </w:r>
      <w:hyperlink r:id="rId30" w:history="1">
        <w:r w:rsidR="00264F2A" w:rsidRPr="00215188">
          <w:rPr>
            <w:rStyle w:val="Hyperlink"/>
            <w:lang w:eastAsia="ja-JP"/>
          </w:rPr>
          <w:t>‘</w:t>
        </w:r>
        <w:r w:rsidR="004814AC" w:rsidRPr="00215188">
          <w:rPr>
            <w:rStyle w:val="Hyperlink"/>
            <w:lang w:eastAsia="ja-JP"/>
          </w:rPr>
          <w:t>Comparing development finance institutions: Literature review</w:t>
        </w:r>
        <w:r w:rsidR="00264F2A" w:rsidRPr="00215188">
          <w:rPr>
            <w:rStyle w:val="Hyperlink"/>
            <w:lang w:eastAsia="ja-JP"/>
          </w:rPr>
          <w:t>’</w:t>
        </w:r>
      </w:hyperlink>
      <w:r w:rsidR="004814AC" w:rsidRPr="00215188">
        <w:rPr>
          <w:lang w:eastAsia="ja-JP"/>
        </w:rPr>
        <w:t>, Overseas Development Institute, 2011</w:t>
      </w:r>
      <w:r w:rsidR="00264F2A" w:rsidRPr="00215188">
        <w:rPr>
          <w:lang w:eastAsia="ja-JP"/>
        </w:rPr>
        <w:t>.</w:t>
      </w:r>
    </w:p>
    <w:p w14:paraId="44DC445E" w14:textId="77777777" w:rsidR="00F33C21" w:rsidRPr="001B3B93" w:rsidRDefault="00F33C21">
      <w:pPr>
        <w:rPr>
          <w:szCs w:val="23"/>
        </w:rPr>
      </w:pPr>
    </w:p>
    <w:p w14:paraId="51379C45" w14:textId="77777777" w:rsidR="00C77777" w:rsidRPr="001B3B93" w:rsidRDefault="00C77777">
      <w:pPr>
        <w:rPr>
          <w:szCs w:val="23"/>
        </w:rPr>
      </w:pPr>
      <w:r w:rsidRPr="001B3B93">
        <w:rPr>
          <w:i/>
          <w:color w:val="296C60" w:themeColor="background2" w:themeShade="80"/>
          <w:szCs w:val="23"/>
        </w:rPr>
        <w:t xml:space="preserve">Supporting regional </w:t>
      </w:r>
      <w:r w:rsidR="001D5C1D" w:rsidRPr="001B3B93">
        <w:rPr>
          <w:i/>
          <w:color w:val="296C60" w:themeColor="background2" w:themeShade="80"/>
          <w:szCs w:val="23"/>
        </w:rPr>
        <w:t xml:space="preserve">cooperation and </w:t>
      </w:r>
      <w:r w:rsidRPr="001B3B93">
        <w:rPr>
          <w:i/>
          <w:color w:val="296C60" w:themeColor="background2" w:themeShade="80"/>
          <w:szCs w:val="23"/>
        </w:rPr>
        <w:t>economic integration</w:t>
      </w:r>
    </w:p>
    <w:p w14:paraId="5D72DFE7" w14:textId="5DECA1D7" w:rsidR="00167771" w:rsidRPr="001B3B93" w:rsidRDefault="00C77777">
      <w:pPr>
        <w:rPr>
          <w:szCs w:val="23"/>
        </w:rPr>
      </w:pPr>
      <w:r w:rsidRPr="001B3B93">
        <w:rPr>
          <w:szCs w:val="23"/>
        </w:rPr>
        <w:t xml:space="preserve">The </w:t>
      </w:r>
      <w:r w:rsidR="0035434A">
        <w:rPr>
          <w:szCs w:val="23"/>
        </w:rPr>
        <w:t>ASEAN and Mekong</w:t>
      </w:r>
      <w:r w:rsidR="00167771" w:rsidRPr="001B3B93">
        <w:rPr>
          <w:szCs w:val="23"/>
        </w:rPr>
        <w:t xml:space="preserve"> </w:t>
      </w:r>
      <w:r w:rsidR="001804C5" w:rsidRPr="001B3B93">
        <w:rPr>
          <w:szCs w:val="23"/>
        </w:rPr>
        <w:t>p</w:t>
      </w:r>
      <w:r w:rsidR="00167771" w:rsidRPr="001B3B93">
        <w:rPr>
          <w:szCs w:val="23"/>
        </w:rPr>
        <w:t>rogram</w:t>
      </w:r>
      <w:r w:rsidR="0035434A">
        <w:rPr>
          <w:szCs w:val="23"/>
        </w:rPr>
        <w:t>, Australia’s regional program in Southeast Asia,</w:t>
      </w:r>
      <w:r w:rsidR="00167771" w:rsidRPr="001B3B93">
        <w:rPr>
          <w:szCs w:val="23"/>
        </w:rPr>
        <w:t xml:space="preserve"> contributes </w:t>
      </w:r>
      <w:r w:rsidRPr="001B3B93">
        <w:rPr>
          <w:szCs w:val="23"/>
        </w:rPr>
        <w:t>to economic partnership</w:t>
      </w:r>
      <w:r w:rsidR="0035434A">
        <w:rPr>
          <w:szCs w:val="23"/>
        </w:rPr>
        <w:t>s</w:t>
      </w:r>
      <w:r w:rsidR="00167771" w:rsidRPr="001B3B93">
        <w:rPr>
          <w:szCs w:val="23"/>
        </w:rPr>
        <w:t xml:space="preserve"> in </w:t>
      </w:r>
      <w:r w:rsidR="007977B1">
        <w:rPr>
          <w:szCs w:val="23"/>
        </w:rPr>
        <w:t xml:space="preserve">three </w:t>
      </w:r>
      <w:r w:rsidR="00EE2E1D" w:rsidRPr="001B3B93">
        <w:rPr>
          <w:szCs w:val="23"/>
        </w:rPr>
        <w:t xml:space="preserve">main </w:t>
      </w:r>
      <w:r w:rsidR="00167771" w:rsidRPr="001B3B93">
        <w:rPr>
          <w:szCs w:val="23"/>
        </w:rPr>
        <w:t>ways:</w:t>
      </w:r>
    </w:p>
    <w:p w14:paraId="1B047CC8" w14:textId="29A3046B" w:rsidR="00CB2699" w:rsidRPr="001B3B93" w:rsidRDefault="00CB2699" w:rsidP="000C55B6">
      <w:pPr>
        <w:pStyle w:val="ListParagraph"/>
        <w:numPr>
          <w:ilvl w:val="0"/>
          <w:numId w:val="18"/>
        </w:numPr>
        <w:rPr>
          <w:szCs w:val="23"/>
        </w:rPr>
      </w:pPr>
      <w:r w:rsidRPr="001B3B93">
        <w:rPr>
          <w:b/>
          <w:szCs w:val="23"/>
        </w:rPr>
        <w:t xml:space="preserve">Promoting </w:t>
      </w:r>
      <w:r w:rsidR="00C77777" w:rsidRPr="001B3B93">
        <w:rPr>
          <w:b/>
          <w:szCs w:val="23"/>
        </w:rPr>
        <w:t xml:space="preserve">regional economic </w:t>
      </w:r>
      <w:r w:rsidR="001D5C1D" w:rsidRPr="001B3B93">
        <w:rPr>
          <w:b/>
          <w:szCs w:val="23"/>
        </w:rPr>
        <w:t>integration</w:t>
      </w:r>
      <w:r w:rsidRPr="001B3B93">
        <w:rPr>
          <w:b/>
          <w:szCs w:val="23"/>
        </w:rPr>
        <w:t xml:space="preserve">: </w:t>
      </w:r>
      <w:r w:rsidRPr="001B3B93">
        <w:rPr>
          <w:szCs w:val="23"/>
        </w:rPr>
        <w:t>Two regional</w:t>
      </w:r>
      <w:r w:rsidR="0035434A">
        <w:rPr>
          <w:szCs w:val="23"/>
        </w:rPr>
        <w:t xml:space="preserve"> investments</w:t>
      </w:r>
      <w:r w:rsidRPr="001B3B93">
        <w:rPr>
          <w:szCs w:val="23"/>
        </w:rPr>
        <w:t xml:space="preserve"> </w:t>
      </w:r>
      <w:r w:rsidR="006060BB">
        <w:rPr>
          <w:szCs w:val="23"/>
        </w:rPr>
        <w:t xml:space="preserve">are </w:t>
      </w:r>
      <w:r w:rsidRPr="001B3B93">
        <w:rPr>
          <w:szCs w:val="23"/>
        </w:rPr>
        <w:t xml:space="preserve">working with the ASEAN Secretariat towards </w:t>
      </w:r>
      <w:r w:rsidR="0035434A">
        <w:rPr>
          <w:szCs w:val="23"/>
        </w:rPr>
        <w:t>implementation</w:t>
      </w:r>
      <w:r w:rsidRPr="001B3B93">
        <w:rPr>
          <w:szCs w:val="23"/>
        </w:rPr>
        <w:t xml:space="preserve"> of </w:t>
      </w:r>
      <w:r w:rsidR="007977B1">
        <w:rPr>
          <w:szCs w:val="23"/>
        </w:rPr>
        <w:t xml:space="preserve">the </w:t>
      </w:r>
      <w:r w:rsidRPr="001B3B93">
        <w:rPr>
          <w:szCs w:val="23"/>
        </w:rPr>
        <w:t>ASEAN Economic Community</w:t>
      </w:r>
      <w:r w:rsidR="001804C5" w:rsidRPr="001B3B93">
        <w:rPr>
          <w:szCs w:val="23"/>
        </w:rPr>
        <w:t xml:space="preserve">. According to </w:t>
      </w:r>
      <w:r w:rsidRPr="001B3B93">
        <w:rPr>
          <w:szCs w:val="23"/>
        </w:rPr>
        <w:t>a blueprint agreed by ASEAN leaders in 2015</w:t>
      </w:r>
      <w:r w:rsidR="001804C5" w:rsidRPr="001B3B93">
        <w:rPr>
          <w:szCs w:val="23"/>
        </w:rPr>
        <w:t>,</w:t>
      </w:r>
      <w:r w:rsidRPr="001B3B93">
        <w:rPr>
          <w:szCs w:val="23"/>
        </w:rPr>
        <w:t xml:space="preserve"> </w:t>
      </w:r>
      <w:r w:rsidR="001804C5" w:rsidRPr="001B3B93">
        <w:rPr>
          <w:szCs w:val="23"/>
        </w:rPr>
        <w:t>t</w:t>
      </w:r>
      <w:r w:rsidRPr="001B3B93">
        <w:rPr>
          <w:szCs w:val="23"/>
        </w:rPr>
        <w:t xml:space="preserve">he goal of the </w:t>
      </w:r>
      <w:r w:rsidR="006A564A">
        <w:rPr>
          <w:szCs w:val="23"/>
        </w:rPr>
        <w:t>Economic Community</w:t>
      </w:r>
      <w:r w:rsidR="006A564A" w:rsidRPr="001B3B93">
        <w:rPr>
          <w:szCs w:val="23"/>
        </w:rPr>
        <w:t xml:space="preserve"> </w:t>
      </w:r>
      <w:r w:rsidRPr="001B3B93">
        <w:rPr>
          <w:szCs w:val="23"/>
        </w:rPr>
        <w:t xml:space="preserve">is to ensure that ASEAN’s </w:t>
      </w:r>
      <w:r w:rsidR="006A564A">
        <w:rPr>
          <w:szCs w:val="23"/>
        </w:rPr>
        <w:t>10-</w:t>
      </w:r>
      <w:r w:rsidRPr="001B3B93">
        <w:rPr>
          <w:szCs w:val="23"/>
        </w:rPr>
        <w:t xml:space="preserve">member states are economically integrated with each other and </w:t>
      </w:r>
      <w:r w:rsidR="001804C5" w:rsidRPr="001B3B93">
        <w:rPr>
          <w:szCs w:val="23"/>
        </w:rPr>
        <w:t xml:space="preserve">with </w:t>
      </w:r>
      <w:r w:rsidRPr="001B3B93">
        <w:rPr>
          <w:szCs w:val="23"/>
        </w:rPr>
        <w:t>the global economy. Australian support includes</w:t>
      </w:r>
      <w:r w:rsidR="0035434A">
        <w:rPr>
          <w:szCs w:val="23"/>
        </w:rPr>
        <w:t xml:space="preserve"> the development of regional strategies, norms and standards, research and policy advice, and </w:t>
      </w:r>
      <w:r w:rsidRPr="001B3B93">
        <w:rPr>
          <w:szCs w:val="23"/>
        </w:rPr>
        <w:t>capacity building of the ASEAN Secretariat</w:t>
      </w:r>
      <w:r w:rsidR="0035434A">
        <w:rPr>
          <w:szCs w:val="23"/>
        </w:rPr>
        <w:t xml:space="preserve">. In addition, several regional investments </w:t>
      </w:r>
      <w:r w:rsidR="007977B1">
        <w:rPr>
          <w:szCs w:val="23"/>
        </w:rPr>
        <w:t xml:space="preserve">support </w:t>
      </w:r>
      <w:r w:rsidR="0035434A">
        <w:rPr>
          <w:szCs w:val="23"/>
        </w:rPr>
        <w:t xml:space="preserve">national activities to </w:t>
      </w:r>
      <w:r w:rsidR="007977B1">
        <w:rPr>
          <w:szCs w:val="23"/>
        </w:rPr>
        <w:t xml:space="preserve">implement </w:t>
      </w:r>
      <w:r w:rsidR="0035434A">
        <w:rPr>
          <w:szCs w:val="23"/>
        </w:rPr>
        <w:t xml:space="preserve">the </w:t>
      </w:r>
      <w:r w:rsidR="006A564A">
        <w:rPr>
          <w:szCs w:val="23"/>
        </w:rPr>
        <w:t>Economic Community</w:t>
      </w:r>
      <w:r w:rsidR="0035434A">
        <w:rPr>
          <w:szCs w:val="23"/>
        </w:rPr>
        <w:t>.</w:t>
      </w:r>
    </w:p>
    <w:p w14:paraId="1633D2A9" w14:textId="32A9E783" w:rsidR="00CB2699" w:rsidRPr="001B3B93" w:rsidRDefault="00CB2699" w:rsidP="000C55B6">
      <w:pPr>
        <w:pStyle w:val="ListParagraph"/>
        <w:numPr>
          <w:ilvl w:val="0"/>
          <w:numId w:val="18"/>
        </w:numPr>
        <w:rPr>
          <w:szCs w:val="23"/>
        </w:rPr>
      </w:pPr>
      <w:r w:rsidRPr="001B3B93">
        <w:rPr>
          <w:b/>
          <w:szCs w:val="23"/>
        </w:rPr>
        <w:t>I</w:t>
      </w:r>
      <w:r w:rsidR="00167771" w:rsidRPr="001B3B93">
        <w:rPr>
          <w:b/>
          <w:szCs w:val="23"/>
        </w:rPr>
        <w:t xml:space="preserve">mproving </w:t>
      </w:r>
      <w:r w:rsidRPr="001B3B93">
        <w:rPr>
          <w:b/>
          <w:szCs w:val="23"/>
        </w:rPr>
        <w:t>connectivity:</w:t>
      </w:r>
      <w:r w:rsidRPr="001B3B93">
        <w:rPr>
          <w:szCs w:val="23"/>
        </w:rPr>
        <w:t xml:space="preserve"> DFAT</w:t>
      </w:r>
      <w:r w:rsidR="00D30FB8">
        <w:rPr>
          <w:szCs w:val="23"/>
        </w:rPr>
        <w:t xml:space="preserve"> has provided strategic</w:t>
      </w:r>
      <w:r w:rsidRPr="001B3B93">
        <w:rPr>
          <w:szCs w:val="23"/>
        </w:rPr>
        <w:t xml:space="preserve"> support</w:t>
      </w:r>
      <w:r w:rsidR="00D30FB8">
        <w:rPr>
          <w:szCs w:val="23"/>
        </w:rPr>
        <w:t xml:space="preserve"> to ASEAN’s connectivity agenda, </w:t>
      </w:r>
      <w:r w:rsidR="007977B1">
        <w:rPr>
          <w:szCs w:val="23"/>
        </w:rPr>
        <w:t xml:space="preserve">by helping to develop </w:t>
      </w:r>
      <w:r w:rsidR="00D30FB8">
        <w:rPr>
          <w:szCs w:val="23"/>
        </w:rPr>
        <w:t>the Master Plan on ASEAN Connectivity 2</w:t>
      </w:r>
      <w:r w:rsidR="00C73F30">
        <w:rPr>
          <w:szCs w:val="23"/>
        </w:rPr>
        <w:t>0</w:t>
      </w:r>
      <w:r w:rsidR="00D30FB8">
        <w:rPr>
          <w:szCs w:val="23"/>
        </w:rPr>
        <w:t xml:space="preserve">25 and funding a number of infrastructure-related </w:t>
      </w:r>
      <w:r w:rsidR="00D30FB8">
        <w:rPr>
          <w:szCs w:val="23"/>
        </w:rPr>
        <w:lastRenderedPageBreak/>
        <w:t xml:space="preserve">projects. </w:t>
      </w:r>
      <w:r w:rsidR="006A564A">
        <w:rPr>
          <w:szCs w:val="23"/>
        </w:rPr>
        <w:t>The Master Plan</w:t>
      </w:r>
      <w:r w:rsidR="00D30FB8">
        <w:rPr>
          <w:szCs w:val="23"/>
        </w:rPr>
        <w:t xml:space="preserve"> aims to increase </w:t>
      </w:r>
      <w:r w:rsidRPr="001B3B93">
        <w:rPr>
          <w:szCs w:val="23"/>
        </w:rPr>
        <w:t>regional</w:t>
      </w:r>
      <w:r w:rsidR="00D30FB8">
        <w:rPr>
          <w:szCs w:val="23"/>
        </w:rPr>
        <w:t xml:space="preserve"> connectivity and</w:t>
      </w:r>
      <w:r w:rsidRPr="001B3B93">
        <w:rPr>
          <w:szCs w:val="23"/>
        </w:rPr>
        <w:t xml:space="preserve"> trade by improving infrastructure linkages</w:t>
      </w:r>
      <w:r w:rsidR="00D30FB8">
        <w:rPr>
          <w:szCs w:val="23"/>
        </w:rPr>
        <w:t xml:space="preserve">, digital innovation, logistics, regulatory environments and people mobility. The ASEAN and Mekong program also works through subregional mechanisms, such as the Greater Mekong Subregion, to help countries </w:t>
      </w:r>
      <w:r w:rsidRPr="001B3B93">
        <w:rPr>
          <w:szCs w:val="23"/>
        </w:rPr>
        <w:t>streamline cross-border trade by supporting border infrastructure (including institutional</w:t>
      </w:r>
      <w:r w:rsidR="00D30FB8">
        <w:rPr>
          <w:szCs w:val="23"/>
        </w:rPr>
        <w:t xml:space="preserve"> or soft </w:t>
      </w:r>
      <w:r w:rsidRPr="001B3B93">
        <w:rPr>
          <w:szCs w:val="23"/>
        </w:rPr>
        <w:t xml:space="preserve">infrastructure </w:t>
      </w:r>
      <w:r w:rsidR="00D30FB8">
        <w:rPr>
          <w:szCs w:val="23"/>
        </w:rPr>
        <w:t xml:space="preserve">related to </w:t>
      </w:r>
      <w:r w:rsidRPr="001B3B93">
        <w:rPr>
          <w:szCs w:val="23"/>
        </w:rPr>
        <w:t>customs).</w:t>
      </w:r>
    </w:p>
    <w:p w14:paraId="5D25543E" w14:textId="45F21E3B" w:rsidR="009B67E3" w:rsidRPr="001F40CB" w:rsidRDefault="001D5C1D" w:rsidP="000C55B6">
      <w:pPr>
        <w:pStyle w:val="ListParagraph"/>
        <w:numPr>
          <w:ilvl w:val="0"/>
          <w:numId w:val="18"/>
        </w:numPr>
        <w:rPr>
          <w:szCs w:val="23"/>
        </w:rPr>
      </w:pPr>
      <w:r w:rsidRPr="001B3B93">
        <w:rPr>
          <w:b/>
          <w:szCs w:val="23"/>
        </w:rPr>
        <w:t xml:space="preserve">Tackling </w:t>
      </w:r>
      <w:r w:rsidR="00167771" w:rsidRPr="001B3B93">
        <w:rPr>
          <w:b/>
          <w:szCs w:val="23"/>
        </w:rPr>
        <w:t>cross-border challenges</w:t>
      </w:r>
      <w:r w:rsidRPr="001B3B93">
        <w:rPr>
          <w:b/>
          <w:szCs w:val="23"/>
        </w:rPr>
        <w:t>:</w:t>
      </w:r>
      <w:r w:rsidRPr="001B3B93">
        <w:rPr>
          <w:szCs w:val="23"/>
        </w:rPr>
        <w:t xml:space="preserve"> An economically integrated region needs the capacity to tackle cross-border challenges and promote regional public goods. DFAT</w:t>
      </w:r>
      <w:r w:rsidR="00D30FB8">
        <w:rPr>
          <w:szCs w:val="23"/>
        </w:rPr>
        <w:t>’s</w:t>
      </w:r>
      <w:r w:rsidRPr="001B3B93">
        <w:rPr>
          <w:szCs w:val="23"/>
        </w:rPr>
        <w:t xml:space="preserve"> regional programs promote safe labour migration, both by building law enforcement capacity to tackle human trafficking and by promoting </w:t>
      </w:r>
      <w:r w:rsidR="007977B1">
        <w:rPr>
          <w:szCs w:val="23"/>
        </w:rPr>
        <w:t xml:space="preserve">policy reform in support of </w:t>
      </w:r>
      <w:r w:rsidRPr="001B3B93">
        <w:rPr>
          <w:szCs w:val="23"/>
        </w:rPr>
        <w:t>regular migration</w:t>
      </w:r>
      <w:r w:rsidR="00E23EE2" w:rsidRPr="001B3B93">
        <w:rPr>
          <w:szCs w:val="23"/>
        </w:rPr>
        <w:t xml:space="preserve">. </w:t>
      </w:r>
      <w:r w:rsidR="00D30FB8">
        <w:rPr>
          <w:szCs w:val="23"/>
        </w:rPr>
        <w:t xml:space="preserve">It </w:t>
      </w:r>
      <w:r w:rsidR="00E23EE2" w:rsidRPr="001B3B93">
        <w:rPr>
          <w:szCs w:val="23"/>
        </w:rPr>
        <w:t>also support</w:t>
      </w:r>
      <w:r w:rsidR="00D30FB8">
        <w:rPr>
          <w:szCs w:val="23"/>
        </w:rPr>
        <w:t>s an</w:t>
      </w:r>
      <w:r w:rsidR="00E23EE2" w:rsidRPr="001B3B93">
        <w:rPr>
          <w:szCs w:val="23"/>
        </w:rPr>
        <w:t xml:space="preserve"> initiative on regional health security</w:t>
      </w:r>
      <w:r w:rsidR="00D30FB8">
        <w:rPr>
          <w:szCs w:val="23"/>
        </w:rPr>
        <w:t xml:space="preserve">, including </w:t>
      </w:r>
      <w:r w:rsidR="00D30FB8" w:rsidRPr="001F40CB">
        <w:rPr>
          <w:szCs w:val="23"/>
        </w:rPr>
        <w:t>animal health and cross-border trade</w:t>
      </w:r>
      <w:r w:rsidR="00E23EE2" w:rsidRPr="001F40CB">
        <w:rPr>
          <w:szCs w:val="23"/>
        </w:rPr>
        <w:t>.</w:t>
      </w:r>
    </w:p>
    <w:p w14:paraId="7C1DA6DC" w14:textId="445BEC1F" w:rsidR="000727BB" w:rsidRPr="001F40CB" w:rsidRDefault="006A564A" w:rsidP="00261068">
      <w:pPr>
        <w:rPr>
          <w:szCs w:val="23"/>
        </w:rPr>
      </w:pPr>
      <w:r w:rsidRPr="001F40CB">
        <w:rPr>
          <w:szCs w:val="23"/>
        </w:rPr>
        <w:t>T</w:t>
      </w:r>
      <w:r w:rsidR="00E23EE2" w:rsidRPr="001F40CB">
        <w:rPr>
          <w:szCs w:val="23"/>
        </w:rPr>
        <w:t xml:space="preserve">hese initiatives pre-date the economic partnership concept but share </w:t>
      </w:r>
      <w:r w:rsidR="00084191" w:rsidRPr="001F40CB">
        <w:rPr>
          <w:szCs w:val="23"/>
        </w:rPr>
        <w:t xml:space="preserve">its </w:t>
      </w:r>
      <w:r w:rsidR="00E23EE2" w:rsidRPr="001F40CB">
        <w:rPr>
          <w:szCs w:val="23"/>
        </w:rPr>
        <w:t>objectives.</w:t>
      </w:r>
    </w:p>
    <w:p w14:paraId="18974C0C" w14:textId="69CB53E3" w:rsidR="008215D7" w:rsidRPr="001F40CB" w:rsidRDefault="00EB6288" w:rsidP="00261068">
      <w:pPr>
        <w:rPr>
          <w:i/>
          <w:color w:val="296C60" w:themeColor="background2" w:themeShade="80"/>
          <w:szCs w:val="23"/>
        </w:rPr>
      </w:pPr>
      <w:r w:rsidRPr="001F40CB">
        <w:rPr>
          <w:i/>
          <w:color w:val="296C60" w:themeColor="background2" w:themeShade="80"/>
          <w:szCs w:val="23"/>
        </w:rPr>
        <w:t>B</w:t>
      </w:r>
      <w:r w:rsidR="008215D7" w:rsidRPr="001F40CB">
        <w:rPr>
          <w:i/>
          <w:color w:val="296C60" w:themeColor="background2" w:themeShade="80"/>
          <w:szCs w:val="23"/>
        </w:rPr>
        <w:t xml:space="preserve">uilding durable relationships with partners </w:t>
      </w:r>
    </w:p>
    <w:p w14:paraId="7F4D213A" w14:textId="1A0383EC" w:rsidR="008215D7" w:rsidRPr="001B3B93" w:rsidRDefault="008215D7" w:rsidP="00261068">
      <w:pPr>
        <w:rPr>
          <w:szCs w:val="23"/>
        </w:rPr>
      </w:pPr>
      <w:r w:rsidRPr="001F40CB">
        <w:rPr>
          <w:szCs w:val="23"/>
        </w:rPr>
        <w:t>A long-standing and high</w:t>
      </w:r>
      <w:r w:rsidR="00C03D43" w:rsidRPr="001F40CB">
        <w:rPr>
          <w:szCs w:val="23"/>
        </w:rPr>
        <w:t>-</w:t>
      </w:r>
      <w:r w:rsidRPr="001F40CB">
        <w:rPr>
          <w:szCs w:val="23"/>
        </w:rPr>
        <w:t>profile feature of Australian</w:t>
      </w:r>
      <w:r w:rsidRPr="001B3B93">
        <w:rPr>
          <w:szCs w:val="23"/>
        </w:rPr>
        <w:t xml:space="preserve"> aid has been its large program of scholarships to study in Australia. Within MICs</w:t>
      </w:r>
      <w:r w:rsidR="007977B1">
        <w:rPr>
          <w:szCs w:val="23"/>
        </w:rPr>
        <w:t>,</w:t>
      </w:r>
      <w:r w:rsidRPr="001B3B93">
        <w:rPr>
          <w:szCs w:val="23"/>
        </w:rPr>
        <w:t xml:space="preserve"> there </w:t>
      </w:r>
      <w:r w:rsidR="007977B1">
        <w:rPr>
          <w:szCs w:val="23"/>
        </w:rPr>
        <w:t xml:space="preserve">is </w:t>
      </w:r>
      <w:r w:rsidRPr="001B3B93">
        <w:rPr>
          <w:szCs w:val="23"/>
        </w:rPr>
        <w:t xml:space="preserve">ongoing consideration of how </w:t>
      </w:r>
      <w:r w:rsidR="007977B1" w:rsidRPr="001B3B93">
        <w:rPr>
          <w:szCs w:val="23"/>
        </w:rPr>
        <w:t xml:space="preserve">best </w:t>
      </w:r>
      <w:r w:rsidRPr="001B3B93">
        <w:rPr>
          <w:szCs w:val="23"/>
        </w:rPr>
        <w:t>to capitalise on scholarships as a means of strengthening bilateral ties and building capacity in key institutions. With this is mind, there has been a mo</w:t>
      </w:r>
      <w:r w:rsidR="007977B1">
        <w:rPr>
          <w:szCs w:val="23"/>
        </w:rPr>
        <w:t>v</w:t>
      </w:r>
      <w:r w:rsidRPr="001B3B93">
        <w:rPr>
          <w:szCs w:val="23"/>
        </w:rPr>
        <w:t xml:space="preserve">e in recent times to increase the number of short course awards, to </w:t>
      </w:r>
      <w:r w:rsidR="00F36E9D">
        <w:rPr>
          <w:szCs w:val="23"/>
        </w:rPr>
        <w:t xml:space="preserve">maximise the numbers of alumni with a connection to Australia (Box </w:t>
      </w:r>
      <w:r w:rsidR="00297DFF">
        <w:rPr>
          <w:szCs w:val="23"/>
        </w:rPr>
        <w:t>6</w:t>
      </w:r>
      <w:r w:rsidR="00F36E9D">
        <w:rPr>
          <w:szCs w:val="23"/>
        </w:rPr>
        <w:t>)</w:t>
      </w:r>
      <w:r w:rsidR="00273EAD" w:rsidRPr="001B3B93">
        <w:rPr>
          <w:szCs w:val="23"/>
        </w:rPr>
        <w:t>.</w:t>
      </w:r>
    </w:p>
    <w:p w14:paraId="4D00A91A" w14:textId="612BF5F6" w:rsidR="0058757C" w:rsidRPr="001B3B93" w:rsidRDefault="0058757C" w:rsidP="0058757C">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297DFF">
        <w:t>6</w:t>
      </w:r>
      <w:r w:rsidRPr="001B3B93">
        <w:t>: Scholarships and economic partnerships</w:t>
      </w:r>
    </w:p>
    <w:p w14:paraId="2D642E2D" w14:textId="2E079577" w:rsidR="0058757C" w:rsidRDefault="0058757C" w:rsidP="0058757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In Indonesia and Vietnam, there has been a shift towards using scholarships in a more targeted way, to build links with Australia at institutional and individual levels. This is not unique to economic partnerships but can help support their objectives. Scholarships are being directed towards </w:t>
      </w:r>
      <w:r w:rsidR="009B46C1" w:rsidRPr="001B3B93">
        <w:t xml:space="preserve">institutions and sectors identified as important for building bilateral economic ties. There is a shift towards short-course awards, to maximise coverage. There is also more resource </w:t>
      </w:r>
      <w:r w:rsidR="00827847" w:rsidRPr="001B3B93">
        <w:t xml:space="preserve">going </w:t>
      </w:r>
      <w:r w:rsidR="009B46C1" w:rsidRPr="001B3B93">
        <w:t>into maintaining alumni networks, not just among scholarship recipients but also among private students (</w:t>
      </w:r>
      <w:r w:rsidR="00F36E9D">
        <w:t xml:space="preserve">in 2018 </w:t>
      </w:r>
      <w:r w:rsidR="009B46C1" w:rsidRPr="001B3B93">
        <w:t xml:space="preserve">there </w:t>
      </w:r>
      <w:r w:rsidR="00F36E9D">
        <w:t xml:space="preserve">were </w:t>
      </w:r>
      <w:r w:rsidR="006A564A">
        <w:t xml:space="preserve">more than </w:t>
      </w:r>
      <w:r w:rsidR="009B46C1" w:rsidRPr="001B3B93">
        <w:t>1</w:t>
      </w:r>
      <w:r w:rsidR="008F1A6E">
        <w:t>3</w:t>
      </w:r>
      <w:r w:rsidR="009B46C1" w:rsidRPr="001B3B93">
        <w:t xml:space="preserve">,000 Indonesian students studying in Australia, but only </w:t>
      </w:r>
      <w:r w:rsidR="00F36E9D">
        <w:t xml:space="preserve">around </w:t>
      </w:r>
      <w:r w:rsidR="008F1A6E">
        <w:t>9</w:t>
      </w:r>
      <w:r w:rsidR="009B46C1" w:rsidRPr="001B3B93">
        <w:t>00</w:t>
      </w:r>
      <w:r w:rsidR="006A564A">
        <w:t xml:space="preserve"> were</w:t>
      </w:r>
      <w:r w:rsidR="009B46C1" w:rsidRPr="001B3B93">
        <w:t xml:space="preserve"> on aid-funded scholarships). For example, the Red Cattle Partnership places Indonesian farmers with Australian farmers for training, and then uses the alumni network to build linkages between the industr</w:t>
      </w:r>
      <w:r w:rsidR="00D30FB8">
        <w:t>ies</w:t>
      </w:r>
      <w:r w:rsidR="009B46C1" w:rsidRPr="001B3B93">
        <w:t xml:space="preserve"> in both countries.</w:t>
      </w:r>
      <w:r w:rsidR="00E70505" w:rsidRPr="001B3B93">
        <w:t xml:space="preserve"> Ongoing tracer studies will help to identify whether scholarships and awards build long-term bilateral ties.</w:t>
      </w:r>
    </w:p>
    <w:p w14:paraId="61A2E2E2" w14:textId="2E80C64C" w:rsidR="00EA2B6E" w:rsidRPr="00215188" w:rsidRDefault="00EA2B6E" w:rsidP="0058757C">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rPr>
          <w:sz w:val="18"/>
          <w:szCs w:val="18"/>
        </w:rPr>
      </w:pPr>
      <w:r w:rsidRPr="00215188">
        <w:t>Source:</w:t>
      </w:r>
      <w:r w:rsidR="00F36E9D" w:rsidRPr="00215188">
        <w:t xml:space="preserve"> Information from DFAT posts.</w:t>
      </w:r>
    </w:p>
    <w:p w14:paraId="60CA21C4" w14:textId="77777777" w:rsidR="000C55B6" w:rsidRDefault="000C55B6" w:rsidP="00CB28C7">
      <w:pPr>
        <w:rPr>
          <w:i/>
          <w:color w:val="296C60" w:themeColor="background2" w:themeShade="80"/>
          <w:szCs w:val="23"/>
        </w:rPr>
      </w:pPr>
    </w:p>
    <w:p w14:paraId="440488C2" w14:textId="79C6F5A1" w:rsidR="00CB28C7" w:rsidRPr="001B3B93" w:rsidRDefault="00CB28C7" w:rsidP="003D3BD9">
      <w:pPr>
        <w:pStyle w:val="Heading3"/>
      </w:pPr>
      <w:bookmarkStart w:id="71" w:name="_Toc527713000"/>
      <w:r w:rsidRPr="001B3B93">
        <w:t>Key messages</w:t>
      </w:r>
      <w:bookmarkEnd w:id="71"/>
    </w:p>
    <w:p w14:paraId="7CFF53DD" w14:textId="2309A699" w:rsidR="00CB28C7" w:rsidRPr="001B3B93" w:rsidRDefault="00CB28C7" w:rsidP="00CB28C7">
      <w:pPr>
        <w:rPr>
          <w:szCs w:val="23"/>
        </w:rPr>
      </w:pPr>
      <w:r w:rsidRPr="001B3B93">
        <w:rPr>
          <w:szCs w:val="23"/>
        </w:rPr>
        <w:t xml:space="preserve">The </w:t>
      </w:r>
      <w:r w:rsidR="00F647F3">
        <w:rPr>
          <w:szCs w:val="23"/>
        </w:rPr>
        <w:t>transition toward</w:t>
      </w:r>
      <w:r w:rsidR="003920A9">
        <w:rPr>
          <w:szCs w:val="23"/>
        </w:rPr>
        <w:t>s</w:t>
      </w:r>
      <w:r w:rsidR="00F647F3">
        <w:rPr>
          <w:szCs w:val="23"/>
        </w:rPr>
        <w:t xml:space="preserve"> </w:t>
      </w:r>
      <w:r w:rsidRPr="001B3B93">
        <w:rPr>
          <w:szCs w:val="23"/>
        </w:rPr>
        <w:t>economic partnership</w:t>
      </w:r>
      <w:r w:rsidR="008215D7" w:rsidRPr="001B3B93">
        <w:rPr>
          <w:szCs w:val="23"/>
        </w:rPr>
        <w:t>s</w:t>
      </w:r>
      <w:r w:rsidRPr="001B3B93">
        <w:rPr>
          <w:szCs w:val="23"/>
        </w:rPr>
        <w:t xml:space="preserve"> </w:t>
      </w:r>
      <w:r w:rsidR="008215D7" w:rsidRPr="001B3B93">
        <w:rPr>
          <w:szCs w:val="23"/>
        </w:rPr>
        <w:t xml:space="preserve">as an organising concept for Australian aid to </w:t>
      </w:r>
      <w:r w:rsidR="00995186">
        <w:rPr>
          <w:szCs w:val="23"/>
        </w:rPr>
        <w:t xml:space="preserve">Asian </w:t>
      </w:r>
      <w:r w:rsidR="008215D7" w:rsidRPr="001B3B93">
        <w:rPr>
          <w:szCs w:val="23"/>
        </w:rPr>
        <w:t xml:space="preserve">MICs is </w:t>
      </w:r>
      <w:r w:rsidR="000C0828">
        <w:rPr>
          <w:szCs w:val="23"/>
        </w:rPr>
        <w:t>ongoing,</w:t>
      </w:r>
      <w:r w:rsidR="008215D7" w:rsidRPr="001B3B93">
        <w:rPr>
          <w:szCs w:val="23"/>
        </w:rPr>
        <w:t xml:space="preserve"> but evident in the evolution of</w:t>
      </w:r>
      <w:r w:rsidR="006470DB">
        <w:rPr>
          <w:szCs w:val="23"/>
        </w:rPr>
        <w:t xml:space="preserve"> the</w:t>
      </w:r>
      <w:r w:rsidR="008215D7" w:rsidRPr="001B3B93">
        <w:rPr>
          <w:szCs w:val="23"/>
        </w:rPr>
        <w:t xml:space="preserve"> </w:t>
      </w:r>
      <w:r w:rsidRPr="001B3B93">
        <w:rPr>
          <w:szCs w:val="23"/>
        </w:rPr>
        <w:t>objectives and methods of development cooperation, including:</w:t>
      </w:r>
    </w:p>
    <w:p w14:paraId="6A4139DF" w14:textId="428F401A" w:rsidR="00CB28C7" w:rsidRPr="001B3B93" w:rsidRDefault="006A564A" w:rsidP="000C55B6">
      <w:pPr>
        <w:pStyle w:val="ListParagraph"/>
        <w:numPr>
          <w:ilvl w:val="0"/>
          <w:numId w:val="15"/>
        </w:numPr>
        <w:ind w:left="714" w:hanging="357"/>
        <w:contextualSpacing w:val="0"/>
      </w:pPr>
      <w:r>
        <w:t>shifting</w:t>
      </w:r>
      <w:r w:rsidR="00CB28C7" w:rsidRPr="001B3B93">
        <w:t xml:space="preserve"> towards knowledge-based assistance</w:t>
      </w:r>
    </w:p>
    <w:p w14:paraId="63561220" w14:textId="63549FAE" w:rsidR="00CB28C7" w:rsidRPr="001B3B93" w:rsidRDefault="006A564A" w:rsidP="000C55B6">
      <w:pPr>
        <w:pStyle w:val="ListParagraph"/>
        <w:numPr>
          <w:ilvl w:val="0"/>
          <w:numId w:val="15"/>
        </w:numPr>
        <w:ind w:left="714" w:hanging="357"/>
        <w:contextualSpacing w:val="0"/>
      </w:pPr>
      <w:r>
        <w:t>p</w:t>
      </w:r>
      <w:r w:rsidR="00CB28C7" w:rsidRPr="001B3B93">
        <w:t>ositioning the aid program to support key reformers and reform initiatives in a flexible way</w:t>
      </w:r>
    </w:p>
    <w:p w14:paraId="780247F6" w14:textId="4B8F444E" w:rsidR="00CB28C7" w:rsidRPr="001B3B93" w:rsidRDefault="006A564A" w:rsidP="000C55B6">
      <w:pPr>
        <w:pStyle w:val="ListParagraph"/>
        <w:numPr>
          <w:ilvl w:val="0"/>
          <w:numId w:val="15"/>
        </w:numPr>
        <w:ind w:left="714" w:hanging="357"/>
        <w:contextualSpacing w:val="0"/>
      </w:pPr>
      <w:r>
        <w:t>i</w:t>
      </w:r>
      <w:r w:rsidR="00CB28C7" w:rsidRPr="001B3B93">
        <w:t>nfluencing how other sources of development finance are spent, including national budgets and MDB lending</w:t>
      </w:r>
    </w:p>
    <w:p w14:paraId="0A8FAF9E" w14:textId="1F0D20B2" w:rsidR="00CB28C7" w:rsidRPr="001B3B93" w:rsidRDefault="006A564A" w:rsidP="000C55B6">
      <w:pPr>
        <w:pStyle w:val="ListParagraph"/>
        <w:numPr>
          <w:ilvl w:val="0"/>
          <w:numId w:val="15"/>
        </w:numPr>
        <w:ind w:left="714" w:hanging="357"/>
        <w:contextualSpacing w:val="0"/>
      </w:pPr>
      <w:r>
        <w:lastRenderedPageBreak/>
        <w:t>focusing</w:t>
      </w:r>
      <w:r w:rsidR="00995186">
        <w:t xml:space="preserve"> on</w:t>
      </w:r>
      <w:r w:rsidR="00995186" w:rsidRPr="001B3B93">
        <w:t xml:space="preserve"> </w:t>
      </w:r>
      <w:r w:rsidR="00CB28C7" w:rsidRPr="001B3B93">
        <w:t>regional economic integration and cooperation</w:t>
      </w:r>
    </w:p>
    <w:p w14:paraId="4550EEA1" w14:textId="0C7D1AC7" w:rsidR="008215D7" w:rsidRPr="001B3B93" w:rsidRDefault="00995186" w:rsidP="000C55B6">
      <w:pPr>
        <w:pStyle w:val="ListParagraph"/>
        <w:numPr>
          <w:ilvl w:val="0"/>
          <w:numId w:val="15"/>
        </w:numPr>
        <w:ind w:left="714" w:hanging="357"/>
        <w:contextualSpacing w:val="0"/>
      </w:pPr>
      <w:r>
        <w:t xml:space="preserve">emerging focus on building </w:t>
      </w:r>
      <w:r w:rsidR="008215D7" w:rsidRPr="001B3B93">
        <w:t>durable relationships and linkages with key partners and institutions</w:t>
      </w:r>
      <w:r>
        <w:t xml:space="preserve"> through scholarships and courses</w:t>
      </w:r>
      <w:r w:rsidR="008215D7" w:rsidRPr="001B3B93">
        <w:t>.</w:t>
      </w:r>
    </w:p>
    <w:p w14:paraId="4CDF7319" w14:textId="77777777" w:rsidR="00671981" w:rsidRPr="001B3B93" w:rsidRDefault="00045EDA" w:rsidP="00214C16">
      <w:pPr>
        <w:pStyle w:val="Heading3"/>
      </w:pPr>
      <w:bookmarkStart w:id="72" w:name="_Toc527713001"/>
      <w:r w:rsidRPr="001B3B93">
        <w:t>How well do</w:t>
      </w:r>
      <w:r w:rsidR="00273EAD" w:rsidRPr="001B3B93">
        <w:t>es</w:t>
      </w:r>
      <w:r w:rsidRPr="001B3B93">
        <w:t xml:space="preserve"> the </w:t>
      </w:r>
      <w:r w:rsidR="00273EAD" w:rsidRPr="001B3B93">
        <w:t xml:space="preserve">positioning of aid to strengthen </w:t>
      </w:r>
      <w:r w:rsidRPr="001B3B93">
        <w:t>economic partnerships reflect</w:t>
      </w:r>
      <w:r w:rsidR="00214C16" w:rsidRPr="001B3B93">
        <w:t xml:space="preserve"> the interests of Australia and the partner countries?</w:t>
      </w:r>
      <w:bookmarkEnd w:id="72"/>
    </w:p>
    <w:p w14:paraId="334F7367" w14:textId="77777777" w:rsidR="00273EAD" w:rsidRPr="001B3B93" w:rsidRDefault="00273EAD" w:rsidP="001B3B93">
      <w:pPr>
        <w:pStyle w:val="Heading4"/>
      </w:pPr>
      <w:r w:rsidRPr="001B3B93">
        <w:t>Alignment with partner country interests</w:t>
      </w:r>
    </w:p>
    <w:p w14:paraId="0A0B10C9" w14:textId="4F5DE540" w:rsidR="00214C16" w:rsidRPr="001B3B93" w:rsidRDefault="00214C16">
      <w:r w:rsidRPr="001B3B93">
        <w:t xml:space="preserve">In Indonesia and Vietnam, the </w:t>
      </w:r>
      <w:r w:rsidR="00393D0F">
        <w:t xml:space="preserve">evolution of </w:t>
      </w:r>
      <w:r w:rsidR="00273EAD" w:rsidRPr="001B3B93">
        <w:t xml:space="preserve">the aid program </w:t>
      </w:r>
      <w:r w:rsidR="00992656">
        <w:t>to support</w:t>
      </w:r>
      <w:r w:rsidR="00393D0F">
        <w:t xml:space="preserve"> </w:t>
      </w:r>
      <w:r w:rsidRPr="001B3B93">
        <w:t>economic partnership</w:t>
      </w:r>
      <w:r w:rsidR="00273EAD" w:rsidRPr="001B3B93">
        <w:t>s</w:t>
      </w:r>
      <w:r w:rsidRPr="001B3B93">
        <w:t xml:space="preserve"> </w:t>
      </w:r>
      <w:r w:rsidR="00393D0F">
        <w:t xml:space="preserve">is </w:t>
      </w:r>
      <w:r w:rsidRPr="001B3B93">
        <w:t xml:space="preserve">a good </w:t>
      </w:r>
      <w:r w:rsidR="000C6F6E" w:rsidRPr="001B3B93">
        <w:t xml:space="preserve">fit </w:t>
      </w:r>
      <w:r w:rsidRPr="001B3B93">
        <w:t>with national needs and priorities.</w:t>
      </w:r>
      <w:r w:rsidR="00273EAD" w:rsidRPr="001B3B93">
        <w:t xml:space="preserve"> This was evident in the use of aid to mobilis</w:t>
      </w:r>
      <w:r w:rsidR="00393D0F">
        <w:t>e</w:t>
      </w:r>
      <w:r w:rsidR="00273EAD" w:rsidRPr="001B3B93">
        <w:t xml:space="preserve"> and mak</w:t>
      </w:r>
      <w:r w:rsidR="00393D0F">
        <w:t>e</w:t>
      </w:r>
      <w:r w:rsidR="00273EAD" w:rsidRPr="001B3B93">
        <w:t xml:space="preserve"> better use of domestic finance, support economic reform and promote regional integration.</w:t>
      </w:r>
    </w:p>
    <w:p w14:paraId="658FA4BE" w14:textId="77777777" w:rsidR="00CF5131" w:rsidRPr="001B3B93" w:rsidRDefault="00EE2BD4" w:rsidP="0087300A">
      <w:pPr>
        <w:rPr>
          <w:i/>
          <w:color w:val="296C60" w:themeColor="background2" w:themeShade="80"/>
          <w:szCs w:val="23"/>
        </w:rPr>
      </w:pPr>
      <w:r w:rsidRPr="001B3B93">
        <w:rPr>
          <w:i/>
          <w:color w:val="296C60" w:themeColor="background2" w:themeShade="80"/>
          <w:szCs w:val="23"/>
        </w:rPr>
        <w:t xml:space="preserve">Mobilising and making </w:t>
      </w:r>
      <w:r w:rsidR="00E94793" w:rsidRPr="001B3B93">
        <w:rPr>
          <w:i/>
          <w:color w:val="296C60" w:themeColor="background2" w:themeShade="80"/>
          <w:szCs w:val="23"/>
        </w:rPr>
        <w:t>better use of domestic finance</w:t>
      </w:r>
    </w:p>
    <w:p w14:paraId="52AFEFEE" w14:textId="77777777" w:rsidR="00442280" w:rsidRPr="001B3B93" w:rsidRDefault="00CF5131" w:rsidP="0087300A">
      <w:r w:rsidRPr="001B3B93">
        <w:t>R</w:t>
      </w:r>
      <w:r w:rsidR="00442280" w:rsidRPr="001B3B93">
        <w:t xml:space="preserve">ebalancing </w:t>
      </w:r>
      <w:r w:rsidR="0001703B" w:rsidRPr="001B3B93">
        <w:t xml:space="preserve">Australian aid </w:t>
      </w:r>
      <w:r w:rsidR="00442280" w:rsidRPr="001B3B93">
        <w:t xml:space="preserve">from direct financing of infrastructure </w:t>
      </w:r>
      <w:r w:rsidR="0001703B" w:rsidRPr="001B3B93">
        <w:t xml:space="preserve">and services </w:t>
      </w:r>
      <w:r w:rsidR="00442280" w:rsidRPr="001B3B93">
        <w:t xml:space="preserve">towards supporting </w:t>
      </w:r>
      <w:r w:rsidR="00567133" w:rsidRPr="001B3B93">
        <w:t>partners to</w:t>
      </w:r>
      <w:r w:rsidR="00442280" w:rsidRPr="001B3B93">
        <w:t xml:space="preserve"> raise the volume or quality of domestic expenditure makes good sense in both countries. </w:t>
      </w:r>
    </w:p>
    <w:p w14:paraId="42944E4F" w14:textId="7413EF8A" w:rsidR="0001703B" w:rsidRPr="001B3B93" w:rsidRDefault="00C91382" w:rsidP="0087300A">
      <w:r w:rsidRPr="001B3B93">
        <w:t>In Indonesia, the government has made infrastructure development central to its growth strategy.</w:t>
      </w:r>
      <w:r w:rsidRPr="001B3B93">
        <w:rPr>
          <w:rStyle w:val="FootnoteReference"/>
        </w:rPr>
        <w:footnoteReference w:id="48"/>
      </w:r>
      <w:r w:rsidRPr="001B3B93">
        <w:t xml:space="preserve"> </w:t>
      </w:r>
      <w:r w:rsidR="0001703B" w:rsidRPr="001B3B93">
        <w:t xml:space="preserve">World Bank analysis </w:t>
      </w:r>
      <w:r w:rsidR="00567133" w:rsidRPr="001B3B93">
        <w:t>suggests</w:t>
      </w:r>
      <w:r w:rsidR="006A564A">
        <w:t xml:space="preserve"> that</w:t>
      </w:r>
      <w:r w:rsidR="0001703B" w:rsidRPr="001B3B93">
        <w:t xml:space="preserve"> Indonesia needs to boost its infrastructure spending substantially to escape the middle-income trap before it loses its demographic advantage.</w:t>
      </w:r>
      <w:r w:rsidR="008E11DB" w:rsidRPr="001B3B93">
        <w:rPr>
          <w:rStyle w:val="FootnoteReference"/>
        </w:rPr>
        <w:footnoteReference w:id="49"/>
      </w:r>
      <w:r w:rsidR="0001703B" w:rsidRPr="001B3B93">
        <w:t xml:space="preserve"> Indonesia’s p</w:t>
      </w:r>
      <w:r w:rsidRPr="001B3B93">
        <w:t xml:space="preserve">lanned infrastructure investments of </w:t>
      </w:r>
      <w:r w:rsidR="0050631B">
        <w:t>USD</w:t>
      </w:r>
      <w:r w:rsidR="001E2D11" w:rsidRPr="001B3B93">
        <w:t>187 billion over 2015</w:t>
      </w:r>
      <w:r w:rsidR="006A564A">
        <w:t>–</w:t>
      </w:r>
      <w:r w:rsidR="001E2D11" w:rsidRPr="001B3B93">
        <w:t xml:space="preserve">19 </w:t>
      </w:r>
      <w:r w:rsidR="00CC65C4" w:rsidRPr="001B3B93">
        <w:t xml:space="preserve">are at </w:t>
      </w:r>
      <w:r w:rsidR="008E11DB" w:rsidRPr="001B3B93">
        <w:t xml:space="preserve">an all-time </w:t>
      </w:r>
      <w:r w:rsidR="00CC65C4" w:rsidRPr="001B3B93">
        <w:t xml:space="preserve">high but </w:t>
      </w:r>
      <w:r w:rsidR="00B4157E" w:rsidRPr="001B3B93">
        <w:t xml:space="preserve">are </w:t>
      </w:r>
      <w:r w:rsidR="00CC65C4" w:rsidRPr="001B3B93">
        <w:t>U</w:t>
      </w:r>
      <w:r w:rsidR="0050631B">
        <w:t>SD</w:t>
      </w:r>
      <w:r w:rsidR="00CC65C4" w:rsidRPr="001B3B93">
        <w:t>50</w:t>
      </w:r>
      <w:r w:rsidR="00EF6C2F">
        <w:t xml:space="preserve"> to </w:t>
      </w:r>
      <w:r w:rsidR="00CC65C4" w:rsidRPr="001B3B93">
        <w:t xml:space="preserve">60 billion </w:t>
      </w:r>
      <w:r w:rsidR="0087300A" w:rsidRPr="001B3B93">
        <w:t xml:space="preserve">per year </w:t>
      </w:r>
      <w:r w:rsidR="00CC65C4" w:rsidRPr="001B3B93">
        <w:t xml:space="preserve">below </w:t>
      </w:r>
      <w:r w:rsidR="0087300A" w:rsidRPr="001B3B93">
        <w:t xml:space="preserve">what </w:t>
      </w:r>
      <w:r w:rsidR="00567133" w:rsidRPr="001B3B93">
        <w:t xml:space="preserve">the World Bank says </w:t>
      </w:r>
      <w:r w:rsidR="0087300A" w:rsidRPr="001B3B93">
        <w:t xml:space="preserve">is </w:t>
      </w:r>
      <w:r w:rsidR="00CC65C4" w:rsidRPr="001B3B93">
        <w:t>need</w:t>
      </w:r>
      <w:r w:rsidR="0087300A" w:rsidRPr="001B3B93">
        <w:t xml:space="preserve">ed to </w:t>
      </w:r>
      <w:r w:rsidR="00EE2BD4" w:rsidRPr="001B3B93">
        <w:t>close the infrastructure gap</w:t>
      </w:r>
      <w:r w:rsidR="00CC65C4" w:rsidRPr="001B3B93">
        <w:t>.</w:t>
      </w:r>
      <w:r w:rsidR="008E11DB" w:rsidRPr="001B3B93">
        <w:rPr>
          <w:rStyle w:val="FootnoteReference"/>
        </w:rPr>
        <w:footnoteReference w:id="50"/>
      </w:r>
    </w:p>
    <w:p w14:paraId="4E8D062A" w14:textId="76FE64F7" w:rsidR="008E11DB" w:rsidRPr="001B3B93" w:rsidRDefault="008E11DB" w:rsidP="0087300A">
      <w:r w:rsidRPr="001B3B93">
        <w:t>Given that scale of need</w:t>
      </w:r>
      <w:r w:rsidR="00EE2BD4" w:rsidRPr="001B3B93">
        <w:t xml:space="preserve">, Australia’s aid for infrastructure (around </w:t>
      </w:r>
      <w:r w:rsidR="0050631B">
        <w:t>AUD</w:t>
      </w:r>
      <w:r w:rsidR="00CA01FC">
        <w:t>60</w:t>
      </w:r>
      <w:r w:rsidR="00EE2BD4" w:rsidRPr="001B3B93">
        <w:t xml:space="preserve"> million per year) </w:t>
      </w:r>
      <w:r w:rsidR="00CA01FC">
        <w:t xml:space="preserve">does not make a </w:t>
      </w:r>
      <w:r w:rsidR="00EE2BD4" w:rsidRPr="001B3B93">
        <w:t>material difference to the volume of infrastructure finance</w:t>
      </w:r>
      <w:r w:rsidRPr="001B3B93">
        <w:t xml:space="preserve"> available to Indonesia</w:t>
      </w:r>
      <w:r w:rsidR="00EE2BD4" w:rsidRPr="001B3B93">
        <w:t xml:space="preserve">. Its </w:t>
      </w:r>
      <w:r w:rsidR="00070487" w:rsidRPr="001B3B93">
        <w:t xml:space="preserve">value </w:t>
      </w:r>
      <w:r w:rsidR="00EE2BD4" w:rsidRPr="001B3B93">
        <w:t xml:space="preserve">lies in improving the quality of Indonesia’s own infrastructure </w:t>
      </w:r>
      <w:r w:rsidR="00070487" w:rsidRPr="001B3B93">
        <w:t>spending</w:t>
      </w:r>
      <w:r w:rsidR="00EE2BD4" w:rsidRPr="001B3B93">
        <w:t>.</w:t>
      </w:r>
    </w:p>
    <w:p w14:paraId="13324E74" w14:textId="28C75FD4" w:rsidR="00EE2BD4" w:rsidRPr="001B3B93" w:rsidRDefault="008E11DB" w:rsidP="0087300A">
      <w:r w:rsidRPr="001B3B93">
        <w:t xml:space="preserve">Indonesia also needs to increase its investment in </w:t>
      </w:r>
      <w:r w:rsidR="00BA530F" w:rsidRPr="001B3B93">
        <w:t>human development</w:t>
      </w:r>
      <w:r w:rsidRPr="001B3B93">
        <w:t xml:space="preserve">, to tackle stunting, improve educational attainment and build the human capital required to raise productivity. Indonesia currently collects less than half of its potential tax take, and its </w:t>
      </w:r>
      <w:r w:rsidR="00273371" w:rsidRPr="001B3B93">
        <w:t xml:space="preserve">tax </w:t>
      </w:r>
      <w:r w:rsidRPr="001B3B93">
        <w:t>revenue has been declining as a proportion of GDP.</w:t>
      </w:r>
      <w:r w:rsidRPr="001B3B93">
        <w:rPr>
          <w:rStyle w:val="FootnoteReference"/>
        </w:rPr>
        <w:footnoteReference w:id="51"/>
      </w:r>
      <w:r w:rsidRPr="001B3B93">
        <w:t xml:space="preserve"> </w:t>
      </w:r>
      <w:r w:rsidR="00070487" w:rsidRPr="001B3B93">
        <w:t>To address this,</w:t>
      </w:r>
      <w:r w:rsidRPr="001B3B93">
        <w:t xml:space="preserve"> Australia is supporting improvements to revenue collection</w:t>
      </w:r>
      <w:r w:rsidR="00BA530F" w:rsidRPr="001B3B93">
        <w:t xml:space="preserve">, </w:t>
      </w:r>
      <w:r w:rsidR="00663E24" w:rsidRPr="001B3B93">
        <w:t>planning and budget systems</w:t>
      </w:r>
      <w:r w:rsidR="00BC7079">
        <w:t>, to raise the level and quality of national spending on public services</w:t>
      </w:r>
      <w:r w:rsidR="00663E24" w:rsidRPr="001B3B93">
        <w:t>.</w:t>
      </w:r>
    </w:p>
    <w:p w14:paraId="0BF87FC7" w14:textId="426DC799" w:rsidR="00FF65E3" w:rsidRPr="001B3B93" w:rsidRDefault="0097405D" w:rsidP="0097405D">
      <w:r>
        <w:t xml:space="preserve">Vietnam faces a different set of challenges </w:t>
      </w:r>
      <w:r w:rsidR="00BC7079">
        <w:t xml:space="preserve">around </w:t>
      </w:r>
      <w:r>
        <w:t>infrastructure</w:t>
      </w:r>
      <w:r w:rsidR="00BC7079">
        <w:t xml:space="preserve"> investment</w:t>
      </w:r>
      <w:r>
        <w:t xml:space="preserve">. </w:t>
      </w:r>
      <w:r w:rsidR="006A564A">
        <w:t xml:space="preserve">Its </w:t>
      </w:r>
      <w:r>
        <w:t xml:space="preserve">government has imposed a spending cap to keep public debt under control. </w:t>
      </w:r>
      <w:r w:rsidR="00BC7079">
        <w:t>A</w:t>
      </w:r>
      <w:r>
        <w:t xml:space="preserve"> substantial pipeline of MDB-financed projects for strategic infrastructure </w:t>
      </w:r>
      <w:r w:rsidR="00D23970">
        <w:t xml:space="preserve">is </w:t>
      </w:r>
      <w:r>
        <w:t xml:space="preserve">currently frozen. Australia’s new Aus4Transport program </w:t>
      </w:r>
      <w:r w:rsidR="00BC7079">
        <w:t xml:space="preserve">will focus on </w:t>
      </w:r>
      <w:r>
        <w:t xml:space="preserve">project preparation, feasibility studies and procurement, trying to unlock the pipeline. In this context, carefully targeted grant finance can enable larger projects </w:t>
      </w:r>
      <w:r>
        <w:lastRenderedPageBreak/>
        <w:t xml:space="preserve">to reach implementation, addressing bottlenecks </w:t>
      </w:r>
      <w:r w:rsidR="00BC7079">
        <w:t xml:space="preserve">to </w:t>
      </w:r>
      <w:r>
        <w:t>Vietnam’s economic growth. Vietnam also faces challenges with making effective use of its national development budget, with r</w:t>
      </w:r>
      <w:r w:rsidR="00432F84" w:rsidRPr="001B3B93">
        <w:t xml:space="preserve">esources spread </w:t>
      </w:r>
      <w:r w:rsidR="007F2207" w:rsidRPr="001B3B93">
        <w:t>across too many projects (</w:t>
      </w:r>
      <w:r w:rsidR="00273371" w:rsidRPr="001B3B93">
        <w:t xml:space="preserve">one study found that </w:t>
      </w:r>
      <w:r w:rsidR="007F2207" w:rsidRPr="001B3B93">
        <w:t>more than 20 airports, 24 deep-sea ports, 18 economic zones and 260 industrial parks</w:t>
      </w:r>
      <w:r w:rsidR="00273371" w:rsidRPr="001B3B93">
        <w:t xml:space="preserve"> were under construction</w:t>
      </w:r>
      <w:r w:rsidR="00432F84" w:rsidRPr="001B3B93">
        <w:rPr>
          <w:rStyle w:val="FootnoteReference"/>
        </w:rPr>
        <w:footnoteReference w:id="52"/>
      </w:r>
      <w:r w:rsidR="007F2207" w:rsidRPr="001B3B93">
        <w:t>), with poor selection</w:t>
      </w:r>
      <w:r w:rsidR="00432F84" w:rsidRPr="001B3B93">
        <w:t xml:space="preserve"> and design</w:t>
      </w:r>
      <w:r w:rsidR="007F2207" w:rsidRPr="001B3B93">
        <w:t xml:space="preserve">, low completion rates and inadequate expenditure on operations and maintenance. </w:t>
      </w:r>
      <w:r w:rsidR="00946F29" w:rsidRPr="001B3B93">
        <w:t>Against this background, t</w:t>
      </w:r>
      <w:r w:rsidR="00432F84" w:rsidRPr="001B3B93">
        <w:t xml:space="preserve">he World Bank concludes that the priority is not to raise the </w:t>
      </w:r>
      <w:r w:rsidR="00BC7079">
        <w:t xml:space="preserve">overall </w:t>
      </w:r>
      <w:r w:rsidR="00432F84" w:rsidRPr="001B3B93">
        <w:t>level of public investment, but to improve its quality.</w:t>
      </w:r>
      <w:r w:rsidR="00432F84" w:rsidRPr="001B3B93">
        <w:rPr>
          <w:vertAlign w:val="superscript"/>
        </w:rPr>
        <w:footnoteReference w:id="53"/>
      </w:r>
      <w:r w:rsidR="00C930B4" w:rsidRPr="001B3B93">
        <w:t xml:space="preserve"> </w:t>
      </w:r>
      <w:r w:rsidR="00BA530F" w:rsidRPr="001B3B93">
        <w:t xml:space="preserve">This is one </w:t>
      </w:r>
      <w:r w:rsidR="008B447B" w:rsidRPr="001B3B93">
        <w:t xml:space="preserve">objective of </w:t>
      </w:r>
      <w:r w:rsidR="00C930B4" w:rsidRPr="001B3B93">
        <w:t xml:space="preserve">Australia’s partnership with the World Bank in Vietnam. </w:t>
      </w:r>
    </w:p>
    <w:p w14:paraId="574A9B48" w14:textId="77777777" w:rsidR="00CF7014" w:rsidRPr="001B3B93" w:rsidRDefault="00BE4E18" w:rsidP="007F2207">
      <w:pPr>
        <w:rPr>
          <w:i/>
          <w:color w:val="296C60" w:themeColor="background2" w:themeShade="80"/>
          <w:szCs w:val="23"/>
        </w:rPr>
      </w:pPr>
      <w:r w:rsidRPr="001B3B93">
        <w:rPr>
          <w:i/>
          <w:color w:val="296C60" w:themeColor="background2" w:themeShade="80"/>
          <w:szCs w:val="23"/>
        </w:rPr>
        <w:t xml:space="preserve">Supporting </w:t>
      </w:r>
      <w:r w:rsidR="00E11636" w:rsidRPr="001B3B93">
        <w:rPr>
          <w:i/>
          <w:color w:val="296C60" w:themeColor="background2" w:themeShade="80"/>
          <w:szCs w:val="23"/>
        </w:rPr>
        <w:t xml:space="preserve">economic </w:t>
      </w:r>
      <w:r w:rsidRPr="001B3B93">
        <w:rPr>
          <w:i/>
          <w:color w:val="296C60" w:themeColor="background2" w:themeShade="80"/>
          <w:szCs w:val="23"/>
        </w:rPr>
        <w:t>reforms</w:t>
      </w:r>
    </w:p>
    <w:p w14:paraId="6433F684" w14:textId="3A358164" w:rsidR="008A3486" w:rsidRPr="001B3B93" w:rsidRDefault="00BE4E18">
      <w:r w:rsidRPr="001B3B93">
        <w:t>B</w:t>
      </w:r>
      <w:r w:rsidR="00442280" w:rsidRPr="001B3B93">
        <w:t xml:space="preserve">oth countries </w:t>
      </w:r>
      <w:r w:rsidRPr="001B3B93">
        <w:t xml:space="preserve">recognise </w:t>
      </w:r>
      <w:r w:rsidR="00070487" w:rsidRPr="001B3B93">
        <w:t xml:space="preserve">the </w:t>
      </w:r>
      <w:r w:rsidR="00442280" w:rsidRPr="001B3B93">
        <w:t xml:space="preserve">need </w:t>
      </w:r>
      <w:r w:rsidR="00070487" w:rsidRPr="001B3B93">
        <w:t xml:space="preserve">for </w:t>
      </w:r>
      <w:r w:rsidR="00FC6B64" w:rsidRPr="001B3B93">
        <w:t xml:space="preserve">economic </w:t>
      </w:r>
      <w:r w:rsidR="00442280" w:rsidRPr="001B3B93">
        <w:t xml:space="preserve">reform. </w:t>
      </w:r>
      <w:r w:rsidR="008A3486" w:rsidRPr="001B3B93">
        <w:t>Vietnam is mid-way through the transition from a state-run to a market economy</w:t>
      </w:r>
      <w:r w:rsidR="00273371" w:rsidRPr="001B3B93">
        <w:t>,</w:t>
      </w:r>
      <w:r w:rsidR="00EE3E37" w:rsidRPr="001B3B93">
        <w:t xml:space="preserve"> but t</w:t>
      </w:r>
      <w:r w:rsidR="008A3486" w:rsidRPr="001B3B93">
        <w:t xml:space="preserve">he pace of transition has </w:t>
      </w:r>
      <w:r w:rsidR="00EE3E37" w:rsidRPr="001B3B93">
        <w:t xml:space="preserve">slowed </w:t>
      </w:r>
      <w:r w:rsidR="008A3486" w:rsidRPr="001B3B93">
        <w:t>in recent years. While thousands of state-owned enterprises</w:t>
      </w:r>
      <w:r w:rsidR="00D3045E" w:rsidRPr="001B3B93">
        <w:t xml:space="preserve"> have been at least partially privatised</w:t>
      </w:r>
      <w:r w:rsidR="008A3486" w:rsidRPr="001B3B93">
        <w:t xml:space="preserve">, </w:t>
      </w:r>
      <w:r w:rsidR="00D3045E" w:rsidRPr="001B3B93">
        <w:t xml:space="preserve">the state </w:t>
      </w:r>
      <w:r w:rsidR="008A3486" w:rsidRPr="001B3B93">
        <w:t xml:space="preserve">still exercises a virtual monopoly over strategic sectors such as </w:t>
      </w:r>
      <w:r w:rsidR="00347202">
        <w:t xml:space="preserve">banking, </w:t>
      </w:r>
      <w:r w:rsidR="008A3486" w:rsidRPr="001B3B93">
        <w:t>coal, construction, fertiliser, plastics</w:t>
      </w:r>
      <w:r w:rsidR="00347202">
        <w:t xml:space="preserve"> and</w:t>
      </w:r>
      <w:r w:rsidR="008A3486" w:rsidRPr="001B3B93">
        <w:t xml:space="preserve"> utilities. While </w:t>
      </w:r>
      <w:r w:rsidRPr="001B3B93">
        <w:t xml:space="preserve">Vietnam </w:t>
      </w:r>
      <w:r w:rsidR="008A3486" w:rsidRPr="001B3B93">
        <w:t>has done well at attracting foreign investment into light manufacturing, the dominance of the state inhibits the growth of Vietnam’s own private sector</w:t>
      </w:r>
      <w:r w:rsidR="00347202">
        <w:t>. T</w:t>
      </w:r>
      <w:r w:rsidR="00D3045E" w:rsidRPr="001B3B93">
        <w:t xml:space="preserve">otal factor </w:t>
      </w:r>
      <w:r w:rsidR="008A3486" w:rsidRPr="001B3B93">
        <w:t>productivity</w:t>
      </w:r>
      <w:r w:rsidR="00347202">
        <w:t xml:space="preserve">, </w:t>
      </w:r>
      <w:r w:rsidR="00D3045E" w:rsidRPr="001B3B93">
        <w:t>a measure of overall efficiency in the economy</w:t>
      </w:r>
      <w:r w:rsidR="00347202">
        <w:t>,</w:t>
      </w:r>
      <w:r w:rsidR="00D3045E" w:rsidRPr="001B3B93">
        <w:t xml:space="preserve"> </w:t>
      </w:r>
      <w:r w:rsidR="008A3486" w:rsidRPr="001B3B93">
        <w:t>has been in decline since the 1990s.</w:t>
      </w:r>
      <w:r w:rsidR="008A3486" w:rsidRPr="001B3B93">
        <w:rPr>
          <w:vertAlign w:val="superscript"/>
        </w:rPr>
        <w:footnoteReference w:id="54"/>
      </w:r>
    </w:p>
    <w:p w14:paraId="38850C3B" w14:textId="25447F2E" w:rsidR="008A3486" w:rsidRPr="001B3B93" w:rsidRDefault="008A3486">
      <w:r w:rsidRPr="001B3B93">
        <w:t xml:space="preserve">The </w:t>
      </w:r>
      <w:r w:rsidR="00BE4E18" w:rsidRPr="001B3B93">
        <w:t xml:space="preserve">Vietnam </w:t>
      </w:r>
      <w:r w:rsidR="00A524B3">
        <w:t>G</w:t>
      </w:r>
      <w:r w:rsidRPr="001B3B93">
        <w:t>overnment is committed to completing the transition to a market-led economy</w:t>
      </w:r>
      <w:r w:rsidR="00670E39" w:rsidRPr="001B3B93">
        <w:rPr>
          <w:rStyle w:val="FootnoteReference"/>
        </w:rPr>
        <w:footnoteReference w:id="55"/>
      </w:r>
      <w:r w:rsidR="00812DA8">
        <w:t xml:space="preserve">, </w:t>
      </w:r>
      <w:r w:rsidRPr="001B3B93">
        <w:t xml:space="preserve">but is </w:t>
      </w:r>
      <w:r w:rsidR="00BE4E18" w:rsidRPr="001B3B93">
        <w:t xml:space="preserve">making slow progress </w:t>
      </w:r>
      <w:r w:rsidRPr="001B3B93">
        <w:t>in the face of political</w:t>
      </w:r>
      <w:r w:rsidR="00BE4E18" w:rsidRPr="001B3B93">
        <w:t xml:space="preserve"> </w:t>
      </w:r>
      <w:r w:rsidRPr="001B3B93">
        <w:t>and bureaucratic constraints.</w:t>
      </w:r>
      <w:r w:rsidR="00670E39" w:rsidRPr="001B3B93">
        <w:t xml:space="preserve"> It has identified competition law and policy as a tool for overcoming the dominance of state-owned enterprises and creating space for private sector development. Australia</w:t>
      </w:r>
      <w:r w:rsidR="00BC7079">
        <w:t>’s economic governance facility, R</w:t>
      </w:r>
      <w:r w:rsidR="00541A08">
        <w:t>CV</w:t>
      </w:r>
      <w:r w:rsidR="00BC7079">
        <w:t xml:space="preserve">, </w:t>
      </w:r>
      <w:r w:rsidR="00BA530F" w:rsidRPr="001B3B93">
        <w:t xml:space="preserve">is </w:t>
      </w:r>
      <w:r w:rsidR="00BE4E18" w:rsidRPr="001B3B93">
        <w:t>support</w:t>
      </w:r>
      <w:r w:rsidR="00BA530F" w:rsidRPr="001B3B93">
        <w:t>ing these efforts</w:t>
      </w:r>
      <w:r w:rsidR="00670E39" w:rsidRPr="001B3B93">
        <w:t>.</w:t>
      </w:r>
    </w:p>
    <w:p w14:paraId="63330AF3" w14:textId="6BD7948C" w:rsidR="00EE3E37" w:rsidRPr="001B3B93" w:rsidRDefault="00A5527A">
      <w:r w:rsidRPr="001B3B93">
        <w:t xml:space="preserve">Indonesia </w:t>
      </w:r>
      <w:r w:rsidR="00FC6B64" w:rsidRPr="001B3B93">
        <w:t xml:space="preserve">is also </w:t>
      </w:r>
      <w:r w:rsidR="00EE3E37" w:rsidRPr="001B3B93">
        <w:t>pursuing</w:t>
      </w:r>
      <w:r w:rsidR="0073318F" w:rsidRPr="001B3B93">
        <w:t xml:space="preserve"> </w:t>
      </w:r>
      <w:r w:rsidR="00FC6B64" w:rsidRPr="001B3B93">
        <w:t>reforms that are politically and technically challenging.</w:t>
      </w:r>
      <w:r w:rsidR="0073318F" w:rsidRPr="001B3B93">
        <w:t xml:space="preserve"> Australia is offering support in </w:t>
      </w:r>
      <w:r w:rsidR="005637F1" w:rsidRPr="001B3B93">
        <w:t>many</w:t>
      </w:r>
      <w:r w:rsidR="0073318F" w:rsidRPr="001B3B93">
        <w:t xml:space="preserve"> areas, including </w:t>
      </w:r>
      <w:r w:rsidR="00347202" w:rsidRPr="001B3B93">
        <w:t>financial system regulation</w:t>
      </w:r>
      <w:r w:rsidR="00347202">
        <w:t xml:space="preserve">, </w:t>
      </w:r>
      <w:r w:rsidR="0073318F" w:rsidRPr="001B3B93">
        <w:t>public financial management, trade policy</w:t>
      </w:r>
      <w:r w:rsidR="00347202">
        <w:t xml:space="preserve"> and</w:t>
      </w:r>
      <w:r w:rsidR="0073318F" w:rsidRPr="001B3B93">
        <w:t xml:space="preserve"> social protection. Its </w:t>
      </w:r>
      <w:r w:rsidR="00146F40" w:rsidRPr="001B3B93">
        <w:t>program</w:t>
      </w:r>
      <w:r w:rsidR="0073318F" w:rsidRPr="001B3B93">
        <w:t xml:space="preserve">s are positioned to </w:t>
      </w:r>
      <w:r w:rsidR="00BC7079">
        <w:t xml:space="preserve">support </w:t>
      </w:r>
      <w:r w:rsidR="0073318F" w:rsidRPr="001B3B93">
        <w:t>reformers in government</w:t>
      </w:r>
      <w:r w:rsidR="00BC7079">
        <w:t xml:space="preserve">, including the Minister of Finance (a former senior World Bank official) </w:t>
      </w:r>
      <w:r w:rsidR="00791F1C">
        <w:t xml:space="preserve">and the </w:t>
      </w:r>
      <w:r w:rsidR="00791F1C" w:rsidRPr="00791F1C">
        <w:t>National Team for the Acceleration of Poverty Reduction</w:t>
      </w:r>
      <w:r w:rsidR="00791F1C">
        <w:t xml:space="preserve"> (on social protection)</w:t>
      </w:r>
      <w:r w:rsidR="0073318F" w:rsidRPr="001B3B93">
        <w:t>. Feedback from Indonesia</w:t>
      </w:r>
      <w:r w:rsidR="00BD2851">
        <w:t xml:space="preserve"> G</w:t>
      </w:r>
      <w:r w:rsidR="0073318F" w:rsidRPr="001B3B93">
        <w:t xml:space="preserve">overnment counterparts was that they value </w:t>
      </w:r>
      <w:r w:rsidR="00BC7079">
        <w:t xml:space="preserve">Australia’s </w:t>
      </w:r>
      <w:r w:rsidR="0073318F" w:rsidRPr="001B3B93">
        <w:t xml:space="preserve">support in these areas, </w:t>
      </w:r>
      <w:r w:rsidR="00BC7079">
        <w:t xml:space="preserve">which combines </w:t>
      </w:r>
      <w:r w:rsidR="0095773A" w:rsidRPr="001B3B93">
        <w:t>quality technical advice with an appreciation of the political constraints on reform.</w:t>
      </w:r>
    </w:p>
    <w:p w14:paraId="0B41E1DD" w14:textId="0C09671C" w:rsidR="00E14063" w:rsidRDefault="00273371">
      <w:r w:rsidRPr="001B3B93">
        <w:t>W</w:t>
      </w:r>
      <w:r w:rsidR="00D3045E" w:rsidRPr="001B3B93">
        <w:t xml:space="preserve">hile Australia aligns its support to the efforts of national reformers, many reforms its supports </w:t>
      </w:r>
      <w:r w:rsidR="008F1A6E">
        <w:t>face resistance from vested interests</w:t>
      </w:r>
      <w:r w:rsidR="00D3045E" w:rsidRPr="001B3B93">
        <w:t xml:space="preserve">. </w:t>
      </w:r>
      <w:r w:rsidR="00E14063">
        <w:t xml:space="preserve">Part of </w:t>
      </w:r>
      <w:r w:rsidR="006470DB">
        <w:t xml:space="preserve">the </w:t>
      </w:r>
      <w:r w:rsidR="00E14063">
        <w:t>alignment is therefore working to identify and strengthen constituencies for change.</w:t>
      </w:r>
    </w:p>
    <w:p w14:paraId="5469D439" w14:textId="77777777" w:rsidR="00D3045E" w:rsidRPr="001B3B93" w:rsidRDefault="00D3045E">
      <w:pPr>
        <w:rPr>
          <w:i/>
          <w:color w:val="296C60" w:themeColor="background2" w:themeShade="80"/>
          <w:szCs w:val="23"/>
        </w:rPr>
      </w:pPr>
      <w:r w:rsidRPr="001B3B93">
        <w:rPr>
          <w:i/>
          <w:color w:val="296C60" w:themeColor="background2" w:themeShade="80"/>
          <w:szCs w:val="23"/>
        </w:rPr>
        <w:t>Promoting regional economic integration</w:t>
      </w:r>
    </w:p>
    <w:p w14:paraId="7AFF77AE" w14:textId="5A6EAE65" w:rsidR="00D60EA0" w:rsidRPr="001B3B93" w:rsidRDefault="001B4625">
      <w:r w:rsidRPr="001B3B93">
        <w:t xml:space="preserve">At the regional level, Australia has a long-term partnership with ASEAN to support </w:t>
      </w:r>
      <w:r w:rsidR="002632DA">
        <w:t xml:space="preserve">implementation </w:t>
      </w:r>
      <w:r w:rsidRPr="001B3B93">
        <w:t>of the ASEAN Economic Community</w:t>
      </w:r>
      <w:r w:rsidR="00273371" w:rsidRPr="001B3B93">
        <w:t xml:space="preserve">, under a </w:t>
      </w:r>
      <w:r w:rsidR="00D60EA0" w:rsidRPr="001B3B93">
        <w:t xml:space="preserve">Blueprint agreed </w:t>
      </w:r>
      <w:r w:rsidR="00273371" w:rsidRPr="001B3B93">
        <w:t xml:space="preserve">by member countries </w:t>
      </w:r>
      <w:r w:rsidR="00D60EA0" w:rsidRPr="001B3B93">
        <w:t>in 2015</w:t>
      </w:r>
      <w:r w:rsidR="00735DB5" w:rsidRPr="001B3B93">
        <w:t xml:space="preserve">. Through the ASEAN-Australia </w:t>
      </w:r>
      <w:r w:rsidR="00735DB5" w:rsidRPr="001B3B93">
        <w:lastRenderedPageBreak/>
        <w:t>Development Cooperation Program</w:t>
      </w:r>
      <w:r w:rsidR="002632DA">
        <w:t xml:space="preserve"> Phase II</w:t>
      </w:r>
      <w:r w:rsidR="00735DB5" w:rsidRPr="001B3B93">
        <w:t xml:space="preserve"> (</w:t>
      </w:r>
      <w:r w:rsidR="000126AB">
        <w:t>AUD</w:t>
      </w:r>
      <w:r w:rsidR="002632DA">
        <w:t>57</w:t>
      </w:r>
      <w:r w:rsidR="00735DB5" w:rsidRPr="001B3B93">
        <w:t xml:space="preserve"> million; 200</w:t>
      </w:r>
      <w:r w:rsidR="002632DA">
        <w:t>8</w:t>
      </w:r>
      <w:r w:rsidR="00CC4A45">
        <w:t>–</w:t>
      </w:r>
      <w:r w:rsidR="00735DB5" w:rsidRPr="001B3B93">
        <w:t xml:space="preserve">19), Australia is helping to </w:t>
      </w:r>
      <w:r w:rsidR="002632DA">
        <w:t>support the development of regional norms and standards and to build a better knowledge base for regional policy</w:t>
      </w:r>
      <w:r w:rsidR="00735DB5" w:rsidRPr="001B3B93">
        <w:t xml:space="preserve">. </w:t>
      </w:r>
    </w:p>
    <w:p w14:paraId="359F3A69" w14:textId="340FA73C" w:rsidR="0043727C" w:rsidRPr="001B3B93" w:rsidRDefault="00791F1C">
      <w:r>
        <w:t xml:space="preserve">Elements of the </w:t>
      </w:r>
      <w:r w:rsidR="002632DA">
        <w:t xml:space="preserve">regional economic integration agenda </w:t>
      </w:r>
      <w:r>
        <w:t xml:space="preserve">are </w:t>
      </w:r>
      <w:r w:rsidR="002632DA">
        <w:t xml:space="preserve">politically challenging. </w:t>
      </w:r>
      <w:r w:rsidR="005577E1" w:rsidRPr="001B3B93">
        <w:t xml:space="preserve">While there has been progress on lowering tariffs, this has been accompanied by </w:t>
      </w:r>
      <w:r w:rsidR="00273371" w:rsidRPr="001B3B93">
        <w:t xml:space="preserve">an increase in </w:t>
      </w:r>
      <w:r w:rsidR="005577E1" w:rsidRPr="001B3B93">
        <w:t>non-tariff barriers, and intra-ASEAN trade has not grown as a proportion of total ASEAN trade in the past decade.</w:t>
      </w:r>
      <w:r w:rsidR="0031148E" w:rsidRPr="001B3B93">
        <w:rPr>
          <w:rStyle w:val="FootnoteReference"/>
        </w:rPr>
        <w:footnoteReference w:id="56"/>
      </w:r>
      <w:r w:rsidR="005577E1" w:rsidRPr="001B3B93">
        <w:t xml:space="preserve"> Political economy analysis suggests a struggle between pro-liberalisation technocrats and political, bureaucratic and economic actors that defend the status quo.</w:t>
      </w:r>
      <w:r w:rsidR="0031148E" w:rsidRPr="001B3B93">
        <w:rPr>
          <w:rStyle w:val="FootnoteReference"/>
        </w:rPr>
        <w:footnoteReference w:id="57"/>
      </w:r>
      <w:r w:rsidR="005577E1" w:rsidRPr="001B3B93">
        <w:t xml:space="preserve"> Against that background,</w:t>
      </w:r>
      <w:r w:rsidR="002632DA">
        <w:t xml:space="preserve"> </w:t>
      </w:r>
      <w:r w:rsidR="0031148E" w:rsidRPr="001B3B93">
        <w:t xml:space="preserve">Australia </w:t>
      </w:r>
      <w:r>
        <w:t xml:space="preserve">is helping to support ASEAN as a forum for discussion, negotiation and </w:t>
      </w:r>
      <w:r w:rsidR="002632DA">
        <w:t xml:space="preserve">incremental </w:t>
      </w:r>
      <w:r>
        <w:t xml:space="preserve">reform </w:t>
      </w:r>
      <w:r w:rsidR="0031148E" w:rsidRPr="001B3B93">
        <w:t xml:space="preserve">in niche areas, </w:t>
      </w:r>
      <w:r>
        <w:t xml:space="preserve">such as </w:t>
      </w:r>
      <w:r w:rsidR="002632DA">
        <w:t xml:space="preserve">regulatory reform in financial technology and developing mutual recognition arrangements </w:t>
      </w:r>
      <w:r>
        <w:t xml:space="preserve">for </w:t>
      </w:r>
      <w:r w:rsidR="002632DA">
        <w:t xml:space="preserve">agriculture and services. </w:t>
      </w:r>
    </w:p>
    <w:p w14:paraId="38908CB6" w14:textId="77777777" w:rsidR="00CB28C7" w:rsidRPr="001B3B93" w:rsidRDefault="00CB28C7" w:rsidP="00CB28C7">
      <w:pPr>
        <w:rPr>
          <w:i/>
          <w:color w:val="296C60" w:themeColor="background2" w:themeShade="80"/>
          <w:szCs w:val="23"/>
        </w:rPr>
      </w:pPr>
      <w:r w:rsidRPr="001B3B93">
        <w:rPr>
          <w:i/>
          <w:color w:val="296C60" w:themeColor="background2" w:themeShade="80"/>
          <w:szCs w:val="23"/>
        </w:rPr>
        <w:t xml:space="preserve">Communicating </w:t>
      </w:r>
      <w:r w:rsidR="005966FC" w:rsidRPr="001B3B93">
        <w:rPr>
          <w:i/>
          <w:color w:val="296C60" w:themeColor="background2" w:themeShade="80"/>
          <w:szCs w:val="23"/>
        </w:rPr>
        <w:t xml:space="preserve">around </w:t>
      </w:r>
      <w:r w:rsidRPr="001B3B93">
        <w:rPr>
          <w:i/>
          <w:color w:val="296C60" w:themeColor="background2" w:themeShade="80"/>
          <w:szCs w:val="23"/>
        </w:rPr>
        <w:t>economic partnerships</w:t>
      </w:r>
    </w:p>
    <w:p w14:paraId="1C72EF4C" w14:textId="139A30F2" w:rsidR="00CB28C7" w:rsidRPr="001B3B93" w:rsidRDefault="00670974" w:rsidP="00AD0BBA">
      <w:pPr>
        <w:rPr>
          <w:szCs w:val="23"/>
        </w:rPr>
      </w:pPr>
      <w:r w:rsidRPr="001B3B93">
        <w:rPr>
          <w:szCs w:val="23"/>
        </w:rPr>
        <w:t>T</w:t>
      </w:r>
      <w:r w:rsidR="00CB28C7" w:rsidRPr="001B3B93">
        <w:rPr>
          <w:szCs w:val="23"/>
        </w:rPr>
        <w:t xml:space="preserve">he </w:t>
      </w:r>
      <w:r w:rsidR="00393D0F">
        <w:rPr>
          <w:szCs w:val="23"/>
        </w:rPr>
        <w:t xml:space="preserve">alignment of Australian aid behind </w:t>
      </w:r>
      <w:r w:rsidR="00CB28C7" w:rsidRPr="001B3B93">
        <w:rPr>
          <w:szCs w:val="23"/>
        </w:rPr>
        <w:t>economic partnership</w:t>
      </w:r>
      <w:r w:rsidR="00273EAD" w:rsidRPr="001B3B93">
        <w:rPr>
          <w:szCs w:val="23"/>
        </w:rPr>
        <w:t xml:space="preserve">s </w:t>
      </w:r>
      <w:r w:rsidR="00CB28C7" w:rsidRPr="001B3B93">
        <w:rPr>
          <w:szCs w:val="23"/>
        </w:rPr>
        <w:t xml:space="preserve">is a good fit to the needs and interests of Indonesia and Vietnam, </w:t>
      </w:r>
      <w:r w:rsidRPr="001B3B93">
        <w:rPr>
          <w:szCs w:val="23"/>
        </w:rPr>
        <w:t xml:space="preserve">but DFAT </w:t>
      </w:r>
      <w:r w:rsidR="00273371" w:rsidRPr="001B3B93">
        <w:rPr>
          <w:szCs w:val="23"/>
        </w:rPr>
        <w:t xml:space="preserve">could </w:t>
      </w:r>
      <w:r w:rsidRPr="001B3B93">
        <w:rPr>
          <w:szCs w:val="23"/>
        </w:rPr>
        <w:t xml:space="preserve">do better at </w:t>
      </w:r>
      <w:r w:rsidR="00CB28C7" w:rsidRPr="001B3B93">
        <w:rPr>
          <w:szCs w:val="23"/>
        </w:rPr>
        <w:t>explain</w:t>
      </w:r>
      <w:r w:rsidRPr="001B3B93">
        <w:rPr>
          <w:szCs w:val="23"/>
        </w:rPr>
        <w:t>ing</w:t>
      </w:r>
      <w:r w:rsidR="00CB28C7" w:rsidRPr="001B3B93">
        <w:rPr>
          <w:szCs w:val="23"/>
        </w:rPr>
        <w:t xml:space="preserve"> what </w:t>
      </w:r>
      <w:r w:rsidR="00273371" w:rsidRPr="001B3B93">
        <w:rPr>
          <w:szCs w:val="23"/>
        </w:rPr>
        <w:t xml:space="preserve">it means </w:t>
      </w:r>
      <w:r w:rsidR="00CB28C7" w:rsidRPr="001B3B93">
        <w:rPr>
          <w:szCs w:val="23"/>
        </w:rPr>
        <w:t xml:space="preserve">by the term to national counterparts in </w:t>
      </w:r>
      <w:r w:rsidR="00347202">
        <w:rPr>
          <w:szCs w:val="23"/>
        </w:rPr>
        <w:t>both</w:t>
      </w:r>
      <w:r w:rsidR="00CB28C7" w:rsidRPr="001B3B93">
        <w:rPr>
          <w:szCs w:val="23"/>
        </w:rPr>
        <w:t xml:space="preserve"> countries. </w:t>
      </w:r>
      <w:r w:rsidR="002B4D44">
        <w:rPr>
          <w:szCs w:val="23"/>
        </w:rPr>
        <w:t>In Vietnam, w</w:t>
      </w:r>
      <w:r w:rsidR="00CB28C7" w:rsidRPr="001B3B93">
        <w:rPr>
          <w:szCs w:val="23"/>
        </w:rPr>
        <w:t>hile welcoming Australia</w:t>
      </w:r>
      <w:r w:rsidR="00273371" w:rsidRPr="001B3B93">
        <w:rPr>
          <w:szCs w:val="23"/>
        </w:rPr>
        <w:t>’s</w:t>
      </w:r>
      <w:r w:rsidR="00CB28C7" w:rsidRPr="001B3B93">
        <w:rPr>
          <w:szCs w:val="23"/>
        </w:rPr>
        <w:t xml:space="preserve"> development cooperation and the idea of a mature partnership of equals, </w:t>
      </w:r>
      <w:r w:rsidR="00791F1C">
        <w:rPr>
          <w:szCs w:val="23"/>
        </w:rPr>
        <w:t xml:space="preserve">senior officials </w:t>
      </w:r>
      <w:r w:rsidR="002B4D44">
        <w:rPr>
          <w:szCs w:val="23"/>
        </w:rPr>
        <w:t xml:space="preserve">from the Ministry </w:t>
      </w:r>
      <w:r w:rsidR="002B4D44" w:rsidRPr="001F40CB">
        <w:rPr>
          <w:szCs w:val="23"/>
        </w:rPr>
        <w:t xml:space="preserve">of Planning and Investment and the Ministry of Finance, which oversee </w:t>
      </w:r>
      <w:r w:rsidR="00791F1C" w:rsidRPr="001F40CB">
        <w:rPr>
          <w:szCs w:val="23"/>
        </w:rPr>
        <w:t>development cooperation</w:t>
      </w:r>
      <w:r w:rsidR="002B4D44" w:rsidRPr="001F40CB">
        <w:rPr>
          <w:szCs w:val="23"/>
        </w:rPr>
        <w:t>,</w:t>
      </w:r>
      <w:r w:rsidR="00791F1C" w:rsidRPr="001F40CB">
        <w:rPr>
          <w:szCs w:val="23"/>
        </w:rPr>
        <w:t xml:space="preserve"> expressed uncertainty </w:t>
      </w:r>
      <w:r w:rsidRPr="001F40CB">
        <w:rPr>
          <w:szCs w:val="23"/>
        </w:rPr>
        <w:t xml:space="preserve">about </w:t>
      </w:r>
      <w:r w:rsidR="00CB28C7" w:rsidRPr="001F40CB">
        <w:rPr>
          <w:szCs w:val="23"/>
        </w:rPr>
        <w:t xml:space="preserve">what economic partnership meant in practical terms. </w:t>
      </w:r>
      <w:r w:rsidR="00215188" w:rsidRPr="001F40CB">
        <w:rPr>
          <w:szCs w:val="23"/>
        </w:rPr>
        <w:t>O</w:t>
      </w:r>
      <w:r w:rsidR="00AD0BBA" w:rsidRPr="001F40CB">
        <w:rPr>
          <w:szCs w:val="23"/>
        </w:rPr>
        <w:t>ne</w:t>
      </w:r>
      <w:r w:rsidR="002B4D44" w:rsidRPr="001F40CB">
        <w:rPr>
          <w:szCs w:val="23"/>
        </w:rPr>
        <w:t xml:space="preserve"> official from BAPPENAS</w:t>
      </w:r>
      <w:r w:rsidR="003802FD" w:rsidRPr="001F40CB">
        <w:rPr>
          <w:szCs w:val="23"/>
        </w:rPr>
        <w:t>, Indonesia’s Ministry of</w:t>
      </w:r>
      <w:r w:rsidR="003802FD" w:rsidRPr="001F40CB">
        <w:rPr>
          <w:rFonts w:ascii="Calibri" w:eastAsia="Calibri" w:hAnsi="Calibri" w:cs="Arial"/>
        </w:rPr>
        <w:t xml:space="preserve"> National Development Planning,</w:t>
      </w:r>
      <w:r w:rsidR="00AD0BBA" w:rsidRPr="001F40CB">
        <w:rPr>
          <w:szCs w:val="23"/>
        </w:rPr>
        <w:t xml:space="preserve"> understood economic partnership as aid offered in support of the </w:t>
      </w:r>
      <w:bookmarkStart w:id="73" w:name="_Hlk520991992"/>
      <w:r w:rsidR="00CB28C7" w:rsidRPr="001F40CB">
        <w:rPr>
          <w:szCs w:val="23"/>
        </w:rPr>
        <w:t>Indonesia-Australia Comprehensive Economic Partnership Agreement</w:t>
      </w:r>
      <w:bookmarkEnd w:id="73"/>
      <w:r w:rsidR="00AD0BBA" w:rsidRPr="001F40CB">
        <w:rPr>
          <w:szCs w:val="23"/>
        </w:rPr>
        <w:t>,</w:t>
      </w:r>
      <w:r w:rsidR="00AD0BBA">
        <w:rPr>
          <w:szCs w:val="23"/>
        </w:rPr>
        <w:t xml:space="preserve"> which is under negotiation</w:t>
      </w:r>
      <w:r w:rsidR="00CB28C7" w:rsidRPr="001B3B93">
        <w:rPr>
          <w:szCs w:val="23"/>
        </w:rPr>
        <w:t>.</w:t>
      </w:r>
    </w:p>
    <w:p w14:paraId="0052ED89" w14:textId="77777777" w:rsidR="00CF5131" w:rsidRPr="001B3B93" w:rsidRDefault="00273EAD" w:rsidP="001B3B93">
      <w:pPr>
        <w:pStyle w:val="Heading4"/>
      </w:pPr>
      <w:r w:rsidRPr="001B3B93">
        <w:t xml:space="preserve">Alignment with </w:t>
      </w:r>
      <w:r w:rsidR="00CB28C7" w:rsidRPr="001B3B93">
        <w:t>Australia’s interest</w:t>
      </w:r>
      <w:r w:rsidRPr="001B3B93">
        <w:t>s</w:t>
      </w:r>
    </w:p>
    <w:p w14:paraId="086F59B8" w14:textId="0C5DB3D6" w:rsidR="000A3E4A" w:rsidRPr="001B3B93" w:rsidRDefault="00273371" w:rsidP="00CF5131">
      <w:r w:rsidRPr="001B3B93">
        <w:t xml:space="preserve">Australia has strong interests in </w:t>
      </w:r>
      <w:r w:rsidR="00EB5B1E" w:rsidRPr="001B3B93">
        <w:t xml:space="preserve">building </w:t>
      </w:r>
      <w:r w:rsidRPr="001B3B93">
        <w:t xml:space="preserve">successful </w:t>
      </w:r>
      <w:r w:rsidR="002C36D9" w:rsidRPr="001B3B93">
        <w:t>economic partnership</w:t>
      </w:r>
      <w:r w:rsidR="000F54BD" w:rsidRPr="001B3B93">
        <w:t>s</w:t>
      </w:r>
      <w:r w:rsidR="00EB5B1E" w:rsidRPr="001B3B93">
        <w:t xml:space="preserve"> with </w:t>
      </w:r>
      <w:r w:rsidR="006E2C2B">
        <w:t>Asia</w:t>
      </w:r>
      <w:r w:rsidR="00137988">
        <w:t>n MICs</w:t>
      </w:r>
      <w:r w:rsidR="002C36D9" w:rsidRPr="001B3B93">
        <w:t>.</w:t>
      </w:r>
    </w:p>
    <w:p w14:paraId="1C0D9C8E" w14:textId="76B0E520" w:rsidR="001205A7" w:rsidRDefault="00B61C28" w:rsidP="00CF5131">
      <w:r w:rsidRPr="001B3B93">
        <w:t xml:space="preserve">Australia’s economic and security interests are closely tied to the growth of prosperity in the region. </w:t>
      </w:r>
      <w:r w:rsidR="002C36D9" w:rsidRPr="001B3B93">
        <w:t xml:space="preserve">Taken together, ASEAN has a population larger than the European Union </w:t>
      </w:r>
      <w:r w:rsidRPr="001B3B93">
        <w:t xml:space="preserve">or North America, </w:t>
      </w:r>
      <w:r w:rsidR="002C36D9" w:rsidRPr="001B3B93">
        <w:t xml:space="preserve">and a </w:t>
      </w:r>
      <w:r w:rsidR="000126AB">
        <w:t>USD</w:t>
      </w:r>
      <w:r w:rsidR="002C36D9" w:rsidRPr="001B3B93">
        <w:t>2.5 trillion GDP</w:t>
      </w:r>
      <w:r w:rsidR="005356BD">
        <w:t>—</w:t>
      </w:r>
      <w:r w:rsidRPr="001B3B93">
        <w:t xml:space="preserve">on a par with major trading partners such as the </w:t>
      </w:r>
      <w:r w:rsidR="00830AB2" w:rsidRPr="001B3B93">
        <w:rPr>
          <w:szCs w:val="23"/>
        </w:rPr>
        <w:t>U</w:t>
      </w:r>
      <w:r w:rsidR="00830AB2">
        <w:rPr>
          <w:szCs w:val="23"/>
        </w:rPr>
        <w:t xml:space="preserve">nited </w:t>
      </w:r>
      <w:r w:rsidR="00830AB2" w:rsidRPr="001B3B93">
        <w:rPr>
          <w:szCs w:val="23"/>
        </w:rPr>
        <w:t>K</w:t>
      </w:r>
      <w:r w:rsidR="00830AB2">
        <w:rPr>
          <w:szCs w:val="23"/>
        </w:rPr>
        <w:t>ingdom</w:t>
      </w:r>
      <w:r w:rsidRPr="001B3B93">
        <w:t xml:space="preserve">. </w:t>
      </w:r>
      <w:r w:rsidR="001205A7">
        <w:t xml:space="preserve">Australia’s </w:t>
      </w:r>
      <w:r w:rsidR="001205A7" w:rsidRPr="00215188">
        <w:rPr>
          <w:i/>
        </w:rPr>
        <w:t>2017 Foreign Policy White Paper</w:t>
      </w:r>
      <w:r w:rsidR="001205A7">
        <w:t xml:space="preserve"> refers to estimates that Asia</w:t>
      </w:r>
      <w:r w:rsidR="005356BD">
        <w:t>,</w:t>
      </w:r>
      <w:r w:rsidR="001205A7">
        <w:t xml:space="preserve"> as</w:t>
      </w:r>
      <w:r w:rsidR="00EF6C2F">
        <w:t>-</w:t>
      </w:r>
      <w:r w:rsidR="001205A7">
        <w:t>a</w:t>
      </w:r>
      <w:r w:rsidR="00EF6C2F">
        <w:t>-</w:t>
      </w:r>
      <w:r w:rsidR="001205A7">
        <w:t>whole</w:t>
      </w:r>
      <w:r w:rsidR="005356BD">
        <w:t>,</w:t>
      </w:r>
      <w:r w:rsidR="001205A7">
        <w:t xml:space="preserve"> could be home to a middle class of almost 3.5 billion by 2030, stimulating demand for Australian minerals and energy, services and premium agriculture products.</w:t>
      </w:r>
      <w:r w:rsidR="001205A7" w:rsidRPr="001205A7">
        <w:rPr>
          <w:vertAlign w:val="superscript"/>
        </w:rPr>
        <w:footnoteReference w:id="58"/>
      </w:r>
      <w:r w:rsidR="00487C2D" w:rsidRPr="00487C2D">
        <w:rPr>
          <w:szCs w:val="23"/>
        </w:rPr>
        <w:t xml:space="preserve"> </w:t>
      </w:r>
      <w:r w:rsidR="00487C2D" w:rsidRPr="001B3B93">
        <w:rPr>
          <w:szCs w:val="23"/>
        </w:rPr>
        <w:t>As export destinations, Indonesia and Vietnam currently rank 11 and 13 respectively</w:t>
      </w:r>
      <w:r w:rsidR="00487C2D" w:rsidRPr="001B3B93">
        <w:rPr>
          <w:rStyle w:val="FootnoteReference"/>
          <w:szCs w:val="23"/>
        </w:rPr>
        <w:footnoteReference w:id="59"/>
      </w:r>
      <w:r w:rsidR="00A734C5">
        <w:rPr>
          <w:szCs w:val="23"/>
        </w:rPr>
        <w:t xml:space="preserve">, </w:t>
      </w:r>
      <w:r w:rsidR="00427418">
        <w:rPr>
          <w:szCs w:val="23"/>
        </w:rPr>
        <w:t xml:space="preserve">and have the potential to become much more important </w:t>
      </w:r>
      <w:r w:rsidR="00487C2D" w:rsidRPr="001B3B93">
        <w:rPr>
          <w:szCs w:val="23"/>
        </w:rPr>
        <w:t>markets for Australian goods and services.</w:t>
      </w:r>
      <w:r w:rsidR="00427418">
        <w:rPr>
          <w:szCs w:val="23"/>
        </w:rPr>
        <w:t xml:space="preserve"> However, their continued growth through the challenging transitions ahead</w:t>
      </w:r>
      <w:r w:rsidR="005356BD">
        <w:rPr>
          <w:szCs w:val="23"/>
        </w:rPr>
        <w:t xml:space="preserve"> </w:t>
      </w:r>
      <w:r w:rsidR="00427418">
        <w:rPr>
          <w:szCs w:val="23"/>
        </w:rPr>
        <w:t>is not guaranteed.</w:t>
      </w:r>
    </w:p>
    <w:p w14:paraId="510282D4" w14:textId="2BC66312" w:rsidR="00CF5131" w:rsidRPr="001B3B93" w:rsidRDefault="007C6EEF" w:rsidP="002C6E70">
      <w:pPr>
        <w:rPr>
          <w:szCs w:val="23"/>
        </w:rPr>
      </w:pPr>
      <w:r>
        <w:t xml:space="preserve">A </w:t>
      </w:r>
      <w:r w:rsidR="000D47DE" w:rsidRPr="001B3B93">
        <w:rPr>
          <w:szCs w:val="23"/>
        </w:rPr>
        <w:t>closely related</w:t>
      </w:r>
      <w:r>
        <w:rPr>
          <w:szCs w:val="23"/>
        </w:rPr>
        <w:t xml:space="preserve"> point</w:t>
      </w:r>
      <w:r w:rsidR="000D47DE" w:rsidRPr="001B3B93">
        <w:rPr>
          <w:szCs w:val="23"/>
        </w:rPr>
        <w:t xml:space="preserve"> is the Australian interest in regional s</w:t>
      </w:r>
      <w:r w:rsidR="00F34CFD" w:rsidRPr="001B3B93">
        <w:rPr>
          <w:szCs w:val="23"/>
        </w:rPr>
        <w:t xml:space="preserve">tability and security. ASEAN is in a strategic position </w:t>
      </w:r>
      <w:r w:rsidR="000D47DE" w:rsidRPr="001B3B93">
        <w:rPr>
          <w:szCs w:val="23"/>
        </w:rPr>
        <w:t xml:space="preserve">in </w:t>
      </w:r>
      <w:r w:rsidR="00F34CFD" w:rsidRPr="001B3B93">
        <w:rPr>
          <w:szCs w:val="23"/>
        </w:rPr>
        <w:t xml:space="preserve">major </w:t>
      </w:r>
      <w:r w:rsidR="000D47DE" w:rsidRPr="001B3B93">
        <w:rPr>
          <w:szCs w:val="23"/>
        </w:rPr>
        <w:t xml:space="preserve">global </w:t>
      </w:r>
      <w:r w:rsidR="00F34CFD" w:rsidRPr="001B3B93">
        <w:rPr>
          <w:szCs w:val="23"/>
        </w:rPr>
        <w:t xml:space="preserve">trade routes. </w:t>
      </w:r>
      <w:r w:rsidR="000D47DE" w:rsidRPr="001B3B93">
        <w:rPr>
          <w:szCs w:val="23"/>
        </w:rPr>
        <w:t xml:space="preserve">Greater economic </w:t>
      </w:r>
      <w:r w:rsidR="00F34CFD" w:rsidRPr="001B3B93">
        <w:rPr>
          <w:szCs w:val="23"/>
        </w:rPr>
        <w:t xml:space="preserve">integration </w:t>
      </w:r>
      <w:r w:rsidR="000D47DE" w:rsidRPr="001B3B93">
        <w:rPr>
          <w:szCs w:val="23"/>
        </w:rPr>
        <w:t xml:space="preserve">would help </w:t>
      </w:r>
      <w:r w:rsidR="00F34CFD" w:rsidRPr="001B3B93">
        <w:rPr>
          <w:szCs w:val="23"/>
        </w:rPr>
        <w:t xml:space="preserve">counterbalance the risks posed by </w:t>
      </w:r>
      <w:r w:rsidR="001712A1" w:rsidRPr="001B3B93">
        <w:rPr>
          <w:szCs w:val="23"/>
        </w:rPr>
        <w:t>geo-economic rivalry</w:t>
      </w:r>
      <w:r w:rsidR="00F34CFD" w:rsidRPr="001B3B93">
        <w:rPr>
          <w:szCs w:val="23"/>
        </w:rPr>
        <w:t xml:space="preserve">. </w:t>
      </w:r>
      <w:r w:rsidR="002C6E70" w:rsidRPr="001B3B93">
        <w:rPr>
          <w:szCs w:val="23"/>
        </w:rPr>
        <w:t>A</w:t>
      </w:r>
      <w:r w:rsidR="00D122A5" w:rsidRPr="001B3B93">
        <w:rPr>
          <w:szCs w:val="23"/>
        </w:rPr>
        <w:t xml:space="preserve">ustralia also has </w:t>
      </w:r>
      <w:r w:rsidR="00701F1A" w:rsidRPr="001B3B93">
        <w:rPr>
          <w:szCs w:val="23"/>
        </w:rPr>
        <w:t xml:space="preserve">an </w:t>
      </w:r>
      <w:r w:rsidR="00D122A5" w:rsidRPr="001B3B93">
        <w:rPr>
          <w:szCs w:val="23"/>
        </w:rPr>
        <w:t xml:space="preserve">interest </w:t>
      </w:r>
      <w:r w:rsidR="000D47DE" w:rsidRPr="001B3B93">
        <w:rPr>
          <w:szCs w:val="23"/>
        </w:rPr>
        <w:t>in protecting stability within neighbouring countries, especially Indonesia. R</w:t>
      </w:r>
      <w:r w:rsidR="00D122A5" w:rsidRPr="001B3B93">
        <w:rPr>
          <w:szCs w:val="23"/>
        </w:rPr>
        <w:t xml:space="preserve">ising </w:t>
      </w:r>
      <w:r w:rsidR="00D122A5" w:rsidRPr="001B3B93">
        <w:rPr>
          <w:szCs w:val="23"/>
        </w:rPr>
        <w:lastRenderedPageBreak/>
        <w:t xml:space="preserve">inequality </w:t>
      </w:r>
      <w:r w:rsidR="000D47DE" w:rsidRPr="001B3B93">
        <w:rPr>
          <w:szCs w:val="23"/>
        </w:rPr>
        <w:t xml:space="preserve">has the potential to threaten </w:t>
      </w:r>
      <w:r w:rsidR="00D122A5" w:rsidRPr="001B3B93">
        <w:rPr>
          <w:szCs w:val="23"/>
        </w:rPr>
        <w:t>democracy and social stability</w:t>
      </w:r>
      <w:r w:rsidR="001712A1" w:rsidRPr="001B3B93">
        <w:rPr>
          <w:szCs w:val="23"/>
        </w:rPr>
        <w:t>, with potential links to irregular migration</w:t>
      </w:r>
      <w:r w:rsidR="00D122A5" w:rsidRPr="001B3B93">
        <w:rPr>
          <w:szCs w:val="23"/>
        </w:rPr>
        <w:t xml:space="preserve">. </w:t>
      </w:r>
      <w:r w:rsidR="002C6E70" w:rsidRPr="001B3B93">
        <w:rPr>
          <w:szCs w:val="23"/>
        </w:rPr>
        <w:t xml:space="preserve">This </w:t>
      </w:r>
      <w:r w:rsidR="00D122A5" w:rsidRPr="001B3B93">
        <w:rPr>
          <w:szCs w:val="23"/>
        </w:rPr>
        <w:t xml:space="preserve">may become a more urgent concern over the coming decade, </w:t>
      </w:r>
      <w:r w:rsidR="002C6E70" w:rsidRPr="001B3B93">
        <w:rPr>
          <w:szCs w:val="23"/>
        </w:rPr>
        <w:t>i</w:t>
      </w:r>
      <w:r w:rsidR="00D122A5" w:rsidRPr="001B3B93">
        <w:rPr>
          <w:szCs w:val="23"/>
        </w:rPr>
        <w:t xml:space="preserve">f </w:t>
      </w:r>
      <w:r w:rsidR="002C6E70" w:rsidRPr="001B3B93">
        <w:rPr>
          <w:szCs w:val="23"/>
        </w:rPr>
        <w:t xml:space="preserve">more </w:t>
      </w:r>
      <w:r w:rsidR="00D122A5" w:rsidRPr="001B3B93">
        <w:rPr>
          <w:szCs w:val="23"/>
        </w:rPr>
        <w:t xml:space="preserve">Asian countries see </w:t>
      </w:r>
      <w:r w:rsidR="000D47DE" w:rsidRPr="001B3B93">
        <w:rPr>
          <w:szCs w:val="23"/>
        </w:rPr>
        <w:t xml:space="preserve">their economic </w:t>
      </w:r>
      <w:r w:rsidR="00D122A5" w:rsidRPr="001B3B93">
        <w:rPr>
          <w:szCs w:val="23"/>
        </w:rPr>
        <w:t>growth plateau and inequality rise.</w:t>
      </w:r>
    </w:p>
    <w:p w14:paraId="6861D2D2" w14:textId="1C43473B" w:rsidR="00360014" w:rsidRPr="001B3B93" w:rsidRDefault="00360014" w:rsidP="00360014">
      <w:pPr>
        <w:pBdr>
          <w:top w:val="single" w:sz="4" w:space="12" w:color="3DA18F" w:themeColor="background2" w:themeShade="BF"/>
          <w:bottom w:val="single" w:sz="4" w:space="5" w:color="3DA18F" w:themeColor="background2" w:themeShade="BF"/>
        </w:pBdr>
        <w:spacing w:before="240" w:after="520"/>
        <w:rPr>
          <w:b/>
          <w:i/>
          <w:iCs/>
          <w:color w:val="3DA18F" w:themeColor="background2" w:themeShade="BF"/>
        </w:rPr>
      </w:pPr>
      <w:r w:rsidRPr="001B3B93">
        <w:rPr>
          <w:b/>
          <w:i/>
          <w:iCs/>
          <w:color w:val="3DA18F" w:themeColor="background2" w:themeShade="BF"/>
        </w:rPr>
        <w:t>Indonesia is a dynamic, democratic, diverse and growing G20 member</w:t>
      </w:r>
      <w:r w:rsidR="005356BD">
        <w:rPr>
          <w:b/>
          <w:i/>
          <w:iCs/>
          <w:color w:val="3DA18F" w:themeColor="background2" w:themeShade="BF"/>
        </w:rPr>
        <w:t xml:space="preserve"> </w:t>
      </w:r>
      <w:r w:rsidRPr="001B3B93">
        <w:rPr>
          <w:b/>
          <w:i/>
          <w:iCs/>
          <w:color w:val="3DA18F" w:themeColor="background2" w:themeShade="BF"/>
        </w:rPr>
        <w:t>... Indonesia’s success is of fundamental importance to Australia</w:t>
      </w:r>
      <w:r w:rsidR="005356BD">
        <w:rPr>
          <w:b/>
          <w:i/>
          <w:iCs/>
          <w:color w:val="3DA18F" w:themeColor="background2" w:themeShade="BF"/>
        </w:rPr>
        <w:t xml:space="preserve"> </w:t>
      </w:r>
      <w:r w:rsidR="00404022" w:rsidRPr="001B3B93">
        <w:rPr>
          <w:b/>
          <w:i/>
          <w:iCs/>
          <w:color w:val="3DA18F" w:themeColor="background2" w:themeShade="BF"/>
        </w:rPr>
        <w:t>..</w:t>
      </w:r>
      <w:r w:rsidRPr="001B3B93">
        <w:rPr>
          <w:b/>
          <w:i/>
          <w:iCs/>
          <w:color w:val="3DA18F" w:themeColor="background2" w:themeShade="BF"/>
        </w:rPr>
        <w:t>.</w:t>
      </w:r>
      <w:r w:rsidR="00404022" w:rsidRPr="001B3B93">
        <w:rPr>
          <w:b/>
          <w:i/>
          <w:iCs/>
          <w:color w:val="3DA18F" w:themeColor="background2" w:themeShade="BF"/>
        </w:rPr>
        <w:t xml:space="preserve"> The size, weight and location of Indonesia at the intersection of the Indian and Pacific oceans makes it a leader in our region, including in ASEAN.</w:t>
      </w:r>
      <w:r w:rsidRPr="001B3B93">
        <w:rPr>
          <w:b/>
          <w:i/>
          <w:iCs/>
          <w:color w:val="3DA18F" w:themeColor="background2" w:themeShade="BF"/>
        </w:rPr>
        <w:t xml:space="preserve"> </w:t>
      </w:r>
      <w:r w:rsidRPr="003D3BD9">
        <w:rPr>
          <w:b/>
          <w:i/>
          <w:iCs/>
          <w:color w:val="3DA18F" w:themeColor="background2" w:themeShade="BF"/>
        </w:rPr>
        <w:t>—</w:t>
      </w:r>
      <w:r w:rsidRPr="001B3B93">
        <w:rPr>
          <w:b/>
          <w:i/>
          <w:iCs/>
          <w:color w:val="3DA18F" w:themeColor="background2" w:themeShade="BF"/>
        </w:rPr>
        <w:t xml:space="preserve"> </w:t>
      </w:r>
      <w:r w:rsidRPr="001B3B93">
        <w:rPr>
          <w:b/>
          <w:bCs/>
          <w:i/>
          <w:iCs/>
          <w:color w:val="3DA18F" w:themeColor="background2" w:themeShade="BF"/>
          <w:sz w:val="20"/>
        </w:rPr>
        <w:t>2017 Foreign Policy White Paper</w:t>
      </w:r>
    </w:p>
    <w:p w14:paraId="40653FE0" w14:textId="48B3F189" w:rsidR="00A746CE" w:rsidRDefault="00487C2D" w:rsidP="008F753B">
      <w:r>
        <w:t xml:space="preserve">Given these interests, there is a </w:t>
      </w:r>
      <w:r w:rsidR="00F257F5">
        <w:t xml:space="preserve">strong strategic </w:t>
      </w:r>
      <w:r>
        <w:t xml:space="preserve">case for continuing development cooperation with Asian MICs, to support regional growth and stability. </w:t>
      </w:r>
      <w:r w:rsidR="00F257F5">
        <w:t>Economic partnership has emerged as a way of communicating that case</w:t>
      </w:r>
      <w:r w:rsidR="00F257F5" w:rsidRPr="00950AE4">
        <w:t>.</w:t>
      </w:r>
      <w:r w:rsidRPr="00950AE4">
        <w:t xml:space="preserve"> </w:t>
      </w:r>
      <w:r w:rsidR="00AD0BBA">
        <w:t xml:space="preserve">Several </w:t>
      </w:r>
      <w:r w:rsidR="00F257F5" w:rsidRPr="00475334">
        <w:t xml:space="preserve">DFAT </w:t>
      </w:r>
      <w:r w:rsidRPr="00475334">
        <w:t>stakeholders</w:t>
      </w:r>
      <w:r w:rsidR="003309E8">
        <w:t>, including at senior management level,</w:t>
      </w:r>
      <w:r w:rsidRPr="00950AE4">
        <w:t xml:space="preserve"> </w:t>
      </w:r>
      <w:r w:rsidR="00F257F5" w:rsidRPr="00950AE4">
        <w:t xml:space="preserve">expressed the view </w:t>
      </w:r>
      <w:r w:rsidRPr="00950AE4">
        <w:t xml:space="preserve">that a purely altruistic case for continued aid, based on the </w:t>
      </w:r>
      <w:r w:rsidR="00A746CE" w:rsidRPr="00950AE4">
        <w:t>num</w:t>
      </w:r>
      <w:r w:rsidR="00A746CE">
        <w:t xml:space="preserve">bers of poor people </w:t>
      </w:r>
      <w:r>
        <w:t xml:space="preserve">in Asian countries, is no longer enough to ensure political and public support. </w:t>
      </w:r>
      <w:r w:rsidR="00F257F5">
        <w:t xml:space="preserve">There is a risk that, if the </w:t>
      </w:r>
      <w:r w:rsidR="00A746CE">
        <w:t xml:space="preserve">Australian interest </w:t>
      </w:r>
      <w:r w:rsidR="00F257F5">
        <w:t xml:space="preserve">is not clearly articulated, political opposition to providing aid to </w:t>
      </w:r>
      <w:r w:rsidR="00024F38">
        <w:t>Asian MICs</w:t>
      </w:r>
      <w:r w:rsidR="00F257F5">
        <w:t xml:space="preserve"> might lead to a </w:t>
      </w:r>
      <w:r w:rsidR="00A746CE">
        <w:t xml:space="preserve">sudden </w:t>
      </w:r>
      <w:r w:rsidR="00F257F5">
        <w:t xml:space="preserve">decision to </w:t>
      </w:r>
      <w:r w:rsidR="00A746CE">
        <w:t>exit</w:t>
      </w:r>
      <w:r w:rsidR="00F257F5">
        <w:t xml:space="preserve">. </w:t>
      </w:r>
      <w:r w:rsidR="00A746CE">
        <w:t xml:space="preserve">The economic partnership framing emphasises the building of bilateral economic ties, for mutual benefit. </w:t>
      </w:r>
      <w:r w:rsidR="007C6EEF" w:rsidRPr="00655249">
        <w:t xml:space="preserve">However, </w:t>
      </w:r>
      <w:r w:rsidR="003309E8" w:rsidRPr="00655249">
        <w:t xml:space="preserve">DFAT </w:t>
      </w:r>
      <w:r w:rsidR="007C6EEF" w:rsidRPr="00655249">
        <w:t>s</w:t>
      </w:r>
      <w:r w:rsidR="00A746CE" w:rsidRPr="00655249">
        <w:t xml:space="preserve">takeholders </w:t>
      </w:r>
      <w:r w:rsidR="003309E8" w:rsidRPr="00655249">
        <w:t xml:space="preserve">both </w:t>
      </w:r>
      <w:r w:rsidR="00105E5D" w:rsidRPr="00655249">
        <w:t>i</w:t>
      </w:r>
      <w:r w:rsidR="003309E8" w:rsidRPr="00655249">
        <w:t xml:space="preserve">n Canberra and in the two countries </w:t>
      </w:r>
      <w:r w:rsidR="00215188">
        <w:t>agreed</w:t>
      </w:r>
      <w:r w:rsidR="00A746CE" w:rsidRPr="00655249">
        <w:t xml:space="preserve"> that this case needs to be </w:t>
      </w:r>
      <w:r w:rsidR="00CC6BCE" w:rsidRPr="00655249">
        <w:t xml:space="preserve">made </w:t>
      </w:r>
      <w:r w:rsidR="00A746CE" w:rsidRPr="00655249">
        <w:t>more explicitly and assertively</w:t>
      </w:r>
      <w:r w:rsidR="00F76086" w:rsidRPr="00655249">
        <w:t xml:space="preserve"> for Australian policy makers</w:t>
      </w:r>
      <w:r w:rsidR="00A746CE" w:rsidRPr="00655249">
        <w:t>.</w:t>
      </w:r>
      <w:r w:rsidR="00D40BAE" w:rsidRPr="000C0828">
        <w:t xml:space="preserve"> </w:t>
      </w:r>
      <w:r w:rsidR="00D40BAE">
        <w:t>Potentially, the case could also be made for re-</w:t>
      </w:r>
      <w:r w:rsidR="00D40BAE" w:rsidRPr="00D40BAE">
        <w:t>establishing development cooperation, in modest and targeted ways, with countries from which the aid program has already exited, such as Thailand, which are yet to make the transition to higher income status.</w:t>
      </w:r>
    </w:p>
    <w:p w14:paraId="4931272F" w14:textId="1B0B4DBE" w:rsidR="008F753B" w:rsidRDefault="00D40BAE" w:rsidP="008F753B">
      <w:r w:rsidRPr="00D40BAE">
        <w:t xml:space="preserve">The </w:t>
      </w:r>
      <w:r w:rsidR="00611519" w:rsidRPr="001F40CB">
        <w:rPr>
          <w:i/>
        </w:rPr>
        <w:t>2017 Foreign Policy</w:t>
      </w:r>
      <w:r w:rsidR="00611519" w:rsidRPr="001F40CB">
        <w:t xml:space="preserve"> </w:t>
      </w:r>
      <w:r w:rsidRPr="001F40CB">
        <w:rPr>
          <w:i/>
        </w:rPr>
        <w:t>White Paper</w:t>
      </w:r>
      <w:r w:rsidRPr="00D40BAE">
        <w:t xml:space="preserve"> emphasises that </w:t>
      </w:r>
      <w:r>
        <w:t xml:space="preserve">trade, investment and </w:t>
      </w:r>
      <w:r w:rsidRPr="00D40BAE">
        <w:t xml:space="preserve">infrastructure finance </w:t>
      </w:r>
      <w:r>
        <w:t>are arenas for geo-economic competition in the region</w:t>
      </w:r>
      <w:r w:rsidRPr="00D40BAE">
        <w:t xml:space="preserve">. </w:t>
      </w:r>
      <w:r>
        <w:t xml:space="preserve">Against this background, economic partnerships offer Australia the potential to maintain influence with </w:t>
      </w:r>
      <w:r w:rsidRPr="006E0849">
        <w:t>key counterparts in Asian MICs, despite</w:t>
      </w:r>
      <w:r>
        <w:t xml:space="preserve"> a declining aid budget. </w:t>
      </w:r>
      <w:r w:rsidR="00074B9B">
        <w:t xml:space="preserve">If Australia continues to build its comparative advantage in </w:t>
      </w:r>
      <w:r>
        <w:t xml:space="preserve">knowledge-based </w:t>
      </w:r>
      <w:r w:rsidR="006470DB">
        <w:t>assistance</w:t>
      </w:r>
      <w:r>
        <w:t xml:space="preserve"> to </w:t>
      </w:r>
      <w:r w:rsidR="00074B9B">
        <w:t xml:space="preserve">help </w:t>
      </w:r>
      <w:r>
        <w:t xml:space="preserve">national </w:t>
      </w:r>
      <w:r w:rsidR="00074B9B">
        <w:t xml:space="preserve">leaders deliver complex economic and social reforms, it will help to distinguish </w:t>
      </w:r>
      <w:r>
        <w:t>Australia’s offer from others’ and build partnerships</w:t>
      </w:r>
      <w:r w:rsidR="00074B9B">
        <w:t xml:space="preserve"> with key stakeholders</w:t>
      </w:r>
      <w:r>
        <w:t>.</w:t>
      </w:r>
    </w:p>
    <w:p w14:paraId="38C22F64" w14:textId="39F4AABC" w:rsidR="00D40BAE" w:rsidRDefault="00074B9B" w:rsidP="00F76086">
      <w:r>
        <w:t xml:space="preserve">The work in the infrastructure sector </w:t>
      </w:r>
      <w:r w:rsidR="008F753B">
        <w:t xml:space="preserve">has particular </w:t>
      </w:r>
      <w:r w:rsidR="00D46A43">
        <w:t>relevan</w:t>
      </w:r>
      <w:r w:rsidR="008F753B">
        <w:t>ce, given the risks of partner countries taking on Chinese loans that prove uneconomic, compromising their debt sustainability</w:t>
      </w:r>
      <w:r w:rsidR="00D46A43">
        <w:t xml:space="preserve">. </w:t>
      </w:r>
      <w:r w:rsidR="008F753B">
        <w:t>Given its modest scale, direct Australian finance for infrastructure development will not of itself reduce reliance on other sources of finance. However, Australia’s knowledge-based assistance can help partner countries become more informed customers for infrastructure finance, better able to calculate the true costs and benefits of proposed investments.</w:t>
      </w:r>
    </w:p>
    <w:p w14:paraId="6D03A38F" w14:textId="4E8D6DF9" w:rsidR="005637F1" w:rsidRPr="001B3B93" w:rsidRDefault="005637F1" w:rsidP="003D3BD9">
      <w:pPr>
        <w:pStyle w:val="Heading3"/>
      </w:pPr>
      <w:bookmarkStart w:id="74" w:name="_Toc527713002"/>
      <w:r w:rsidRPr="001B3B93">
        <w:t>Key messages</w:t>
      </w:r>
      <w:bookmarkEnd w:id="74"/>
    </w:p>
    <w:p w14:paraId="3FA68C80" w14:textId="3ED9B867" w:rsidR="005637F1" w:rsidRPr="001B3B93" w:rsidRDefault="00F76086" w:rsidP="000C55B6">
      <w:pPr>
        <w:pStyle w:val="ListParagraph"/>
        <w:numPr>
          <w:ilvl w:val="0"/>
          <w:numId w:val="15"/>
        </w:numPr>
        <w:ind w:left="714" w:hanging="357"/>
        <w:contextualSpacing w:val="0"/>
      </w:pPr>
      <w:r>
        <w:t xml:space="preserve">Key stakeholders in the case study countries acknowledge the value of </w:t>
      </w:r>
      <w:r w:rsidR="005637F1" w:rsidRPr="001B3B93">
        <w:t>Australia</w:t>
      </w:r>
      <w:r>
        <w:t>’s</w:t>
      </w:r>
      <w:r w:rsidR="005637F1" w:rsidRPr="001B3B93">
        <w:t xml:space="preserve"> </w:t>
      </w:r>
      <w:r>
        <w:t xml:space="preserve">knowledge-based </w:t>
      </w:r>
      <w:r w:rsidR="00402AED" w:rsidRPr="001B3B93">
        <w:t xml:space="preserve">assistance </w:t>
      </w:r>
      <w:r>
        <w:t xml:space="preserve">for </w:t>
      </w:r>
      <w:r w:rsidR="005637F1" w:rsidRPr="001B3B93">
        <w:t>policy reform.</w:t>
      </w:r>
    </w:p>
    <w:p w14:paraId="7368E589" w14:textId="22D1A3B2" w:rsidR="005637F1" w:rsidRPr="001B3B93" w:rsidRDefault="00D6520C" w:rsidP="000C55B6">
      <w:pPr>
        <w:pStyle w:val="ListParagraph"/>
        <w:numPr>
          <w:ilvl w:val="0"/>
          <w:numId w:val="15"/>
        </w:numPr>
        <w:ind w:left="714" w:hanging="357"/>
        <w:contextualSpacing w:val="0"/>
      </w:pPr>
      <w:r w:rsidRPr="001B3B93">
        <w:t xml:space="preserve">Australian aid </w:t>
      </w:r>
      <w:r w:rsidR="00F76086">
        <w:t xml:space="preserve">makes only a modest </w:t>
      </w:r>
      <w:r w:rsidR="00B66C06" w:rsidRPr="001B3B93">
        <w:t xml:space="preserve">difference </w:t>
      </w:r>
      <w:r w:rsidR="00B2751D" w:rsidRPr="001B3B93">
        <w:t xml:space="preserve">to </w:t>
      </w:r>
      <w:r w:rsidR="00667680" w:rsidRPr="001B3B93">
        <w:t xml:space="preserve">overall levels of </w:t>
      </w:r>
      <w:r w:rsidR="00B2751D" w:rsidRPr="001B3B93">
        <w:t>development</w:t>
      </w:r>
      <w:r w:rsidR="00B66C06" w:rsidRPr="001B3B93">
        <w:t xml:space="preserve"> finance</w:t>
      </w:r>
      <w:r w:rsidR="00B2751D" w:rsidRPr="001B3B93">
        <w:t xml:space="preserve"> </w:t>
      </w:r>
      <w:r w:rsidR="00667680" w:rsidRPr="001B3B93">
        <w:t xml:space="preserve">but can </w:t>
      </w:r>
      <w:r w:rsidR="00B2751D" w:rsidRPr="001B3B93">
        <w:t xml:space="preserve">help partner countries </w:t>
      </w:r>
      <w:r w:rsidR="002B32AE">
        <w:t xml:space="preserve">mobilise other resources and </w:t>
      </w:r>
      <w:r w:rsidR="00B2751D" w:rsidRPr="001B3B93">
        <w:t>improve the quality of their investments</w:t>
      </w:r>
      <w:r w:rsidR="00667680" w:rsidRPr="001B3B93">
        <w:t xml:space="preserve"> and public spending</w:t>
      </w:r>
      <w:r w:rsidR="00B2751D" w:rsidRPr="001B3B93">
        <w:t>.</w:t>
      </w:r>
    </w:p>
    <w:p w14:paraId="1A3AAD36" w14:textId="77777777" w:rsidR="00B2751D" w:rsidRPr="001B3B93" w:rsidRDefault="00B2751D" w:rsidP="000C55B6">
      <w:pPr>
        <w:pStyle w:val="ListParagraph"/>
        <w:numPr>
          <w:ilvl w:val="0"/>
          <w:numId w:val="15"/>
        </w:numPr>
        <w:ind w:left="714" w:hanging="357"/>
        <w:contextualSpacing w:val="0"/>
      </w:pPr>
      <w:r w:rsidRPr="001B3B93">
        <w:t xml:space="preserve">Economic partnerships promote the </w:t>
      </w:r>
      <w:r w:rsidR="00667680" w:rsidRPr="001B3B93">
        <w:t xml:space="preserve">long-term </w:t>
      </w:r>
      <w:r w:rsidRPr="001B3B93">
        <w:t>Australia</w:t>
      </w:r>
      <w:r w:rsidR="00667680" w:rsidRPr="001B3B93">
        <w:t>n</w:t>
      </w:r>
      <w:r w:rsidRPr="001B3B93">
        <w:t xml:space="preserve"> interest in regional prosperity and stability, open economies and </w:t>
      </w:r>
      <w:r w:rsidR="00667680" w:rsidRPr="001B3B93">
        <w:t xml:space="preserve">improved </w:t>
      </w:r>
      <w:r w:rsidRPr="001B3B93">
        <w:t>business environments.</w:t>
      </w:r>
    </w:p>
    <w:p w14:paraId="5813AE95" w14:textId="77777777" w:rsidR="006B75CD" w:rsidRPr="001B3B93" w:rsidRDefault="00B2751D" w:rsidP="000C55B6">
      <w:pPr>
        <w:pStyle w:val="ListParagraph"/>
        <w:numPr>
          <w:ilvl w:val="0"/>
          <w:numId w:val="15"/>
        </w:numPr>
        <w:ind w:left="714" w:hanging="357"/>
        <w:contextualSpacing w:val="0"/>
      </w:pPr>
      <w:r w:rsidRPr="001B3B93">
        <w:lastRenderedPageBreak/>
        <w:t>There is a need to strengthen the narrative around economic partnerships, for both national counterparts and Australian stakeholders.</w:t>
      </w:r>
    </w:p>
    <w:p w14:paraId="061D6C4A" w14:textId="2102CAC3" w:rsidR="00B2751D" w:rsidRPr="001B3B93" w:rsidRDefault="00AF22E9" w:rsidP="006B75CD">
      <w:pPr>
        <w:pStyle w:val="Heading3"/>
      </w:pPr>
      <w:bookmarkStart w:id="75" w:name="_Toc527713003"/>
      <w:r w:rsidRPr="001B3B93">
        <w:t>S</w:t>
      </w:r>
      <w:r w:rsidR="006B75CD" w:rsidRPr="001B3B93">
        <w:t xml:space="preserve">cope for improving the complementarity of aid, diplomatic and trade initiatives </w:t>
      </w:r>
      <w:r w:rsidRPr="001B3B93">
        <w:t xml:space="preserve">to strengthen </w:t>
      </w:r>
      <w:r w:rsidR="006B75CD" w:rsidRPr="001B3B93">
        <w:t>economic partnerships</w:t>
      </w:r>
      <w:bookmarkEnd w:id="75"/>
    </w:p>
    <w:p w14:paraId="31D00469" w14:textId="6A96A854" w:rsidR="00E133DC" w:rsidRPr="001B3B93" w:rsidRDefault="0024395A" w:rsidP="00CF5131">
      <w:pPr>
        <w:rPr>
          <w:szCs w:val="23"/>
        </w:rPr>
      </w:pPr>
      <w:r>
        <w:rPr>
          <w:szCs w:val="23"/>
        </w:rPr>
        <w:t>T</w:t>
      </w:r>
      <w:r w:rsidR="00E133DC" w:rsidRPr="001B3B93">
        <w:rPr>
          <w:szCs w:val="23"/>
        </w:rPr>
        <w:t xml:space="preserve">his section </w:t>
      </w:r>
      <w:r w:rsidR="000D1CA4" w:rsidRPr="001B3B93">
        <w:rPr>
          <w:szCs w:val="23"/>
        </w:rPr>
        <w:t>consider</w:t>
      </w:r>
      <w:r>
        <w:rPr>
          <w:szCs w:val="23"/>
        </w:rPr>
        <w:t>s</w:t>
      </w:r>
      <w:r w:rsidR="000D1CA4" w:rsidRPr="001B3B93">
        <w:rPr>
          <w:szCs w:val="23"/>
        </w:rPr>
        <w:t xml:space="preserve"> </w:t>
      </w:r>
      <w:r w:rsidR="000F54BD" w:rsidRPr="001B3B93">
        <w:rPr>
          <w:szCs w:val="23"/>
        </w:rPr>
        <w:t xml:space="preserve">what scope there is </w:t>
      </w:r>
      <w:r w:rsidR="000D1CA4" w:rsidRPr="001B3B93">
        <w:rPr>
          <w:szCs w:val="23"/>
        </w:rPr>
        <w:t>for greater alignment</w:t>
      </w:r>
      <w:r w:rsidR="0051339B" w:rsidRPr="001B3B93">
        <w:rPr>
          <w:szCs w:val="23"/>
        </w:rPr>
        <w:t xml:space="preserve"> of development cooperation with diplomatic and trade initiatives in support of economic partnership</w:t>
      </w:r>
      <w:r w:rsidR="000D1CA4" w:rsidRPr="001B3B93">
        <w:rPr>
          <w:szCs w:val="23"/>
        </w:rPr>
        <w:t>, and the risks and opportunities involved in pursuing it.</w:t>
      </w:r>
    </w:p>
    <w:p w14:paraId="14460C76" w14:textId="77777777" w:rsidR="000D1CA4" w:rsidRPr="001B3B93" w:rsidRDefault="000D1CA4" w:rsidP="00CF5131">
      <w:pPr>
        <w:rPr>
          <w:i/>
          <w:color w:val="296C60" w:themeColor="background2" w:themeShade="80"/>
          <w:szCs w:val="23"/>
        </w:rPr>
      </w:pPr>
      <w:r w:rsidRPr="001B3B93">
        <w:rPr>
          <w:i/>
          <w:color w:val="296C60" w:themeColor="background2" w:themeShade="80"/>
          <w:szCs w:val="23"/>
        </w:rPr>
        <w:t>Development cooperation and diplomatic engagement</w:t>
      </w:r>
    </w:p>
    <w:p w14:paraId="5E58B5F3" w14:textId="38F4ABC3" w:rsidR="00F40FA3" w:rsidRPr="001B3B93" w:rsidRDefault="000D1CA4" w:rsidP="00CF5131">
      <w:r w:rsidRPr="001B3B93">
        <w:t xml:space="preserve">There is a natural complementary between development cooperation and </w:t>
      </w:r>
      <w:r w:rsidR="001D0330" w:rsidRPr="001B3B93">
        <w:t xml:space="preserve">diplomacy </w:t>
      </w:r>
      <w:r w:rsidRPr="001B3B93">
        <w:t xml:space="preserve">that is well recognised </w:t>
      </w:r>
      <w:r w:rsidR="007F0635" w:rsidRPr="001B3B93">
        <w:t xml:space="preserve">within </w:t>
      </w:r>
      <w:r w:rsidR="0024395A">
        <w:t>DFAT</w:t>
      </w:r>
      <w:r w:rsidRPr="001B3B93">
        <w:t xml:space="preserve">. </w:t>
      </w:r>
      <w:r w:rsidR="00780F44" w:rsidRPr="001B3B93">
        <w:t>D</w:t>
      </w:r>
      <w:r w:rsidR="0024395A">
        <w:t>epartmental</w:t>
      </w:r>
      <w:r w:rsidR="00780F44" w:rsidRPr="001B3B93">
        <w:t xml:space="preserve"> </w:t>
      </w:r>
      <w:r w:rsidR="00F76086">
        <w:t xml:space="preserve">officials </w:t>
      </w:r>
      <w:bookmarkStart w:id="76" w:name="_Hlk520993252"/>
      <w:r w:rsidR="008F253D">
        <w:t xml:space="preserve">at </w:t>
      </w:r>
      <w:r w:rsidR="00F76086">
        <w:t xml:space="preserve">posts </w:t>
      </w:r>
      <w:bookmarkEnd w:id="76"/>
      <w:r w:rsidR="00780F44" w:rsidRPr="001B3B93">
        <w:t>value</w:t>
      </w:r>
      <w:r w:rsidR="00F76086">
        <w:t>d</w:t>
      </w:r>
      <w:r w:rsidR="00780F44" w:rsidRPr="001B3B93">
        <w:t xml:space="preserve"> the opportunities that aid programs offer for diplomatic engagement</w:t>
      </w:r>
      <w:r w:rsidR="00513977" w:rsidRPr="001B3B93">
        <w:t xml:space="preserve">, </w:t>
      </w:r>
      <w:r w:rsidR="00780F44" w:rsidRPr="001B3B93">
        <w:t>by providing access to institutions and decision</w:t>
      </w:r>
      <w:r w:rsidR="00830AB2">
        <w:t>-</w:t>
      </w:r>
      <w:r w:rsidR="00780F44" w:rsidRPr="001B3B93">
        <w:t>makers, generating knowledge of policy issues and processes, and contributing to Australia’s profile and reputation.</w:t>
      </w:r>
    </w:p>
    <w:p w14:paraId="0C491621" w14:textId="0F89E1A9" w:rsidR="00F40FA3" w:rsidRPr="001B3B93" w:rsidRDefault="00513977" w:rsidP="00CF5131">
      <w:r w:rsidRPr="001B3B93">
        <w:t>The shift towards k</w:t>
      </w:r>
      <w:r w:rsidR="00780F44" w:rsidRPr="001B3B93">
        <w:t xml:space="preserve">nowledge-based assistance </w:t>
      </w:r>
      <w:r w:rsidRPr="001B3B93">
        <w:t xml:space="preserve">results in </w:t>
      </w:r>
      <w:r w:rsidR="00780F44" w:rsidRPr="001B3B93">
        <w:t xml:space="preserve">fewer </w:t>
      </w:r>
      <w:r w:rsidRPr="001B3B93">
        <w:t xml:space="preserve">branding </w:t>
      </w:r>
      <w:r w:rsidR="00780F44" w:rsidRPr="001B3B93">
        <w:t xml:space="preserve">opportunities around physical outputs. However, in </w:t>
      </w:r>
      <w:r w:rsidR="0024395A">
        <w:t>Indonesia and Vietnam</w:t>
      </w:r>
      <w:r w:rsidR="00780F44" w:rsidRPr="001B3B93">
        <w:t xml:space="preserve">, </w:t>
      </w:r>
      <w:r w:rsidR="0024395A">
        <w:t>this</w:t>
      </w:r>
      <w:r w:rsidR="0024395A" w:rsidRPr="001B3B93">
        <w:t xml:space="preserve"> </w:t>
      </w:r>
      <w:r w:rsidR="00780F44" w:rsidRPr="001B3B93">
        <w:t xml:space="preserve">is creating new opportunities around high-profile events and publications. For example, </w:t>
      </w:r>
      <w:r w:rsidR="008C7A33" w:rsidRPr="001B3B93">
        <w:t xml:space="preserve">the </w:t>
      </w:r>
      <w:r w:rsidR="008C7A33" w:rsidRPr="001B3B93">
        <w:rPr>
          <w:i/>
        </w:rPr>
        <w:t>Indonesia Economic Quarterly</w:t>
      </w:r>
      <w:r w:rsidR="008C7A33" w:rsidRPr="001B3B93">
        <w:t xml:space="preserve"> </w:t>
      </w:r>
      <w:r w:rsidR="001D0330" w:rsidRPr="001B3B93">
        <w:t xml:space="preserve">(a World Bank publication funded by DFAT) offers a regular cycle of events with Indonesian policy makers, while the inaugural Indonesia Development Forum in 2017 (supported through DFAT’s Knowledge Sector Initiative program) attracted </w:t>
      </w:r>
      <w:r w:rsidR="0024395A">
        <w:t>10</w:t>
      </w:r>
      <w:r w:rsidR="0024395A" w:rsidRPr="001B3B93">
        <w:t xml:space="preserve"> </w:t>
      </w:r>
      <w:r w:rsidR="001D0330" w:rsidRPr="001B3B93">
        <w:t>govern</w:t>
      </w:r>
      <w:r w:rsidR="0074244D" w:rsidRPr="001B3B93">
        <w:t xml:space="preserve">ment ministers and </w:t>
      </w:r>
      <w:r w:rsidR="004374F9" w:rsidRPr="001B3B93">
        <w:t xml:space="preserve">extensive </w:t>
      </w:r>
      <w:r w:rsidR="0074244D" w:rsidRPr="001B3B93">
        <w:t xml:space="preserve">newspaper coverage. In Vietnam, the </w:t>
      </w:r>
      <w:r w:rsidR="0074244D" w:rsidRPr="001B3B93">
        <w:rPr>
          <w:i/>
        </w:rPr>
        <w:t>Vietnam 2035</w:t>
      </w:r>
      <w:r w:rsidR="0074244D" w:rsidRPr="001B3B93">
        <w:t xml:space="preserve"> report</w:t>
      </w:r>
      <w:r w:rsidR="004374F9" w:rsidRPr="001B3B93">
        <w:rPr>
          <w:rStyle w:val="FootnoteReference"/>
        </w:rPr>
        <w:footnoteReference w:id="60"/>
      </w:r>
      <w:r w:rsidR="0074244D" w:rsidRPr="001B3B93">
        <w:t xml:space="preserve"> (a high-profile report on Vietnam’s development, produced jointly by the World Bank and the </w:t>
      </w:r>
      <w:r w:rsidR="00646E08">
        <w:t xml:space="preserve">Vietnam </w:t>
      </w:r>
      <w:r w:rsidR="0074244D" w:rsidRPr="001B3B93">
        <w:t>Government, with DFAT co-funding)</w:t>
      </w:r>
      <w:r w:rsidR="004374F9" w:rsidRPr="001B3B93">
        <w:t xml:space="preserve"> provided an opportunity for the Ambassador to join the World Bank in discussions with the Vietnamese Prime Minister.</w:t>
      </w:r>
    </w:p>
    <w:p w14:paraId="6AE2A436" w14:textId="37AF3864" w:rsidR="00F40FA3" w:rsidRPr="001B3B93" w:rsidRDefault="00F40FA3" w:rsidP="00CF5131">
      <w:r w:rsidRPr="001B3B93">
        <w:t xml:space="preserve">There </w:t>
      </w:r>
      <w:r w:rsidR="008B5E75" w:rsidRPr="001B3B93">
        <w:t xml:space="preserve">are </w:t>
      </w:r>
      <w:r w:rsidR="00763B8C" w:rsidRPr="001B3B93">
        <w:t xml:space="preserve">some </w:t>
      </w:r>
      <w:r w:rsidR="0051339B" w:rsidRPr="001B3B93">
        <w:t xml:space="preserve">tensions </w:t>
      </w:r>
      <w:r w:rsidRPr="001B3B93">
        <w:t xml:space="preserve">between </w:t>
      </w:r>
      <w:r w:rsidR="0051339B" w:rsidRPr="001B3B93">
        <w:t xml:space="preserve">the requirements of bilateral </w:t>
      </w:r>
      <w:r w:rsidRPr="001B3B93">
        <w:t>diplomac</w:t>
      </w:r>
      <w:r w:rsidR="0051339B" w:rsidRPr="001B3B93">
        <w:t>y</w:t>
      </w:r>
      <w:r w:rsidRPr="001B3B93">
        <w:t xml:space="preserve"> and development cooperation. </w:t>
      </w:r>
      <w:r w:rsidR="008B5E75" w:rsidRPr="001B3B93">
        <w:t xml:space="preserve">Diplomatic engagement </w:t>
      </w:r>
      <w:r w:rsidR="0051339B" w:rsidRPr="001B3B93">
        <w:t xml:space="preserve">typically cuts across </w:t>
      </w:r>
      <w:r w:rsidR="008B5E75" w:rsidRPr="001B3B93">
        <w:t>a wide range of issues</w:t>
      </w:r>
      <w:r w:rsidR="009B0DB1">
        <w:t xml:space="preserve">. It </w:t>
      </w:r>
      <w:r w:rsidR="00E61D2A" w:rsidRPr="001B3B93">
        <w:t>requires a high level of responsiveness to needs and opportunities that can be difficult to predict</w:t>
      </w:r>
      <w:r w:rsidR="0024395A">
        <w:t>. It also</w:t>
      </w:r>
      <w:r w:rsidR="008B5E75" w:rsidRPr="001B3B93">
        <w:t xml:space="preserve"> requires </w:t>
      </w:r>
      <w:r w:rsidR="00763B8C" w:rsidRPr="001B3B93">
        <w:t xml:space="preserve">investment in </w:t>
      </w:r>
      <w:r w:rsidR="008B5E75" w:rsidRPr="001B3B93">
        <w:t>relationships that can be used for that purpose. A high value is placed on building Australia’s profile and reputation, including through public diplomacy. This may not be directed towards any specific influencing outcomes</w:t>
      </w:r>
      <w:r w:rsidR="00FB1F72" w:rsidRPr="001B3B93">
        <w:t xml:space="preserve"> in the short term</w:t>
      </w:r>
      <w:r w:rsidR="008B5E75" w:rsidRPr="001B3B93">
        <w:t>, but rather at building up a stock of good will to facilitate future engagement.</w:t>
      </w:r>
    </w:p>
    <w:p w14:paraId="13C29C9D" w14:textId="15A75A40" w:rsidR="008B5E75" w:rsidRPr="001B3B93" w:rsidRDefault="008B5E75" w:rsidP="00FC0988">
      <w:r w:rsidRPr="001B3B93">
        <w:t xml:space="preserve">For development cooperation, </w:t>
      </w:r>
      <w:r w:rsidR="00E61D2A" w:rsidRPr="001B3B93">
        <w:t>the focus is on</w:t>
      </w:r>
      <w:r w:rsidRPr="001B3B93">
        <w:t xml:space="preserve"> achieving </w:t>
      </w:r>
      <w:r w:rsidR="00B573FE">
        <w:t xml:space="preserve">longer-term </w:t>
      </w:r>
      <w:r w:rsidRPr="001B3B93">
        <w:t xml:space="preserve">outcomes, such as policy changes or institutional reforms. </w:t>
      </w:r>
      <w:r w:rsidR="006131DC" w:rsidRPr="001B3B93">
        <w:t xml:space="preserve">It involves investing in </w:t>
      </w:r>
      <w:r w:rsidR="00B573FE">
        <w:t xml:space="preserve">deep </w:t>
      </w:r>
      <w:r w:rsidR="006131DC" w:rsidRPr="001B3B93">
        <w:t xml:space="preserve">relationships with </w:t>
      </w:r>
      <w:r w:rsidR="00763B8C" w:rsidRPr="001B3B93">
        <w:t xml:space="preserve">selected </w:t>
      </w:r>
      <w:r w:rsidR="006131DC" w:rsidRPr="001B3B93">
        <w:t>institutions or decision</w:t>
      </w:r>
      <w:r w:rsidR="00830AB2">
        <w:t>-</w:t>
      </w:r>
      <w:r w:rsidR="006131DC" w:rsidRPr="001B3B93">
        <w:t xml:space="preserve">makers, </w:t>
      </w:r>
      <w:r w:rsidR="00BF1E98">
        <w:t xml:space="preserve">to support their objectives, </w:t>
      </w:r>
      <w:r w:rsidR="00763B8C" w:rsidRPr="001B3B93">
        <w:t xml:space="preserve">often </w:t>
      </w:r>
      <w:r w:rsidR="006131DC" w:rsidRPr="001B3B93">
        <w:t xml:space="preserve">working through intermediaries who bring their own networks </w:t>
      </w:r>
      <w:r w:rsidR="00763B8C" w:rsidRPr="001B3B93">
        <w:t>and relationships</w:t>
      </w:r>
      <w:r w:rsidR="006131DC" w:rsidRPr="001B3B93">
        <w:t xml:space="preserve">. </w:t>
      </w:r>
      <w:r w:rsidRPr="001B3B93">
        <w:t xml:space="preserve">Given political sensitivities around external </w:t>
      </w:r>
      <w:r w:rsidR="00BF1E98">
        <w:t xml:space="preserve">influence on </w:t>
      </w:r>
      <w:r w:rsidR="00915F91" w:rsidRPr="001B3B93">
        <w:t xml:space="preserve">government </w:t>
      </w:r>
      <w:bookmarkStart w:id="77" w:name="_Hlk520993387"/>
      <w:r w:rsidR="00915F91" w:rsidRPr="001B3B93">
        <w:t>policy</w:t>
      </w:r>
      <w:r w:rsidR="008F253D">
        <w:t xml:space="preserve"> </w:t>
      </w:r>
      <w:r w:rsidR="00763B8C" w:rsidRPr="001B3B93">
        <w:t>making</w:t>
      </w:r>
      <w:bookmarkEnd w:id="77"/>
      <w:r w:rsidRPr="001B3B93">
        <w:t xml:space="preserve">, </w:t>
      </w:r>
      <w:r w:rsidR="00BF1E98">
        <w:t xml:space="preserve">aid programs often work </w:t>
      </w:r>
      <w:r w:rsidR="00FC0988" w:rsidRPr="001B3B93">
        <w:t>behind the scenes</w:t>
      </w:r>
      <w:r w:rsidR="006131DC" w:rsidRPr="001B3B93">
        <w:t xml:space="preserve"> </w:t>
      </w:r>
      <w:r w:rsidR="00BF1E98">
        <w:t xml:space="preserve">and </w:t>
      </w:r>
      <w:r w:rsidR="006131DC" w:rsidRPr="001B3B93">
        <w:t xml:space="preserve">avoid claiming credit </w:t>
      </w:r>
      <w:r w:rsidR="00BF1E98">
        <w:t xml:space="preserve">for reform outcomes </w:t>
      </w:r>
      <w:r w:rsidR="006131DC" w:rsidRPr="001B3B93">
        <w:t>where that would be unhelpful</w:t>
      </w:r>
      <w:r w:rsidR="00FC0988" w:rsidRPr="001B3B93">
        <w:t>.</w:t>
      </w:r>
    </w:p>
    <w:p w14:paraId="2BFEE337" w14:textId="2780CC9D" w:rsidR="00F40FA3" w:rsidRPr="001B3B93" w:rsidRDefault="00215188" w:rsidP="00CF5131">
      <w:r>
        <w:t xml:space="preserve">The evaluation </w:t>
      </w:r>
      <w:r w:rsidR="00915F91" w:rsidRPr="001B3B93">
        <w:t>found that th</w:t>
      </w:r>
      <w:r w:rsidR="00E61D2A" w:rsidRPr="001B3B93">
        <w:t xml:space="preserve">is tension </w:t>
      </w:r>
      <w:r w:rsidR="00915F91" w:rsidRPr="001B3B93">
        <w:t>w</w:t>
      </w:r>
      <w:r w:rsidR="00E61D2A" w:rsidRPr="001B3B93">
        <w:t>as</w:t>
      </w:r>
      <w:r w:rsidR="009B4100">
        <w:t xml:space="preserve"> understood and was</w:t>
      </w:r>
      <w:r w:rsidR="00915F91" w:rsidRPr="001B3B93">
        <w:t xml:space="preserve"> being navigated successfully</w:t>
      </w:r>
      <w:r w:rsidR="007B1362" w:rsidRPr="001B3B93">
        <w:t xml:space="preserve"> in Indonesia</w:t>
      </w:r>
      <w:r w:rsidR="0024395A">
        <w:t xml:space="preserve"> and Vietnam</w:t>
      </w:r>
      <w:r w:rsidR="00915F91" w:rsidRPr="001B3B93">
        <w:t xml:space="preserve">. Branding requirements on knowledge-based assistance are modest and appropriate, and aid programs are not asked to </w:t>
      </w:r>
      <w:r w:rsidR="001A4DB8" w:rsidRPr="001B3B93">
        <w:t xml:space="preserve">pursue specific Australian interests where this would be </w:t>
      </w:r>
      <w:r w:rsidR="008301BC" w:rsidRPr="001B3B93">
        <w:t>unhelpful to their objectives</w:t>
      </w:r>
      <w:r w:rsidR="001A4DB8" w:rsidRPr="001B3B93">
        <w:t>.</w:t>
      </w:r>
    </w:p>
    <w:p w14:paraId="6C5F86F3" w14:textId="7C50DCAC" w:rsidR="00E61D2A" w:rsidRPr="001B3B93" w:rsidRDefault="00B81A88" w:rsidP="006B75CD">
      <w:r>
        <w:t>T</w:t>
      </w:r>
      <w:r w:rsidR="008301BC" w:rsidRPr="001B3B93">
        <w:t xml:space="preserve">here is scope for </w:t>
      </w:r>
      <w:r w:rsidR="00E16224" w:rsidRPr="001B3B93">
        <w:t xml:space="preserve">DFAT </w:t>
      </w:r>
      <w:r w:rsidR="008301BC" w:rsidRPr="001B3B93">
        <w:t xml:space="preserve">to </w:t>
      </w:r>
      <w:r w:rsidR="00E16224" w:rsidRPr="001B3B93">
        <w:t xml:space="preserve">pursue </w:t>
      </w:r>
      <w:r w:rsidR="008301BC" w:rsidRPr="001B3B93">
        <w:t xml:space="preserve">common </w:t>
      </w:r>
      <w:r w:rsidR="00E16224" w:rsidRPr="001B3B93">
        <w:t xml:space="preserve">influencing objectives across its diplomatic engagements and development cooperation. </w:t>
      </w:r>
      <w:r w:rsidR="008301BC" w:rsidRPr="001B3B93">
        <w:t>T</w:t>
      </w:r>
      <w:r w:rsidR="001D0ECA" w:rsidRPr="001B3B93">
        <w:t xml:space="preserve">his </w:t>
      </w:r>
      <w:r w:rsidR="004D057B" w:rsidRPr="001B3B93">
        <w:t>i</w:t>
      </w:r>
      <w:r w:rsidR="001D0ECA" w:rsidRPr="001B3B93">
        <w:t xml:space="preserve">s beginning to occur in </w:t>
      </w:r>
      <w:r w:rsidR="00BF1E98">
        <w:t>both countries</w:t>
      </w:r>
      <w:r w:rsidR="001D0ECA" w:rsidRPr="001B3B93">
        <w:t xml:space="preserve">. </w:t>
      </w:r>
      <w:r w:rsidR="00BF1E98">
        <w:t xml:space="preserve">In Indonesia, </w:t>
      </w:r>
      <w:r w:rsidR="001D0ECA" w:rsidRPr="001B3B93">
        <w:t xml:space="preserve">DFAT has identified a number of </w:t>
      </w:r>
      <w:r w:rsidR="001D0ECA" w:rsidRPr="001B3B93">
        <w:lastRenderedPageBreak/>
        <w:t xml:space="preserve">key messages </w:t>
      </w:r>
      <w:r w:rsidR="00763B8C" w:rsidRPr="001B3B93">
        <w:t xml:space="preserve">on </w:t>
      </w:r>
      <w:r w:rsidR="001D0ECA" w:rsidRPr="001B3B93">
        <w:t>policy</w:t>
      </w:r>
      <w:r w:rsidR="00763B8C" w:rsidRPr="001B3B93">
        <w:t xml:space="preserve"> issues</w:t>
      </w:r>
      <w:r w:rsidR="001D0ECA" w:rsidRPr="001B3B93">
        <w:t xml:space="preserve">, </w:t>
      </w:r>
      <w:r w:rsidR="008301BC" w:rsidRPr="001B3B93">
        <w:t xml:space="preserve">such as </w:t>
      </w:r>
      <w:r w:rsidR="001D0ECA" w:rsidRPr="001B3B93">
        <w:t xml:space="preserve">the need </w:t>
      </w:r>
      <w:r w:rsidR="00763B8C" w:rsidRPr="001B3B93">
        <w:t xml:space="preserve">to </w:t>
      </w:r>
      <w:r w:rsidR="001D0ECA" w:rsidRPr="001B3B93">
        <w:t xml:space="preserve">improve revenue collection, </w:t>
      </w:r>
      <w:r w:rsidR="00763B8C" w:rsidRPr="001B3B93">
        <w:t xml:space="preserve">tackle </w:t>
      </w:r>
      <w:r w:rsidR="001D7C50" w:rsidRPr="001B3B93">
        <w:t xml:space="preserve">inequality and </w:t>
      </w:r>
      <w:r w:rsidR="00763B8C" w:rsidRPr="001B3B93">
        <w:t xml:space="preserve">liberalise markets to achieve </w:t>
      </w:r>
      <w:r w:rsidR="001D7C50" w:rsidRPr="001B3B93">
        <w:t>lower and more stable</w:t>
      </w:r>
      <w:r w:rsidR="00763B8C" w:rsidRPr="001B3B93">
        <w:t xml:space="preserve"> food prices</w:t>
      </w:r>
      <w:r w:rsidR="00177EE3" w:rsidRPr="001B3B93">
        <w:t>. These messages are being conveyed at various levels</w:t>
      </w:r>
      <w:r w:rsidR="008301BC" w:rsidRPr="001B3B93">
        <w:t>,</w:t>
      </w:r>
      <w:r w:rsidR="00177EE3" w:rsidRPr="001B3B93">
        <w:t xml:space="preserve"> including </w:t>
      </w:r>
      <w:r w:rsidR="0024395A">
        <w:t xml:space="preserve">in </w:t>
      </w:r>
      <w:r w:rsidR="00177EE3" w:rsidRPr="001B3B93">
        <w:t xml:space="preserve">public speeches by senior DFAT officials. </w:t>
      </w:r>
      <w:r w:rsidR="00BF1E98">
        <w:t>In Vietnam, DFAT has begun to identify key policy</w:t>
      </w:r>
      <w:r w:rsidR="005B3AA1">
        <w:t xml:space="preserve"> objectives for each of its areas of engagement and to build these into advocacy strategies. For example, there is an objective around promoting gender equality within the Vietnamese labour code. </w:t>
      </w:r>
      <w:r w:rsidR="008301BC" w:rsidRPr="001B3B93">
        <w:t>The next step might be to set down an explicit set of influencing objectives for each economic partnership, with target audiences identified (</w:t>
      </w:r>
      <w:r w:rsidR="0024395A">
        <w:t>for example</w:t>
      </w:r>
      <w:r w:rsidR="008301BC" w:rsidRPr="001B3B93">
        <w:t>, senior government officials, parliamentarians and journalists), and ensure that these messages are pursued consistently across development programs and diplomatic engagements.</w:t>
      </w:r>
    </w:p>
    <w:p w14:paraId="2F4B6F87" w14:textId="29B26DF5" w:rsidR="005B3AA1" w:rsidRDefault="00215188" w:rsidP="006B75CD">
      <w:r>
        <w:t>The evaluation team</w:t>
      </w:r>
      <w:r w:rsidR="0024395A">
        <w:t xml:space="preserve"> </w:t>
      </w:r>
      <w:r w:rsidR="005B3AA1">
        <w:t xml:space="preserve">noted efforts in both countries to reorient the scholarship program to maximise relationships and linkages in support of economic partnership. This includes a rebalancing towards short-term training and fellowships, which increases the number of alumni. </w:t>
      </w:r>
      <w:r w:rsidR="005B3AA1" w:rsidRPr="00F74302">
        <w:t>It is not within the scope of this evaluation to judge the relative effectiveness and value</w:t>
      </w:r>
      <w:r w:rsidR="00BD2851">
        <w:t>-</w:t>
      </w:r>
      <w:r w:rsidR="005B3AA1" w:rsidRPr="00F74302">
        <w:t>for</w:t>
      </w:r>
      <w:r w:rsidR="00BD2851">
        <w:t>-</w:t>
      </w:r>
      <w:r w:rsidR="005B3AA1" w:rsidRPr="00F74302">
        <w:t xml:space="preserve">money of different award types, from either the diplomatic or development standpoint. This should be the subject of a </w:t>
      </w:r>
      <w:r w:rsidR="0024395A">
        <w:t xml:space="preserve">separate and </w:t>
      </w:r>
      <w:r w:rsidR="005B3AA1" w:rsidRPr="00F74302">
        <w:t>robust evaluation.</w:t>
      </w:r>
    </w:p>
    <w:p w14:paraId="67194B4F" w14:textId="77777777" w:rsidR="008301BC" w:rsidRPr="001B3B93" w:rsidRDefault="008301BC" w:rsidP="006B75CD">
      <w:pPr>
        <w:rPr>
          <w:i/>
          <w:color w:val="296C60" w:themeColor="background2" w:themeShade="80"/>
          <w:szCs w:val="23"/>
        </w:rPr>
      </w:pPr>
      <w:r w:rsidRPr="001B3B93">
        <w:rPr>
          <w:i/>
          <w:color w:val="296C60" w:themeColor="background2" w:themeShade="80"/>
          <w:szCs w:val="23"/>
        </w:rPr>
        <w:t xml:space="preserve">Development cooperation and trade </w:t>
      </w:r>
    </w:p>
    <w:p w14:paraId="54233862" w14:textId="1D5466CB" w:rsidR="00C56329" w:rsidRDefault="00C02C64" w:rsidP="00667680">
      <w:pPr>
        <w:rPr>
          <w:szCs w:val="23"/>
        </w:rPr>
      </w:pPr>
      <w:r>
        <w:rPr>
          <w:szCs w:val="23"/>
        </w:rPr>
        <w:t xml:space="preserve">DFAT has made significant efforts in recent years to align its aid and trade work, </w:t>
      </w:r>
      <w:r w:rsidR="00EB768A">
        <w:rPr>
          <w:szCs w:val="23"/>
        </w:rPr>
        <w:t xml:space="preserve">including </w:t>
      </w:r>
      <w:r>
        <w:rPr>
          <w:szCs w:val="23"/>
        </w:rPr>
        <w:t>a commitment to spending 20</w:t>
      </w:r>
      <w:r w:rsidR="002D3FAC">
        <w:rPr>
          <w:szCs w:val="23"/>
        </w:rPr>
        <w:t xml:space="preserve"> </w:t>
      </w:r>
      <w:r w:rsidR="002D3FAC">
        <w:t>per cent</w:t>
      </w:r>
      <w:r w:rsidR="002D3FAC">
        <w:rPr>
          <w:szCs w:val="23"/>
        </w:rPr>
        <w:t xml:space="preserve"> </w:t>
      </w:r>
      <w:r>
        <w:rPr>
          <w:szCs w:val="23"/>
        </w:rPr>
        <w:t>of the aid program on ‘aid for trade’.</w:t>
      </w:r>
      <w:r w:rsidR="00EB768A" w:rsidRPr="00EB768A">
        <w:rPr>
          <w:szCs w:val="23"/>
          <w:vertAlign w:val="superscript"/>
        </w:rPr>
        <w:footnoteReference w:id="61"/>
      </w:r>
      <w:r>
        <w:rPr>
          <w:szCs w:val="23"/>
        </w:rPr>
        <w:t xml:space="preserve"> </w:t>
      </w:r>
      <w:r w:rsidR="002A51BF">
        <w:rPr>
          <w:szCs w:val="23"/>
        </w:rPr>
        <w:t xml:space="preserve">The OECD Development Assistance Committee peer review noted that Australia </w:t>
      </w:r>
      <w:r w:rsidR="0041167F">
        <w:rPr>
          <w:szCs w:val="23"/>
        </w:rPr>
        <w:t xml:space="preserve">is </w:t>
      </w:r>
      <w:r w:rsidR="002A51BF">
        <w:rPr>
          <w:szCs w:val="23"/>
        </w:rPr>
        <w:t xml:space="preserve">a global advocate for trade liberalisation, with a focus </w:t>
      </w:r>
      <w:r w:rsidR="0041167F">
        <w:rPr>
          <w:szCs w:val="23"/>
        </w:rPr>
        <w:t xml:space="preserve">on the benefits for </w:t>
      </w:r>
      <w:r w:rsidR="002A51BF">
        <w:rPr>
          <w:szCs w:val="23"/>
        </w:rPr>
        <w:t>developing countries.</w:t>
      </w:r>
      <w:r w:rsidR="002A51BF">
        <w:rPr>
          <w:rStyle w:val="FootnoteReference"/>
          <w:szCs w:val="23"/>
        </w:rPr>
        <w:footnoteReference w:id="62"/>
      </w:r>
      <w:r w:rsidR="002A51BF">
        <w:rPr>
          <w:szCs w:val="23"/>
        </w:rPr>
        <w:t xml:space="preserve"> Its own trade policies are development-friendly</w:t>
      </w:r>
      <w:r w:rsidR="0041167F">
        <w:rPr>
          <w:szCs w:val="23"/>
        </w:rPr>
        <w:t>: it offers duty-free, quota-free access to imports from least developed countries and maintains</w:t>
      </w:r>
      <w:r w:rsidR="002A51BF">
        <w:rPr>
          <w:szCs w:val="23"/>
        </w:rPr>
        <w:t xml:space="preserve"> low agricultural </w:t>
      </w:r>
      <w:r w:rsidR="0041167F">
        <w:rPr>
          <w:szCs w:val="23"/>
        </w:rPr>
        <w:t xml:space="preserve">subsidy rates and barriers for trade in services. </w:t>
      </w:r>
      <w:r>
        <w:rPr>
          <w:szCs w:val="23"/>
        </w:rPr>
        <w:t xml:space="preserve">This places it in </w:t>
      </w:r>
      <w:r w:rsidR="0041167F">
        <w:rPr>
          <w:szCs w:val="23"/>
        </w:rPr>
        <w:t xml:space="preserve">the top </w:t>
      </w:r>
      <w:r w:rsidR="00AE477E">
        <w:rPr>
          <w:szCs w:val="23"/>
        </w:rPr>
        <w:t xml:space="preserve">10 </w:t>
      </w:r>
      <w:r w:rsidR="0041167F">
        <w:rPr>
          <w:szCs w:val="23"/>
        </w:rPr>
        <w:t>countries for trade on the Centre for Global Development’s Commitment to Development Index.</w:t>
      </w:r>
      <w:r w:rsidR="0041167F">
        <w:rPr>
          <w:rStyle w:val="FootnoteReference"/>
          <w:szCs w:val="23"/>
        </w:rPr>
        <w:footnoteReference w:id="63"/>
      </w:r>
      <w:r w:rsidR="0041167F">
        <w:rPr>
          <w:szCs w:val="23"/>
        </w:rPr>
        <w:t xml:space="preserve"> Through the Australian Global Trade Integration Facility (AUD60 </w:t>
      </w:r>
      <w:r w:rsidR="0041167F" w:rsidRPr="001F40CB">
        <w:rPr>
          <w:szCs w:val="23"/>
        </w:rPr>
        <w:t>million</w:t>
      </w:r>
      <w:r w:rsidR="003D3BD9" w:rsidRPr="001F40CB">
        <w:rPr>
          <w:szCs w:val="23"/>
        </w:rPr>
        <w:t>;</w:t>
      </w:r>
      <w:r w:rsidR="0041167F" w:rsidRPr="001F40CB">
        <w:rPr>
          <w:szCs w:val="23"/>
        </w:rPr>
        <w:t xml:space="preserve"> 2014</w:t>
      </w:r>
      <w:r w:rsidR="00AE477E" w:rsidRPr="001F40CB">
        <w:rPr>
          <w:szCs w:val="23"/>
        </w:rPr>
        <w:t>–</w:t>
      </w:r>
      <w:r w:rsidR="0041167F" w:rsidRPr="001F40CB">
        <w:rPr>
          <w:szCs w:val="23"/>
        </w:rPr>
        <w:t xml:space="preserve">18), it funds </w:t>
      </w:r>
      <w:r w:rsidR="00D90C34" w:rsidRPr="001F40CB">
        <w:rPr>
          <w:szCs w:val="23"/>
        </w:rPr>
        <w:t>multi</w:t>
      </w:r>
      <w:r w:rsidR="00D90C34">
        <w:rPr>
          <w:szCs w:val="23"/>
        </w:rPr>
        <w:t xml:space="preserve">-country </w:t>
      </w:r>
      <w:r w:rsidR="0041167F">
        <w:rPr>
          <w:szCs w:val="23"/>
        </w:rPr>
        <w:t>projects that enable developing countries to make better use of their trading opportunities.</w:t>
      </w:r>
      <w:r>
        <w:rPr>
          <w:szCs w:val="23"/>
        </w:rPr>
        <w:t xml:space="preserve"> </w:t>
      </w:r>
      <w:r w:rsidR="00D90C34">
        <w:rPr>
          <w:szCs w:val="23"/>
        </w:rPr>
        <w:t>DFAT also</w:t>
      </w:r>
      <w:r w:rsidR="001B47E4">
        <w:rPr>
          <w:szCs w:val="23"/>
        </w:rPr>
        <w:t xml:space="preserve"> has regional projects that help ASEAN countries </w:t>
      </w:r>
      <w:r w:rsidR="00D90C34">
        <w:rPr>
          <w:szCs w:val="23"/>
        </w:rPr>
        <w:t xml:space="preserve">take advantage </w:t>
      </w:r>
      <w:r w:rsidR="001B47E4">
        <w:rPr>
          <w:szCs w:val="23"/>
        </w:rPr>
        <w:t xml:space="preserve">of the trading opportunities created by the </w:t>
      </w:r>
      <w:bookmarkStart w:id="78" w:name="_Hlk520993602"/>
      <w:r w:rsidR="001B47E4">
        <w:rPr>
          <w:szCs w:val="23"/>
        </w:rPr>
        <w:t xml:space="preserve">ASEAN Australia New Zealand Free Trade Area (AANZFTA), </w:t>
      </w:r>
      <w:bookmarkEnd w:id="78"/>
      <w:r w:rsidR="001B47E4">
        <w:rPr>
          <w:szCs w:val="23"/>
        </w:rPr>
        <w:t xml:space="preserve">promote implementation of the ASEAN Economic Community and develop hard and soft infrastructure for greater connectivity in the Greater Mekong sub-region. </w:t>
      </w:r>
      <w:r w:rsidR="0041167F">
        <w:rPr>
          <w:szCs w:val="23"/>
        </w:rPr>
        <w:t xml:space="preserve">As well </w:t>
      </w:r>
      <w:r w:rsidR="00024F38">
        <w:rPr>
          <w:szCs w:val="23"/>
        </w:rPr>
        <w:t xml:space="preserve">as </w:t>
      </w:r>
      <w:r w:rsidR="0041167F">
        <w:rPr>
          <w:szCs w:val="23"/>
        </w:rPr>
        <w:t xml:space="preserve">supporting longer-term </w:t>
      </w:r>
      <w:r w:rsidR="001B47E4">
        <w:rPr>
          <w:szCs w:val="23"/>
        </w:rPr>
        <w:t xml:space="preserve">measures </w:t>
      </w:r>
      <w:r w:rsidR="0041167F">
        <w:rPr>
          <w:szCs w:val="23"/>
        </w:rPr>
        <w:t>in regulatory reform and infrastructure connectivi</w:t>
      </w:r>
      <w:r w:rsidR="001B47E4">
        <w:rPr>
          <w:szCs w:val="23"/>
        </w:rPr>
        <w:t>ty</w:t>
      </w:r>
      <w:r>
        <w:rPr>
          <w:szCs w:val="23"/>
        </w:rPr>
        <w:t>, it</w:t>
      </w:r>
      <w:r w:rsidR="00024F38">
        <w:rPr>
          <w:szCs w:val="23"/>
        </w:rPr>
        <w:t>s</w:t>
      </w:r>
      <w:r>
        <w:rPr>
          <w:szCs w:val="23"/>
        </w:rPr>
        <w:t xml:space="preserve"> projects focus on helping target groups (such as women entrepreneurs and small businesses) participate in trade, to demonstrate to developing countries that open trade can contribute to inclusive growth.</w:t>
      </w:r>
    </w:p>
    <w:p w14:paraId="0CDE893E" w14:textId="0D58BE73" w:rsidR="00615C79" w:rsidRDefault="00C56329" w:rsidP="00667680">
      <w:pPr>
        <w:rPr>
          <w:szCs w:val="23"/>
        </w:rPr>
      </w:pPr>
      <w:r>
        <w:rPr>
          <w:szCs w:val="23"/>
        </w:rPr>
        <w:t xml:space="preserve">DFAT’s </w:t>
      </w:r>
      <w:r w:rsidR="00F405E9">
        <w:rPr>
          <w:szCs w:val="23"/>
        </w:rPr>
        <w:t xml:space="preserve">trade facilitation programs were recognised </w:t>
      </w:r>
      <w:r w:rsidR="00F405E9" w:rsidRPr="001F40CB">
        <w:rPr>
          <w:szCs w:val="23"/>
        </w:rPr>
        <w:t xml:space="preserve">in a 2016 </w:t>
      </w:r>
      <w:r w:rsidR="00487DF0" w:rsidRPr="001F40CB">
        <w:rPr>
          <w:szCs w:val="23"/>
        </w:rPr>
        <w:t>Office of Development Effectiveness (</w:t>
      </w:r>
      <w:r w:rsidR="00F405E9" w:rsidRPr="001F40CB">
        <w:rPr>
          <w:szCs w:val="23"/>
        </w:rPr>
        <w:t>ODE</w:t>
      </w:r>
      <w:r w:rsidR="00487DF0" w:rsidRPr="001F40CB">
        <w:rPr>
          <w:szCs w:val="23"/>
        </w:rPr>
        <w:t>)</w:t>
      </w:r>
      <w:r w:rsidR="00F405E9" w:rsidRPr="001F40CB">
        <w:rPr>
          <w:szCs w:val="23"/>
        </w:rPr>
        <w:t xml:space="preserve"> evaluation</w:t>
      </w:r>
      <w:r w:rsidR="00F405E9">
        <w:rPr>
          <w:szCs w:val="23"/>
        </w:rPr>
        <w:t xml:space="preserve"> as effective in addressing capacity gaps across a range of areas, with the potential to contribute to wider development results.</w:t>
      </w:r>
      <w:r w:rsidR="00F405E9">
        <w:rPr>
          <w:rStyle w:val="FootnoteReference"/>
          <w:szCs w:val="23"/>
        </w:rPr>
        <w:footnoteReference w:id="64"/>
      </w:r>
      <w:r>
        <w:rPr>
          <w:szCs w:val="23"/>
        </w:rPr>
        <w:t xml:space="preserve"> However, the evaluation also found minimal interaction between regional and bilateral programs on aid for trade.</w:t>
      </w:r>
    </w:p>
    <w:p w14:paraId="311681B7" w14:textId="5EF62949" w:rsidR="0025026D" w:rsidRDefault="00C56329" w:rsidP="00D90C34">
      <w:pPr>
        <w:rPr>
          <w:szCs w:val="23"/>
        </w:rPr>
      </w:pPr>
      <w:r>
        <w:rPr>
          <w:szCs w:val="23"/>
        </w:rPr>
        <w:lastRenderedPageBreak/>
        <w:t>Interviews with DFAT staff in Canberra and at posts suggests this remains the case.</w:t>
      </w:r>
      <w:r w:rsidR="00615C79">
        <w:rPr>
          <w:szCs w:val="23"/>
        </w:rPr>
        <w:t xml:space="preserve"> </w:t>
      </w:r>
      <w:r>
        <w:rPr>
          <w:szCs w:val="23"/>
        </w:rPr>
        <w:t xml:space="preserve">So far, </w:t>
      </w:r>
      <w:r w:rsidR="00D90C34">
        <w:rPr>
          <w:szCs w:val="23"/>
        </w:rPr>
        <w:t xml:space="preserve">the development of </w:t>
      </w:r>
      <w:r>
        <w:rPr>
          <w:szCs w:val="23"/>
        </w:rPr>
        <w:t xml:space="preserve">economic partnerships in Indonesia and Vietnam </w:t>
      </w:r>
      <w:r w:rsidR="00D90C34">
        <w:rPr>
          <w:szCs w:val="23"/>
        </w:rPr>
        <w:t xml:space="preserve">has not included a more ambitious approach to aligning development cooperation with trade objectives. </w:t>
      </w:r>
      <w:r w:rsidR="00997BB4">
        <w:rPr>
          <w:szCs w:val="23"/>
        </w:rPr>
        <w:t xml:space="preserve">However, there is discussion of using bilateral aid to support the implementation of the </w:t>
      </w:r>
      <w:r w:rsidR="00AE477E" w:rsidRPr="00AE477E">
        <w:rPr>
          <w:szCs w:val="23"/>
        </w:rPr>
        <w:t>Indonesia</w:t>
      </w:r>
      <w:r w:rsidR="00AE477E">
        <w:rPr>
          <w:szCs w:val="23"/>
        </w:rPr>
        <w:t>-</w:t>
      </w:r>
      <w:r w:rsidR="00AE477E" w:rsidRPr="00AE477E">
        <w:rPr>
          <w:szCs w:val="23"/>
        </w:rPr>
        <w:t xml:space="preserve">Australia Comprehensive Economic Partnership Agreement </w:t>
      </w:r>
      <w:r w:rsidR="00997BB4">
        <w:rPr>
          <w:szCs w:val="23"/>
        </w:rPr>
        <w:t>in Indonesia and the Trans-Pacific Partnership in Vietnam</w:t>
      </w:r>
      <w:r w:rsidR="002A35BC">
        <w:rPr>
          <w:szCs w:val="23"/>
        </w:rPr>
        <w:t xml:space="preserve"> (Box 7)</w:t>
      </w:r>
      <w:r w:rsidR="00997BB4">
        <w:rPr>
          <w:szCs w:val="23"/>
        </w:rPr>
        <w:t xml:space="preserve">. </w:t>
      </w:r>
      <w:r w:rsidR="00D90C34" w:rsidRPr="00D90C34">
        <w:rPr>
          <w:szCs w:val="23"/>
        </w:rPr>
        <w:t>Free trade agreements create rights of market access for exporters on both sides</w:t>
      </w:r>
      <w:r w:rsidR="00997BB4">
        <w:rPr>
          <w:szCs w:val="23"/>
        </w:rPr>
        <w:t xml:space="preserve">. However, where the other party is a developing country, it may not be able to take advantage of this access due to a lack of support regulations (such as mutual recognition of standards, fair competition policies and protection of intellectual property rights) and supply-side constraints in </w:t>
      </w:r>
      <w:r w:rsidR="005B5234">
        <w:rPr>
          <w:szCs w:val="23"/>
        </w:rPr>
        <w:t xml:space="preserve">different </w:t>
      </w:r>
      <w:r w:rsidR="00997BB4">
        <w:rPr>
          <w:szCs w:val="23"/>
        </w:rPr>
        <w:t>sectors (such as an inability to meet phytosanitary standards). It is possible for bilateral free trade agreements to include economic cooperation chapters that address such issues, supported by capacity</w:t>
      </w:r>
      <w:r w:rsidR="00CC4A45">
        <w:rPr>
          <w:szCs w:val="23"/>
        </w:rPr>
        <w:t xml:space="preserve"> </w:t>
      </w:r>
      <w:r w:rsidR="00997BB4">
        <w:rPr>
          <w:szCs w:val="23"/>
        </w:rPr>
        <w:t>building or other assistance from the aid program. This would require country-specific analysis of the barriers for trade and support that is tailored to each country context, whether from bilateral or regional programs.</w:t>
      </w:r>
    </w:p>
    <w:p w14:paraId="5C4505A3" w14:textId="77777777" w:rsidR="00C34B7A" w:rsidRPr="00D90C34" w:rsidRDefault="00C34B7A" w:rsidP="00D90C34">
      <w:pPr>
        <w:rPr>
          <w:szCs w:val="23"/>
        </w:rPr>
      </w:pPr>
    </w:p>
    <w:p w14:paraId="20036473" w14:textId="38D59D8D" w:rsidR="00997BB4" w:rsidRPr="001B3B93" w:rsidRDefault="00997BB4" w:rsidP="00997BB4">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297DFF">
        <w:t>7</w:t>
      </w:r>
      <w:r w:rsidRPr="001B3B93">
        <w:t xml:space="preserve">: </w:t>
      </w:r>
      <w:r>
        <w:t xml:space="preserve">DFAT support to Vietnam on </w:t>
      </w:r>
      <w:r w:rsidR="00AE477E">
        <w:t>the C</w:t>
      </w:r>
      <w:r w:rsidR="00AE477E" w:rsidRPr="00AE477E">
        <w:t>omprehensive and Progressive Agreement for Trans-Pacific Partnership</w:t>
      </w:r>
    </w:p>
    <w:p w14:paraId="3D31426E" w14:textId="3C50684B" w:rsidR="00997BB4" w:rsidRDefault="00997BB4" w:rsidP="00997BB4">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 xml:space="preserve">In the lead up to </w:t>
      </w:r>
      <w:r w:rsidR="00F0412C">
        <w:t>a Trans-Pacific Partnership Ministerial Meeting in Da Nang, Vietnam, November 2017, Australia worked with Japan in a diplomatic initiative to encourage the Vietnam</w:t>
      </w:r>
      <w:r w:rsidR="00AE477E">
        <w:t xml:space="preserve"> Government</w:t>
      </w:r>
      <w:r w:rsidR="00F0412C">
        <w:t xml:space="preserve"> to join the 11-party trade agreement, following withdrawal</w:t>
      </w:r>
      <w:r w:rsidR="00AE477E">
        <w:t xml:space="preserve"> by the United States</w:t>
      </w:r>
      <w:r w:rsidR="00F0412C">
        <w:t xml:space="preserve">. Using DFAT funds, the World Bank conducted a modelling exercise on behalf of the Vietnam </w:t>
      </w:r>
      <w:r w:rsidR="00AE477E">
        <w:t>G</w:t>
      </w:r>
      <w:r w:rsidR="00F0412C">
        <w:t xml:space="preserve">overnment to </w:t>
      </w:r>
      <w:r w:rsidR="00BF4F2B">
        <w:t>assess the benefits of joining for the Vietnamese economy. The analysis proved to be a key piece of evidence for the decision to join. Though funded from a DFAT trust fund, it was important that the analysis came from the World Bank, which was seen as having no vested interest in the outcome. DFAT is now considering providing support to Vietnam for</w:t>
      </w:r>
      <w:r w:rsidR="00AE477E">
        <w:t xml:space="preserve"> the</w:t>
      </w:r>
      <w:r w:rsidR="00BF4F2B">
        <w:t xml:space="preserve"> implementation of </w:t>
      </w:r>
      <w:r w:rsidR="00AE477E">
        <w:t>the C</w:t>
      </w:r>
      <w:r w:rsidR="00AE477E" w:rsidRPr="00AE477E">
        <w:t>omprehensive and Progressive Agreement for Trans-Pacific Partnership</w:t>
      </w:r>
      <w:r w:rsidR="00BF4F2B">
        <w:t>.</w:t>
      </w:r>
    </w:p>
    <w:p w14:paraId="25CE47B6" w14:textId="3145BBC5" w:rsidR="00997BB4" w:rsidRPr="001B3B93" w:rsidRDefault="00997BB4" w:rsidP="00997BB4">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Source:</w:t>
      </w:r>
      <w:r w:rsidR="00BF4F2B">
        <w:t xml:space="preserve"> DFAT Vietnam</w:t>
      </w:r>
      <w:r w:rsidR="00215188">
        <w:t xml:space="preserve"> Post</w:t>
      </w:r>
      <w:r w:rsidR="00BD2851">
        <w:t>.</w:t>
      </w:r>
    </w:p>
    <w:p w14:paraId="2C04F685" w14:textId="77777777" w:rsidR="0025026D" w:rsidRDefault="0025026D" w:rsidP="0025026D">
      <w:pPr>
        <w:rPr>
          <w:szCs w:val="23"/>
        </w:rPr>
      </w:pPr>
    </w:p>
    <w:p w14:paraId="506B1048" w14:textId="772D9DA0" w:rsidR="002630F1" w:rsidRPr="001B3B93" w:rsidRDefault="002630F1" w:rsidP="0025026D">
      <w:r w:rsidRPr="001B3B93">
        <w:rPr>
          <w:szCs w:val="23"/>
        </w:rPr>
        <w:t xml:space="preserve">With few exceptions, </w:t>
      </w:r>
      <w:r w:rsidR="00230A4B" w:rsidRPr="001B3B93">
        <w:rPr>
          <w:szCs w:val="23"/>
        </w:rPr>
        <w:t xml:space="preserve">DFAT is not using the </w:t>
      </w:r>
      <w:r w:rsidRPr="001B3B93">
        <w:rPr>
          <w:szCs w:val="23"/>
        </w:rPr>
        <w:t xml:space="preserve">aid program to </w:t>
      </w:r>
      <w:r w:rsidR="00763B8C" w:rsidRPr="001B3B93">
        <w:rPr>
          <w:szCs w:val="23"/>
        </w:rPr>
        <w:t xml:space="preserve">pursue </w:t>
      </w:r>
      <w:r w:rsidR="00BF4F2B">
        <w:rPr>
          <w:szCs w:val="23"/>
        </w:rPr>
        <w:t xml:space="preserve">immediate trade or commercial advantage for </w:t>
      </w:r>
      <w:r w:rsidRPr="001B3B93">
        <w:rPr>
          <w:szCs w:val="23"/>
        </w:rPr>
        <w:t>Australia</w:t>
      </w:r>
      <w:r w:rsidR="00BF4F2B">
        <w:rPr>
          <w:szCs w:val="23"/>
        </w:rPr>
        <w:t xml:space="preserve">, </w:t>
      </w:r>
      <w:r w:rsidRPr="001B3B93">
        <w:rPr>
          <w:szCs w:val="23"/>
        </w:rPr>
        <w:t xml:space="preserve">beyond the long-term interest in improved business environments and more open economies. </w:t>
      </w:r>
      <w:r w:rsidR="00230A4B" w:rsidRPr="001B3B93">
        <w:t xml:space="preserve">DFAT staff and program implementers </w:t>
      </w:r>
      <w:r w:rsidR="00215188">
        <w:t>agreed</w:t>
      </w:r>
      <w:r w:rsidR="00230A4B" w:rsidRPr="001B3B93">
        <w:t xml:space="preserve"> that aid programs should not be asked to </w:t>
      </w:r>
      <w:r w:rsidR="00BF4F2B">
        <w:t>do so</w:t>
      </w:r>
      <w:r w:rsidR="00230A4B" w:rsidRPr="001B3B93">
        <w:t xml:space="preserve">, </w:t>
      </w:r>
      <w:r w:rsidR="00BF4F2B">
        <w:t xml:space="preserve">to avoid </w:t>
      </w:r>
      <w:r w:rsidR="00230A4B" w:rsidRPr="001B3B93">
        <w:t xml:space="preserve">compromising their effectiveness. </w:t>
      </w:r>
      <w:r w:rsidR="00763B8C" w:rsidRPr="001B3B93">
        <w:t xml:space="preserve">In Indonesia, DFAT has ensured that </w:t>
      </w:r>
      <w:r w:rsidR="00A434A5" w:rsidRPr="001B3B93">
        <w:t>AIPEG</w:t>
      </w:r>
      <w:r w:rsidR="00763B8C" w:rsidRPr="001B3B93">
        <w:t xml:space="preserve"> keeps </w:t>
      </w:r>
      <w:r w:rsidR="00A434A5" w:rsidRPr="001B3B93">
        <w:t>its advisory support on trade policy separate from ongoing</w:t>
      </w:r>
      <w:r w:rsidR="00AE477E">
        <w:t xml:space="preserve"> </w:t>
      </w:r>
      <w:r w:rsidR="00AE477E" w:rsidRPr="00AE477E">
        <w:rPr>
          <w:szCs w:val="23"/>
        </w:rPr>
        <w:t>Indonesia</w:t>
      </w:r>
      <w:r w:rsidR="00AE477E">
        <w:rPr>
          <w:szCs w:val="23"/>
        </w:rPr>
        <w:t>-</w:t>
      </w:r>
      <w:r w:rsidR="00AE477E" w:rsidRPr="00AE477E">
        <w:rPr>
          <w:szCs w:val="23"/>
        </w:rPr>
        <w:t>Australia Comprehensive Economic Partnership Agreement</w:t>
      </w:r>
      <w:r w:rsidR="00A434A5" w:rsidRPr="001B3B93">
        <w:t xml:space="preserve"> negotiations, to avoid conflicts of interest.</w:t>
      </w:r>
    </w:p>
    <w:p w14:paraId="365C7A4A" w14:textId="4AB6D4E6" w:rsidR="00D25299" w:rsidRPr="001B3B93" w:rsidRDefault="00F87436">
      <w:pPr>
        <w:rPr>
          <w:szCs w:val="23"/>
        </w:rPr>
      </w:pPr>
      <w:r w:rsidRPr="001B3B93">
        <w:rPr>
          <w:szCs w:val="23"/>
        </w:rPr>
        <w:t xml:space="preserve">This </w:t>
      </w:r>
      <w:r w:rsidR="002A35BC">
        <w:rPr>
          <w:szCs w:val="23"/>
        </w:rPr>
        <w:t xml:space="preserve">stance </w:t>
      </w:r>
      <w:r w:rsidR="003309E8">
        <w:rPr>
          <w:szCs w:val="23"/>
        </w:rPr>
        <w:t xml:space="preserve">draws support from </w:t>
      </w:r>
      <w:r w:rsidRPr="001B3B93">
        <w:rPr>
          <w:szCs w:val="23"/>
        </w:rPr>
        <w:t xml:space="preserve">DFAT’s experience with </w:t>
      </w:r>
      <w:r w:rsidR="00A434A5" w:rsidRPr="001B3B93">
        <w:rPr>
          <w:szCs w:val="23"/>
        </w:rPr>
        <w:t>the Red Meat and Cattle Partnership (</w:t>
      </w:r>
      <w:r w:rsidR="000126AB">
        <w:rPr>
          <w:szCs w:val="23"/>
        </w:rPr>
        <w:t>AUD</w:t>
      </w:r>
      <w:r w:rsidR="00A434A5" w:rsidRPr="001B3B93">
        <w:rPr>
          <w:szCs w:val="23"/>
        </w:rPr>
        <w:t>43 million; 2012</w:t>
      </w:r>
      <w:r w:rsidR="00AE477E">
        <w:rPr>
          <w:szCs w:val="23"/>
        </w:rPr>
        <w:t>–</w:t>
      </w:r>
      <w:r w:rsidR="00A434A5" w:rsidRPr="001B3B93">
        <w:rPr>
          <w:szCs w:val="23"/>
        </w:rPr>
        <w:t xml:space="preserve">24) </w:t>
      </w:r>
      <w:r w:rsidRPr="001B3B93">
        <w:rPr>
          <w:szCs w:val="23"/>
        </w:rPr>
        <w:t xml:space="preserve">in Indonesia, the </w:t>
      </w:r>
      <w:r w:rsidR="00A434A5" w:rsidRPr="001B3B93">
        <w:rPr>
          <w:szCs w:val="23"/>
        </w:rPr>
        <w:t xml:space="preserve">only </w:t>
      </w:r>
      <w:r w:rsidRPr="001B3B93">
        <w:rPr>
          <w:szCs w:val="23"/>
        </w:rPr>
        <w:t>program in</w:t>
      </w:r>
      <w:r w:rsidR="000A4EF0">
        <w:rPr>
          <w:szCs w:val="23"/>
        </w:rPr>
        <w:t xml:space="preserve"> this evaluation </w:t>
      </w:r>
      <w:r w:rsidRPr="001B3B93">
        <w:rPr>
          <w:szCs w:val="23"/>
        </w:rPr>
        <w:t xml:space="preserve">with explicit </w:t>
      </w:r>
      <w:r w:rsidR="00A434A5" w:rsidRPr="001B3B93">
        <w:rPr>
          <w:szCs w:val="23"/>
        </w:rPr>
        <w:t xml:space="preserve">objectives </w:t>
      </w:r>
      <w:r w:rsidRPr="001B3B93">
        <w:rPr>
          <w:szCs w:val="23"/>
        </w:rPr>
        <w:t xml:space="preserve">around </w:t>
      </w:r>
      <w:r w:rsidR="00A434A5" w:rsidRPr="001B3B93">
        <w:rPr>
          <w:szCs w:val="23"/>
        </w:rPr>
        <w:t>increas</w:t>
      </w:r>
      <w:r w:rsidR="00230A4B" w:rsidRPr="001B3B93">
        <w:rPr>
          <w:szCs w:val="23"/>
        </w:rPr>
        <w:t>ing</w:t>
      </w:r>
      <w:r w:rsidR="00A434A5" w:rsidRPr="001B3B93">
        <w:rPr>
          <w:szCs w:val="23"/>
        </w:rPr>
        <w:t xml:space="preserve"> bilateral trade. It </w:t>
      </w:r>
      <w:r w:rsidR="00FA096B" w:rsidRPr="001B3B93">
        <w:rPr>
          <w:szCs w:val="23"/>
        </w:rPr>
        <w:t xml:space="preserve">is </w:t>
      </w:r>
      <w:r w:rsidR="00A434A5" w:rsidRPr="001B3B93">
        <w:rPr>
          <w:szCs w:val="23"/>
        </w:rPr>
        <w:t xml:space="preserve">a joint program between DFAT and the Department of Agriculture and Water Resources, launched following the resumption of live cattle exports to Indonesia. Industry representatives from </w:t>
      </w:r>
      <w:r w:rsidR="00AE477E">
        <w:rPr>
          <w:szCs w:val="23"/>
        </w:rPr>
        <w:t>Australia and Indonesia</w:t>
      </w:r>
      <w:r w:rsidR="00A434A5" w:rsidRPr="001B3B93">
        <w:rPr>
          <w:szCs w:val="23"/>
        </w:rPr>
        <w:t xml:space="preserve"> are involved. Implementation has proved challenging</w:t>
      </w:r>
      <w:r w:rsidR="00596563" w:rsidRPr="001B3B93">
        <w:rPr>
          <w:szCs w:val="23"/>
        </w:rPr>
        <w:t xml:space="preserve">. While the channels for dialogue have been kept open, which is an achievement </w:t>
      </w:r>
      <w:r w:rsidR="006470DB">
        <w:rPr>
          <w:szCs w:val="23"/>
        </w:rPr>
        <w:t>i</w:t>
      </w:r>
      <w:r w:rsidR="00596563" w:rsidRPr="001B3B93">
        <w:rPr>
          <w:szCs w:val="23"/>
        </w:rPr>
        <w:t xml:space="preserve">tself, progress </w:t>
      </w:r>
      <w:r w:rsidR="00230A4B" w:rsidRPr="001B3B93">
        <w:rPr>
          <w:szCs w:val="23"/>
        </w:rPr>
        <w:t xml:space="preserve">towards the objectives </w:t>
      </w:r>
      <w:r w:rsidR="00596563" w:rsidRPr="001B3B93">
        <w:rPr>
          <w:szCs w:val="23"/>
        </w:rPr>
        <w:t xml:space="preserve">has been limited. </w:t>
      </w:r>
      <w:r w:rsidR="00F80469" w:rsidRPr="001B3B93">
        <w:rPr>
          <w:szCs w:val="23"/>
        </w:rPr>
        <w:t>N</w:t>
      </w:r>
      <w:r w:rsidR="006842E5" w:rsidRPr="001B3B93">
        <w:rPr>
          <w:szCs w:val="23"/>
        </w:rPr>
        <w:t xml:space="preserve">ot enough was done at </w:t>
      </w:r>
      <w:r w:rsidR="00F80469" w:rsidRPr="001B3B93">
        <w:rPr>
          <w:szCs w:val="23"/>
        </w:rPr>
        <w:t xml:space="preserve">the outset </w:t>
      </w:r>
      <w:r w:rsidR="006842E5" w:rsidRPr="001B3B93">
        <w:rPr>
          <w:szCs w:val="23"/>
        </w:rPr>
        <w:t xml:space="preserve">to </w:t>
      </w:r>
      <w:r w:rsidR="00230A4B" w:rsidRPr="001B3B93">
        <w:rPr>
          <w:szCs w:val="23"/>
        </w:rPr>
        <w:t xml:space="preserve">test </w:t>
      </w:r>
      <w:r w:rsidR="006842E5" w:rsidRPr="001B3B93">
        <w:rPr>
          <w:szCs w:val="23"/>
        </w:rPr>
        <w:t>whether there was a committed counterpart and enough common interest for an effective program.</w:t>
      </w:r>
      <w:r w:rsidR="00E01E35" w:rsidRPr="001B3B93">
        <w:rPr>
          <w:szCs w:val="23"/>
        </w:rPr>
        <w:t xml:space="preserve"> </w:t>
      </w:r>
      <w:r w:rsidR="00D25299" w:rsidRPr="001B3B93">
        <w:rPr>
          <w:szCs w:val="23"/>
        </w:rPr>
        <w:t xml:space="preserve">While </w:t>
      </w:r>
      <w:r w:rsidR="00215188">
        <w:rPr>
          <w:szCs w:val="23"/>
        </w:rPr>
        <w:t>it is important to b</w:t>
      </w:r>
      <w:r w:rsidR="00D25299" w:rsidRPr="001B3B93">
        <w:rPr>
          <w:szCs w:val="23"/>
        </w:rPr>
        <w:t xml:space="preserve">e wary of generalising from a single example, the experience </w:t>
      </w:r>
      <w:r w:rsidR="00643AAF" w:rsidRPr="001B3B93">
        <w:rPr>
          <w:szCs w:val="23"/>
        </w:rPr>
        <w:t xml:space="preserve">suggests that there are </w:t>
      </w:r>
      <w:r w:rsidR="00D25299" w:rsidRPr="001B3B93">
        <w:rPr>
          <w:szCs w:val="23"/>
        </w:rPr>
        <w:t xml:space="preserve">pitfalls </w:t>
      </w:r>
      <w:r w:rsidR="00F80469" w:rsidRPr="001B3B93">
        <w:rPr>
          <w:szCs w:val="23"/>
        </w:rPr>
        <w:t xml:space="preserve">involved </w:t>
      </w:r>
      <w:r w:rsidR="00643AAF" w:rsidRPr="001B3B93">
        <w:rPr>
          <w:szCs w:val="23"/>
        </w:rPr>
        <w:t xml:space="preserve">in </w:t>
      </w:r>
      <w:r w:rsidR="00D25299" w:rsidRPr="001B3B93">
        <w:rPr>
          <w:szCs w:val="23"/>
        </w:rPr>
        <w:t xml:space="preserve">deploying aid programs in </w:t>
      </w:r>
      <w:r w:rsidR="00230A4B" w:rsidRPr="001B3B93">
        <w:rPr>
          <w:szCs w:val="23"/>
        </w:rPr>
        <w:t xml:space="preserve">trade-related </w:t>
      </w:r>
      <w:r w:rsidR="00D25299" w:rsidRPr="001B3B93">
        <w:rPr>
          <w:szCs w:val="23"/>
        </w:rPr>
        <w:t>areas where bilateral interests are</w:t>
      </w:r>
      <w:r w:rsidR="00215188">
        <w:rPr>
          <w:szCs w:val="23"/>
        </w:rPr>
        <w:t xml:space="preserve"> </w:t>
      </w:r>
      <w:r w:rsidR="00D25299" w:rsidRPr="001B3B93">
        <w:rPr>
          <w:szCs w:val="23"/>
        </w:rPr>
        <w:t xml:space="preserve">not </w:t>
      </w:r>
      <w:r w:rsidR="00215188">
        <w:rPr>
          <w:szCs w:val="23"/>
        </w:rPr>
        <w:t>aligned</w:t>
      </w:r>
      <w:r w:rsidR="00D25299" w:rsidRPr="001B3B93">
        <w:rPr>
          <w:szCs w:val="23"/>
        </w:rPr>
        <w:t>.</w:t>
      </w:r>
    </w:p>
    <w:p w14:paraId="4EF61FF0" w14:textId="04A1EBFA" w:rsidR="00650269" w:rsidRPr="001F40CB" w:rsidRDefault="002A1120" w:rsidP="00C17D62">
      <w:pPr>
        <w:rPr>
          <w:szCs w:val="23"/>
        </w:rPr>
      </w:pPr>
      <w:r>
        <w:rPr>
          <w:szCs w:val="23"/>
        </w:rPr>
        <w:lastRenderedPageBreak/>
        <w:t xml:space="preserve">However, there may be further scope for using aid </w:t>
      </w:r>
      <w:r w:rsidRPr="006E0849">
        <w:rPr>
          <w:szCs w:val="23"/>
        </w:rPr>
        <w:t xml:space="preserve">to support bilateral trading without </w:t>
      </w:r>
      <w:r w:rsidR="003467F6" w:rsidRPr="006E0849">
        <w:rPr>
          <w:szCs w:val="23"/>
        </w:rPr>
        <w:t>compromising the quality</w:t>
      </w:r>
      <w:r w:rsidR="003467F6" w:rsidRPr="001B3B93">
        <w:rPr>
          <w:szCs w:val="23"/>
        </w:rPr>
        <w:t xml:space="preserve"> of development assistance</w:t>
      </w:r>
      <w:r>
        <w:rPr>
          <w:szCs w:val="23"/>
        </w:rPr>
        <w:t xml:space="preserve">, by focusing on sectors or areas where the economic interests of the two countries </w:t>
      </w:r>
      <w:r w:rsidR="00BA6878">
        <w:rPr>
          <w:szCs w:val="23"/>
        </w:rPr>
        <w:t xml:space="preserve">are </w:t>
      </w:r>
      <w:r w:rsidR="00902D94" w:rsidRPr="001B3B93">
        <w:rPr>
          <w:szCs w:val="23"/>
        </w:rPr>
        <w:t xml:space="preserve">complementary, rather than in competition. </w:t>
      </w:r>
      <w:r w:rsidR="00FC2900" w:rsidRPr="001B3B93">
        <w:rPr>
          <w:szCs w:val="23"/>
        </w:rPr>
        <w:t xml:space="preserve">One </w:t>
      </w:r>
      <w:r w:rsidR="003309E8">
        <w:rPr>
          <w:szCs w:val="23"/>
        </w:rPr>
        <w:t xml:space="preserve">possible </w:t>
      </w:r>
      <w:r w:rsidR="00FC2900" w:rsidRPr="001B3B93">
        <w:rPr>
          <w:szCs w:val="23"/>
        </w:rPr>
        <w:t>are</w:t>
      </w:r>
      <w:r w:rsidR="001B68DE" w:rsidRPr="001B3B93">
        <w:rPr>
          <w:szCs w:val="23"/>
        </w:rPr>
        <w:t>a</w:t>
      </w:r>
      <w:r w:rsidR="00FC2900" w:rsidRPr="001B3B93">
        <w:rPr>
          <w:szCs w:val="23"/>
        </w:rPr>
        <w:t xml:space="preserve"> </w:t>
      </w:r>
      <w:r w:rsidR="003309E8">
        <w:rPr>
          <w:szCs w:val="23"/>
        </w:rPr>
        <w:t xml:space="preserve">that emerged from discussions with government and </w:t>
      </w:r>
      <w:r w:rsidR="003309E8" w:rsidRPr="00475334">
        <w:rPr>
          <w:szCs w:val="23"/>
        </w:rPr>
        <w:t xml:space="preserve">business </w:t>
      </w:r>
      <w:r w:rsidR="00FC2900" w:rsidRPr="00475334">
        <w:rPr>
          <w:szCs w:val="23"/>
        </w:rPr>
        <w:t>stakeholders in</w:t>
      </w:r>
      <w:r w:rsidR="00FC2900" w:rsidRPr="001B3B93">
        <w:rPr>
          <w:szCs w:val="23"/>
        </w:rPr>
        <w:t xml:space="preserve"> Indonesia</w:t>
      </w:r>
      <w:r w:rsidR="00FB4C4A">
        <w:rPr>
          <w:szCs w:val="23"/>
        </w:rPr>
        <w:t>,</w:t>
      </w:r>
      <w:r w:rsidR="00FC2900" w:rsidRPr="001B3B93">
        <w:rPr>
          <w:szCs w:val="23"/>
        </w:rPr>
        <w:t xml:space="preserve"> </w:t>
      </w:r>
      <w:r w:rsidR="003309E8">
        <w:rPr>
          <w:szCs w:val="23"/>
        </w:rPr>
        <w:t>including with BAPPENAS</w:t>
      </w:r>
      <w:r w:rsidR="00FB4C4A">
        <w:rPr>
          <w:szCs w:val="23"/>
        </w:rPr>
        <w:t>,</w:t>
      </w:r>
      <w:r w:rsidR="003309E8">
        <w:rPr>
          <w:szCs w:val="23"/>
        </w:rPr>
        <w:t xml:space="preserve"> </w:t>
      </w:r>
      <w:r w:rsidR="00FC2900" w:rsidRPr="001B3B93">
        <w:rPr>
          <w:szCs w:val="23"/>
        </w:rPr>
        <w:t xml:space="preserve">is vocational training. The Indonesia </w:t>
      </w:r>
      <w:r w:rsidR="00FB4C4A">
        <w:rPr>
          <w:szCs w:val="23"/>
        </w:rPr>
        <w:t>G</w:t>
      </w:r>
      <w:r w:rsidR="00FC2900" w:rsidRPr="001B3B93">
        <w:rPr>
          <w:szCs w:val="23"/>
        </w:rPr>
        <w:t xml:space="preserve">overnment has a policy of raising the quality of vocational training to regional standards, so that Indonesian workers </w:t>
      </w:r>
      <w:r w:rsidR="00902D94" w:rsidRPr="001B3B93">
        <w:rPr>
          <w:szCs w:val="23"/>
        </w:rPr>
        <w:t xml:space="preserve">can </w:t>
      </w:r>
      <w:r w:rsidR="00FC2900" w:rsidRPr="001B3B93">
        <w:rPr>
          <w:szCs w:val="23"/>
        </w:rPr>
        <w:t xml:space="preserve">access regional labour markets. </w:t>
      </w:r>
      <w:r w:rsidR="00650269" w:rsidRPr="001B3B93">
        <w:rPr>
          <w:szCs w:val="23"/>
        </w:rPr>
        <w:t xml:space="preserve">This </w:t>
      </w:r>
      <w:r w:rsidR="001B68DE" w:rsidRPr="001B3B93">
        <w:rPr>
          <w:szCs w:val="23"/>
        </w:rPr>
        <w:t xml:space="preserve">matches a </w:t>
      </w:r>
      <w:r w:rsidR="00650269" w:rsidRPr="001B3B93">
        <w:rPr>
          <w:szCs w:val="23"/>
        </w:rPr>
        <w:t>DFAT regional priorit</w:t>
      </w:r>
      <w:r w:rsidR="00366891" w:rsidRPr="001B3B93">
        <w:rPr>
          <w:szCs w:val="23"/>
        </w:rPr>
        <w:t>y</w:t>
      </w:r>
      <w:r w:rsidR="00650269" w:rsidRPr="001B3B93">
        <w:rPr>
          <w:szCs w:val="23"/>
        </w:rPr>
        <w:t xml:space="preserve">. </w:t>
      </w:r>
      <w:r w:rsidR="001B68DE" w:rsidRPr="001B3B93">
        <w:rPr>
          <w:szCs w:val="23"/>
        </w:rPr>
        <w:t xml:space="preserve">DFAT </w:t>
      </w:r>
      <w:r w:rsidR="00650269" w:rsidRPr="001B3B93">
        <w:rPr>
          <w:szCs w:val="23"/>
        </w:rPr>
        <w:t>suppor</w:t>
      </w:r>
      <w:r w:rsidR="001B68DE" w:rsidRPr="001B3B93">
        <w:rPr>
          <w:szCs w:val="23"/>
        </w:rPr>
        <w:t>ts</w:t>
      </w:r>
      <w:r w:rsidR="00650269" w:rsidRPr="001B3B93">
        <w:rPr>
          <w:szCs w:val="23"/>
        </w:rPr>
        <w:t xml:space="preserve"> safe, </w:t>
      </w:r>
      <w:r w:rsidR="001B68DE" w:rsidRPr="001B3B93">
        <w:rPr>
          <w:szCs w:val="23"/>
        </w:rPr>
        <w:t xml:space="preserve">legal </w:t>
      </w:r>
      <w:r w:rsidR="00650269" w:rsidRPr="001B3B93">
        <w:rPr>
          <w:szCs w:val="23"/>
        </w:rPr>
        <w:t xml:space="preserve">migration as a way of combatting human trafficking and irregular migration. Through its AANZFTA support, </w:t>
      </w:r>
      <w:r w:rsidR="00FB4C4A">
        <w:rPr>
          <w:szCs w:val="23"/>
        </w:rPr>
        <w:t>DFAT</w:t>
      </w:r>
      <w:r w:rsidR="00FB4C4A" w:rsidRPr="001B3B93">
        <w:rPr>
          <w:szCs w:val="23"/>
        </w:rPr>
        <w:t xml:space="preserve"> </w:t>
      </w:r>
      <w:r w:rsidR="00902D94" w:rsidRPr="001B3B93">
        <w:rPr>
          <w:szCs w:val="23"/>
        </w:rPr>
        <w:t xml:space="preserve">also </w:t>
      </w:r>
      <w:r w:rsidR="00650269" w:rsidRPr="001B3B93">
        <w:rPr>
          <w:szCs w:val="23"/>
        </w:rPr>
        <w:t>support</w:t>
      </w:r>
      <w:r w:rsidR="00902D94" w:rsidRPr="001B3B93">
        <w:rPr>
          <w:szCs w:val="23"/>
        </w:rPr>
        <w:t>s</w:t>
      </w:r>
      <w:r w:rsidR="00650269" w:rsidRPr="001B3B93">
        <w:rPr>
          <w:szCs w:val="23"/>
        </w:rPr>
        <w:t xml:space="preserve"> mutual recognition of education and training standards </w:t>
      </w:r>
      <w:r w:rsidR="00902D94" w:rsidRPr="001B3B93">
        <w:rPr>
          <w:szCs w:val="23"/>
        </w:rPr>
        <w:t xml:space="preserve">across </w:t>
      </w:r>
      <w:r w:rsidR="00650269" w:rsidRPr="001B3B93">
        <w:rPr>
          <w:szCs w:val="23"/>
        </w:rPr>
        <w:t xml:space="preserve">ASEAN, as a step towards an eventual ASEAN skills recognition framework. Indonesia </w:t>
      </w:r>
      <w:r w:rsidR="00C72BD0" w:rsidRPr="001B3B93">
        <w:rPr>
          <w:szCs w:val="23"/>
        </w:rPr>
        <w:t>could be an</w:t>
      </w:r>
      <w:r w:rsidR="00650269" w:rsidRPr="001B3B93">
        <w:rPr>
          <w:szCs w:val="23"/>
        </w:rPr>
        <w:t xml:space="preserve"> important market for Australian education and training providers, but </w:t>
      </w:r>
      <w:r w:rsidR="00832114" w:rsidRPr="001B3B93">
        <w:rPr>
          <w:szCs w:val="23"/>
        </w:rPr>
        <w:t xml:space="preserve">it limits </w:t>
      </w:r>
      <w:r w:rsidR="00650269" w:rsidRPr="001B3B93">
        <w:rPr>
          <w:szCs w:val="23"/>
        </w:rPr>
        <w:t xml:space="preserve">access </w:t>
      </w:r>
      <w:r w:rsidR="00832114" w:rsidRPr="001B3B93">
        <w:rPr>
          <w:szCs w:val="23"/>
        </w:rPr>
        <w:t xml:space="preserve">to the sector for </w:t>
      </w:r>
      <w:r w:rsidR="001B68DE" w:rsidRPr="001B3B93">
        <w:rPr>
          <w:szCs w:val="23"/>
        </w:rPr>
        <w:t xml:space="preserve">foreign companies. Support through the aid program to </w:t>
      </w:r>
      <w:r w:rsidR="00C72BD0" w:rsidRPr="001B3B93">
        <w:rPr>
          <w:szCs w:val="23"/>
        </w:rPr>
        <w:t>vocational training could therefore support Indonesia</w:t>
      </w:r>
      <w:r w:rsidR="00BD2851">
        <w:rPr>
          <w:szCs w:val="23"/>
        </w:rPr>
        <w:t xml:space="preserve"> G</w:t>
      </w:r>
      <w:r w:rsidR="00902D94" w:rsidRPr="001B3B93">
        <w:rPr>
          <w:szCs w:val="23"/>
        </w:rPr>
        <w:t xml:space="preserve">overnment </w:t>
      </w:r>
      <w:r w:rsidR="00C72BD0" w:rsidRPr="001B3B93">
        <w:rPr>
          <w:szCs w:val="23"/>
        </w:rPr>
        <w:t>priorities</w:t>
      </w:r>
      <w:r w:rsidR="00832114" w:rsidRPr="001B3B93">
        <w:rPr>
          <w:szCs w:val="23"/>
        </w:rPr>
        <w:t xml:space="preserve"> and </w:t>
      </w:r>
      <w:r w:rsidR="00902D94" w:rsidRPr="001B3B93">
        <w:rPr>
          <w:szCs w:val="23"/>
        </w:rPr>
        <w:t xml:space="preserve">an </w:t>
      </w:r>
      <w:r w:rsidR="00832114" w:rsidRPr="001B3B93">
        <w:rPr>
          <w:szCs w:val="23"/>
        </w:rPr>
        <w:t>Australia</w:t>
      </w:r>
      <w:r w:rsidR="00902D94" w:rsidRPr="001B3B93">
        <w:rPr>
          <w:szCs w:val="23"/>
        </w:rPr>
        <w:t>n</w:t>
      </w:r>
      <w:r w:rsidR="00832114" w:rsidRPr="001B3B93">
        <w:rPr>
          <w:szCs w:val="23"/>
        </w:rPr>
        <w:t xml:space="preserve"> </w:t>
      </w:r>
      <w:r w:rsidR="00832114" w:rsidRPr="001F40CB">
        <w:rPr>
          <w:szCs w:val="23"/>
        </w:rPr>
        <w:t>trad</w:t>
      </w:r>
      <w:r w:rsidR="00902D94" w:rsidRPr="001F40CB">
        <w:rPr>
          <w:szCs w:val="23"/>
        </w:rPr>
        <w:t>ing</w:t>
      </w:r>
      <w:r w:rsidR="00832114" w:rsidRPr="001F40CB">
        <w:rPr>
          <w:szCs w:val="23"/>
        </w:rPr>
        <w:t xml:space="preserve"> interest</w:t>
      </w:r>
      <w:r w:rsidR="00C72BD0" w:rsidRPr="001F40CB">
        <w:rPr>
          <w:szCs w:val="23"/>
        </w:rPr>
        <w:t>.</w:t>
      </w:r>
    </w:p>
    <w:p w14:paraId="533426C2" w14:textId="514F3863" w:rsidR="00C72BD0" w:rsidRPr="001B3B93" w:rsidRDefault="00C72BD0" w:rsidP="00CF5131">
      <w:pPr>
        <w:rPr>
          <w:szCs w:val="23"/>
        </w:rPr>
      </w:pPr>
      <w:r w:rsidRPr="001F40CB">
        <w:rPr>
          <w:szCs w:val="23"/>
        </w:rPr>
        <w:t xml:space="preserve">Tourism was </w:t>
      </w:r>
      <w:r w:rsidR="00923942" w:rsidRPr="001F40CB">
        <w:rPr>
          <w:szCs w:val="23"/>
        </w:rPr>
        <w:t xml:space="preserve">also </w:t>
      </w:r>
      <w:r w:rsidRPr="001F40CB">
        <w:rPr>
          <w:szCs w:val="23"/>
        </w:rPr>
        <w:t xml:space="preserve">mentioned as </w:t>
      </w:r>
      <w:r w:rsidR="00923942" w:rsidRPr="001F40CB">
        <w:rPr>
          <w:szCs w:val="23"/>
        </w:rPr>
        <w:t xml:space="preserve">offering </w:t>
      </w:r>
      <w:r w:rsidR="00832114" w:rsidRPr="001F40CB">
        <w:rPr>
          <w:szCs w:val="23"/>
        </w:rPr>
        <w:t xml:space="preserve">potential for mutual benefit. </w:t>
      </w:r>
      <w:r w:rsidR="00CF4021" w:rsidRPr="001F40CB">
        <w:rPr>
          <w:szCs w:val="23"/>
        </w:rPr>
        <w:t xml:space="preserve">By </w:t>
      </w:r>
      <w:r w:rsidR="00832114" w:rsidRPr="001F40CB">
        <w:rPr>
          <w:szCs w:val="23"/>
        </w:rPr>
        <w:t>help</w:t>
      </w:r>
      <w:r w:rsidR="00CF4021" w:rsidRPr="001F40CB">
        <w:rPr>
          <w:szCs w:val="23"/>
        </w:rPr>
        <w:t>ing</w:t>
      </w:r>
      <w:r w:rsidR="00832114" w:rsidRPr="001F40CB">
        <w:rPr>
          <w:szCs w:val="23"/>
        </w:rPr>
        <w:t xml:space="preserve"> Indonesia expand its tourism infrastructure (the ‘ten </w:t>
      </w:r>
      <w:r w:rsidR="00215188" w:rsidRPr="001F40CB">
        <w:rPr>
          <w:szCs w:val="23"/>
        </w:rPr>
        <w:t xml:space="preserve">New </w:t>
      </w:r>
      <w:r w:rsidR="00832114" w:rsidRPr="001F40CB">
        <w:rPr>
          <w:szCs w:val="23"/>
        </w:rPr>
        <w:t xml:space="preserve">Balis’ plan) </w:t>
      </w:r>
      <w:r w:rsidR="00CF4021" w:rsidRPr="001F40CB">
        <w:rPr>
          <w:szCs w:val="23"/>
        </w:rPr>
        <w:t xml:space="preserve">Australia </w:t>
      </w:r>
      <w:r w:rsidR="00832114" w:rsidRPr="001F40CB">
        <w:rPr>
          <w:szCs w:val="23"/>
        </w:rPr>
        <w:t xml:space="preserve">could support inclusive growth in Indonesia and </w:t>
      </w:r>
      <w:r w:rsidR="00CF4021" w:rsidRPr="001F40CB">
        <w:rPr>
          <w:szCs w:val="23"/>
        </w:rPr>
        <w:t xml:space="preserve">provide </w:t>
      </w:r>
      <w:r w:rsidR="00832114" w:rsidRPr="001F40CB">
        <w:rPr>
          <w:szCs w:val="23"/>
        </w:rPr>
        <w:t>opportunities for Australia companies in an expanding sector.</w:t>
      </w:r>
    </w:p>
    <w:p w14:paraId="12BFC1E3" w14:textId="7B75DF9E" w:rsidR="00832114" w:rsidRPr="001B3B93" w:rsidRDefault="00832114" w:rsidP="00CF5131">
      <w:pPr>
        <w:rPr>
          <w:szCs w:val="23"/>
        </w:rPr>
      </w:pPr>
      <w:r w:rsidRPr="001B3B93">
        <w:rPr>
          <w:szCs w:val="23"/>
        </w:rPr>
        <w:t xml:space="preserve">While there may be potential </w:t>
      </w:r>
      <w:r w:rsidR="00923942" w:rsidRPr="001B3B93">
        <w:rPr>
          <w:szCs w:val="23"/>
        </w:rPr>
        <w:t xml:space="preserve">for increased synergy between aid and trade in such areas, it will remain essential to observe the principles of good aid practice. Poorly designed aid programs are unlikely to achieve good development results or trade benefits to Australia. The </w:t>
      </w:r>
      <w:r w:rsidR="00F633AC" w:rsidRPr="001B3B93">
        <w:rPr>
          <w:szCs w:val="23"/>
        </w:rPr>
        <w:t xml:space="preserve">principles </w:t>
      </w:r>
      <w:r w:rsidR="00923942" w:rsidRPr="001B3B93">
        <w:rPr>
          <w:szCs w:val="23"/>
        </w:rPr>
        <w:t>include:</w:t>
      </w:r>
    </w:p>
    <w:p w14:paraId="617DDA09" w14:textId="56D453E9" w:rsidR="00923942" w:rsidRPr="001B3B93" w:rsidRDefault="00923942" w:rsidP="000C55B6">
      <w:pPr>
        <w:pStyle w:val="ListParagraph"/>
        <w:numPr>
          <w:ilvl w:val="0"/>
          <w:numId w:val="19"/>
        </w:numPr>
        <w:rPr>
          <w:szCs w:val="23"/>
        </w:rPr>
      </w:pPr>
      <w:r w:rsidRPr="001B3B93">
        <w:rPr>
          <w:szCs w:val="23"/>
        </w:rPr>
        <w:t>Compliance with the international ODA definition</w:t>
      </w:r>
      <w:r w:rsidR="00FB4C4A">
        <w:rPr>
          <w:szCs w:val="23"/>
        </w:rPr>
        <w:t>—d</w:t>
      </w:r>
      <w:r w:rsidRPr="001B3B93">
        <w:rPr>
          <w:szCs w:val="23"/>
        </w:rPr>
        <w:t>evelopment benefit to the partner country must remain the primary purpose of the assistance, while the benefits to Australia should be an indirect or secondary result of achieving the primary purpose</w:t>
      </w:r>
      <w:r w:rsidR="00FB4C4A">
        <w:rPr>
          <w:szCs w:val="23"/>
        </w:rPr>
        <w:t>.</w:t>
      </w:r>
    </w:p>
    <w:p w14:paraId="34226A6E" w14:textId="174EABBD" w:rsidR="00923942" w:rsidRPr="001B3B93" w:rsidRDefault="00923942" w:rsidP="000C55B6">
      <w:pPr>
        <w:pStyle w:val="ListParagraph"/>
        <w:numPr>
          <w:ilvl w:val="0"/>
          <w:numId w:val="19"/>
        </w:numPr>
        <w:rPr>
          <w:szCs w:val="23"/>
        </w:rPr>
      </w:pPr>
      <w:r w:rsidRPr="001B3B93">
        <w:rPr>
          <w:szCs w:val="23"/>
        </w:rPr>
        <w:t>Commonality of interest</w:t>
      </w:r>
      <w:r w:rsidR="00FB4C4A">
        <w:rPr>
          <w:szCs w:val="23"/>
        </w:rPr>
        <w:t>—</w:t>
      </w:r>
      <w:r w:rsidRPr="001B3B93">
        <w:rPr>
          <w:szCs w:val="23"/>
        </w:rPr>
        <w:t>economic benefits should be recognised by both sides as mutual, rather than in competition</w:t>
      </w:r>
      <w:r w:rsidR="00FB4C4A">
        <w:rPr>
          <w:szCs w:val="23"/>
        </w:rPr>
        <w:t>.</w:t>
      </w:r>
    </w:p>
    <w:p w14:paraId="2759CBAA" w14:textId="40CC0FB1" w:rsidR="00923942" w:rsidRPr="001B3B93" w:rsidRDefault="00923942" w:rsidP="000C55B6">
      <w:pPr>
        <w:pStyle w:val="ListParagraph"/>
        <w:numPr>
          <w:ilvl w:val="0"/>
          <w:numId w:val="19"/>
        </w:numPr>
        <w:rPr>
          <w:szCs w:val="23"/>
        </w:rPr>
      </w:pPr>
      <w:r w:rsidRPr="001B3B93">
        <w:rPr>
          <w:szCs w:val="23"/>
        </w:rPr>
        <w:t>Transparency</w:t>
      </w:r>
      <w:r w:rsidR="00FB4C4A">
        <w:rPr>
          <w:szCs w:val="23"/>
        </w:rPr>
        <w:t>—</w:t>
      </w:r>
      <w:r w:rsidRPr="001B3B93">
        <w:rPr>
          <w:szCs w:val="23"/>
        </w:rPr>
        <w:t>potential benefits to Australia should be openly acknowledged</w:t>
      </w:r>
      <w:r w:rsidR="00FB4C4A">
        <w:rPr>
          <w:szCs w:val="23"/>
        </w:rPr>
        <w:t>.</w:t>
      </w:r>
    </w:p>
    <w:p w14:paraId="3AE6FA19" w14:textId="45B2FF8D" w:rsidR="00C930B4" w:rsidRPr="001B3B93" w:rsidRDefault="00D25C75" w:rsidP="000C55B6">
      <w:pPr>
        <w:pStyle w:val="ListParagraph"/>
        <w:numPr>
          <w:ilvl w:val="0"/>
          <w:numId w:val="19"/>
        </w:numPr>
        <w:rPr>
          <w:szCs w:val="23"/>
        </w:rPr>
      </w:pPr>
      <w:r w:rsidRPr="001B3B93">
        <w:rPr>
          <w:szCs w:val="23"/>
        </w:rPr>
        <w:t>Alignment</w:t>
      </w:r>
      <w:r w:rsidR="00F633AC" w:rsidRPr="001B3B93">
        <w:rPr>
          <w:szCs w:val="23"/>
        </w:rPr>
        <w:t xml:space="preserve"> and country leadership</w:t>
      </w:r>
      <w:r w:rsidR="00FB4C4A">
        <w:rPr>
          <w:szCs w:val="23"/>
        </w:rPr>
        <w:t>—</w:t>
      </w:r>
      <w:r w:rsidR="00F633AC" w:rsidRPr="001B3B93">
        <w:rPr>
          <w:szCs w:val="23"/>
        </w:rPr>
        <w:t>initiative should be aligned with national policies, or at least with a reform constituency.</w:t>
      </w:r>
    </w:p>
    <w:p w14:paraId="4A15538B" w14:textId="77777777" w:rsidR="00F633AC" w:rsidRPr="001B3B93" w:rsidRDefault="00F633AC" w:rsidP="001B3B93">
      <w:pPr>
        <w:pStyle w:val="Heading3"/>
      </w:pPr>
      <w:bookmarkStart w:id="79" w:name="_Toc527713004"/>
      <w:bookmarkStart w:id="80" w:name="_Hlk505445408"/>
      <w:bookmarkStart w:id="81" w:name="_Toc497738336"/>
      <w:bookmarkEnd w:id="53"/>
      <w:r w:rsidRPr="001B3B93">
        <w:t>Key messages</w:t>
      </w:r>
      <w:bookmarkEnd w:id="79"/>
    </w:p>
    <w:p w14:paraId="2F05B542" w14:textId="1FBF2C72" w:rsidR="002A1120" w:rsidRPr="001B3B93" w:rsidRDefault="002A1120" w:rsidP="000C55B6">
      <w:pPr>
        <w:pStyle w:val="ListParagraph"/>
        <w:numPr>
          <w:ilvl w:val="0"/>
          <w:numId w:val="15"/>
        </w:numPr>
        <w:ind w:left="714" w:hanging="357"/>
        <w:contextualSpacing w:val="0"/>
      </w:pPr>
      <w:r>
        <w:t>As Australia shifts from bricks and mortar aid projects, k</w:t>
      </w:r>
      <w:r w:rsidRPr="001B3B93">
        <w:t>nowledge-based assistance can provide high-profile opportunities for diplomatic engagement.</w:t>
      </w:r>
    </w:p>
    <w:p w14:paraId="0B92DE78" w14:textId="074559E0" w:rsidR="00224662" w:rsidRPr="001B3B93" w:rsidRDefault="00224662" w:rsidP="000C55B6">
      <w:pPr>
        <w:pStyle w:val="ListParagraph"/>
        <w:numPr>
          <w:ilvl w:val="0"/>
          <w:numId w:val="15"/>
        </w:numPr>
        <w:ind w:left="714" w:hanging="357"/>
        <w:contextualSpacing w:val="0"/>
      </w:pPr>
      <w:r w:rsidRPr="001B3B93">
        <w:t>DFAT could be more explicit about its influencing objectives for each economic partnership and pursue them more consistently across its aid programs and diplomatic engagements.</w:t>
      </w:r>
    </w:p>
    <w:p w14:paraId="6205902F" w14:textId="70736FB8" w:rsidR="002A1120" w:rsidRDefault="002A1120" w:rsidP="000C55B6">
      <w:pPr>
        <w:pStyle w:val="ListParagraph"/>
        <w:numPr>
          <w:ilvl w:val="0"/>
          <w:numId w:val="15"/>
        </w:numPr>
        <w:ind w:left="714" w:hanging="357"/>
        <w:contextualSpacing w:val="0"/>
      </w:pPr>
      <w:r>
        <w:t xml:space="preserve">While Australia is a vocal advocate </w:t>
      </w:r>
      <w:r w:rsidR="006470DB">
        <w:t>for</w:t>
      </w:r>
      <w:r>
        <w:t xml:space="preserve"> inclusive trade, there has been limited progress on aligning bilateral aid programs with trade objectives.</w:t>
      </w:r>
    </w:p>
    <w:p w14:paraId="194F123F" w14:textId="317A7160" w:rsidR="00E3280F" w:rsidRPr="001B3B93" w:rsidRDefault="00F633AC" w:rsidP="000C55B6">
      <w:pPr>
        <w:pStyle w:val="ListParagraph"/>
        <w:numPr>
          <w:ilvl w:val="0"/>
          <w:numId w:val="15"/>
        </w:numPr>
        <w:ind w:left="714" w:hanging="357"/>
        <w:contextualSpacing w:val="0"/>
      </w:pPr>
      <w:r w:rsidRPr="001B3B93">
        <w:t xml:space="preserve">DFAT </w:t>
      </w:r>
      <w:r w:rsidR="002A1120">
        <w:t xml:space="preserve">is appropriately </w:t>
      </w:r>
      <w:r w:rsidRPr="001B3B93">
        <w:t xml:space="preserve">cautious </w:t>
      </w:r>
      <w:r w:rsidR="002A1120">
        <w:t>in using aid to support bilateral trade</w:t>
      </w:r>
      <w:r w:rsidRPr="001B3B93">
        <w:t>, to avoid compromising the effectiveness of aid.</w:t>
      </w:r>
      <w:r w:rsidR="00AA2F22">
        <w:t xml:space="preserve"> However, </w:t>
      </w:r>
      <w:bookmarkEnd w:id="80"/>
      <w:r w:rsidR="00AA2F22">
        <w:t>t</w:t>
      </w:r>
      <w:r w:rsidRPr="001B3B93">
        <w:t xml:space="preserve">here is scope to use aid programs to support the implementation of economic cooperation provisions in bilateral </w:t>
      </w:r>
      <w:r w:rsidR="00AA2F22">
        <w:t xml:space="preserve">and regional </w:t>
      </w:r>
      <w:r w:rsidRPr="001B3B93">
        <w:t>free trade agreements</w:t>
      </w:r>
      <w:r w:rsidR="006470DB">
        <w:t xml:space="preserve">. There are also opportunities </w:t>
      </w:r>
      <w:r w:rsidRPr="001B3B93">
        <w:t xml:space="preserve">to develop sectors </w:t>
      </w:r>
      <w:r w:rsidR="002533EF" w:rsidRPr="001B3B93">
        <w:t>with the potential for greater bilateral trade, provided that</w:t>
      </w:r>
      <w:r w:rsidR="00FB4C4A">
        <w:t xml:space="preserve"> the</w:t>
      </w:r>
      <w:r w:rsidR="002533EF" w:rsidRPr="001B3B93">
        <w:t xml:space="preserve"> </w:t>
      </w:r>
      <w:r w:rsidR="00AA2F22">
        <w:t xml:space="preserve">aid effectiveness </w:t>
      </w:r>
      <w:r w:rsidR="002533EF" w:rsidRPr="001B3B93">
        <w:t>principles are respected.</w:t>
      </w:r>
    </w:p>
    <w:p w14:paraId="097BB6AF" w14:textId="77777777" w:rsidR="00F633AC" w:rsidRPr="001B3B93" w:rsidRDefault="00F633AC" w:rsidP="000C55B6">
      <w:pPr>
        <w:pStyle w:val="ListParagraph"/>
        <w:numPr>
          <w:ilvl w:val="0"/>
          <w:numId w:val="15"/>
        </w:numPr>
        <w:ind w:left="714" w:hanging="357"/>
        <w:contextualSpacing w:val="0"/>
        <w:sectPr w:rsidR="00F633AC" w:rsidRPr="001B3B93" w:rsidSect="00F21EFA">
          <w:pgSz w:w="12240" w:h="15840"/>
          <w:pgMar w:top="851" w:right="851" w:bottom="1418" w:left="851" w:header="720" w:footer="505" w:gutter="0"/>
          <w:cols w:space="720"/>
          <w:titlePg/>
          <w:docGrid w:linePitch="360"/>
        </w:sectPr>
      </w:pPr>
    </w:p>
    <w:p w14:paraId="6A1C0919" w14:textId="790098CD" w:rsidR="002F06DF" w:rsidRPr="001B3B93" w:rsidRDefault="00396DB0" w:rsidP="00396DB0">
      <w:pPr>
        <w:pStyle w:val="ChapterHead"/>
        <w:framePr w:wrap="around"/>
        <w:ind w:left="360"/>
      </w:pPr>
      <w:bookmarkStart w:id="82" w:name="_Toc527713005"/>
      <w:r w:rsidRPr="001B3B93">
        <w:lastRenderedPageBreak/>
        <w:t>4.</w:t>
      </w:r>
      <w:r w:rsidR="00E3280F" w:rsidRPr="001B3B93">
        <w:t xml:space="preserve"> </w:t>
      </w:r>
      <w:bookmarkEnd w:id="81"/>
      <w:r w:rsidR="001D441C" w:rsidRPr="001B3B93">
        <w:t>A</w:t>
      </w:r>
      <w:r w:rsidR="00AD4FBC">
        <w:t>pproaches to economic partnership</w:t>
      </w:r>
      <w:bookmarkEnd w:id="82"/>
    </w:p>
    <w:p w14:paraId="509606C2" w14:textId="77777777" w:rsidR="0079112B" w:rsidRPr="001B3B93" w:rsidRDefault="0079112B" w:rsidP="000535D0">
      <w:pPr>
        <w:pStyle w:val="ListParagraph"/>
        <w:ind w:left="0"/>
      </w:pPr>
      <w:bookmarkStart w:id="83" w:name="_Toc497738340"/>
      <w:bookmarkStart w:id="84" w:name="_Hlk495847682"/>
    </w:p>
    <w:p w14:paraId="268E11ED" w14:textId="5D372DEB" w:rsidR="0079112B" w:rsidRPr="001B3B93" w:rsidRDefault="00FB4C4A" w:rsidP="00C17D62">
      <w:r>
        <w:t>T</w:t>
      </w:r>
      <w:r w:rsidR="000535D0" w:rsidRPr="001B3B93">
        <w:t>his chapter</w:t>
      </w:r>
      <w:r>
        <w:t xml:space="preserve"> </w:t>
      </w:r>
      <w:r w:rsidR="002F02F3">
        <w:t>explore</w:t>
      </w:r>
      <w:r>
        <w:t>s</w:t>
      </w:r>
      <w:r w:rsidR="002F02F3">
        <w:t xml:space="preserve"> the potential of aid programs in economic partnerships to contribute to the goals of supporting policy and institutional reform and leveraging other development finance. From the programs identified as most associated with economic partnership, </w:t>
      </w:r>
      <w:r w:rsidR="00215188">
        <w:t xml:space="preserve">the evaluation team </w:t>
      </w:r>
      <w:r w:rsidR="004A3EB2">
        <w:t>survey the most significant results</w:t>
      </w:r>
      <w:r w:rsidR="002F02F3">
        <w:t xml:space="preserve"> </w:t>
      </w:r>
      <w:r w:rsidR="00215188">
        <w:t>and</w:t>
      </w:r>
      <w:r>
        <w:t xml:space="preserve"> </w:t>
      </w:r>
      <w:r w:rsidR="004A3EB2">
        <w:t>explore</w:t>
      </w:r>
      <w:r>
        <w:t>s</w:t>
      </w:r>
      <w:r w:rsidR="004A3EB2">
        <w:t xml:space="preserve"> what approaches have proved effective, based on lessons identified in program documents and by DFAT staff, implementers and counterparts. </w:t>
      </w:r>
      <w:r w:rsidR="0079112B" w:rsidRPr="001B3B93">
        <w:t xml:space="preserve">Finally, </w:t>
      </w:r>
      <w:r w:rsidR="00215188">
        <w:t>the evaluation team considers</w:t>
      </w:r>
      <w:r w:rsidR="0079112B" w:rsidRPr="001B3B93">
        <w:t xml:space="preserve"> how well DFAT’s systems and capacities facilitate its economic partnerships.</w:t>
      </w:r>
    </w:p>
    <w:p w14:paraId="33527595" w14:textId="77777777" w:rsidR="000535D0" w:rsidRPr="001B3B93" w:rsidRDefault="0079112B" w:rsidP="0079112B">
      <w:pPr>
        <w:pStyle w:val="Heading3"/>
      </w:pPr>
      <w:bookmarkStart w:id="85" w:name="_Toc527713006"/>
      <w:r w:rsidRPr="001B3B93">
        <w:t xml:space="preserve">What </w:t>
      </w:r>
      <w:r w:rsidRPr="00F33D05">
        <w:t>types of results is</w:t>
      </w:r>
      <w:r w:rsidRPr="00786D81">
        <w:t xml:space="preserve"> Australi</w:t>
      </w:r>
      <w:r w:rsidRPr="001B3B93">
        <w:t>an aid achieving within economic partnerships?</w:t>
      </w:r>
      <w:bookmarkEnd w:id="85"/>
    </w:p>
    <w:p w14:paraId="2135254A" w14:textId="516B1085" w:rsidR="004A3EB2" w:rsidRDefault="004A3EB2" w:rsidP="00E93590">
      <w:r>
        <w:t xml:space="preserve">From the programs that are most characteristic of how Australian aid is evolving within economic partnerships, </w:t>
      </w:r>
      <w:r w:rsidR="00215188">
        <w:t>the evaluation team</w:t>
      </w:r>
      <w:r w:rsidR="00786D81">
        <w:t xml:space="preserve"> </w:t>
      </w:r>
      <w:r>
        <w:t xml:space="preserve">identified some of the most important emerging results, </w:t>
      </w:r>
      <w:r w:rsidR="00C17D62">
        <w:t xml:space="preserve">particularly those involving </w:t>
      </w:r>
      <w:r>
        <w:t xml:space="preserve">policy </w:t>
      </w:r>
      <w:r w:rsidR="00B438F8">
        <w:t>outcomes</w:t>
      </w:r>
      <w:r>
        <w:t xml:space="preserve">, institutional reform and leverage of other development finance. The results </w:t>
      </w:r>
      <w:r w:rsidR="00C17D62">
        <w:t xml:space="preserve">were reported </w:t>
      </w:r>
      <w:r w:rsidR="00B3014F">
        <w:t xml:space="preserve">in </w:t>
      </w:r>
      <w:r>
        <w:t xml:space="preserve">program documents and </w:t>
      </w:r>
      <w:r w:rsidR="00C17D62">
        <w:t xml:space="preserve">identified in </w:t>
      </w:r>
      <w:r>
        <w:t xml:space="preserve">interviews with DFAT staff, implementers and counterparts. </w:t>
      </w:r>
      <w:r w:rsidR="00215188">
        <w:t>The analysis</w:t>
      </w:r>
      <w:r w:rsidR="00786D81">
        <w:t xml:space="preserve"> </w:t>
      </w:r>
      <w:r w:rsidR="00C17D62">
        <w:t>focused on identifying the types of results beginning to emerge within economic partnerships</w:t>
      </w:r>
      <w:r w:rsidR="00BA6878">
        <w:t>, rather than assessing the overall effectiveness of the programs in question.</w:t>
      </w:r>
    </w:p>
    <w:p w14:paraId="7D75AFB7" w14:textId="28E97B25" w:rsidR="00FD4F14" w:rsidRPr="001B3B93" w:rsidRDefault="009E10A8" w:rsidP="00E93590">
      <w:r w:rsidRPr="001B3B93">
        <w:t xml:space="preserve">As these </w:t>
      </w:r>
      <w:r w:rsidR="006C34C1" w:rsidRPr="001B3B93">
        <w:t xml:space="preserve">are complex reforms with many actors, attribution to an external actor is difficult, but these are all areas where there is evidence that Australia has </w:t>
      </w:r>
      <w:r w:rsidR="00786D81">
        <w:t xml:space="preserve">contributed </w:t>
      </w:r>
      <w:r w:rsidR="006C34C1" w:rsidRPr="001B3B93">
        <w:t>to facilitating change or has good prospects of doing so.</w:t>
      </w:r>
    </w:p>
    <w:p w14:paraId="26E2F079" w14:textId="753EDF23" w:rsidR="00F028E1" w:rsidRDefault="00F028E1" w:rsidP="000C55B6">
      <w:pPr>
        <w:pStyle w:val="ListParagraph"/>
        <w:numPr>
          <w:ilvl w:val="0"/>
          <w:numId w:val="20"/>
        </w:numPr>
      </w:pPr>
      <w:r w:rsidRPr="006955BC">
        <w:rPr>
          <w:b/>
          <w:color w:val="296C60" w:themeColor="background2" w:themeShade="80"/>
        </w:rPr>
        <w:t>Social protection in Indonesia</w:t>
      </w:r>
      <w:r w:rsidR="00FD4F14" w:rsidRPr="006955BC">
        <w:rPr>
          <w:b/>
          <w:color w:val="296C60" w:themeColor="background2" w:themeShade="80"/>
        </w:rPr>
        <w:t xml:space="preserve">: </w:t>
      </w:r>
      <w:r w:rsidR="00C17D62" w:rsidRPr="006955BC">
        <w:t xml:space="preserve">The </w:t>
      </w:r>
      <w:bookmarkStart w:id="86" w:name="_Hlk520998077"/>
      <w:r w:rsidR="00C17D62" w:rsidRPr="006955BC">
        <w:t>MA</w:t>
      </w:r>
      <w:r w:rsidR="0065129A">
        <w:t>H</w:t>
      </w:r>
      <w:r w:rsidR="00C17D62" w:rsidRPr="006955BC">
        <w:t xml:space="preserve">KOTA </w:t>
      </w:r>
      <w:bookmarkEnd w:id="86"/>
      <w:r w:rsidR="00C17D62" w:rsidRPr="006955BC">
        <w:t xml:space="preserve">program </w:t>
      </w:r>
      <w:r w:rsidR="00C17D62" w:rsidRPr="00F2515C">
        <w:t>(</w:t>
      </w:r>
      <w:r w:rsidR="006470DB">
        <w:t>AUD62 million</w:t>
      </w:r>
      <w:r w:rsidR="00CC4A45">
        <w:t>; 2016–19</w:t>
      </w:r>
      <w:r w:rsidR="006470DB">
        <w:t>)</w:t>
      </w:r>
      <w:r w:rsidR="00DA5731" w:rsidRPr="00AB3BFB">
        <w:t xml:space="preserve"> </w:t>
      </w:r>
      <w:r w:rsidR="00C17D62" w:rsidRPr="00AB3BFB">
        <w:t xml:space="preserve">aims to </w:t>
      </w:r>
      <w:r w:rsidR="00C17D62" w:rsidRPr="001711DD">
        <w:t xml:space="preserve">build government capacity to provide an effective social safety net. </w:t>
      </w:r>
      <w:r w:rsidR="00252573">
        <w:t xml:space="preserve">It builds on a previous program, the Poverty Reduction Support </w:t>
      </w:r>
      <w:r w:rsidR="00BA6878">
        <w:t>Facility that</w:t>
      </w:r>
      <w:r w:rsidR="00252573">
        <w:t xml:space="preserve"> operated from 2010 to 2015. </w:t>
      </w:r>
      <w:r w:rsidR="007252B2">
        <w:t xml:space="preserve">Both programs </w:t>
      </w:r>
      <w:r w:rsidR="00EE4D92" w:rsidRPr="00EE4D92">
        <w:t>support</w:t>
      </w:r>
      <w:r w:rsidR="007252B2">
        <w:t>ed</w:t>
      </w:r>
      <w:r w:rsidR="00EE4D92" w:rsidRPr="00EE4D92">
        <w:t xml:space="preserve"> an internal think tank on social policy</w:t>
      </w:r>
      <w:r w:rsidR="00CF3B31">
        <w:t>,</w:t>
      </w:r>
      <w:r w:rsidR="00EE4D92" w:rsidRPr="00EE4D92">
        <w:t xml:space="preserve"> </w:t>
      </w:r>
      <w:r w:rsidR="00CF3B31" w:rsidRPr="00EE4D92">
        <w:t xml:space="preserve">the National Team for Accelerating Poverty Reduction (TNP2K), </w:t>
      </w:r>
      <w:r w:rsidR="00CF3B31">
        <w:t xml:space="preserve">located </w:t>
      </w:r>
      <w:r w:rsidR="00EE4D92" w:rsidRPr="00EE4D92">
        <w:t xml:space="preserve">within the Vice President’s office with around 60 staff members. </w:t>
      </w:r>
      <w:r w:rsidR="00CF3B31">
        <w:t xml:space="preserve">TNP2K developed a </w:t>
      </w:r>
      <w:r w:rsidR="00CF3B31" w:rsidRPr="00922F8D">
        <w:t xml:space="preserve">unified household database </w:t>
      </w:r>
      <w:r w:rsidR="00CF3B31">
        <w:t>of the poorest 40</w:t>
      </w:r>
      <w:r w:rsidR="002D3FAC">
        <w:t xml:space="preserve"> per cent </w:t>
      </w:r>
      <w:r w:rsidR="00CF3B31">
        <w:t xml:space="preserve">of Indonesian households, enabling a shift towards targeted social assistance programs based on means testing. It also </w:t>
      </w:r>
      <w:r w:rsidR="007252B2">
        <w:t xml:space="preserve">supported the design, </w:t>
      </w:r>
      <w:r w:rsidR="00CF3B31">
        <w:t xml:space="preserve">monitoring and evaluation </w:t>
      </w:r>
      <w:r w:rsidR="007252B2">
        <w:t xml:space="preserve">of a number of Indonesia’s major social programs, including rice distribution, free health insurance </w:t>
      </w:r>
      <w:r w:rsidR="00CF3B31">
        <w:t xml:space="preserve">for the poor </w:t>
      </w:r>
      <w:r w:rsidR="007252B2">
        <w:t xml:space="preserve">and cash transfers. </w:t>
      </w:r>
      <w:r w:rsidR="00CF3B31">
        <w:t>The development of these programs enabled</w:t>
      </w:r>
      <w:r w:rsidR="00C613E4">
        <w:t xml:space="preserve"> </w:t>
      </w:r>
      <w:r w:rsidR="00CF3B31">
        <w:t xml:space="preserve">a reduction in untargeted electricity subsidies, </w:t>
      </w:r>
      <w:r w:rsidR="00EE4D92">
        <w:t xml:space="preserve">with </w:t>
      </w:r>
      <w:r w:rsidR="00DA5731" w:rsidRPr="006955BC">
        <w:t xml:space="preserve">savings </w:t>
      </w:r>
      <w:r w:rsidR="00EE4D92" w:rsidRPr="00F2515C">
        <w:t xml:space="preserve">to the </w:t>
      </w:r>
      <w:r w:rsidR="00EE4D92" w:rsidRPr="00AB3BFB">
        <w:t xml:space="preserve">Indonesian budget </w:t>
      </w:r>
      <w:r w:rsidR="00703536">
        <w:t xml:space="preserve">of an </w:t>
      </w:r>
      <w:r w:rsidR="00EE4D92" w:rsidRPr="006955BC">
        <w:t>estimated</w:t>
      </w:r>
      <w:r w:rsidR="00252573">
        <w:t xml:space="preserve"> </w:t>
      </w:r>
      <w:r w:rsidR="007F7964" w:rsidRPr="00AB3BFB">
        <w:t>AUD</w:t>
      </w:r>
      <w:r w:rsidR="00FD4F14" w:rsidRPr="001711DD">
        <w:t>1.</w:t>
      </w:r>
      <w:r w:rsidR="006955BC">
        <w:t>6</w:t>
      </w:r>
      <w:r w:rsidR="00FD4F14" w:rsidRPr="00F2515C">
        <w:t xml:space="preserve"> billion </w:t>
      </w:r>
      <w:r w:rsidR="00EE4D92" w:rsidRPr="00F2515C">
        <w:t xml:space="preserve">in </w:t>
      </w:r>
      <w:r w:rsidR="00C17D62" w:rsidRPr="00AB3BFB">
        <w:t>201</w:t>
      </w:r>
      <w:r w:rsidR="00F2515C">
        <w:t>7</w:t>
      </w:r>
      <w:r w:rsidR="00EE4D92" w:rsidRPr="00F2515C">
        <w:t>.</w:t>
      </w:r>
      <w:r w:rsidR="00EE4D92" w:rsidRPr="006955BC">
        <w:rPr>
          <w:rStyle w:val="FootnoteReference"/>
        </w:rPr>
        <w:footnoteReference w:id="65"/>
      </w:r>
      <w:r w:rsidR="00EE4D92" w:rsidRPr="006955BC">
        <w:t xml:space="preserve"> </w:t>
      </w:r>
      <w:r w:rsidR="00C613E4">
        <w:t xml:space="preserve">Through this complex policy reform process, DFAT programs were </w:t>
      </w:r>
      <w:r w:rsidR="00EE4D92" w:rsidRPr="00805C6E">
        <w:t>instrumental in building and sustaining political support</w:t>
      </w:r>
      <w:r w:rsidR="00703536">
        <w:t xml:space="preserve"> for</w:t>
      </w:r>
      <w:r w:rsidR="00252573">
        <w:t xml:space="preserve"> the</w:t>
      </w:r>
      <w:r w:rsidR="00CF3B31">
        <w:t>se</w:t>
      </w:r>
      <w:r w:rsidR="00252573">
        <w:t xml:space="preserve"> </w:t>
      </w:r>
      <w:r w:rsidR="00CF3B31">
        <w:t>reforms</w:t>
      </w:r>
      <w:r w:rsidR="00834232">
        <w:t>,</w:t>
      </w:r>
      <w:r w:rsidR="00252573">
        <w:t xml:space="preserve"> </w:t>
      </w:r>
      <w:r w:rsidR="00252573" w:rsidRPr="007F37CD">
        <w:t>includ</w:t>
      </w:r>
      <w:r w:rsidR="00252573" w:rsidRPr="00E9359B">
        <w:t xml:space="preserve">ing by preparing evidence </w:t>
      </w:r>
      <w:r w:rsidR="00252573" w:rsidRPr="006718F7">
        <w:t xml:space="preserve">for parliamentarians </w:t>
      </w:r>
      <w:r w:rsidR="00C613E4" w:rsidRPr="00DE5C59">
        <w:t xml:space="preserve">and the media that the new social programs </w:t>
      </w:r>
      <w:r w:rsidR="005A53DC" w:rsidRPr="00DE5C59">
        <w:t>protected the poor from the impact of subsidy reform</w:t>
      </w:r>
      <w:r w:rsidR="00EE4D92" w:rsidRPr="00DE5C59">
        <w:t xml:space="preserve">. </w:t>
      </w:r>
      <w:r w:rsidR="00655424" w:rsidRPr="00DE5C59">
        <w:t xml:space="preserve">Given </w:t>
      </w:r>
      <w:r w:rsidR="00FD4F14" w:rsidRPr="00AE10B3">
        <w:t>that inequality has become a significant constraint</w:t>
      </w:r>
      <w:r w:rsidR="00FD4F14" w:rsidRPr="001B3B93">
        <w:t xml:space="preserve"> on Indonesia’s growth and risks becoming a source of social instability</w:t>
      </w:r>
      <w:r w:rsidR="00655424" w:rsidRPr="001B3B93">
        <w:t>, these reforms are highly significant</w:t>
      </w:r>
      <w:r w:rsidR="00FD4F14" w:rsidRPr="001B3B93">
        <w:t>.</w:t>
      </w:r>
    </w:p>
    <w:p w14:paraId="2BFE07E4" w14:textId="77777777" w:rsidR="00252573" w:rsidRPr="001B3B93" w:rsidRDefault="00252573" w:rsidP="00805C6E">
      <w:pPr>
        <w:pStyle w:val="ListParagraph"/>
      </w:pPr>
    </w:p>
    <w:p w14:paraId="318E8879" w14:textId="372AA3CF" w:rsidR="00F028E1" w:rsidRDefault="003D355B" w:rsidP="000C55B6">
      <w:pPr>
        <w:pStyle w:val="ListParagraph"/>
        <w:numPr>
          <w:ilvl w:val="0"/>
          <w:numId w:val="20"/>
        </w:numPr>
      </w:pPr>
      <w:r w:rsidRPr="006955BC">
        <w:rPr>
          <w:b/>
          <w:color w:val="296C60" w:themeColor="background2" w:themeShade="80"/>
        </w:rPr>
        <w:t>Financial stability in Indonesia:</w:t>
      </w:r>
      <w:r w:rsidRPr="001B3B93">
        <w:t xml:space="preserve"> The AIPEG program </w:t>
      </w:r>
      <w:r w:rsidR="00B07AA8" w:rsidRPr="001B3B93">
        <w:t xml:space="preserve">(with its predecessors) </w:t>
      </w:r>
      <w:r w:rsidRPr="001B3B93">
        <w:t>has facilitated a series of reforms to the management of Indonesia’s financial markets, including improved banking supervision and financial market surveillance.</w:t>
      </w:r>
      <w:r w:rsidR="00B07AA8" w:rsidRPr="001B3B93">
        <w:t xml:space="preserve"> </w:t>
      </w:r>
      <w:r w:rsidR="00FC296E" w:rsidRPr="001B3B93">
        <w:t>A law on financial crisis management, passed in 2016, assign</w:t>
      </w:r>
      <w:r w:rsidR="00655424" w:rsidRPr="001B3B93">
        <w:t>s</w:t>
      </w:r>
      <w:r w:rsidR="00FC296E" w:rsidRPr="001B3B93">
        <w:t xml:space="preserve"> responsibilities to Indonesian institutions for preventing and handling financial crises. </w:t>
      </w:r>
      <w:r w:rsidR="00252573" w:rsidRPr="00805C6E">
        <w:t xml:space="preserve">AIPEG helped establish Indonesia’s Financial Services Authority, which regulates and supervises </w:t>
      </w:r>
      <w:r w:rsidR="00717B5A">
        <w:t xml:space="preserve">the </w:t>
      </w:r>
      <w:r w:rsidR="00252573" w:rsidRPr="00805C6E">
        <w:t xml:space="preserve">financial system. </w:t>
      </w:r>
      <w:r w:rsidR="00D772DA">
        <w:t>The Authority</w:t>
      </w:r>
      <w:r w:rsidR="00D772DA" w:rsidRPr="00805C6E">
        <w:t xml:space="preserve"> </w:t>
      </w:r>
      <w:r w:rsidR="00252573" w:rsidRPr="00805C6E">
        <w:t xml:space="preserve">has </w:t>
      </w:r>
      <w:r w:rsidR="00717B5A">
        <w:t xml:space="preserve">also </w:t>
      </w:r>
      <w:r w:rsidR="00252573" w:rsidRPr="00805C6E">
        <w:t>established an effective partnership with the Australian Prudential Regulation Authority.</w:t>
      </w:r>
      <w:r w:rsidR="00252573">
        <w:rPr>
          <w:i/>
        </w:rPr>
        <w:t xml:space="preserve"> </w:t>
      </w:r>
      <w:r w:rsidR="00655424" w:rsidRPr="001B3B93">
        <w:t>Given Indonesia suffered a collapse of its currency and a 14</w:t>
      </w:r>
      <w:r w:rsidR="002D3FAC">
        <w:t xml:space="preserve"> per cent</w:t>
      </w:r>
      <w:r w:rsidR="002D3FAC" w:rsidRPr="001B3B93">
        <w:t xml:space="preserve"> </w:t>
      </w:r>
      <w:r w:rsidR="00655424" w:rsidRPr="001B3B93">
        <w:t>drop in GDP</w:t>
      </w:r>
      <w:r w:rsidR="00655424" w:rsidRPr="001B3B93">
        <w:rPr>
          <w:rStyle w:val="FootnoteReference"/>
        </w:rPr>
        <w:footnoteReference w:id="66"/>
      </w:r>
      <w:r w:rsidR="00655424" w:rsidRPr="001B3B93">
        <w:t xml:space="preserve"> in </w:t>
      </w:r>
      <w:r w:rsidR="00F12410" w:rsidRPr="001B3B93">
        <w:t xml:space="preserve">1997 financial crisis, </w:t>
      </w:r>
      <w:r w:rsidR="00655424" w:rsidRPr="001B3B93">
        <w:t xml:space="preserve">the </w:t>
      </w:r>
      <w:r w:rsidR="0080303E" w:rsidRPr="001B3B93">
        <w:t>strategic significan</w:t>
      </w:r>
      <w:r w:rsidR="00F7110A" w:rsidRPr="001B3B93">
        <w:t>ce</w:t>
      </w:r>
      <w:r w:rsidR="0080303E" w:rsidRPr="001B3B93">
        <w:t xml:space="preserve"> </w:t>
      </w:r>
      <w:r w:rsidR="00655424" w:rsidRPr="001B3B93">
        <w:t xml:space="preserve">of this work is </w:t>
      </w:r>
      <w:r w:rsidR="0080303E" w:rsidRPr="001B3B93">
        <w:t>subs</w:t>
      </w:r>
      <w:r w:rsidR="00F7110A" w:rsidRPr="001B3B93">
        <w:t>t</w:t>
      </w:r>
      <w:r w:rsidR="0080303E" w:rsidRPr="001B3B93">
        <w:t>antial</w:t>
      </w:r>
      <w:r w:rsidR="00655424" w:rsidRPr="001B3B93">
        <w:t>.</w:t>
      </w:r>
    </w:p>
    <w:p w14:paraId="40FC57FA" w14:textId="77777777" w:rsidR="00717B5A" w:rsidRPr="001B3B93" w:rsidRDefault="00717B5A" w:rsidP="00805C6E">
      <w:pPr>
        <w:pStyle w:val="ListParagraph"/>
      </w:pPr>
    </w:p>
    <w:p w14:paraId="28616D68" w14:textId="3B8B38F3" w:rsidR="0042555A" w:rsidRDefault="00782A83" w:rsidP="000C55B6">
      <w:pPr>
        <w:pStyle w:val="ListParagraph"/>
        <w:numPr>
          <w:ilvl w:val="0"/>
          <w:numId w:val="20"/>
        </w:numPr>
      </w:pPr>
      <w:r w:rsidRPr="006955BC">
        <w:rPr>
          <w:b/>
          <w:color w:val="296C60" w:themeColor="background2" w:themeShade="80"/>
        </w:rPr>
        <w:t xml:space="preserve">Improved </w:t>
      </w:r>
      <w:r w:rsidR="00DE00DC" w:rsidRPr="006955BC">
        <w:rPr>
          <w:b/>
          <w:color w:val="296C60" w:themeColor="background2" w:themeShade="80"/>
        </w:rPr>
        <w:t xml:space="preserve">public expenditure </w:t>
      </w:r>
      <w:r w:rsidR="00AD0238" w:rsidRPr="006955BC">
        <w:rPr>
          <w:b/>
          <w:color w:val="296C60" w:themeColor="background2" w:themeShade="80"/>
        </w:rPr>
        <w:t>in Indonesia</w:t>
      </w:r>
      <w:r w:rsidRPr="006955BC">
        <w:rPr>
          <w:b/>
          <w:color w:val="296C60" w:themeColor="background2" w:themeShade="80"/>
        </w:rPr>
        <w:t>:</w:t>
      </w:r>
      <w:r w:rsidRPr="001B3B93">
        <w:t xml:space="preserve"> </w:t>
      </w:r>
      <w:r w:rsidR="00895DF6" w:rsidRPr="001B3B93">
        <w:t>Through many years of support</w:t>
      </w:r>
      <w:r w:rsidR="00AD0238" w:rsidRPr="001B3B93">
        <w:t xml:space="preserve">, </w:t>
      </w:r>
      <w:r w:rsidR="00895DF6" w:rsidRPr="001B3B93">
        <w:t xml:space="preserve">Australia has helped to introduce </w:t>
      </w:r>
      <w:r w:rsidR="00AD0238" w:rsidRPr="001B3B93">
        <w:t xml:space="preserve">medium-term expenditure planning and </w:t>
      </w:r>
      <w:r w:rsidR="005B2CE8" w:rsidRPr="001B3B93">
        <w:t xml:space="preserve">improve </w:t>
      </w:r>
      <w:r w:rsidR="00AD0238" w:rsidRPr="001B3B93">
        <w:t xml:space="preserve">alignment of planning and budgeting systems. </w:t>
      </w:r>
      <w:r w:rsidR="0042555A" w:rsidRPr="001B3B93">
        <w:t xml:space="preserve">Australia </w:t>
      </w:r>
      <w:r w:rsidR="00AD0238" w:rsidRPr="001B3B93">
        <w:t xml:space="preserve">has helped to </w:t>
      </w:r>
      <w:r w:rsidR="00895DF6" w:rsidRPr="001B3B93">
        <w:t xml:space="preserve">introduce </w:t>
      </w:r>
      <w:r w:rsidR="005B2CE8" w:rsidRPr="001B3B93">
        <w:t>performance-based grants from central to local government</w:t>
      </w:r>
      <w:r w:rsidR="00655424" w:rsidRPr="001B3B93">
        <w:t>s</w:t>
      </w:r>
      <w:r w:rsidR="005B2CE8" w:rsidRPr="001B3B93">
        <w:t xml:space="preserve"> and </w:t>
      </w:r>
      <w:r w:rsidR="00895DF6" w:rsidRPr="001B3B93">
        <w:t xml:space="preserve">new methods of financing local infrastructure, raising </w:t>
      </w:r>
      <w:r w:rsidR="0042555A" w:rsidRPr="001B3B93">
        <w:t>the quality of local development expenditure</w:t>
      </w:r>
      <w:r w:rsidR="00895DF6" w:rsidRPr="001B3B93">
        <w:t xml:space="preserve">. </w:t>
      </w:r>
      <w:r w:rsidR="00E937EC">
        <w:t>This has included working with the World Bank to pilot new ways</w:t>
      </w:r>
      <w:r w:rsidR="00A442C0">
        <w:t xml:space="preserve"> of financing local development projects. </w:t>
      </w:r>
      <w:r w:rsidR="005B2CE8" w:rsidRPr="001B3B93">
        <w:t xml:space="preserve">In the context of Indonesia’s </w:t>
      </w:r>
      <w:bookmarkStart w:id="87" w:name="_Hlk520998659"/>
      <w:r w:rsidR="00AD0238" w:rsidRPr="001B3B93">
        <w:t xml:space="preserve">‘big bang’ </w:t>
      </w:r>
      <w:bookmarkEnd w:id="87"/>
      <w:r w:rsidR="00AD0238" w:rsidRPr="001B3B93">
        <w:t>decentralisation</w:t>
      </w:r>
      <w:r w:rsidR="005B2CE8" w:rsidRPr="001B3B93">
        <w:t>, which shifted responsibility for a large share of development expenditure to sub-national authorities where capacity is lower, this is a strategic area of work</w:t>
      </w:r>
      <w:r w:rsidR="0042555A" w:rsidRPr="001B3B93">
        <w:t xml:space="preserve">. </w:t>
      </w:r>
      <w:r w:rsidR="00655424" w:rsidRPr="001B3B93">
        <w:t>DFAT estimate</w:t>
      </w:r>
      <w:r w:rsidR="006B38B6">
        <w:t>d</w:t>
      </w:r>
      <w:r w:rsidR="00655424" w:rsidRPr="001B3B93">
        <w:t xml:space="preserve"> that</w:t>
      </w:r>
      <w:r w:rsidR="00F40811">
        <w:t>, in 2016</w:t>
      </w:r>
      <w:r w:rsidR="00D772DA">
        <w:t>–</w:t>
      </w:r>
      <w:r w:rsidR="00F40811">
        <w:t>17,</w:t>
      </w:r>
      <w:r w:rsidR="001F7099" w:rsidRPr="001B3B93">
        <w:t xml:space="preserve"> </w:t>
      </w:r>
      <w:r w:rsidR="007F7964">
        <w:t>AUD</w:t>
      </w:r>
      <w:r w:rsidR="006B38B6">
        <w:t>3</w:t>
      </w:r>
      <w:r w:rsidR="00DE00DC" w:rsidRPr="001B3B93">
        <w:t>.</w:t>
      </w:r>
      <w:r w:rsidR="00F40811">
        <w:t>2</w:t>
      </w:r>
      <w:r w:rsidR="00DE00DC" w:rsidRPr="001B3B93">
        <w:t xml:space="preserve"> billion in </w:t>
      </w:r>
      <w:r w:rsidR="00F40811">
        <w:t>additional investment (national expenditure and MDB loans) was committed to programs designed or piloted by Australia.</w:t>
      </w:r>
      <w:r w:rsidR="00F40811">
        <w:rPr>
          <w:rStyle w:val="FootnoteReference"/>
        </w:rPr>
        <w:footnoteReference w:id="67"/>
      </w:r>
      <w:r w:rsidR="00F40811">
        <w:t xml:space="preserve"> The figure suggests that Australia has been effective in piloting economic and social reforms, and that </w:t>
      </w:r>
      <w:r w:rsidR="0080303E" w:rsidRPr="001B3B93">
        <w:t xml:space="preserve">potential benefits of </w:t>
      </w:r>
      <w:r w:rsidR="00F40811">
        <w:t xml:space="preserve">leveraging </w:t>
      </w:r>
      <w:r w:rsidR="0080303E" w:rsidRPr="001B3B93">
        <w:t>domestic expenditure far outweigh the direct financing effects of Australian aid.</w:t>
      </w:r>
    </w:p>
    <w:p w14:paraId="52C91793" w14:textId="77777777" w:rsidR="00A442C0" w:rsidRPr="001B3B93" w:rsidRDefault="00A442C0" w:rsidP="00805C6E">
      <w:pPr>
        <w:pStyle w:val="ListParagraph"/>
      </w:pPr>
    </w:p>
    <w:p w14:paraId="1ECB7163" w14:textId="1DE926BF" w:rsidR="00F028E1" w:rsidRPr="001B3B93" w:rsidRDefault="00E528B2" w:rsidP="000C55B6">
      <w:pPr>
        <w:pStyle w:val="ListParagraph"/>
        <w:numPr>
          <w:ilvl w:val="0"/>
          <w:numId w:val="20"/>
        </w:numPr>
        <w:rPr>
          <w:b/>
          <w:color w:val="296C60" w:themeColor="background2" w:themeShade="80"/>
        </w:rPr>
      </w:pPr>
      <w:r w:rsidRPr="001B3B93">
        <w:rPr>
          <w:b/>
          <w:color w:val="296C60" w:themeColor="background2" w:themeShade="80"/>
        </w:rPr>
        <w:t xml:space="preserve">Economic restructuring in Vietnam: </w:t>
      </w:r>
      <w:r w:rsidRPr="001B3B93">
        <w:t xml:space="preserve">The </w:t>
      </w:r>
      <w:r w:rsidR="00F219BE">
        <w:t>RCV</w:t>
      </w:r>
      <w:r w:rsidR="00884281">
        <w:t xml:space="preserve"> </w:t>
      </w:r>
      <w:r w:rsidRPr="001B3B93">
        <w:t>program works with the government on its Master Plan on Economic Restructuring. It has supported the development of a new Competition Law</w:t>
      </w:r>
      <w:r w:rsidR="00D772DA">
        <w:t xml:space="preserve">, </w:t>
      </w:r>
      <w:r w:rsidRPr="001B3B93">
        <w:t xml:space="preserve">to be adopted in 2018. It will </w:t>
      </w:r>
      <w:r w:rsidR="000B6D04">
        <w:t xml:space="preserve">increase the autonomy of the </w:t>
      </w:r>
      <w:r w:rsidR="004E1CC9">
        <w:t xml:space="preserve">National </w:t>
      </w:r>
      <w:r w:rsidRPr="001B3B93">
        <w:t xml:space="preserve">Competition </w:t>
      </w:r>
      <w:r w:rsidR="004E1CC9">
        <w:t>Authority</w:t>
      </w:r>
      <w:r w:rsidRPr="001B3B93">
        <w:t xml:space="preserve">, which will be a tool for </w:t>
      </w:r>
      <w:r w:rsidR="000B6D04">
        <w:t xml:space="preserve">reducing the </w:t>
      </w:r>
      <w:r w:rsidR="006955BC">
        <w:t xml:space="preserve">dominance </w:t>
      </w:r>
      <w:r w:rsidR="000B6D04">
        <w:t xml:space="preserve">of </w:t>
      </w:r>
      <w:r w:rsidRPr="001B3B93">
        <w:t xml:space="preserve">state-owned enterprise monopolies and enabling the private sector to compete on fairer terms. This has the potential to </w:t>
      </w:r>
      <w:r w:rsidR="00875DBE" w:rsidRPr="001B3B93">
        <w:t xml:space="preserve">reinvigorate </w:t>
      </w:r>
      <w:r w:rsidRPr="001B3B93">
        <w:t xml:space="preserve">Vietnam’s process of economic restructuring. While </w:t>
      </w:r>
      <w:r w:rsidR="0080303E" w:rsidRPr="001B3B93">
        <w:t xml:space="preserve">it will be some years before the significance of </w:t>
      </w:r>
      <w:r w:rsidRPr="001B3B93">
        <w:t xml:space="preserve">the achievement </w:t>
      </w:r>
      <w:r w:rsidR="0080303E" w:rsidRPr="001B3B93">
        <w:t>can be assessed</w:t>
      </w:r>
      <w:r w:rsidRPr="001B3B93">
        <w:t xml:space="preserve">, </w:t>
      </w:r>
      <w:r w:rsidRPr="00475334">
        <w:t xml:space="preserve">stakeholders </w:t>
      </w:r>
      <w:r w:rsidRPr="001B3B93">
        <w:t xml:space="preserve">in Vietnam, including </w:t>
      </w:r>
      <w:r w:rsidR="003309E8">
        <w:t xml:space="preserve">a number of current and former </w:t>
      </w:r>
      <w:r w:rsidRPr="001B3B93">
        <w:t>government</w:t>
      </w:r>
      <w:r w:rsidR="003309E8">
        <w:t xml:space="preserve"> officials</w:t>
      </w:r>
      <w:r w:rsidRPr="001B3B93">
        <w:t xml:space="preserve">, </w:t>
      </w:r>
      <w:r w:rsidR="003309E8">
        <w:t xml:space="preserve">informed </w:t>
      </w:r>
      <w:r w:rsidR="00215188">
        <w:t xml:space="preserve">the evaluation team </w:t>
      </w:r>
      <w:r w:rsidRPr="001B3B93">
        <w:t>that the initiative has strong political backing</w:t>
      </w:r>
      <w:r w:rsidR="0080303E" w:rsidRPr="001B3B93">
        <w:t xml:space="preserve"> and reasonable prospects of success</w:t>
      </w:r>
      <w:r w:rsidRPr="001B3B93">
        <w:t>.</w:t>
      </w:r>
    </w:p>
    <w:p w14:paraId="025C9886" w14:textId="3E4FE034" w:rsidR="00772412" w:rsidRDefault="00BB05EF" w:rsidP="00BB05EF">
      <w:r w:rsidRPr="001B3B93">
        <w:t xml:space="preserve">DFAT Indonesia has adapted its Performance Assessment </w:t>
      </w:r>
      <w:r w:rsidR="006470DB">
        <w:t xml:space="preserve">Framework </w:t>
      </w:r>
      <w:r w:rsidRPr="001B3B93">
        <w:t xml:space="preserve">to </w:t>
      </w:r>
      <w:r w:rsidR="00811056" w:rsidRPr="001B3B93">
        <w:t xml:space="preserve">capture the results of its efforts to </w:t>
      </w:r>
      <w:r w:rsidR="00B438F8">
        <w:t xml:space="preserve">support </w:t>
      </w:r>
      <w:r w:rsidR="00811056" w:rsidRPr="001B3B93">
        <w:t xml:space="preserve">policy </w:t>
      </w:r>
      <w:r w:rsidR="00B438F8">
        <w:t xml:space="preserve">reform </w:t>
      </w:r>
      <w:r w:rsidR="00811056" w:rsidRPr="001B3B93">
        <w:t xml:space="preserve">within its </w:t>
      </w:r>
      <w:r w:rsidRPr="001B3B93">
        <w:t xml:space="preserve">economic partnership by tracking significant policy changes and improvements to Indonesia’s own development spend. </w:t>
      </w:r>
      <w:r w:rsidR="00F3285F" w:rsidRPr="001B3B93">
        <w:t>For 2016</w:t>
      </w:r>
      <w:r w:rsidR="00D860AA" w:rsidRPr="001B3B93">
        <w:t>–</w:t>
      </w:r>
      <w:r w:rsidR="00F3285F" w:rsidRPr="001B3B93">
        <w:t>17, 20 significant policy changes were reported</w:t>
      </w:r>
      <w:r w:rsidR="00DF0927" w:rsidRPr="001B3B93">
        <w:t xml:space="preserve"> (Table 3).</w:t>
      </w:r>
    </w:p>
    <w:p w14:paraId="1958F898" w14:textId="77777777" w:rsidR="00772412" w:rsidRDefault="00772412">
      <w:r>
        <w:br w:type="page"/>
      </w:r>
    </w:p>
    <w:p w14:paraId="6F878D98" w14:textId="77777777" w:rsidR="007F7964" w:rsidRPr="001B3B93" w:rsidRDefault="007F7964" w:rsidP="00BB05EF"/>
    <w:p w14:paraId="556852CC" w14:textId="600B2595" w:rsidR="00C34B7A" w:rsidRPr="00C34B7A" w:rsidRDefault="00C34B7A" w:rsidP="00C34B7A">
      <w:pPr>
        <w:pStyle w:val="Caption"/>
        <w:keepNext/>
        <w:rPr>
          <w:b/>
          <w:iCs w:val="0"/>
          <w:color w:val="296C60" w:themeColor="background2" w:themeShade="80"/>
          <w:sz w:val="22"/>
          <w:szCs w:val="23"/>
        </w:rPr>
      </w:pPr>
      <w:bookmarkStart w:id="88" w:name="_Toc527452043"/>
      <w:r w:rsidRPr="00C34B7A">
        <w:rPr>
          <w:b/>
          <w:iCs w:val="0"/>
          <w:color w:val="296C60" w:themeColor="background2" w:themeShade="80"/>
          <w:sz w:val="22"/>
          <w:szCs w:val="23"/>
        </w:rPr>
        <w:t xml:space="preserve">Table </w:t>
      </w:r>
      <w:r w:rsidRPr="00C34B7A">
        <w:rPr>
          <w:b/>
          <w:iCs w:val="0"/>
          <w:color w:val="296C60" w:themeColor="background2" w:themeShade="80"/>
          <w:sz w:val="22"/>
          <w:szCs w:val="23"/>
        </w:rPr>
        <w:fldChar w:fldCharType="begin"/>
      </w:r>
      <w:r w:rsidRPr="00C34B7A">
        <w:rPr>
          <w:b/>
          <w:iCs w:val="0"/>
          <w:color w:val="296C60" w:themeColor="background2" w:themeShade="80"/>
          <w:sz w:val="22"/>
          <w:szCs w:val="23"/>
        </w:rPr>
        <w:instrText xml:space="preserve"> SEQ Table \* ARABIC </w:instrText>
      </w:r>
      <w:r w:rsidRPr="00C34B7A">
        <w:rPr>
          <w:b/>
          <w:iCs w:val="0"/>
          <w:color w:val="296C60" w:themeColor="background2" w:themeShade="80"/>
          <w:sz w:val="22"/>
          <w:szCs w:val="23"/>
        </w:rPr>
        <w:fldChar w:fldCharType="separate"/>
      </w:r>
      <w:r w:rsidRPr="00C34B7A">
        <w:rPr>
          <w:b/>
          <w:iCs w:val="0"/>
          <w:color w:val="296C60" w:themeColor="background2" w:themeShade="80"/>
          <w:sz w:val="22"/>
          <w:szCs w:val="23"/>
        </w:rPr>
        <w:t>3</w:t>
      </w:r>
      <w:r w:rsidRPr="00C34B7A">
        <w:rPr>
          <w:b/>
          <w:iCs w:val="0"/>
          <w:color w:val="296C60" w:themeColor="background2" w:themeShade="80"/>
          <w:sz w:val="22"/>
          <w:szCs w:val="23"/>
        </w:rPr>
        <w:fldChar w:fldCharType="end"/>
      </w:r>
      <w:r w:rsidRPr="00C34B7A">
        <w:rPr>
          <w:b/>
          <w:iCs w:val="0"/>
          <w:color w:val="296C60" w:themeColor="background2" w:themeShade="80"/>
          <w:sz w:val="22"/>
          <w:szCs w:val="23"/>
        </w:rPr>
        <w:t>: Significant policy changes reported in Indonesia, 2016-17</w:t>
      </w:r>
      <w:bookmarkEnd w:id="88"/>
    </w:p>
    <w:tbl>
      <w:tblPr>
        <w:tblStyle w:val="TableGrid"/>
        <w:tblW w:w="9244" w:type="dxa"/>
        <w:tblLook w:val="04A0" w:firstRow="1" w:lastRow="0" w:firstColumn="1" w:lastColumn="0" w:noHBand="0" w:noVBand="1"/>
      </w:tblPr>
      <w:tblGrid>
        <w:gridCol w:w="2559"/>
        <w:gridCol w:w="741"/>
        <w:gridCol w:w="5944"/>
      </w:tblGrid>
      <w:tr w:rsidR="00DF0927" w:rsidRPr="001B3B93" w14:paraId="200C7B5D" w14:textId="77777777" w:rsidTr="00DF0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31C6CBF5" w14:textId="77777777" w:rsidR="00DF0927" w:rsidRPr="001B3B93" w:rsidRDefault="00DF0927" w:rsidP="00784150">
            <w:pPr>
              <w:rPr>
                <w:b/>
                <w:bCs/>
                <w:color w:val="FFFFFF" w:themeColor="background1"/>
              </w:rPr>
            </w:pPr>
            <w:r w:rsidRPr="001B3B93">
              <w:rPr>
                <w:b/>
                <w:bCs/>
                <w:color w:val="FFFFFF" w:themeColor="background1"/>
              </w:rPr>
              <w:t>Sector</w:t>
            </w:r>
          </w:p>
        </w:tc>
        <w:tc>
          <w:tcPr>
            <w:tcW w:w="741" w:type="dxa"/>
          </w:tcPr>
          <w:p w14:paraId="328B389E" w14:textId="77777777" w:rsidR="00DF0927" w:rsidRPr="001B3B93" w:rsidRDefault="00DF0927" w:rsidP="00DF0927">
            <w:pPr>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B3B93">
              <w:rPr>
                <w:b/>
                <w:bCs/>
                <w:color w:val="FFFFFF" w:themeColor="background1"/>
              </w:rPr>
              <w:t>No.</w:t>
            </w:r>
          </w:p>
        </w:tc>
        <w:tc>
          <w:tcPr>
            <w:tcW w:w="5944" w:type="dxa"/>
          </w:tcPr>
          <w:p w14:paraId="2207CB3C" w14:textId="77777777" w:rsidR="00DF0927" w:rsidRPr="001B3B93" w:rsidRDefault="00DF0927" w:rsidP="00DF0927">
            <w:pPr>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B3B93">
              <w:rPr>
                <w:b/>
                <w:bCs/>
                <w:color w:val="FFFFFF" w:themeColor="background1"/>
              </w:rPr>
              <w:t>Examples</w:t>
            </w:r>
          </w:p>
        </w:tc>
      </w:tr>
      <w:tr w:rsidR="00DF0927" w:rsidRPr="001B3B93" w14:paraId="5C64A475" w14:textId="77777777" w:rsidTr="00DF0927">
        <w:tc>
          <w:tcPr>
            <w:cnfStyle w:val="001000000000" w:firstRow="0" w:lastRow="0" w:firstColumn="1" w:lastColumn="0" w:oddVBand="0" w:evenVBand="0" w:oddHBand="0" w:evenHBand="0" w:firstRowFirstColumn="0" w:firstRowLastColumn="0" w:lastRowFirstColumn="0" w:lastRowLastColumn="0"/>
            <w:tcW w:w="2559" w:type="dxa"/>
          </w:tcPr>
          <w:p w14:paraId="19E56BF7" w14:textId="77777777" w:rsidR="00DF0927" w:rsidRPr="001B3B93" w:rsidRDefault="00DF0927" w:rsidP="00784150">
            <w:r w:rsidRPr="001B3B93">
              <w:t>Efficient markets and financial systems</w:t>
            </w:r>
          </w:p>
        </w:tc>
        <w:tc>
          <w:tcPr>
            <w:tcW w:w="741" w:type="dxa"/>
          </w:tcPr>
          <w:p w14:paraId="116B99A8" w14:textId="77777777" w:rsidR="00DF0927" w:rsidRPr="001B3B93" w:rsidRDefault="00DF0927" w:rsidP="00DF0927">
            <w:pPr>
              <w:jc w:val="center"/>
              <w:cnfStyle w:val="000000000000" w:firstRow="0" w:lastRow="0" w:firstColumn="0" w:lastColumn="0" w:oddVBand="0" w:evenVBand="0" w:oddHBand="0" w:evenHBand="0" w:firstRowFirstColumn="0" w:firstRowLastColumn="0" w:lastRowFirstColumn="0" w:lastRowLastColumn="0"/>
            </w:pPr>
            <w:r w:rsidRPr="001B3B93">
              <w:t>1</w:t>
            </w:r>
          </w:p>
        </w:tc>
        <w:tc>
          <w:tcPr>
            <w:tcW w:w="5944" w:type="dxa"/>
          </w:tcPr>
          <w:p w14:paraId="67F27AFA" w14:textId="1F46BFA5" w:rsidR="00DF0927" w:rsidRPr="001B3B93" w:rsidRDefault="00DF0927"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A new regulation on FinTech, facilitating access to finance through the expansion of digital financial services, including peer-to-peer lending</w:t>
            </w:r>
            <w:r w:rsidR="00D772DA">
              <w:t>.</w:t>
            </w:r>
          </w:p>
        </w:tc>
      </w:tr>
      <w:tr w:rsidR="00DF0927" w:rsidRPr="001B3B93" w14:paraId="2D8F3E75" w14:textId="77777777" w:rsidTr="00DF0927">
        <w:tc>
          <w:tcPr>
            <w:cnfStyle w:val="001000000000" w:firstRow="0" w:lastRow="0" w:firstColumn="1" w:lastColumn="0" w:oddVBand="0" w:evenVBand="0" w:oddHBand="0" w:evenHBand="0" w:firstRowFirstColumn="0" w:firstRowLastColumn="0" w:lastRowFirstColumn="0" w:lastRowLastColumn="0"/>
            <w:tcW w:w="2559" w:type="dxa"/>
          </w:tcPr>
          <w:p w14:paraId="1C05FBF7" w14:textId="77777777" w:rsidR="00DF0927" w:rsidRPr="001B3B93" w:rsidRDefault="00DF0927" w:rsidP="00784150">
            <w:r w:rsidRPr="001B3B93">
              <w:t>Public finance</w:t>
            </w:r>
          </w:p>
        </w:tc>
        <w:tc>
          <w:tcPr>
            <w:tcW w:w="741" w:type="dxa"/>
          </w:tcPr>
          <w:p w14:paraId="2C9FF5F1" w14:textId="77777777" w:rsidR="00DF0927" w:rsidRPr="001B3B93" w:rsidRDefault="00DF0927" w:rsidP="00DF0927">
            <w:pPr>
              <w:jc w:val="center"/>
              <w:cnfStyle w:val="000000000000" w:firstRow="0" w:lastRow="0" w:firstColumn="0" w:lastColumn="0" w:oddVBand="0" w:evenVBand="0" w:oddHBand="0" w:evenHBand="0" w:firstRowFirstColumn="0" w:firstRowLastColumn="0" w:lastRowFirstColumn="0" w:lastRowLastColumn="0"/>
            </w:pPr>
            <w:r w:rsidRPr="001B3B93">
              <w:t>4</w:t>
            </w:r>
          </w:p>
        </w:tc>
        <w:tc>
          <w:tcPr>
            <w:tcW w:w="5944" w:type="dxa"/>
          </w:tcPr>
          <w:p w14:paraId="0FAAF5C5" w14:textId="7832D822" w:rsidR="00DF0927" w:rsidRPr="001B3B93" w:rsidRDefault="00DF0927"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Introduction of medium-term budgeting, including a shift from cash to accrual accounting methods, to smooth expenditure across financial years and facilitate management of multi-year projects</w:t>
            </w:r>
            <w:r w:rsidR="00D772DA">
              <w:t>.</w:t>
            </w:r>
          </w:p>
          <w:p w14:paraId="2CA34A87" w14:textId="41B30100" w:rsidR="00DF0927" w:rsidRPr="001B3B93" w:rsidRDefault="00DF0927"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 xml:space="preserve">Introduction of a new </w:t>
            </w:r>
            <w:r w:rsidR="00F80376">
              <w:t>information technology</w:t>
            </w:r>
            <w:r w:rsidRPr="001B3B93">
              <w:t xml:space="preserve"> application to support budget preparation, which helped the Ministry of Health identify about </w:t>
            </w:r>
            <w:r w:rsidR="00AE4FE6">
              <w:t>AUD</w:t>
            </w:r>
            <w:r w:rsidRPr="001B3B93">
              <w:t>100 million in savings</w:t>
            </w:r>
            <w:r w:rsidR="00D772DA">
              <w:t>.</w:t>
            </w:r>
          </w:p>
          <w:p w14:paraId="0F6EED38" w14:textId="42E18192" w:rsidR="00DF0927" w:rsidRPr="001B3B93" w:rsidRDefault="00DF0927"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Improved resource allocation at village level, encouraging greater community participation in decision</w:t>
            </w:r>
            <w:r w:rsidR="00830AB2">
              <w:t>-</w:t>
            </w:r>
            <w:r w:rsidRPr="001B3B93">
              <w:t>making</w:t>
            </w:r>
            <w:r w:rsidR="00D772DA">
              <w:t>.</w:t>
            </w:r>
          </w:p>
        </w:tc>
      </w:tr>
      <w:tr w:rsidR="00DF0927" w:rsidRPr="001B3B93" w14:paraId="2FA05912" w14:textId="77777777" w:rsidTr="00DF0927">
        <w:tc>
          <w:tcPr>
            <w:cnfStyle w:val="001000000000" w:firstRow="0" w:lastRow="0" w:firstColumn="1" w:lastColumn="0" w:oddVBand="0" w:evenVBand="0" w:oddHBand="0" w:evenHBand="0" w:firstRowFirstColumn="0" w:firstRowLastColumn="0" w:lastRowFirstColumn="0" w:lastRowLastColumn="0"/>
            <w:tcW w:w="2559" w:type="dxa"/>
          </w:tcPr>
          <w:p w14:paraId="6B5BE26C" w14:textId="77777777" w:rsidR="00DF0927" w:rsidRPr="001B3B93" w:rsidRDefault="00DF0927" w:rsidP="00784150">
            <w:r w:rsidRPr="001B3B93">
              <w:t>Human development</w:t>
            </w:r>
          </w:p>
        </w:tc>
        <w:tc>
          <w:tcPr>
            <w:tcW w:w="741" w:type="dxa"/>
          </w:tcPr>
          <w:p w14:paraId="3F0A33DC" w14:textId="77777777" w:rsidR="00DF0927" w:rsidRPr="001B3B93" w:rsidRDefault="00DF0927" w:rsidP="00DF0927">
            <w:pPr>
              <w:jc w:val="center"/>
              <w:cnfStyle w:val="000000000000" w:firstRow="0" w:lastRow="0" w:firstColumn="0" w:lastColumn="0" w:oddVBand="0" w:evenVBand="0" w:oddHBand="0" w:evenHBand="0" w:firstRowFirstColumn="0" w:firstRowLastColumn="0" w:lastRowFirstColumn="0" w:lastRowLastColumn="0"/>
            </w:pPr>
            <w:r w:rsidRPr="001B3B93">
              <w:t>12</w:t>
            </w:r>
          </w:p>
        </w:tc>
        <w:tc>
          <w:tcPr>
            <w:tcW w:w="5944" w:type="dxa"/>
          </w:tcPr>
          <w:p w14:paraId="057444AF" w14:textId="01E70A73" w:rsidR="00DF0927" w:rsidRPr="001B3B93" w:rsidRDefault="00F2515C"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t xml:space="preserve">Elimination </w:t>
            </w:r>
            <w:r w:rsidR="00DF0927" w:rsidRPr="001B3B93">
              <w:t xml:space="preserve">of </w:t>
            </w:r>
            <w:r w:rsidR="006955BC">
              <w:t>electricity</w:t>
            </w:r>
            <w:r w:rsidR="006955BC" w:rsidRPr="001B3B93">
              <w:t xml:space="preserve"> </w:t>
            </w:r>
            <w:r w:rsidR="00DF0927" w:rsidRPr="001B3B93">
              <w:t xml:space="preserve">subsides to </w:t>
            </w:r>
            <w:r>
              <w:t xml:space="preserve">non-poor </w:t>
            </w:r>
            <w:r w:rsidR="00DF0927" w:rsidRPr="001B3B93">
              <w:t xml:space="preserve">households, saving the government </w:t>
            </w:r>
            <w:r w:rsidR="00AE4FE6">
              <w:t>AUD</w:t>
            </w:r>
            <w:r w:rsidR="00DF0927" w:rsidRPr="001B3B93">
              <w:t>1.6 billion in 2017</w:t>
            </w:r>
            <w:r w:rsidR="00D772DA">
              <w:t>.</w:t>
            </w:r>
          </w:p>
          <w:p w14:paraId="587BA52B" w14:textId="178893F4" w:rsidR="00DF0927" w:rsidRPr="001B3B93" w:rsidRDefault="00DF0927" w:rsidP="000C55B6">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Expansion of the government’s cash transfer program, from 3.5 million to 6 million households, with plans to add a further 10 million, providing a social safety net to tackle poverty and inequality</w:t>
            </w:r>
            <w:r w:rsidR="00D772DA">
              <w:t>.</w:t>
            </w:r>
          </w:p>
          <w:p w14:paraId="1A7C5A49" w14:textId="6DA0B7A1" w:rsidR="00DF0927" w:rsidRPr="001B3B93" w:rsidRDefault="00DF0927" w:rsidP="006470DB">
            <w:pPr>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The introduction of a performance management system for school teachers, with incentive payments</w:t>
            </w:r>
            <w:r w:rsidR="00D772DA">
              <w:t>.</w:t>
            </w:r>
          </w:p>
        </w:tc>
      </w:tr>
      <w:tr w:rsidR="00DF0927" w:rsidRPr="001B3B93" w14:paraId="3BF69B03" w14:textId="77777777" w:rsidTr="00DF0927">
        <w:tc>
          <w:tcPr>
            <w:cnfStyle w:val="001000000000" w:firstRow="0" w:lastRow="0" w:firstColumn="1" w:lastColumn="0" w:oddVBand="0" w:evenVBand="0" w:oddHBand="0" w:evenHBand="0" w:firstRowFirstColumn="0" w:firstRowLastColumn="0" w:lastRowFirstColumn="0" w:lastRowLastColumn="0"/>
            <w:tcW w:w="2559" w:type="dxa"/>
          </w:tcPr>
          <w:p w14:paraId="3585C402" w14:textId="77777777" w:rsidR="00DF0927" w:rsidRPr="001B3B93" w:rsidRDefault="00DF0927" w:rsidP="00784150">
            <w:r w:rsidRPr="001B3B93">
              <w:t>Inclusive development</w:t>
            </w:r>
          </w:p>
        </w:tc>
        <w:tc>
          <w:tcPr>
            <w:tcW w:w="741" w:type="dxa"/>
          </w:tcPr>
          <w:p w14:paraId="67BD4A9B" w14:textId="77777777" w:rsidR="00DF0927" w:rsidRPr="001B3B93" w:rsidRDefault="00DF0927" w:rsidP="00DF0927">
            <w:pPr>
              <w:jc w:val="center"/>
              <w:cnfStyle w:val="000000000000" w:firstRow="0" w:lastRow="0" w:firstColumn="0" w:lastColumn="0" w:oddVBand="0" w:evenVBand="0" w:oddHBand="0" w:evenHBand="0" w:firstRowFirstColumn="0" w:firstRowLastColumn="0" w:lastRowFirstColumn="0" w:lastRowLastColumn="0"/>
            </w:pPr>
            <w:r w:rsidRPr="001B3B93">
              <w:t>3</w:t>
            </w:r>
          </w:p>
        </w:tc>
        <w:tc>
          <w:tcPr>
            <w:tcW w:w="5944" w:type="dxa"/>
          </w:tcPr>
          <w:p w14:paraId="63E3F9E4" w14:textId="49B190FA" w:rsidR="00DF0927" w:rsidRPr="001B3B93" w:rsidRDefault="00DF0927" w:rsidP="006470DB">
            <w:pPr>
              <w:pStyle w:val="ListParagraph"/>
              <w:numPr>
                <w:ilvl w:val="0"/>
                <w:numId w:val="21"/>
              </w:numPr>
              <w:ind w:left="220" w:hanging="220"/>
              <w:cnfStyle w:val="000000000000" w:firstRow="0" w:lastRow="0" w:firstColumn="0" w:lastColumn="0" w:oddVBand="0" w:evenVBand="0" w:oddHBand="0" w:evenHBand="0" w:firstRowFirstColumn="0" w:firstRowLastColumn="0" w:lastRowFirstColumn="0" w:lastRowLastColumn="0"/>
            </w:pPr>
            <w:r w:rsidRPr="001B3B93">
              <w:t>Revised formulas for fiscal transfer from national to local governments to reward high-performing districts with additional funding</w:t>
            </w:r>
            <w:r w:rsidR="00D772DA">
              <w:t>.</w:t>
            </w:r>
          </w:p>
        </w:tc>
      </w:tr>
    </w:tbl>
    <w:p w14:paraId="7EA58D3D" w14:textId="5D22A644" w:rsidR="00FC560B" w:rsidRPr="003D3BD9" w:rsidRDefault="00EA2B6E" w:rsidP="00BB05EF">
      <w:pPr>
        <w:rPr>
          <w:sz w:val="20"/>
        </w:rPr>
      </w:pPr>
      <w:r w:rsidRPr="003D3BD9">
        <w:rPr>
          <w:sz w:val="20"/>
        </w:rPr>
        <w:t xml:space="preserve">Source: </w:t>
      </w:r>
      <w:r w:rsidR="00F2515C" w:rsidRPr="003D3BD9">
        <w:rPr>
          <w:sz w:val="20"/>
        </w:rPr>
        <w:t>Data provided by DFAT Indonesia</w:t>
      </w:r>
      <w:r w:rsidR="003920A9" w:rsidRPr="003D3BD9">
        <w:rPr>
          <w:sz w:val="20"/>
        </w:rPr>
        <w:t>.</w:t>
      </w:r>
    </w:p>
    <w:p w14:paraId="55720C61" w14:textId="77777777" w:rsidR="0025026D" w:rsidRDefault="0025026D" w:rsidP="002F17CC"/>
    <w:p w14:paraId="3028647B" w14:textId="67EE5D86" w:rsidR="00A64E82" w:rsidRPr="001B3B93" w:rsidRDefault="002F17CC" w:rsidP="002F17CC">
      <w:r w:rsidRPr="001B3B93">
        <w:t>While some of these results are genuinely impressive, it is important not to overstate the level of influence that can be achieved</w:t>
      </w:r>
      <w:r w:rsidR="005F606C" w:rsidRPr="001B3B93">
        <w:t>, and in the event of successes, how much of this can be reasonably attributed to donor efforts</w:t>
      </w:r>
      <w:r w:rsidRPr="001B3B93">
        <w:t xml:space="preserve">. </w:t>
      </w:r>
      <w:r w:rsidR="005F606C" w:rsidRPr="001B3B93">
        <w:t>P</w:t>
      </w:r>
      <w:r w:rsidR="00EA6B1F" w:rsidRPr="001B3B93">
        <w:t xml:space="preserve">rograms </w:t>
      </w:r>
      <w:r w:rsidR="005F606C" w:rsidRPr="001B3B93">
        <w:t xml:space="preserve">seeking to </w:t>
      </w:r>
      <w:r w:rsidR="007C1196">
        <w:t xml:space="preserve">support policy change must work with </w:t>
      </w:r>
      <w:r w:rsidR="005F606C" w:rsidRPr="001B3B93">
        <w:t xml:space="preserve">local </w:t>
      </w:r>
      <w:r w:rsidR="00EA6B1F" w:rsidRPr="001B3B93">
        <w:t>reformers</w:t>
      </w:r>
      <w:r w:rsidR="005F606C" w:rsidRPr="001B3B93">
        <w:t xml:space="preserve">, which means that when they encounter success, it </w:t>
      </w:r>
      <w:r w:rsidR="007C1196">
        <w:t xml:space="preserve">cannot be attributed solely </w:t>
      </w:r>
      <w:r w:rsidR="000A3FBF" w:rsidRPr="001B3B93">
        <w:t xml:space="preserve">to </w:t>
      </w:r>
      <w:r w:rsidR="007C1196">
        <w:t>external support</w:t>
      </w:r>
      <w:r w:rsidR="00EA6B1F" w:rsidRPr="001B3B93">
        <w:t>. I</w:t>
      </w:r>
      <w:r w:rsidR="005F606C" w:rsidRPr="001B3B93">
        <w:t xml:space="preserve">t is also worth keeping in mind that in areas where </w:t>
      </w:r>
      <w:r w:rsidR="00EA6B1F" w:rsidRPr="001B3B93">
        <w:t xml:space="preserve">there are no </w:t>
      </w:r>
      <w:r w:rsidR="005F606C" w:rsidRPr="001B3B93">
        <w:t xml:space="preserve">local </w:t>
      </w:r>
      <w:r w:rsidR="00EA6B1F" w:rsidRPr="001B3B93">
        <w:t xml:space="preserve">constituencies to work with, there is little prospect of </w:t>
      </w:r>
      <w:r w:rsidR="005F606C" w:rsidRPr="001B3B93">
        <w:t xml:space="preserve">any reform taking place, even if </w:t>
      </w:r>
      <w:r w:rsidR="003060DB">
        <w:t>the development case for it is well made</w:t>
      </w:r>
      <w:r w:rsidR="00EA6B1F" w:rsidRPr="001B3B93">
        <w:t xml:space="preserve">. </w:t>
      </w:r>
    </w:p>
    <w:p w14:paraId="18A39E53" w14:textId="24BF6F3B" w:rsidR="00EA6B1F" w:rsidRPr="001B3B93" w:rsidRDefault="00A64E82" w:rsidP="00811056">
      <w:r w:rsidRPr="001B3B93">
        <w:t xml:space="preserve">This raises a question about how DFAT can best </w:t>
      </w:r>
      <w:r w:rsidR="005F606C" w:rsidRPr="001B3B93">
        <w:t xml:space="preserve">use the aid program to pursue objectives that are close to its values, but where </w:t>
      </w:r>
      <w:r w:rsidR="00F2515C">
        <w:t xml:space="preserve">there is no </w:t>
      </w:r>
      <w:r w:rsidR="005F606C" w:rsidRPr="001B3B93">
        <w:t xml:space="preserve">shared understanding </w:t>
      </w:r>
      <w:r w:rsidR="00F2515C">
        <w:t xml:space="preserve">with national stakeholders of the objectives or </w:t>
      </w:r>
      <w:r w:rsidR="005F606C" w:rsidRPr="001B3B93">
        <w:t xml:space="preserve">how to achieve </w:t>
      </w:r>
      <w:r w:rsidR="00F2515C">
        <w:t>them</w:t>
      </w:r>
      <w:r w:rsidR="000C0828">
        <w:t xml:space="preserve">. This was evident in </w:t>
      </w:r>
      <w:r w:rsidR="00EA6B1F" w:rsidRPr="001B3B93">
        <w:t xml:space="preserve">Vietnam, when DFAT promoted an approach on gender equality </w:t>
      </w:r>
      <w:r w:rsidR="003060DB">
        <w:t xml:space="preserve">that </w:t>
      </w:r>
      <w:r w:rsidR="00EA6B1F" w:rsidRPr="001B3B93">
        <w:t>had difficulty</w:t>
      </w:r>
      <w:r w:rsidR="003060DB">
        <w:t xml:space="preserve"> securing </w:t>
      </w:r>
      <w:r w:rsidR="00EA6B1F" w:rsidRPr="001B3B93">
        <w:t xml:space="preserve">approval to proceed </w:t>
      </w:r>
      <w:r w:rsidR="005F606C" w:rsidRPr="001B3B93">
        <w:t xml:space="preserve">because of concerns within the Vietnam </w:t>
      </w:r>
      <w:r w:rsidR="00A524B3">
        <w:t>G</w:t>
      </w:r>
      <w:r w:rsidR="005F606C" w:rsidRPr="001B3B93">
        <w:t xml:space="preserve">overnment about its relevance and likely effectiveness </w:t>
      </w:r>
      <w:r w:rsidR="00EA6B1F" w:rsidRPr="001B3B93">
        <w:t xml:space="preserve">(Box </w:t>
      </w:r>
      <w:r w:rsidR="003529C8">
        <w:t>8</w:t>
      </w:r>
      <w:r w:rsidR="00EA6B1F" w:rsidRPr="001B3B93">
        <w:t xml:space="preserve">). </w:t>
      </w:r>
      <w:r w:rsidR="003060DB">
        <w:t>While there will always be a balance to be struck between pursuing Australian cross-cutting objectives and aligning with partner preferences</w:t>
      </w:r>
      <w:r w:rsidR="00811056" w:rsidRPr="001B3B93">
        <w:t xml:space="preserve">, as economic partnerships mature, it is </w:t>
      </w:r>
      <w:r w:rsidR="004C7561" w:rsidRPr="001B3B93">
        <w:t xml:space="preserve">likely </w:t>
      </w:r>
      <w:r w:rsidR="00811056" w:rsidRPr="001B3B93">
        <w:t>that Australia</w:t>
      </w:r>
      <w:r w:rsidR="00B939FA">
        <w:t xml:space="preserve"> will</w:t>
      </w:r>
      <w:r w:rsidR="00811056" w:rsidRPr="001B3B93">
        <w:t xml:space="preserve"> pursu</w:t>
      </w:r>
      <w:r w:rsidR="006470DB">
        <w:t>e</w:t>
      </w:r>
      <w:r w:rsidR="00811056" w:rsidRPr="001B3B93">
        <w:t xml:space="preserve"> </w:t>
      </w:r>
      <w:r w:rsidR="004C7561" w:rsidRPr="001B3B93">
        <w:t>such objectives in a manner that is more responsive to the expressed needs and priorities of partners.</w:t>
      </w:r>
    </w:p>
    <w:p w14:paraId="57FD8F3F" w14:textId="3E14392D" w:rsidR="00B53D27" w:rsidRPr="001B3B93" w:rsidRDefault="00B53D27" w:rsidP="00B53D27">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lastRenderedPageBreak/>
        <w:t xml:space="preserve">Box </w:t>
      </w:r>
      <w:r w:rsidR="003529C8">
        <w:t>8</w:t>
      </w:r>
      <w:r w:rsidRPr="001B3B93">
        <w:t xml:space="preserve">: Gender equality and economic partnerships </w:t>
      </w:r>
    </w:p>
    <w:p w14:paraId="1AB06BF2" w14:textId="2C91181B" w:rsidR="00E606A5" w:rsidRPr="001B3B93" w:rsidRDefault="00624382" w:rsidP="00E606A5">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 xml:space="preserve">Vietnam </w:t>
      </w:r>
      <w:r w:rsidR="00A524B3">
        <w:t>G</w:t>
      </w:r>
      <w:r>
        <w:t>overnment stakeholders raised concerns with the</w:t>
      </w:r>
      <w:r w:rsidR="00B939FA">
        <w:t xml:space="preserve"> </w:t>
      </w:r>
      <w:r>
        <w:t xml:space="preserve">evaluation team about </w:t>
      </w:r>
      <w:r w:rsidR="00B53D27" w:rsidRPr="001B3B93">
        <w:t xml:space="preserve">a new </w:t>
      </w:r>
      <w:r>
        <w:t xml:space="preserve">DFAT </w:t>
      </w:r>
      <w:r w:rsidR="00B53D27" w:rsidRPr="001B3B93">
        <w:t>program, A</w:t>
      </w:r>
      <w:r w:rsidR="00CC632E" w:rsidRPr="001B3B93">
        <w:t>US</w:t>
      </w:r>
      <w:r w:rsidR="00B53D27" w:rsidRPr="001B3B93">
        <w:t xml:space="preserve">4Equality, </w:t>
      </w:r>
      <w:r>
        <w:t xml:space="preserve">which </w:t>
      </w:r>
      <w:r w:rsidR="00B53D27" w:rsidRPr="001B3B93">
        <w:t>target</w:t>
      </w:r>
      <w:r>
        <w:t>s</w:t>
      </w:r>
      <w:r w:rsidR="00B53D27" w:rsidRPr="001B3B93">
        <w:t xml:space="preserve"> ethnic minority women. </w:t>
      </w:r>
      <w:r>
        <w:t xml:space="preserve">While </w:t>
      </w:r>
      <w:r w:rsidR="00B53D27" w:rsidRPr="001B3B93">
        <w:t>recognis</w:t>
      </w:r>
      <w:r>
        <w:t>ing</w:t>
      </w:r>
      <w:r w:rsidR="00B53D27" w:rsidRPr="001B3B93">
        <w:t xml:space="preserve"> that </w:t>
      </w:r>
      <w:r w:rsidR="00441B6D" w:rsidRPr="001B3B93">
        <w:t xml:space="preserve">Australia’s investment on </w:t>
      </w:r>
      <w:r w:rsidR="00B53D27" w:rsidRPr="001B3B93">
        <w:t xml:space="preserve">gender equality was a priority for Australia, </w:t>
      </w:r>
      <w:r>
        <w:t xml:space="preserve">they </w:t>
      </w:r>
      <w:r w:rsidR="00B53D27" w:rsidRPr="001B3B93">
        <w:t xml:space="preserve">suggested the program was not a response to Vietnam </w:t>
      </w:r>
      <w:r w:rsidR="00A524B3">
        <w:t>G</w:t>
      </w:r>
      <w:r w:rsidR="00B53D27" w:rsidRPr="001B3B93">
        <w:t>overnment priorities and therefore inconsistent with an economic partnership.</w:t>
      </w:r>
    </w:p>
    <w:p w14:paraId="3D417F16" w14:textId="1E028C20" w:rsidR="00B53D27" w:rsidRDefault="00624382" w:rsidP="00B53D27">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 xml:space="preserve">While this program was not part of </w:t>
      </w:r>
      <w:r w:rsidR="00B939FA">
        <w:t xml:space="preserve">the evaluation </w:t>
      </w:r>
      <w:r>
        <w:t xml:space="preserve">sample, the feedback </w:t>
      </w:r>
      <w:r w:rsidR="00B53D27" w:rsidRPr="001B3B93">
        <w:t>raises the question of how to reconcile Australia’s cross-cutting policy priorities with economic partnerships</w:t>
      </w:r>
      <w:r w:rsidR="00A64E82" w:rsidRPr="001B3B93">
        <w:t xml:space="preserve">, especially where they are inconsistent with stated </w:t>
      </w:r>
      <w:r w:rsidR="00B939FA">
        <w:t xml:space="preserve">partner </w:t>
      </w:r>
      <w:r w:rsidR="00A64E82" w:rsidRPr="001B3B93">
        <w:t>objectives</w:t>
      </w:r>
      <w:r w:rsidR="00B53D27" w:rsidRPr="001B3B93">
        <w:t xml:space="preserve">. </w:t>
      </w:r>
      <w:r w:rsidR="003060DB">
        <w:t>A</w:t>
      </w:r>
      <w:r w:rsidR="00A64E82" w:rsidRPr="001B3B93">
        <w:t xml:space="preserve">s </w:t>
      </w:r>
      <w:r w:rsidR="003060DB">
        <w:t xml:space="preserve">its economic </w:t>
      </w:r>
      <w:r w:rsidR="00A64E82" w:rsidRPr="001B3B93">
        <w:t xml:space="preserve">partnerships mature, </w:t>
      </w:r>
      <w:r w:rsidR="00B53D27" w:rsidRPr="001B3B93">
        <w:t xml:space="preserve">Australia </w:t>
      </w:r>
      <w:r w:rsidR="003060DB">
        <w:t xml:space="preserve">may </w:t>
      </w:r>
      <w:r w:rsidR="00A64E82" w:rsidRPr="001B3B93">
        <w:t xml:space="preserve">need to adapt its methods for </w:t>
      </w:r>
      <w:r w:rsidR="009B2B42" w:rsidRPr="001B3B93">
        <w:t>identifying</w:t>
      </w:r>
      <w:r w:rsidR="00441B6D" w:rsidRPr="001B3B93">
        <w:t xml:space="preserve"> investment priorities </w:t>
      </w:r>
      <w:r w:rsidR="00A64E82" w:rsidRPr="001B3B93">
        <w:t>so they fit more comfortably within a partner</w:t>
      </w:r>
      <w:r w:rsidR="00126596">
        <w:t>-</w:t>
      </w:r>
      <w:r w:rsidR="00A64E82" w:rsidRPr="001B3B93">
        <w:t>led paradigm</w:t>
      </w:r>
      <w:r w:rsidR="00B53D27" w:rsidRPr="001B3B93">
        <w:t xml:space="preserve">. </w:t>
      </w:r>
      <w:r w:rsidR="00CC632E" w:rsidRPr="001B3B93">
        <w:t xml:space="preserve">Rather than going back to direct delivery of results, </w:t>
      </w:r>
      <w:r w:rsidR="00B53D27" w:rsidRPr="001B3B93">
        <w:t xml:space="preserve">Australia should </w:t>
      </w:r>
      <w:r w:rsidR="00CC632E" w:rsidRPr="001B3B93">
        <w:t xml:space="preserve">work with and through </w:t>
      </w:r>
      <w:r w:rsidR="00B53D27" w:rsidRPr="001B3B93">
        <w:t xml:space="preserve">domestic reform champions, through research, advocacy and coalition building. </w:t>
      </w:r>
      <w:r w:rsidR="00CC632E" w:rsidRPr="001B3B93">
        <w:t>Integrating gender equality and other cross-cutting objectives into wider economic governance programs, while giving them licence to pursue them in contextually appropriate ways, would offer greater prospect of success.</w:t>
      </w:r>
    </w:p>
    <w:p w14:paraId="14B532F5" w14:textId="0A28C2EB" w:rsidR="00B53D27" w:rsidRPr="001B3B93" w:rsidRDefault="00EA2B6E" w:rsidP="00252555">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3D3BD9">
        <w:t>Source</w:t>
      </w:r>
      <w:r w:rsidR="00D37461" w:rsidRPr="003D3BD9">
        <w:t>:</w:t>
      </w:r>
      <w:r w:rsidR="00F2515C" w:rsidRPr="003D3BD9">
        <w:t xml:space="preserve"> Key stakeholder interviews in Vietnam</w:t>
      </w:r>
      <w:r w:rsidR="003920A9" w:rsidRPr="003D3BD9">
        <w:t>.</w:t>
      </w:r>
    </w:p>
    <w:p w14:paraId="06708AD1" w14:textId="77777777" w:rsidR="007C12DD" w:rsidRPr="001B3B93" w:rsidRDefault="007C12DD" w:rsidP="003D3BD9">
      <w:pPr>
        <w:pStyle w:val="Heading3"/>
      </w:pPr>
      <w:bookmarkStart w:id="89" w:name="_Toc527713007"/>
      <w:r w:rsidRPr="001B3B93">
        <w:t>Key messages</w:t>
      </w:r>
      <w:bookmarkEnd w:id="89"/>
    </w:p>
    <w:p w14:paraId="73EC3468" w14:textId="263628E0" w:rsidR="00AB3BFB" w:rsidRDefault="00AB3BFB" w:rsidP="000C55B6">
      <w:pPr>
        <w:pStyle w:val="ListParagraph"/>
        <w:numPr>
          <w:ilvl w:val="0"/>
          <w:numId w:val="15"/>
        </w:numPr>
        <w:ind w:left="714" w:hanging="357"/>
        <w:contextualSpacing w:val="0"/>
      </w:pPr>
      <w:r>
        <w:t>By providing evidence-based inputs to support local reforms and political coalitions, Australian aid is at times able to achieve some highly significant results.</w:t>
      </w:r>
      <w:r w:rsidRPr="00AB3BFB">
        <w:t xml:space="preserve"> However, policy and institutional reform are subject to factors beyond Australia’s control and are never guaranteed.</w:t>
      </w:r>
    </w:p>
    <w:p w14:paraId="268A350A" w14:textId="380F64DF" w:rsidR="007C12DD" w:rsidRDefault="00AB3BFB" w:rsidP="000C55B6">
      <w:pPr>
        <w:pStyle w:val="ListParagraph"/>
        <w:numPr>
          <w:ilvl w:val="0"/>
          <w:numId w:val="15"/>
        </w:numPr>
        <w:ind w:left="714" w:hanging="357"/>
        <w:contextualSpacing w:val="0"/>
      </w:pPr>
      <w:r>
        <w:t>There are examples where using Australian aid to pilot economic and social reforms has leveraged far larger investments from the MDBs and national budgets.</w:t>
      </w:r>
    </w:p>
    <w:p w14:paraId="664CCFD8" w14:textId="51F598F6" w:rsidR="00F3285F" w:rsidRPr="000422A9" w:rsidRDefault="00360292" w:rsidP="002D3EDD">
      <w:pPr>
        <w:pStyle w:val="Heading3"/>
      </w:pPr>
      <w:bookmarkStart w:id="90" w:name="_Toc527713008"/>
      <w:r w:rsidRPr="001B3B93">
        <w:t xml:space="preserve">What </w:t>
      </w:r>
      <w:r w:rsidRPr="00241DA6">
        <w:t xml:space="preserve">approaches </w:t>
      </w:r>
      <w:r w:rsidR="002D3EDD" w:rsidRPr="00241DA6">
        <w:t>have proved effective?</w:t>
      </w:r>
      <w:bookmarkEnd w:id="90"/>
    </w:p>
    <w:p w14:paraId="2BCE7D84" w14:textId="7BD08D4C" w:rsidR="002D3EDD" w:rsidRPr="000422A9" w:rsidRDefault="00B939FA" w:rsidP="00F3285F">
      <w:r w:rsidRPr="009A19E7">
        <w:t>T</w:t>
      </w:r>
      <w:r w:rsidR="002D3EDD" w:rsidRPr="009A19E7">
        <w:t xml:space="preserve">his section </w:t>
      </w:r>
      <w:r w:rsidR="00E05AF1" w:rsidRPr="009A19E7">
        <w:t>consider</w:t>
      </w:r>
      <w:r w:rsidRPr="00D420C4">
        <w:t>s</w:t>
      </w:r>
      <w:r w:rsidR="00E05AF1" w:rsidRPr="00D420C4">
        <w:t xml:space="preserve"> the</w:t>
      </w:r>
      <w:r w:rsidR="002D3EDD" w:rsidRPr="00D420C4">
        <w:t xml:space="preserve"> approaches used </w:t>
      </w:r>
      <w:r w:rsidR="00BC48F2" w:rsidRPr="004C5AC8">
        <w:t xml:space="preserve">by the aid program </w:t>
      </w:r>
      <w:r w:rsidR="002D3EDD" w:rsidRPr="004C5AC8">
        <w:t xml:space="preserve">to support policy </w:t>
      </w:r>
      <w:r w:rsidR="007966EC" w:rsidRPr="00F0022C">
        <w:t>and institutional reform and leverage other development finance</w:t>
      </w:r>
      <w:r w:rsidRPr="000422A9">
        <w:t>. It also</w:t>
      </w:r>
      <w:r w:rsidR="00200C76" w:rsidRPr="000422A9">
        <w:t xml:space="preserve"> summaris</w:t>
      </w:r>
      <w:r w:rsidRPr="000422A9">
        <w:t>es</w:t>
      </w:r>
      <w:r w:rsidR="00200C76" w:rsidRPr="000422A9">
        <w:t xml:space="preserve"> lessons from program documents and stakeholders</w:t>
      </w:r>
      <w:r w:rsidR="007966EC" w:rsidRPr="000422A9">
        <w:t xml:space="preserve"> about ways of working that have proved effective</w:t>
      </w:r>
      <w:r w:rsidR="002D3EDD" w:rsidRPr="000422A9">
        <w:t>.</w:t>
      </w:r>
    </w:p>
    <w:p w14:paraId="2BB207F2" w14:textId="44700A75" w:rsidR="002D3EDD" w:rsidRPr="001B3B93" w:rsidRDefault="002D3EDD" w:rsidP="00F3285F">
      <w:r w:rsidRPr="000422A9">
        <w:t xml:space="preserve">DFAT’s experience across the two countries suggests that </w:t>
      </w:r>
      <w:r w:rsidR="003373E2" w:rsidRPr="000422A9">
        <w:t xml:space="preserve">no </w:t>
      </w:r>
      <w:r w:rsidR="00200C76" w:rsidRPr="000422A9">
        <w:t xml:space="preserve">single </w:t>
      </w:r>
      <w:r w:rsidR="006470DB" w:rsidRPr="000422A9">
        <w:t>approach</w:t>
      </w:r>
      <w:r w:rsidR="00FE4F13" w:rsidRPr="000422A9">
        <w:t xml:space="preserve"> </w:t>
      </w:r>
      <w:r w:rsidR="00200C76" w:rsidRPr="000422A9">
        <w:t xml:space="preserve">is best suited </w:t>
      </w:r>
      <w:r w:rsidR="003373E2" w:rsidRPr="000422A9">
        <w:t xml:space="preserve">for delivering knowledge-based assistance. The Indonesia </w:t>
      </w:r>
      <w:r w:rsidR="00BC48F2" w:rsidRPr="000422A9">
        <w:t xml:space="preserve">program </w:t>
      </w:r>
      <w:r w:rsidR="003373E2" w:rsidRPr="000422A9">
        <w:t>us</w:t>
      </w:r>
      <w:r w:rsidR="00D320C6" w:rsidRPr="000422A9">
        <w:t>es</w:t>
      </w:r>
      <w:r w:rsidR="003373E2" w:rsidRPr="000422A9">
        <w:t xml:space="preserve"> a range of approaches, </w:t>
      </w:r>
      <w:r w:rsidR="00396626" w:rsidRPr="000422A9">
        <w:t xml:space="preserve">enabling it to </w:t>
      </w:r>
      <w:r w:rsidR="00FD3554" w:rsidRPr="000422A9">
        <w:t>engage in multiple policy areas</w:t>
      </w:r>
      <w:r w:rsidR="00200C76" w:rsidRPr="000422A9">
        <w:t xml:space="preserve"> in different ways</w:t>
      </w:r>
      <w:r w:rsidR="00FD3554" w:rsidRPr="000422A9">
        <w:t xml:space="preserve">. The </w:t>
      </w:r>
      <w:r w:rsidR="00431C23" w:rsidRPr="000422A9">
        <w:t>smaller</w:t>
      </w:r>
      <w:r w:rsidR="00431C23" w:rsidRPr="001B3B93">
        <w:t xml:space="preserve"> </w:t>
      </w:r>
      <w:r w:rsidR="00FD3554" w:rsidRPr="001B3B93">
        <w:t>Vietnam portfolio is more selective</w:t>
      </w:r>
      <w:r w:rsidR="00200C76" w:rsidRPr="001B3B93">
        <w:t xml:space="preserve">. </w:t>
      </w:r>
    </w:p>
    <w:p w14:paraId="67E7A455" w14:textId="77777777" w:rsidR="00FD3554" w:rsidRPr="001B3B93" w:rsidRDefault="00FD3554" w:rsidP="00F3285F">
      <w:pPr>
        <w:rPr>
          <w:i/>
          <w:color w:val="296C60" w:themeColor="background2" w:themeShade="80"/>
          <w:szCs w:val="23"/>
        </w:rPr>
      </w:pPr>
      <w:r w:rsidRPr="001B3B93">
        <w:rPr>
          <w:i/>
          <w:color w:val="296C60" w:themeColor="background2" w:themeShade="80"/>
          <w:szCs w:val="23"/>
        </w:rPr>
        <w:t>Economic governance facilities</w:t>
      </w:r>
    </w:p>
    <w:p w14:paraId="3C982D6A" w14:textId="3C600E61" w:rsidR="00772412" w:rsidRDefault="00CB73C6" w:rsidP="00F3285F">
      <w:r w:rsidRPr="001B3B93">
        <w:t xml:space="preserve">Economic governance </w:t>
      </w:r>
      <w:r w:rsidR="00200C76" w:rsidRPr="001B3B93">
        <w:t xml:space="preserve">facilities </w:t>
      </w:r>
      <w:r w:rsidR="002A35BC">
        <w:t xml:space="preserve">(Box </w:t>
      </w:r>
      <w:r w:rsidR="003529C8">
        <w:t>9</w:t>
      </w:r>
      <w:r w:rsidR="002A35BC">
        <w:t xml:space="preserve"> for examples) </w:t>
      </w:r>
      <w:r w:rsidR="00200C76" w:rsidRPr="001B3B93">
        <w:t xml:space="preserve">enable DFAT to deploy technical assistance </w:t>
      </w:r>
      <w:r w:rsidRPr="001B3B93">
        <w:t xml:space="preserve">to support economic or social policy reform, making them well suited to </w:t>
      </w:r>
      <w:r w:rsidR="004C7561" w:rsidRPr="001B3B93">
        <w:t xml:space="preserve">supporting </w:t>
      </w:r>
      <w:r w:rsidRPr="001B3B93">
        <w:t xml:space="preserve">economic partnerships. </w:t>
      </w:r>
      <w:r w:rsidR="00D21070" w:rsidRPr="001B3B93">
        <w:t>Th</w:t>
      </w:r>
      <w:r w:rsidR="00B939FA">
        <w:t>is</w:t>
      </w:r>
      <w:r w:rsidR="00D21070" w:rsidRPr="001B3B93">
        <w:t xml:space="preserve"> model permits flexible use of funds, within an overarching set of objectives. </w:t>
      </w:r>
      <w:r w:rsidR="00B53124" w:rsidRPr="001B3B93">
        <w:t>A</w:t>
      </w:r>
      <w:r w:rsidR="0087043F" w:rsidRPr="001B3B93">
        <w:t xml:space="preserve">ctivities </w:t>
      </w:r>
      <w:r w:rsidR="00B53124" w:rsidRPr="001B3B93">
        <w:t xml:space="preserve">can be </w:t>
      </w:r>
      <w:r w:rsidR="008E7A55" w:rsidRPr="001B3B93">
        <w:t xml:space="preserve">planned </w:t>
      </w:r>
      <w:r w:rsidR="0087043F" w:rsidRPr="001B3B93">
        <w:t xml:space="preserve">on an annual basis, </w:t>
      </w:r>
      <w:r w:rsidR="00B53124" w:rsidRPr="001B3B93">
        <w:t xml:space="preserve">and </w:t>
      </w:r>
      <w:r w:rsidR="0087043F" w:rsidRPr="001B3B93">
        <w:t>funds set aside for reacting quickly to requests for support or short-term opportunities.</w:t>
      </w:r>
    </w:p>
    <w:p w14:paraId="4C14836B" w14:textId="77777777" w:rsidR="00772412" w:rsidRDefault="00772412">
      <w:r>
        <w:br w:type="page"/>
      </w:r>
    </w:p>
    <w:p w14:paraId="6E93EFB6" w14:textId="77777777" w:rsidR="0087043F" w:rsidRPr="001B3B93" w:rsidRDefault="0087043F" w:rsidP="00F3285F"/>
    <w:p w14:paraId="351321DC" w14:textId="61FB20D5" w:rsidR="000D5939" w:rsidRPr="001B3B93" w:rsidRDefault="000D5939" w:rsidP="000D5939">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E405D7">
        <w:t>Box</w:t>
      </w:r>
      <w:r w:rsidR="001711DD" w:rsidRPr="00E405D7">
        <w:t xml:space="preserve"> </w:t>
      </w:r>
      <w:r w:rsidR="003529C8" w:rsidRPr="00E405D7">
        <w:t>9</w:t>
      </w:r>
      <w:r w:rsidRPr="00E405D7">
        <w:t>: Economic governance facilities</w:t>
      </w:r>
    </w:p>
    <w:p w14:paraId="3A06D368" w14:textId="07ED6D77" w:rsidR="000D5939" w:rsidRPr="001B3B93" w:rsidRDefault="000D5939" w:rsidP="000D5939">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rPr>
          <w:b/>
        </w:rPr>
        <w:t xml:space="preserve">AIPEG </w:t>
      </w:r>
      <w:r w:rsidR="00E405D7">
        <w:rPr>
          <w:b/>
        </w:rPr>
        <w:t>(</w:t>
      </w:r>
      <w:r w:rsidR="00AE4FE6">
        <w:rPr>
          <w:b/>
        </w:rPr>
        <w:t>AUD</w:t>
      </w:r>
      <w:r w:rsidR="00EF74EA">
        <w:rPr>
          <w:b/>
        </w:rPr>
        <w:t>112</w:t>
      </w:r>
      <w:r w:rsidRPr="001B3B93">
        <w:rPr>
          <w:b/>
        </w:rPr>
        <w:t xml:space="preserve"> million; 2009</w:t>
      </w:r>
      <w:r w:rsidR="00B939FA">
        <w:rPr>
          <w:b/>
        </w:rPr>
        <w:t>–</w:t>
      </w:r>
      <w:r w:rsidRPr="001B3B93">
        <w:rPr>
          <w:b/>
        </w:rPr>
        <w:t>18)</w:t>
      </w:r>
      <w:r w:rsidR="00B939FA">
        <w:t>. This</w:t>
      </w:r>
      <w:r w:rsidRPr="001B3B93">
        <w:rPr>
          <w:b/>
        </w:rPr>
        <w:t xml:space="preserve"> </w:t>
      </w:r>
      <w:r w:rsidRPr="001B3B93">
        <w:t xml:space="preserve">is the fourth in a series of technical assistance facilities </w:t>
      </w:r>
      <w:r w:rsidR="006470DB">
        <w:t xml:space="preserve">first </w:t>
      </w:r>
      <w:r w:rsidR="00B865BC" w:rsidRPr="001B3B93">
        <w:t>established</w:t>
      </w:r>
      <w:r w:rsidRPr="001B3B93">
        <w:t xml:space="preserve"> </w:t>
      </w:r>
      <w:r w:rsidR="00B865BC" w:rsidRPr="001B3B93">
        <w:t xml:space="preserve">in </w:t>
      </w:r>
      <w:r w:rsidRPr="001B3B93">
        <w:t>1999</w:t>
      </w:r>
      <w:r w:rsidR="00B865BC" w:rsidRPr="001B3B93">
        <w:t xml:space="preserve"> </w:t>
      </w:r>
      <w:r w:rsidRPr="001B3B93">
        <w:t>to help Indonesia recover from the Asian financial crisis. It work</w:t>
      </w:r>
      <w:r w:rsidR="004A3DFF" w:rsidRPr="001B3B93">
        <w:t>s</w:t>
      </w:r>
      <w:r w:rsidRPr="001B3B93">
        <w:t xml:space="preserve"> </w:t>
      </w:r>
      <w:r w:rsidR="004A3DFF" w:rsidRPr="001B3B93">
        <w:t xml:space="preserve">in </w:t>
      </w:r>
      <w:r w:rsidRPr="001B3B93">
        <w:t xml:space="preserve">five </w:t>
      </w:r>
      <w:r w:rsidR="004A3DFF" w:rsidRPr="001B3B93">
        <w:t>areas</w:t>
      </w:r>
      <w:r w:rsidR="00B939FA">
        <w:t>—</w:t>
      </w:r>
      <w:r w:rsidRPr="001B3B93">
        <w:t>efficient markets, finance stability, revenue mobilisation, improved public spending</w:t>
      </w:r>
      <w:r w:rsidR="00B939FA">
        <w:t>,</w:t>
      </w:r>
      <w:r w:rsidRPr="001B3B93">
        <w:t xml:space="preserve"> and economic policy. It also has resources </w:t>
      </w:r>
      <w:r w:rsidR="004A3DFF" w:rsidRPr="001B3B93">
        <w:t xml:space="preserve">for new or </w:t>
      </w:r>
      <w:r w:rsidRPr="001B3B93">
        <w:t>emerging issues</w:t>
      </w:r>
      <w:r w:rsidR="006470DB">
        <w:t>,</w:t>
      </w:r>
      <w:r w:rsidRPr="001B3B93">
        <w:t xml:space="preserve"> </w:t>
      </w:r>
      <w:r w:rsidR="004A3DFF" w:rsidRPr="001B3B93">
        <w:t>if warranted</w:t>
      </w:r>
      <w:r w:rsidRPr="001B3B93">
        <w:t xml:space="preserve">. It combines in-house expertise with the ability to engage short-term experts </w:t>
      </w:r>
      <w:r w:rsidR="006470DB">
        <w:t>as</w:t>
      </w:r>
      <w:r w:rsidRPr="001B3B93">
        <w:t xml:space="preserve"> required. </w:t>
      </w:r>
      <w:r w:rsidR="00B865BC" w:rsidRPr="001B3B93">
        <w:t>It supports T</w:t>
      </w:r>
      <w:r w:rsidR="001711DD">
        <w:t>i</w:t>
      </w:r>
      <w:r w:rsidR="00B865BC" w:rsidRPr="001B3B93">
        <w:t>m Asistensi</w:t>
      </w:r>
      <w:r w:rsidR="00B939FA">
        <w:t>, the</w:t>
      </w:r>
      <w:r w:rsidR="00EF6C2F">
        <w:t xml:space="preserve"> </w:t>
      </w:r>
      <w:r w:rsidR="001711DD">
        <w:t>Assistance Team</w:t>
      </w:r>
      <w:r w:rsidR="00B939FA">
        <w:t>, which is</w:t>
      </w:r>
      <w:r w:rsidR="00B865BC" w:rsidRPr="001B3B93">
        <w:t xml:space="preserve"> a group of Indonesian economists </w:t>
      </w:r>
      <w:r w:rsidR="00B939FA">
        <w:t>providing</w:t>
      </w:r>
      <w:r w:rsidR="00B865BC" w:rsidRPr="001B3B93">
        <w:t xml:space="preserve"> economic policy advice to the government, working at arm’s length from AIPEG.</w:t>
      </w:r>
      <w:r w:rsidR="007F6AC4" w:rsidRPr="001B3B93">
        <w:t xml:space="preserve"> </w:t>
      </w:r>
      <w:r w:rsidR="00B865BC" w:rsidRPr="001B3B93">
        <w:t>I</w:t>
      </w:r>
      <w:r w:rsidRPr="001B3B93">
        <w:t>t partners with eight ministries and agencies and has undertaken more than 300 activities.</w:t>
      </w:r>
    </w:p>
    <w:p w14:paraId="32E9187F" w14:textId="15E80794" w:rsidR="000D5939" w:rsidRPr="001B3B93" w:rsidRDefault="000D5939" w:rsidP="000D5939">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rPr>
          <w:b/>
        </w:rPr>
        <w:t>RCV</w:t>
      </w:r>
      <w:r w:rsidR="00E405D7">
        <w:rPr>
          <w:b/>
        </w:rPr>
        <w:t xml:space="preserve"> (</w:t>
      </w:r>
      <w:r w:rsidR="00AE4FE6">
        <w:rPr>
          <w:b/>
        </w:rPr>
        <w:t>AUD</w:t>
      </w:r>
      <w:r w:rsidRPr="001B3B93">
        <w:rPr>
          <w:b/>
        </w:rPr>
        <w:t>3.6 million; 2014</w:t>
      </w:r>
      <w:r w:rsidR="00B939FA">
        <w:rPr>
          <w:b/>
        </w:rPr>
        <w:t>–</w:t>
      </w:r>
      <w:r w:rsidRPr="001B3B93">
        <w:rPr>
          <w:b/>
        </w:rPr>
        <w:t>17)</w:t>
      </w:r>
      <w:r w:rsidR="00B939FA">
        <w:t>. This</w:t>
      </w:r>
      <w:r w:rsidRPr="001B3B93">
        <w:rPr>
          <w:b/>
        </w:rPr>
        <w:t xml:space="preserve"> </w:t>
      </w:r>
      <w:r w:rsidRPr="001B3B93">
        <w:t xml:space="preserve">was established to support the </w:t>
      </w:r>
      <w:r w:rsidR="00646E08">
        <w:t xml:space="preserve">Vietnam </w:t>
      </w:r>
      <w:r w:rsidRPr="001B3B93">
        <w:t>Government</w:t>
      </w:r>
      <w:r w:rsidR="00646E08">
        <w:t>’s</w:t>
      </w:r>
      <w:r w:rsidRPr="001B3B93">
        <w:t xml:space="preserve"> Master Plan on Economic Restructuring. It works in three areas</w:t>
      </w:r>
      <w:r w:rsidR="00B939FA">
        <w:t>—</w:t>
      </w:r>
      <w:r w:rsidRPr="001B3B93">
        <w:t>increased business competition</w:t>
      </w:r>
      <w:r w:rsidR="00B939FA">
        <w:t>,</w:t>
      </w:r>
      <w:r w:rsidRPr="001B3B93">
        <w:t xml:space="preserve"> stronger competition institutions</w:t>
      </w:r>
      <w:r w:rsidR="00B939FA">
        <w:t>,</w:t>
      </w:r>
      <w:r w:rsidRPr="001B3B93">
        <w:t xml:space="preserve"> and restructuring the rural economy</w:t>
      </w:r>
      <w:r w:rsidR="00B939FA">
        <w:t>. It is</w:t>
      </w:r>
      <w:r w:rsidRPr="001B3B93">
        <w:t xml:space="preserve"> a flexible fund </w:t>
      </w:r>
      <w:r w:rsidR="00B939FA">
        <w:t>that can</w:t>
      </w:r>
      <w:r w:rsidRPr="001B3B93">
        <w:t xml:space="preserve"> respond to emerging issues. Its counterparts include the Vietnam Competition Authority and the Institute for Policy and Strategy in Agriculture and Rural Development</w:t>
      </w:r>
      <w:r w:rsidR="00B939FA">
        <w:t>. It</w:t>
      </w:r>
      <w:r w:rsidRPr="001B3B93">
        <w:t xml:space="preserve"> partners with the Central Institute for Economic Management</w:t>
      </w:r>
      <w:r w:rsidR="00B939FA">
        <w:t>, a government-affiliated economic think tank</w:t>
      </w:r>
      <w:r w:rsidRPr="001B3B93">
        <w:t xml:space="preserve">. The </w:t>
      </w:r>
      <w:r w:rsidR="000B6D04">
        <w:t xml:space="preserve">Productivity Commission and the </w:t>
      </w:r>
      <w:r w:rsidRPr="001B3B93">
        <w:t>Australian Competition and Consumer Commission provide peer support. Its objectives include improvements in Vietnam’s Global Competitiveness Index score, its labour productivity growth and its Corruption Perceptions Index score.</w:t>
      </w:r>
    </w:p>
    <w:p w14:paraId="335D8034" w14:textId="2CE0A8BD" w:rsidR="000D5939" w:rsidRPr="0066268F" w:rsidRDefault="000D5939" w:rsidP="000D5939">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rPr>
          <w:b/>
        </w:rPr>
        <w:t>MA</w:t>
      </w:r>
      <w:r w:rsidR="0065129A">
        <w:rPr>
          <w:b/>
        </w:rPr>
        <w:t>H</w:t>
      </w:r>
      <w:r w:rsidRPr="001B3B93">
        <w:rPr>
          <w:b/>
        </w:rPr>
        <w:t>KOTA</w:t>
      </w:r>
      <w:r w:rsidR="00E405D7">
        <w:rPr>
          <w:b/>
        </w:rPr>
        <w:t xml:space="preserve"> (</w:t>
      </w:r>
      <w:r w:rsidR="00AE4FE6">
        <w:rPr>
          <w:b/>
        </w:rPr>
        <w:t>AUD</w:t>
      </w:r>
      <w:r w:rsidR="009333D9">
        <w:rPr>
          <w:b/>
        </w:rPr>
        <w:t>62</w:t>
      </w:r>
      <w:r w:rsidRPr="001B3B93">
        <w:rPr>
          <w:b/>
        </w:rPr>
        <w:t xml:space="preserve"> million</w:t>
      </w:r>
      <w:r w:rsidR="00534764">
        <w:rPr>
          <w:b/>
        </w:rPr>
        <w:t xml:space="preserve">; </w:t>
      </w:r>
      <w:r w:rsidR="00534764" w:rsidRPr="001B3B93">
        <w:rPr>
          <w:b/>
        </w:rPr>
        <w:t>2016</w:t>
      </w:r>
      <w:r w:rsidR="00B939FA">
        <w:rPr>
          <w:b/>
        </w:rPr>
        <w:t>–</w:t>
      </w:r>
      <w:r w:rsidR="00534764" w:rsidRPr="001B3B93">
        <w:rPr>
          <w:b/>
        </w:rPr>
        <w:t>19</w:t>
      </w:r>
      <w:r w:rsidRPr="001B3B93">
        <w:rPr>
          <w:b/>
        </w:rPr>
        <w:t>)</w:t>
      </w:r>
      <w:r w:rsidR="00B939FA">
        <w:t>. This</w:t>
      </w:r>
      <w:r w:rsidRPr="001B3B93">
        <w:t xml:space="preserve"> is a variation on the model, </w:t>
      </w:r>
      <w:r w:rsidRPr="0066268F">
        <w:t>which involve</w:t>
      </w:r>
      <w:r w:rsidR="006470DB">
        <w:t>s</w:t>
      </w:r>
      <w:r w:rsidRPr="0066268F">
        <w:t xml:space="preserve"> DFAT funding the Vice President’s National Team for Accelerating Poverty Reduction</w:t>
      </w:r>
      <w:r w:rsidR="00B939FA">
        <w:t>,</w:t>
      </w:r>
      <w:r w:rsidRPr="0066268F">
        <w:t xml:space="preserve"> a team of Indonesian experts acting as an </w:t>
      </w:r>
      <w:r w:rsidR="00B865BC" w:rsidRPr="0066268F">
        <w:t>in-house</w:t>
      </w:r>
      <w:r w:rsidRPr="0066268F">
        <w:t xml:space="preserve"> government think tank on social policy. Australian support funds salaries and the development of a unified database to support the targeting of social protection.</w:t>
      </w:r>
    </w:p>
    <w:p w14:paraId="01A96B38" w14:textId="6E766A61" w:rsidR="00EA2B6E" w:rsidRPr="001F40CB" w:rsidRDefault="00EA2B6E" w:rsidP="000D5939">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F40CB">
        <w:t>Source:</w:t>
      </w:r>
      <w:r w:rsidR="001711DD" w:rsidRPr="001F40CB">
        <w:t xml:space="preserve"> Program documents</w:t>
      </w:r>
      <w:r w:rsidR="003920A9" w:rsidRPr="001F40CB">
        <w:t>.</w:t>
      </w:r>
    </w:p>
    <w:p w14:paraId="250C09FB" w14:textId="77777777" w:rsidR="000D5939" w:rsidRPr="001B3B93" w:rsidRDefault="000D5939" w:rsidP="00EB32CF">
      <w:pPr>
        <w:rPr>
          <w:b/>
        </w:rPr>
      </w:pPr>
    </w:p>
    <w:p w14:paraId="1EC2D75E" w14:textId="55569C99" w:rsidR="00454534" w:rsidRDefault="000D5939" w:rsidP="003C162D">
      <w:r w:rsidRPr="001B3B93">
        <w:t xml:space="preserve">The three facilities described in Box </w:t>
      </w:r>
      <w:r w:rsidR="003529C8">
        <w:t>9</w:t>
      </w:r>
      <w:r w:rsidRPr="001B3B93">
        <w:t xml:space="preserve"> </w:t>
      </w:r>
      <w:r w:rsidR="001711DD">
        <w:t xml:space="preserve">were all identified by stakeholders, both in DFAT and counterpart institutions, </w:t>
      </w:r>
      <w:r w:rsidR="009F3AC1">
        <w:t>and</w:t>
      </w:r>
      <w:r w:rsidR="00B939FA">
        <w:t xml:space="preserve"> through</w:t>
      </w:r>
      <w:r w:rsidR="009F3AC1">
        <w:t xml:space="preserve"> DFAT Aid Quality Checks </w:t>
      </w:r>
      <w:r w:rsidR="001711DD">
        <w:t xml:space="preserve">as </w:t>
      </w:r>
      <w:r w:rsidR="00B939FA">
        <w:t xml:space="preserve">being </w:t>
      </w:r>
      <w:r w:rsidR="001711DD">
        <w:t xml:space="preserve">effective at providing analysis and technical advice in a flexible and politically informed manner to support policy and institutional reform. </w:t>
      </w:r>
      <w:r w:rsidR="009F3AC1">
        <w:t xml:space="preserve">Only </w:t>
      </w:r>
      <w:r w:rsidR="00454534">
        <w:t>AIPEG had undergone an external evaluation</w:t>
      </w:r>
      <w:r w:rsidR="009F3AC1">
        <w:t>.</w:t>
      </w:r>
      <w:r w:rsidR="00454534">
        <w:t xml:space="preserve"> </w:t>
      </w:r>
      <w:r w:rsidR="009F3AC1">
        <w:t xml:space="preserve">It </w:t>
      </w:r>
      <w:r w:rsidR="00454534">
        <w:t xml:space="preserve">found that </w:t>
      </w:r>
      <w:r w:rsidR="009F3AC1">
        <w:t xml:space="preserve">the facility </w:t>
      </w:r>
      <w:r w:rsidR="00B939FA">
        <w:t>‘</w:t>
      </w:r>
      <w:r w:rsidR="00454534">
        <w:t xml:space="preserve">acted as a trusted adviser to the Indonesia </w:t>
      </w:r>
      <w:r w:rsidR="00A524B3">
        <w:t>G</w:t>
      </w:r>
      <w:r w:rsidR="00454534">
        <w:t>overnment and contributed to policy in significant areas</w:t>
      </w:r>
      <w:r w:rsidR="00B939FA">
        <w:t>’</w:t>
      </w:r>
      <w:r w:rsidR="00454534">
        <w:t>, supporting Indonesia’s moves towards a more open trade and investment regime and improving financial supervision and crisis management.</w:t>
      </w:r>
      <w:r w:rsidR="00454534">
        <w:rPr>
          <w:rStyle w:val="FootnoteReference"/>
        </w:rPr>
        <w:footnoteReference w:id="68"/>
      </w:r>
    </w:p>
    <w:p w14:paraId="59E7B9C6" w14:textId="2CF4AD37" w:rsidR="000D5939" w:rsidRPr="00D420C4" w:rsidRDefault="00B939FA" w:rsidP="009F3AC1">
      <w:r>
        <w:t xml:space="preserve">It was suggested that </w:t>
      </w:r>
      <w:r w:rsidR="00EF12A8" w:rsidRPr="009A19E7">
        <w:t>t</w:t>
      </w:r>
      <w:r w:rsidR="001711DD" w:rsidRPr="009A19E7">
        <w:t>he</w:t>
      </w:r>
      <w:r w:rsidRPr="00D420C4">
        <w:t>se factors</w:t>
      </w:r>
      <w:r w:rsidR="001711DD" w:rsidRPr="00D420C4">
        <w:t xml:space="preserve"> contributed to </w:t>
      </w:r>
      <w:r w:rsidRPr="00D420C4">
        <w:t>the areas where programs had been successful</w:t>
      </w:r>
      <w:r w:rsidR="00B865BC" w:rsidRPr="00D420C4">
        <w:t>:</w:t>
      </w:r>
    </w:p>
    <w:p w14:paraId="29CEC7BC" w14:textId="69B1FE50" w:rsidR="000D5939" w:rsidRPr="001B3B93" w:rsidRDefault="003E7DA1" w:rsidP="000C55B6">
      <w:pPr>
        <w:pStyle w:val="ListParagraph"/>
        <w:numPr>
          <w:ilvl w:val="0"/>
          <w:numId w:val="20"/>
        </w:numPr>
      </w:pPr>
      <w:r w:rsidRPr="00D420C4">
        <w:rPr>
          <w:b/>
          <w:color w:val="296C60" w:themeColor="background2" w:themeShade="80"/>
        </w:rPr>
        <w:t>Well-p</w:t>
      </w:r>
      <w:r w:rsidR="000D5939" w:rsidRPr="004C5AC8">
        <w:rPr>
          <w:b/>
          <w:color w:val="296C60" w:themeColor="background2" w:themeShade="80"/>
        </w:rPr>
        <w:t>osition</w:t>
      </w:r>
      <w:r w:rsidRPr="004C5AC8">
        <w:rPr>
          <w:b/>
          <w:color w:val="296C60" w:themeColor="background2" w:themeShade="80"/>
        </w:rPr>
        <w:t>ed</w:t>
      </w:r>
      <w:r w:rsidR="000D5939" w:rsidRPr="004C5AC8">
        <w:rPr>
          <w:b/>
          <w:color w:val="296C60" w:themeColor="background2" w:themeShade="80"/>
        </w:rPr>
        <w:t>:</w:t>
      </w:r>
      <w:r w:rsidR="000D5939" w:rsidRPr="004C5AC8">
        <w:rPr>
          <w:b/>
        </w:rPr>
        <w:t xml:space="preserve"> </w:t>
      </w:r>
      <w:r w:rsidR="00FF280B" w:rsidRPr="004C5AC8">
        <w:t xml:space="preserve">The three facilities support institutions </w:t>
      </w:r>
      <w:r w:rsidR="001B1945" w:rsidRPr="004C5AC8">
        <w:t xml:space="preserve">with clear reform mandates and identify and </w:t>
      </w:r>
      <w:r w:rsidR="006470DB" w:rsidRPr="004C5AC8">
        <w:t>work with</w:t>
      </w:r>
      <w:r w:rsidR="001B1945" w:rsidRPr="00E64FCF">
        <w:t xml:space="preserve"> high-level champions</w:t>
      </w:r>
      <w:r w:rsidR="00FF280B" w:rsidRPr="00E64FCF">
        <w:t xml:space="preserve">. </w:t>
      </w:r>
      <w:r w:rsidR="00F022F0" w:rsidRPr="00E64FCF">
        <w:t>The</w:t>
      </w:r>
      <w:r w:rsidR="00B939FA" w:rsidRPr="00E64FCF">
        <w:t>y</w:t>
      </w:r>
      <w:r w:rsidR="00F022F0" w:rsidRPr="00E64FCF">
        <w:t xml:space="preserve"> also </w:t>
      </w:r>
      <w:r w:rsidR="00646E08" w:rsidRPr="00E64FCF">
        <w:t>can</w:t>
      </w:r>
      <w:r w:rsidR="00F022F0" w:rsidRPr="00E64FCF">
        <w:t xml:space="preserve"> work across government to </w:t>
      </w:r>
      <w:r w:rsidR="001B1945" w:rsidRPr="00E64FCF">
        <w:t xml:space="preserve">link different institutions in </w:t>
      </w:r>
      <w:r w:rsidR="00F022F0" w:rsidRPr="00E64FCF">
        <w:t xml:space="preserve">support </w:t>
      </w:r>
      <w:r w:rsidR="001B1945" w:rsidRPr="00E64FCF">
        <w:t xml:space="preserve">of </w:t>
      </w:r>
      <w:r w:rsidR="00F022F0" w:rsidRPr="00E64FCF">
        <w:t xml:space="preserve">reform. </w:t>
      </w:r>
      <w:r w:rsidR="003A53D5" w:rsidRPr="00E64FCF">
        <w:t>They recruit individuals with established networks across government (</w:t>
      </w:r>
      <w:r w:rsidR="00ED4291" w:rsidRPr="00E64FCF">
        <w:t>for example,</w:t>
      </w:r>
      <w:r w:rsidR="003A53D5" w:rsidRPr="00E64FCF">
        <w:t xml:space="preserve"> the Team Leader of AIPEG is a former I</w:t>
      </w:r>
      <w:r w:rsidR="00ED4291" w:rsidRPr="00E64FCF">
        <w:t>nternational Monetary</w:t>
      </w:r>
      <w:r w:rsidR="00ED4291">
        <w:t xml:space="preserve"> Fund </w:t>
      </w:r>
      <w:r w:rsidR="003A53D5" w:rsidRPr="001B3B93">
        <w:t xml:space="preserve">representative in Indonesia). They establish advisory groups, </w:t>
      </w:r>
      <w:r w:rsidR="006470DB">
        <w:t xml:space="preserve">involving </w:t>
      </w:r>
      <w:r w:rsidR="003A53D5" w:rsidRPr="001B3B93">
        <w:t>former politicians or senior technocrats, who can help bring issues to the attention of senior leaders. This strategy of buying in connections has proved effective</w:t>
      </w:r>
      <w:r w:rsidR="009F3AC1">
        <w:t xml:space="preserve"> at securing access to decision</w:t>
      </w:r>
      <w:r w:rsidR="00830AB2">
        <w:t>-</w:t>
      </w:r>
      <w:r w:rsidR="009F3AC1">
        <w:t>makers</w:t>
      </w:r>
      <w:r w:rsidR="003A53D5" w:rsidRPr="001B3B93">
        <w:t>.</w:t>
      </w:r>
    </w:p>
    <w:p w14:paraId="7CD132DD" w14:textId="7996A4C8" w:rsidR="00DD46D8" w:rsidRPr="001B3B93" w:rsidRDefault="00DD46D8" w:rsidP="000C55B6">
      <w:pPr>
        <w:pStyle w:val="ListParagraph"/>
        <w:numPr>
          <w:ilvl w:val="0"/>
          <w:numId w:val="20"/>
        </w:numPr>
      </w:pPr>
      <w:r w:rsidRPr="001B3B93">
        <w:rPr>
          <w:b/>
          <w:color w:val="296C60" w:themeColor="background2" w:themeShade="80"/>
        </w:rPr>
        <w:t>Flexibl</w:t>
      </w:r>
      <w:r w:rsidR="003E7DA1" w:rsidRPr="001B3B93">
        <w:rPr>
          <w:b/>
          <w:color w:val="296C60" w:themeColor="background2" w:themeShade="80"/>
        </w:rPr>
        <w:t>e</w:t>
      </w:r>
      <w:r w:rsidRPr="001B3B93">
        <w:rPr>
          <w:b/>
          <w:color w:val="296C60" w:themeColor="background2" w:themeShade="80"/>
        </w:rPr>
        <w:t xml:space="preserve"> and </w:t>
      </w:r>
      <w:r w:rsidR="003E7DA1" w:rsidRPr="001B3B93">
        <w:rPr>
          <w:b/>
          <w:color w:val="296C60" w:themeColor="background2" w:themeShade="80"/>
        </w:rPr>
        <w:t>patient</w:t>
      </w:r>
      <w:r w:rsidRPr="001B3B93">
        <w:rPr>
          <w:b/>
          <w:color w:val="296C60" w:themeColor="background2" w:themeShade="80"/>
        </w:rPr>
        <w:t>:</w:t>
      </w:r>
      <w:r w:rsidRPr="001B3B93">
        <w:t xml:space="preserve"> The facilities are long-term engagement</w:t>
      </w:r>
      <w:r w:rsidR="009F3AC1">
        <w:t>s</w:t>
      </w:r>
      <w:r w:rsidRPr="001B3B93">
        <w:t xml:space="preserve">, lasting a decade or more in some cases through successive iterations. </w:t>
      </w:r>
      <w:r w:rsidR="00905163" w:rsidRPr="001B3B93">
        <w:t xml:space="preserve">This </w:t>
      </w:r>
      <w:r w:rsidRPr="001B3B93">
        <w:t xml:space="preserve">enables the programs </w:t>
      </w:r>
      <w:r w:rsidR="007F7964">
        <w:t xml:space="preserve">to </w:t>
      </w:r>
      <w:r w:rsidR="00A15F13" w:rsidRPr="001B3B93">
        <w:t xml:space="preserve">identify the most appropriate counterparts and </w:t>
      </w:r>
      <w:r w:rsidRPr="001B3B93">
        <w:lastRenderedPageBreak/>
        <w:t>to build relationships of trust</w:t>
      </w:r>
      <w:r w:rsidR="00905163" w:rsidRPr="001B3B93">
        <w:t xml:space="preserve">. They can scale activities up or down as needed and be ready </w:t>
      </w:r>
      <w:r w:rsidR="00305932" w:rsidRPr="001B3B93">
        <w:t xml:space="preserve">with evidence and analysis </w:t>
      </w:r>
      <w:r w:rsidR="00905163" w:rsidRPr="001B3B93">
        <w:t xml:space="preserve">to support reform </w:t>
      </w:r>
      <w:r w:rsidRPr="001B3B93">
        <w:t>opportunities as they emerge.</w:t>
      </w:r>
    </w:p>
    <w:p w14:paraId="009931A3" w14:textId="60B9CE8C" w:rsidR="001855D4" w:rsidRPr="001B3B93" w:rsidRDefault="001855D4" w:rsidP="000C55B6">
      <w:pPr>
        <w:pStyle w:val="ListParagraph"/>
        <w:numPr>
          <w:ilvl w:val="0"/>
          <w:numId w:val="20"/>
        </w:numPr>
        <w:rPr>
          <w:b/>
          <w:color w:val="296C60" w:themeColor="background2" w:themeShade="80"/>
        </w:rPr>
      </w:pPr>
      <w:r w:rsidRPr="001B3B93">
        <w:rPr>
          <w:b/>
          <w:color w:val="296C60" w:themeColor="background2" w:themeShade="80"/>
        </w:rPr>
        <w:t xml:space="preserve">Low profile: </w:t>
      </w:r>
      <w:r w:rsidR="003E7DA1" w:rsidRPr="001B3B93">
        <w:t>Conscious of the sensitivities of</w:t>
      </w:r>
      <w:r w:rsidRPr="001B3B93">
        <w:t xml:space="preserve"> counterpart institutions about accepting external support on key economic and social policies, </w:t>
      </w:r>
      <w:r w:rsidR="007F7964">
        <w:t xml:space="preserve">the </w:t>
      </w:r>
      <w:r w:rsidR="003E7DA1" w:rsidRPr="001B3B93">
        <w:t>program</w:t>
      </w:r>
      <w:r w:rsidR="007F7964">
        <w:t>s</w:t>
      </w:r>
      <w:r w:rsidR="003E7DA1" w:rsidRPr="001B3B93">
        <w:t xml:space="preserve"> keep </w:t>
      </w:r>
      <w:r w:rsidRPr="001B3B93">
        <w:t xml:space="preserve">a low profile. While they contribute to Australia’s </w:t>
      </w:r>
      <w:r w:rsidR="009F3AC1">
        <w:t xml:space="preserve">profile and </w:t>
      </w:r>
      <w:r w:rsidRPr="001B3B93">
        <w:t>reputation with</w:t>
      </w:r>
      <w:r w:rsidR="009F3AC1">
        <w:t>in</w:t>
      </w:r>
      <w:r w:rsidRPr="001B3B93">
        <w:t xml:space="preserve"> the counterpart institutions, they do not seek wider recognition.</w:t>
      </w:r>
    </w:p>
    <w:p w14:paraId="1011FCAE" w14:textId="005A0BE7" w:rsidR="00305932" w:rsidRPr="001B3B93" w:rsidRDefault="003E7DA1" w:rsidP="000C55B6">
      <w:pPr>
        <w:pStyle w:val="ListParagraph"/>
        <w:numPr>
          <w:ilvl w:val="0"/>
          <w:numId w:val="20"/>
        </w:numPr>
      </w:pPr>
      <w:r w:rsidRPr="001B3B93">
        <w:rPr>
          <w:b/>
          <w:color w:val="296C60" w:themeColor="background2" w:themeShade="80"/>
        </w:rPr>
        <w:t>T</w:t>
      </w:r>
      <w:r w:rsidR="00AD22A5" w:rsidRPr="001B3B93">
        <w:rPr>
          <w:b/>
          <w:color w:val="296C60" w:themeColor="background2" w:themeShade="80"/>
        </w:rPr>
        <w:t>echnically sound and p</w:t>
      </w:r>
      <w:r w:rsidR="00305932" w:rsidRPr="001B3B93">
        <w:rPr>
          <w:b/>
          <w:color w:val="296C60" w:themeColor="background2" w:themeShade="80"/>
        </w:rPr>
        <w:t>olitically informed:</w:t>
      </w:r>
      <w:r w:rsidR="00305932" w:rsidRPr="001B3B93">
        <w:rPr>
          <w:b/>
        </w:rPr>
        <w:t xml:space="preserve"> </w:t>
      </w:r>
      <w:r w:rsidR="00AD22A5" w:rsidRPr="001B3B93">
        <w:t xml:space="preserve">To be </w:t>
      </w:r>
      <w:r w:rsidR="009F3AC1">
        <w:t>effective in supporting reform</w:t>
      </w:r>
      <w:r w:rsidR="00AD22A5" w:rsidRPr="001B3B93">
        <w:t xml:space="preserve">, the </w:t>
      </w:r>
      <w:r w:rsidRPr="001B3B93">
        <w:t xml:space="preserve">advice provided by economic facilities </w:t>
      </w:r>
      <w:r w:rsidR="00AD22A5" w:rsidRPr="001B3B93">
        <w:t>need</w:t>
      </w:r>
      <w:r w:rsidRPr="001B3B93">
        <w:t>s</w:t>
      </w:r>
      <w:r w:rsidR="00AD22A5" w:rsidRPr="001B3B93">
        <w:t xml:space="preserve"> to be not just technically sound but tailored to the political </w:t>
      </w:r>
      <w:r w:rsidRPr="001B3B93">
        <w:t xml:space="preserve">and institutional </w:t>
      </w:r>
      <w:r w:rsidR="00AD22A5" w:rsidRPr="001B3B93">
        <w:t xml:space="preserve">context. </w:t>
      </w:r>
      <w:r w:rsidR="00ED4291">
        <w:t xml:space="preserve">This </w:t>
      </w:r>
      <w:r w:rsidR="000024B9" w:rsidRPr="001B3B93">
        <w:t xml:space="preserve">involves </w:t>
      </w:r>
      <w:r w:rsidR="00AD22A5" w:rsidRPr="001B3B93">
        <w:t xml:space="preserve">assembling the right arguments and evidence, </w:t>
      </w:r>
      <w:r w:rsidR="000024B9" w:rsidRPr="001B3B93">
        <w:t xml:space="preserve">and </w:t>
      </w:r>
      <w:r w:rsidR="00ED4291">
        <w:t>presenting this</w:t>
      </w:r>
      <w:r w:rsidR="00AD22A5" w:rsidRPr="001B3B93">
        <w:t xml:space="preserve"> to the right people at the right time.</w:t>
      </w:r>
      <w:r w:rsidR="00EF12A8" w:rsidRPr="00EF12A8">
        <w:t xml:space="preserve"> </w:t>
      </w:r>
      <w:r w:rsidR="00EF12A8" w:rsidRPr="001B3B93">
        <w:t>The</w:t>
      </w:r>
      <w:r w:rsidR="00ED4291">
        <w:t>se facilities</w:t>
      </w:r>
      <w:r w:rsidR="00EF12A8" w:rsidRPr="001B3B93">
        <w:t xml:space="preserve"> help to overcome constraints on counterpart institutions imposed by government procurement rules in engaging international experts.</w:t>
      </w:r>
    </w:p>
    <w:p w14:paraId="1D17571C" w14:textId="44631BA8" w:rsidR="00AD22A5" w:rsidRDefault="00AD22A5" w:rsidP="000C55B6">
      <w:pPr>
        <w:pStyle w:val="ListParagraph"/>
        <w:numPr>
          <w:ilvl w:val="0"/>
          <w:numId w:val="20"/>
        </w:numPr>
      </w:pPr>
      <w:r w:rsidRPr="001B3B93">
        <w:rPr>
          <w:b/>
          <w:color w:val="296C60" w:themeColor="background2" w:themeShade="80"/>
        </w:rPr>
        <w:t xml:space="preserve">Support </w:t>
      </w:r>
      <w:r w:rsidR="00582A48">
        <w:rPr>
          <w:b/>
          <w:color w:val="296C60" w:themeColor="background2" w:themeShade="80"/>
        </w:rPr>
        <w:t xml:space="preserve">both </w:t>
      </w:r>
      <w:r w:rsidRPr="001B3B93">
        <w:rPr>
          <w:b/>
          <w:color w:val="296C60" w:themeColor="background2" w:themeShade="80"/>
        </w:rPr>
        <w:t>policy making and implementation:</w:t>
      </w:r>
      <w:r w:rsidRPr="001B3B93">
        <w:rPr>
          <w:b/>
        </w:rPr>
        <w:t xml:space="preserve"> </w:t>
      </w:r>
      <w:r w:rsidR="00402AED" w:rsidRPr="001B3B93">
        <w:t>T</w:t>
      </w:r>
      <w:r w:rsidR="000024B9" w:rsidRPr="001B3B93">
        <w:t xml:space="preserve">he adoption of new policies or laws may be only the first step in a long </w:t>
      </w:r>
      <w:r w:rsidR="00402AED" w:rsidRPr="001B3B93">
        <w:t xml:space="preserve">road </w:t>
      </w:r>
      <w:r w:rsidR="000024B9" w:rsidRPr="001B3B93">
        <w:t xml:space="preserve">of implementation that is equally </w:t>
      </w:r>
      <w:r w:rsidR="00FA0B3B" w:rsidRPr="001B3B93">
        <w:t>if not more challenging</w:t>
      </w:r>
      <w:r w:rsidR="000024B9" w:rsidRPr="001B3B93">
        <w:t>. The economic facilities use problem-solving approaches to identify and address bottlenecks as they arise.</w:t>
      </w:r>
    </w:p>
    <w:p w14:paraId="40CB1E52" w14:textId="76C27CC9" w:rsidR="00CE7B1A" w:rsidRDefault="009F3AC1">
      <w:r>
        <w:t>The facility model</w:t>
      </w:r>
      <w:r w:rsidR="00ED4291">
        <w:t xml:space="preserve"> has limitations</w:t>
      </w:r>
      <w:r>
        <w:t>. The</w:t>
      </w:r>
      <w:r w:rsidR="00ED4291">
        <w:t>re were</w:t>
      </w:r>
      <w:r>
        <w:t xml:space="preserve"> complex programs to establish</w:t>
      </w:r>
      <w:r w:rsidR="00582A48">
        <w:t xml:space="preserve">, and there was a </w:t>
      </w:r>
      <w:r w:rsidR="002E6A24">
        <w:t>lengthy</w:t>
      </w:r>
      <w:r w:rsidR="00582A48">
        <w:t xml:space="preserve"> time lag before </w:t>
      </w:r>
      <w:r w:rsidR="00D02273">
        <w:t xml:space="preserve">AIPEG </w:t>
      </w:r>
      <w:r w:rsidR="002D6D84">
        <w:t>and the Knowledge Sector Initiative (Box 1</w:t>
      </w:r>
      <w:r w:rsidR="003529C8">
        <w:t>0</w:t>
      </w:r>
      <w:r w:rsidR="002D6D84">
        <w:t xml:space="preserve">) were </w:t>
      </w:r>
      <w:r w:rsidR="00582A48">
        <w:t xml:space="preserve">effective. While bringing in managers with established reputations and networks facilitates policy engagement, it can make it more difficult </w:t>
      </w:r>
      <w:r w:rsidR="00D02273">
        <w:t xml:space="preserve">to keep </w:t>
      </w:r>
      <w:r w:rsidR="00582A48">
        <w:t xml:space="preserve">the facility aligned with Australia’s objectives. </w:t>
      </w:r>
      <w:r w:rsidR="003C162D">
        <w:t xml:space="preserve">While facilities need flexible resources to respond to opportunities as they emerge, </w:t>
      </w:r>
      <w:r w:rsidR="002E6A24">
        <w:t>they</w:t>
      </w:r>
      <w:r w:rsidR="00ED4291">
        <w:t xml:space="preserve"> also</w:t>
      </w:r>
      <w:r w:rsidR="002E6A24">
        <w:t xml:space="preserve"> need careful management to ensure such resources are used </w:t>
      </w:r>
      <w:r w:rsidR="003C162D">
        <w:t>strategic</w:t>
      </w:r>
      <w:r w:rsidR="00ED4291">
        <w:t>ally</w:t>
      </w:r>
      <w:r w:rsidR="003C162D">
        <w:t xml:space="preserve">. </w:t>
      </w:r>
      <w:r w:rsidR="00582A48">
        <w:t>The AIPEG evaluation observes that, while the program is sometimes able to catalyse change, it lacks the same degree of control over outcomes as other programs</w:t>
      </w:r>
      <w:r w:rsidR="00ED4291">
        <w:t>. Also,</w:t>
      </w:r>
      <w:r w:rsidR="00C47C2D">
        <w:t xml:space="preserve"> its initiatives can be stymied by a lack of support or capacity within the bureaucracy. Because it works with national reformers, </w:t>
      </w:r>
      <w:r w:rsidR="00ED4291">
        <w:t>some</w:t>
      </w:r>
      <w:r w:rsidR="00C47C2D">
        <w:t xml:space="preserve"> </w:t>
      </w:r>
      <w:r w:rsidR="00D02273">
        <w:t xml:space="preserve">areas </w:t>
      </w:r>
      <w:r w:rsidR="00ED4291">
        <w:t>are</w:t>
      </w:r>
      <w:r w:rsidR="00D02273">
        <w:t xml:space="preserve"> unlikely to achieve success. For example, DFAT asked AIPEG to assess the possibility of working in the mining sector, but it found </w:t>
      </w:r>
      <w:r w:rsidR="00ED4291">
        <w:t>unfavourable</w:t>
      </w:r>
      <w:r w:rsidR="00D02273">
        <w:t xml:space="preserve"> political conditions.</w:t>
      </w:r>
    </w:p>
    <w:p w14:paraId="1388FCD3" w14:textId="6639A927" w:rsidR="00772412" w:rsidRDefault="00EF12A8">
      <w:r>
        <w:t>Technical assistance facilities are less likely to be effective if they default to a train</w:t>
      </w:r>
      <w:r w:rsidR="00ED4291">
        <w:t>-</w:t>
      </w:r>
      <w:r>
        <w:t>and</w:t>
      </w:r>
      <w:r w:rsidR="00ED4291">
        <w:t>-</w:t>
      </w:r>
      <w:r>
        <w:t>equi</w:t>
      </w:r>
      <w:r w:rsidR="00574B28">
        <w:t>p</w:t>
      </w:r>
      <w:r>
        <w:t xml:space="preserve"> approach. For example, </w:t>
      </w:r>
      <w:r w:rsidR="00CE7B1A">
        <w:t xml:space="preserve">AIPEG’s work with the tax administration </w:t>
      </w:r>
      <w:r w:rsidR="00574B28">
        <w:t xml:space="preserve">over a four-year period to 2015 </w:t>
      </w:r>
      <w:r w:rsidR="00CE7B1A">
        <w:t xml:space="preserve">produced </w:t>
      </w:r>
      <w:r w:rsidR="00ED4291">
        <w:t>‘</w:t>
      </w:r>
      <w:r w:rsidR="00CE7B1A">
        <w:t>disappointing yields</w:t>
      </w:r>
      <w:r w:rsidR="00ED4291">
        <w:t>’</w:t>
      </w:r>
      <w:r w:rsidR="00CE7B1A">
        <w:t xml:space="preserve">, owing to </w:t>
      </w:r>
      <w:r w:rsidR="00ED4291">
        <w:t>‘</w:t>
      </w:r>
      <w:r w:rsidR="00CE7B1A">
        <w:t>deep-seated internal resistance to change</w:t>
      </w:r>
      <w:r w:rsidR="00ED4291">
        <w:t>’</w:t>
      </w:r>
      <w:r w:rsidR="00CE7B1A">
        <w:t>.</w:t>
      </w:r>
      <w:r w:rsidR="00CE7B1A">
        <w:rPr>
          <w:rStyle w:val="FootnoteReference"/>
        </w:rPr>
        <w:footnoteReference w:id="69"/>
      </w:r>
      <w:r w:rsidR="00CE7B1A">
        <w:t xml:space="preserve"> The </w:t>
      </w:r>
      <w:r w:rsidR="00574B28">
        <w:t xml:space="preserve">assistance was mainly in the form of </w:t>
      </w:r>
      <w:r w:rsidR="00CE7B1A">
        <w:t xml:space="preserve">coaching, mentoring and provision of specialist equipment, without paying sufficient attention to </w:t>
      </w:r>
      <w:r w:rsidR="00574B28">
        <w:t xml:space="preserve">likely </w:t>
      </w:r>
      <w:r w:rsidR="00CE7B1A">
        <w:t>mechanisms for change.</w:t>
      </w:r>
      <w:r w:rsidR="00CE7B1A">
        <w:rPr>
          <w:rStyle w:val="FootnoteReference"/>
        </w:rPr>
        <w:footnoteReference w:id="70"/>
      </w:r>
      <w:r w:rsidR="00574B28">
        <w:t xml:space="preserve"> From 2016, the program shifted focus to working with a newly formed Tax Reform Team in the Ministry of Finance.</w:t>
      </w:r>
    </w:p>
    <w:p w14:paraId="4D1B30B5" w14:textId="77777777" w:rsidR="00772412" w:rsidRDefault="00772412">
      <w:r>
        <w:br w:type="page"/>
      </w:r>
    </w:p>
    <w:p w14:paraId="5C37DD82" w14:textId="77777777" w:rsidR="001547E4" w:rsidRDefault="001547E4"/>
    <w:p w14:paraId="72740CC2" w14:textId="03B12D39" w:rsidR="001855D4" w:rsidRPr="001B3B93" w:rsidRDefault="001855D4" w:rsidP="007C4047">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bookmarkStart w:id="91" w:name="_Hlk505348132"/>
      <w:r w:rsidRPr="001B3B93">
        <w:t>Box</w:t>
      </w:r>
      <w:r w:rsidR="002D6D84">
        <w:t xml:space="preserve"> </w:t>
      </w:r>
      <w:r w:rsidR="00EA2B6E">
        <w:t>1</w:t>
      </w:r>
      <w:r w:rsidR="003529C8">
        <w:t>0</w:t>
      </w:r>
      <w:r w:rsidRPr="001B3B93">
        <w:t>: Supporting evidence-based policy making</w:t>
      </w:r>
    </w:p>
    <w:p w14:paraId="691A5337" w14:textId="42B1D8DB" w:rsidR="001855D4" w:rsidRPr="001B3B93" w:rsidRDefault="00ED4291" w:rsidP="007C4047">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Indonesia’s</w:t>
      </w:r>
      <w:r w:rsidRPr="001B3B93">
        <w:t xml:space="preserve"> </w:t>
      </w:r>
      <w:r w:rsidR="001855D4" w:rsidRPr="001B3B93">
        <w:t xml:space="preserve">Knowledge Sector Initiative </w:t>
      </w:r>
      <w:r w:rsidR="003C162D">
        <w:t>(</w:t>
      </w:r>
      <w:r w:rsidR="006470DB" w:rsidRPr="003C162D">
        <w:t>AUD64 million</w:t>
      </w:r>
      <w:r w:rsidR="00CC4A45">
        <w:t>; 2012–22</w:t>
      </w:r>
      <w:r w:rsidR="00A813E6">
        <w:t xml:space="preserve">) </w:t>
      </w:r>
      <w:r w:rsidR="003C162D">
        <w:t xml:space="preserve">seeks to </w:t>
      </w:r>
      <w:r w:rsidR="001855D4" w:rsidRPr="001B3B93">
        <w:t xml:space="preserve">improve </w:t>
      </w:r>
      <w:r>
        <w:t>the country’s</w:t>
      </w:r>
      <w:r w:rsidRPr="001B3B93">
        <w:t xml:space="preserve"> </w:t>
      </w:r>
      <w:r w:rsidR="00166E18" w:rsidRPr="001B3B93">
        <w:t xml:space="preserve">systems for </w:t>
      </w:r>
      <w:r w:rsidR="001855D4" w:rsidRPr="001B3B93">
        <w:t xml:space="preserve">evidence-based policy making. It engages across the knowledge sector. It provides core funding to </w:t>
      </w:r>
      <w:r w:rsidR="00F40860" w:rsidRPr="001B3B93">
        <w:t>16</w:t>
      </w:r>
      <w:r w:rsidR="001855D4" w:rsidRPr="001B3B93">
        <w:t xml:space="preserve"> Indonesian research institutes and think tanks</w:t>
      </w:r>
      <w:r w:rsidR="00166E18" w:rsidRPr="001B3B93">
        <w:t xml:space="preserve"> to generate new knowledge and works with media institutes and advocacy organisations on the communication of research results</w:t>
      </w:r>
      <w:r w:rsidR="001855D4" w:rsidRPr="001B3B93">
        <w:t xml:space="preserve">. It also supports research units within government departments. </w:t>
      </w:r>
      <w:r>
        <w:t xml:space="preserve">The </w:t>
      </w:r>
      <w:r w:rsidR="004C5AC8">
        <w:t>i</w:t>
      </w:r>
      <w:r>
        <w:t>nitiative</w:t>
      </w:r>
      <w:r w:rsidRPr="001B3B93">
        <w:t xml:space="preserve"> </w:t>
      </w:r>
      <w:r w:rsidR="001855D4" w:rsidRPr="001B3B93">
        <w:t>works with B</w:t>
      </w:r>
      <w:r w:rsidR="00032BEB">
        <w:t>APPENAS</w:t>
      </w:r>
      <w:r w:rsidR="001F40CB">
        <w:t xml:space="preserve"> </w:t>
      </w:r>
      <w:r w:rsidR="001855D4" w:rsidRPr="001B3B93">
        <w:t xml:space="preserve">on </w:t>
      </w:r>
      <w:r w:rsidR="00F40860" w:rsidRPr="001B3B93">
        <w:t xml:space="preserve">knowledge management and how to </w:t>
      </w:r>
      <w:r w:rsidR="001855D4" w:rsidRPr="001B3B93">
        <w:t>communicat</w:t>
      </w:r>
      <w:r w:rsidR="00F40860" w:rsidRPr="001B3B93">
        <w:t>e</w:t>
      </w:r>
      <w:r w:rsidR="001855D4" w:rsidRPr="001B3B93">
        <w:t xml:space="preserve"> good development practice to subnational government. </w:t>
      </w:r>
      <w:r w:rsidR="00166E18" w:rsidRPr="001B3B93">
        <w:t xml:space="preserve">It also helped to develop and pilot an e-planning tool that </w:t>
      </w:r>
      <w:r w:rsidR="006470DB">
        <w:t xml:space="preserve">assists </w:t>
      </w:r>
      <w:r w:rsidR="00166E18" w:rsidRPr="001B3B93">
        <w:t>B</w:t>
      </w:r>
      <w:r w:rsidR="00032BEB">
        <w:t>APPENAS</w:t>
      </w:r>
      <w:r w:rsidR="00166E18" w:rsidRPr="001B3B93">
        <w:t xml:space="preserve"> to better target funding for priority development programs. </w:t>
      </w:r>
      <w:r w:rsidR="001855D4" w:rsidRPr="001B3B93">
        <w:t xml:space="preserve">In 2017, </w:t>
      </w:r>
      <w:r>
        <w:t xml:space="preserve">the </w:t>
      </w:r>
      <w:r w:rsidR="004C5AC8">
        <w:t>i</w:t>
      </w:r>
      <w:r>
        <w:t>nitiative</w:t>
      </w:r>
      <w:r w:rsidRPr="001B3B93">
        <w:t xml:space="preserve"> </w:t>
      </w:r>
      <w:r w:rsidR="00F40860" w:rsidRPr="001B3B93">
        <w:t>helped to organise</w:t>
      </w:r>
      <w:r w:rsidR="001855D4" w:rsidRPr="001B3B93">
        <w:t xml:space="preserve"> the inaugural Indonesia Development</w:t>
      </w:r>
      <w:r w:rsidR="00F40860" w:rsidRPr="001B3B93">
        <w:t xml:space="preserve"> Forum, which </w:t>
      </w:r>
      <w:r w:rsidR="003A53D5" w:rsidRPr="001B3B93">
        <w:t xml:space="preserve">10 government ministers </w:t>
      </w:r>
      <w:r w:rsidR="00F40860" w:rsidRPr="001B3B93">
        <w:t>attended</w:t>
      </w:r>
      <w:r w:rsidR="003C162D">
        <w:t>, creating high-profile opportunities for public diplomacy</w:t>
      </w:r>
      <w:r w:rsidR="00F40860" w:rsidRPr="001B3B93">
        <w:t>.</w:t>
      </w:r>
    </w:p>
    <w:p w14:paraId="31F75A65" w14:textId="1A9D9696" w:rsidR="00F40860" w:rsidRDefault="003C162D" w:rsidP="007C4047">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t xml:space="preserve">The program identified the Indonesia </w:t>
      </w:r>
      <w:r w:rsidR="00ED4291">
        <w:t>G</w:t>
      </w:r>
      <w:r>
        <w:t>overnment’s inability</w:t>
      </w:r>
      <w:r w:rsidR="00244645">
        <w:t>,</w:t>
      </w:r>
      <w:r>
        <w:t xml:space="preserve"> under its own procurement regulations</w:t>
      </w:r>
      <w:r w:rsidR="00244645">
        <w:t>,</w:t>
      </w:r>
      <w:r>
        <w:t xml:space="preserve"> to </w:t>
      </w:r>
      <w:r w:rsidR="007C10E2">
        <w:t xml:space="preserve">commission </w:t>
      </w:r>
      <w:r>
        <w:t xml:space="preserve">research and analysis from </w:t>
      </w:r>
      <w:r w:rsidR="002D6D84">
        <w:t>think tanks and universit</w:t>
      </w:r>
      <w:r w:rsidR="00244645">
        <w:t>ies</w:t>
      </w:r>
      <w:r w:rsidR="002D6D84">
        <w:t xml:space="preserve"> </w:t>
      </w:r>
      <w:r>
        <w:t>as a key constraint</w:t>
      </w:r>
      <w:r w:rsidR="002D6D84">
        <w:t xml:space="preserve"> on evidence-based policy making</w:t>
      </w:r>
      <w:r>
        <w:t xml:space="preserve">. </w:t>
      </w:r>
      <w:r w:rsidR="002D6D84">
        <w:t>A successful advocacy effort to secure change to the regulations was therefore a key breakthrough. However, gi</w:t>
      </w:r>
      <w:r w:rsidR="002D6111" w:rsidRPr="001B3B93">
        <w:t>ven the breadth of the knowledge sector, t</w:t>
      </w:r>
      <w:r w:rsidR="00F40860" w:rsidRPr="001B3B93">
        <w:t xml:space="preserve">he program </w:t>
      </w:r>
      <w:r w:rsidR="002D6111" w:rsidRPr="001B3B93">
        <w:t xml:space="preserve">struggled in its early years to articulate a clear strategy, secure buy-in from key stakeholders </w:t>
      </w:r>
      <w:r w:rsidR="00F40860" w:rsidRPr="001B3B93">
        <w:t xml:space="preserve">and </w:t>
      </w:r>
      <w:r w:rsidR="00166E18" w:rsidRPr="001B3B93">
        <w:t xml:space="preserve">develop methods of </w:t>
      </w:r>
      <w:r w:rsidR="002D6111" w:rsidRPr="001B3B93">
        <w:t xml:space="preserve">measuring </w:t>
      </w:r>
      <w:r w:rsidR="00166E18" w:rsidRPr="001B3B93">
        <w:t>progress.</w:t>
      </w:r>
      <w:r w:rsidR="002D6111" w:rsidRPr="001B3B93">
        <w:t xml:space="preserve"> </w:t>
      </w:r>
      <w:r w:rsidR="003A53D5" w:rsidRPr="001B3B93">
        <w:t>P</w:t>
      </w:r>
      <w:r w:rsidR="002D6111" w:rsidRPr="001B3B93">
        <w:t>rogram reviews</w:t>
      </w:r>
      <w:r w:rsidR="003A53D5" w:rsidRPr="001B3B93">
        <w:t xml:space="preserve"> have concluded that</w:t>
      </w:r>
      <w:r w:rsidR="002D6111" w:rsidRPr="001B3B93">
        <w:t xml:space="preserve"> it has made progress in addressing those challenges and is now better placed to achieve its objectives. However, the value of investing in the knowledge sector as</w:t>
      </w:r>
      <w:r w:rsidR="00ED4291">
        <w:t>-</w:t>
      </w:r>
      <w:r w:rsidR="002D6111" w:rsidRPr="001B3B93">
        <w:t>a</w:t>
      </w:r>
      <w:r w:rsidR="00ED4291">
        <w:t>-</w:t>
      </w:r>
      <w:r w:rsidR="002D6111" w:rsidRPr="001B3B93">
        <w:t>whole, as opposed to focused knowledge inputs into specific policy areas, remains to be demonstrated.</w:t>
      </w:r>
    </w:p>
    <w:p w14:paraId="7530B170" w14:textId="4FDBFA48" w:rsidR="00EA2B6E" w:rsidRPr="003D3BD9" w:rsidRDefault="00EA2B6E" w:rsidP="007C4047">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3D3BD9">
        <w:t>Source:</w:t>
      </w:r>
      <w:r w:rsidR="002D6D84" w:rsidRPr="003D3BD9">
        <w:t xml:space="preserve"> Knowledge Sector Initiative Aid Quality Checks 2015</w:t>
      </w:r>
      <w:r w:rsidR="00ED4291" w:rsidRPr="003D3BD9">
        <w:t>–</w:t>
      </w:r>
      <w:r w:rsidR="002D6D84" w:rsidRPr="003D3BD9">
        <w:t>17 and key stakeholder interviews</w:t>
      </w:r>
      <w:r w:rsidR="003920A9" w:rsidRPr="003D3BD9">
        <w:t>.</w:t>
      </w:r>
    </w:p>
    <w:bookmarkEnd w:id="91"/>
    <w:p w14:paraId="7953A05E" w14:textId="77777777" w:rsidR="0079112B" w:rsidRPr="001B3B93" w:rsidRDefault="0079112B" w:rsidP="00E93590"/>
    <w:p w14:paraId="6D10A629" w14:textId="0B12B410" w:rsidR="005A000A" w:rsidRPr="00475334" w:rsidRDefault="002D6D84" w:rsidP="005A000A">
      <w:pPr>
        <w:rPr>
          <w:iCs/>
          <w:highlight w:val="yellow"/>
        </w:rPr>
      </w:pPr>
      <w:r>
        <w:t xml:space="preserve">A variation on the </w:t>
      </w:r>
      <w:r>
        <w:rPr>
          <w:iCs/>
        </w:rPr>
        <w:t>t</w:t>
      </w:r>
      <w:r w:rsidR="00E606A5" w:rsidRPr="00584B4C">
        <w:rPr>
          <w:iCs/>
        </w:rPr>
        <w:t xml:space="preserve">echnical assistance </w:t>
      </w:r>
      <w:r>
        <w:rPr>
          <w:iCs/>
        </w:rPr>
        <w:t xml:space="preserve">model is </w:t>
      </w:r>
      <w:r w:rsidR="00E606A5" w:rsidRPr="00584B4C">
        <w:rPr>
          <w:iCs/>
        </w:rPr>
        <w:t xml:space="preserve">also used at the regional level, to support ASEAN to develop and implement regional economic integration measures. </w:t>
      </w:r>
      <w:r w:rsidR="0098528E">
        <w:rPr>
          <w:iCs/>
        </w:rPr>
        <w:t>The ASEAN-Australia Development Cooperation Program Phase</w:t>
      </w:r>
      <w:r w:rsidR="00E606A5" w:rsidRPr="00584B4C">
        <w:rPr>
          <w:iCs/>
        </w:rPr>
        <w:t xml:space="preserve"> II </w:t>
      </w:r>
      <w:r>
        <w:rPr>
          <w:iCs/>
        </w:rPr>
        <w:t>(AUD</w:t>
      </w:r>
      <w:r w:rsidR="0098528E">
        <w:rPr>
          <w:iCs/>
        </w:rPr>
        <w:t>62</w:t>
      </w:r>
      <w:r>
        <w:rPr>
          <w:iCs/>
        </w:rPr>
        <w:t xml:space="preserve"> million; 200</w:t>
      </w:r>
      <w:r w:rsidR="0098528E">
        <w:rPr>
          <w:iCs/>
        </w:rPr>
        <w:t>7</w:t>
      </w:r>
      <w:r w:rsidR="00ED4291">
        <w:rPr>
          <w:iCs/>
        </w:rPr>
        <w:t>–</w:t>
      </w:r>
      <w:r>
        <w:rPr>
          <w:iCs/>
        </w:rPr>
        <w:t xml:space="preserve">19) </w:t>
      </w:r>
      <w:r w:rsidR="00803231">
        <w:rPr>
          <w:iCs/>
        </w:rPr>
        <w:t>support</w:t>
      </w:r>
      <w:r w:rsidR="0098528E">
        <w:rPr>
          <w:iCs/>
        </w:rPr>
        <w:t>s</w:t>
      </w:r>
      <w:r w:rsidR="00803231">
        <w:rPr>
          <w:iCs/>
        </w:rPr>
        <w:t xml:space="preserve"> ASEAN with the </w:t>
      </w:r>
      <w:r w:rsidR="00244645">
        <w:rPr>
          <w:iCs/>
        </w:rPr>
        <w:t>design</w:t>
      </w:r>
      <w:r w:rsidR="00803231">
        <w:rPr>
          <w:iCs/>
        </w:rPr>
        <w:t xml:space="preserve"> and implementation of region-wide initiative</w:t>
      </w:r>
      <w:r w:rsidR="00EE50AE">
        <w:rPr>
          <w:iCs/>
        </w:rPr>
        <w:t>s</w:t>
      </w:r>
      <w:r w:rsidR="00803231">
        <w:rPr>
          <w:iCs/>
        </w:rPr>
        <w:t xml:space="preserve"> such as consumer protection frameworks and mutual recognition of standards. It also </w:t>
      </w:r>
      <w:r>
        <w:rPr>
          <w:iCs/>
        </w:rPr>
        <w:t xml:space="preserve">responds to requests for technical assistance from ASEAN </w:t>
      </w:r>
      <w:r w:rsidRPr="001F40CB">
        <w:rPr>
          <w:iCs/>
        </w:rPr>
        <w:t>member countries</w:t>
      </w:r>
      <w:r w:rsidR="00244645" w:rsidRPr="001F40CB">
        <w:rPr>
          <w:iCs/>
        </w:rPr>
        <w:t xml:space="preserve">. It provides </w:t>
      </w:r>
      <w:r w:rsidRPr="001F40CB">
        <w:rPr>
          <w:iCs/>
        </w:rPr>
        <w:t xml:space="preserve">short-term technical inputs </w:t>
      </w:r>
      <w:r w:rsidR="00803231" w:rsidRPr="001F40CB">
        <w:rPr>
          <w:iCs/>
        </w:rPr>
        <w:t xml:space="preserve">to national initiatives to implement the ASEAN Economic Community. </w:t>
      </w:r>
      <w:r w:rsidR="00E606A5" w:rsidRPr="001F40CB">
        <w:rPr>
          <w:iCs/>
        </w:rPr>
        <w:t>However,</w:t>
      </w:r>
      <w:r w:rsidR="00CC270E" w:rsidRPr="001F40CB">
        <w:rPr>
          <w:iCs/>
        </w:rPr>
        <w:t xml:space="preserve"> </w:t>
      </w:r>
      <w:r w:rsidR="00EE50AE" w:rsidRPr="001F40CB">
        <w:rPr>
          <w:iCs/>
        </w:rPr>
        <w:t xml:space="preserve">the impact has been held back by a lack of political support in member countries for regional initiatives. </w:t>
      </w:r>
      <w:r w:rsidR="00A512D7" w:rsidRPr="001F40CB">
        <w:rPr>
          <w:iCs/>
        </w:rPr>
        <w:t>T</w:t>
      </w:r>
      <w:r w:rsidR="005A000A" w:rsidRPr="001F40CB">
        <w:rPr>
          <w:iCs/>
        </w:rPr>
        <w:t xml:space="preserve">echnical assistance facilities at the regional level </w:t>
      </w:r>
      <w:r w:rsidR="00EE50AE" w:rsidRPr="001F40CB">
        <w:rPr>
          <w:iCs/>
        </w:rPr>
        <w:t xml:space="preserve">are </w:t>
      </w:r>
      <w:r w:rsidR="00A512D7" w:rsidRPr="001F40CB">
        <w:rPr>
          <w:iCs/>
        </w:rPr>
        <w:t xml:space="preserve">also </w:t>
      </w:r>
      <w:r w:rsidR="00EE50AE" w:rsidRPr="001F40CB">
        <w:rPr>
          <w:iCs/>
        </w:rPr>
        <w:t xml:space="preserve">not as well placed </w:t>
      </w:r>
      <w:r w:rsidR="005A000A" w:rsidRPr="001F40CB">
        <w:rPr>
          <w:iCs/>
        </w:rPr>
        <w:t xml:space="preserve">to build long-term relationships with national reformers and to shape </w:t>
      </w:r>
      <w:r w:rsidR="00EE50AE" w:rsidRPr="001F40CB">
        <w:rPr>
          <w:iCs/>
        </w:rPr>
        <w:t xml:space="preserve">their </w:t>
      </w:r>
      <w:r w:rsidR="005A000A" w:rsidRPr="001F40CB">
        <w:rPr>
          <w:iCs/>
        </w:rPr>
        <w:t xml:space="preserve">work to the national political context. </w:t>
      </w:r>
      <w:r w:rsidR="00A512D7" w:rsidRPr="001F40CB">
        <w:rPr>
          <w:iCs/>
        </w:rPr>
        <w:t>Finally,</w:t>
      </w:r>
      <w:r w:rsidR="00EE50AE" w:rsidRPr="001F40CB">
        <w:rPr>
          <w:iCs/>
        </w:rPr>
        <w:t xml:space="preserve"> </w:t>
      </w:r>
      <w:r w:rsidR="00E606A5" w:rsidRPr="001F40CB">
        <w:rPr>
          <w:iCs/>
        </w:rPr>
        <w:t>ASEAN lacks effective mechanisms to drive progress at the national level</w:t>
      </w:r>
      <w:r w:rsidR="00BF418D" w:rsidRPr="001F40CB">
        <w:rPr>
          <w:iCs/>
        </w:rPr>
        <w:t xml:space="preserve">, making it difficult to </w:t>
      </w:r>
      <w:r w:rsidR="00B307AE" w:rsidRPr="001F40CB">
        <w:rPr>
          <w:iCs/>
        </w:rPr>
        <w:t>identify impact from</w:t>
      </w:r>
      <w:r w:rsidR="00B307AE">
        <w:rPr>
          <w:iCs/>
        </w:rPr>
        <w:t xml:space="preserve"> the program’s analytical work</w:t>
      </w:r>
      <w:r w:rsidR="00803231" w:rsidRPr="00EE50AE">
        <w:rPr>
          <w:iCs/>
        </w:rPr>
        <w:t xml:space="preserve">. </w:t>
      </w:r>
      <w:r w:rsidR="00EE50AE" w:rsidRPr="00475334">
        <w:rPr>
          <w:iCs/>
        </w:rPr>
        <w:t>DFAT stakeholders in Canberra and the two case study countries also identified a lack of coordination between regional and bilateral programs on trade facilitation as a constraint on effectiveness</w:t>
      </w:r>
      <w:r w:rsidR="005A000A" w:rsidRPr="00EE50AE">
        <w:rPr>
          <w:iCs/>
        </w:rPr>
        <w:t>.</w:t>
      </w:r>
    </w:p>
    <w:p w14:paraId="55DED065" w14:textId="77777777" w:rsidR="000D0758" w:rsidRPr="001B3B93" w:rsidRDefault="001A77A5" w:rsidP="001A77A5">
      <w:pPr>
        <w:rPr>
          <w:i/>
          <w:color w:val="296C60" w:themeColor="background2" w:themeShade="80"/>
          <w:szCs w:val="23"/>
        </w:rPr>
      </w:pPr>
      <w:r w:rsidRPr="001B3B93">
        <w:rPr>
          <w:i/>
          <w:color w:val="296C60" w:themeColor="background2" w:themeShade="80"/>
          <w:szCs w:val="23"/>
        </w:rPr>
        <w:t>Peer</w:t>
      </w:r>
      <w:r w:rsidR="006312AE" w:rsidRPr="001B3B93">
        <w:rPr>
          <w:i/>
          <w:color w:val="296C60" w:themeColor="background2" w:themeShade="80"/>
          <w:szCs w:val="23"/>
        </w:rPr>
        <w:t>-</w:t>
      </w:r>
      <w:r w:rsidRPr="001B3B93">
        <w:rPr>
          <w:i/>
          <w:color w:val="296C60" w:themeColor="background2" w:themeShade="80"/>
          <w:szCs w:val="23"/>
        </w:rPr>
        <w:t>to</w:t>
      </w:r>
      <w:r w:rsidR="006312AE" w:rsidRPr="001B3B93">
        <w:rPr>
          <w:i/>
          <w:color w:val="296C60" w:themeColor="background2" w:themeShade="80"/>
          <w:szCs w:val="23"/>
        </w:rPr>
        <w:t>-</w:t>
      </w:r>
      <w:r w:rsidRPr="001B3B93">
        <w:rPr>
          <w:i/>
          <w:color w:val="296C60" w:themeColor="background2" w:themeShade="80"/>
          <w:szCs w:val="23"/>
        </w:rPr>
        <w:t>peer partnerships with Australian institutions</w:t>
      </w:r>
    </w:p>
    <w:p w14:paraId="5FED8DCD" w14:textId="65352012" w:rsidR="00522D4E" w:rsidRPr="001B3B93" w:rsidRDefault="001A77A5" w:rsidP="00263718">
      <w:r w:rsidRPr="001B3B93">
        <w:t xml:space="preserve">A second </w:t>
      </w:r>
      <w:r w:rsidR="00244645">
        <w:t xml:space="preserve">approach to </w:t>
      </w:r>
      <w:r w:rsidRPr="001B3B93">
        <w:t>knowledge-based assistance is building partnerships between partner country institutions and their counterparts in Australia. Th</w:t>
      </w:r>
      <w:r w:rsidR="00E606A5">
        <w:t xml:space="preserve">e peer-to-peer partnership model </w:t>
      </w:r>
      <w:r w:rsidRPr="001B3B93">
        <w:t>is a strong feature of the Indonesia portfolio, where the Government Partnership F</w:t>
      </w:r>
      <w:r w:rsidR="00F219BE">
        <w:t>und</w:t>
      </w:r>
      <w:r w:rsidR="00ED4291">
        <w:t>—</w:t>
      </w:r>
      <w:r w:rsidR="00415E9C" w:rsidRPr="001F40CB">
        <w:t xml:space="preserve">Phase II </w:t>
      </w:r>
      <w:r w:rsidRPr="001F40CB">
        <w:t xml:space="preserve">(GPF: </w:t>
      </w:r>
      <w:r w:rsidR="00244645" w:rsidRPr="001F40CB">
        <w:t>AUD118 million</w:t>
      </w:r>
      <w:r w:rsidR="00CC4A45" w:rsidRPr="001F40CB">
        <w:t xml:space="preserve">; </w:t>
      </w:r>
      <w:r w:rsidR="00A512D7" w:rsidRPr="001F40CB">
        <w:t>2</w:t>
      </w:r>
      <w:r w:rsidR="00CC4A45" w:rsidRPr="001F40CB">
        <w:t>011–17</w:t>
      </w:r>
      <w:r w:rsidRPr="001F40CB">
        <w:t>) supports 13 such partnerships</w:t>
      </w:r>
      <w:r w:rsidR="00522D4E" w:rsidRPr="001F40CB">
        <w:t xml:space="preserve">, in areas such as public financial management, revenue raising, </w:t>
      </w:r>
      <w:r w:rsidR="00853231" w:rsidRPr="001F40CB">
        <w:t xml:space="preserve">finance sector regulation, </w:t>
      </w:r>
      <w:r w:rsidR="00522D4E" w:rsidRPr="001F40CB">
        <w:t>statistics</w:t>
      </w:r>
      <w:r w:rsidR="00522D4E" w:rsidRPr="001B3B93">
        <w:t xml:space="preserve"> and transport safety</w:t>
      </w:r>
      <w:r w:rsidRPr="001B3B93">
        <w:t>.</w:t>
      </w:r>
      <w:r w:rsidR="00522D4E" w:rsidRPr="001B3B93">
        <w:t xml:space="preserve"> </w:t>
      </w:r>
      <w:r w:rsidR="000D363D" w:rsidRPr="001B3B93">
        <w:t xml:space="preserve">They </w:t>
      </w:r>
      <w:r w:rsidR="00853231" w:rsidRPr="001B3B93">
        <w:t xml:space="preserve">include </w:t>
      </w:r>
      <w:r w:rsidR="00522D4E" w:rsidRPr="001B3B93">
        <w:t xml:space="preserve">long-term </w:t>
      </w:r>
      <w:r w:rsidR="00853231" w:rsidRPr="001B3B93">
        <w:t>(2</w:t>
      </w:r>
      <w:r w:rsidR="008D319B">
        <w:t xml:space="preserve"> to </w:t>
      </w:r>
      <w:r w:rsidR="00853231" w:rsidRPr="001B3B93">
        <w:t xml:space="preserve">4 year) </w:t>
      </w:r>
      <w:r w:rsidR="00522D4E" w:rsidRPr="001B3B93">
        <w:t>resident advisers from Australia in Indonesian institutions, as well short-term visits and exchanges</w:t>
      </w:r>
      <w:r w:rsidR="00853231" w:rsidRPr="001B3B93">
        <w:t xml:space="preserve"> in both directions</w:t>
      </w:r>
      <w:r w:rsidR="00522D4E" w:rsidRPr="001B3B93">
        <w:t xml:space="preserve">. </w:t>
      </w:r>
      <w:r w:rsidR="00853231" w:rsidRPr="001B3B93">
        <w:t>The model is a decentralised one, with each partnership setting its own priorities and reporting on its results.</w:t>
      </w:r>
      <w:r w:rsidR="000D363D" w:rsidRPr="001B3B93">
        <w:t xml:space="preserve"> In Vietnam, </w:t>
      </w:r>
      <w:r w:rsidR="00263718" w:rsidRPr="001B3B93">
        <w:t>the</w:t>
      </w:r>
      <w:r w:rsidR="000B6D04">
        <w:t xml:space="preserve"> Productivity Commission and the </w:t>
      </w:r>
      <w:r w:rsidR="00263718" w:rsidRPr="001B3B93">
        <w:t xml:space="preserve">Australian Competition and Consumer Commissioner has been involved in the </w:t>
      </w:r>
      <w:r w:rsidR="00F219BE">
        <w:t>RCV</w:t>
      </w:r>
      <w:r w:rsidR="00413A7B">
        <w:t xml:space="preserve"> </w:t>
      </w:r>
      <w:r w:rsidR="00263718" w:rsidRPr="001B3B93">
        <w:t>program, and there has been some peer-to-peer engagement in the agriculture and water sectors.</w:t>
      </w:r>
      <w:r w:rsidR="00E606A5">
        <w:t xml:space="preserve"> Peer-to-peer partnerships have also been established in the regional program</w:t>
      </w:r>
      <w:r w:rsidR="008D319B">
        <w:t>.</w:t>
      </w:r>
      <w:r w:rsidR="00EF6C2F">
        <w:t xml:space="preserve"> </w:t>
      </w:r>
      <w:r w:rsidR="008D319B">
        <w:lastRenderedPageBreak/>
        <w:t>T</w:t>
      </w:r>
      <w:r w:rsidR="00E606A5">
        <w:t>he Australian Securities and Investments Commission</w:t>
      </w:r>
      <w:r w:rsidR="008D319B">
        <w:t>, for example,</w:t>
      </w:r>
      <w:r w:rsidR="00E606A5">
        <w:t xml:space="preserve"> shar</w:t>
      </w:r>
      <w:r w:rsidR="00EC751F">
        <w:t>es</w:t>
      </w:r>
      <w:r w:rsidR="00E606A5">
        <w:t xml:space="preserve"> Australia’s approach to financial technology regulation with ASEAN countries.</w:t>
      </w:r>
    </w:p>
    <w:p w14:paraId="3765ECE1" w14:textId="45745793" w:rsidR="00263718" w:rsidRPr="001B3B93" w:rsidRDefault="00B11D2B" w:rsidP="00263718">
      <w:r>
        <w:t>Key stakeholders (in DFAT and counterpart institutions) identified that t</w:t>
      </w:r>
      <w:r w:rsidR="00263718" w:rsidRPr="001B3B93">
        <w:t xml:space="preserve">his form of assistance offers </w:t>
      </w:r>
      <w:r w:rsidR="008D319B">
        <w:t xml:space="preserve">some </w:t>
      </w:r>
      <w:r w:rsidR="00263718" w:rsidRPr="001B3B93">
        <w:t>strengths</w:t>
      </w:r>
      <w:r w:rsidR="008D319B">
        <w:t>, including:</w:t>
      </w:r>
    </w:p>
    <w:p w14:paraId="37C48DB4" w14:textId="3BCAB711" w:rsidR="00263718" w:rsidRPr="00DD117F" w:rsidRDefault="00263718" w:rsidP="00DD117F">
      <w:pPr>
        <w:pStyle w:val="NumberedList1"/>
        <w:rPr>
          <w:color w:val="434343" w:themeColor="text1"/>
        </w:rPr>
      </w:pPr>
      <w:r w:rsidRPr="00DD117F">
        <w:rPr>
          <w:color w:val="434343" w:themeColor="text1"/>
        </w:rPr>
        <w:t>The counterparts value the opportunity to interact with Australian peers</w:t>
      </w:r>
      <w:r w:rsidR="00B11D2B" w:rsidRPr="00DD117F">
        <w:rPr>
          <w:color w:val="434343" w:themeColor="text1"/>
        </w:rPr>
        <w:t xml:space="preserve">, </w:t>
      </w:r>
      <w:r w:rsidR="00244645" w:rsidRPr="00DD117F">
        <w:rPr>
          <w:color w:val="434343" w:themeColor="text1"/>
        </w:rPr>
        <w:t>who</w:t>
      </w:r>
      <w:r w:rsidR="00B11D2B" w:rsidRPr="00DD117F">
        <w:rPr>
          <w:color w:val="434343" w:themeColor="text1"/>
        </w:rPr>
        <w:t xml:space="preserve"> </w:t>
      </w:r>
      <w:r w:rsidR="00760D34" w:rsidRPr="00DD117F">
        <w:rPr>
          <w:color w:val="434343" w:themeColor="text1"/>
        </w:rPr>
        <w:t xml:space="preserve">offer up-to-date knowledge of current issues </w:t>
      </w:r>
      <w:r w:rsidR="00B11D2B" w:rsidRPr="00DD117F">
        <w:rPr>
          <w:color w:val="434343" w:themeColor="text1"/>
        </w:rPr>
        <w:t xml:space="preserve">that </w:t>
      </w:r>
      <w:r w:rsidR="00760D34" w:rsidRPr="00DD117F">
        <w:rPr>
          <w:color w:val="434343" w:themeColor="text1"/>
        </w:rPr>
        <w:t>may not be available from the consulting market.</w:t>
      </w:r>
    </w:p>
    <w:p w14:paraId="6359172D" w14:textId="2B07FF12" w:rsidR="00B11D2B" w:rsidRPr="00DD117F" w:rsidRDefault="008D319B" w:rsidP="00DD117F">
      <w:pPr>
        <w:pStyle w:val="NumberedList1"/>
        <w:rPr>
          <w:color w:val="434343" w:themeColor="text1"/>
        </w:rPr>
      </w:pPr>
      <w:r>
        <w:rPr>
          <w:color w:val="434343" w:themeColor="text1"/>
        </w:rPr>
        <w:t>The assistance</w:t>
      </w:r>
      <w:r w:rsidRPr="00DD117F">
        <w:rPr>
          <w:color w:val="434343" w:themeColor="text1"/>
        </w:rPr>
        <w:t xml:space="preserve"> </w:t>
      </w:r>
      <w:r w:rsidR="00B11D2B" w:rsidRPr="00DD117F">
        <w:rPr>
          <w:color w:val="434343" w:themeColor="text1"/>
        </w:rPr>
        <w:t>may be more sustainable tha</w:t>
      </w:r>
      <w:r w:rsidR="00244645" w:rsidRPr="00DD117F">
        <w:rPr>
          <w:color w:val="434343" w:themeColor="text1"/>
        </w:rPr>
        <w:t>n</w:t>
      </w:r>
      <w:r w:rsidR="00B11D2B" w:rsidRPr="00DD117F">
        <w:rPr>
          <w:color w:val="434343" w:themeColor="text1"/>
        </w:rPr>
        <w:t xml:space="preserve"> technical support delivered through contractors or the MDBs.</w:t>
      </w:r>
    </w:p>
    <w:p w14:paraId="0A7D0F01" w14:textId="123EAB44" w:rsidR="00760D34" w:rsidRPr="00DD117F" w:rsidRDefault="00760D34" w:rsidP="00DD117F">
      <w:pPr>
        <w:pStyle w:val="NumberedList1"/>
        <w:rPr>
          <w:color w:val="434343" w:themeColor="text1"/>
        </w:rPr>
      </w:pPr>
      <w:r w:rsidRPr="00DD117F">
        <w:rPr>
          <w:color w:val="434343" w:themeColor="text1"/>
        </w:rPr>
        <w:t>The partnerships help to build ties between individual</w:t>
      </w:r>
      <w:r w:rsidR="00391B04" w:rsidRPr="00DD117F">
        <w:rPr>
          <w:color w:val="434343" w:themeColor="text1"/>
        </w:rPr>
        <w:t>s</w:t>
      </w:r>
      <w:r w:rsidRPr="00DD117F">
        <w:rPr>
          <w:color w:val="434343" w:themeColor="text1"/>
        </w:rPr>
        <w:t xml:space="preserve"> and institutions in the two countries. </w:t>
      </w:r>
      <w:r w:rsidR="00A26A53" w:rsidRPr="00DD117F">
        <w:rPr>
          <w:color w:val="434343" w:themeColor="text1"/>
        </w:rPr>
        <w:t xml:space="preserve">As well as fostering </w:t>
      </w:r>
      <w:r w:rsidRPr="00DD117F">
        <w:rPr>
          <w:color w:val="434343" w:themeColor="text1"/>
        </w:rPr>
        <w:t>knowledge and understanding of Australia</w:t>
      </w:r>
      <w:r w:rsidR="00A26A53" w:rsidRPr="00DD117F">
        <w:rPr>
          <w:color w:val="434343" w:themeColor="text1"/>
        </w:rPr>
        <w:t xml:space="preserve">, they build </w:t>
      </w:r>
      <w:r w:rsidRPr="00DD117F">
        <w:rPr>
          <w:color w:val="434343" w:themeColor="text1"/>
        </w:rPr>
        <w:t>operational linkages</w:t>
      </w:r>
      <w:r w:rsidR="00A26A53" w:rsidRPr="00DD117F">
        <w:rPr>
          <w:color w:val="434343" w:themeColor="text1"/>
        </w:rPr>
        <w:t>,</w:t>
      </w:r>
      <w:r w:rsidRPr="00DD117F">
        <w:rPr>
          <w:color w:val="434343" w:themeColor="text1"/>
        </w:rPr>
        <w:t xml:space="preserve"> to the benefit of both sides</w:t>
      </w:r>
      <w:r w:rsidR="00C54998" w:rsidRPr="00DD117F">
        <w:rPr>
          <w:color w:val="434343" w:themeColor="text1"/>
        </w:rPr>
        <w:t xml:space="preserve"> (Box 1</w:t>
      </w:r>
      <w:r w:rsidR="003529C8" w:rsidRPr="00DD117F">
        <w:rPr>
          <w:color w:val="434343" w:themeColor="text1"/>
        </w:rPr>
        <w:t>1</w:t>
      </w:r>
      <w:r w:rsidR="00C54998" w:rsidRPr="00DD117F">
        <w:rPr>
          <w:color w:val="434343" w:themeColor="text1"/>
        </w:rPr>
        <w:t>)</w:t>
      </w:r>
      <w:r w:rsidRPr="00DD117F">
        <w:rPr>
          <w:color w:val="434343" w:themeColor="text1"/>
        </w:rPr>
        <w:t>.</w:t>
      </w:r>
    </w:p>
    <w:p w14:paraId="7AB56051" w14:textId="31CFE13E" w:rsidR="00760D34" w:rsidRPr="001B3B93" w:rsidRDefault="00760D34" w:rsidP="00805C6E">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EA2B6E">
        <w:t>1</w:t>
      </w:r>
      <w:r w:rsidR="003529C8">
        <w:t>1</w:t>
      </w:r>
      <w:r w:rsidRPr="001B3B93">
        <w:t xml:space="preserve">: The </w:t>
      </w:r>
      <w:r w:rsidRPr="006557B9">
        <w:t>peer</w:t>
      </w:r>
      <w:r w:rsidRPr="001B3B93">
        <w:t>-to-peer partnership on financial intelligence</w:t>
      </w:r>
    </w:p>
    <w:p w14:paraId="1B3D0428" w14:textId="1E3A17BE" w:rsidR="00760D34" w:rsidRDefault="00A26A53" w:rsidP="00760D34">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A strong example of peer-to-peer partnership </w:t>
      </w:r>
      <w:r w:rsidR="00DD4911" w:rsidRPr="001B3B93">
        <w:t xml:space="preserve">is </w:t>
      </w:r>
      <w:r w:rsidRPr="001B3B93">
        <w:t xml:space="preserve">the cooperation between </w:t>
      </w:r>
      <w:r w:rsidR="008D319B">
        <w:t xml:space="preserve">the </w:t>
      </w:r>
      <w:bookmarkStart w:id="92" w:name="_Hlk521048795"/>
      <w:r w:rsidR="008D319B" w:rsidRPr="008D319B">
        <w:t xml:space="preserve">Australian Transaction Reports and Analysis Centre </w:t>
      </w:r>
      <w:r w:rsidR="008D319B">
        <w:t>(</w:t>
      </w:r>
      <w:r w:rsidR="00DD4911" w:rsidRPr="001B3B93">
        <w:t>AUSTRAC</w:t>
      </w:r>
      <w:r w:rsidR="008D319B">
        <w:t>)</w:t>
      </w:r>
      <w:r w:rsidR="00DD4911" w:rsidRPr="001B3B93">
        <w:t xml:space="preserve"> </w:t>
      </w:r>
      <w:bookmarkEnd w:id="92"/>
      <w:r w:rsidR="00DD4911" w:rsidRPr="001B3B93">
        <w:t>and the Indonesian financial</w:t>
      </w:r>
      <w:r w:rsidRPr="001B3B93">
        <w:t xml:space="preserve"> </w:t>
      </w:r>
      <w:r w:rsidR="00DD4911" w:rsidRPr="001B3B93">
        <w:t xml:space="preserve">intelligence agency, </w:t>
      </w:r>
      <w:bookmarkStart w:id="93" w:name="_Hlk521048809"/>
      <w:r w:rsidR="00DD4911" w:rsidRPr="001B3B93">
        <w:t>PPATK</w:t>
      </w:r>
      <w:bookmarkEnd w:id="93"/>
      <w:r w:rsidR="0007248B" w:rsidRPr="001B3B93">
        <w:t>. PPATK use</w:t>
      </w:r>
      <w:r w:rsidRPr="001B3B93">
        <w:t>s</w:t>
      </w:r>
      <w:r w:rsidR="0007248B" w:rsidRPr="001B3B93">
        <w:t xml:space="preserve"> financial intelligence to combat </w:t>
      </w:r>
      <w:r w:rsidRPr="001B3B93">
        <w:t xml:space="preserve">tax evasion, </w:t>
      </w:r>
      <w:r w:rsidR="0007248B" w:rsidRPr="001B3B93">
        <w:t>money laundering</w:t>
      </w:r>
      <w:r w:rsidRPr="001B3B93">
        <w:t xml:space="preserve"> </w:t>
      </w:r>
      <w:r w:rsidR="0007248B" w:rsidRPr="001B3B93">
        <w:t xml:space="preserve">and the financing of terrorism. </w:t>
      </w:r>
      <w:r w:rsidRPr="001B3B93">
        <w:t>It generates 80</w:t>
      </w:r>
      <w:r w:rsidR="002D3FAC">
        <w:t xml:space="preserve"> </w:t>
      </w:r>
      <w:r w:rsidR="002D3FAC" w:rsidRPr="002D3FAC">
        <w:t xml:space="preserve">per cent </w:t>
      </w:r>
      <w:r w:rsidRPr="001B3B93">
        <w:t xml:space="preserve">of the cases for Indonesia’s anti-corruption commission. </w:t>
      </w:r>
      <w:r w:rsidR="003A53D5" w:rsidRPr="001B3B93">
        <w:t xml:space="preserve">AUSTRAC offers support on policy and regulations, information technology and staff training. </w:t>
      </w:r>
      <w:r w:rsidR="00B11D2B">
        <w:t xml:space="preserve">According to </w:t>
      </w:r>
      <w:r w:rsidR="00EE50AE">
        <w:t>PPATK’s management</w:t>
      </w:r>
      <w:r w:rsidR="00B11D2B">
        <w:t>, t</w:t>
      </w:r>
      <w:r w:rsidR="003A53D5" w:rsidRPr="001B3B93">
        <w:t>he</w:t>
      </w:r>
      <w:r w:rsidRPr="001B3B93">
        <w:t xml:space="preserve"> </w:t>
      </w:r>
      <w:r w:rsidR="00B11D2B">
        <w:t xml:space="preserve">development of </w:t>
      </w:r>
      <w:r w:rsidRPr="001B3B93">
        <w:t>operational links between the two institutions</w:t>
      </w:r>
      <w:r w:rsidR="003A53D5" w:rsidRPr="001B3B93">
        <w:t xml:space="preserve"> </w:t>
      </w:r>
      <w:r w:rsidR="00B11D2B">
        <w:t xml:space="preserve">is </w:t>
      </w:r>
      <w:r w:rsidRPr="001B3B93">
        <w:t>of considerable practical value</w:t>
      </w:r>
      <w:r w:rsidR="00B11D2B">
        <w:t>,</w:t>
      </w:r>
      <w:r w:rsidRPr="001B3B93">
        <w:t xml:space="preserve"> given the cross-border nature of </w:t>
      </w:r>
      <w:r w:rsidR="00410BC2" w:rsidRPr="001B3B93">
        <w:t>their work</w:t>
      </w:r>
      <w:r w:rsidR="00B11D2B">
        <w:t xml:space="preserve">. </w:t>
      </w:r>
      <w:r w:rsidR="00EE50AE">
        <w:t xml:space="preserve">AUSTRAC informed </w:t>
      </w:r>
      <w:r w:rsidR="00DD117F">
        <w:t>the evaluation team</w:t>
      </w:r>
      <w:r w:rsidR="00AE477E">
        <w:t xml:space="preserve"> </w:t>
      </w:r>
      <w:r w:rsidR="00EE50AE">
        <w:t>that i</w:t>
      </w:r>
      <w:r w:rsidR="00B11D2B">
        <w:t xml:space="preserve">t </w:t>
      </w:r>
      <w:r w:rsidR="00126596">
        <w:t xml:space="preserve">has </w:t>
      </w:r>
      <w:r w:rsidR="00B11D2B">
        <w:t xml:space="preserve">also </w:t>
      </w:r>
      <w:r w:rsidR="00126596">
        <w:t>given Australia an ally in pursuing wider regional cooperation</w:t>
      </w:r>
      <w:r w:rsidR="00B11D2B">
        <w:t xml:space="preserve"> on counter-terrorism financing</w:t>
      </w:r>
      <w:r w:rsidR="00410BC2" w:rsidRPr="001B3B93">
        <w:t>.</w:t>
      </w:r>
    </w:p>
    <w:p w14:paraId="6C4513C8" w14:textId="451D7D7D" w:rsidR="00EA2B6E" w:rsidRPr="003D3BD9" w:rsidRDefault="00EA2B6E" w:rsidP="00760D34">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3D3BD9">
        <w:t>Source:</w:t>
      </w:r>
      <w:r w:rsidR="00B11D2B" w:rsidRPr="003D3BD9">
        <w:t xml:space="preserve"> Key stakeholder interviews</w:t>
      </w:r>
      <w:r w:rsidR="003920A9" w:rsidRPr="003D3BD9">
        <w:t>.</w:t>
      </w:r>
    </w:p>
    <w:p w14:paraId="0ED52868" w14:textId="77777777" w:rsidR="00760D34" w:rsidRPr="001B3B93" w:rsidRDefault="00760D34" w:rsidP="00760D34"/>
    <w:p w14:paraId="227BE843" w14:textId="68C9421C" w:rsidR="00422D25" w:rsidRPr="001B3B93" w:rsidRDefault="008D319B" w:rsidP="00760D34">
      <w:r>
        <w:t>P</w:t>
      </w:r>
      <w:r w:rsidR="00410BC2" w:rsidRPr="001B3B93">
        <w:t>eer-to-peer partnerships</w:t>
      </w:r>
      <w:r>
        <w:t xml:space="preserve"> present other challenges</w:t>
      </w:r>
      <w:r w:rsidR="00410BC2" w:rsidRPr="001B3B93">
        <w:t xml:space="preserve">. </w:t>
      </w:r>
    </w:p>
    <w:p w14:paraId="7C474F26" w14:textId="4B66DAB8" w:rsidR="00DC500D" w:rsidRDefault="00DC500D" w:rsidP="000C55B6">
      <w:pPr>
        <w:pStyle w:val="ListParagraph"/>
        <w:numPr>
          <w:ilvl w:val="0"/>
          <w:numId w:val="23"/>
        </w:numPr>
      </w:pPr>
      <w:r>
        <w:t>According to the GPF design document, there are challenges with matching skills on offer from the Australian partner to the needs of the Indonesian counterpart. As a result, peer-to-peer support is not necessarily able to support the highest priority reforms of the Indonesian agencies.</w:t>
      </w:r>
      <w:r>
        <w:rPr>
          <w:rStyle w:val="FootnoteReference"/>
        </w:rPr>
        <w:footnoteReference w:id="71"/>
      </w:r>
      <w:r w:rsidRPr="00DC500D">
        <w:t xml:space="preserve"> </w:t>
      </w:r>
      <w:r>
        <w:t xml:space="preserve">Several </w:t>
      </w:r>
      <w:r w:rsidRPr="001B3B93">
        <w:t>Indonesian counterparts suggested the role ha</w:t>
      </w:r>
      <w:r>
        <w:t>d</w:t>
      </w:r>
      <w:r w:rsidRPr="001B3B93">
        <w:t xml:space="preserve"> to be tailored to the </w:t>
      </w:r>
      <w:r>
        <w:t>skills of the deployee</w:t>
      </w:r>
      <w:r w:rsidRPr="001B3B93">
        <w:t>.</w:t>
      </w:r>
    </w:p>
    <w:p w14:paraId="068A1AF3" w14:textId="10CB83A7" w:rsidR="008D0F3A" w:rsidRPr="001B3B93" w:rsidRDefault="008D0F3A" w:rsidP="000C55B6">
      <w:pPr>
        <w:pStyle w:val="ListParagraph"/>
        <w:numPr>
          <w:ilvl w:val="0"/>
          <w:numId w:val="23"/>
        </w:numPr>
      </w:pPr>
      <w:r w:rsidRPr="001B3B93">
        <w:t xml:space="preserve">Australian agencies must be willing to invest in building their </w:t>
      </w:r>
      <w:r w:rsidR="00DD117F">
        <w:t>knowledge of good practice in capacity building as well as building their knowledge of the partner country and its program management systems.</w:t>
      </w:r>
      <w:r w:rsidRPr="001B3B93">
        <w:t xml:space="preserve"> </w:t>
      </w:r>
      <w:r w:rsidR="008E7C1B" w:rsidRPr="001B3B93">
        <w:t>R</w:t>
      </w:r>
      <w:r w:rsidRPr="001B3B93">
        <w:t xml:space="preserve">eviews </w:t>
      </w:r>
      <w:r w:rsidR="008E7C1B" w:rsidRPr="001B3B93">
        <w:t xml:space="preserve">of earlier iterations of </w:t>
      </w:r>
      <w:r w:rsidR="008E7C1B" w:rsidRPr="00000AA1">
        <w:t xml:space="preserve">the </w:t>
      </w:r>
      <w:r w:rsidR="00A512D7" w:rsidRPr="00000AA1">
        <w:t>GPF</w:t>
      </w:r>
      <w:r w:rsidR="008D319B" w:rsidRPr="00000AA1">
        <w:t>, for example</w:t>
      </w:r>
      <w:r w:rsidR="004C5AC8" w:rsidRPr="00000AA1">
        <w:t>,</w:t>
      </w:r>
      <w:r w:rsidR="008E7C1B" w:rsidRPr="00000AA1">
        <w:t xml:space="preserve"> </w:t>
      </w:r>
      <w:r w:rsidRPr="00000AA1">
        <w:t>found that</w:t>
      </w:r>
      <w:r w:rsidRPr="001B3B93">
        <w:t xml:space="preserve"> if </w:t>
      </w:r>
      <w:r w:rsidR="008E7C1B" w:rsidRPr="001B3B93">
        <w:t xml:space="preserve">agencies </w:t>
      </w:r>
      <w:r w:rsidRPr="001B3B93">
        <w:t xml:space="preserve">are not fully committed, </w:t>
      </w:r>
      <w:r w:rsidR="008D319B">
        <w:t>this</w:t>
      </w:r>
      <w:r w:rsidR="008D319B" w:rsidRPr="001B3B93">
        <w:t xml:space="preserve"> </w:t>
      </w:r>
      <w:r w:rsidRPr="001B3B93">
        <w:t>may damage the partnership.</w:t>
      </w:r>
      <w:r w:rsidRPr="001B3B93">
        <w:rPr>
          <w:rStyle w:val="FootnoteReference"/>
        </w:rPr>
        <w:footnoteReference w:id="72"/>
      </w:r>
    </w:p>
    <w:p w14:paraId="43FE1023" w14:textId="7CF4AC33" w:rsidR="00415E9C" w:rsidRPr="001B3B93" w:rsidRDefault="00415E9C" w:rsidP="000C55B6">
      <w:pPr>
        <w:pStyle w:val="ListParagraph"/>
        <w:numPr>
          <w:ilvl w:val="0"/>
          <w:numId w:val="23"/>
        </w:numPr>
      </w:pPr>
      <w:r w:rsidRPr="001B3B93">
        <w:lastRenderedPageBreak/>
        <w:t>Peer-to-peer relationships may lead to an overreliance on training as the dominant form of support. The literature suggests that capacity gaps, while widespread in middle-income contexts, are not usually the binding constraint on organisational performance or policy reform</w:t>
      </w:r>
      <w:r w:rsidR="008024E6" w:rsidRPr="001B3B93">
        <w:t>.</w:t>
      </w:r>
      <w:r w:rsidR="00896D3B">
        <w:rPr>
          <w:rStyle w:val="FootnoteReference"/>
        </w:rPr>
        <w:footnoteReference w:id="73"/>
      </w:r>
    </w:p>
    <w:p w14:paraId="04BDF9F1" w14:textId="11B609FB" w:rsidR="00C5382D" w:rsidRPr="001B3B93" w:rsidRDefault="00C5382D" w:rsidP="000C55B6">
      <w:pPr>
        <w:pStyle w:val="ListParagraph"/>
        <w:numPr>
          <w:ilvl w:val="0"/>
          <w:numId w:val="23"/>
        </w:numPr>
      </w:pPr>
      <w:r w:rsidRPr="001B3B93">
        <w:t xml:space="preserve">Australian experience may not always be the most relevant to the needs of the partner country. </w:t>
      </w:r>
      <w:r w:rsidR="008D0F3A" w:rsidRPr="001B3B93">
        <w:t xml:space="preserve">It may be more appropriate to facilitate the counterparts’ access to </w:t>
      </w:r>
      <w:r w:rsidRPr="001B3B93">
        <w:t>experience from elsewhere in the region</w:t>
      </w:r>
      <w:r w:rsidR="00896D3B">
        <w:t>.</w:t>
      </w:r>
    </w:p>
    <w:p w14:paraId="7B62F0FF" w14:textId="59EFEB5C" w:rsidR="00415E9C" w:rsidRPr="001B3B93" w:rsidRDefault="003F0083" w:rsidP="000C55B6">
      <w:pPr>
        <w:pStyle w:val="ListParagraph"/>
        <w:numPr>
          <w:ilvl w:val="0"/>
          <w:numId w:val="23"/>
        </w:numPr>
      </w:pPr>
      <w:r>
        <w:t>W</w:t>
      </w:r>
      <w:r w:rsidR="00422D25" w:rsidRPr="001B3B93">
        <w:t xml:space="preserve">here monitoring responsibilities are devolved to </w:t>
      </w:r>
      <w:r>
        <w:t xml:space="preserve">the </w:t>
      </w:r>
      <w:r w:rsidR="00422D25" w:rsidRPr="001B3B93">
        <w:t xml:space="preserve">Australian government agencies </w:t>
      </w:r>
      <w:r>
        <w:t>involved</w:t>
      </w:r>
      <w:r w:rsidR="00422D25" w:rsidRPr="001B3B93">
        <w:t xml:space="preserve">, the quality of </w:t>
      </w:r>
      <w:r w:rsidR="00C5382D" w:rsidRPr="001B3B93">
        <w:t xml:space="preserve">reporting and </w:t>
      </w:r>
      <w:r w:rsidR="00422D25" w:rsidRPr="001B3B93">
        <w:t xml:space="preserve">results management is not </w:t>
      </w:r>
      <w:r w:rsidR="00C5382D" w:rsidRPr="001B3B93">
        <w:t>necessarily strong, which makes it difficult to assess what is being achieved</w:t>
      </w:r>
      <w:r w:rsidR="00422D25" w:rsidRPr="001B3B93">
        <w:t>.</w:t>
      </w:r>
      <w:r w:rsidR="00896D3B">
        <w:rPr>
          <w:rStyle w:val="FootnoteReference"/>
        </w:rPr>
        <w:footnoteReference w:id="74"/>
      </w:r>
    </w:p>
    <w:p w14:paraId="1DC4656B" w14:textId="339C6F74" w:rsidR="00522D4E" w:rsidRPr="001B3B93" w:rsidRDefault="003F0083" w:rsidP="00C2353D">
      <w:r>
        <w:t xml:space="preserve">DFAT Indonesia is </w:t>
      </w:r>
      <w:r w:rsidR="00422D25" w:rsidRPr="001B3B93">
        <w:t>bring</w:t>
      </w:r>
      <w:r>
        <w:t>ing</w:t>
      </w:r>
      <w:r w:rsidR="00422D25" w:rsidRPr="001B3B93">
        <w:t xml:space="preserve"> GPF and AIPEG together into a single facility, with a shared set of strategic planning and results reporting processes. </w:t>
      </w:r>
      <w:r>
        <w:t xml:space="preserve">This may help to address some of these </w:t>
      </w:r>
      <w:r w:rsidR="008D319B">
        <w:t>challenges</w:t>
      </w:r>
      <w:r>
        <w:t>.</w:t>
      </w:r>
    </w:p>
    <w:p w14:paraId="12737A3D" w14:textId="77777777" w:rsidR="0079112B" w:rsidRPr="001B3B93" w:rsidRDefault="00B36244" w:rsidP="00B36244">
      <w:pPr>
        <w:rPr>
          <w:i/>
          <w:color w:val="296C60" w:themeColor="background2" w:themeShade="80"/>
          <w:szCs w:val="23"/>
        </w:rPr>
      </w:pPr>
      <w:r w:rsidRPr="001B3B93">
        <w:rPr>
          <w:i/>
          <w:color w:val="296C60" w:themeColor="background2" w:themeShade="80"/>
          <w:szCs w:val="23"/>
        </w:rPr>
        <w:t>Trust funds with multilateral development banks</w:t>
      </w:r>
    </w:p>
    <w:p w14:paraId="73252AC2" w14:textId="559CC209" w:rsidR="003C73B3" w:rsidRPr="001B3B93" w:rsidRDefault="00B36244" w:rsidP="00B36244">
      <w:r w:rsidRPr="001B3B93">
        <w:t xml:space="preserve">Once Asian MICs have graduated from the concessional windows of MDBs, there is a shortage of grant money available to fund project preparation, analytical work and technical assistance. In both countries, Australia is helping to fill </w:t>
      </w:r>
      <w:r w:rsidR="00EA6B1F" w:rsidRPr="001B3B93">
        <w:t xml:space="preserve">this </w:t>
      </w:r>
      <w:r w:rsidRPr="001B3B93">
        <w:t xml:space="preserve">gap through </w:t>
      </w:r>
      <w:r w:rsidR="003F0083">
        <w:t xml:space="preserve">establishing bilateral </w:t>
      </w:r>
      <w:r w:rsidRPr="001B3B93">
        <w:t>trust fund</w:t>
      </w:r>
      <w:r w:rsidR="003F0083">
        <w:t>s</w:t>
      </w:r>
      <w:r w:rsidRPr="001B3B93">
        <w:t xml:space="preserve">. </w:t>
      </w:r>
      <w:r w:rsidR="00A736D0" w:rsidRPr="001B3B93">
        <w:t>P</w:t>
      </w:r>
      <w:r w:rsidR="000D2A11" w:rsidRPr="001B3B93">
        <w:t xml:space="preserve">osts pointed to a number of positive contributions </w:t>
      </w:r>
      <w:r w:rsidR="00EA6B1F" w:rsidRPr="001B3B93">
        <w:t>that these</w:t>
      </w:r>
      <w:r w:rsidR="008D319B">
        <w:t xml:space="preserve"> funds</w:t>
      </w:r>
      <w:r w:rsidR="00EA6B1F" w:rsidRPr="001B3B93">
        <w:t xml:space="preserve"> are making </w:t>
      </w:r>
      <w:r w:rsidR="000D2A11" w:rsidRPr="001B3B93">
        <w:t xml:space="preserve">to economic partnerships and Australia’s </w:t>
      </w:r>
      <w:r w:rsidR="00B438F8">
        <w:t>ability to support policy and institutional reform</w:t>
      </w:r>
      <w:r w:rsidR="000D2A11" w:rsidRPr="001B3B93">
        <w:t>.</w:t>
      </w:r>
    </w:p>
    <w:p w14:paraId="73E641F2" w14:textId="0BF429FF" w:rsidR="000D2A11" w:rsidRPr="001B3B93" w:rsidRDefault="000D2A11" w:rsidP="000C55B6">
      <w:pPr>
        <w:pStyle w:val="ListParagraph"/>
        <w:numPr>
          <w:ilvl w:val="0"/>
          <w:numId w:val="24"/>
        </w:numPr>
      </w:pPr>
      <w:r w:rsidRPr="001B3B93">
        <w:t xml:space="preserve">MDBs offer </w:t>
      </w:r>
      <w:r w:rsidR="00EA6B1F" w:rsidRPr="001B3B93">
        <w:t xml:space="preserve">a depth of </w:t>
      </w:r>
      <w:r w:rsidRPr="001B3B93">
        <w:t xml:space="preserve">technical expertise in economics and </w:t>
      </w:r>
      <w:r w:rsidR="00402AED" w:rsidRPr="001B3B93">
        <w:t xml:space="preserve">other </w:t>
      </w:r>
      <w:r w:rsidRPr="001B3B93">
        <w:t>policy areas</w:t>
      </w:r>
      <w:r w:rsidR="00EA6B1F" w:rsidRPr="001B3B93">
        <w:t xml:space="preserve"> </w:t>
      </w:r>
      <w:r w:rsidR="00A736D0" w:rsidRPr="001B3B93">
        <w:t xml:space="preserve">and comparative experience from around the world </w:t>
      </w:r>
      <w:r w:rsidRPr="001B3B93">
        <w:t>that would be difficult for DFAT to engage directly.</w:t>
      </w:r>
    </w:p>
    <w:p w14:paraId="637CC94A" w14:textId="5E255777" w:rsidR="00EA6B1F" w:rsidRPr="001B3B93" w:rsidRDefault="000D2A11" w:rsidP="000C55B6">
      <w:pPr>
        <w:pStyle w:val="ListParagraph"/>
        <w:numPr>
          <w:ilvl w:val="0"/>
          <w:numId w:val="24"/>
        </w:numPr>
      </w:pPr>
      <w:r w:rsidRPr="001B3B93">
        <w:t xml:space="preserve">With their mandates and status, MDBs can challenge partner countries on </w:t>
      </w:r>
      <w:r w:rsidR="00BD5249" w:rsidRPr="001B3B93">
        <w:t xml:space="preserve">their </w:t>
      </w:r>
      <w:r w:rsidRPr="001B3B93">
        <w:t xml:space="preserve">policy choices </w:t>
      </w:r>
      <w:r w:rsidR="00592FB9" w:rsidRPr="001B3B93">
        <w:t>in ways that would be consider</w:t>
      </w:r>
      <w:r w:rsidR="00177917" w:rsidRPr="001B3B93">
        <w:t>ed</w:t>
      </w:r>
      <w:r w:rsidR="00592FB9" w:rsidRPr="001B3B93">
        <w:t xml:space="preserve"> inappropriate for a bilateral donor.</w:t>
      </w:r>
    </w:p>
    <w:p w14:paraId="4542F6C5" w14:textId="2641D413" w:rsidR="00592FB9" w:rsidRPr="001B3B93" w:rsidRDefault="00BD5249" w:rsidP="000C55B6">
      <w:pPr>
        <w:pStyle w:val="ListParagraph"/>
        <w:numPr>
          <w:ilvl w:val="0"/>
          <w:numId w:val="24"/>
        </w:numPr>
      </w:pPr>
      <w:r w:rsidRPr="001B3B93">
        <w:t xml:space="preserve">Trust funds </w:t>
      </w:r>
      <w:r w:rsidR="00B42DE1" w:rsidRPr="001B3B93">
        <w:t xml:space="preserve">can </w:t>
      </w:r>
      <w:r w:rsidR="0049158B" w:rsidRPr="001B3B93">
        <w:t xml:space="preserve">offer </w:t>
      </w:r>
      <w:r w:rsidRPr="001B3B93">
        <w:t xml:space="preserve">a means of </w:t>
      </w:r>
      <w:r w:rsidR="0049158B" w:rsidRPr="001B3B93">
        <w:t>influenc</w:t>
      </w:r>
      <w:r w:rsidRPr="001B3B93">
        <w:t>ing</w:t>
      </w:r>
      <w:r w:rsidR="0049158B" w:rsidRPr="001B3B93">
        <w:t xml:space="preserve"> the design of </w:t>
      </w:r>
      <w:r w:rsidRPr="001B3B93">
        <w:t xml:space="preserve">MDB </w:t>
      </w:r>
      <w:r w:rsidR="003F0083">
        <w:t>loans</w:t>
      </w:r>
      <w:r w:rsidR="0049158B" w:rsidRPr="001B3B93">
        <w:t xml:space="preserve">. </w:t>
      </w:r>
      <w:r w:rsidR="008D319B">
        <w:t>I</w:t>
      </w:r>
      <w:r w:rsidRPr="001B3B93">
        <w:t xml:space="preserve">n Indonesia, </w:t>
      </w:r>
      <w:r w:rsidR="008D319B">
        <w:t xml:space="preserve">for example, </w:t>
      </w:r>
      <w:r w:rsidR="00486D14" w:rsidRPr="001B3B93">
        <w:t xml:space="preserve">Australian-funded </w:t>
      </w:r>
      <w:r w:rsidRPr="001B3B93">
        <w:t xml:space="preserve">technical assistance </w:t>
      </w:r>
      <w:r w:rsidR="00486D14" w:rsidRPr="001B3B93">
        <w:t xml:space="preserve">helped to pilot new ways of financing local development projects </w:t>
      </w:r>
      <w:r w:rsidR="00B42DE1" w:rsidRPr="001B3B93">
        <w:t xml:space="preserve">designed to </w:t>
      </w:r>
      <w:r w:rsidR="00486D14" w:rsidRPr="001B3B93">
        <w:t xml:space="preserve">strengthen community participation and local governance. These innovations were then implemented at scale by government </w:t>
      </w:r>
      <w:r w:rsidR="00B42DE1" w:rsidRPr="001B3B93">
        <w:t xml:space="preserve">through its National Program for Community Empowerment, with funding from </w:t>
      </w:r>
      <w:r w:rsidR="00486D14" w:rsidRPr="001B3B93">
        <w:t>a World Bank loan.</w:t>
      </w:r>
    </w:p>
    <w:p w14:paraId="3501CA12" w14:textId="61B0BBEE" w:rsidR="00555499" w:rsidRPr="001B3B93" w:rsidRDefault="00555499" w:rsidP="00E935AC">
      <w:r w:rsidRPr="001B3B93">
        <w:t xml:space="preserve">DFAT Indonesia also noted some weaker aspects of the World Bank’s work, </w:t>
      </w:r>
      <w:r w:rsidR="001A76C0" w:rsidRPr="001B3B93">
        <w:t xml:space="preserve">compared to Australian bilateral programs, </w:t>
      </w:r>
      <w:r w:rsidRPr="001B3B93">
        <w:t xml:space="preserve">including less use of senior Indonesians as intermediaries with government and less investment in </w:t>
      </w:r>
      <w:r w:rsidR="00B42DE1" w:rsidRPr="001B3B93">
        <w:t>political economy analysis</w:t>
      </w:r>
      <w:r w:rsidRPr="001B3B93">
        <w:t xml:space="preserve">. </w:t>
      </w:r>
      <w:r w:rsidR="00232A7B" w:rsidRPr="001B3B93">
        <w:t>The World Bank also gives less attention to cross-cutting issues such as gender, disability and working with civil society.</w:t>
      </w:r>
    </w:p>
    <w:p w14:paraId="20B1DA99" w14:textId="109C391C" w:rsidR="0079112B" w:rsidRPr="001B3B93" w:rsidRDefault="00C2353D" w:rsidP="00E935AC">
      <w:r w:rsidRPr="001B3B93">
        <w:t>A</w:t>
      </w:r>
      <w:r w:rsidR="00577B2C" w:rsidRPr="001B3B93">
        <w:t xml:space="preserve"> 2015</w:t>
      </w:r>
      <w:r w:rsidRPr="001B3B93">
        <w:t xml:space="preserve"> ODE evaluation of non-core funding to the MDBs</w:t>
      </w:r>
      <w:r w:rsidRPr="001B3B93">
        <w:rPr>
          <w:rStyle w:val="FootnoteReference"/>
        </w:rPr>
        <w:footnoteReference w:id="75"/>
      </w:r>
      <w:r w:rsidR="005B0E76">
        <w:t>,</w:t>
      </w:r>
      <w:r w:rsidR="00555499" w:rsidRPr="001B3B93">
        <w:t xml:space="preserve"> which accounts for around 10</w:t>
      </w:r>
      <w:r w:rsidR="002D3FAC">
        <w:t xml:space="preserve"> per cent</w:t>
      </w:r>
      <w:r w:rsidR="002D3FAC" w:rsidRPr="001B3B93">
        <w:t xml:space="preserve"> </w:t>
      </w:r>
      <w:r w:rsidR="00555499" w:rsidRPr="001B3B93">
        <w:t>of the Australian aid budget</w:t>
      </w:r>
      <w:r w:rsidR="005B0E76">
        <w:t>,</w:t>
      </w:r>
      <w:r w:rsidR="00555499" w:rsidRPr="001B3B93">
        <w:t xml:space="preserve"> </w:t>
      </w:r>
      <w:r w:rsidR="003F0083">
        <w:t xml:space="preserve">found that it </w:t>
      </w:r>
      <w:r w:rsidR="00555499" w:rsidRPr="001B3B93">
        <w:t xml:space="preserve">can be efficient and effective, particularly </w:t>
      </w:r>
      <w:r w:rsidR="00232A7B" w:rsidRPr="001B3B93">
        <w:t xml:space="preserve">when </w:t>
      </w:r>
      <w:r w:rsidR="00555499" w:rsidRPr="001B3B93">
        <w:t xml:space="preserve">it </w:t>
      </w:r>
      <w:r w:rsidR="007C1196">
        <w:t xml:space="preserve">helps to strengthen </w:t>
      </w:r>
      <w:r w:rsidR="00555499" w:rsidRPr="001B3B93">
        <w:t xml:space="preserve">national policies and institutions. </w:t>
      </w:r>
      <w:r w:rsidR="005B0E76">
        <w:t>This funding</w:t>
      </w:r>
      <w:r w:rsidR="005B0E76" w:rsidRPr="001B3B93">
        <w:t xml:space="preserve"> </w:t>
      </w:r>
      <w:r w:rsidR="00232A7B" w:rsidRPr="001B3B93">
        <w:t xml:space="preserve">works best </w:t>
      </w:r>
      <w:r w:rsidR="00555499" w:rsidRPr="001B3B93">
        <w:t xml:space="preserve">where </w:t>
      </w:r>
      <w:r w:rsidR="003F0083">
        <w:t xml:space="preserve">DFAT remains </w:t>
      </w:r>
      <w:r w:rsidR="00577B2C" w:rsidRPr="001B3B93">
        <w:t xml:space="preserve">closely engaged </w:t>
      </w:r>
      <w:r w:rsidR="002B3E99" w:rsidRPr="001B3B93">
        <w:t>in programs</w:t>
      </w:r>
      <w:r w:rsidR="00555499" w:rsidRPr="001B3B93">
        <w:t xml:space="preserve">, contributing </w:t>
      </w:r>
      <w:r w:rsidR="00232A7B" w:rsidRPr="001B3B93">
        <w:t xml:space="preserve">country </w:t>
      </w:r>
      <w:r w:rsidR="00232A7B" w:rsidRPr="001B3B93">
        <w:lastRenderedPageBreak/>
        <w:t>knowledge and expertise</w:t>
      </w:r>
      <w:r w:rsidR="00577B2C" w:rsidRPr="001B3B93">
        <w:t xml:space="preserve"> and helping to provide strategic direction</w:t>
      </w:r>
      <w:r w:rsidR="00232A7B" w:rsidRPr="001B3B93">
        <w:t>.</w:t>
      </w:r>
      <w:r w:rsidR="00577B2C" w:rsidRPr="001B3B93">
        <w:t xml:space="preserve"> Active participation is also important to secur</w:t>
      </w:r>
      <w:r w:rsidR="006F265F">
        <w:t>e</w:t>
      </w:r>
      <w:r w:rsidR="00577B2C" w:rsidRPr="001B3B93">
        <w:t xml:space="preserve"> recognition of the Australian contribution.</w:t>
      </w:r>
    </w:p>
    <w:p w14:paraId="621BF30D" w14:textId="6A864800" w:rsidR="00577B2C" w:rsidRPr="001B3B93" w:rsidRDefault="00DD117F" w:rsidP="00EE50AE">
      <w:r>
        <w:t>The</w:t>
      </w:r>
      <w:r w:rsidR="005B0E76" w:rsidRPr="001B3B93">
        <w:t xml:space="preserve"> </w:t>
      </w:r>
      <w:r w:rsidR="00577B2C" w:rsidRPr="001B3B93">
        <w:t>findings</w:t>
      </w:r>
      <w:r w:rsidR="005B0E76">
        <w:t xml:space="preserve"> in this evaluation</w:t>
      </w:r>
      <w:r w:rsidR="00577B2C" w:rsidRPr="001B3B93">
        <w:t xml:space="preserve"> mirror those of the </w:t>
      </w:r>
      <w:r w:rsidR="003A3A3D" w:rsidRPr="001B3B93">
        <w:t xml:space="preserve">2015 evaluation. In Indonesia, Australian support through the World Bank is designed to complement </w:t>
      </w:r>
      <w:r w:rsidR="00E575C6">
        <w:t>other</w:t>
      </w:r>
      <w:r w:rsidR="00E575C6" w:rsidRPr="001B3B93">
        <w:t xml:space="preserve"> </w:t>
      </w:r>
      <w:r w:rsidR="003A3A3D" w:rsidRPr="001B3B93">
        <w:t xml:space="preserve">bilateral </w:t>
      </w:r>
      <w:r w:rsidR="00E575C6">
        <w:t>investments</w:t>
      </w:r>
      <w:r w:rsidR="003A3A3D" w:rsidRPr="001B3B93">
        <w:t xml:space="preserve">. There is a regular strategic dialogue with the </w:t>
      </w:r>
      <w:r w:rsidR="005B0E76">
        <w:t xml:space="preserve">World </w:t>
      </w:r>
      <w:r w:rsidR="003A3A3D" w:rsidRPr="001B3B93">
        <w:t xml:space="preserve">Bank and DFAT </w:t>
      </w:r>
      <w:r w:rsidR="003A3A3D" w:rsidRPr="00000AA1">
        <w:t xml:space="preserve">participates actively in joint policy-related events with the Bank. </w:t>
      </w:r>
      <w:r w:rsidR="00B81A88" w:rsidRPr="00000AA1">
        <w:t>There was</w:t>
      </w:r>
      <w:r w:rsidR="002172A0" w:rsidRPr="00000AA1">
        <w:t xml:space="preserve"> some concern </w:t>
      </w:r>
      <w:r w:rsidR="003F0083" w:rsidRPr="00000AA1">
        <w:t xml:space="preserve">among DFAT staff </w:t>
      </w:r>
      <w:r w:rsidR="002172A0" w:rsidRPr="00000AA1">
        <w:t>that the Bank’s own strong brand may obscure Australia’s</w:t>
      </w:r>
      <w:r w:rsidR="005B0E76" w:rsidRPr="00000AA1">
        <w:t>. Nonetheless</w:t>
      </w:r>
      <w:r w:rsidR="002172A0" w:rsidRPr="00000AA1">
        <w:t>, the partnership is seen as enhancing Australia</w:t>
      </w:r>
      <w:r w:rsidR="00A512D7" w:rsidRPr="00000AA1">
        <w:t>’s</w:t>
      </w:r>
      <w:r w:rsidR="002172A0" w:rsidRPr="00000AA1">
        <w:t xml:space="preserve"> </w:t>
      </w:r>
      <w:r w:rsidR="00B438F8" w:rsidRPr="00000AA1">
        <w:t>profile and reputation</w:t>
      </w:r>
      <w:r w:rsidR="002172A0" w:rsidRPr="00000AA1">
        <w:t xml:space="preserve">. In Vietnam, the smaller DFAT </w:t>
      </w:r>
      <w:r w:rsidR="00BD2851" w:rsidRPr="00000AA1">
        <w:t>P</w:t>
      </w:r>
      <w:r w:rsidR="002172A0" w:rsidRPr="00000AA1">
        <w:t xml:space="preserve">ost has less time to engage with the World Bank trust fund and </w:t>
      </w:r>
      <w:r w:rsidR="003F0083" w:rsidRPr="00000AA1">
        <w:t xml:space="preserve">oversee </w:t>
      </w:r>
      <w:r w:rsidR="002172A0" w:rsidRPr="00000AA1">
        <w:t>its 34 activities.</w:t>
      </w:r>
      <w:r w:rsidR="003F0083" w:rsidRPr="00000AA1">
        <w:t xml:space="preserve"> The investment has nonetheless </w:t>
      </w:r>
      <w:r w:rsidR="00EE50AE" w:rsidRPr="00000AA1">
        <w:t xml:space="preserve">provided DFAT with opportunities to interact with </w:t>
      </w:r>
      <w:r w:rsidR="003F0083" w:rsidRPr="00000AA1">
        <w:t>Vietnamese policy</w:t>
      </w:r>
      <w:r w:rsidR="003F0083" w:rsidRPr="00475334">
        <w:t xml:space="preserve"> makers and </w:t>
      </w:r>
      <w:r w:rsidR="00EE50AE">
        <w:t xml:space="preserve">attend </w:t>
      </w:r>
      <w:r w:rsidR="003F0083" w:rsidRPr="00475334">
        <w:t>key policy events</w:t>
      </w:r>
      <w:r w:rsidR="003F0083">
        <w:t>.</w:t>
      </w:r>
    </w:p>
    <w:p w14:paraId="654820E6" w14:textId="77777777" w:rsidR="00C2353D" w:rsidRPr="001B3B93" w:rsidRDefault="00B05FF9" w:rsidP="00E935AC">
      <w:pPr>
        <w:rPr>
          <w:i/>
          <w:color w:val="296C60" w:themeColor="background2" w:themeShade="80"/>
          <w:szCs w:val="23"/>
        </w:rPr>
      </w:pPr>
      <w:r w:rsidRPr="001B3B93">
        <w:rPr>
          <w:i/>
          <w:color w:val="296C60" w:themeColor="background2" w:themeShade="80"/>
          <w:szCs w:val="23"/>
        </w:rPr>
        <w:t>Infrastructure investments</w:t>
      </w:r>
    </w:p>
    <w:p w14:paraId="1B22F5F8" w14:textId="0A8FAB90" w:rsidR="0085082C" w:rsidRPr="001B3B93" w:rsidRDefault="00B05FF9" w:rsidP="00E935AC">
      <w:r w:rsidRPr="001B3B93">
        <w:t>Infrastructure projects have played a major role in Australian assistance to Indonesia and Vietnam</w:t>
      </w:r>
      <w:r w:rsidR="00C94232" w:rsidRPr="001B3B93">
        <w:t xml:space="preserve"> (Box </w:t>
      </w:r>
      <w:r w:rsidR="00EA2B6E">
        <w:t>1</w:t>
      </w:r>
      <w:r w:rsidR="003529C8">
        <w:t>2</w:t>
      </w:r>
      <w:r w:rsidR="00C94232" w:rsidRPr="001B3B93">
        <w:t>).</w:t>
      </w:r>
      <w:r w:rsidR="009B4744" w:rsidRPr="001B3B93">
        <w:t xml:space="preserve"> In Vietnam, two large bridge projects over the past two decades have been symbols of Australia’s development cooperation.</w:t>
      </w:r>
      <w:r w:rsidR="00180FE9" w:rsidRPr="001B3B93">
        <w:t xml:space="preserve"> In both countries, Australian is moving away from direct </w:t>
      </w:r>
      <w:r w:rsidR="0085082C" w:rsidRPr="001B3B93">
        <w:t xml:space="preserve">financing of infrastructure development towards facilities designed to </w:t>
      </w:r>
      <w:r w:rsidR="00B438F8">
        <w:t>help strengthen</w:t>
      </w:r>
      <w:r w:rsidR="00B438F8" w:rsidRPr="001B3B93">
        <w:t xml:space="preserve"> </w:t>
      </w:r>
      <w:r w:rsidR="0085082C" w:rsidRPr="001B3B93">
        <w:t xml:space="preserve">national infrastructure policy and expenditure and support public-private partnerships. </w:t>
      </w:r>
      <w:r w:rsidR="00122063">
        <w:t>Similarly, the ASEAN and Mekong program support</w:t>
      </w:r>
      <w:r w:rsidR="002B7C01">
        <w:t>s</w:t>
      </w:r>
      <w:r w:rsidR="00122063">
        <w:t xml:space="preserve"> ASEAN to develop and maintain a transparent rolling pipeline of priority regional infrastructure projects, as well as providing technical assistance and advice on soft infrastructure to facilitate trade and transport across the Mekong.</w:t>
      </w:r>
    </w:p>
    <w:p w14:paraId="2742D97A" w14:textId="622F4E8B" w:rsidR="00C94232" w:rsidRPr="001B3B93" w:rsidRDefault="00C94232" w:rsidP="00C94232">
      <w:pPr>
        <w:pStyle w:val="Box1Heading"/>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 xml:space="preserve">Box </w:t>
      </w:r>
      <w:r w:rsidR="00EA2B6E">
        <w:t>1</w:t>
      </w:r>
      <w:r w:rsidR="003529C8">
        <w:t>2</w:t>
      </w:r>
      <w:r w:rsidRPr="001B3B93">
        <w:t>: Infrastructure projects in Indonesia and Vietnam</w:t>
      </w:r>
    </w:p>
    <w:p w14:paraId="4A9DE181" w14:textId="5B47CB96" w:rsidR="00C94232" w:rsidRPr="001B3B93" w:rsidRDefault="00C94232" w:rsidP="00C9423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In Indonesia, Australia provided a</w:t>
      </w:r>
      <w:r w:rsidR="00D30B3C">
        <w:t>n</w:t>
      </w:r>
      <w:r w:rsidRPr="001B3B93">
        <w:t xml:space="preserve"> </w:t>
      </w:r>
      <w:r w:rsidR="00AE4FE6">
        <w:t>AUD</w:t>
      </w:r>
      <w:r w:rsidRPr="001B3B93">
        <w:t>300 million loan for road building following the 2004 tsunami, supporting 20 major road projects (</w:t>
      </w:r>
      <w:r w:rsidR="005B0E76" w:rsidRPr="001B3B93">
        <w:rPr>
          <w:szCs w:val="23"/>
        </w:rPr>
        <w:t>EINRIP</w:t>
      </w:r>
      <w:r w:rsidRPr="001B3B93">
        <w:t>; 2005</w:t>
      </w:r>
      <w:r w:rsidR="005B0E76">
        <w:t>–</w:t>
      </w:r>
      <w:r w:rsidRPr="001B3B93">
        <w:t>16). It has also provided a series of facilities that combine technical assistance with support for project preparation and funding for demonstration projects</w:t>
      </w:r>
      <w:r w:rsidR="00E64FCF">
        <w:t xml:space="preserve">, </w:t>
      </w:r>
      <w:r w:rsidRPr="001B3B93">
        <w:t>including IndII</w:t>
      </w:r>
      <w:r w:rsidR="00E64FCF">
        <w:t xml:space="preserve"> (</w:t>
      </w:r>
      <w:r w:rsidR="00AE4FE6">
        <w:t>AUD</w:t>
      </w:r>
      <w:r w:rsidRPr="001B3B93">
        <w:t>239 million; 2007</w:t>
      </w:r>
      <w:r w:rsidR="005B0E76">
        <w:t>–</w:t>
      </w:r>
      <w:r w:rsidRPr="001B3B93">
        <w:t>17</w:t>
      </w:r>
      <w:r w:rsidR="00E64FCF">
        <w:t>)</w:t>
      </w:r>
      <w:r w:rsidRPr="001B3B93">
        <w:t xml:space="preserve"> and its successor, the Indonesia Australia</w:t>
      </w:r>
      <w:r w:rsidR="00DF4DAB">
        <w:t xml:space="preserve"> Partnership for Infrastructure</w:t>
      </w:r>
      <w:r w:rsidR="00E64FCF">
        <w:t xml:space="preserve"> (</w:t>
      </w:r>
      <w:r w:rsidR="00AE4FE6">
        <w:t>AUD</w:t>
      </w:r>
      <w:r w:rsidRPr="001B3B93">
        <w:t>300 million; 201</w:t>
      </w:r>
      <w:r w:rsidR="00DF4DAB">
        <w:t>6</w:t>
      </w:r>
      <w:r w:rsidR="005B0E76">
        <w:t>–</w:t>
      </w:r>
      <w:r w:rsidRPr="001B3B93">
        <w:t>26).</w:t>
      </w:r>
    </w:p>
    <w:p w14:paraId="17BA2A68" w14:textId="77777777" w:rsidR="00772412" w:rsidRDefault="00C94232" w:rsidP="00C9423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1B3B93">
        <w:t>In Vietnam</w:t>
      </w:r>
      <w:r w:rsidR="00C15174" w:rsidRPr="001B3B93">
        <w:t>, Australia has invested in two flagship bridge projects over the past 20 years</w:t>
      </w:r>
      <w:r w:rsidR="005B0E76">
        <w:t>, t</w:t>
      </w:r>
      <w:r w:rsidR="00C15174" w:rsidRPr="001B3B93">
        <w:t xml:space="preserve">he My Thuan </w:t>
      </w:r>
      <w:r w:rsidR="005B0E76">
        <w:t>B</w:t>
      </w:r>
      <w:r w:rsidR="00C15174" w:rsidRPr="001B3B93">
        <w:t>ridge (</w:t>
      </w:r>
      <w:r w:rsidR="00AE4FE6">
        <w:t>AUD</w:t>
      </w:r>
      <w:r w:rsidR="00C15174" w:rsidRPr="001B3B93">
        <w:t>90 million; 1998</w:t>
      </w:r>
      <w:r w:rsidR="005B0E76">
        <w:t>–</w:t>
      </w:r>
      <w:r w:rsidR="00C15174" w:rsidRPr="001B3B93">
        <w:t xml:space="preserve">2003) and the Cao Lanh </w:t>
      </w:r>
      <w:r w:rsidR="005B0E76">
        <w:t>B</w:t>
      </w:r>
      <w:r w:rsidR="00C15174" w:rsidRPr="001B3B93">
        <w:t xml:space="preserve">ridge </w:t>
      </w:r>
      <w:bookmarkStart w:id="94" w:name="_Hlk521757620"/>
      <w:r w:rsidR="00C15174" w:rsidRPr="001B3B93">
        <w:t>(</w:t>
      </w:r>
      <w:r w:rsidR="00AE4FE6">
        <w:t>AUD</w:t>
      </w:r>
      <w:r w:rsidR="00C15174" w:rsidRPr="001B3B93">
        <w:t>160 million; 2011</w:t>
      </w:r>
      <w:r w:rsidR="005B0E76">
        <w:t>–</w:t>
      </w:r>
      <w:r w:rsidR="00C15174" w:rsidRPr="001B3B93">
        <w:t xml:space="preserve">17). </w:t>
      </w:r>
      <w:bookmarkEnd w:id="94"/>
      <w:r w:rsidR="00C15174" w:rsidRPr="001B3B93">
        <w:t>The</w:t>
      </w:r>
      <w:r w:rsidR="005B0E76">
        <w:t>se</w:t>
      </w:r>
      <w:r w:rsidR="00C15174" w:rsidRPr="001B3B93">
        <w:t xml:space="preserve"> high</w:t>
      </w:r>
      <w:r w:rsidR="00F72BDF">
        <w:t>-</w:t>
      </w:r>
      <w:r w:rsidR="00C15174" w:rsidRPr="001B3B93">
        <w:t xml:space="preserve">profile </w:t>
      </w:r>
      <w:r w:rsidR="005B0E76">
        <w:t>projects</w:t>
      </w:r>
      <w:r w:rsidR="006F265F">
        <w:t xml:space="preserve"> represent Australian </w:t>
      </w:r>
      <w:r w:rsidR="00C15174" w:rsidRPr="001B3B93">
        <w:t>development cooperation</w:t>
      </w:r>
      <w:r w:rsidR="005B0E76">
        <w:t>. They also provide</w:t>
      </w:r>
      <w:r w:rsidR="00C15174" w:rsidRPr="001B3B93">
        <w:t xml:space="preserve"> economic benefits by improving connectivity in the Mekong </w:t>
      </w:r>
      <w:r w:rsidR="005B0E76">
        <w:t>D</w:t>
      </w:r>
      <w:r w:rsidR="00C15174" w:rsidRPr="001B3B93">
        <w:t>elta.</w:t>
      </w:r>
      <w:r w:rsidR="00405B25">
        <w:t xml:space="preserve"> The Cao Lanh </w:t>
      </w:r>
      <w:r w:rsidR="005B0E76">
        <w:t>B</w:t>
      </w:r>
      <w:r w:rsidR="008457B8">
        <w:t xml:space="preserve">ridge </w:t>
      </w:r>
      <w:r w:rsidR="00405B25">
        <w:t>is funded through the Asian Development Bank and implemented by</w:t>
      </w:r>
      <w:r w:rsidR="005B0E76">
        <w:t xml:space="preserve"> a</w:t>
      </w:r>
      <w:r w:rsidR="00405B25">
        <w:t xml:space="preserve"> Chinese contractor, raising concerns that it provides less visibility for Australia</w:t>
      </w:r>
      <w:r w:rsidR="00405B25" w:rsidRPr="009C2115">
        <w:t>.</w:t>
      </w:r>
      <w:r w:rsidR="004215A3" w:rsidRPr="009C2115">
        <w:t xml:space="preserve"> However, the project has </w:t>
      </w:r>
      <w:r w:rsidR="009C2115">
        <w:t xml:space="preserve">demonstrated how complex projects can be delivered </w:t>
      </w:r>
      <w:r w:rsidR="004215A3" w:rsidRPr="009C2115">
        <w:t xml:space="preserve">on time and </w:t>
      </w:r>
      <w:r w:rsidR="005A3210" w:rsidRPr="009C2115">
        <w:t>on</w:t>
      </w:r>
      <w:r w:rsidR="004215A3" w:rsidRPr="009C2115">
        <w:t xml:space="preserve"> budget</w:t>
      </w:r>
      <w:r w:rsidR="00A85C5E" w:rsidRPr="006E0849">
        <w:t xml:space="preserve">. </w:t>
      </w:r>
      <w:r w:rsidR="009C2115">
        <w:t xml:space="preserve">Australia’s </w:t>
      </w:r>
      <w:r w:rsidR="004215A3" w:rsidRPr="009C2115">
        <w:t xml:space="preserve">technical assistance </w:t>
      </w:r>
      <w:r w:rsidR="009C2115">
        <w:t xml:space="preserve">has also promoted good practice on </w:t>
      </w:r>
      <w:r w:rsidR="00772412">
        <w:t xml:space="preserve">safeguarding issues such as </w:t>
      </w:r>
      <w:r w:rsidR="004215A3" w:rsidRPr="009C2115">
        <w:t>resettlement and climate proofing.</w:t>
      </w:r>
    </w:p>
    <w:p w14:paraId="0251A613" w14:textId="14ABA3DE" w:rsidR="00EA2B6E" w:rsidRPr="00CC4A45" w:rsidRDefault="00EA2B6E" w:rsidP="00C94232">
      <w:pPr>
        <w:pStyle w:val="Box1Text"/>
        <w:pBdr>
          <w:top w:val="single" w:sz="8" w:space="14" w:color="007C89" w:themeColor="accent1"/>
          <w:left w:val="single" w:sz="8" w:space="14" w:color="007C89" w:themeColor="accent1"/>
          <w:bottom w:val="single" w:sz="8" w:space="14" w:color="007C89" w:themeColor="accent1"/>
          <w:right w:val="single" w:sz="8" w:space="14" w:color="007C89" w:themeColor="accent1"/>
        </w:pBdr>
      </w:pPr>
      <w:r w:rsidRPr="00CC4A45">
        <w:t>Source:</w:t>
      </w:r>
      <w:r w:rsidR="00405B25" w:rsidRPr="00CC4A45">
        <w:t xml:space="preserve"> Program documents and key stakeholder interviews</w:t>
      </w:r>
      <w:r w:rsidR="003920A9" w:rsidRPr="00CC4A45">
        <w:t>.</w:t>
      </w:r>
    </w:p>
    <w:p w14:paraId="426E56AA" w14:textId="03BF6EC1" w:rsidR="00B3355F" w:rsidRPr="001B3B93" w:rsidRDefault="005A3210" w:rsidP="009138E8">
      <w:r>
        <w:t>I</w:t>
      </w:r>
      <w:r w:rsidR="0085082C" w:rsidRPr="001B3B93">
        <w:t xml:space="preserve">nfrastructure projects </w:t>
      </w:r>
      <w:r w:rsidR="008457B8">
        <w:t xml:space="preserve">in the two countries have increasingly </w:t>
      </w:r>
      <w:r w:rsidR="0085082C" w:rsidRPr="001B3B93">
        <w:t>combine</w:t>
      </w:r>
      <w:r w:rsidR="008457B8">
        <w:t>d</w:t>
      </w:r>
      <w:r w:rsidR="0085082C" w:rsidRPr="001B3B93">
        <w:t xml:space="preserve"> investment</w:t>
      </w:r>
      <w:r w:rsidR="00177917" w:rsidRPr="001B3B93">
        <w:t xml:space="preserve"> projects</w:t>
      </w:r>
      <w:r w:rsidR="0085082C" w:rsidRPr="001B3B93">
        <w:t xml:space="preserve"> with influencing objectives, </w:t>
      </w:r>
      <w:r w:rsidR="00FF2ECE" w:rsidRPr="001B3B93">
        <w:t xml:space="preserve">seeking to </w:t>
      </w:r>
      <w:r w:rsidR="00177917" w:rsidRPr="001B3B93">
        <w:t xml:space="preserve">demonstrate </w:t>
      </w:r>
      <w:r w:rsidR="0085082C" w:rsidRPr="001B3B93">
        <w:t xml:space="preserve">the value of well designed and implemented projects. </w:t>
      </w:r>
      <w:r w:rsidR="006F265F">
        <w:t xml:space="preserve">There is mixed evidence about </w:t>
      </w:r>
      <w:r w:rsidR="00FF2ECE" w:rsidRPr="001B3B93">
        <w:t xml:space="preserve">how significant the </w:t>
      </w:r>
      <w:r w:rsidR="0085082C" w:rsidRPr="001B3B93">
        <w:t xml:space="preserve">demonstration effects have been. </w:t>
      </w:r>
      <w:r w:rsidR="009138E8" w:rsidRPr="001B3B93">
        <w:t xml:space="preserve">EINRIP delivered </w:t>
      </w:r>
      <w:r w:rsidR="00FF2ECE" w:rsidRPr="001B3B93">
        <w:t xml:space="preserve">some of the highest </w:t>
      </w:r>
      <w:r w:rsidR="009138E8" w:rsidRPr="001B3B93">
        <w:t>quality roads</w:t>
      </w:r>
      <w:r w:rsidR="00FF2ECE" w:rsidRPr="001B3B93">
        <w:t xml:space="preserve"> in Indonesia</w:t>
      </w:r>
      <w:r w:rsidR="009138E8" w:rsidRPr="001B3B93">
        <w:t xml:space="preserve">, but according to an ODE evaluation had only a </w:t>
      </w:r>
      <w:r w:rsidR="00825E55">
        <w:t>‘</w:t>
      </w:r>
      <w:r w:rsidR="009138E8" w:rsidRPr="001B3B93">
        <w:t>modest</w:t>
      </w:r>
      <w:r w:rsidR="00825E55">
        <w:t>-</w:t>
      </w:r>
      <w:r w:rsidR="009138E8" w:rsidRPr="001B3B93">
        <w:t>to</w:t>
      </w:r>
      <w:r w:rsidR="00825E55">
        <w:t>-</w:t>
      </w:r>
      <w:r w:rsidR="009138E8" w:rsidRPr="001B3B93">
        <w:t>moderate</w:t>
      </w:r>
      <w:r w:rsidR="00825E55">
        <w:t>’</w:t>
      </w:r>
      <w:r w:rsidR="009138E8" w:rsidRPr="001B3B93">
        <w:t xml:space="preserve"> influence on the Indonesian roads sector.</w:t>
      </w:r>
      <w:r w:rsidR="00DD117F" w:rsidRPr="00DD117F">
        <w:rPr>
          <w:rStyle w:val="FootnoteReference"/>
        </w:rPr>
        <w:t xml:space="preserve"> </w:t>
      </w:r>
      <w:r w:rsidR="00DD117F" w:rsidRPr="001B3B93">
        <w:rPr>
          <w:rStyle w:val="FootnoteReference"/>
        </w:rPr>
        <w:footnoteReference w:id="76"/>
      </w:r>
      <w:r w:rsidR="009138E8" w:rsidRPr="001B3B93">
        <w:t xml:space="preserve"> </w:t>
      </w:r>
      <w:r w:rsidR="00FF2ECE" w:rsidRPr="001B3B93">
        <w:t>While some of the good practices showcased in EINRIP project</w:t>
      </w:r>
      <w:r w:rsidR="00D70EC0" w:rsidRPr="001B3B93">
        <w:t>s</w:t>
      </w:r>
      <w:r w:rsidR="00FF2ECE" w:rsidRPr="001B3B93">
        <w:t xml:space="preserve"> were picked up in government-financed infrastructure development, the package as</w:t>
      </w:r>
      <w:r w:rsidR="00825E55">
        <w:t>-</w:t>
      </w:r>
      <w:r w:rsidR="00FF2ECE" w:rsidRPr="001B3B93">
        <w:t>a</w:t>
      </w:r>
      <w:r w:rsidR="00825E55">
        <w:t>-</w:t>
      </w:r>
      <w:r w:rsidR="00FF2ECE" w:rsidRPr="001B3B93">
        <w:t xml:space="preserve">whole was </w:t>
      </w:r>
      <w:r w:rsidR="00D70EC0" w:rsidRPr="001B3B93">
        <w:t xml:space="preserve">not </w:t>
      </w:r>
      <w:r w:rsidR="00FF2ECE" w:rsidRPr="001B3B93">
        <w:t>replicate</w:t>
      </w:r>
      <w:r w:rsidR="00D70EC0" w:rsidRPr="001B3B93">
        <w:t>d</w:t>
      </w:r>
      <w:r w:rsidR="00FF2ECE" w:rsidRPr="001B3B93">
        <w:t xml:space="preserve">, partly because </w:t>
      </w:r>
      <w:r w:rsidR="00825E55">
        <w:t>the Indonesia G</w:t>
      </w:r>
      <w:r w:rsidR="00FF2ECE" w:rsidRPr="001B3B93">
        <w:t xml:space="preserve">overnment </w:t>
      </w:r>
      <w:r w:rsidR="00FF2ECE" w:rsidRPr="001B3B93">
        <w:lastRenderedPageBreak/>
        <w:t xml:space="preserve">was unwilling to </w:t>
      </w:r>
      <w:r w:rsidR="00D70EC0" w:rsidRPr="001B3B93">
        <w:t xml:space="preserve">pay the costs of </w:t>
      </w:r>
      <w:r w:rsidR="00FF2ECE" w:rsidRPr="001B3B93">
        <w:t xml:space="preserve">high-quality </w:t>
      </w:r>
      <w:r w:rsidR="00D70EC0" w:rsidRPr="001B3B93">
        <w:t xml:space="preserve">engineering </w:t>
      </w:r>
      <w:r w:rsidR="00FF2ECE" w:rsidRPr="001B3B93">
        <w:t xml:space="preserve">designs and </w:t>
      </w:r>
      <w:r w:rsidR="00D70EC0" w:rsidRPr="001B3B93">
        <w:t xml:space="preserve">technical </w:t>
      </w:r>
      <w:r w:rsidR="00FF2ECE" w:rsidRPr="001B3B93">
        <w:t>audit. Furthermore, lessons from EINRIP’s monitoring and evaluations were not absorbed by government institutions.</w:t>
      </w:r>
    </w:p>
    <w:p w14:paraId="1DFF8CCE" w14:textId="62089729" w:rsidR="00D70EC0" w:rsidRDefault="00D70EC0" w:rsidP="00E935AC">
      <w:r w:rsidRPr="001B3B93">
        <w:t xml:space="preserve">IndII had more </w:t>
      </w:r>
      <w:r w:rsidR="008450A5" w:rsidRPr="001B3B93">
        <w:t xml:space="preserve">ambitious </w:t>
      </w:r>
      <w:r w:rsidRPr="001B3B93">
        <w:t>objectives</w:t>
      </w:r>
      <w:r w:rsidR="008457B8">
        <w:t xml:space="preserve"> around policy and institutional reform. It focused </w:t>
      </w:r>
      <w:r w:rsidR="00FF067F" w:rsidRPr="001B3B93">
        <w:t>on catalytic policy change in areas such as performance incentives (including output-based procurement)</w:t>
      </w:r>
      <w:r w:rsidR="00EB59CB" w:rsidRPr="001B3B93">
        <w:t xml:space="preserve"> </w:t>
      </w:r>
      <w:r w:rsidR="00FF067F" w:rsidRPr="001B3B93">
        <w:t>and leverag</w:t>
      </w:r>
      <w:r w:rsidR="00EB59CB" w:rsidRPr="001B3B93">
        <w:t>ing</w:t>
      </w:r>
      <w:r w:rsidR="00FF067F" w:rsidRPr="001B3B93">
        <w:t xml:space="preserve"> private finance. </w:t>
      </w:r>
      <w:r w:rsidR="008450A5" w:rsidRPr="001B3B93">
        <w:t xml:space="preserve">One of the program’s main successes was to demonstrate the effectiveness of output-based funding for household water and sanitation connections. This </w:t>
      </w:r>
      <w:r w:rsidR="00B438F8">
        <w:t xml:space="preserve">has been </w:t>
      </w:r>
      <w:r w:rsidR="008450A5" w:rsidRPr="001B3B93">
        <w:t>taken up by government a</w:t>
      </w:r>
      <w:r w:rsidR="003D5D8D" w:rsidRPr="001B3B93">
        <w:t>n</w:t>
      </w:r>
      <w:r w:rsidR="008450A5" w:rsidRPr="001B3B93">
        <w:t xml:space="preserve">d </w:t>
      </w:r>
      <w:r w:rsidR="00B438F8">
        <w:t xml:space="preserve">applied to </w:t>
      </w:r>
      <w:r w:rsidR="008450A5" w:rsidRPr="001B3B93">
        <w:t>hundreds of million</w:t>
      </w:r>
      <w:r w:rsidR="00126596">
        <w:t>s</w:t>
      </w:r>
      <w:r w:rsidR="008450A5" w:rsidRPr="001B3B93">
        <w:t xml:space="preserve"> of dollars in </w:t>
      </w:r>
      <w:r w:rsidR="008457B8">
        <w:t xml:space="preserve">national </w:t>
      </w:r>
      <w:r w:rsidR="008450A5" w:rsidRPr="001B3B93">
        <w:t>investments.</w:t>
      </w:r>
    </w:p>
    <w:p w14:paraId="59174D07" w14:textId="26355FFA" w:rsidR="004215A3" w:rsidRDefault="008457B8" w:rsidP="008457B8">
      <w:r>
        <w:t xml:space="preserve">It is a matter of debate how important </w:t>
      </w:r>
      <w:r w:rsidR="008450A5" w:rsidRPr="001B3B93">
        <w:t xml:space="preserve">it is </w:t>
      </w:r>
      <w:r>
        <w:t xml:space="preserve">for </w:t>
      </w:r>
      <w:r w:rsidR="00276DC6" w:rsidRPr="001B3B93">
        <w:t xml:space="preserve">infrastructure </w:t>
      </w:r>
      <w:r>
        <w:t xml:space="preserve">programs </w:t>
      </w:r>
      <w:r w:rsidR="008450A5" w:rsidRPr="001B3B93">
        <w:t xml:space="preserve">to support </w:t>
      </w:r>
      <w:r>
        <w:t>reform</w:t>
      </w:r>
      <w:r w:rsidRPr="001B3B93">
        <w:t xml:space="preserve"> </w:t>
      </w:r>
      <w:r w:rsidR="008450A5" w:rsidRPr="001B3B93">
        <w:t>objectives with investment</w:t>
      </w:r>
      <w:r>
        <w:t xml:space="preserve"> finance</w:t>
      </w:r>
      <w:r w:rsidR="008450A5" w:rsidRPr="001B3B93">
        <w:t xml:space="preserve">. </w:t>
      </w:r>
      <w:r w:rsidR="00C6394F" w:rsidRPr="00AD5662">
        <w:t>Some DFAT stakeholders</w:t>
      </w:r>
      <w:r w:rsidR="00C6394F" w:rsidRPr="001B3B93">
        <w:t xml:space="preserve"> </w:t>
      </w:r>
      <w:r w:rsidR="00C6394F">
        <w:t xml:space="preserve">take the view that </w:t>
      </w:r>
      <w:r w:rsidR="00C6394F" w:rsidRPr="001B3B93">
        <w:t>Australia need</w:t>
      </w:r>
      <w:r w:rsidR="00C6394F">
        <w:t>s</w:t>
      </w:r>
      <w:r w:rsidR="00C6394F" w:rsidRPr="001B3B93">
        <w:t xml:space="preserve"> to have skin in the game</w:t>
      </w:r>
      <w:r w:rsidR="00C6394F">
        <w:t xml:space="preserve"> </w:t>
      </w:r>
      <w:r w:rsidR="00C6394F" w:rsidRPr="001B3B93">
        <w:t>to be influential</w:t>
      </w:r>
      <w:r w:rsidR="004215A3">
        <w:t xml:space="preserve"> in the sector</w:t>
      </w:r>
      <w:r w:rsidR="00C6394F" w:rsidRPr="001B3B93">
        <w:t>.</w:t>
      </w:r>
      <w:r w:rsidR="004215A3">
        <w:t xml:space="preserve"> However, the mixed record on pilot or demonstration projects suggests they need to </w:t>
      </w:r>
      <w:r w:rsidR="00D8785C">
        <w:t xml:space="preserve">be </w:t>
      </w:r>
      <w:r w:rsidR="004215A3">
        <w:t xml:space="preserve">carefully integrated into national decision-making processes if they are to influence other investment projects. In Indonesia, </w:t>
      </w:r>
      <w:r w:rsidR="00DD117F">
        <w:t xml:space="preserve">the evaluation team </w:t>
      </w:r>
      <w:r w:rsidR="004215A3">
        <w:t>heard from DFAT and its implementers that large budgets can force infrastructure programs into activities that can absorb the expenditure, such as pilot project</w:t>
      </w:r>
      <w:r w:rsidR="00D8785C">
        <w:t>s</w:t>
      </w:r>
      <w:r w:rsidR="004215A3">
        <w:t xml:space="preserve"> or large engineering studies, rather than focusing on </w:t>
      </w:r>
      <w:r w:rsidR="00C115B0">
        <w:t xml:space="preserve">less expensive </w:t>
      </w:r>
      <w:r w:rsidR="004215A3">
        <w:t xml:space="preserve">but </w:t>
      </w:r>
      <w:r w:rsidR="00D8785C">
        <w:t xml:space="preserve">potentially more </w:t>
      </w:r>
      <w:r w:rsidR="004215A3">
        <w:t xml:space="preserve">strategic </w:t>
      </w:r>
      <w:r w:rsidR="00D8785C">
        <w:t xml:space="preserve">support for </w:t>
      </w:r>
      <w:r w:rsidR="004215A3">
        <w:t xml:space="preserve">policy and </w:t>
      </w:r>
      <w:r w:rsidR="00D8785C">
        <w:t xml:space="preserve">institutional reform. The new Aus4Transport program in Vietnam, which is in its inception phase, will focus on </w:t>
      </w:r>
      <w:r w:rsidR="001E14D8">
        <w:t xml:space="preserve">feasibility studies, </w:t>
      </w:r>
      <w:r w:rsidR="00C115B0">
        <w:t xml:space="preserve">project preparation </w:t>
      </w:r>
      <w:r w:rsidR="00D8785C">
        <w:t xml:space="preserve">and procurement, with a view to unlocking major MDB-financed projects, boosting their quality and increasing private sector participation. </w:t>
      </w:r>
      <w:r w:rsidR="00825E55">
        <w:t xml:space="preserve">The program </w:t>
      </w:r>
      <w:r w:rsidR="00D8785C">
        <w:t xml:space="preserve">does not include any substantial </w:t>
      </w:r>
      <w:r w:rsidR="001E14D8">
        <w:t>budget for construction work.</w:t>
      </w:r>
    </w:p>
    <w:p w14:paraId="04FA5AA5" w14:textId="3C8519E4" w:rsidR="001E14D8" w:rsidRDefault="00DD117F" w:rsidP="00534FB2">
      <w:r>
        <w:t xml:space="preserve">The evaluation team’s </w:t>
      </w:r>
      <w:r w:rsidR="001E14D8">
        <w:t xml:space="preserve">view is that the value added </w:t>
      </w:r>
      <w:r w:rsidR="000C0828">
        <w:t>from</w:t>
      </w:r>
      <w:r w:rsidR="001E14D8">
        <w:t xml:space="preserve"> Australian support for infrastructure in MICs lies in helping to mobilise and make better use of other sources of development finance, rather than in increasing the overall financing pool. </w:t>
      </w:r>
      <w:r w:rsidR="006C4E38">
        <w:t xml:space="preserve">This </w:t>
      </w:r>
      <w:r w:rsidR="00857B32">
        <w:t>differentiates</w:t>
      </w:r>
      <w:r w:rsidR="006C4E38">
        <w:t xml:space="preserve"> Australia</w:t>
      </w:r>
      <w:r w:rsidR="00857B32">
        <w:t>n</w:t>
      </w:r>
      <w:r w:rsidR="006C4E38">
        <w:t xml:space="preserve"> support from that of other countries, </w:t>
      </w:r>
      <w:r w:rsidR="00857B32">
        <w:t xml:space="preserve">such as </w:t>
      </w:r>
      <w:r w:rsidR="006C4E38">
        <w:t xml:space="preserve">China, </w:t>
      </w:r>
      <w:r w:rsidR="00825E55">
        <w:t xml:space="preserve">which </w:t>
      </w:r>
      <w:r w:rsidR="006C4E38">
        <w:t xml:space="preserve">can </w:t>
      </w:r>
      <w:r w:rsidR="006C4E38" w:rsidRPr="00000AA1">
        <w:t>offer large</w:t>
      </w:r>
      <w:r w:rsidR="00857B32" w:rsidRPr="00000AA1">
        <w:t>r</w:t>
      </w:r>
      <w:r w:rsidR="006C4E38" w:rsidRPr="00000AA1">
        <w:t xml:space="preserve"> volumes of finance but without any ambition to strengthen the </w:t>
      </w:r>
      <w:r w:rsidR="00C115B0" w:rsidRPr="00000AA1">
        <w:t xml:space="preserve">overall </w:t>
      </w:r>
      <w:r w:rsidR="006C4E38" w:rsidRPr="00000AA1">
        <w:t xml:space="preserve">quality of national infrastructure development. </w:t>
      </w:r>
      <w:r w:rsidR="00C115B0" w:rsidRPr="00000AA1">
        <w:t>In Indonesia and Vietnam, DFAT is at an early stage in trial</w:t>
      </w:r>
      <w:r w:rsidR="00EF6C2F" w:rsidRPr="00000AA1">
        <w:t>l</w:t>
      </w:r>
      <w:r w:rsidR="00C115B0" w:rsidRPr="00000AA1">
        <w:t xml:space="preserve">ing new forms of infrastructure support </w:t>
      </w:r>
      <w:r w:rsidR="00A512D7" w:rsidRPr="00000AA1">
        <w:t xml:space="preserve">and </w:t>
      </w:r>
      <w:r w:rsidR="00857B32" w:rsidRPr="00000AA1">
        <w:t xml:space="preserve">it is too soon to draw firm conclusions. </w:t>
      </w:r>
      <w:r w:rsidR="001E14D8" w:rsidRPr="00000AA1">
        <w:t xml:space="preserve">There may still be a case for pilot work in infrastructure programs, </w:t>
      </w:r>
      <w:r w:rsidR="008178A7" w:rsidRPr="00000AA1">
        <w:t>but the</w:t>
      </w:r>
      <w:r w:rsidR="008178A7">
        <w:t xml:space="preserve"> demonstration effect</w:t>
      </w:r>
      <w:r w:rsidR="00857B32">
        <w:t>s</w:t>
      </w:r>
      <w:r w:rsidR="008178A7">
        <w:t xml:space="preserve"> cannot be assumed. </w:t>
      </w:r>
      <w:r w:rsidR="00825E55">
        <w:t>P</w:t>
      </w:r>
      <w:r w:rsidR="008178A7">
        <w:t xml:space="preserve">ilots </w:t>
      </w:r>
      <w:r w:rsidR="00C66637">
        <w:t xml:space="preserve">should be part of a considered strategy for achieving </w:t>
      </w:r>
      <w:r w:rsidR="008178A7">
        <w:t>policy and institutional change and avoid taking over as the primary activity.</w:t>
      </w:r>
    </w:p>
    <w:p w14:paraId="74923FCE" w14:textId="77777777" w:rsidR="006C4E38" w:rsidRPr="001B3B93" w:rsidRDefault="006C4E38" w:rsidP="003D3BD9">
      <w:pPr>
        <w:pStyle w:val="Heading3"/>
      </w:pPr>
      <w:bookmarkStart w:id="95" w:name="_Toc527713009"/>
      <w:r w:rsidRPr="001B3B93">
        <w:t>Key messages</w:t>
      </w:r>
      <w:bookmarkEnd w:id="95"/>
    </w:p>
    <w:p w14:paraId="0A9F04FE" w14:textId="19EDB3F6" w:rsidR="005A25A9" w:rsidRDefault="005A25A9" w:rsidP="000C55B6">
      <w:pPr>
        <w:pStyle w:val="ListParagraph"/>
        <w:numPr>
          <w:ilvl w:val="0"/>
          <w:numId w:val="15"/>
        </w:numPr>
        <w:ind w:left="714" w:hanging="357"/>
        <w:contextualSpacing w:val="0"/>
      </w:pPr>
      <w:r>
        <w:t>There is still much to be learn</w:t>
      </w:r>
      <w:r w:rsidR="00825E55">
        <w:t>ed</w:t>
      </w:r>
      <w:r>
        <w:t xml:space="preserve"> about effective knowledge-based assistance. While there are examples of effective support in </w:t>
      </w:r>
      <w:r w:rsidR="00825E55">
        <w:t>Indonesia and Vietnam</w:t>
      </w:r>
      <w:r>
        <w:t>, approaches tend to be unique to circumstances and are not necessarily replicable.</w:t>
      </w:r>
    </w:p>
    <w:p w14:paraId="7ADE4491" w14:textId="4CA4862D" w:rsidR="00B357AE" w:rsidRDefault="00B357AE" w:rsidP="000C55B6">
      <w:pPr>
        <w:pStyle w:val="ListParagraph"/>
        <w:numPr>
          <w:ilvl w:val="0"/>
          <w:numId w:val="15"/>
        </w:numPr>
        <w:ind w:left="714" w:hanging="357"/>
        <w:contextualSpacing w:val="0"/>
      </w:pPr>
      <w:r>
        <w:t xml:space="preserve">To be an effective partner for national reformers, Australia needs to </w:t>
      </w:r>
      <w:r w:rsidR="005A25A9">
        <w:t xml:space="preserve">build </w:t>
      </w:r>
      <w:r>
        <w:t xml:space="preserve">long-term relationships with </w:t>
      </w:r>
      <w:r w:rsidR="005A25A9">
        <w:t xml:space="preserve">key counterparts, while retaining </w:t>
      </w:r>
      <w:r>
        <w:t xml:space="preserve">the flexibility to scale individual activities up and down as the context evolves. Economic governance facilities are one </w:t>
      </w:r>
      <w:r w:rsidR="00825E55">
        <w:t xml:space="preserve">way </w:t>
      </w:r>
      <w:r>
        <w:t>of achieving that flexibility.</w:t>
      </w:r>
    </w:p>
    <w:p w14:paraId="3348A0A6" w14:textId="52EE504B" w:rsidR="00C37B13" w:rsidRDefault="00C37B13" w:rsidP="000C55B6">
      <w:pPr>
        <w:pStyle w:val="ListParagraph"/>
        <w:numPr>
          <w:ilvl w:val="0"/>
          <w:numId w:val="15"/>
        </w:numPr>
        <w:ind w:left="714" w:hanging="357"/>
        <w:contextualSpacing w:val="0"/>
      </w:pPr>
      <w:r>
        <w:t xml:space="preserve">Peer-to-peer partnerships can be effective at building bilateral links but are not as well suited to supporting </w:t>
      </w:r>
      <w:r w:rsidR="005A25A9">
        <w:t xml:space="preserve">complex or large-scale </w:t>
      </w:r>
      <w:r>
        <w:t>national reform priorities.</w:t>
      </w:r>
    </w:p>
    <w:p w14:paraId="4C42020D" w14:textId="5F0F9923" w:rsidR="00857B32" w:rsidRDefault="00825E55" w:rsidP="000C55B6">
      <w:pPr>
        <w:pStyle w:val="ListParagraph"/>
        <w:numPr>
          <w:ilvl w:val="0"/>
          <w:numId w:val="15"/>
        </w:numPr>
        <w:ind w:left="714" w:hanging="357"/>
        <w:contextualSpacing w:val="0"/>
      </w:pPr>
      <w:r>
        <w:t xml:space="preserve">While </w:t>
      </w:r>
      <w:r w:rsidR="00C37B13">
        <w:t>MDB trust funds can bring additional technical expertise and credibility to economic partnership</w:t>
      </w:r>
      <w:r>
        <w:t>s</w:t>
      </w:r>
      <w:r w:rsidR="00C37B13">
        <w:t xml:space="preserve">, </w:t>
      </w:r>
      <w:r>
        <w:t xml:space="preserve">they </w:t>
      </w:r>
      <w:r w:rsidR="00C37B13">
        <w:t>need to be accompanied by continuing DFAT engagement and oversight.</w:t>
      </w:r>
    </w:p>
    <w:p w14:paraId="2C961596" w14:textId="0DC43144" w:rsidR="00857B32" w:rsidRDefault="00857B32" w:rsidP="000C55B6">
      <w:pPr>
        <w:pStyle w:val="ListParagraph"/>
        <w:numPr>
          <w:ilvl w:val="0"/>
          <w:numId w:val="15"/>
        </w:numPr>
        <w:ind w:left="714" w:hanging="357"/>
        <w:contextualSpacing w:val="0"/>
      </w:pPr>
      <w:r w:rsidRPr="00857B32">
        <w:t xml:space="preserve">The value added </w:t>
      </w:r>
      <w:r w:rsidR="000C0828">
        <w:t>from</w:t>
      </w:r>
      <w:r w:rsidRPr="00857B32">
        <w:t xml:space="preserve"> continuing Australian support for infrastructure in Asian MICs lies in helping to mobilise and make better use of other development finance</w:t>
      </w:r>
      <w:r w:rsidR="00B3553D">
        <w:t xml:space="preserve"> and managing debt levels sustainably</w:t>
      </w:r>
      <w:r>
        <w:t>.</w:t>
      </w:r>
    </w:p>
    <w:p w14:paraId="152D57DF" w14:textId="77777777" w:rsidR="00577772" w:rsidRPr="001B3B93" w:rsidRDefault="00577772" w:rsidP="00577772">
      <w:pPr>
        <w:pStyle w:val="Heading3"/>
      </w:pPr>
      <w:bookmarkStart w:id="96" w:name="_Toc527713010"/>
      <w:r w:rsidRPr="001B3B93">
        <w:lastRenderedPageBreak/>
        <w:t xml:space="preserve">How well do DFAT’s systems and </w:t>
      </w:r>
      <w:r w:rsidR="00FB3DB2" w:rsidRPr="001B3B93">
        <w:t>capacities</w:t>
      </w:r>
      <w:r w:rsidRPr="001B3B93">
        <w:t xml:space="preserve"> facilitate </w:t>
      </w:r>
      <w:r w:rsidR="004C7561" w:rsidRPr="001B3B93">
        <w:t xml:space="preserve">the effective use of aid to strengthen </w:t>
      </w:r>
      <w:r w:rsidRPr="001B3B93">
        <w:t>economic partnerships?</w:t>
      </w:r>
      <w:bookmarkEnd w:id="96"/>
    </w:p>
    <w:p w14:paraId="0790CF4C" w14:textId="58F398DF" w:rsidR="00F67A6A" w:rsidRPr="001B3B93" w:rsidRDefault="00825E55" w:rsidP="00E935AC">
      <w:r>
        <w:t>T</w:t>
      </w:r>
      <w:r w:rsidR="00F67A6A" w:rsidRPr="001B3B93">
        <w:t>his section consider</w:t>
      </w:r>
      <w:r>
        <w:t>s</w:t>
      </w:r>
      <w:r w:rsidR="00F67A6A" w:rsidRPr="001B3B93">
        <w:t xml:space="preserve"> whether </w:t>
      </w:r>
      <w:r w:rsidR="00534FB2">
        <w:t xml:space="preserve">the </w:t>
      </w:r>
      <w:r w:rsidR="004C7561" w:rsidRPr="001B3B93">
        <w:t xml:space="preserve">positioning of aid to </w:t>
      </w:r>
      <w:r w:rsidR="000E1D91">
        <w:t>support</w:t>
      </w:r>
      <w:r w:rsidR="000E1D91" w:rsidRPr="001B3B93">
        <w:t xml:space="preserve"> </w:t>
      </w:r>
      <w:r w:rsidR="00F67A6A" w:rsidRPr="001B3B93">
        <w:t>economic partnerships calls for further development in DFAT’s systems and capacities.</w:t>
      </w:r>
    </w:p>
    <w:p w14:paraId="596D3C72" w14:textId="77777777" w:rsidR="00F67A6A" w:rsidRPr="001B3B93" w:rsidRDefault="003523E5" w:rsidP="00E935AC">
      <w:pPr>
        <w:rPr>
          <w:i/>
          <w:color w:val="296C60" w:themeColor="background2" w:themeShade="80"/>
          <w:szCs w:val="23"/>
        </w:rPr>
      </w:pPr>
      <w:r w:rsidRPr="008A1506">
        <w:rPr>
          <w:i/>
          <w:color w:val="296C60" w:themeColor="background2" w:themeShade="80"/>
          <w:szCs w:val="23"/>
        </w:rPr>
        <w:t>Strategy</w:t>
      </w:r>
    </w:p>
    <w:p w14:paraId="4EB4D733" w14:textId="6ED0AD67" w:rsidR="00577772" w:rsidRPr="001B3B93" w:rsidRDefault="00A46A78" w:rsidP="00E935AC">
      <w:r w:rsidRPr="001B3B93">
        <w:t xml:space="preserve">While </w:t>
      </w:r>
      <w:r w:rsidR="004C7561" w:rsidRPr="001B3B93">
        <w:t xml:space="preserve">the focus and strategies used by the aid program are changing in </w:t>
      </w:r>
      <w:r w:rsidR="000E1D91">
        <w:t>support</w:t>
      </w:r>
      <w:r w:rsidR="000E1D91" w:rsidRPr="001B3B93">
        <w:t xml:space="preserve"> </w:t>
      </w:r>
      <w:r w:rsidR="004C7561" w:rsidRPr="001B3B93">
        <w:t xml:space="preserve">of </w:t>
      </w:r>
      <w:r w:rsidR="00105E5D">
        <w:t xml:space="preserve">its </w:t>
      </w:r>
      <w:r w:rsidRPr="001B3B93">
        <w:t>economic partnership</w:t>
      </w:r>
      <w:r w:rsidR="00105E5D">
        <w:t>s with Asian MICs</w:t>
      </w:r>
      <w:r w:rsidRPr="001B3B93">
        <w:t xml:space="preserve">, DFAT </w:t>
      </w:r>
      <w:r w:rsidR="003523E5" w:rsidRPr="001B3B93">
        <w:t xml:space="preserve">has not yet </w:t>
      </w:r>
      <w:r w:rsidR="00F42634" w:rsidRPr="001B3B93">
        <w:t xml:space="preserve">fully </w:t>
      </w:r>
      <w:r w:rsidR="003523E5" w:rsidRPr="001B3B93">
        <w:t xml:space="preserve">articulated objectives and strategies for </w:t>
      </w:r>
      <w:r w:rsidR="00451E89" w:rsidRPr="001B3B93">
        <w:t xml:space="preserve">its </w:t>
      </w:r>
      <w:r w:rsidR="003523E5" w:rsidRPr="001B3B93">
        <w:t>economic partnership</w:t>
      </w:r>
      <w:r w:rsidR="00F42634" w:rsidRPr="001B3B93">
        <w:t>s</w:t>
      </w:r>
      <w:r w:rsidR="003523E5" w:rsidRPr="001B3B93">
        <w:t xml:space="preserve"> with </w:t>
      </w:r>
      <w:r w:rsidR="00105E5D">
        <w:t xml:space="preserve">each </w:t>
      </w:r>
      <w:r w:rsidR="003523E5" w:rsidRPr="001B3B93">
        <w:t>countr</w:t>
      </w:r>
      <w:r w:rsidR="007B26DF">
        <w:t>y</w:t>
      </w:r>
      <w:r w:rsidR="003523E5" w:rsidRPr="001B3B93">
        <w:t xml:space="preserve">. </w:t>
      </w:r>
      <w:r w:rsidR="009F6691" w:rsidRPr="001B3B93">
        <w:t xml:space="preserve">The term ‘economic partnership’ appears in </w:t>
      </w:r>
      <w:r w:rsidR="00600225">
        <w:t>a</w:t>
      </w:r>
      <w:r w:rsidR="009F6691" w:rsidRPr="001B3B93">
        <w:t xml:space="preserve">id </w:t>
      </w:r>
      <w:r w:rsidR="00600225">
        <w:t>i</w:t>
      </w:r>
      <w:r w:rsidR="006F265F">
        <w:t xml:space="preserve">nvestment </w:t>
      </w:r>
      <w:r w:rsidR="00600225">
        <w:t>p</w:t>
      </w:r>
      <w:r w:rsidR="009F6691" w:rsidRPr="001B3B93">
        <w:t>lans for Indonesia, Vietnam and a number of other countries</w:t>
      </w:r>
      <w:r w:rsidR="00C56E13" w:rsidRPr="001B3B93">
        <w:t xml:space="preserve">, but without </w:t>
      </w:r>
      <w:r w:rsidR="009D29F0" w:rsidRPr="001B3B93">
        <w:t xml:space="preserve">identifying </w:t>
      </w:r>
      <w:r w:rsidRPr="001B3B93">
        <w:t xml:space="preserve">specific goals </w:t>
      </w:r>
      <w:r w:rsidR="009D29F0" w:rsidRPr="001B3B93">
        <w:t>for each partnership</w:t>
      </w:r>
      <w:r w:rsidR="009F6691" w:rsidRPr="001B3B93">
        <w:t xml:space="preserve">. </w:t>
      </w:r>
      <w:r w:rsidR="009D29F0" w:rsidRPr="001B3B93">
        <w:t xml:space="preserve">The </w:t>
      </w:r>
      <w:r w:rsidR="007E1D64" w:rsidRPr="001B3B93">
        <w:t>nature and goals of the partnership</w:t>
      </w:r>
      <w:r w:rsidR="004C7561" w:rsidRPr="001B3B93">
        <w:t>s</w:t>
      </w:r>
      <w:r w:rsidR="007E1D64" w:rsidRPr="001B3B93">
        <w:t xml:space="preserve"> ha</w:t>
      </w:r>
      <w:r w:rsidR="004C7561" w:rsidRPr="001B3B93">
        <w:t>ve</w:t>
      </w:r>
      <w:r w:rsidR="007E1D64" w:rsidRPr="001B3B93">
        <w:t xml:space="preserve"> </w:t>
      </w:r>
      <w:r w:rsidR="00E575C6">
        <w:t xml:space="preserve">also </w:t>
      </w:r>
      <w:r w:rsidR="009D29F0" w:rsidRPr="001B3B93">
        <w:t xml:space="preserve">not been agreed with the partner countries. </w:t>
      </w:r>
      <w:r w:rsidR="004C7561" w:rsidRPr="001B3B93">
        <w:t xml:space="preserve">This </w:t>
      </w:r>
      <w:r w:rsidR="005B66D7" w:rsidRPr="001B3B93">
        <w:t>inhibits</w:t>
      </w:r>
      <w:r w:rsidR="003523E5" w:rsidRPr="001B3B93">
        <w:t xml:space="preserve"> closer alignment between aid, trade and economic diplomacy.</w:t>
      </w:r>
    </w:p>
    <w:p w14:paraId="0AB0AE0D" w14:textId="1406FEE1" w:rsidR="0049755E" w:rsidRPr="001B3B93" w:rsidRDefault="003523E5" w:rsidP="001A525E">
      <w:r w:rsidRPr="001B3B93">
        <w:t xml:space="preserve">DFAT is </w:t>
      </w:r>
      <w:r w:rsidR="008053E6" w:rsidRPr="001B3B93">
        <w:t xml:space="preserve">considering whether to </w:t>
      </w:r>
      <w:r w:rsidR="0049755E" w:rsidRPr="001B3B93">
        <w:t>develop</w:t>
      </w:r>
      <w:r w:rsidR="008053E6" w:rsidRPr="001B3B93">
        <w:t xml:space="preserve"> </w:t>
      </w:r>
      <w:r w:rsidR="0049755E" w:rsidRPr="001B3B93">
        <w:t xml:space="preserve">integrated country and regional strategies that set out the </w:t>
      </w:r>
      <w:r w:rsidR="00D519D7">
        <w:t xml:space="preserve">Australian </w:t>
      </w:r>
      <w:r w:rsidR="0049755E" w:rsidRPr="001B3B93">
        <w:t>Government’s high-level foreign policy, development, security and economic priorities</w:t>
      </w:r>
      <w:r w:rsidR="00E575C6">
        <w:t xml:space="preserve">. These would </w:t>
      </w:r>
      <w:r w:rsidR="0049755E" w:rsidRPr="001B3B93">
        <w:t xml:space="preserve">then </w:t>
      </w:r>
      <w:r w:rsidR="00E575C6">
        <w:t xml:space="preserve">inform the preparation </w:t>
      </w:r>
      <w:r w:rsidR="006F265F">
        <w:t xml:space="preserve">of </w:t>
      </w:r>
      <w:r w:rsidR="00D519D7">
        <w:t>a</w:t>
      </w:r>
      <w:r w:rsidR="0049755E" w:rsidRPr="001B3B93">
        <w:rPr>
          <w:bCs/>
        </w:rPr>
        <w:t xml:space="preserve">id </w:t>
      </w:r>
      <w:r w:rsidR="00D519D7">
        <w:rPr>
          <w:bCs/>
        </w:rPr>
        <w:t>i</w:t>
      </w:r>
      <w:r w:rsidR="0049755E" w:rsidRPr="001B3B93">
        <w:rPr>
          <w:bCs/>
        </w:rPr>
        <w:t xml:space="preserve">nvestment </w:t>
      </w:r>
      <w:r w:rsidR="00D519D7">
        <w:rPr>
          <w:bCs/>
        </w:rPr>
        <w:t>p</w:t>
      </w:r>
      <w:r w:rsidR="0049755E" w:rsidRPr="001B3B93">
        <w:rPr>
          <w:bCs/>
        </w:rPr>
        <w:t>lan</w:t>
      </w:r>
      <w:r w:rsidR="001A525E" w:rsidRPr="001B3B93">
        <w:rPr>
          <w:bCs/>
        </w:rPr>
        <w:t>s</w:t>
      </w:r>
      <w:r w:rsidR="0049755E" w:rsidRPr="001B3B93">
        <w:rPr>
          <w:bCs/>
        </w:rPr>
        <w:t xml:space="preserve"> </w:t>
      </w:r>
      <w:r w:rsidR="007E1D64" w:rsidRPr="001B3B93">
        <w:rPr>
          <w:bCs/>
        </w:rPr>
        <w:t xml:space="preserve">setting out </w:t>
      </w:r>
      <w:r w:rsidR="0049755E" w:rsidRPr="001B3B93">
        <w:rPr>
          <w:bCs/>
        </w:rPr>
        <w:t>how Australia</w:t>
      </w:r>
      <w:r w:rsidR="001A525E" w:rsidRPr="001B3B93">
        <w:rPr>
          <w:bCs/>
        </w:rPr>
        <w:t>n</w:t>
      </w:r>
      <w:r w:rsidR="0049755E" w:rsidRPr="001B3B93">
        <w:rPr>
          <w:bCs/>
        </w:rPr>
        <w:t xml:space="preserve"> aid </w:t>
      </w:r>
      <w:r w:rsidR="001A525E" w:rsidRPr="001B3B93">
        <w:rPr>
          <w:bCs/>
        </w:rPr>
        <w:t>will help address these priorities.</w:t>
      </w:r>
    </w:p>
    <w:p w14:paraId="3711D921" w14:textId="6D84D8C2" w:rsidR="003523E5" w:rsidRPr="001B3B93" w:rsidRDefault="00020016" w:rsidP="00E935AC">
      <w:r>
        <w:t>To support economic partnership</w:t>
      </w:r>
      <w:r w:rsidR="00740D24">
        <w:t>s</w:t>
      </w:r>
      <w:r>
        <w:t xml:space="preserve"> with </w:t>
      </w:r>
      <w:r w:rsidR="004B3304" w:rsidRPr="001B3B93">
        <w:t xml:space="preserve">Asian MICs, </w:t>
      </w:r>
      <w:r w:rsidR="005730C8" w:rsidRPr="001B3B93">
        <w:t xml:space="preserve">it would be helpful to have </w:t>
      </w:r>
      <w:r w:rsidR="00740D24">
        <w:t xml:space="preserve">integrated </w:t>
      </w:r>
      <w:r w:rsidR="00F42634" w:rsidRPr="001B3B93">
        <w:t xml:space="preserve">strategies </w:t>
      </w:r>
      <w:r w:rsidR="009D29F0" w:rsidRPr="001B3B93">
        <w:t xml:space="preserve">that incorporate </w:t>
      </w:r>
      <w:r w:rsidR="00A46A78" w:rsidRPr="001B3B93">
        <w:t>both development and economic cooperation goals</w:t>
      </w:r>
      <w:r w:rsidR="009D29F0" w:rsidRPr="001B3B93">
        <w:t>,</w:t>
      </w:r>
      <w:r w:rsidR="001A525E" w:rsidRPr="001B3B93">
        <w:t xml:space="preserve"> including</w:t>
      </w:r>
      <w:r w:rsidR="00F42634" w:rsidRPr="001B3B93">
        <w:t>:</w:t>
      </w:r>
    </w:p>
    <w:p w14:paraId="42C38780" w14:textId="47B9C191" w:rsidR="00F42634" w:rsidRPr="00000AA1" w:rsidRDefault="00D519D7" w:rsidP="000C55B6">
      <w:pPr>
        <w:pStyle w:val="ListParagraph"/>
        <w:numPr>
          <w:ilvl w:val="0"/>
          <w:numId w:val="25"/>
        </w:numPr>
      </w:pPr>
      <w:r>
        <w:t>h</w:t>
      </w:r>
      <w:r w:rsidR="00A46A78" w:rsidRPr="001B3B93">
        <w:t xml:space="preserve">ow Australia will support the country’s </w:t>
      </w:r>
      <w:r w:rsidR="00F42634" w:rsidRPr="001B3B93">
        <w:t xml:space="preserve">transition </w:t>
      </w:r>
      <w:r w:rsidR="007E1D64" w:rsidRPr="001B3B93">
        <w:t xml:space="preserve">from </w:t>
      </w:r>
      <w:r w:rsidR="00F42634" w:rsidRPr="00000AA1">
        <w:t>middle</w:t>
      </w:r>
      <w:r w:rsidR="007E1D64" w:rsidRPr="00000AA1">
        <w:t xml:space="preserve"> </w:t>
      </w:r>
      <w:r w:rsidR="001A525E" w:rsidRPr="00000AA1">
        <w:t>to high</w:t>
      </w:r>
      <w:r w:rsidR="007E1D64" w:rsidRPr="00000AA1">
        <w:t>-</w:t>
      </w:r>
      <w:r w:rsidR="001A525E" w:rsidRPr="00000AA1">
        <w:t xml:space="preserve">income </w:t>
      </w:r>
      <w:r w:rsidR="00F42634" w:rsidRPr="00000AA1">
        <w:t>status</w:t>
      </w:r>
    </w:p>
    <w:p w14:paraId="62322266" w14:textId="50F5B531" w:rsidR="006A1969" w:rsidRPr="00000AA1" w:rsidRDefault="00A46A78" w:rsidP="000C55B6">
      <w:pPr>
        <w:pStyle w:val="ListParagraph"/>
        <w:numPr>
          <w:ilvl w:val="0"/>
          <w:numId w:val="25"/>
        </w:numPr>
      </w:pPr>
      <w:r w:rsidRPr="00000AA1">
        <w:t xml:space="preserve">Australia’s long-term plans for building </w:t>
      </w:r>
      <w:r w:rsidR="006A1969" w:rsidRPr="00000AA1">
        <w:t xml:space="preserve">bilateral economic </w:t>
      </w:r>
      <w:r w:rsidR="002259B6" w:rsidRPr="00000AA1">
        <w:t>ties</w:t>
      </w:r>
      <w:r w:rsidR="006A1969" w:rsidRPr="00000AA1">
        <w:t xml:space="preserve">, </w:t>
      </w:r>
      <w:r w:rsidRPr="00000AA1">
        <w:t xml:space="preserve">including </w:t>
      </w:r>
      <w:r w:rsidR="001A525E" w:rsidRPr="00000AA1">
        <w:t xml:space="preserve">increasing </w:t>
      </w:r>
      <w:r w:rsidRPr="00000AA1">
        <w:t xml:space="preserve">trade and investment and </w:t>
      </w:r>
      <w:r w:rsidR="009D29F0" w:rsidRPr="00000AA1">
        <w:t xml:space="preserve">supporting </w:t>
      </w:r>
      <w:r w:rsidR="006A1969" w:rsidRPr="00000AA1">
        <w:t xml:space="preserve">sectors </w:t>
      </w:r>
      <w:r w:rsidRPr="00000AA1">
        <w:t xml:space="preserve">of the economy </w:t>
      </w:r>
      <w:r w:rsidR="006A1969" w:rsidRPr="00000AA1">
        <w:t xml:space="preserve">that are of </w:t>
      </w:r>
      <w:r w:rsidR="00A512D7" w:rsidRPr="00000AA1">
        <w:t xml:space="preserve">particular </w:t>
      </w:r>
      <w:r w:rsidR="006A1969" w:rsidRPr="00000AA1">
        <w:t>interest.</w:t>
      </w:r>
    </w:p>
    <w:p w14:paraId="385E8849" w14:textId="1FC59BA9" w:rsidR="005730C8" w:rsidRPr="001B3B93" w:rsidRDefault="005730C8" w:rsidP="006A1969">
      <w:r w:rsidRPr="00000AA1">
        <w:t>This would help DFAT identify a set of medium-term outcomes</w:t>
      </w:r>
      <w:r w:rsidR="00D519D7" w:rsidRPr="00000AA1">
        <w:t>,</w:t>
      </w:r>
      <w:r w:rsidRPr="00000AA1">
        <w:t xml:space="preserve"> such as specific policy or institutional </w:t>
      </w:r>
      <w:r w:rsidR="007E1D64" w:rsidRPr="00000AA1">
        <w:t>reforms</w:t>
      </w:r>
      <w:r w:rsidR="00D519D7" w:rsidRPr="00000AA1">
        <w:t>,</w:t>
      </w:r>
      <w:r w:rsidRPr="00000AA1">
        <w:t xml:space="preserve"> to be pursued through development cooperation, diplomatic engagement and</w:t>
      </w:r>
      <w:r w:rsidRPr="001B3B93">
        <w:t xml:space="preserve">, where appropriate, trade negotiations. </w:t>
      </w:r>
      <w:r w:rsidR="007E1D64" w:rsidRPr="001B3B93">
        <w:t>A clearly articulated set of influencing priorities would help align these efforts</w:t>
      </w:r>
      <w:r w:rsidR="00033756">
        <w:t xml:space="preserve"> and ensur</w:t>
      </w:r>
      <w:r w:rsidR="006F265F">
        <w:t>e</w:t>
      </w:r>
      <w:r w:rsidR="00033756">
        <w:t xml:space="preserve"> consist</w:t>
      </w:r>
      <w:r w:rsidR="008361C8">
        <w:t>ent</w:t>
      </w:r>
      <w:r w:rsidR="00033756">
        <w:t xml:space="preserve"> messaging both within DFAT and with other Australian government agencies</w:t>
      </w:r>
      <w:r w:rsidR="007E1D64" w:rsidRPr="001B3B93">
        <w:t>.</w:t>
      </w:r>
    </w:p>
    <w:p w14:paraId="1D9F1B35" w14:textId="2B3436E6" w:rsidR="006A1969" w:rsidRPr="001B3B93" w:rsidRDefault="008A6450" w:rsidP="006A1969">
      <w:r w:rsidRPr="001B3B93">
        <w:t xml:space="preserve">There may also be a case for </w:t>
      </w:r>
      <w:r w:rsidR="001A525E" w:rsidRPr="001B3B93">
        <w:t xml:space="preserve">developing </w:t>
      </w:r>
      <w:r w:rsidRPr="001B3B93">
        <w:t xml:space="preserve">region-wide strategies in </w:t>
      </w:r>
      <w:r w:rsidR="005B5234">
        <w:t>specific</w:t>
      </w:r>
      <w:r w:rsidRPr="001B3B93">
        <w:t xml:space="preserve"> sectors or areas. </w:t>
      </w:r>
      <w:r w:rsidR="001A525E" w:rsidRPr="001B3B93">
        <w:t>This is because s</w:t>
      </w:r>
      <w:r w:rsidR="006A1969" w:rsidRPr="001B3B93">
        <w:t>ome of Australia’s economic objectives are regional in nature</w:t>
      </w:r>
      <w:r w:rsidR="00D519D7">
        <w:t>,</w:t>
      </w:r>
      <w:r w:rsidR="006A1969" w:rsidRPr="001B3B93">
        <w:t xml:space="preserve"> such as </w:t>
      </w:r>
      <w:r w:rsidR="009D29F0" w:rsidRPr="001B3B93">
        <w:t>promoting economic integration</w:t>
      </w:r>
      <w:r w:rsidR="00E961C0" w:rsidRPr="001B3B93">
        <w:t xml:space="preserve">, </w:t>
      </w:r>
      <w:r w:rsidR="009D29F0" w:rsidRPr="001B3B93">
        <w:t xml:space="preserve">preventing </w:t>
      </w:r>
      <w:r w:rsidR="00E961C0" w:rsidRPr="001B3B93">
        <w:t>financial crises</w:t>
      </w:r>
      <w:r w:rsidR="006A1969" w:rsidRPr="001B3B93">
        <w:t xml:space="preserve"> and </w:t>
      </w:r>
      <w:r w:rsidR="005730C8" w:rsidRPr="001B3B93">
        <w:t xml:space="preserve">promoting </w:t>
      </w:r>
      <w:r w:rsidR="009D29F0" w:rsidRPr="001B3B93">
        <w:t xml:space="preserve">open </w:t>
      </w:r>
      <w:r w:rsidR="006A1969" w:rsidRPr="001B3B93">
        <w:t xml:space="preserve">labour markets. </w:t>
      </w:r>
      <w:r w:rsidR="007E1D64" w:rsidRPr="001B3B93">
        <w:t xml:space="preserve">These can become cross-cutting objectives across all the economic partnerships. </w:t>
      </w:r>
      <w:r w:rsidR="00D3565B" w:rsidRPr="001B3B93">
        <w:t>Australia may also have objectives for sectors or industries</w:t>
      </w:r>
      <w:r w:rsidR="00D519D7">
        <w:t>,</w:t>
      </w:r>
      <w:r w:rsidR="00D3565B" w:rsidRPr="001B3B93">
        <w:t xml:space="preserve"> such as promoting tourism</w:t>
      </w:r>
      <w:r w:rsidRPr="001B3B93">
        <w:t>,</w:t>
      </w:r>
      <w:r w:rsidR="00E961C0" w:rsidRPr="001B3B93">
        <w:t xml:space="preserve"> open</w:t>
      </w:r>
      <w:r w:rsidR="007E1D64" w:rsidRPr="001B3B93">
        <w:t>ing up regional</w:t>
      </w:r>
      <w:r w:rsidR="00E961C0" w:rsidRPr="001B3B93">
        <w:t xml:space="preserve"> food markets</w:t>
      </w:r>
      <w:r w:rsidRPr="001B3B93">
        <w:t xml:space="preserve"> or </w:t>
      </w:r>
      <w:r w:rsidR="007E1D64" w:rsidRPr="001B3B93">
        <w:t xml:space="preserve">promoting </w:t>
      </w:r>
      <w:r w:rsidRPr="001B3B93">
        <w:t>Australian export of education services</w:t>
      </w:r>
      <w:r w:rsidR="00E961C0" w:rsidRPr="001B3B93">
        <w:t>.</w:t>
      </w:r>
    </w:p>
    <w:p w14:paraId="7BE38D0D" w14:textId="55B5A107" w:rsidR="00241354" w:rsidRPr="001B3B93" w:rsidRDefault="00241354" w:rsidP="006A1969">
      <w:pPr>
        <w:rPr>
          <w:i/>
          <w:color w:val="296C60" w:themeColor="background2" w:themeShade="80"/>
          <w:szCs w:val="23"/>
        </w:rPr>
      </w:pPr>
      <w:r w:rsidRPr="0071755E">
        <w:rPr>
          <w:i/>
          <w:color w:val="296C60" w:themeColor="background2" w:themeShade="80"/>
          <w:szCs w:val="23"/>
        </w:rPr>
        <w:t>Analytical work</w:t>
      </w:r>
    </w:p>
    <w:p w14:paraId="63A732E4" w14:textId="7B7D23A0" w:rsidR="008E0C98" w:rsidRPr="001B3B93" w:rsidRDefault="0027334D" w:rsidP="001A525E">
      <w:r w:rsidRPr="001B3B93">
        <w:t>While there</w:t>
      </w:r>
      <w:r w:rsidR="00E41A02">
        <w:t xml:space="preserve"> is</w:t>
      </w:r>
      <w:r w:rsidR="00FC3363" w:rsidRPr="001B3B93">
        <w:t xml:space="preserve"> good</w:t>
      </w:r>
      <w:r w:rsidRPr="001B3B93">
        <w:t xml:space="preserve"> research and analysis </w:t>
      </w:r>
      <w:r w:rsidR="00C75ECC">
        <w:t>completed for</w:t>
      </w:r>
      <w:r w:rsidRPr="001B3B93">
        <w:t xml:space="preserve"> individual aid programs, there is no structured process for pulling together the available knowledge, to guide aid investment plan</w:t>
      </w:r>
      <w:r w:rsidR="00E46E7D" w:rsidRPr="001B3B93">
        <w:t>s</w:t>
      </w:r>
      <w:r w:rsidRPr="001B3B93">
        <w:t xml:space="preserve"> and the design of </w:t>
      </w:r>
      <w:r w:rsidR="00E46E7D" w:rsidRPr="001B3B93">
        <w:t xml:space="preserve">aid </w:t>
      </w:r>
      <w:r w:rsidRPr="001B3B93">
        <w:t xml:space="preserve">programs. </w:t>
      </w:r>
      <w:r w:rsidR="001A525E" w:rsidRPr="001B3B93">
        <w:t>DFAT’s aid investment plans are not informed by economic growth diagnostics</w:t>
      </w:r>
      <w:r w:rsidR="007E1D64" w:rsidRPr="001B3B93">
        <w:t xml:space="preserve"> or a structured approach to learning and knowledge management</w:t>
      </w:r>
      <w:r w:rsidR="001A525E" w:rsidRPr="001B3B93">
        <w:t>.</w:t>
      </w:r>
    </w:p>
    <w:p w14:paraId="205848BF" w14:textId="4FE00AA6" w:rsidR="008E0C98" w:rsidRPr="001B3B93" w:rsidRDefault="002C195E" w:rsidP="008E0C98">
      <w:r w:rsidRPr="001B3B93">
        <w:t>To maximise the effectiveness of aid in strengthening</w:t>
      </w:r>
      <w:r w:rsidR="0027334D" w:rsidRPr="001B3B93">
        <w:t xml:space="preserve"> e</w:t>
      </w:r>
      <w:r w:rsidR="008E0C98" w:rsidRPr="001B3B93">
        <w:t>conomic partnerships</w:t>
      </w:r>
      <w:r w:rsidR="0027334D" w:rsidRPr="001B3B93">
        <w:t>,</w:t>
      </w:r>
      <w:r w:rsidR="008E0C98" w:rsidRPr="001B3B93">
        <w:t xml:space="preserve"> </w:t>
      </w:r>
      <w:r w:rsidR="0027334D" w:rsidRPr="001B3B93">
        <w:t>DFAT needs to build an understanding of</w:t>
      </w:r>
      <w:r w:rsidR="00C75ECC">
        <w:t xml:space="preserve"> the</w:t>
      </w:r>
      <w:r w:rsidR="008E0C98" w:rsidRPr="001B3B93">
        <w:t>:</w:t>
      </w:r>
    </w:p>
    <w:p w14:paraId="75EB7AC9" w14:textId="5C6AAED7" w:rsidR="008E0C98" w:rsidRPr="00475334" w:rsidRDefault="006F265F" w:rsidP="000C55B6">
      <w:pPr>
        <w:pStyle w:val="ListParagraph"/>
        <w:numPr>
          <w:ilvl w:val="0"/>
          <w:numId w:val="26"/>
        </w:numPr>
      </w:pPr>
      <w:r>
        <w:t xml:space="preserve">opportunities to promote and the </w:t>
      </w:r>
      <w:r w:rsidR="008E0C98" w:rsidRPr="00475334">
        <w:t>constraints on</w:t>
      </w:r>
      <w:r>
        <w:t xml:space="preserve"> achieving</w:t>
      </w:r>
      <w:r w:rsidR="008E0C98" w:rsidRPr="00475334">
        <w:t xml:space="preserve"> </w:t>
      </w:r>
      <w:r w:rsidR="00481886" w:rsidRPr="00475334">
        <w:t xml:space="preserve">more </w:t>
      </w:r>
      <w:r w:rsidR="008E0C98" w:rsidRPr="00475334">
        <w:t>productiv</w:t>
      </w:r>
      <w:r w:rsidR="00481886" w:rsidRPr="00475334">
        <w:t>e</w:t>
      </w:r>
      <w:r w:rsidR="008E0C98" w:rsidRPr="00475334">
        <w:t xml:space="preserve"> </w:t>
      </w:r>
      <w:r w:rsidR="001113BE" w:rsidRPr="00475334">
        <w:t xml:space="preserve">economies </w:t>
      </w:r>
      <w:r w:rsidR="008E0C98" w:rsidRPr="00475334">
        <w:t>and stronger growth</w:t>
      </w:r>
      <w:r w:rsidR="008361C8" w:rsidRPr="00475334">
        <w:t xml:space="preserve"> in Asian MICs</w:t>
      </w:r>
    </w:p>
    <w:p w14:paraId="65D26216" w14:textId="2AF52841" w:rsidR="008E0C98" w:rsidRPr="00475334" w:rsidRDefault="001113BE" w:rsidP="000C55B6">
      <w:pPr>
        <w:pStyle w:val="ListParagraph"/>
        <w:numPr>
          <w:ilvl w:val="0"/>
          <w:numId w:val="26"/>
        </w:numPr>
      </w:pPr>
      <w:r w:rsidRPr="00475334">
        <w:lastRenderedPageBreak/>
        <w:t>c</w:t>
      </w:r>
      <w:r w:rsidR="009D29F0" w:rsidRPr="00475334">
        <w:t xml:space="preserve">auses </w:t>
      </w:r>
      <w:r w:rsidR="008E0C98" w:rsidRPr="00475334">
        <w:t>of inequality</w:t>
      </w:r>
      <w:r w:rsidR="008361C8" w:rsidRPr="00475334">
        <w:t>,</w:t>
      </w:r>
      <w:r w:rsidRPr="00475334">
        <w:t xml:space="preserve"> including </w:t>
      </w:r>
      <w:r w:rsidR="00A85C5E" w:rsidRPr="00475334">
        <w:t xml:space="preserve">the </w:t>
      </w:r>
      <w:r w:rsidR="008E0C98" w:rsidRPr="00475334">
        <w:t xml:space="preserve">barriers </w:t>
      </w:r>
      <w:r w:rsidR="009D29F0" w:rsidRPr="00475334">
        <w:t xml:space="preserve">that prevent </w:t>
      </w:r>
      <w:r w:rsidR="008E0C98" w:rsidRPr="00475334">
        <w:t xml:space="preserve">poor and marginalised groups </w:t>
      </w:r>
      <w:r w:rsidR="009D29F0" w:rsidRPr="00475334">
        <w:t xml:space="preserve">from </w:t>
      </w:r>
      <w:r w:rsidR="008E0C98" w:rsidRPr="00475334">
        <w:t xml:space="preserve">benefiting </w:t>
      </w:r>
      <w:r w:rsidR="009D29F0" w:rsidRPr="00475334">
        <w:t xml:space="preserve">from </w:t>
      </w:r>
      <w:r w:rsidR="008E0C98" w:rsidRPr="00475334">
        <w:t>economic growth</w:t>
      </w:r>
      <w:r w:rsidR="008361C8" w:rsidRPr="00475334">
        <w:t>,</w:t>
      </w:r>
      <w:r w:rsidR="008E0C98" w:rsidRPr="00475334">
        <w:t xml:space="preserve"> and the risks </w:t>
      </w:r>
      <w:r w:rsidR="009D29F0" w:rsidRPr="00475334">
        <w:t xml:space="preserve">that </w:t>
      </w:r>
      <w:r w:rsidRPr="00475334">
        <w:t xml:space="preserve">inequality </w:t>
      </w:r>
      <w:r w:rsidR="008E0C98" w:rsidRPr="00475334">
        <w:t>pose</w:t>
      </w:r>
      <w:r w:rsidRPr="00475334">
        <w:t>s</w:t>
      </w:r>
      <w:r w:rsidR="008E0C98" w:rsidRPr="00475334">
        <w:t xml:space="preserve"> to </w:t>
      </w:r>
      <w:r w:rsidR="007E1D64" w:rsidRPr="00475334">
        <w:t xml:space="preserve">growth </w:t>
      </w:r>
      <w:r w:rsidRPr="00475334">
        <w:t xml:space="preserve">and </w:t>
      </w:r>
      <w:r w:rsidR="008E0C98" w:rsidRPr="00475334">
        <w:t>stability</w:t>
      </w:r>
    </w:p>
    <w:p w14:paraId="5309C394" w14:textId="5CC903A7" w:rsidR="008E0C98" w:rsidRPr="001B3B93" w:rsidRDefault="00C75ECC" w:rsidP="000C55B6">
      <w:pPr>
        <w:pStyle w:val="ListParagraph"/>
        <w:numPr>
          <w:ilvl w:val="0"/>
          <w:numId w:val="26"/>
        </w:numPr>
      </w:pPr>
      <w:r>
        <w:t>k</w:t>
      </w:r>
      <w:r w:rsidR="009D29F0" w:rsidRPr="001B3B93">
        <w:t xml:space="preserve">ey institutional and policy gaps for economic transition, and the </w:t>
      </w:r>
      <w:r w:rsidR="00E46E7D" w:rsidRPr="001B3B93">
        <w:t xml:space="preserve">constituencies </w:t>
      </w:r>
      <w:r w:rsidR="009D29F0" w:rsidRPr="001B3B93">
        <w:t xml:space="preserve">that support </w:t>
      </w:r>
      <w:r w:rsidR="007E1D64" w:rsidRPr="001B3B93">
        <w:t xml:space="preserve">or resist </w:t>
      </w:r>
      <w:r w:rsidR="008E0C98" w:rsidRPr="001B3B93">
        <w:t>reform</w:t>
      </w:r>
    </w:p>
    <w:p w14:paraId="38A0D996" w14:textId="628CD84F" w:rsidR="008E0C98" w:rsidRPr="001B3B93" w:rsidRDefault="00C75ECC" w:rsidP="000C55B6">
      <w:pPr>
        <w:pStyle w:val="ListParagraph"/>
        <w:numPr>
          <w:ilvl w:val="0"/>
          <w:numId w:val="26"/>
        </w:numPr>
      </w:pPr>
      <w:r>
        <w:t>r</w:t>
      </w:r>
      <w:r w:rsidR="009D29F0" w:rsidRPr="001B3B93">
        <w:t xml:space="preserve">isks </w:t>
      </w:r>
      <w:r w:rsidR="002D05F9" w:rsidRPr="001B3B93">
        <w:t xml:space="preserve">that could set back </w:t>
      </w:r>
      <w:r w:rsidR="008E0C98" w:rsidRPr="001B3B93">
        <w:t xml:space="preserve">economic growth, such as climate change, demographic shifts or financial crises, and how </w:t>
      </w:r>
      <w:r w:rsidR="002D05F9" w:rsidRPr="001B3B93">
        <w:t xml:space="preserve">to </w:t>
      </w:r>
      <w:r w:rsidR="007E1D64" w:rsidRPr="001B3B93">
        <w:t xml:space="preserve">mitigate </w:t>
      </w:r>
      <w:r w:rsidR="002D05F9" w:rsidRPr="001B3B93">
        <w:t>their impact</w:t>
      </w:r>
      <w:r w:rsidR="008E0C98" w:rsidRPr="001B3B93">
        <w:t>.</w:t>
      </w:r>
    </w:p>
    <w:p w14:paraId="0DC81AA6" w14:textId="35315601" w:rsidR="008E0C98" w:rsidRPr="001B3B93" w:rsidRDefault="008E0C98" w:rsidP="006A1969">
      <w:r w:rsidRPr="001B3B93">
        <w:t xml:space="preserve">This knowledge can be built over time, including through analytical work </w:t>
      </w:r>
      <w:r w:rsidR="0027334D" w:rsidRPr="001B3B93">
        <w:t>within programs</w:t>
      </w:r>
      <w:r w:rsidR="00C75ECC">
        <w:t>. It</w:t>
      </w:r>
      <w:r w:rsidR="0027334D" w:rsidRPr="001B3B93">
        <w:t xml:space="preserve"> </w:t>
      </w:r>
      <w:r w:rsidR="001A525E" w:rsidRPr="001B3B93">
        <w:t xml:space="preserve">should </w:t>
      </w:r>
      <w:r w:rsidR="0027334D" w:rsidRPr="001B3B93">
        <w:t>be periodically brought together and synthesised.</w:t>
      </w:r>
    </w:p>
    <w:p w14:paraId="50B30CE6" w14:textId="0D2AD95E" w:rsidR="008E0C98" w:rsidRPr="00000AA1" w:rsidRDefault="00241354" w:rsidP="006A1969">
      <w:r w:rsidRPr="001B3B93">
        <w:t xml:space="preserve">DFAT has a partnership with The </w:t>
      </w:r>
      <w:r w:rsidRPr="00000AA1">
        <w:t xml:space="preserve">Asia Foundation to </w:t>
      </w:r>
      <w:r w:rsidR="007E1D64" w:rsidRPr="00000AA1">
        <w:t xml:space="preserve">develop a deeper understanding of </w:t>
      </w:r>
      <w:r w:rsidRPr="00000AA1">
        <w:t xml:space="preserve">middle-income traps in Asia. </w:t>
      </w:r>
      <w:r w:rsidR="0027334D" w:rsidRPr="00000AA1">
        <w:t>T</w:t>
      </w:r>
      <w:r w:rsidR="000C400A" w:rsidRPr="00000AA1">
        <w:t xml:space="preserve">here are plans to move towards developing a diagnostic tool that can be used in countries to identify the main blockages to economic transition and how they might be addressed. </w:t>
      </w:r>
      <w:r w:rsidR="0012591A" w:rsidRPr="00000AA1">
        <w:t xml:space="preserve">This </w:t>
      </w:r>
      <w:r w:rsidR="00E46E7D" w:rsidRPr="00000AA1">
        <w:t>might offer a framework to synthesise the available knowledge</w:t>
      </w:r>
      <w:r w:rsidR="006A19F4" w:rsidRPr="00000AA1">
        <w:t>.</w:t>
      </w:r>
    </w:p>
    <w:p w14:paraId="0002AF0C" w14:textId="593F1D43" w:rsidR="00704AA7" w:rsidRPr="00000AA1" w:rsidRDefault="00A512D7" w:rsidP="006A1969">
      <w:pPr>
        <w:rPr>
          <w:i/>
          <w:color w:val="296C60" w:themeColor="background2" w:themeShade="80"/>
          <w:szCs w:val="23"/>
        </w:rPr>
      </w:pPr>
      <w:r w:rsidRPr="00000AA1">
        <w:rPr>
          <w:i/>
          <w:color w:val="296C60" w:themeColor="background2" w:themeShade="80"/>
          <w:szCs w:val="23"/>
        </w:rPr>
        <w:t>Capabilities</w:t>
      </w:r>
    </w:p>
    <w:p w14:paraId="03E017E4" w14:textId="65528095" w:rsidR="004C2297" w:rsidRDefault="005C4D71" w:rsidP="001E2917">
      <w:r w:rsidRPr="00000AA1">
        <w:t xml:space="preserve">The rebalancing within economic partnerships from bricks and mortar projects to knowledge-based assistance has implications for the </w:t>
      </w:r>
      <w:r w:rsidR="00A512D7" w:rsidRPr="00000AA1">
        <w:t>capabilities</w:t>
      </w:r>
      <w:r w:rsidRPr="00000AA1">
        <w:t xml:space="preserve"> that DFAT needs in its posts. </w:t>
      </w:r>
      <w:r w:rsidR="00481886" w:rsidRPr="00000AA1">
        <w:t xml:space="preserve">Some of the </w:t>
      </w:r>
      <w:r w:rsidRPr="00000AA1">
        <w:t xml:space="preserve">DFAT </w:t>
      </w:r>
      <w:r w:rsidR="00481886" w:rsidRPr="00000AA1">
        <w:t xml:space="preserve">staff responsible for managing </w:t>
      </w:r>
      <w:r w:rsidRPr="00000AA1">
        <w:t xml:space="preserve">knowledge-based </w:t>
      </w:r>
      <w:r w:rsidR="00481886" w:rsidRPr="00000AA1">
        <w:t xml:space="preserve">programs noted that they </w:t>
      </w:r>
      <w:r w:rsidR="004C2297" w:rsidRPr="00000AA1">
        <w:t>involve</w:t>
      </w:r>
      <w:r w:rsidR="004C2297">
        <w:t xml:space="preserve"> a greater management burden, relative to the expenditure</w:t>
      </w:r>
      <w:r>
        <w:t xml:space="preserve">. </w:t>
      </w:r>
      <w:r w:rsidR="004C2297">
        <w:t>F</w:t>
      </w:r>
      <w:r>
        <w:t>lexible and adaptive programs require oversight to ensure they remain</w:t>
      </w:r>
      <w:r w:rsidR="004C2297">
        <w:t xml:space="preserve"> coherent and</w:t>
      </w:r>
      <w:r>
        <w:t xml:space="preserve"> focused on DFAT’s objectives. Australia also gains greater benefits, in terms of </w:t>
      </w:r>
      <w:r w:rsidR="00B438F8">
        <w:t>profile</w:t>
      </w:r>
      <w:r>
        <w:t xml:space="preserve"> and reputation, if </w:t>
      </w:r>
      <w:r w:rsidR="004C2297">
        <w:t xml:space="preserve">DFAT </w:t>
      </w:r>
      <w:r>
        <w:t>participates actively in policy dialogue</w:t>
      </w:r>
      <w:r w:rsidR="004C2297">
        <w:t xml:space="preserve"> and relationship building</w:t>
      </w:r>
      <w:r>
        <w:t>, rather than delegating to implementers.</w:t>
      </w:r>
    </w:p>
    <w:p w14:paraId="14F1D7A8" w14:textId="76826D78" w:rsidR="004C2297" w:rsidRDefault="004C2297" w:rsidP="001E2917">
      <w:r>
        <w:t xml:space="preserve">There is a widespread perception within DFAT that the department’s capacity to manage development cooperation in Asian MICs has declined over time, in parallel to declining aid budgets. In interviews, skills gaps, a lack of cross-disciplinary team work and </w:t>
      </w:r>
      <w:r w:rsidR="005004AC">
        <w:t xml:space="preserve">competing </w:t>
      </w:r>
      <w:r>
        <w:t xml:space="preserve">pressures on staff time were </w:t>
      </w:r>
      <w:r w:rsidR="00935E38">
        <w:t xml:space="preserve">suggested </w:t>
      </w:r>
      <w:r>
        <w:t xml:space="preserve">as explanations. </w:t>
      </w:r>
      <w:r w:rsidR="00935E38">
        <w:t>It was agreed that more ambitious economic partnerships would require a high</w:t>
      </w:r>
      <w:r w:rsidR="00BC3B39">
        <w:t>er</w:t>
      </w:r>
      <w:r w:rsidR="00935E38">
        <w:t xml:space="preserve"> level of economic literacy. This does not necessarily </w:t>
      </w:r>
      <w:r w:rsidR="00D65FE6">
        <w:t xml:space="preserve">mean </w:t>
      </w:r>
      <w:r w:rsidR="00935E38">
        <w:t xml:space="preserve">that aid programs in economic partnerships should be managed by economists. </w:t>
      </w:r>
      <w:r w:rsidR="006F265F" w:rsidRPr="001B3B93">
        <w:t>Some of the required technical expertise can be bought in</w:t>
      </w:r>
      <w:r w:rsidR="006F265F">
        <w:t xml:space="preserve">. </w:t>
      </w:r>
      <w:r w:rsidR="00935E38">
        <w:t>However, DFAT staff need a sufficient understanding of economic and social policy issues to absorb the analytical work they receive from program teams and to understand and engage with policy debates.</w:t>
      </w:r>
    </w:p>
    <w:p w14:paraId="236B2488" w14:textId="3FE1AD63" w:rsidR="00935E38" w:rsidRDefault="00935E38" w:rsidP="001E2917">
      <w:r>
        <w:t xml:space="preserve">Trade expertise </w:t>
      </w:r>
      <w:r w:rsidR="0049638F">
        <w:t xml:space="preserve">was identified as a particular </w:t>
      </w:r>
      <w:r>
        <w:t xml:space="preserve">gap. </w:t>
      </w:r>
      <w:r w:rsidR="00C75ECC">
        <w:t xml:space="preserve">This </w:t>
      </w:r>
      <w:r>
        <w:t>is mainly located in Canberra, rather than</w:t>
      </w:r>
      <w:r w:rsidR="00DD117F">
        <w:t xml:space="preserve"> at </w:t>
      </w:r>
      <w:r>
        <w:t xml:space="preserve">post. This may help to explain why the regional and multilateral trade facilitation work is not well integrated with country programs. To develop a more ambitious approach to using bilateral aid to support the implementation of free trade agreements, </w:t>
      </w:r>
      <w:r w:rsidR="003C0663">
        <w:t>DFAT would need to encourage more cross-disciplinary working and greater interaction between staff in posts and trade experts in Canberra</w:t>
      </w:r>
      <w:r w:rsidR="00C001C6">
        <w:t>.</w:t>
      </w:r>
    </w:p>
    <w:p w14:paraId="214CCE64" w14:textId="211C0CAC" w:rsidR="00E8761C" w:rsidRPr="001B3B93" w:rsidRDefault="00DD117F" w:rsidP="00D624A1">
      <w:r>
        <w:t xml:space="preserve">The evaluation team </w:t>
      </w:r>
      <w:r w:rsidR="00C001C6">
        <w:t xml:space="preserve">conducted workshops with locally engaged staff in </w:t>
      </w:r>
      <w:r w:rsidR="00C75ECC">
        <w:t>Indonesia and Vietnam</w:t>
      </w:r>
      <w:r w:rsidR="00C001C6">
        <w:t xml:space="preserve">. In both cases, </w:t>
      </w:r>
      <w:r w:rsidR="00D65FE6">
        <w:t xml:space="preserve">there </w:t>
      </w:r>
      <w:r w:rsidR="00C001C6">
        <w:t xml:space="preserve">was consensus that </w:t>
      </w:r>
      <w:r w:rsidR="00C75ECC">
        <w:t xml:space="preserve">these staff </w:t>
      </w:r>
      <w:r w:rsidR="00C001C6">
        <w:t xml:space="preserve">were an underused </w:t>
      </w:r>
      <w:r w:rsidR="00E8761C" w:rsidRPr="001B3B93">
        <w:t>resource</w:t>
      </w:r>
      <w:r w:rsidR="00C001C6">
        <w:t>, and that their contextual knowledge and network</w:t>
      </w:r>
      <w:r w:rsidR="00256A6A">
        <w:t>s</w:t>
      </w:r>
      <w:r w:rsidR="00C001C6">
        <w:t xml:space="preserve"> across government were not sufficiently valued</w:t>
      </w:r>
      <w:r w:rsidR="00E8761C" w:rsidRPr="001B3B93">
        <w:t xml:space="preserve">. </w:t>
      </w:r>
      <w:r w:rsidR="00C001C6">
        <w:t>The</w:t>
      </w:r>
      <w:r w:rsidR="00D65FE6">
        <w:t>ir</w:t>
      </w:r>
      <w:r w:rsidR="00C001C6">
        <w:t xml:space="preserve"> role is primarily administrative. They are not party to internal discussions on strategy, partly because they are unable to view confidential cables. </w:t>
      </w:r>
      <w:r>
        <w:t xml:space="preserve">The evaluation team </w:t>
      </w:r>
      <w:r w:rsidR="00256A6A">
        <w:t xml:space="preserve">received </w:t>
      </w:r>
      <w:r w:rsidR="00E8761C" w:rsidRPr="001B3B93">
        <w:t>requests from locally engaged staff in both posts for a clearer explanation of the economic partnerships concept and their role within it.</w:t>
      </w:r>
    </w:p>
    <w:p w14:paraId="1FCB1124" w14:textId="77777777" w:rsidR="003709F2" w:rsidRPr="001B3B93" w:rsidRDefault="003709F2" w:rsidP="00E935AC">
      <w:pPr>
        <w:rPr>
          <w:i/>
          <w:color w:val="296C60" w:themeColor="background2" w:themeShade="80"/>
          <w:szCs w:val="23"/>
        </w:rPr>
      </w:pPr>
      <w:r w:rsidRPr="001B3B93">
        <w:rPr>
          <w:i/>
          <w:color w:val="296C60" w:themeColor="background2" w:themeShade="80"/>
          <w:szCs w:val="23"/>
        </w:rPr>
        <w:t>Adaptive programming</w:t>
      </w:r>
    </w:p>
    <w:p w14:paraId="4C5D64B9" w14:textId="567C2275" w:rsidR="00717539" w:rsidRPr="00000AA1" w:rsidRDefault="00256A6A" w:rsidP="00E935AC">
      <w:r w:rsidRPr="000057D9">
        <w:t xml:space="preserve">The technical </w:t>
      </w:r>
      <w:r w:rsidR="000057D9">
        <w:t xml:space="preserve">assistance </w:t>
      </w:r>
      <w:r w:rsidRPr="000057D9">
        <w:t xml:space="preserve">facilities </w:t>
      </w:r>
      <w:r w:rsidR="000057D9" w:rsidRPr="006E0849">
        <w:t>reviewed</w:t>
      </w:r>
      <w:r w:rsidR="00A439B4">
        <w:t xml:space="preserve"> for this evaluation</w:t>
      </w:r>
      <w:r w:rsidR="000057D9" w:rsidRPr="006E0849">
        <w:t xml:space="preserve"> </w:t>
      </w:r>
      <w:r w:rsidR="0022519C" w:rsidRPr="006E0849">
        <w:t>reflect</w:t>
      </w:r>
      <w:r w:rsidR="003709F2" w:rsidRPr="000057D9">
        <w:t xml:space="preserve"> current thinking on good practice in </w:t>
      </w:r>
      <w:r w:rsidR="000057D9">
        <w:t>knowledge-based assistance</w:t>
      </w:r>
      <w:r w:rsidR="003709F2" w:rsidRPr="001B3B93">
        <w:t xml:space="preserve">. They approach policy </w:t>
      </w:r>
      <w:r w:rsidR="001F4A4A">
        <w:t>dialogue</w:t>
      </w:r>
      <w:r w:rsidR="001F4A4A" w:rsidRPr="001B3B93">
        <w:t xml:space="preserve"> </w:t>
      </w:r>
      <w:r w:rsidR="003709F2" w:rsidRPr="001B3B93">
        <w:t xml:space="preserve">and </w:t>
      </w:r>
      <w:r w:rsidR="000057D9">
        <w:t xml:space="preserve">capacity development </w:t>
      </w:r>
      <w:r w:rsidR="003709F2" w:rsidRPr="001B3B93">
        <w:t xml:space="preserve">in a politically informed way. </w:t>
      </w:r>
      <w:r w:rsidR="00717539" w:rsidRPr="001B3B93">
        <w:t xml:space="preserve">They are designed </w:t>
      </w:r>
      <w:r w:rsidR="00E1740B" w:rsidRPr="001B3B93">
        <w:t>to be flexible and adaptive</w:t>
      </w:r>
      <w:r w:rsidR="00717539" w:rsidRPr="001B3B93">
        <w:t xml:space="preserve">, </w:t>
      </w:r>
      <w:r w:rsidR="00E1740B" w:rsidRPr="001B3B93">
        <w:t xml:space="preserve">able to </w:t>
      </w:r>
      <w:r w:rsidR="00717539" w:rsidRPr="001B3B93">
        <w:t xml:space="preserve">try out a range of activities and scale them up or down, </w:t>
      </w:r>
      <w:r w:rsidR="00E1740B" w:rsidRPr="001B3B93">
        <w:t xml:space="preserve">depending on </w:t>
      </w:r>
      <w:r w:rsidR="00E1740B" w:rsidRPr="001B3B93">
        <w:lastRenderedPageBreak/>
        <w:t>progress</w:t>
      </w:r>
      <w:r w:rsidR="00717539" w:rsidRPr="001B3B93">
        <w:t>. They use problem-</w:t>
      </w:r>
      <w:r w:rsidR="008E7C1B" w:rsidRPr="001B3B93">
        <w:t xml:space="preserve">solving </w:t>
      </w:r>
      <w:r w:rsidR="00717539" w:rsidRPr="001B3B93">
        <w:t xml:space="preserve">approaches to support </w:t>
      </w:r>
      <w:r w:rsidR="00886E6F" w:rsidRPr="001B3B93">
        <w:t>policy</w:t>
      </w:r>
      <w:r w:rsidR="00C75ECC">
        <w:t xml:space="preserve"> </w:t>
      </w:r>
      <w:r w:rsidR="00717539" w:rsidRPr="001B3B93">
        <w:t>making and implementation, address blockages</w:t>
      </w:r>
      <w:r w:rsidR="00886E6F" w:rsidRPr="001B3B93">
        <w:t xml:space="preserve"> and promote </w:t>
      </w:r>
      <w:r w:rsidR="00E1740B" w:rsidRPr="001B3B93">
        <w:t>learning</w:t>
      </w:r>
      <w:r w:rsidR="00717539" w:rsidRPr="001B3B93">
        <w:t xml:space="preserve">. They recruit </w:t>
      </w:r>
      <w:r w:rsidR="007C5BFD" w:rsidRPr="001B3B93">
        <w:t>good people</w:t>
      </w:r>
      <w:r w:rsidR="00E1740B" w:rsidRPr="001B3B93">
        <w:t xml:space="preserve">. </w:t>
      </w:r>
      <w:r w:rsidR="007C5BFD" w:rsidRPr="001B3B93">
        <w:t>They are</w:t>
      </w:r>
      <w:r w:rsidR="00717539" w:rsidRPr="001B3B93">
        <w:t xml:space="preserve"> willing to invest in areas with uncertain but potentially </w:t>
      </w:r>
      <w:r w:rsidR="007C5BFD" w:rsidRPr="001B3B93">
        <w:t xml:space="preserve">high </w:t>
      </w:r>
      <w:r w:rsidR="00717539" w:rsidRPr="001B3B93">
        <w:t xml:space="preserve">returns. </w:t>
      </w:r>
      <w:r w:rsidR="00717539" w:rsidRPr="00000AA1">
        <w:t>The</w:t>
      </w:r>
      <w:r w:rsidR="007C5BFD" w:rsidRPr="00000AA1">
        <w:t>y</w:t>
      </w:r>
      <w:r w:rsidR="00717539" w:rsidRPr="00000AA1">
        <w:t xml:space="preserve"> are patient</w:t>
      </w:r>
      <w:r w:rsidR="007C5BFD" w:rsidRPr="00000AA1">
        <w:t xml:space="preserve"> and pursue long</w:t>
      </w:r>
      <w:r w:rsidR="00126596" w:rsidRPr="00000AA1">
        <w:t>-</w:t>
      </w:r>
      <w:r w:rsidR="007C5BFD" w:rsidRPr="00000AA1">
        <w:t>term o</w:t>
      </w:r>
      <w:r w:rsidR="00126596" w:rsidRPr="00000AA1">
        <w:t>b</w:t>
      </w:r>
      <w:r w:rsidR="007C5BFD" w:rsidRPr="00000AA1">
        <w:t xml:space="preserve">jectives over </w:t>
      </w:r>
      <w:r w:rsidR="00717539" w:rsidRPr="00000AA1">
        <w:t xml:space="preserve">two or more </w:t>
      </w:r>
      <w:r w:rsidR="007C5BFD" w:rsidRPr="00000AA1">
        <w:t>project cycles</w:t>
      </w:r>
      <w:r w:rsidR="00717539" w:rsidRPr="00000AA1">
        <w:t>.</w:t>
      </w:r>
    </w:p>
    <w:p w14:paraId="04C811E3" w14:textId="77777777" w:rsidR="002E03E9" w:rsidRPr="00000AA1" w:rsidRDefault="000C26F7" w:rsidP="00E935AC">
      <w:pPr>
        <w:rPr>
          <w:i/>
          <w:color w:val="296C60" w:themeColor="background2" w:themeShade="80"/>
          <w:szCs w:val="23"/>
        </w:rPr>
      </w:pPr>
      <w:r w:rsidRPr="00000AA1">
        <w:rPr>
          <w:i/>
          <w:color w:val="296C60" w:themeColor="background2" w:themeShade="80"/>
          <w:szCs w:val="23"/>
        </w:rPr>
        <w:t>Monitoring and reporting results</w:t>
      </w:r>
    </w:p>
    <w:p w14:paraId="46A9D51E" w14:textId="291BCDE4" w:rsidR="00D624A1" w:rsidRDefault="00A512D7" w:rsidP="00E935AC">
      <w:r w:rsidRPr="00000AA1">
        <w:t xml:space="preserve">DFAT posts in </w:t>
      </w:r>
      <w:r w:rsidR="00D71802" w:rsidRPr="00000AA1">
        <w:t xml:space="preserve">Indonesia and Vietnam are taking steps to improve their systems for capturing results from knowledge-based programming. </w:t>
      </w:r>
      <w:r w:rsidR="0075063B" w:rsidRPr="00000AA1">
        <w:t xml:space="preserve">Indonesia </w:t>
      </w:r>
      <w:r w:rsidR="00256A6A" w:rsidRPr="00000AA1">
        <w:t>tasks its program</w:t>
      </w:r>
      <w:r w:rsidR="00FE2A88" w:rsidRPr="00000AA1">
        <w:t>s</w:t>
      </w:r>
      <w:r w:rsidR="00256A6A" w:rsidRPr="00000AA1">
        <w:t xml:space="preserve"> to report on significant policy changes</w:t>
      </w:r>
      <w:r w:rsidR="0022066B" w:rsidRPr="00000AA1">
        <w:t xml:space="preserve">, using a robust methodology to ensure changes reported are genuinely significant and attributable to Australia. In its </w:t>
      </w:r>
      <w:r w:rsidR="0075063B" w:rsidRPr="00000AA1">
        <w:t>Performance Assessment Framework</w:t>
      </w:r>
      <w:r w:rsidR="0022066B" w:rsidRPr="00000AA1">
        <w:t>,</w:t>
      </w:r>
      <w:r w:rsidR="0075063B" w:rsidRPr="00000AA1">
        <w:t xml:space="preserve"> </w:t>
      </w:r>
      <w:r w:rsidR="0022066B" w:rsidRPr="00000AA1">
        <w:t xml:space="preserve">it records </w:t>
      </w:r>
      <w:r w:rsidR="0075063B" w:rsidRPr="00000AA1">
        <w:t>significant policy changes that Australian aid has helped to bring about and the volume of other development finance</w:t>
      </w:r>
      <w:r w:rsidR="0075063B" w:rsidRPr="001B3B93">
        <w:t xml:space="preserve"> that Australia has </w:t>
      </w:r>
      <w:r w:rsidR="0022066B">
        <w:t>leveraged</w:t>
      </w:r>
      <w:r w:rsidR="0075063B" w:rsidRPr="001B3B93">
        <w:t xml:space="preserve">. </w:t>
      </w:r>
      <w:r w:rsidR="00D624A1">
        <w:t>Annual milestones set out the changes that DFAT hopes to see in each objective area, which aid programs contribute and which PAF indicators are relevant.</w:t>
      </w:r>
    </w:p>
    <w:p w14:paraId="0D943322" w14:textId="1FCD036B" w:rsidR="0075063B" w:rsidRPr="001B3B93" w:rsidRDefault="00D624A1">
      <w:r>
        <w:t>The P</w:t>
      </w:r>
      <w:r w:rsidR="00C75ECC">
        <w:t>erformance Assessment Framework</w:t>
      </w:r>
      <w:r>
        <w:t xml:space="preserve"> format is </w:t>
      </w:r>
      <w:r w:rsidR="0075063B" w:rsidRPr="001B3B93">
        <w:t xml:space="preserve">useful, </w:t>
      </w:r>
      <w:r w:rsidR="0060323C" w:rsidRPr="001B3B93">
        <w:t xml:space="preserve">but with </w:t>
      </w:r>
      <w:r w:rsidR="0075063B" w:rsidRPr="001B3B93">
        <w:t xml:space="preserve">scope for improvement. </w:t>
      </w:r>
      <w:r w:rsidR="000057D9">
        <w:t xml:space="preserve">It would also be useful to track how much the </w:t>
      </w:r>
      <w:r w:rsidR="0075063B" w:rsidRPr="001B3B93">
        <w:t xml:space="preserve">policy changes to which Australia has </w:t>
      </w:r>
      <w:r w:rsidR="000E2722">
        <w:t>supported</w:t>
      </w:r>
      <w:r w:rsidR="0075063B" w:rsidRPr="001B3B93">
        <w:t xml:space="preserve"> </w:t>
      </w:r>
      <w:r w:rsidR="000057D9">
        <w:t xml:space="preserve">have contributed </w:t>
      </w:r>
      <w:r w:rsidR="00217461" w:rsidRPr="001B3B93">
        <w:t>to</w:t>
      </w:r>
      <w:r w:rsidR="0060323C" w:rsidRPr="001B3B93">
        <w:t xml:space="preserve"> advanc</w:t>
      </w:r>
      <w:r w:rsidR="000057D9">
        <w:t>ing</w:t>
      </w:r>
      <w:r w:rsidR="0060323C" w:rsidRPr="001B3B93">
        <w:t xml:space="preserve"> the goals of the economic partnership. </w:t>
      </w:r>
      <w:r w:rsidR="00E46E7D" w:rsidRPr="001B3B93">
        <w:t xml:space="preserve">If </w:t>
      </w:r>
      <w:r w:rsidR="00B778B8" w:rsidRPr="001B3B93">
        <w:t>the objectives include</w:t>
      </w:r>
      <w:r w:rsidR="00E46E7D" w:rsidRPr="001B3B93">
        <w:t>, for example,</w:t>
      </w:r>
      <w:r w:rsidR="00B778B8" w:rsidRPr="001B3B93">
        <w:t xml:space="preserve"> </w:t>
      </w:r>
      <w:r w:rsidR="0060323C" w:rsidRPr="001B3B93">
        <w:t xml:space="preserve">improvements to the </w:t>
      </w:r>
      <w:r w:rsidR="00B778B8" w:rsidRPr="001B3B93">
        <w:t xml:space="preserve">business </w:t>
      </w:r>
      <w:r w:rsidR="00E46E7D" w:rsidRPr="001B3B93">
        <w:t>environment</w:t>
      </w:r>
      <w:r w:rsidR="00B778B8" w:rsidRPr="001B3B93">
        <w:t xml:space="preserve">, overall results should be measured in terms of progress towards </w:t>
      </w:r>
      <w:r w:rsidR="0060323C" w:rsidRPr="001B3B93">
        <w:t xml:space="preserve">that </w:t>
      </w:r>
      <w:r w:rsidR="00B778B8" w:rsidRPr="001B3B93">
        <w:t xml:space="preserve">goal. This would </w:t>
      </w:r>
      <w:r w:rsidR="00E46E7D" w:rsidRPr="001B3B93">
        <w:t xml:space="preserve">call for </w:t>
      </w:r>
      <w:r w:rsidR="00FC3363" w:rsidRPr="001B3B93">
        <w:t>adaptation of existing</w:t>
      </w:r>
      <w:r w:rsidR="00B778B8" w:rsidRPr="001B3B93">
        <w:t xml:space="preserve"> results </w:t>
      </w:r>
      <w:r w:rsidR="007A5423" w:rsidRPr="001B3B93">
        <w:t xml:space="preserve">and knowledge </w:t>
      </w:r>
      <w:r w:rsidR="00B778B8" w:rsidRPr="001B3B93">
        <w:t xml:space="preserve">management </w:t>
      </w:r>
      <w:r w:rsidR="00FC3363" w:rsidRPr="001B3B93">
        <w:t xml:space="preserve">practices so they </w:t>
      </w:r>
      <w:r w:rsidR="00B778B8" w:rsidRPr="001B3B93">
        <w:t xml:space="preserve">include: </w:t>
      </w:r>
    </w:p>
    <w:p w14:paraId="097A5A8C" w14:textId="4BBFEDDD" w:rsidR="00B778B8" w:rsidRPr="001B3B93" w:rsidRDefault="00B778B8" w:rsidP="000C55B6">
      <w:pPr>
        <w:pStyle w:val="ListParagraph"/>
        <w:numPr>
          <w:ilvl w:val="0"/>
          <w:numId w:val="26"/>
        </w:numPr>
      </w:pPr>
      <w:r w:rsidRPr="001B3B93">
        <w:t xml:space="preserve">Annual assessment of </w:t>
      </w:r>
      <w:r w:rsidR="00E85CF2" w:rsidRPr="001B3B93">
        <w:t xml:space="preserve">the trajectory of change </w:t>
      </w:r>
      <w:r w:rsidRPr="001B3B93">
        <w:t>towards higher-level objectives (</w:t>
      </w:r>
      <w:r w:rsidR="00C75ECC">
        <w:t>for example</w:t>
      </w:r>
      <w:r w:rsidRPr="001B3B93">
        <w:t>, increase</w:t>
      </w:r>
      <w:r w:rsidR="00E46E7D" w:rsidRPr="001B3B93">
        <w:t>d</w:t>
      </w:r>
      <w:r w:rsidRPr="001B3B93">
        <w:t xml:space="preserve"> trade or reduc</w:t>
      </w:r>
      <w:r w:rsidR="00E85CF2" w:rsidRPr="001B3B93">
        <w:t>ed</w:t>
      </w:r>
      <w:r w:rsidRPr="001B3B93">
        <w:t xml:space="preserve"> inequality), </w:t>
      </w:r>
      <w:r w:rsidR="0060323C" w:rsidRPr="001B3B93">
        <w:t xml:space="preserve">recognising that changes at this level are unlikely to be </w:t>
      </w:r>
      <w:r w:rsidR="000057D9">
        <w:t xml:space="preserve">directly </w:t>
      </w:r>
      <w:r w:rsidR="0060323C" w:rsidRPr="001B3B93">
        <w:t>attributable to Australian support</w:t>
      </w:r>
      <w:r w:rsidRPr="001B3B93">
        <w:t>.</w:t>
      </w:r>
    </w:p>
    <w:p w14:paraId="35F0735E" w14:textId="436D7B45" w:rsidR="008D40F5" w:rsidRPr="000057D9" w:rsidRDefault="008D40F5" w:rsidP="000C55B6">
      <w:pPr>
        <w:pStyle w:val="ListParagraph"/>
        <w:numPr>
          <w:ilvl w:val="0"/>
          <w:numId w:val="26"/>
        </w:numPr>
      </w:pPr>
      <w:r w:rsidRPr="000057D9">
        <w:t xml:space="preserve">Periodic </w:t>
      </w:r>
      <w:r w:rsidR="001B3CC9">
        <w:t>re</w:t>
      </w:r>
      <w:r w:rsidR="000057D9">
        <w:t xml:space="preserve">assessment </w:t>
      </w:r>
      <w:r w:rsidR="000057D9" w:rsidRPr="002C3CC7">
        <w:t xml:space="preserve">of </w:t>
      </w:r>
      <w:r w:rsidRPr="000057D9">
        <w:t xml:space="preserve">whether the aid program </w:t>
      </w:r>
      <w:r w:rsidR="001B3CC9">
        <w:t xml:space="preserve">continues to </w:t>
      </w:r>
      <w:r w:rsidRPr="000057D9">
        <w:t xml:space="preserve">address the most </w:t>
      </w:r>
      <w:r w:rsidR="00E85CF2" w:rsidRPr="000057D9">
        <w:t xml:space="preserve">important </w:t>
      </w:r>
      <w:r w:rsidRPr="000057D9">
        <w:t xml:space="preserve">constraints </w:t>
      </w:r>
      <w:r w:rsidR="001B3CC9">
        <w:t xml:space="preserve">on </w:t>
      </w:r>
      <w:r w:rsidRPr="000057D9">
        <w:t xml:space="preserve">achieving </w:t>
      </w:r>
      <w:r w:rsidR="001B3CC9" w:rsidRPr="008361C8">
        <w:t>those objectives</w:t>
      </w:r>
      <w:r w:rsidR="001B3CC9">
        <w:t xml:space="preserve"> and whether new opportunities have emerged that it should respond to</w:t>
      </w:r>
      <w:r w:rsidRPr="000057D9">
        <w:t>.</w:t>
      </w:r>
    </w:p>
    <w:p w14:paraId="6486B410" w14:textId="7342B8AB" w:rsidR="008D40F5" w:rsidRPr="001B3B93" w:rsidRDefault="00B778B8" w:rsidP="000C55B6">
      <w:pPr>
        <w:pStyle w:val="ListParagraph"/>
        <w:numPr>
          <w:ilvl w:val="0"/>
          <w:numId w:val="26"/>
        </w:numPr>
      </w:pPr>
      <w:r w:rsidRPr="001B3B93">
        <w:t xml:space="preserve">A rolling </w:t>
      </w:r>
      <w:r w:rsidR="00146F40" w:rsidRPr="001B3B93">
        <w:t>program</w:t>
      </w:r>
      <w:r w:rsidRPr="001B3B93">
        <w:t xml:space="preserve"> of analytical work to deepen </w:t>
      </w:r>
      <w:r w:rsidR="008D40F5" w:rsidRPr="001B3B93">
        <w:t xml:space="preserve">DFAT’s understanding </w:t>
      </w:r>
      <w:r w:rsidRPr="001B3B93">
        <w:t xml:space="preserve">of </w:t>
      </w:r>
      <w:r w:rsidR="00B454DE" w:rsidRPr="001B3B93">
        <w:t>policy challenges or issues</w:t>
      </w:r>
      <w:r w:rsidR="008D40F5" w:rsidRPr="001B3B93">
        <w:t>.</w:t>
      </w:r>
    </w:p>
    <w:p w14:paraId="1EB6BEA1" w14:textId="580B440E" w:rsidR="008D40F5" w:rsidRPr="001B3B93" w:rsidRDefault="008D40F5" w:rsidP="000C55B6">
      <w:pPr>
        <w:pStyle w:val="ListParagraph"/>
        <w:numPr>
          <w:ilvl w:val="0"/>
          <w:numId w:val="26"/>
        </w:numPr>
      </w:pPr>
      <w:r w:rsidRPr="001B3B93">
        <w:t xml:space="preserve">A periodic health check on </w:t>
      </w:r>
      <w:r w:rsidR="00886E6F" w:rsidRPr="001B3B93">
        <w:t xml:space="preserve">how well positioned </w:t>
      </w:r>
      <w:r w:rsidR="001E2D9B" w:rsidRPr="001B3B93">
        <w:t xml:space="preserve">DFAT </w:t>
      </w:r>
      <w:r w:rsidRPr="001B3B93">
        <w:t>is to achieve it</w:t>
      </w:r>
      <w:r w:rsidR="001E2D9B" w:rsidRPr="001B3B93">
        <w:t>s</w:t>
      </w:r>
      <w:r w:rsidRPr="001B3B93">
        <w:t xml:space="preserve"> influencing objectives. This </w:t>
      </w:r>
      <w:r w:rsidR="00886E6F" w:rsidRPr="001B3B93">
        <w:t>could</w:t>
      </w:r>
      <w:r w:rsidR="001E2D9B" w:rsidRPr="001B3B93">
        <w:t xml:space="preserve"> a</w:t>
      </w:r>
      <w:r w:rsidR="00CB413C" w:rsidRPr="001B3B93">
        <w:t xml:space="preserve">ssess whether </w:t>
      </w:r>
      <w:r w:rsidR="001E2D9B" w:rsidRPr="001B3B93">
        <w:t xml:space="preserve">it is working with the right counterparts, has </w:t>
      </w:r>
      <w:r w:rsidR="00CB413C" w:rsidRPr="001B3B93">
        <w:t>the right level of access to decision</w:t>
      </w:r>
      <w:r w:rsidR="00830AB2">
        <w:t>-</w:t>
      </w:r>
      <w:r w:rsidR="00CB413C" w:rsidRPr="001B3B93">
        <w:t>makers</w:t>
      </w:r>
      <w:r w:rsidR="001E2D9B" w:rsidRPr="001B3B93">
        <w:t xml:space="preserve">, and is communicating with the right external stakeholders to build </w:t>
      </w:r>
      <w:r w:rsidR="00217461" w:rsidRPr="001B3B93">
        <w:t xml:space="preserve">constituencies </w:t>
      </w:r>
      <w:r w:rsidR="006C1645" w:rsidRPr="001B3B93">
        <w:t>for change</w:t>
      </w:r>
      <w:r w:rsidR="001E2D9B" w:rsidRPr="001B3B93">
        <w:t xml:space="preserve">. </w:t>
      </w:r>
      <w:r w:rsidR="007A5423" w:rsidRPr="001B3B93">
        <w:t>This might include assessing whether public diplomacy is targeting the right audiences with the right messages.</w:t>
      </w:r>
    </w:p>
    <w:p w14:paraId="63BBE0C8" w14:textId="69B0B8C9" w:rsidR="007A5423" w:rsidRDefault="0060323C" w:rsidP="005A53DC">
      <w:r w:rsidRPr="001B3B93">
        <w:t xml:space="preserve">As these </w:t>
      </w:r>
      <w:r w:rsidR="003B0426" w:rsidRPr="001B3B93">
        <w:t xml:space="preserve">activities </w:t>
      </w:r>
      <w:r w:rsidRPr="001B3B93">
        <w:t>are resource intensive, a</w:t>
      </w:r>
      <w:r w:rsidR="003B0426" w:rsidRPr="001B3B93">
        <w:t>n option</w:t>
      </w:r>
      <w:r w:rsidRPr="001B3B93">
        <w:t xml:space="preserve"> </w:t>
      </w:r>
      <w:r w:rsidR="003B0426" w:rsidRPr="001B3B93">
        <w:t xml:space="preserve">could </w:t>
      </w:r>
      <w:r w:rsidRPr="001B3B93">
        <w:t xml:space="preserve">be to give one of the aid </w:t>
      </w:r>
      <w:r w:rsidR="00FC3363" w:rsidRPr="001B3B93">
        <w:t xml:space="preserve">investments </w:t>
      </w:r>
      <w:r w:rsidRPr="001B3B93">
        <w:t>a cross-cutting role in supporting</w:t>
      </w:r>
      <w:r w:rsidR="006F265F">
        <w:t xml:space="preserve"> analysis,</w:t>
      </w:r>
      <w:r w:rsidRPr="001B3B93">
        <w:t xml:space="preserve"> knowledge management and results monitoring across the whole economic partnership</w:t>
      </w:r>
      <w:r w:rsidRPr="00F74302">
        <w:t xml:space="preserve">. </w:t>
      </w:r>
      <w:r w:rsidR="00615748" w:rsidRPr="00F74302">
        <w:t>In Indonesia, there was an attempt to give</w:t>
      </w:r>
      <w:r w:rsidR="00413A7B">
        <w:t xml:space="preserve"> the</w:t>
      </w:r>
      <w:r w:rsidR="00615748" w:rsidRPr="00F74302">
        <w:t xml:space="preserve"> </w:t>
      </w:r>
      <w:r w:rsidR="00413A7B" w:rsidRPr="00413A7B">
        <w:t xml:space="preserve">Knowledge Sector Initiative </w:t>
      </w:r>
      <w:r w:rsidR="00615748" w:rsidRPr="00F74302">
        <w:t xml:space="preserve">a coordinating role on DFAT’s approach to policy </w:t>
      </w:r>
      <w:r w:rsidR="001F4A4A" w:rsidRPr="00F74302">
        <w:t>engagement</w:t>
      </w:r>
      <w:r w:rsidR="007A39BE" w:rsidRPr="00F74302">
        <w:t>,</w:t>
      </w:r>
      <w:r w:rsidR="00615748" w:rsidRPr="00F74302">
        <w:t xml:space="preserve"> but it did not proceed</w:t>
      </w:r>
      <w:r w:rsidR="00662E35">
        <w:t xml:space="preserve"> because of</w:t>
      </w:r>
      <w:r w:rsidR="00615748" w:rsidRPr="00F74302">
        <w:t xml:space="preserve"> capacity constraints across the portfolio. </w:t>
      </w:r>
      <w:r w:rsidR="007A39BE" w:rsidRPr="00F74302">
        <w:t xml:space="preserve">It may be worth exploring this idea again, to </w:t>
      </w:r>
      <w:r w:rsidR="007A5423" w:rsidRPr="00F74302">
        <w:t xml:space="preserve">provide </w:t>
      </w:r>
      <w:r w:rsidRPr="00F74302">
        <w:t xml:space="preserve">posts with </w:t>
      </w:r>
      <w:r w:rsidR="007A39BE" w:rsidRPr="00F74302">
        <w:t xml:space="preserve">a way of </w:t>
      </w:r>
      <w:r w:rsidR="007A5423" w:rsidRPr="00F74302">
        <w:t>resourc</w:t>
      </w:r>
      <w:r w:rsidR="007A39BE" w:rsidRPr="00F74302">
        <w:t>ing</w:t>
      </w:r>
      <w:r w:rsidR="007A5423" w:rsidRPr="00F74302">
        <w:t xml:space="preserve"> analytical inputs</w:t>
      </w:r>
      <w:r w:rsidRPr="00F74302">
        <w:t xml:space="preserve"> and </w:t>
      </w:r>
      <w:r w:rsidR="007A5423" w:rsidRPr="00F74302">
        <w:t>coordinat</w:t>
      </w:r>
      <w:r w:rsidR="007A39BE" w:rsidRPr="00F74302">
        <w:t>ing</w:t>
      </w:r>
      <w:r w:rsidR="007A5423" w:rsidRPr="00F74302">
        <w:t xml:space="preserve"> monitoring and knowledge management</w:t>
      </w:r>
      <w:r w:rsidR="007A5423" w:rsidRPr="001B3B93">
        <w:t xml:space="preserve"> across </w:t>
      </w:r>
      <w:r w:rsidRPr="001B3B93">
        <w:t>the portfolio</w:t>
      </w:r>
      <w:r w:rsidR="007A5423" w:rsidRPr="001B3B93">
        <w:t>.</w:t>
      </w:r>
    </w:p>
    <w:p w14:paraId="222144FF" w14:textId="4CB06F4E" w:rsidR="00405BEB" w:rsidRPr="00805C6E" w:rsidRDefault="00405BEB" w:rsidP="009D29F0">
      <w:pPr>
        <w:rPr>
          <w:i/>
          <w:color w:val="296C60" w:themeColor="background2" w:themeShade="80"/>
          <w:szCs w:val="23"/>
        </w:rPr>
      </w:pPr>
      <w:r w:rsidRPr="00805C6E">
        <w:rPr>
          <w:i/>
          <w:color w:val="296C60" w:themeColor="background2" w:themeShade="80"/>
          <w:szCs w:val="23"/>
        </w:rPr>
        <w:t>Learning</w:t>
      </w:r>
    </w:p>
    <w:p w14:paraId="27AAD66F" w14:textId="31347204" w:rsidR="00405BEB" w:rsidRPr="001B3B93" w:rsidRDefault="00405BEB" w:rsidP="009D29F0">
      <w:r>
        <w:t xml:space="preserve">It is notable that, while a number of programs </w:t>
      </w:r>
      <w:r w:rsidRPr="00000AA1">
        <w:t xml:space="preserve">in </w:t>
      </w:r>
      <w:r w:rsidR="00A512D7" w:rsidRPr="00000AA1">
        <w:t xml:space="preserve">Indonesia, Vietnam and at the </w:t>
      </w:r>
      <w:r w:rsidRPr="00000AA1">
        <w:t xml:space="preserve">regional level are grappling with the question of how to provide knowledge-based support </w:t>
      </w:r>
      <w:r w:rsidR="0013199C" w:rsidRPr="00000AA1">
        <w:t>more effectively, there is no structured process</w:t>
      </w:r>
      <w:r w:rsidR="0013199C">
        <w:t xml:space="preserve"> for learning</w:t>
      </w:r>
      <w:r w:rsidR="00662E35">
        <w:t>,</w:t>
      </w:r>
      <w:r w:rsidR="0013199C">
        <w:t xml:space="preserve"> either among responsible DFAT staff or implementers. </w:t>
      </w:r>
      <w:r w:rsidR="00A439B4">
        <w:t xml:space="preserve">The evaluation team </w:t>
      </w:r>
      <w:r w:rsidR="0013199C">
        <w:t xml:space="preserve">did not come across any examples of DFAT bringing its implementers together to exchange knowledge or experience. Some form of community of practice among DFAT staff might be useful to promote </w:t>
      </w:r>
      <w:r w:rsidR="001F635E">
        <w:t xml:space="preserve">the exchange of </w:t>
      </w:r>
      <w:r w:rsidR="0013199C">
        <w:t>learning</w:t>
      </w:r>
      <w:r w:rsidR="001F635E">
        <w:t xml:space="preserve"> </w:t>
      </w:r>
      <w:r w:rsidR="001F635E" w:rsidRPr="006E0849">
        <w:t>on what works in knowledge</w:t>
      </w:r>
      <w:r w:rsidR="001F635E">
        <w:t>-based assistance. It could also be used to disseminate understanding of relevant social and economic policy issues in Asian MICs.</w:t>
      </w:r>
    </w:p>
    <w:p w14:paraId="39AB3EA2" w14:textId="77777777" w:rsidR="00F934EB" w:rsidRPr="001B3B93" w:rsidRDefault="00F934EB" w:rsidP="001B3B93">
      <w:pPr>
        <w:pStyle w:val="Heading3"/>
      </w:pPr>
      <w:bookmarkStart w:id="97" w:name="_Toc527713011"/>
      <w:r w:rsidRPr="001B3B93">
        <w:lastRenderedPageBreak/>
        <w:t>Key messages</w:t>
      </w:r>
      <w:bookmarkEnd w:id="97"/>
    </w:p>
    <w:p w14:paraId="798EAEDB" w14:textId="7D5E3E88" w:rsidR="00F934EB" w:rsidRPr="001B3B93" w:rsidRDefault="00F934EB" w:rsidP="00F934EB">
      <w:pPr>
        <w:rPr>
          <w:szCs w:val="23"/>
        </w:rPr>
      </w:pPr>
      <w:r w:rsidRPr="001B3B93">
        <w:rPr>
          <w:szCs w:val="23"/>
        </w:rPr>
        <w:t>More ambitious economic partnerships would call for development of DFAT systems and capacities in the</w:t>
      </w:r>
      <w:r w:rsidR="00662E35">
        <w:rPr>
          <w:szCs w:val="23"/>
        </w:rPr>
        <w:t>se</w:t>
      </w:r>
      <w:r w:rsidRPr="001B3B93">
        <w:rPr>
          <w:szCs w:val="23"/>
        </w:rPr>
        <w:t xml:space="preserve"> areas:</w:t>
      </w:r>
    </w:p>
    <w:p w14:paraId="71D6F7E0" w14:textId="69EECB6B" w:rsidR="00F934EB" w:rsidRPr="001B3B93" w:rsidRDefault="00662E35" w:rsidP="000C55B6">
      <w:pPr>
        <w:pStyle w:val="ListParagraph"/>
        <w:numPr>
          <w:ilvl w:val="0"/>
          <w:numId w:val="15"/>
        </w:numPr>
        <w:ind w:left="714" w:hanging="357"/>
        <w:contextualSpacing w:val="0"/>
      </w:pPr>
      <w:r>
        <w:t>e</w:t>
      </w:r>
      <w:r w:rsidR="00F934EB" w:rsidRPr="001B3B93">
        <w:t>conomic partnership strategies for each country, identifying shared objectives for aid, trade and diplomatic engagement</w:t>
      </w:r>
    </w:p>
    <w:p w14:paraId="5EF03101" w14:textId="334321A6" w:rsidR="00F934EB" w:rsidRPr="001B3B93" w:rsidRDefault="00662E35" w:rsidP="000C55B6">
      <w:pPr>
        <w:pStyle w:val="ListParagraph"/>
        <w:numPr>
          <w:ilvl w:val="0"/>
          <w:numId w:val="15"/>
        </w:numPr>
        <w:ind w:left="714" w:hanging="357"/>
        <w:contextualSpacing w:val="0"/>
      </w:pPr>
      <w:r>
        <w:t>a</w:t>
      </w:r>
      <w:r w:rsidR="00F934EB" w:rsidRPr="001B3B93">
        <w:t xml:space="preserve"> </w:t>
      </w:r>
      <w:r w:rsidR="00146F40" w:rsidRPr="001B3B93">
        <w:t>program</w:t>
      </w:r>
      <w:r w:rsidR="00F934EB" w:rsidRPr="001B3B93">
        <w:t xml:space="preserve"> of diagnostic work tailored to the challenges of Asian MICs, to help identify priority engagements</w:t>
      </w:r>
    </w:p>
    <w:p w14:paraId="3F94CB1B" w14:textId="7411F6C1" w:rsidR="00F934EB" w:rsidRPr="001B3B93" w:rsidRDefault="00662E35" w:rsidP="000C55B6">
      <w:pPr>
        <w:pStyle w:val="ListParagraph"/>
        <w:numPr>
          <w:ilvl w:val="0"/>
          <w:numId w:val="15"/>
        </w:numPr>
        <w:ind w:left="714" w:hanging="357"/>
        <w:contextualSpacing w:val="0"/>
      </w:pPr>
      <w:r>
        <w:t>i</w:t>
      </w:r>
      <w:r w:rsidR="00F934EB" w:rsidRPr="001B3B93">
        <w:t xml:space="preserve">ncreased capacity </w:t>
      </w:r>
      <w:r w:rsidR="008F253D">
        <w:t>at</w:t>
      </w:r>
      <w:r w:rsidR="008F253D" w:rsidRPr="001B3B93">
        <w:t xml:space="preserve"> </w:t>
      </w:r>
      <w:r w:rsidR="00F934EB" w:rsidRPr="001B3B93">
        <w:t xml:space="preserve">post on economic </w:t>
      </w:r>
      <w:r w:rsidR="001F4A4A">
        <w:t xml:space="preserve">and social </w:t>
      </w:r>
      <w:r w:rsidR="00F934EB" w:rsidRPr="001B3B93">
        <w:t xml:space="preserve">policy </w:t>
      </w:r>
      <w:r w:rsidR="001F4A4A">
        <w:t>issues, and on the working of complex policy processes</w:t>
      </w:r>
      <w:r w:rsidR="00F934EB" w:rsidRPr="001B3B93">
        <w:t xml:space="preserve">, to </w:t>
      </w:r>
      <w:r w:rsidR="00B82C36" w:rsidRPr="001B3B93">
        <w:t xml:space="preserve">support </w:t>
      </w:r>
      <w:r w:rsidR="00F934EB" w:rsidRPr="001B3B93">
        <w:t xml:space="preserve">strategic engagement with </w:t>
      </w:r>
      <w:r w:rsidR="00B82C36" w:rsidRPr="001B3B93">
        <w:t xml:space="preserve">counterparts </w:t>
      </w:r>
      <w:r w:rsidR="00F934EB" w:rsidRPr="001B3B93">
        <w:t xml:space="preserve">and </w:t>
      </w:r>
      <w:r w:rsidR="00B82C36" w:rsidRPr="001B3B93">
        <w:t>implementers</w:t>
      </w:r>
    </w:p>
    <w:p w14:paraId="70087AE3" w14:textId="46B9EDAF" w:rsidR="00B65996" w:rsidRDefault="00662E35" w:rsidP="000C55B6">
      <w:pPr>
        <w:pStyle w:val="ListParagraph"/>
        <w:numPr>
          <w:ilvl w:val="0"/>
          <w:numId w:val="15"/>
        </w:numPr>
        <w:spacing w:line="256" w:lineRule="auto"/>
        <w:ind w:left="714" w:hanging="357"/>
        <w:contextualSpacing w:val="0"/>
        <w:sectPr w:rsidR="00B65996" w:rsidSect="00F21EFA">
          <w:pgSz w:w="12240" w:h="15840"/>
          <w:pgMar w:top="851" w:right="851" w:bottom="1418" w:left="851" w:header="720" w:footer="567" w:gutter="0"/>
          <w:cols w:space="720"/>
          <w:titlePg/>
          <w:docGrid w:linePitch="360"/>
        </w:sectPr>
      </w:pPr>
      <w:r>
        <w:t>m</w:t>
      </w:r>
      <w:r w:rsidR="00B82C36" w:rsidRPr="001B3B93">
        <w:t>ore of a focus on results management at the country portfolio level, to monitor progress towards economic partnership</w:t>
      </w:r>
      <w:r w:rsidR="002F4CE3">
        <w:t xml:space="preserve"> objectives</w:t>
      </w:r>
      <w:r w:rsidR="000E2722">
        <w:t>.</w:t>
      </w:r>
      <w:bookmarkEnd w:id="83"/>
      <w:bookmarkEnd w:id="84"/>
    </w:p>
    <w:p w14:paraId="6FD1B746" w14:textId="77777777" w:rsidR="00F80458" w:rsidRDefault="00F80458" w:rsidP="00B65996">
      <w:pPr>
        <w:pStyle w:val="ChapterHead"/>
        <w:framePr w:w="0" w:vSpace="0" w:wrap="auto" w:vAnchor="margin" w:yAlign="inline"/>
        <w:ind w:left="720"/>
      </w:pPr>
    </w:p>
    <w:p w14:paraId="12914F6B" w14:textId="5F2BA7F5" w:rsidR="00B65996" w:rsidRPr="001B3B93" w:rsidRDefault="00B65996" w:rsidP="00B65996">
      <w:pPr>
        <w:pStyle w:val="ChapterHead"/>
        <w:framePr w:w="0" w:vSpace="0" w:wrap="auto" w:vAnchor="margin" w:yAlign="inline"/>
        <w:ind w:left="720"/>
      </w:pPr>
      <w:bookmarkStart w:id="98" w:name="_Toc527713012"/>
      <w:r>
        <w:t>Recommendations</w:t>
      </w:r>
      <w:bookmarkEnd w:id="98"/>
    </w:p>
    <w:p w14:paraId="78737F53" w14:textId="77777777" w:rsidR="00B65996" w:rsidRDefault="00B65996"/>
    <w:p w14:paraId="4DD1CE00" w14:textId="0F886756" w:rsidR="00B65996" w:rsidRDefault="00B65996"/>
    <w:p w14:paraId="7EF0F666" w14:textId="3D24AAAF" w:rsidR="001646AD" w:rsidRDefault="001646AD"/>
    <w:p w14:paraId="42B4BDF6" w14:textId="77777777" w:rsidR="000C55B6" w:rsidRDefault="000C55B6"/>
    <w:p w14:paraId="7D220349" w14:textId="2636BE18"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t>DFAT should set out the long-term strategic case for development cooperation in support of economic partnerships with middle-income Asia, and how the quantum and approach to providing assistance might be expected to evolve as the</w:t>
      </w:r>
      <w:r w:rsidR="00662E35">
        <w:rPr>
          <w:sz w:val="22"/>
        </w:rPr>
        <w:t xml:space="preserve"> partnerships</w:t>
      </w:r>
      <w:r w:rsidRPr="00D403B7">
        <w:rPr>
          <w:sz w:val="22"/>
        </w:rPr>
        <w:t xml:space="preserve"> develop.</w:t>
      </w:r>
    </w:p>
    <w:p w14:paraId="339A00F2" w14:textId="77777777" w:rsidR="001646AD" w:rsidRPr="00D403B7" w:rsidRDefault="001646AD" w:rsidP="000C55B6">
      <w:pPr>
        <w:pStyle w:val="NoSpacing"/>
        <w:spacing w:after="160" w:line="259" w:lineRule="auto"/>
        <w:ind w:left="426"/>
        <w:rPr>
          <w:sz w:val="22"/>
        </w:rPr>
      </w:pPr>
    </w:p>
    <w:p w14:paraId="1857E21D" w14:textId="60917596"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t>Within each of its economic partnerships with ODA-eligible countries, DFAT should</w:t>
      </w:r>
      <w:r w:rsidR="00662E35">
        <w:rPr>
          <w:sz w:val="22"/>
        </w:rPr>
        <w:t>:</w:t>
      </w:r>
    </w:p>
    <w:p w14:paraId="7E8A3046" w14:textId="5041416D" w:rsidR="001646AD" w:rsidRPr="00D403B7" w:rsidRDefault="001646AD" w:rsidP="000C55B6">
      <w:pPr>
        <w:pStyle w:val="NoSpacing"/>
        <w:numPr>
          <w:ilvl w:val="1"/>
          <w:numId w:val="31"/>
        </w:numPr>
        <w:tabs>
          <w:tab w:val="clear" w:pos="992"/>
        </w:tabs>
        <w:spacing w:after="160" w:line="259" w:lineRule="auto"/>
        <w:ind w:left="709" w:hanging="283"/>
        <w:rPr>
          <w:sz w:val="22"/>
        </w:rPr>
      </w:pPr>
      <w:r w:rsidRPr="00D403B7">
        <w:rPr>
          <w:sz w:val="22"/>
        </w:rPr>
        <w:t>articulate influencing objectives and ensure that messaging is consistent across its aid, trade and diplomatic engagements</w:t>
      </w:r>
    </w:p>
    <w:p w14:paraId="166AE10C" w14:textId="4D2382F2" w:rsidR="001646AD" w:rsidRPr="00D403B7" w:rsidRDefault="001646AD" w:rsidP="000C55B6">
      <w:pPr>
        <w:pStyle w:val="NoSpacing"/>
        <w:numPr>
          <w:ilvl w:val="1"/>
          <w:numId w:val="31"/>
        </w:numPr>
        <w:tabs>
          <w:tab w:val="clear" w:pos="992"/>
        </w:tabs>
        <w:spacing w:after="160" w:line="259" w:lineRule="auto"/>
        <w:ind w:left="709" w:hanging="283"/>
        <w:rPr>
          <w:sz w:val="22"/>
        </w:rPr>
      </w:pPr>
      <w:r w:rsidRPr="00D403B7">
        <w:rPr>
          <w:sz w:val="22"/>
        </w:rPr>
        <w:t>focus its aid for trade investments on helping partner countries to take advantage of opportunities in bilateral and regional free trade agreements</w:t>
      </w:r>
    </w:p>
    <w:p w14:paraId="1D484754" w14:textId="77777777" w:rsidR="001646AD" w:rsidRPr="00D403B7" w:rsidRDefault="001646AD" w:rsidP="000C55B6">
      <w:pPr>
        <w:pStyle w:val="NoSpacing"/>
        <w:numPr>
          <w:ilvl w:val="1"/>
          <w:numId w:val="31"/>
        </w:numPr>
        <w:tabs>
          <w:tab w:val="clear" w:pos="992"/>
        </w:tabs>
        <w:spacing w:after="160" w:line="259" w:lineRule="auto"/>
        <w:ind w:left="709" w:hanging="283"/>
        <w:rPr>
          <w:sz w:val="22"/>
        </w:rPr>
      </w:pPr>
      <w:r w:rsidRPr="00D403B7">
        <w:rPr>
          <w:sz w:val="22"/>
        </w:rPr>
        <w:t>look for opportunities to provide development assistance in sectors that offer the potential for mutual benefit, in ways that meet the conditions for good development practice.</w:t>
      </w:r>
    </w:p>
    <w:p w14:paraId="51B27CCF" w14:textId="77777777" w:rsidR="001646AD" w:rsidRPr="00D403B7" w:rsidRDefault="001646AD" w:rsidP="000C55B6">
      <w:pPr>
        <w:pStyle w:val="NoSpacing"/>
        <w:spacing w:after="160" w:line="259" w:lineRule="auto"/>
        <w:ind w:left="426"/>
        <w:rPr>
          <w:sz w:val="22"/>
        </w:rPr>
      </w:pPr>
    </w:p>
    <w:p w14:paraId="08A23798" w14:textId="353F25AA"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t>DFAT should continue to develop the evidence base, technical expertise and guidance on the design and implementation of knowledge-based assistance, covering issues such as</w:t>
      </w:r>
      <w:r w:rsidR="00662E35">
        <w:rPr>
          <w:sz w:val="22"/>
        </w:rPr>
        <w:t xml:space="preserve"> how to</w:t>
      </w:r>
      <w:r w:rsidRPr="00D403B7">
        <w:rPr>
          <w:sz w:val="22"/>
        </w:rPr>
        <w:t>:</w:t>
      </w:r>
    </w:p>
    <w:p w14:paraId="523B783E" w14:textId="49726A9B" w:rsidR="001646AD" w:rsidRPr="00D403B7" w:rsidRDefault="001646AD" w:rsidP="000C55B6">
      <w:pPr>
        <w:pStyle w:val="NoSpacing"/>
        <w:numPr>
          <w:ilvl w:val="1"/>
          <w:numId w:val="32"/>
        </w:numPr>
        <w:tabs>
          <w:tab w:val="clear" w:pos="992"/>
        </w:tabs>
        <w:spacing w:after="160" w:line="259" w:lineRule="auto"/>
        <w:ind w:left="709" w:hanging="283"/>
        <w:rPr>
          <w:sz w:val="22"/>
        </w:rPr>
      </w:pPr>
      <w:r w:rsidRPr="00D403B7">
        <w:rPr>
          <w:sz w:val="22"/>
        </w:rPr>
        <w:t>analyse policy-making processes in partner countries and identify opportunities for knowledge-based inputs to support policy and institutional reform</w:t>
      </w:r>
    </w:p>
    <w:p w14:paraId="4E80BAF0" w14:textId="049F5847" w:rsidR="001646AD" w:rsidRPr="00D403B7" w:rsidRDefault="001646AD" w:rsidP="000C55B6">
      <w:pPr>
        <w:pStyle w:val="NoSpacing"/>
        <w:numPr>
          <w:ilvl w:val="1"/>
          <w:numId w:val="32"/>
        </w:numPr>
        <w:tabs>
          <w:tab w:val="clear" w:pos="992"/>
        </w:tabs>
        <w:spacing w:after="160" w:line="259" w:lineRule="auto"/>
        <w:ind w:left="709" w:hanging="283"/>
        <w:rPr>
          <w:sz w:val="22"/>
        </w:rPr>
      </w:pPr>
      <w:r w:rsidRPr="00D403B7">
        <w:rPr>
          <w:sz w:val="22"/>
        </w:rPr>
        <w:t>position aid programs to be useful partners to national reformers and build long-term relationships</w:t>
      </w:r>
    </w:p>
    <w:p w14:paraId="3B906FEA" w14:textId="081A8655" w:rsidR="001646AD" w:rsidRPr="00D403B7" w:rsidRDefault="001646AD" w:rsidP="000C55B6">
      <w:pPr>
        <w:pStyle w:val="NoSpacing"/>
        <w:numPr>
          <w:ilvl w:val="1"/>
          <w:numId w:val="32"/>
        </w:numPr>
        <w:tabs>
          <w:tab w:val="clear" w:pos="992"/>
        </w:tabs>
        <w:spacing w:after="160" w:line="259" w:lineRule="auto"/>
        <w:ind w:left="709" w:hanging="283"/>
        <w:rPr>
          <w:sz w:val="22"/>
        </w:rPr>
      </w:pPr>
      <w:r w:rsidRPr="00D403B7">
        <w:rPr>
          <w:sz w:val="22"/>
        </w:rPr>
        <w:t>apply problem-solving approaches to assistance, combining short-term flexibility in activities and outputs with clarity in strategic objectives</w:t>
      </w:r>
    </w:p>
    <w:p w14:paraId="2F223EF9" w14:textId="77119E7E" w:rsidR="001646AD" w:rsidRPr="00D403B7" w:rsidRDefault="001646AD" w:rsidP="000C55B6">
      <w:pPr>
        <w:pStyle w:val="NoSpacing"/>
        <w:numPr>
          <w:ilvl w:val="1"/>
          <w:numId w:val="32"/>
        </w:numPr>
        <w:tabs>
          <w:tab w:val="clear" w:pos="992"/>
        </w:tabs>
        <w:spacing w:after="160" w:line="259" w:lineRule="auto"/>
        <w:ind w:left="709" w:hanging="283"/>
        <w:rPr>
          <w:sz w:val="22"/>
        </w:rPr>
      </w:pPr>
      <w:r w:rsidRPr="00D403B7">
        <w:rPr>
          <w:sz w:val="22"/>
        </w:rPr>
        <w:t>engage with and oversee implementers and multilateral partners</w:t>
      </w:r>
    </w:p>
    <w:p w14:paraId="4FD69D90" w14:textId="76213239" w:rsidR="001646AD" w:rsidRPr="00D403B7" w:rsidRDefault="001646AD" w:rsidP="000C55B6">
      <w:pPr>
        <w:pStyle w:val="NoSpacing"/>
        <w:numPr>
          <w:ilvl w:val="1"/>
          <w:numId w:val="32"/>
        </w:numPr>
        <w:tabs>
          <w:tab w:val="clear" w:pos="992"/>
        </w:tabs>
        <w:spacing w:after="160" w:line="259" w:lineRule="auto"/>
        <w:ind w:left="709" w:hanging="283"/>
        <w:rPr>
          <w:sz w:val="22"/>
        </w:rPr>
      </w:pPr>
      <w:r w:rsidRPr="00D403B7">
        <w:rPr>
          <w:sz w:val="22"/>
        </w:rPr>
        <w:t>design and implement influential pilots.</w:t>
      </w:r>
    </w:p>
    <w:p w14:paraId="7744B6F3" w14:textId="77777777" w:rsidR="001646AD" w:rsidRPr="00D403B7" w:rsidRDefault="001646AD" w:rsidP="000C55B6">
      <w:pPr>
        <w:pStyle w:val="NoSpacing"/>
        <w:spacing w:after="160" w:line="259" w:lineRule="auto"/>
        <w:ind w:left="426"/>
        <w:rPr>
          <w:sz w:val="22"/>
        </w:rPr>
      </w:pPr>
    </w:p>
    <w:p w14:paraId="597DABE1" w14:textId="77777777"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t>DFAT posts should encourage more interaction among their knowledge-based programs, for exchange of lessons and experience.</w:t>
      </w:r>
    </w:p>
    <w:p w14:paraId="4537BA78" w14:textId="6B38F095" w:rsidR="001646AD" w:rsidRPr="00D403B7" w:rsidRDefault="001646AD" w:rsidP="000C55B6">
      <w:pPr>
        <w:pStyle w:val="NoSpacing"/>
        <w:spacing w:after="160" w:line="259" w:lineRule="auto"/>
        <w:ind w:left="426"/>
        <w:rPr>
          <w:sz w:val="22"/>
        </w:rPr>
      </w:pPr>
    </w:p>
    <w:p w14:paraId="05F95E5F" w14:textId="77777777"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lastRenderedPageBreak/>
        <w:t>DFAT should ensure future country and regional strategies for development assistance to MICs:</w:t>
      </w:r>
    </w:p>
    <w:p w14:paraId="4AA60EA5" w14:textId="7DCFE192" w:rsidR="001646AD" w:rsidRPr="00D403B7" w:rsidRDefault="001646AD" w:rsidP="000C55B6">
      <w:pPr>
        <w:pStyle w:val="NoSpacing"/>
        <w:numPr>
          <w:ilvl w:val="1"/>
          <w:numId w:val="33"/>
        </w:numPr>
        <w:tabs>
          <w:tab w:val="clear" w:pos="992"/>
        </w:tabs>
        <w:spacing w:after="160" w:line="259" w:lineRule="auto"/>
        <w:ind w:left="709" w:hanging="283"/>
        <w:rPr>
          <w:sz w:val="22"/>
        </w:rPr>
      </w:pPr>
      <w:r w:rsidRPr="00D403B7">
        <w:rPr>
          <w:sz w:val="22"/>
        </w:rPr>
        <w:t>are underpinned by suitable diagnostic work that identifies opportunities for, and constraints on, inclusive growth and transition to an advanced economy</w:t>
      </w:r>
    </w:p>
    <w:p w14:paraId="5F8CA941" w14:textId="53840242" w:rsidR="001646AD" w:rsidRPr="00D403B7" w:rsidRDefault="001646AD" w:rsidP="000C55B6">
      <w:pPr>
        <w:pStyle w:val="NoSpacing"/>
        <w:numPr>
          <w:ilvl w:val="1"/>
          <w:numId w:val="33"/>
        </w:numPr>
        <w:tabs>
          <w:tab w:val="clear" w:pos="992"/>
        </w:tabs>
        <w:spacing w:after="160" w:line="259" w:lineRule="auto"/>
        <w:ind w:left="709" w:hanging="283"/>
        <w:rPr>
          <w:sz w:val="22"/>
        </w:rPr>
      </w:pPr>
      <w:r w:rsidRPr="00D403B7">
        <w:rPr>
          <w:sz w:val="22"/>
        </w:rPr>
        <w:t>include a set of medium-term policy and institutional reform objectives, with a shared advocacy strategy to be pursued across aid, trade and diplomatic engagements and by other Australian government agencies where relevant</w:t>
      </w:r>
    </w:p>
    <w:p w14:paraId="1BA7EA4B" w14:textId="5F96E223" w:rsidR="00D403B7" w:rsidRPr="000C55B6" w:rsidRDefault="001646AD" w:rsidP="000C55B6">
      <w:pPr>
        <w:pStyle w:val="NoSpacing"/>
        <w:numPr>
          <w:ilvl w:val="1"/>
          <w:numId w:val="33"/>
        </w:numPr>
        <w:tabs>
          <w:tab w:val="clear" w:pos="992"/>
        </w:tabs>
        <w:spacing w:after="160" w:line="259" w:lineRule="auto"/>
        <w:ind w:left="709" w:hanging="283"/>
      </w:pPr>
      <w:r w:rsidRPr="00D403B7">
        <w:rPr>
          <w:sz w:val="22"/>
        </w:rPr>
        <w:t>identify sectors or areas where development cooperation can support national development goals and Australian economic interests.</w:t>
      </w:r>
    </w:p>
    <w:p w14:paraId="246B0FF5" w14:textId="77777777" w:rsidR="001646AD" w:rsidRPr="00D403B7" w:rsidRDefault="001646AD" w:rsidP="000C55B6">
      <w:pPr>
        <w:pStyle w:val="NoSpacing"/>
        <w:spacing w:after="160" w:line="259" w:lineRule="auto"/>
        <w:ind w:left="426"/>
        <w:rPr>
          <w:sz w:val="22"/>
        </w:rPr>
      </w:pPr>
    </w:p>
    <w:p w14:paraId="51529B16" w14:textId="77777777"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sz w:val="22"/>
        </w:rPr>
        <w:t>DFAT should ensure that posts in economic partnership countries:</w:t>
      </w:r>
    </w:p>
    <w:p w14:paraId="69147F65" w14:textId="5FBCC401" w:rsidR="001646AD" w:rsidRPr="00D403B7" w:rsidRDefault="001646AD" w:rsidP="000C55B6">
      <w:pPr>
        <w:pStyle w:val="NoSpacing"/>
        <w:numPr>
          <w:ilvl w:val="1"/>
          <w:numId w:val="34"/>
        </w:numPr>
        <w:tabs>
          <w:tab w:val="clear" w:pos="992"/>
        </w:tabs>
        <w:spacing w:after="160" w:line="259" w:lineRule="auto"/>
        <w:ind w:left="709" w:hanging="283"/>
        <w:rPr>
          <w:sz w:val="22"/>
        </w:rPr>
      </w:pPr>
      <w:r w:rsidRPr="00D403B7">
        <w:rPr>
          <w:sz w:val="22"/>
        </w:rPr>
        <w:t>have enough staff conversant on economic and social policy to engage in policy dialogue and manage knowledge-based programs and portfolios at a strategic level</w:t>
      </w:r>
    </w:p>
    <w:p w14:paraId="52682ED1" w14:textId="77777777" w:rsidR="001646AD" w:rsidRPr="00D403B7" w:rsidRDefault="001646AD" w:rsidP="000C55B6">
      <w:pPr>
        <w:pStyle w:val="NoSpacing"/>
        <w:numPr>
          <w:ilvl w:val="1"/>
          <w:numId w:val="34"/>
        </w:numPr>
        <w:tabs>
          <w:tab w:val="clear" w:pos="992"/>
        </w:tabs>
        <w:spacing w:after="160" w:line="259" w:lineRule="auto"/>
        <w:ind w:left="709" w:hanging="283"/>
        <w:rPr>
          <w:sz w:val="22"/>
        </w:rPr>
      </w:pPr>
      <w:r w:rsidRPr="00D403B7">
        <w:rPr>
          <w:sz w:val="22"/>
        </w:rPr>
        <w:t>take measures to promote cross-disciplinary working, including with the trade area.</w:t>
      </w:r>
    </w:p>
    <w:p w14:paraId="01D8DBB3" w14:textId="0F5D7DC2" w:rsidR="001646AD" w:rsidRPr="00D403B7" w:rsidRDefault="001646AD" w:rsidP="000C55B6">
      <w:pPr>
        <w:pStyle w:val="NoSpacing"/>
        <w:numPr>
          <w:ilvl w:val="1"/>
          <w:numId w:val="34"/>
        </w:numPr>
        <w:tabs>
          <w:tab w:val="clear" w:pos="992"/>
        </w:tabs>
        <w:spacing w:after="160" w:line="259" w:lineRule="auto"/>
        <w:ind w:left="709" w:hanging="283"/>
        <w:rPr>
          <w:sz w:val="22"/>
        </w:rPr>
      </w:pPr>
      <w:r w:rsidRPr="00D403B7">
        <w:rPr>
          <w:sz w:val="22"/>
        </w:rPr>
        <w:t>examine ways to take better advantage and further develop the capabilities of their locally engaged staff, as a critical resource for pursuing economic partnerships</w:t>
      </w:r>
    </w:p>
    <w:p w14:paraId="77711859" w14:textId="58BFDABB" w:rsidR="001646AD" w:rsidRPr="00D403B7" w:rsidRDefault="001646AD" w:rsidP="000C55B6">
      <w:pPr>
        <w:pStyle w:val="NoSpacing"/>
        <w:numPr>
          <w:ilvl w:val="1"/>
          <w:numId w:val="34"/>
        </w:numPr>
        <w:tabs>
          <w:tab w:val="clear" w:pos="992"/>
        </w:tabs>
        <w:spacing w:after="160" w:line="259" w:lineRule="auto"/>
        <w:ind w:left="709" w:hanging="283"/>
        <w:rPr>
          <w:sz w:val="22"/>
        </w:rPr>
      </w:pPr>
      <w:r w:rsidRPr="00D403B7">
        <w:rPr>
          <w:sz w:val="22"/>
        </w:rPr>
        <w:t>have access to country-level monitoring and knowledge-management tools to assess progress against key reform objectives, the significance of Australia’s contribution, the ongoing relevance of its work and the health of the economic partnership</w:t>
      </w:r>
      <w:r w:rsidR="00662E35">
        <w:rPr>
          <w:sz w:val="22"/>
        </w:rPr>
        <w:t>.</w:t>
      </w:r>
    </w:p>
    <w:p w14:paraId="48C0029F" w14:textId="239BDBA3" w:rsidR="001646AD" w:rsidRPr="00D403B7" w:rsidRDefault="001646AD" w:rsidP="000C55B6">
      <w:pPr>
        <w:pStyle w:val="NoSpacing"/>
        <w:spacing w:after="160" w:line="259" w:lineRule="auto"/>
        <w:ind w:left="426"/>
        <w:rPr>
          <w:sz w:val="22"/>
        </w:rPr>
      </w:pPr>
    </w:p>
    <w:p w14:paraId="09317B16" w14:textId="3FC3D556" w:rsidR="001646AD" w:rsidRPr="00D403B7" w:rsidRDefault="001646AD" w:rsidP="000C55B6">
      <w:pPr>
        <w:pStyle w:val="NoSpacing"/>
        <w:numPr>
          <w:ilvl w:val="0"/>
          <w:numId w:val="30"/>
        </w:numPr>
        <w:tabs>
          <w:tab w:val="clear" w:pos="992"/>
        </w:tabs>
        <w:spacing w:after="160" w:line="259" w:lineRule="auto"/>
        <w:ind w:left="426"/>
        <w:rPr>
          <w:sz w:val="22"/>
        </w:rPr>
      </w:pPr>
      <w:r w:rsidRPr="00D403B7">
        <w:rPr>
          <w:bCs/>
          <w:sz w:val="22"/>
          <w:lang w:val="en-GB"/>
        </w:rPr>
        <w:t>DFAT should consider establishing a multidisciplinary community of practice among staff on economic partnerships, to share knowledge and experience on engaging with social and economic policy issues</w:t>
      </w:r>
      <w:r w:rsidR="00662E35">
        <w:rPr>
          <w:bCs/>
          <w:sz w:val="22"/>
          <w:lang w:val="en-GB"/>
        </w:rPr>
        <w:t>.</w:t>
      </w:r>
    </w:p>
    <w:p w14:paraId="58098376" w14:textId="77777777" w:rsidR="001646AD" w:rsidRDefault="001646AD" w:rsidP="000C55B6"/>
    <w:p w14:paraId="4F788340" w14:textId="77777777" w:rsidR="00B65996" w:rsidRDefault="00B65996" w:rsidP="000C55B6"/>
    <w:p w14:paraId="4E4DE3EC" w14:textId="53FA96D0" w:rsidR="00B65996" w:rsidRDefault="00B65996" w:rsidP="000C55B6">
      <w:r>
        <w:br w:type="page"/>
      </w:r>
    </w:p>
    <w:p w14:paraId="04E1C42B" w14:textId="77777777" w:rsidR="0030586B" w:rsidRDefault="0030586B" w:rsidP="00B65996">
      <w:pPr>
        <w:spacing w:line="256" w:lineRule="auto"/>
        <w:sectPr w:rsidR="0030586B" w:rsidSect="00F21EFA">
          <w:pgSz w:w="12240" w:h="15840"/>
          <w:pgMar w:top="851" w:right="851" w:bottom="1418" w:left="851" w:header="720" w:footer="567" w:gutter="0"/>
          <w:cols w:space="720"/>
          <w:titlePg/>
          <w:docGrid w:linePitch="360"/>
        </w:sectPr>
      </w:pPr>
    </w:p>
    <w:p w14:paraId="3C5D1F2E" w14:textId="428CB0FF" w:rsidR="00B65996" w:rsidRDefault="00B65996"/>
    <w:p w14:paraId="27C95528" w14:textId="7CBB66A1" w:rsidR="0030586B" w:rsidRPr="001B3B93" w:rsidRDefault="0030586B" w:rsidP="0030586B">
      <w:pPr>
        <w:pStyle w:val="ChapterHead"/>
        <w:framePr w:wrap="around"/>
      </w:pPr>
      <w:bookmarkStart w:id="99" w:name="_Toc527713013"/>
      <w:r>
        <w:t>ANNEXES</w:t>
      </w:r>
      <w:bookmarkEnd w:id="99"/>
    </w:p>
    <w:p w14:paraId="79E5C9B8" w14:textId="57EA828D" w:rsidR="0030586B" w:rsidRDefault="0030586B" w:rsidP="0083323F">
      <w:pPr>
        <w:pStyle w:val="Heading1"/>
      </w:pPr>
      <w:bookmarkStart w:id="100" w:name="_Toc527713014"/>
      <w:r w:rsidRPr="00525313">
        <w:t>Annex A: Program</w:t>
      </w:r>
      <w:r w:rsidR="0083323F" w:rsidRPr="00525313">
        <w:t xml:space="preserve"> </w:t>
      </w:r>
      <w:r w:rsidRPr="00525313">
        <w:t>sample</w:t>
      </w:r>
      <w:bookmarkEnd w:id="100"/>
    </w:p>
    <w:tbl>
      <w:tblPr>
        <w:tblStyle w:val="TableGrid"/>
        <w:tblW w:w="10773" w:type="dxa"/>
        <w:tblLook w:val="04A0" w:firstRow="1" w:lastRow="0" w:firstColumn="1" w:lastColumn="0" w:noHBand="0" w:noVBand="1"/>
      </w:tblPr>
      <w:tblGrid>
        <w:gridCol w:w="2552"/>
        <w:gridCol w:w="1417"/>
        <w:gridCol w:w="993"/>
        <w:gridCol w:w="1559"/>
        <w:gridCol w:w="4252"/>
      </w:tblGrid>
      <w:tr w:rsidR="00F644F8" w:rsidRPr="001B3B93" w14:paraId="05C4AFC7" w14:textId="77777777" w:rsidTr="00805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3ED0D1A" w14:textId="77777777" w:rsidR="00F644F8" w:rsidRPr="001B3B93" w:rsidRDefault="00F644F8" w:rsidP="00785A40">
            <w:pPr>
              <w:rPr>
                <w:b/>
                <w:bCs/>
                <w:color w:val="FFFFFF" w:themeColor="background1"/>
              </w:rPr>
            </w:pPr>
            <w:r>
              <w:rPr>
                <w:b/>
                <w:bCs/>
                <w:color w:val="FFFFFF" w:themeColor="background1"/>
              </w:rPr>
              <w:t>Program</w:t>
            </w:r>
          </w:p>
        </w:tc>
        <w:tc>
          <w:tcPr>
            <w:tcW w:w="1417" w:type="dxa"/>
          </w:tcPr>
          <w:p w14:paraId="581C6853" w14:textId="4B4DEC92" w:rsidR="00F644F8" w:rsidRPr="001B3B93" w:rsidRDefault="00B618C9" w:rsidP="00785A4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w:t>
            </w:r>
            <w:r w:rsidR="00F644F8">
              <w:rPr>
                <w:b/>
                <w:bCs/>
                <w:color w:val="FFFFFF" w:themeColor="background1"/>
              </w:rPr>
              <w:t>rea</w:t>
            </w:r>
          </w:p>
        </w:tc>
        <w:tc>
          <w:tcPr>
            <w:tcW w:w="993" w:type="dxa"/>
          </w:tcPr>
          <w:p w14:paraId="54DB15BD" w14:textId="77777777" w:rsidR="00F644F8" w:rsidRPr="001B3B93" w:rsidRDefault="00F644F8" w:rsidP="00785A4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Dates</w:t>
            </w:r>
          </w:p>
        </w:tc>
        <w:tc>
          <w:tcPr>
            <w:tcW w:w="1559" w:type="dxa"/>
          </w:tcPr>
          <w:p w14:paraId="676DF05A" w14:textId="73E72322" w:rsidR="00F644F8" w:rsidRDefault="00F644F8" w:rsidP="00785A4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Budget</w:t>
            </w:r>
            <w:r w:rsidRPr="001B3B93">
              <w:rPr>
                <w:b/>
                <w:bCs/>
                <w:color w:val="FFFFFF" w:themeColor="background1"/>
              </w:rPr>
              <w:t xml:space="preserve"> (</w:t>
            </w:r>
            <w:r w:rsidR="00A439B4">
              <w:rPr>
                <w:b/>
                <w:bCs/>
                <w:color w:val="FFFFFF" w:themeColor="background1"/>
              </w:rPr>
              <w:t xml:space="preserve">million </w:t>
            </w:r>
            <w:r w:rsidRPr="001B3B93">
              <w:rPr>
                <w:b/>
                <w:bCs/>
                <w:color w:val="FFFFFF" w:themeColor="background1"/>
              </w:rPr>
              <w:t>AUD)</w:t>
            </w:r>
          </w:p>
          <w:p w14:paraId="73DDC87A" w14:textId="660EF8DC" w:rsidR="00525313" w:rsidRPr="001B3B93" w:rsidRDefault="00525313" w:rsidP="00785A40">
            <w:pPr>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4252" w:type="dxa"/>
          </w:tcPr>
          <w:p w14:paraId="1E60E1D7" w14:textId="3A1601B3" w:rsidR="00F644F8" w:rsidRPr="001B3B93" w:rsidRDefault="00B618C9" w:rsidP="00785A40">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Influencing activities</w:t>
            </w:r>
          </w:p>
        </w:tc>
      </w:tr>
      <w:tr w:rsidR="00B618C9" w:rsidRPr="001B3B93" w14:paraId="02CD56D1" w14:textId="77777777" w:rsidTr="00805C6E">
        <w:tc>
          <w:tcPr>
            <w:cnfStyle w:val="001000000000" w:firstRow="0" w:lastRow="0" w:firstColumn="1" w:lastColumn="0" w:oddVBand="0" w:evenVBand="0" w:oddHBand="0" w:evenHBand="0" w:firstRowFirstColumn="0" w:firstRowLastColumn="0" w:lastRowFirstColumn="0" w:lastRowLastColumn="0"/>
            <w:tcW w:w="0" w:type="dxa"/>
            <w:gridSpan w:val="5"/>
            <w:shd w:val="clear" w:color="auto" w:fill="C1E7E0" w:themeFill="background2" w:themeFillTint="66"/>
          </w:tcPr>
          <w:p w14:paraId="3BD2899E" w14:textId="7A0CF412" w:rsidR="00B618C9" w:rsidRPr="001B3B93" w:rsidRDefault="00B618C9" w:rsidP="00785A40">
            <w:pPr>
              <w:rPr>
                <w:b/>
                <w:bCs/>
                <w:color w:val="FFFFFF" w:themeColor="background1"/>
              </w:rPr>
            </w:pPr>
            <w:r w:rsidRPr="00805C6E">
              <w:rPr>
                <w:b/>
                <w:bCs/>
                <w:color w:val="808080" w:themeColor="background1" w:themeShade="80"/>
              </w:rPr>
              <w:t>Indonesia</w:t>
            </w:r>
          </w:p>
        </w:tc>
      </w:tr>
      <w:tr w:rsidR="00F644F8" w:rsidRPr="001B3B93" w14:paraId="1582C2A8"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1A883F5C" w14:textId="4185486C" w:rsidR="00F644F8" w:rsidRPr="0083323F" w:rsidRDefault="00F644F8" w:rsidP="00F644F8">
            <w:r w:rsidRPr="00805C6E">
              <w:t>Indonesia Infrastructure Initiative (IndII) program</w:t>
            </w:r>
          </w:p>
        </w:tc>
        <w:tc>
          <w:tcPr>
            <w:tcW w:w="1417" w:type="dxa"/>
          </w:tcPr>
          <w:p w14:paraId="77F35F13" w14:textId="31383785"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Infrastructure</w:t>
            </w:r>
          </w:p>
        </w:tc>
        <w:tc>
          <w:tcPr>
            <w:tcW w:w="993" w:type="dxa"/>
          </w:tcPr>
          <w:p w14:paraId="334D41DA" w14:textId="01BF3342" w:rsidR="00F644F8" w:rsidRDefault="00F644F8" w:rsidP="00F644F8">
            <w:pPr>
              <w:cnfStyle w:val="000000000000" w:firstRow="0" w:lastRow="0" w:firstColumn="0" w:lastColumn="0" w:oddVBand="0" w:evenVBand="0" w:oddHBand="0" w:evenHBand="0" w:firstRowFirstColumn="0" w:firstRowLastColumn="0" w:lastRowFirstColumn="0" w:lastRowLastColumn="0"/>
            </w:pPr>
            <w:r w:rsidRPr="00F644F8">
              <w:t>2007</w:t>
            </w:r>
            <w:r w:rsidR="00662E35">
              <w:t>–</w:t>
            </w:r>
            <w:r w:rsidRPr="00F644F8">
              <w:t>17</w:t>
            </w:r>
          </w:p>
        </w:tc>
        <w:tc>
          <w:tcPr>
            <w:tcW w:w="1559" w:type="dxa"/>
          </w:tcPr>
          <w:p w14:paraId="02BD921D" w14:textId="4406D7D3" w:rsidR="00F644F8" w:rsidRPr="001B3B93" w:rsidRDefault="00F644F8" w:rsidP="00A439B4">
            <w:pPr>
              <w:cnfStyle w:val="000000000000" w:firstRow="0" w:lastRow="0" w:firstColumn="0" w:lastColumn="0" w:oddVBand="0" w:evenVBand="0" w:oddHBand="0" w:evenHBand="0" w:firstRowFirstColumn="0" w:firstRowLastColumn="0" w:lastRowFirstColumn="0" w:lastRowLastColumn="0"/>
            </w:pPr>
            <w:r w:rsidRPr="00000AA1">
              <w:t>239.4</w:t>
            </w:r>
          </w:p>
        </w:tc>
        <w:tc>
          <w:tcPr>
            <w:tcW w:w="4252" w:type="dxa"/>
          </w:tcPr>
          <w:p w14:paraId="3D9B150A" w14:textId="6CF399CB"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 xml:space="preserve">Technical assistance to address constraints to infrastructure investment and related policy and regulations. Responds to requests from </w:t>
            </w:r>
            <w:r w:rsidR="00646E08">
              <w:t xml:space="preserve">Indonesia </w:t>
            </w:r>
            <w:r w:rsidRPr="00F644F8">
              <w:t>Go</w:t>
            </w:r>
            <w:r w:rsidR="00525313">
              <w:t>vernment</w:t>
            </w:r>
            <w:r w:rsidRPr="00F644F8">
              <w:t xml:space="preserve"> agencies for feasibility studies, cost-benefit analyses, planning documents, engineering and architectural designs, project evaluations, and training on important infrastructure projects.</w:t>
            </w:r>
          </w:p>
        </w:tc>
      </w:tr>
      <w:tr w:rsidR="00F644F8" w:rsidRPr="001B3B93" w14:paraId="2373339A"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54726752" w14:textId="18DB5E19" w:rsidR="00F644F8" w:rsidRPr="0083323F" w:rsidRDefault="00F644F8" w:rsidP="00F644F8">
            <w:r w:rsidRPr="00805C6E">
              <w:t>Eastern Indonesia National Roads Improvement Project (EINRIP)</w:t>
            </w:r>
          </w:p>
        </w:tc>
        <w:tc>
          <w:tcPr>
            <w:tcW w:w="1417" w:type="dxa"/>
          </w:tcPr>
          <w:p w14:paraId="43F29449" w14:textId="32B5914A"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Infrastructure</w:t>
            </w:r>
          </w:p>
        </w:tc>
        <w:tc>
          <w:tcPr>
            <w:tcW w:w="993" w:type="dxa"/>
          </w:tcPr>
          <w:p w14:paraId="0D1CD7E2" w14:textId="78788B22"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2005</w:t>
            </w:r>
            <w:r w:rsidR="00662E35">
              <w:t>–</w:t>
            </w:r>
            <w:r w:rsidRPr="00F644F8">
              <w:t>16</w:t>
            </w:r>
          </w:p>
        </w:tc>
        <w:tc>
          <w:tcPr>
            <w:tcW w:w="1559" w:type="dxa"/>
          </w:tcPr>
          <w:p w14:paraId="5566958E" w14:textId="77777777" w:rsidR="00EF74EA" w:rsidRDefault="00F644F8" w:rsidP="00A439B4">
            <w:pPr>
              <w:cnfStyle w:val="000000000000" w:firstRow="0" w:lastRow="0" w:firstColumn="0" w:lastColumn="0" w:oddVBand="0" w:evenVBand="0" w:oddHBand="0" w:evenHBand="0" w:firstRowFirstColumn="0" w:firstRowLastColumn="0" w:lastRowFirstColumn="0" w:lastRowLastColumn="0"/>
            </w:pPr>
            <w:r w:rsidRPr="00F644F8">
              <w:t>300 loan</w:t>
            </w:r>
          </w:p>
          <w:p w14:paraId="4C2F8E6F" w14:textId="5460140C" w:rsidR="00F644F8" w:rsidRPr="001B3B93" w:rsidRDefault="00F644F8" w:rsidP="00A439B4">
            <w:pPr>
              <w:cnfStyle w:val="000000000000" w:firstRow="0" w:lastRow="0" w:firstColumn="0" w:lastColumn="0" w:oddVBand="0" w:evenVBand="0" w:oddHBand="0" w:evenHBand="0" w:firstRowFirstColumn="0" w:firstRowLastColumn="0" w:lastRowFirstColumn="0" w:lastRowLastColumn="0"/>
            </w:pPr>
            <w:r w:rsidRPr="00F644F8">
              <w:t>35 grant</w:t>
            </w:r>
          </w:p>
        </w:tc>
        <w:tc>
          <w:tcPr>
            <w:tcW w:w="4252" w:type="dxa"/>
          </w:tcPr>
          <w:p w14:paraId="577810F7" w14:textId="193E9B50" w:rsidR="00F644F8" w:rsidRPr="001B3B93" w:rsidRDefault="00F644F8" w:rsidP="006718F7">
            <w:pPr>
              <w:cnfStyle w:val="000000000000" w:firstRow="0" w:lastRow="0" w:firstColumn="0" w:lastColumn="0" w:oddVBand="0" w:evenVBand="0" w:oddHBand="0" w:evenHBand="0" w:firstRowFirstColumn="0" w:firstRowLastColumn="0" w:lastRowFirstColumn="0" w:lastRowLastColumn="0"/>
            </w:pPr>
            <w:r w:rsidRPr="00F644F8">
              <w:t xml:space="preserve">In addition to the reconstruction of roads and bridges across </w:t>
            </w:r>
            <w:r w:rsidR="000E2722">
              <w:t>nine</w:t>
            </w:r>
            <w:r w:rsidRPr="00F644F8">
              <w:t xml:space="preserve"> provinces in Eastern Indonesia, the program provided technical assistance to improve project planning, implementation and oversight by the Directorate General of Highways</w:t>
            </w:r>
            <w:r w:rsidR="006718F7">
              <w:t xml:space="preserve">. It also included </w:t>
            </w:r>
            <w:r w:rsidRPr="00F644F8">
              <w:t>a monitoring and evaluation component to assess the social and economic impact and build an evidence base for future application of improved construction practices.</w:t>
            </w:r>
          </w:p>
        </w:tc>
      </w:tr>
      <w:tr w:rsidR="00F644F8" w:rsidRPr="001B3B93" w14:paraId="20AD4F9D"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158F632E" w14:textId="5565C9A6" w:rsidR="00F644F8" w:rsidRPr="0083323F" w:rsidRDefault="00F644F8" w:rsidP="00F644F8">
            <w:r w:rsidRPr="00805C6E">
              <w:t>Government Partnership Fund (GPF) Phase II</w:t>
            </w:r>
          </w:p>
        </w:tc>
        <w:tc>
          <w:tcPr>
            <w:tcW w:w="1417" w:type="dxa"/>
          </w:tcPr>
          <w:p w14:paraId="38DC9315" w14:textId="3CF5DB78"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Economic governance</w:t>
            </w:r>
          </w:p>
        </w:tc>
        <w:tc>
          <w:tcPr>
            <w:tcW w:w="993" w:type="dxa"/>
          </w:tcPr>
          <w:p w14:paraId="64BF9241" w14:textId="2D1CFCC1"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2011</w:t>
            </w:r>
            <w:r w:rsidR="00662E35">
              <w:t>–</w:t>
            </w:r>
            <w:r w:rsidRPr="00F644F8">
              <w:t>17</w:t>
            </w:r>
          </w:p>
        </w:tc>
        <w:tc>
          <w:tcPr>
            <w:tcW w:w="1559" w:type="dxa"/>
          </w:tcPr>
          <w:p w14:paraId="01036F63" w14:textId="17F94957" w:rsidR="00F644F8" w:rsidRPr="001B3B93" w:rsidRDefault="00F644F8" w:rsidP="00A439B4">
            <w:pPr>
              <w:cnfStyle w:val="000000000000" w:firstRow="0" w:lastRow="0" w:firstColumn="0" w:lastColumn="0" w:oddVBand="0" w:evenVBand="0" w:oddHBand="0" w:evenHBand="0" w:firstRowFirstColumn="0" w:firstRowLastColumn="0" w:lastRowFirstColumn="0" w:lastRowLastColumn="0"/>
            </w:pPr>
            <w:r w:rsidRPr="00F644F8">
              <w:t>118</w:t>
            </w:r>
          </w:p>
        </w:tc>
        <w:tc>
          <w:tcPr>
            <w:tcW w:w="4252" w:type="dxa"/>
          </w:tcPr>
          <w:p w14:paraId="7BD4EBDF" w14:textId="2A7C4BF8"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Whole-of-government program involving 13 Australian agencies working within Indonesian counterpart agencies to improve economic and public sector governance.</w:t>
            </w:r>
          </w:p>
        </w:tc>
      </w:tr>
      <w:tr w:rsidR="00F644F8" w:rsidRPr="001B3B93" w14:paraId="606E41A1"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33D407A9" w14:textId="7D7B4062" w:rsidR="00F644F8" w:rsidRPr="0083323F" w:rsidRDefault="00F644F8" w:rsidP="00F644F8">
            <w:r w:rsidRPr="00805C6E">
              <w:t>Australia Indonesia Partnership for Economic Governance (AIPEG)</w:t>
            </w:r>
          </w:p>
        </w:tc>
        <w:tc>
          <w:tcPr>
            <w:tcW w:w="1417" w:type="dxa"/>
          </w:tcPr>
          <w:p w14:paraId="6836BF20" w14:textId="7C61E0E4"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Economic governance</w:t>
            </w:r>
          </w:p>
        </w:tc>
        <w:tc>
          <w:tcPr>
            <w:tcW w:w="993" w:type="dxa"/>
          </w:tcPr>
          <w:p w14:paraId="460478E3" w14:textId="6D582B94"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2009</w:t>
            </w:r>
            <w:r w:rsidR="00662E35">
              <w:t>–</w:t>
            </w:r>
            <w:r w:rsidRPr="00F644F8">
              <w:t>17</w:t>
            </w:r>
          </w:p>
        </w:tc>
        <w:tc>
          <w:tcPr>
            <w:tcW w:w="1559" w:type="dxa"/>
          </w:tcPr>
          <w:p w14:paraId="174F1B93" w14:textId="1B0E262E"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112</w:t>
            </w:r>
          </w:p>
        </w:tc>
        <w:tc>
          <w:tcPr>
            <w:tcW w:w="4252" w:type="dxa"/>
          </w:tcPr>
          <w:p w14:paraId="50E18DEC" w14:textId="2BAAB3EB"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 xml:space="preserve">Contractor-managed facility supporting </w:t>
            </w:r>
            <w:r w:rsidR="00646E08">
              <w:t xml:space="preserve">Indonesia </w:t>
            </w:r>
            <w:r w:rsidRPr="00F644F8">
              <w:t>G</w:t>
            </w:r>
            <w:r w:rsidR="00525313">
              <w:t>overnment</w:t>
            </w:r>
            <w:r w:rsidRPr="00F644F8">
              <w:t xml:space="preserve"> agencies to achieve inclusive growth through increased competitiveness. Technical assistance and </w:t>
            </w:r>
            <w:r w:rsidRPr="00F644F8">
              <w:lastRenderedPageBreak/>
              <w:t>capacity building to strengthen economic institutions, manage public finances and promote effective markets.</w:t>
            </w:r>
          </w:p>
        </w:tc>
      </w:tr>
      <w:tr w:rsidR="00F644F8" w:rsidRPr="001B3B93" w14:paraId="0F8E9000"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45581CD9" w14:textId="0BC3F757" w:rsidR="00F644F8" w:rsidRPr="0083323F" w:rsidRDefault="00F644F8" w:rsidP="00F644F8">
            <w:r w:rsidRPr="00805C6E">
              <w:lastRenderedPageBreak/>
              <w:t>Australia-Indonesia Partnership for Pro-Poor Policy: The Knowledge Sector Initiative (KSI)</w:t>
            </w:r>
          </w:p>
        </w:tc>
        <w:tc>
          <w:tcPr>
            <w:tcW w:w="1417" w:type="dxa"/>
          </w:tcPr>
          <w:p w14:paraId="6057814E" w14:textId="77F48C89"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Economic governance</w:t>
            </w:r>
          </w:p>
        </w:tc>
        <w:tc>
          <w:tcPr>
            <w:tcW w:w="993" w:type="dxa"/>
          </w:tcPr>
          <w:p w14:paraId="18086A53" w14:textId="6E4CD95F"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2016</w:t>
            </w:r>
            <w:r w:rsidR="00662E35">
              <w:t>–</w:t>
            </w:r>
            <w:r w:rsidRPr="00F644F8">
              <w:t>19</w:t>
            </w:r>
          </w:p>
        </w:tc>
        <w:tc>
          <w:tcPr>
            <w:tcW w:w="1559" w:type="dxa"/>
          </w:tcPr>
          <w:p w14:paraId="15E3B597" w14:textId="683BDF72" w:rsidR="00F644F8" w:rsidRPr="001B3B93" w:rsidRDefault="00F644F8" w:rsidP="00A439B4">
            <w:pPr>
              <w:cnfStyle w:val="000000000000" w:firstRow="0" w:lastRow="0" w:firstColumn="0" w:lastColumn="0" w:oddVBand="0" w:evenVBand="0" w:oddHBand="0" w:evenHBand="0" w:firstRowFirstColumn="0" w:firstRowLastColumn="0" w:lastRowFirstColumn="0" w:lastRowLastColumn="0"/>
            </w:pPr>
            <w:r w:rsidRPr="00F644F8">
              <w:t>64</w:t>
            </w:r>
          </w:p>
        </w:tc>
        <w:tc>
          <w:tcPr>
            <w:tcW w:w="4252" w:type="dxa"/>
          </w:tcPr>
          <w:p w14:paraId="5BBA279D" w14:textId="5D1D9A33"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 xml:space="preserve">Contractor-delivered program building the capacity of Indonesian </w:t>
            </w:r>
            <w:r w:rsidR="006718F7" w:rsidRPr="00F644F8">
              <w:t>think tanks</w:t>
            </w:r>
            <w:r w:rsidRPr="00F644F8">
              <w:t xml:space="preserve"> to stimulate the production and use of quality research and analysis for policy makers.</w:t>
            </w:r>
          </w:p>
        </w:tc>
      </w:tr>
      <w:tr w:rsidR="00F644F8" w:rsidRPr="001B3B93" w14:paraId="08B91A44"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1F3A07FD" w14:textId="7029C056" w:rsidR="00F644F8" w:rsidRPr="0083323F" w:rsidRDefault="00F644F8" w:rsidP="00F644F8">
            <w:r w:rsidRPr="00805C6E">
              <w:t>Towards a Strong and Prosperous Indonesian Society (MAHKOTA Indonesia)</w:t>
            </w:r>
          </w:p>
        </w:tc>
        <w:tc>
          <w:tcPr>
            <w:tcW w:w="1417" w:type="dxa"/>
          </w:tcPr>
          <w:p w14:paraId="10514ADB" w14:textId="0CC4A000"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Social protection</w:t>
            </w:r>
          </w:p>
        </w:tc>
        <w:tc>
          <w:tcPr>
            <w:tcW w:w="993" w:type="dxa"/>
          </w:tcPr>
          <w:p w14:paraId="19B17426" w14:textId="6CD06703" w:rsidR="00F644F8" w:rsidRPr="00000AA1" w:rsidRDefault="00F644F8" w:rsidP="00F644F8">
            <w:pPr>
              <w:cnfStyle w:val="000000000000" w:firstRow="0" w:lastRow="0" w:firstColumn="0" w:lastColumn="0" w:oddVBand="0" w:evenVBand="0" w:oddHBand="0" w:evenHBand="0" w:firstRowFirstColumn="0" w:firstRowLastColumn="0" w:lastRowFirstColumn="0" w:lastRowLastColumn="0"/>
            </w:pPr>
            <w:r w:rsidRPr="00000AA1">
              <w:t>2016</w:t>
            </w:r>
            <w:r w:rsidR="00662E35" w:rsidRPr="00000AA1">
              <w:t>–</w:t>
            </w:r>
            <w:r w:rsidRPr="00000AA1">
              <w:t>19</w:t>
            </w:r>
          </w:p>
        </w:tc>
        <w:tc>
          <w:tcPr>
            <w:tcW w:w="1559" w:type="dxa"/>
          </w:tcPr>
          <w:p w14:paraId="47C19F4F" w14:textId="5592815C" w:rsidR="00F644F8" w:rsidRPr="00000AA1" w:rsidRDefault="003802FD" w:rsidP="003802FD">
            <w:pPr>
              <w:cnfStyle w:val="000000000000" w:firstRow="0" w:lastRow="0" w:firstColumn="0" w:lastColumn="0" w:oddVBand="0" w:evenVBand="0" w:oddHBand="0" w:evenHBand="0" w:firstRowFirstColumn="0" w:firstRowLastColumn="0" w:lastRowFirstColumn="0" w:lastRowLastColumn="0"/>
            </w:pPr>
            <w:r w:rsidRPr="00000AA1">
              <w:t>62</w:t>
            </w:r>
          </w:p>
        </w:tc>
        <w:tc>
          <w:tcPr>
            <w:tcW w:w="4252" w:type="dxa"/>
          </w:tcPr>
          <w:p w14:paraId="6A097ACE" w14:textId="2D5C6E72" w:rsidR="00F644F8" w:rsidRPr="001B3B93" w:rsidRDefault="00F644F8" w:rsidP="00F644F8">
            <w:pPr>
              <w:cnfStyle w:val="000000000000" w:firstRow="0" w:lastRow="0" w:firstColumn="0" w:lastColumn="0" w:oddVBand="0" w:evenVBand="0" w:oddHBand="0" w:evenHBand="0" w:firstRowFirstColumn="0" w:firstRowLastColumn="0" w:lastRowFirstColumn="0" w:lastRowLastColumn="0"/>
            </w:pPr>
            <w:r w:rsidRPr="00F644F8">
              <w:t xml:space="preserve">Contractor-delivered program that supports the Vice President’s National Team for the Acceleration of Poverty Reduction </w:t>
            </w:r>
            <w:r w:rsidR="009A626C">
              <w:t xml:space="preserve">(TNP2K) </w:t>
            </w:r>
            <w:r w:rsidRPr="00F644F8">
              <w:t>to enhance existing social protection programs and work towards a comprehensive social protection framework. Generates knowledge and formulates options to guide policy development, helping to translate policy choices into programs, provides technical</w:t>
            </w:r>
            <w:r w:rsidR="006F265F">
              <w:t xml:space="preserve"> advice</w:t>
            </w:r>
            <w:r w:rsidRPr="00F644F8">
              <w:t xml:space="preserve">, and high-quality monitoring and evaluation. Builds on past work towards a unified database. Designing a compensation package to reform </w:t>
            </w:r>
            <w:r w:rsidR="00252573">
              <w:t>electricity</w:t>
            </w:r>
            <w:r w:rsidRPr="00F644F8">
              <w:t xml:space="preserve"> subsidies.</w:t>
            </w:r>
          </w:p>
        </w:tc>
      </w:tr>
      <w:tr w:rsidR="00B618C9" w:rsidRPr="001B3B93" w14:paraId="032E6622" w14:textId="77777777" w:rsidTr="00785A40">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C1E7E0" w:themeFill="background2" w:themeFillTint="66"/>
          </w:tcPr>
          <w:p w14:paraId="44D38F54" w14:textId="564B4F3B" w:rsidR="00B618C9" w:rsidRPr="001B3B93" w:rsidRDefault="00B618C9" w:rsidP="00785A40">
            <w:pPr>
              <w:rPr>
                <w:b/>
                <w:bCs/>
                <w:color w:val="FFFFFF" w:themeColor="background1"/>
              </w:rPr>
            </w:pPr>
            <w:r>
              <w:rPr>
                <w:b/>
                <w:bCs/>
                <w:color w:val="808080" w:themeColor="background1" w:themeShade="80"/>
              </w:rPr>
              <w:t>Vietnam</w:t>
            </w:r>
          </w:p>
        </w:tc>
      </w:tr>
      <w:tr w:rsidR="00B618C9" w:rsidRPr="001B3B93" w14:paraId="1DA101EC"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6F6C1228" w14:textId="471BF0A8" w:rsidR="00B618C9" w:rsidRPr="00805C6E" w:rsidRDefault="00B618C9" w:rsidP="00B618C9">
            <w:r w:rsidRPr="00805C6E">
              <w:t>Restructuring for a More Competitive Vietnam (RCV)</w:t>
            </w:r>
          </w:p>
        </w:tc>
        <w:tc>
          <w:tcPr>
            <w:tcW w:w="1417" w:type="dxa"/>
          </w:tcPr>
          <w:p w14:paraId="20017AB9" w14:textId="15EC3573"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Economic governance</w:t>
            </w:r>
          </w:p>
        </w:tc>
        <w:tc>
          <w:tcPr>
            <w:tcW w:w="993" w:type="dxa"/>
          </w:tcPr>
          <w:p w14:paraId="73CDDE26" w14:textId="5EAEAF57"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2014</w:t>
            </w:r>
            <w:r w:rsidR="00662E35">
              <w:t>–</w:t>
            </w:r>
            <w:r w:rsidRPr="00F644F8">
              <w:t>17</w:t>
            </w:r>
          </w:p>
        </w:tc>
        <w:tc>
          <w:tcPr>
            <w:tcW w:w="1559" w:type="dxa"/>
          </w:tcPr>
          <w:p w14:paraId="3BD05AEE" w14:textId="6D892B83"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3.6</w:t>
            </w:r>
          </w:p>
        </w:tc>
        <w:tc>
          <w:tcPr>
            <w:tcW w:w="4252" w:type="dxa"/>
          </w:tcPr>
          <w:p w14:paraId="433D3181" w14:textId="6B1DC358" w:rsidR="00B618C9" w:rsidRPr="00F644F8" w:rsidRDefault="00B618C9" w:rsidP="006F265F">
            <w:pPr>
              <w:spacing w:after="160" w:line="259" w:lineRule="auto"/>
              <w:cnfStyle w:val="000000000000" w:firstRow="0" w:lastRow="0" w:firstColumn="0" w:lastColumn="0" w:oddVBand="0" w:evenVBand="0" w:oddHBand="0" w:evenHBand="0" w:firstRowFirstColumn="0" w:firstRowLastColumn="0" w:lastRowFirstColumn="0" w:lastRowLastColumn="0"/>
            </w:pPr>
            <w:r w:rsidRPr="00F644F8">
              <w:t>Support</w:t>
            </w:r>
            <w:r w:rsidR="006F265F">
              <w:t>s the</w:t>
            </w:r>
            <w:r w:rsidRPr="00F644F8">
              <w:t xml:space="preserve"> development of policies, laws and institutions through advocacy, consultation and strengthening the evidence base, drawing on Australian and international experience and expertise. Works with reform champions with access to influential networks and helps to build coalitions for reforms, using a flexible delivery approach.</w:t>
            </w:r>
          </w:p>
        </w:tc>
      </w:tr>
      <w:tr w:rsidR="00B618C9" w:rsidRPr="001B3B93" w14:paraId="02BB40C9"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4D911A1A" w14:textId="2C518E3C" w:rsidR="00B618C9" w:rsidRPr="00805C6E" w:rsidRDefault="00B618C9" w:rsidP="00B618C9">
            <w:r w:rsidRPr="00805C6E">
              <w:t>Australia-World Bank Strategic Partnership in Vietnam, Phases 1 and 2</w:t>
            </w:r>
          </w:p>
        </w:tc>
        <w:tc>
          <w:tcPr>
            <w:tcW w:w="1417" w:type="dxa"/>
          </w:tcPr>
          <w:p w14:paraId="52A34750" w14:textId="4FCA5116"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Economic governance</w:t>
            </w:r>
          </w:p>
        </w:tc>
        <w:tc>
          <w:tcPr>
            <w:tcW w:w="993" w:type="dxa"/>
          </w:tcPr>
          <w:p w14:paraId="1F95A92A" w14:textId="6105C9F6" w:rsidR="00B618C9" w:rsidRPr="00F644F8" w:rsidRDefault="00B618C9" w:rsidP="00B618C9">
            <w:pPr>
              <w:spacing w:after="160" w:line="259" w:lineRule="auto"/>
              <w:cnfStyle w:val="000000000000" w:firstRow="0" w:lastRow="0" w:firstColumn="0" w:lastColumn="0" w:oddVBand="0" w:evenVBand="0" w:oddHBand="0" w:evenHBand="0" w:firstRowFirstColumn="0" w:firstRowLastColumn="0" w:lastRowFirstColumn="0" w:lastRowLastColumn="0"/>
            </w:pPr>
            <w:r w:rsidRPr="00F644F8">
              <w:t>2012</w:t>
            </w:r>
            <w:r w:rsidR="00662E35">
              <w:t>–</w:t>
            </w:r>
            <w:r w:rsidRPr="00F644F8">
              <w:t>16</w:t>
            </w:r>
          </w:p>
          <w:p w14:paraId="5CF3A92B" w14:textId="612F158F"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2016</w:t>
            </w:r>
            <w:r w:rsidR="00662E35">
              <w:t>–</w:t>
            </w:r>
            <w:r w:rsidRPr="00F644F8">
              <w:t>21</w:t>
            </w:r>
          </w:p>
        </w:tc>
        <w:tc>
          <w:tcPr>
            <w:tcW w:w="1559" w:type="dxa"/>
          </w:tcPr>
          <w:p w14:paraId="238E5A88" w14:textId="280181A2" w:rsidR="00B618C9" w:rsidRPr="00F644F8" w:rsidRDefault="00B618C9" w:rsidP="00B618C9">
            <w:pPr>
              <w:spacing w:after="160" w:line="259" w:lineRule="auto"/>
              <w:cnfStyle w:val="000000000000" w:firstRow="0" w:lastRow="0" w:firstColumn="0" w:lastColumn="0" w:oddVBand="0" w:evenVBand="0" w:oddHBand="0" w:evenHBand="0" w:firstRowFirstColumn="0" w:firstRowLastColumn="0" w:lastRowFirstColumn="0" w:lastRowLastColumn="0"/>
            </w:pPr>
            <w:r w:rsidRPr="00F644F8">
              <w:t>30.5</w:t>
            </w:r>
          </w:p>
          <w:p w14:paraId="0AADC00C" w14:textId="3C8D7AF8"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25</w:t>
            </w:r>
          </w:p>
        </w:tc>
        <w:tc>
          <w:tcPr>
            <w:tcW w:w="4252" w:type="dxa"/>
          </w:tcPr>
          <w:p w14:paraId="46AD55A4" w14:textId="15F38470" w:rsidR="00B618C9" w:rsidRPr="00F644F8" w:rsidRDefault="00B618C9" w:rsidP="006718F7">
            <w:pPr>
              <w:cnfStyle w:val="000000000000" w:firstRow="0" w:lastRow="0" w:firstColumn="0" w:lastColumn="0" w:oddVBand="0" w:evenVBand="0" w:oddHBand="0" w:evenHBand="0" w:firstRowFirstColumn="0" w:firstRowLastColumn="0" w:lastRowFirstColumn="0" w:lastRowLastColumn="0"/>
            </w:pPr>
            <w:r w:rsidRPr="00F644F8">
              <w:t>World Bank partnership support</w:t>
            </w:r>
            <w:r w:rsidR="006718F7">
              <w:t>s</w:t>
            </w:r>
            <w:r w:rsidRPr="00F644F8">
              <w:t xml:space="preserve"> </w:t>
            </w:r>
            <w:r w:rsidR="001B3CC9">
              <w:t xml:space="preserve">the </w:t>
            </w:r>
            <w:r w:rsidR="00646E08">
              <w:t xml:space="preserve">Vietnam </w:t>
            </w:r>
            <w:r w:rsidR="00A524B3">
              <w:t>G</w:t>
            </w:r>
            <w:r w:rsidR="001B3CC9">
              <w:t>overnment</w:t>
            </w:r>
            <w:r w:rsidR="00646E08">
              <w:t xml:space="preserve"> </w:t>
            </w:r>
            <w:r w:rsidRPr="00F644F8">
              <w:t xml:space="preserve">with analytical and advisory work in critical policy and reform agendas. </w:t>
            </w:r>
            <w:r w:rsidR="001B3CC9">
              <w:t>It includes t</w:t>
            </w:r>
            <w:r w:rsidRPr="00F644F8">
              <w:t xml:space="preserve">echnical assistance to support </w:t>
            </w:r>
            <w:r w:rsidR="001B3CC9">
              <w:t xml:space="preserve">World Bank </w:t>
            </w:r>
            <w:r w:rsidRPr="00F644F8">
              <w:t xml:space="preserve">lending operations, leading to better program preparation, implementation and evaluation. The new phase offers research, analysis, policy dialogue and technical assistance under </w:t>
            </w:r>
            <w:r w:rsidR="001B3CC9">
              <w:t xml:space="preserve">five </w:t>
            </w:r>
            <w:r w:rsidRPr="00F644F8">
              <w:t>themes</w:t>
            </w:r>
            <w:r w:rsidR="00525313">
              <w:t>—</w:t>
            </w:r>
            <w:r w:rsidRPr="00F644F8">
              <w:t>trade and competitiveness</w:t>
            </w:r>
            <w:r w:rsidR="00525313">
              <w:t>,</w:t>
            </w:r>
            <w:r w:rsidRPr="00F644F8">
              <w:t xml:space="preserve"> transport</w:t>
            </w:r>
            <w:r w:rsidR="00525313">
              <w:t>,</w:t>
            </w:r>
            <w:r w:rsidRPr="00F644F8">
              <w:t xml:space="preserve"> Mekong Delta climate resilience</w:t>
            </w:r>
            <w:r w:rsidR="00525313">
              <w:t>,</w:t>
            </w:r>
            <w:r w:rsidRPr="00F644F8">
              <w:t xml:space="preserve"> gender</w:t>
            </w:r>
            <w:r w:rsidR="00525313">
              <w:t>,</w:t>
            </w:r>
            <w:r w:rsidRPr="00F644F8">
              <w:t xml:space="preserve"> ethnic minorities.</w:t>
            </w:r>
          </w:p>
        </w:tc>
      </w:tr>
      <w:tr w:rsidR="00B618C9" w:rsidRPr="001B3B93" w14:paraId="2A81CDFE"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00F24781" w14:textId="1B793251" w:rsidR="00B618C9" w:rsidRPr="00805C6E" w:rsidRDefault="00B618C9" w:rsidP="00B618C9">
            <w:r w:rsidRPr="00805C6E">
              <w:t>Cao Lanh Bridge</w:t>
            </w:r>
          </w:p>
        </w:tc>
        <w:tc>
          <w:tcPr>
            <w:tcW w:w="1417" w:type="dxa"/>
          </w:tcPr>
          <w:p w14:paraId="69ADD9A1" w14:textId="138C1D14"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Infrastructure</w:t>
            </w:r>
          </w:p>
        </w:tc>
        <w:tc>
          <w:tcPr>
            <w:tcW w:w="993" w:type="dxa"/>
          </w:tcPr>
          <w:p w14:paraId="4D82F76A" w14:textId="00BA64F6" w:rsidR="00B618C9" w:rsidRPr="00F644F8" w:rsidRDefault="00B618C9" w:rsidP="00B618C9">
            <w:pPr>
              <w:cnfStyle w:val="000000000000" w:firstRow="0" w:lastRow="0" w:firstColumn="0" w:lastColumn="0" w:oddVBand="0" w:evenVBand="0" w:oddHBand="0" w:evenHBand="0" w:firstRowFirstColumn="0" w:firstRowLastColumn="0" w:lastRowFirstColumn="0" w:lastRowLastColumn="0"/>
            </w:pPr>
            <w:r w:rsidRPr="00F644F8">
              <w:t>2011</w:t>
            </w:r>
            <w:r w:rsidR="00662E35">
              <w:t>–</w:t>
            </w:r>
            <w:r w:rsidRPr="00F644F8">
              <w:t>18</w:t>
            </w:r>
          </w:p>
        </w:tc>
        <w:tc>
          <w:tcPr>
            <w:tcW w:w="1559" w:type="dxa"/>
          </w:tcPr>
          <w:p w14:paraId="345A8177" w14:textId="6A8A7F4D" w:rsidR="00B618C9" w:rsidRPr="00F644F8" w:rsidRDefault="00B618C9" w:rsidP="00A439B4">
            <w:pPr>
              <w:cnfStyle w:val="000000000000" w:firstRow="0" w:lastRow="0" w:firstColumn="0" w:lastColumn="0" w:oddVBand="0" w:evenVBand="0" w:oddHBand="0" w:evenHBand="0" w:firstRowFirstColumn="0" w:firstRowLastColumn="0" w:lastRowFirstColumn="0" w:lastRowLastColumn="0"/>
            </w:pPr>
            <w:r w:rsidRPr="00F644F8">
              <w:t>160</w:t>
            </w:r>
          </w:p>
        </w:tc>
        <w:tc>
          <w:tcPr>
            <w:tcW w:w="4252" w:type="dxa"/>
          </w:tcPr>
          <w:p w14:paraId="0F25718C" w14:textId="52C40701" w:rsidR="00B618C9" w:rsidRPr="00F644F8" w:rsidRDefault="00B618C9" w:rsidP="006718F7">
            <w:pPr>
              <w:cnfStyle w:val="000000000000" w:firstRow="0" w:lastRow="0" w:firstColumn="0" w:lastColumn="0" w:oddVBand="0" w:evenVBand="0" w:oddHBand="0" w:evenHBand="0" w:firstRowFirstColumn="0" w:firstRowLastColumn="0" w:lastRowFirstColumn="0" w:lastRowLastColumn="0"/>
            </w:pPr>
            <w:r w:rsidRPr="00F644F8">
              <w:t xml:space="preserve">In addition to the construction of the bridge to high technical standards, the program includes technical assistance, demonstration </w:t>
            </w:r>
            <w:r w:rsidRPr="00F644F8">
              <w:lastRenderedPageBreak/>
              <w:t>models on good practice in infrastructure development and policy dialogue.</w:t>
            </w:r>
          </w:p>
        </w:tc>
      </w:tr>
      <w:tr w:rsidR="00B618C9" w:rsidRPr="001B3B93" w14:paraId="6168613D" w14:textId="77777777" w:rsidTr="00785A40">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C1E7E0" w:themeFill="background2" w:themeFillTint="66"/>
          </w:tcPr>
          <w:p w14:paraId="638ADDB5" w14:textId="07EA5F4C" w:rsidR="00B618C9" w:rsidRPr="001B3B93" w:rsidRDefault="0083323F" w:rsidP="00785A40">
            <w:pPr>
              <w:rPr>
                <w:b/>
                <w:bCs/>
                <w:color w:val="FFFFFF" w:themeColor="background1"/>
              </w:rPr>
            </w:pPr>
            <w:r>
              <w:rPr>
                <w:b/>
                <w:bCs/>
                <w:color w:val="808080" w:themeColor="background1" w:themeShade="80"/>
              </w:rPr>
              <w:lastRenderedPageBreak/>
              <w:t>ASEAN and Mekong program</w:t>
            </w:r>
          </w:p>
        </w:tc>
      </w:tr>
      <w:tr w:rsidR="0083323F" w:rsidRPr="001B3B93" w14:paraId="4C75FD3C"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474EC36B" w14:textId="1DEFFD52" w:rsidR="0083323F" w:rsidRPr="0083323F" w:rsidRDefault="0083323F" w:rsidP="0083323F">
            <w:r w:rsidRPr="00805C6E">
              <w:t>ASEAN-Australia Development Cooperation Program Phase 2</w:t>
            </w:r>
          </w:p>
        </w:tc>
        <w:tc>
          <w:tcPr>
            <w:tcW w:w="1417" w:type="dxa"/>
          </w:tcPr>
          <w:p w14:paraId="33ABB058" w14:textId="1AD601EA"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Economic cooperation</w:t>
            </w:r>
          </w:p>
        </w:tc>
        <w:tc>
          <w:tcPr>
            <w:tcW w:w="993" w:type="dxa"/>
          </w:tcPr>
          <w:p w14:paraId="5C98FCF4" w14:textId="56496164"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2008</w:t>
            </w:r>
            <w:r w:rsidR="00525313">
              <w:t>–</w:t>
            </w:r>
            <w:r w:rsidRPr="00F644F8">
              <w:t>19</w:t>
            </w:r>
          </w:p>
        </w:tc>
        <w:tc>
          <w:tcPr>
            <w:tcW w:w="1559" w:type="dxa"/>
          </w:tcPr>
          <w:p w14:paraId="742D0670" w14:textId="39B645AD"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57</w:t>
            </w:r>
          </w:p>
        </w:tc>
        <w:tc>
          <w:tcPr>
            <w:tcW w:w="4252" w:type="dxa"/>
          </w:tcPr>
          <w:p w14:paraId="7E5CE2CE" w14:textId="334B75C0"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 xml:space="preserve">A partnership program between Australia and ASEAN that supports implementation of the ASEAN Economic Community through economic research and policy advice in priority sectors, including investment, trade in services, consumer protection, connectivity and financial integration. </w:t>
            </w:r>
          </w:p>
        </w:tc>
      </w:tr>
      <w:tr w:rsidR="0083323F" w:rsidRPr="001B3B93" w14:paraId="1856A12E" w14:textId="77777777" w:rsidTr="00805C6E">
        <w:tc>
          <w:tcPr>
            <w:cnfStyle w:val="001000000000" w:firstRow="0" w:lastRow="0" w:firstColumn="1" w:lastColumn="0" w:oddVBand="0" w:evenVBand="0" w:oddHBand="0" w:evenHBand="0" w:firstRowFirstColumn="0" w:firstRowLastColumn="0" w:lastRowFirstColumn="0" w:lastRowLastColumn="0"/>
            <w:tcW w:w="2552" w:type="dxa"/>
          </w:tcPr>
          <w:p w14:paraId="0CD2C5C8" w14:textId="70F1175F" w:rsidR="0083323F" w:rsidRPr="0083323F" w:rsidRDefault="0083323F" w:rsidP="0083323F">
            <w:r w:rsidRPr="00805C6E">
              <w:t>ASEAN Australia New Zealand Free Trade Agreement (AANZFTA) Economic Cooperation Support Program</w:t>
            </w:r>
          </w:p>
        </w:tc>
        <w:tc>
          <w:tcPr>
            <w:tcW w:w="1417" w:type="dxa"/>
          </w:tcPr>
          <w:p w14:paraId="0CFA453A" w14:textId="6C1A826F"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Economic cooperation</w:t>
            </w:r>
          </w:p>
        </w:tc>
        <w:tc>
          <w:tcPr>
            <w:tcW w:w="993" w:type="dxa"/>
          </w:tcPr>
          <w:p w14:paraId="783E850E" w14:textId="32A3C744"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2010</w:t>
            </w:r>
            <w:r w:rsidR="00525313">
              <w:t>–</w:t>
            </w:r>
            <w:r w:rsidRPr="00F644F8">
              <w:t>18</w:t>
            </w:r>
          </w:p>
        </w:tc>
        <w:tc>
          <w:tcPr>
            <w:tcW w:w="1559" w:type="dxa"/>
          </w:tcPr>
          <w:p w14:paraId="118352C4" w14:textId="120DD662" w:rsidR="0083323F" w:rsidRPr="001B3B93" w:rsidRDefault="0083323F" w:rsidP="00A439B4">
            <w:pPr>
              <w:cnfStyle w:val="000000000000" w:firstRow="0" w:lastRow="0" w:firstColumn="0" w:lastColumn="0" w:oddVBand="0" w:evenVBand="0" w:oddHBand="0" w:evenHBand="0" w:firstRowFirstColumn="0" w:firstRowLastColumn="0" w:lastRowFirstColumn="0" w:lastRowLastColumn="0"/>
            </w:pPr>
            <w:r w:rsidRPr="00F644F8">
              <w:t>26.5</w:t>
            </w:r>
          </w:p>
        </w:tc>
        <w:tc>
          <w:tcPr>
            <w:tcW w:w="4252" w:type="dxa"/>
          </w:tcPr>
          <w:p w14:paraId="760AD33C" w14:textId="1EAE7A5A"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 xml:space="preserve">Support for ASEAN countries to maximise the benefits of the AANZFTA, which includes implementing its commitments, promoting business utilisation of its opportunities and advancing economic integration. </w:t>
            </w:r>
          </w:p>
        </w:tc>
      </w:tr>
      <w:tr w:rsidR="0083323F" w:rsidRPr="001B3B93" w14:paraId="32399989"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1BB5942C" w14:textId="26989967" w:rsidR="0083323F" w:rsidRPr="0083323F" w:rsidRDefault="0083323F" w:rsidP="0083323F">
            <w:r w:rsidRPr="00805C6E">
              <w:t>Mekong Business Initiative</w:t>
            </w:r>
          </w:p>
        </w:tc>
        <w:tc>
          <w:tcPr>
            <w:tcW w:w="1417" w:type="dxa"/>
          </w:tcPr>
          <w:p w14:paraId="20021AB4" w14:textId="4741BB91"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Business environment</w:t>
            </w:r>
          </w:p>
        </w:tc>
        <w:tc>
          <w:tcPr>
            <w:tcW w:w="993" w:type="dxa"/>
          </w:tcPr>
          <w:p w14:paraId="0BC72025" w14:textId="4FFF77A4"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2013</w:t>
            </w:r>
            <w:r w:rsidR="00525313">
              <w:t>–</w:t>
            </w:r>
            <w:r w:rsidRPr="00F644F8">
              <w:t>18</w:t>
            </w:r>
          </w:p>
        </w:tc>
        <w:tc>
          <w:tcPr>
            <w:tcW w:w="1559" w:type="dxa"/>
          </w:tcPr>
          <w:p w14:paraId="7128DA1E" w14:textId="1680C08C"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13.8</w:t>
            </w:r>
          </w:p>
        </w:tc>
        <w:tc>
          <w:tcPr>
            <w:tcW w:w="4252" w:type="dxa"/>
          </w:tcPr>
          <w:p w14:paraId="4744B752" w14:textId="017B1503" w:rsidR="0083323F" w:rsidRPr="001B3B93" w:rsidRDefault="0083323F" w:rsidP="0083323F">
            <w:pPr>
              <w:cnfStyle w:val="000000000000" w:firstRow="0" w:lastRow="0" w:firstColumn="0" w:lastColumn="0" w:oddVBand="0" w:evenVBand="0" w:oddHBand="0" w:evenHBand="0" w:firstRowFirstColumn="0" w:firstRowLastColumn="0" w:lastRowFirstColumn="0" w:lastRowLastColumn="0"/>
            </w:pPr>
            <w:r w:rsidRPr="00F644F8">
              <w:t>Joint program with the Asian Development Bank to promote private sector development in Cambodia, Laos, Myanmar and Vietnam, focusing on the business environment, access to finance and innovation, with additional support for young entrepreneurs, especially women.</w:t>
            </w:r>
          </w:p>
        </w:tc>
      </w:tr>
      <w:tr w:rsidR="0083323F" w:rsidRPr="001B3B93" w14:paraId="2F283714"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23AA29E3" w14:textId="34D5C100" w:rsidR="0083323F" w:rsidRPr="00805C6E" w:rsidRDefault="0083323F" w:rsidP="0083323F">
            <w:r w:rsidRPr="00805C6E">
              <w:t>Shaping Inclusive Finance Transformations (SHIFT) in ASEAN</w:t>
            </w:r>
          </w:p>
        </w:tc>
        <w:tc>
          <w:tcPr>
            <w:tcW w:w="1417" w:type="dxa"/>
          </w:tcPr>
          <w:p w14:paraId="5215B777" w14:textId="0759E276"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 xml:space="preserve">Financial inclusion </w:t>
            </w:r>
          </w:p>
        </w:tc>
        <w:tc>
          <w:tcPr>
            <w:tcW w:w="993" w:type="dxa"/>
          </w:tcPr>
          <w:p w14:paraId="262C2D71" w14:textId="22A6A586"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2014</w:t>
            </w:r>
            <w:r w:rsidR="00525313">
              <w:t>–</w:t>
            </w:r>
            <w:r w:rsidRPr="00F644F8">
              <w:t>18</w:t>
            </w:r>
          </w:p>
        </w:tc>
        <w:tc>
          <w:tcPr>
            <w:tcW w:w="1559" w:type="dxa"/>
          </w:tcPr>
          <w:p w14:paraId="07D82065" w14:textId="70A17829" w:rsidR="0083323F" w:rsidRPr="00F644F8" w:rsidRDefault="0083323F" w:rsidP="00A439B4">
            <w:pPr>
              <w:cnfStyle w:val="000000000000" w:firstRow="0" w:lastRow="0" w:firstColumn="0" w:lastColumn="0" w:oddVBand="0" w:evenVBand="0" w:oddHBand="0" w:evenHBand="0" w:firstRowFirstColumn="0" w:firstRowLastColumn="0" w:lastRowFirstColumn="0" w:lastRowLastColumn="0"/>
            </w:pPr>
            <w:r w:rsidRPr="00F644F8">
              <w:t>9.9</w:t>
            </w:r>
          </w:p>
        </w:tc>
        <w:tc>
          <w:tcPr>
            <w:tcW w:w="4252" w:type="dxa"/>
          </w:tcPr>
          <w:p w14:paraId="095F7C17" w14:textId="49E6CEA6"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Partnership with the United Nations Capital Development Fund to support low-income people, particularly women, access and use well-regulated and affordable financial products and services for productive activities. Combination of private sector challenge funds, data mapping of national financial inclusion; regional (ASEAN) and national policy advocacy; and capacity building of financial service providers to be more inclusive across Cambodia, Laos, Myanmar and Vietnam.</w:t>
            </w:r>
          </w:p>
        </w:tc>
      </w:tr>
      <w:tr w:rsidR="0083323F" w:rsidRPr="001B3B93" w14:paraId="36E24A80" w14:textId="77777777" w:rsidTr="0083323F">
        <w:tc>
          <w:tcPr>
            <w:cnfStyle w:val="001000000000" w:firstRow="0" w:lastRow="0" w:firstColumn="1" w:lastColumn="0" w:oddVBand="0" w:evenVBand="0" w:oddHBand="0" w:evenHBand="0" w:firstRowFirstColumn="0" w:firstRowLastColumn="0" w:lastRowFirstColumn="0" w:lastRowLastColumn="0"/>
            <w:tcW w:w="2552" w:type="dxa"/>
          </w:tcPr>
          <w:p w14:paraId="318F4259" w14:textId="2250D0CA" w:rsidR="0083323F" w:rsidRPr="00805C6E" w:rsidRDefault="0083323F" w:rsidP="0083323F">
            <w:r w:rsidRPr="00805C6E">
              <w:t>Greater Mekong Sub-region Trade and Transport Facilitation (GMS TTF) Program</w:t>
            </w:r>
          </w:p>
        </w:tc>
        <w:tc>
          <w:tcPr>
            <w:tcW w:w="1417" w:type="dxa"/>
          </w:tcPr>
          <w:p w14:paraId="5FF10C7F" w14:textId="1166A961"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Trade facilitation</w:t>
            </w:r>
          </w:p>
        </w:tc>
        <w:tc>
          <w:tcPr>
            <w:tcW w:w="993" w:type="dxa"/>
          </w:tcPr>
          <w:p w14:paraId="3D795EDF" w14:textId="0E40116F"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2011</w:t>
            </w:r>
            <w:r w:rsidR="00525313">
              <w:t>–</w:t>
            </w:r>
            <w:r w:rsidRPr="00F644F8">
              <w:t>17</w:t>
            </w:r>
          </w:p>
        </w:tc>
        <w:tc>
          <w:tcPr>
            <w:tcW w:w="1559" w:type="dxa"/>
          </w:tcPr>
          <w:p w14:paraId="743958B7" w14:textId="718100D4"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6</w:t>
            </w:r>
          </w:p>
        </w:tc>
        <w:tc>
          <w:tcPr>
            <w:tcW w:w="4252" w:type="dxa"/>
          </w:tcPr>
          <w:p w14:paraId="570D5E2A" w14:textId="615FAA4F" w:rsidR="0083323F" w:rsidRPr="00F644F8" w:rsidRDefault="0083323F" w:rsidP="0083323F">
            <w:pPr>
              <w:cnfStyle w:val="000000000000" w:firstRow="0" w:lastRow="0" w:firstColumn="0" w:lastColumn="0" w:oddVBand="0" w:evenVBand="0" w:oddHBand="0" w:evenHBand="0" w:firstRowFirstColumn="0" w:firstRowLastColumn="0" w:lastRowFirstColumn="0" w:lastRowLastColumn="0"/>
            </w:pPr>
            <w:r w:rsidRPr="00F644F8">
              <w:t>Partnership with the Asian Development Bank to provide technical assistance to improve cross-border trade between Cambodia, Laos, Myanmar, Vietnam, Thailand and China.</w:t>
            </w:r>
          </w:p>
        </w:tc>
      </w:tr>
    </w:tbl>
    <w:p w14:paraId="7131901C" w14:textId="094F1DDC" w:rsidR="00A439B4" w:rsidRDefault="00A439B4"/>
    <w:p w14:paraId="3B3944E2" w14:textId="77777777" w:rsidR="00A439B4" w:rsidRDefault="00A439B4">
      <w:r>
        <w:br w:type="page"/>
      </w:r>
    </w:p>
    <w:p w14:paraId="657346C5" w14:textId="076CAB8A" w:rsidR="00ED22DE" w:rsidRPr="00B224DF" w:rsidRDefault="00ED22DE" w:rsidP="00ED22DE">
      <w:pPr>
        <w:pStyle w:val="Heading1"/>
        <w:spacing w:after="160" w:line="240" w:lineRule="auto"/>
      </w:pPr>
      <w:bookmarkStart w:id="101" w:name="_Toc527713015"/>
      <w:r w:rsidRPr="00B224DF">
        <w:lastRenderedPageBreak/>
        <w:t xml:space="preserve">Annex B: </w:t>
      </w:r>
      <w:r>
        <w:t>References</w:t>
      </w:r>
      <w:bookmarkEnd w:id="101"/>
    </w:p>
    <w:p w14:paraId="126EE310" w14:textId="77777777" w:rsidR="00ED22DE" w:rsidRDefault="00ED22DE" w:rsidP="00ED22DE">
      <w:pPr>
        <w:pStyle w:val="BodyText"/>
        <w:spacing w:after="120" w:line="240" w:lineRule="auto"/>
        <w:ind w:left="357"/>
        <w:rPr>
          <w:rFonts w:asciiTheme="majorHAnsi" w:hAnsiTheme="majorHAnsi"/>
          <w:sz w:val="24"/>
        </w:rPr>
      </w:pPr>
      <w:r w:rsidRPr="00F27E79">
        <w:rPr>
          <w:rFonts w:asciiTheme="majorHAnsi" w:hAnsiTheme="majorHAnsi"/>
          <w:sz w:val="24"/>
        </w:rPr>
        <w:t xml:space="preserve">Australian Indonesia Partnership for Economic Governance (AIPEG) 2017, </w:t>
      </w:r>
      <w:r w:rsidRPr="00F27E79">
        <w:rPr>
          <w:rFonts w:asciiTheme="majorHAnsi" w:hAnsiTheme="majorHAnsi"/>
          <w:i/>
          <w:sz w:val="24"/>
        </w:rPr>
        <w:t>Evaluating AIPEG 2009–2017: Summary Report</w:t>
      </w:r>
      <w:r w:rsidRPr="00F27E79">
        <w:rPr>
          <w:rFonts w:asciiTheme="majorHAnsi" w:hAnsiTheme="majorHAnsi"/>
          <w:sz w:val="24"/>
        </w:rPr>
        <w:t>,</w:t>
      </w:r>
      <w:r>
        <w:rPr>
          <w:rFonts w:asciiTheme="majorHAnsi" w:hAnsiTheme="majorHAnsi"/>
          <w:sz w:val="24"/>
        </w:rPr>
        <w:t xml:space="preserve"> Australian Government</w:t>
      </w:r>
      <w:r w:rsidRPr="00F27E79">
        <w:rPr>
          <w:rFonts w:asciiTheme="majorHAnsi" w:hAnsiTheme="majorHAnsi"/>
          <w:sz w:val="24"/>
        </w:rPr>
        <w:t>, Canberra.</w:t>
      </w:r>
    </w:p>
    <w:p w14:paraId="43099B14" w14:textId="5463AE1B"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AIPEG 2017, </w:t>
      </w:r>
      <w:r>
        <w:rPr>
          <w:rFonts w:asciiTheme="majorHAnsi" w:hAnsiTheme="majorHAnsi"/>
          <w:i/>
          <w:sz w:val="24"/>
        </w:rPr>
        <w:t>Evaluating AIPEG 2009–2017—Part B: The Case Studies</w:t>
      </w:r>
      <w:r>
        <w:rPr>
          <w:rFonts w:asciiTheme="majorHAnsi" w:hAnsiTheme="majorHAnsi"/>
          <w:sz w:val="24"/>
        </w:rPr>
        <w:t>, DFAT, Canberra</w:t>
      </w:r>
      <w:r w:rsidRPr="00F27E79">
        <w:rPr>
          <w:rFonts w:asciiTheme="majorHAnsi" w:hAnsiTheme="majorHAnsi"/>
          <w:sz w:val="24"/>
        </w:rPr>
        <w:t xml:space="preserve"> (</w:t>
      </w:r>
      <w:r w:rsidR="009A65C3">
        <w:rPr>
          <w:rFonts w:asciiTheme="majorHAnsi" w:hAnsiTheme="majorHAnsi"/>
          <w:sz w:val="24"/>
        </w:rPr>
        <w:t>u</w:t>
      </w:r>
      <w:r w:rsidRPr="00F27E79">
        <w:rPr>
          <w:rFonts w:asciiTheme="majorHAnsi" w:hAnsiTheme="majorHAnsi"/>
          <w:sz w:val="24"/>
        </w:rPr>
        <w:t>npublished</w:t>
      </w:r>
      <w:r>
        <w:rPr>
          <w:rFonts w:asciiTheme="majorHAnsi" w:hAnsiTheme="majorHAnsi"/>
          <w:sz w:val="24"/>
        </w:rPr>
        <w:t>)</w:t>
      </w:r>
      <w:r w:rsidR="009A65C3">
        <w:rPr>
          <w:rFonts w:asciiTheme="majorHAnsi" w:hAnsiTheme="majorHAnsi"/>
          <w:sz w:val="24"/>
        </w:rPr>
        <w:t>.</w:t>
      </w:r>
    </w:p>
    <w:p w14:paraId="628F25EE"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Bridges, K and Woolcock, M 2017, ‘</w:t>
      </w:r>
      <w:r w:rsidRPr="00BC77A9">
        <w:rPr>
          <w:rFonts w:asciiTheme="majorHAnsi" w:hAnsiTheme="majorHAnsi"/>
          <w:sz w:val="24"/>
        </w:rPr>
        <w:t>Now (</w:t>
      </w:r>
      <w:r>
        <w:rPr>
          <w:rFonts w:asciiTheme="majorHAnsi" w:hAnsiTheme="majorHAnsi"/>
          <w:sz w:val="24"/>
        </w:rPr>
        <w:t>n</w:t>
      </w:r>
      <w:r w:rsidRPr="00BC77A9">
        <w:rPr>
          <w:rFonts w:asciiTheme="majorHAnsi" w:hAnsiTheme="majorHAnsi"/>
          <w:sz w:val="24"/>
        </w:rPr>
        <w:t xml:space="preserve">ot) to </w:t>
      </w:r>
      <w:r>
        <w:rPr>
          <w:rFonts w:asciiTheme="majorHAnsi" w:hAnsiTheme="majorHAnsi"/>
          <w:sz w:val="24"/>
        </w:rPr>
        <w:t>f</w:t>
      </w:r>
      <w:r w:rsidRPr="00BC77A9">
        <w:rPr>
          <w:rFonts w:asciiTheme="majorHAnsi" w:hAnsiTheme="majorHAnsi"/>
          <w:sz w:val="24"/>
        </w:rPr>
        <w:t xml:space="preserve">ix </w:t>
      </w:r>
      <w:r>
        <w:rPr>
          <w:rFonts w:asciiTheme="majorHAnsi" w:hAnsiTheme="majorHAnsi"/>
          <w:sz w:val="24"/>
        </w:rPr>
        <w:t>p</w:t>
      </w:r>
      <w:r w:rsidRPr="00BC77A9">
        <w:rPr>
          <w:rFonts w:asciiTheme="majorHAnsi" w:hAnsiTheme="majorHAnsi"/>
          <w:sz w:val="24"/>
        </w:rPr>
        <w:t xml:space="preserve">roblems that </w:t>
      </w:r>
      <w:r>
        <w:rPr>
          <w:rFonts w:asciiTheme="majorHAnsi" w:hAnsiTheme="majorHAnsi"/>
          <w:sz w:val="24"/>
        </w:rPr>
        <w:t>m</w:t>
      </w:r>
      <w:r w:rsidRPr="00BC77A9">
        <w:rPr>
          <w:rFonts w:asciiTheme="majorHAnsi" w:hAnsiTheme="majorHAnsi"/>
          <w:sz w:val="24"/>
        </w:rPr>
        <w:t xml:space="preserve">atter: </w:t>
      </w:r>
      <w:r>
        <w:rPr>
          <w:rFonts w:asciiTheme="majorHAnsi" w:hAnsiTheme="majorHAnsi"/>
          <w:sz w:val="24"/>
        </w:rPr>
        <w:t>a</w:t>
      </w:r>
      <w:r w:rsidRPr="00BC77A9">
        <w:rPr>
          <w:rFonts w:asciiTheme="majorHAnsi" w:hAnsiTheme="majorHAnsi"/>
          <w:sz w:val="24"/>
        </w:rPr>
        <w:t xml:space="preserve">ssessing and </w:t>
      </w:r>
      <w:r>
        <w:rPr>
          <w:rFonts w:asciiTheme="majorHAnsi" w:hAnsiTheme="majorHAnsi"/>
          <w:sz w:val="24"/>
        </w:rPr>
        <w:t>r</w:t>
      </w:r>
      <w:r w:rsidRPr="00BC77A9">
        <w:rPr>
          <w:rFonts w:asciiTheme="majorHAnsi" w:hAnsiTheme="majorHAnsi"/>
          <w:sz w:val="24"/>
        </w:rPr>
        <w:t xml:space="preserve">esponding to Malawi’s </w:t>
      </w:r>
      <w:r>
        <w:rPr>
          <w:rFonts w:asciiTheme="majorHAnsi" w:hAnsiTheme="majorHAnsi"/>
          <w:sz w:val="24"/>
        </w:rPr>
        <w:t>h</w:t>
      </w:r>
      <w:r w:rsidRPr="00BC77A9">
        <w:rPr>
          <w:rFonts w:asciiTheme="majorHAnsi" w:hAnsiTheme="majorHAnsi"/>
          <w:sz w:val="24"/>
        </w:rPr>
        <w:t xml:space="preserve">istory of </w:t>
      </w:r>
      <w:r>
        <w:rPr>
          <w:rFonts w:asciiTheme="majorHAnsi" w:hAnsiTheme="majorHAnsi"/>
          <w:sz w:val="24"/>
        </w:rPr>
        <w:t>i</w:t>
      </w:r>
      <w:r w:rsidRPr="00BC77A9">
        <w:rPr>
          <w:rFonts w:asciiTheme="majorHAnsi" w:hAnsiTheme="majorHAnsi"/>
          <w:sz w:val="24"/>
        </w:rPr>
        <w:t xml:space="preserve">nstitutional </w:t>
      </w:r>
      <w:r>
        <w:rPr>
          <w:rFonts w:asciiTheme="majorHAnsi" w:hAnsiTheme="majorHAnsi"/>
          <w:sz w:val="24"/>
        </w:rPr>
        <w:t>r</w:t>
      </w:r>
      <w:r w:rsidRPr="00BC77A9">
        <w:rPr>
          <w:rFonts w:asciiTheme="majorHAnsi" w:hAnsiTheme="majorHAnsi"/>
          <w:sz w:val="24"/>
        </w:rPr>
        <w:t>eform</w:t>
      </w:r>
      <w:r>
        <w:rPr>
          <w:rFonts w:asciiTheme="majorHAnsi" w:hAnsiTheme="majorHAnsi"/>
          <w:sz w:val="24"/>
        </w:rPr>
        <w:t>,’ World Bank Policy Research Working Paper, no. 8289.</w:t>
      </w:r>
    </w:p>
    <w:p w14:paraId="28AF093C" w14:textId="50B02ED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Center for Global Development 2017, </w:t>
      </w:r>
      <w:r>
        <w:rPr>
          <w:rFonts w:asciiTheme="majorHAnsi" w:hAnsiTheme="majorHAnsi"/>
          <w:i/>
          <w:sz w:val="24"/>
        </w:rPr>
        <w:t>The Commitment to Development Index</w:t>
      </w:r>
      <w:r w:rsidR="009A65C3">
        <w:rPr>
          <w:rFonts w:asciiTheme="majorHAnsi" w:hAnsiTheme="majorHAnsi"/>
          <w:sz w:val="24"/>
        </w:rPr>
        <w:t>.</w:t>
      </w:r>
      <w:r>
        <w:rPr>
          <w:rFonts w:asciiTheme="majorHAnsi" w:hAnsiTheme="majorHAnsi"/>
          <w:sz w:val="24"/>
        </w:rPr>
        <w:t xml:space="preserve"> </w:t>
      </w:r>
      <w:hyperlink r:id="rId31" w:history="1">
        <w:r w:rsidRPr="00822172">
          <w:rPr>
            <w:rStyle w:val="Hyperlink"/>
            <w:rFonts w:asciiTheme="majorHAnsi" w:hAnsiTheme="majorHAnsi"/>
            <w:sz w:val="24"/>
          </w:rPr>
          <w:t>https://www.cgdev.org/commitment-development-index-2017</w:t>
        </w:r>
      </w:hyperlink>
      <w:r w:rsidRPr="00D91AE5">
        <w:rPr>
          <w:rFonts w:asciiTheme="majorHAnsi" w:hAnsiTheme="majorHAnsi"/>
          <w:sz w:val="24"/>
        </w:rPr>
        <w:t xml:space="preserve"> </w:t>
      </w:r>
    </w:p>
    <w:p w14:paraId="5E01FA3E"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Cornish, L 2017, </w:t>
      </w:r>
      <w:r>
        <w:rPr>
          <w:rFonts w:asciiTheme="majorHAnsi" w:hAnsiTheme="majorHAnsi"/>
          <w:i/>
          <w:sz w:val="24"/>
        </w:rPr>
        <w:t>Australian aid’s innovative approach to education in Indonesia</w:t>
      </w:r>
      <w:r>
        <w:rPr>
          <w:rFonts w:asciiTheme="majorHAnsi" w:hAnsiTheme="majorHAnsi"/>
          <w:sz w:val="24"/>
        </w:rPr>
        <w:t>, devex, 16 November.</w:t>
      </w:r>
    </w:p>
    <w:p w14:paraId="0CEA0640"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Cole, W n.d., </w:t>
      </w:r>
      <w:r w:rsidRPr="00633A55">
        <w:rPr>
          <w:rFonts w:asciiTheme="majorHAnsi" w:hAnsiTheme="majorHAnsi"/>
          <w:i/>
          <w:sz w:val="24"/>
        </w:rPr>
        <w:t xml:space="preserve">Advanced </w:t>
      </w:r>
      <w:r>
        <w:rPr>
          <w:rFonts w:asciiTheme="majorHAnsi" w:hAnsiTheme="majorHAnsi"/>
          <w:i/>
          <w:sz w:val="24"/>
        </w:rPr>
        <w:t>m</w:t>
      </w:r>
      <w:r w:rsidRPr="00633A55">
        <w:rPr>
          <w:rFonts w:asciiTheme="majorHAnsi" w:hAnsiTheme="majorHAnsi"/>
          <w:i/>
          <w:sz w:val="24"/>
        </w:rPr>
        <w:t xml:space="preserve">iddle </w:t>
      </w:r>
      <w:r>
        <w:rPr>
          <w:rFonts w:asciiTheme="majorHAnsi" w:hAnsiTheme="majorHAnsi"/>
          <w:i/>
          <w:sz w:val="24"/>
        </w:rPr>
        <w:t>i</w:t>
      </w:r>
      <w:r w:rsidRPr="00633A55">
        <w:rPr>
          <w:rFonts w:asciiTheme="majorHAnsi" w:hAnsiTheme="majorHAnsi"/>
          <w:i/>
          <w:sz w:val="24"/>
        </w:rPr>
        <w:t xml:space="preserve">ncome </w:t>
      </w:r>
      <w:r>
        <w:rPr>
          <w:rFonts w:asciiTheme="majorHAnsi" w:hAnsiTheme="majorHAnsi"/>
          <w:i/>
          <w:sz w:val="24"/>
        </w:rPr>
        <w:t>c</w:t>
      </w:r>
      <w:r w:rsidRPr="00633A55">
        <w:rPr>
          <w:rFonts w:asciiTheme="majorHAnsi" w:hAnsiTheme="majorHAnsi"/>
          <w:i/>
          <w:sz w:val="24"/>
        </w:rPr>
        <w:t xml:space="preserve">ountries in Asia: </w:t>
      </w:r>
      <w:r>
        <w:rPr>
          <w:rFonts w:asciiTheme="majorHAnsi" w:hAnsiTheme="majorHAnsi"/>
          <w:i/>
          <w:sz w:val="24"/>
        </w:rPr>
        <w:t>c</w:t>
      </w:r>
      <w:r w:rsidRPr="00633A55">
        <w:rPr>
          <w:rFonts w:asciiTheme="majorHAnsi" w:hAnsiTheme="majorHAnsi"/>
          <w:i/>
          <w:sz w:val="24"/>
        </w:rPr>
        <w:t xml:space="preserve">hallenges and </w:t>
      </w:r>
      <w:r>
        <w:rPr>
          <w:rFonts w:asciiTheme="majorHAnsi" w:hAnsiTheme="majorHAnsi"/>
          <w:i/>
          <w:sz w:val="24"/>
        </w:rPr>
        <w:t>o</w:t>
      </w:r>
      <w:r w:rsidRPr="00633A55">
        <w:rPr>
          <w:rFonts w:asciiTheme="majorHAnsi" w:hAnsiTheme="majorHAnsi"/>
          <w:i/>
          <w:sz w:val="24"/>
        </w:rPr>
        <w:t xml:space="preserve">pportunities </w:t>
      </w:r>
      <w:r>
        <w:rPr>
          <w:rFonts w:asciiTheme="majorHAnsi" w:hAnsiTheme="majorHAnsi"/>
          <w:i/>
          <w:sz w:val="24"/>
        </w:rPr>
        <w:t>a</w:t>
      </w:r>
      <w:r w:rsidRPr="00633A55">
        <w:rPr>
          <w:rFonts w:asciiTheme="majorHAnsi" w:hAnsiTheme="majorHAnsi"/>
          <w:i/>
          <w:sz w:val="24"/>
        </w:rPr>
        <w:t>head</w:t>
      </w:r>
      <w:r>
        <w:rPr>
          <w:rFonts w:asciiTheme="majorHAnsi" w:hAnsiTheme="majorHAnsi"/>
          <w:sz w:val="24"/>
        </w:rPr>
        <w:t>, The Asia Foundation, Jakarta (unpublished).</w:t>
      </w:r>
    </w:p>
    <w:p w14:paraId="08FE840B"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Cox, M and Hanh, TT 2014, </w:t>
      </w:r>
      <w:r>
        <w:rPr>
          <w:rFonts w:asciiTheme="majorHAnsi" w:hAnsiTheme="majorHAnsi"/>
          <w:i/>
          <w:sz w:val="24"/>
        </w:rPr>
        <w:t>Development finance for sustainable development goals in middle-income Viet Nam</w:t>
      </w:r>
      <w:r>
        <w:rPr>
          <w:rFonts w:asciiTheme="majorHAnsi" w:hAnsiTheme="majorHAnsi"/>
          <w:sz w:val="24"/>
        </w:rPr>
        <w:t>, European Union, Ministry of Planning and Investment, Vietnam and United Nations Vietnam, Hanoi.</w:t>
      </w:r>
    </w:p>
    <w:p w14:paraId="271C55B7" w14:textId="76B38C6A"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Department of Foreign Affairs and Trade (DFAT) 2017, </w:t>
      </w:r>
      <w:r w:rsidRPr="00D91AE5">
        <w:rPr>
          <w:rFonts w:asciiTheme="majorHAnsi" w:hAnsiTheme="majorHAnsi"/>
          <w:i/>
          <w:sz w:val="24"/>
        </w:rPr>
        <w:t xml:space="preserve">Indonesia </w:t>
      </w:r>
      <w:r>
        <w:rPr>
          <w:rFonts w:asciiTheme="majorHAnsi" w:hAnsiTheme="majorHAnsi"/>
          <w:i/>
          <w:sz w:val="24"/>
        </w:rPr>
        <w:t xml:space="preserve">aid program performance report </w:t>
      </w:r>
      <w:r w:rsidR="009A65C3">
        <w:rPr>
          <w:rFonts w:asciiTheme="majorHAnsi" w:hAnsiTheme="majorHAnsi"/>
          <w:i/>
          <w:sz w:val="24"/>
        </w:rPr>
        <w:br/>
      </w:r>
      <w:r>
        <w:rPr>
          <w:rFonts w:asciiTheme="majorHAnsi" w:hAnsiTheme="majorHAnsi"/>
          <w:i/>
          <w:sz w:val="24"/>
        </w:rPr>
        <w:t>2016–17</w:t>
      </w:r>
      <w:r>
        <w:rPr>
          <w:rFonts w:asciiTheme="majorHAnsi" w:hAnsiTheme="majorHAnsi"/>
          <w:sz w:val="24"/>
        </w:rPr>
        <w:t>, Australian Government, Canberra.</w:t>
      </w:r>
    </w:p>
    <w:p w14:paraId="05111E68"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2017, </w:t>
      </w:r>
      <w:r>
        <w:rPr>
          <w:rFonts w:asciiTheme="majorHAnsi" w:hAnsiTheme="majorHAnsi"/>
          <w:i/>
          <w:sz w:val="24"/>
        </w:rPr>
        <w:t>Emerging markets impact investment fund (EMIIF): draft design</w:t>
      </w:r>
      <w:r>
        <w:rPr>
          <w:rFonts w:asciiTheme="majorHAnsi" w:hAnsiTheme="majorHAnsi"/>
          <w:sz w:val="24"/>
        </w:rPr>
        <w:t>, Australian Government, Canberra.</w:t>
      </w:r>
    </w:p>
    <w:p w14:paraId="7CC835D9"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2017, 2017 </w:t>
      </w:r>
      <w:r>
        <w:rPr>
          <w:rFonts w:asciiTheme="majorHAnsi" w:hAnsiTheme="majorHAnsi"/>
          <w:i/>
          <w:sz w:val="24"/>
        </w:rPr>
        <w:t>Foreign Policy White Paper</w:t>
      </w:r>
      <w:r>
        <w:rPr>
          <w:rFonts w:asciiTheme="majorHAnsi" w:hAnsiTheme="majorHAnsi"/>
          <w:sz w:val="24"/>
        </w:rPr>
        <w:t>, Australian Government, Canberra.</w:t>
      </w:r>
    </w:p>
    <w:p w14:paraId="27C6BD45"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2016, </w:t>
      </w:r>
      <w:r>
        <w:rPr>
          <w:rFonts w:asciiTheme="majorHAnsi" w:hAnsiTheme="majorHAnsi"/>
          <w:i/>
          <w:sz w:val="24"/>
        </w:rPr>
        <w:t xml:space="preserve">Australia’s trade in goods and services, </w:t>
      </w:r>
      <w:r>
        <w:rPr>
          <w:rFonts w:asciiTheme="majorHAnsi" w:hAnsiTheme="majorHAnsi"/>
          <w:sz w:val="24"/>
        </w:rPr>
        <w:t>Australian Government</w:t>
      </w:r>
      <w:r w:rsidRPr="00BC77A9">
        <w:rPr>
          <w:rFonts w:asciiTheme="majorHAnsi" w:hAnsiTheme="majorHAnsi"/>
          <w:sz w:val="24"/>
        </w:rPr>
        <w:t>, Canberra</w:t>
      </w:r>
      <w:r>
        <w:rPr>
          <w:rFonts w:asciiTheme="majorHAnsi" w:hAnsiTheme="majorHAnsi"/>
          <w:sz w:val="24"/>
        </w:rPr>
        <w:t xml:space="preserve">. </w:t>
      </w:r>
      <w:hyperlink r:id="rId32" w:history="1">
        <w:r w:rsidRPr="00822172">
          <w:rPr>
            <w:rStyle w:val="Hyperlink"/>
            <w:rFonts w:asciiTheme="majorHAnsi" w:hAnsiTheme="majorHAnsi"/>
            <w:sz w:val="24"/>
          </w:rPr>
          <w:t>https://dfat.gov.au/about-us/publications/trade-investment/australias-trade-in-goods-and-services/Pages/australias-trade-in-goods-and-services-2016.aspx</w:t>
        </w:r>
      </w:hyperlink>
    </w:p>
    <w:p w14:paraId="0E57C83A"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2015, </w:t>
      </w:r>
      <w:r>
        <w:rPr>
          <w:rFonts w:asciiTheme="majorHAnsi" w:hAnsiTheme="majorHAnsi"/>
          <w:i/>
          <w:sz w:val="24"/>
        </w:rPr>
        <w:t>Strategy for Australia’s aid for trade investments: supporting developing countries to trade and prosper</w:t>
      </w:r>
      <w:r>
        <w:rPr>
          <w:rFonts w:asciiTheme="majorHAnsi" w:hAnsiTheme="majorHAnsi"/>
          <w:sz w:val="24"/>
        </w:rPr>
        <w:t>, Australian Government, Canberra.</w:t>
      </w:r>
    </w:p>
    <w:p w14:paraId="58A90979"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2014, </w:t>
      </w:r>
      <w:r>
        <w:rPr>
          <w:rFonts w:asciiTheme="majorHAnsi" w:hAnsiTheme="majorHAnsi"/>
          <w:i/>
          <w:sz w:val="24"/>
        </w:rPr>
        <w:t>Australian aid: promoting prosperity, reducing poverty, enhancing stability,</w:t>
      </w:r>
      <w:r>
        <w:rPr>
          <w:rFonts w:asciiTheme="majorHAnsi" w:hAnsiTheme="majorHAnsi"/>
          <w:sz w:val="24"/>
        </w:rPr>
        <w:t xml:space="preserve"> Australian Government, Canberra.</w:t>
      </w:r>
    </w:p>
    <w:p w14:paraId="67DD4DD5"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2010, </w:t>
      </w:r>
      <w:r>
        <w:rPr>
          <w:rFonts w:asciiTheme="majorHAnsi" w:hAnsiTheme="majorHAnsi"/>
          <w:i/>
          <w:sz w:val="24"/>
        </w:rPr>
        <w:t>Australia’s education partnership with Indonesia: a contribution to the Government of Indonesia’s Education Sector Support Program design document</w:t>
      </w:r>
      <w:r>
        <w:rPr>
          <w:rFonts w:asciiTheme="majorHAnsi" w:hAnsiTheme="majorHAnsi"/>
          <w:sz w:val="24"/>
        </w:rPr>
        <w:t>, Australian Government, Canberra.</w:t>
      </w:r>
    </w:p>
    <w:p w14:paraId="2FFFCD48"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DFAT n.d., </w:t>
      </w:r>
      <w:r>
        <w:rPr>
          <w:rFonts w:asciiTheme="majorHAnsi" w:hAnsiTheme="majorHAnsi"/>
          <w:i/>
          <w:sz w:val="24"/>
        </w:rPr>
        <w:t>Australia Indonesia Government Partnerships Fund Phase II 2010–15: design</w:t>
      </w:r>
      <w:r>
        <w:rPr>
          <w:rFonts w:asciiTheme="majorHAnsi" w:hAnsiTheme="majorHAnsi"/>
          <w:sz w:val="24"/>
        </w:rPr>
        <w:t>, Australian Government, Canberra.</w:t>
      </w:r>
    </w:p>
    <w:p w14:paraId="03730206" w14:textId="4C1F8D9C"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Dinh, VT, Eckardt, S, Vu, QH and Pimhidzai, O 2017, </w:t>
      </w:r>
      <w:r>
        <w:rPr>
          <w:rFonts w:asciiTheme="majorHAnsi" w:hAnsiTheme="majorHAnsi"/>
          <w:i/>
          <w:sz w:val="24"/>
        </w:rPr>
        <w:t>Taking stock: an update on Vietnam’s recent economic developments</w:t>
      </w:r>
      <w:r w:rsidR="009A65C3">
        <w:rPr>
          <w:rFonts w:asciiTheme="majorHAnsi" w:hAnsiTheme="majorHAnsi"/>
          <w:i/>
          <w:sz w:val="24"/>
        </w:rPr>
        <w:t>—</w:t>
      </w:r>
      <w:r w:rsidRPr="00B53FA7">
        <w:rPr>
          <w:rFonts w:asciiTheme="majorHAnsi" w:hAnsiTheme="majorHAnsi"/>
          <w:i/>
          <w:sz w:val="24"/>
        </w:rPr>
        <w:t xml:space="preserve">special focus: improving efficiency and equity of public spending. Vietnam Taking Stock, biannual report. </w:t>
      </w:r>
      <w:r w:rsidRPr="003878AE">
        <w:rPr>
          <w:rFonts w:asciiTheme="majorHAnsi" w:hAnsiTheme="majorHAnsi"/>
          <w:sz w:val="24"/>
        </w:rPr>
        <w:t>World Bank</w:t>
      </w:r>
      <w:r w:rsidRPr="00B53FA7">
        <w:rPr>
          <w:rFonts w:asciiTheme="majorHAnsi" w:hAnsiTheme="majorHAnsi"/>
          <w:i/>
          <w:sz w:val="24"/>
        </w:rPr>
        <w:t>,</w:t>
      </w:r>
      <w:r>
        <w:rPr>
          <w:rFonts w:asciiTheme="majorHAnsi" w:hAnsiTheme="majorHAnsi"/>
          <w:sz w:val="24"/>
        </w:rPr>
        <w:t xml:space="preserve"> Washington D.C.</w:t>
      </w:r>
    </w:p>
    <w:p w14:paraId="6E2162DD" w14:textId="0B572CB3"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Doner, R and Schneider, B 2016, </w:t>
      </w:r>
      <w:r w:rsidRPr="00BC77A9">
        <w:rPr>
          <w:rFonts w:asciiTheme="majorHAnsi" w:hAnsiTheme="majorHAnsi"/>
          <w:sz w:val="24"/>
        </w:rPr>
        <w:t xml:space="preserve">The </w:t>
      </w:r>
      <w:r>
        <w:rPr>
          <w:rFonts w:asciiTheme="majorHAnsi" w:hAnsiTheme="majorHAnsi"/>
          <w:sz w:val="24"/>
        </w:rPr>
        <w:t>m</w:t>
      </w:r>
      <w:r w:rsidRPr="00BC77A9">
        <w:rPr>
          <w:rFonts w:asciiTheme="majorHAnsi" w:hAnsiTheme="majorHAnsi"/>
          <w:sz w:val="24"/>
        </w:rPr>
        <w:t>iddle-</w:t>
      </w:r>
      <w:r>
        <w:rPr>
          <w:rFonts w:asciiTheme="majorHAnsi" w:hAnsiTheme="majorHAnsi"/>
          <w:sz w:val="24"/>
        </w:rPr>
        <w:t>i</w:t>
      </w:r>
      <w:r w:rsidRPr="00BC77A9">
        <w:rPr>
          <w:rFonts w:asciiTheme="majorHAnsi" w:hAnsiTheme="majorHAnsi"/>
          <w:sz w:val="24"/>
        </w:rPr>
        <w:t xml:space="preserve">ncome </w:t>
      </w:r>
      <w:r>
        <w:rPr>
          <w:rFonts w:asciiTheme="majorHAnsi" w:hAnsiTheme="majorHAnsi"/>
          <w:sz w:val="24"/>
        </w:rPr>
        <w:t>t</w:t>
      </w:r>
      <w:r w:rsidRPr="00BC77A9">
        <w:rPr>
          <w:rFonts w:asciiTheme="majorHAnsi" w:hAnsiTheme="majorHAnsi"/>
          <w:sz w:val="24"/>
        </w:rPr>
        <w:t xml:space="preserve">rap: </w:t>
      </w:r>
      <w:r>
        <w:rPr>
          <w:rFonts w:asciiTheme="majorHAnsi" w:hAnsiTheme="majorHAnsi"/>
          <w:sz w:val="24"/>
        </w:rPr>
        <w:t>m</w:t>
      </w:r>
      <w:r w:rsidRPr="00BC77A9">
        <w:rPr>
          <w:rFonts w:asciiTheme="majorHAnsi" w:hAnsiTheme="majorHAnsi"/>
          <w:sz w:val="24"/>
        </w:rPr>
        <w:t xml:space="preserve">ore </w:t>
      </w:r>
      <w:r>
        <w:rPr>
          <w:rFonts w:asciiTheme="majorHAnsi" w:hAnsiTheme="majorHAnsi"/>
          <w:sz w:val="24"/>
        </w:rPr>
        <w:t>p</w:t>
      </w:r>
      <w:r w:rsidRPr="00BC77A9">
        <w:rPr>
          <w:rFonts w:asciiTheme="majorHAnsi" w:hAnsiTheme="majorHAnsi"/>
          <w:sz w:val="24"/>
        </w:rPr>
        <w:t xml:space="preserve">olitics than </w:t>
      </w:r>
      <w:r>
        <w:rPr>
          <w:rFonts w:asciiTheme="majorHAnsi" w:hAnsiTheme="majorHAnsi"/>
          <w:sz w:val="24"/>
        </w:rPr>
        <w:t>e</w:t>
      </w:r>
      <w:r w:rsidRPr="00BC77A9">
        <w:rPr>
          <w:rFonts w:asciiTheme="majorHAnsi" w:hAnsiTheme="majorHAnsi"/>
          <w:sz w:val="24"/>
        </w:rPr>
        <w:t>conomics</w:t>
      </w:r>
      <w:r>
        <w:rPr>
          <w:rFonts w:asciiTheme="majorHAnsi" w:hAnsiTheme="majorHAnsi"/>
          <w:sz w:val="24"/>
        </w:rPr>
        <w:t xml:space="preserve">’, </w:t>
      </w:r>
      <w:r w:rsidRPr="00BC77A9">
        <w:rPr>
          <w:rFonts w:asciiTheme="majorHAnsi" w:hAnsiTheme="majorHAnsi"/>
          <w:i/>
          <w:sz w:val="24"/>
        </w:rPr>
        <w:t>World Politics</w:t>
      </w:r>
      <w:r>
        <w:rPr>
          <w:rFonts w:asciiTheme="majorHAnsi" w:hAnsiTheme="majorHAnsi"/>
          <w:sz w:val="24"/>
        </w:rPr>
        <w:t xml:space="preserve"> vol. 68, no. 4, pp. 608</w:t>
      </w:r>
      <w:r w:rsidR="009A65C3">
        <w:rPr>
          <w:rFonts w:asciiTheme="majorHAnsi" w:hAnsiTheme="majorHAnsi"/>
          <w:sz w:val="24"/>
        </w:rPr>
        <w:t>–</w:t>
      </w:r>
      <w:r>
        <w:rPr>
          <w:rFonts w:asciiTheme="majorHAnsi" w:hAnsiTheme="majorHAnsi"/>
          <w:sz w:val="24"/>
        </w:rPr>
        <w:t>44.</w:t>
      </w:r>
    </w:p>
    <w:p w14:paraId="11DAAB74"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Dosch, J 2015, ‘</w:t>
      </w:r>
      <w:r w:rsidRPr="00BC77A9">
        <w:rPr>
          <w:rFonts w:asciiTheme="majorHAnsi" w:hAnsiTheme="majorHAnsi"/>
          <w:sz w:val="24"/>
        </w:rPr>
        <w:t xml:space="preserve">The ASEAN Economic Community: </w:t>
      </w:r>
      <w:r>
        <w:rPr>
          <w:rFonts w:asciiTheme="majorHAnsi" w:hAnsiTheme="majorHAnsi"/>
          <w:sz w:val="24"/>
        </w:rPr>
        <w:t>w</w:t>
      </w:r>
      <w:r w:rsidRPr="00BC77A9">
        <w:rPr>
          <w:rFonts w:asciiTheme="majorHAnsi" w:hAnsiTheme="majorHAnsi"/>
          <w:sz w:val="24"/>
        </w:rPr>
        <w:t xml:space="preserve">hat </w:t>
      </w:r>
      <w:r>
        <w:rPr>
          <w:rFonts w:asciiTheme="majorHAnsi" w:hAnsiTheme="majorHAnsi"/>
          <w:sz w:val="24"/>
        </w:rPr>
        <w:t>s</w:t>
      </w:r>
      <w:r w:rsidRPr="00BC77A9">
        <w:rPr>
          <w:rFonts w:asciiTheme="majorHAnsi" w:hAnsiTheme="majorHAnsi"/>
          <w:sz w:val="24"/>
        </w:rPr>
        <w:t xml:space="preserve">tands in the </w:t>
      </w:r>
      <w:r>
        <w:rPr>
          <w:rFonts w:asciiTheme="majorHAnsi" w:hAnsiTheme="majorHAnsi"/>
          <w:sz w:val="24"/>
        </w:rPr>
        <w:t>w</w:t>
      </w:r>
      <w:r w:rsidRPr="00BC77A9">
        <w:rPr>
          <w:rFonts w:asciiTheme="majorHAnsi" w:hAnsiTheme="majorHAnsi"/>
          <w:sz w:val="24"/>
        </w:rPr>
        <w:t>ay?’</w:t>
      </w:r>
      <w:r>
        <w:rPr>
          <w:rFonts w:asciiTheme="majorHAnsi" w:hAnsiTheme="majorHAnsi"/>
          <w:sz w:val="24"/>
        </w:rPr>
        <w:t xml:space="preserve">, </w:t>
      </w:r>
      <w:r w:rsidRPr="00BC77A9">
        <w:rPr>
          <w:rFonts w:asciiTheme="majorHAnsi" w:hAnsiTheme="majorHAnsi"/>
          <w:i/>
          <w:sz w:val="24"/>
        </w:rPr>
        <w:t>Asia Pacific Issues</w:t>
      </w:r>
      <w:r>
        <w:rPr>
          <w:rFonts w:asciiTheme="majorHAnsi" w:hAnsiTheme="majorHAnsi"/>
          <w:sz w:val="24"/>
        </w:rPr>
        <w:t>, no. 119.</w:t>
      </w:r>
    </w:p>
    <w:p w14:paraId="0CF03BAA"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lastRenderedPageBreak/>
        <w:t>Dreher, A, Fuchs, A, Parks, B, Strange, AM and Tierney, MJ 2017, ‘</w:t>
      </w:r>
      <w:r w:rsidRPr="00BC77A9">
        <w:rPr>
          <w:rFonts w:asciiTheme="majorHAnsi" w:hAnsiTheme="majorHAnsi"/>
          <w:sz w:val="24"/>
        </w:rPr>
        <w:t xml:space="preserve">Aid, </w:t>
      </w:r>
      <w:r>
        <w:rPr>
          <w:rFonts w:asciiTheme="majorHAnsi" w:hAnsiTheme="majorHAnsi"/>
          <w:sz w:val="24"/>
        </w:rPr>
        <w:t>c</w:t>
      </w:r>
      <w:r w:rsidRPr="00BC77A9">
        <w:rPr>
          <w:rFonts w:asciiTheme="majorHAnsi" w:hAnsiTheme="majorHAnsi"/>
          <w:sz w:val="24"/>
        </w:rPr>
        <w:t xml:space="preserve">hina, and </w:t>
      </w:r>
      <w:r>
        <w:rPr>
          <w:rFonts w:asciiTheme="majorHAnsi" w:hAnsiTheme="majorHAnsi"/>
          <w:sz w:val="24"/>
        </w:rPr>
        <w:t>g</w:t>
      </w:r>
      <w:r w:rsidRPr="00BC77A9">
        <w:rPr>
          <w:rFonts w:asciiTheme="majorHAnsi" w:hAnsiTheme="majorHAnsi"/>
          <w:sz w:val="24"/>
        </w:rPr>
        <w:t xml:space="preserve">rowth: </w:t>
      </w:r>
      <w:r>
        <w:rPr>
          <w:rFonts w:asciiTheme="majorHAnsi" w:hAnsiTheme="majorHAnsi"/>
          <w:sz w:val="24"/>
        </w:rPr>
        <w:t>e</w:t>
      </w:r>
      <w:r w:rsidRPr="00BC77A9">
        <w:rPr>
          <w:rFonts w:asciiTheme="majorHAnsi" w:hAnsiTheme="majorHAnsi"/>
          <w:sz w:val="24"/>
        </w:rPr>
        <w:t xml:space="preserve">vidence from a </w:t>
      </w:r>
      <w:r>
        <w:rPr>
          <w:rFonts w:asciiTheme="majorHAnsi" w:hAnsiTheme="majorHAnsi"/>
          <w:sz w:val="24"/>
        </w:rPr>
        <w:t>n</w:t>
      </w:r>
      <w:r w:rsidRPr="00BC77A9">
        <w:rPr>
          <w:rFonts w:asciiTheme="majorHAnsi" w:hAnsiTheme="majorHAnsi"/>
          <w:sz w:val="24"/>
        </w:rPr>
        <w:t xml:space="preserve">ew </w:t>
      </w:r>
      <w:r>
        <w:rPr>
          <w:rFonts w:asciiTheme="majorHAnsi" w:hAnsiTheme="majorHAnsi"/>
          <w:sz w:val="24"/>
        </w:rPr>
        <w:t>g</w:t>
      </w:r>
      <w:r w:rsidRPr="00BC77A9">
        <w:rPr>
          <w:rFonts w:asciiTheme="majorHAnsi" w:hAnsiTheme="majorHAnsi"/>
          <w:sz w:val="24"/>
        </w:rPr>
        <w:t xml:space="preserve">lobal </w:t>
      </w:r>
      <w:r>
        <w:rPr>
          <w:rFonts w:asciiTheme="majorHAnsi" w:hAnsiTheme="majorHAnsi"/>
          <w:sz w:val="24"/>
        </w:rPr>
        <w:t>d</w:t>
      </w:r>
      <w:r w:rsidRPr="00BC77A9">
        <w:rPr>
          <w:rFonts w:asciiTheme="majorHAnsi" w:hAnsiTheme="majorHAnsi"/>
          <w:sz w:val="24"/>
        </w:rPr>
        <w:t xml:space="preserve">evelopment </w:t>
      </w:r>
      <w:r>
        <w:rPr>
          <w:rFonts w:asciiTheme="majorHAnsi" w:hAnsiTheme="majorHAnsi"/>
          <w:sz w:val="24"/>
        </w:rPr>
        <w:t>f</w:t>
      </w:r>
      <w:r w:rsidRPr="00BC77A9">
        <w:rPr>
          <w:rFonts w:asciiTheme="majorHAnsi" w:hAnsiTheme="majorHAnsi"/>
          <w:sz w:val="24"/>
        </w:rPr>
        <w:t xml:space="preserve">inance </w:t>
      </w:r>
      <w:r>
        <w:rPr>
          <w:rFonts w:asciiTheme="majorHAnsi" w:hAnsiTheme="majorHAnsi"/>
          <w:sz w:val="24"/>
        </w:rPr>
        <w:t>d</w:t>
      </w:r>
      <w:r w:rsidRPr="00BC77A9">
        <w:rPr>
          <w:rFonts w:asciiTheme="majorHAnsi" w:hAnsiTheme="majorHAnsi"/>
          <w:sz w:val="24"/>
        </w:rPr>
        <w:t>ataset</w:t>
      </w:r>
      <w:r>
        <w:rPr>
          <w:rFonts w:asciiTheme="majorHAnsi" w:hAnsiTheme="majorHAnsi"/>
          <w:sz w:val="24"/>
        </w:rPr>
        <w:t xml:space="preserve">’ </w:t>
      </w:r>
      <w:r w:rsidRPr="00BC77A9">
        <w:rPr>
          <w:rFonts w:asciiTheme="majorHAnsi" w:hAnsiTheme="majorHAnsi"/>
          <w:i/>
          <w:sz w:val="24"/>
        </w:rPr>
        <w:t>AidData Working Paper</w:t>
      </w:r>
      <w:r>
        <w:rPr>
          <w:rFonts w:asciiTheme="majorHAnsi" w:hAnsiTheme="majorHAnsi"/>
          <w:sz w:val="24"/>
        </w:rPr>
        <w:t>, no. 46, Williamsburg.</w:t>
      </w:r>
    </w:p>
    <w:p w14:paraId="772D96E9" w14:textId="77777777" w:rsidR="00ED22DE" w:rsidRDefault="00ED22DE" w:rsidP="00ED22DE">
      <w:pPr>
        <w:pStyle w:val="BodyText"/>
        <w:spacing w:after="120" w:line="240" w:lineRule="auto"/>
        <w:ind w:left="360"/>
      </w:pPr>
      <w:r w:rsidRPr="00A62F4B">
        <w:rPr>
          <w:rFonts w:asciiTheme="majorHAnsi" w:hAnsiTheme="majorHAnsi"/>
          <w:i/>
          <w:sz w:val="24"/>
        </w:rPr>
        <w:t>The Economist</w:t>
      </w:r>
      <w:r>
        <w:rPr>
          <w:rFonts w:asciiTheme="majorHAnsi" w:hAnsiTheme="majorHAnsi"/>
          <w:sz w:val="24"/>
        </w:rPr>
        <w:t xml:space="preserve"> 2017, ‘</w:t>
      </w:r>
      <w:r w:rsidRPr="00BC77A9">
        <w:rPr>
          <w:rFonts w:asciiTheme="majorHAnsi" w:hAnsiTheme="majorHAnsi"/>
          <w:sz w:val="24"/>
        </w:rPr>
        <w:t>The giant’s client: Why Cambodia has cosied up to China</w:t>
      </w:r>
      <w:r>
        <w:rPr>
          <w:rFonts w:asciiTheme="majorHAnsi" w:hAnsiTheme="majorHAnsi"/>
          <w:sz w:val="24"/>
        </w:rPr>
        <w:t>’, 21 January (online).</w:t>
      </w:r>
    </w:p>
    <w:p w14:paraId="2B0364A7" w14:textId="1CB213F0"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Eichengreen, B, Park, D and Shin, K 2013, ‘</w:t>
      </w:r>
      <w:r w:rsidRPr="00BC77A9">
        <w:rPr>
          <w:rFonts w:asciiTheme="majorHAnsi" w:hAnsiTheme="majorHAnsi"/>
          <w:sz w:val="24"/>
        </w:rPr>
        <w:t xml:space="preserve">Growth </w:t>
      </w:r>
      <w:r>
        <w:rPr>
          <w:rFonts w:asciiTheme="majorHAnsi" w:hAnsiTheme="majorHAnsi"/>
          <w:sz w:val="24"/>
        </w:rPr>
        <w:t>s</w:t>
      </w:r>
      <w:r w:rsidRPr="00BC77A9">
        <w:rPr>
          <w:rFonts w:asciiTheme="majorHAnsi" w:hAnsiTheme="majorHAnsi"/>
          <w:sz w:val="24"/>
        </w:rPr>
        <w:t xml:space="preserve">lowdowns </w:t>
      </w:r>
      <w:r>
        <w:rPr>
          <w:rFonts w:asciiTheme="majorHAnsi" w:hAnsiTheme="majorHAnsi"/>
          <w:sz w:val="24"/>
        </w:rPr>
        <w:t>r</w:t>
      </w:r>
      <w:r w:rsidRPr="00BC77A9">
        <w:rPr>
          <w:rFonts w:asciiTheme="majorHAnsi" w:hAnsiTheme="majorHAnsi"/>
          <w:sz w:val="24"/>
        </w:rPr>
        <w:t xml:space="preserve">edux: </w:t>
      </w:r>
      <w:r>
        <w:rPr>
          <w:rFonts w:asciiTheme="majorHAnsi" w:hAnsiTheme="majorHAnsi"/>
          <w:sz w:val="24"/>
        </w:rPr>
        <w:t>n</w:t>
      </w:r>
      <w:r w:rsidRPr="00BC77A9">
        <w:rPr>
          <w:rFonts w:asciiTheme="majorHAnsi" w:hAnsiTheme="majorHAnsi"/>
          <w:sz w:val="24"/>
        </w:rPr>
        <w:t xml:space="preserve">ew </w:t>
      </w:r>
      <w:r>
        <w:rPr>
          <w:rFonts w:asciiTheme="majorHAnsi" w:hAnsiTheme="majorHAnsi"/>
          <w:sz w:val="24"/>
        </w:rPr>
        <w:t>e</w:t>
      </w:r>
      <w:r w:rsidRPr="00BC77A9">
        <w:rPr>
          <w:rFonts w:asciiTheme="majorHAnsi" w:hAnsiTheme="majorHAnsi"/>
          <w:sz w:val="24"/>
        </w:rPr>
        <w:t xml:space="preserve">vidence on the </w:t>
      </w:r>
      <w:r>
        <w:rPr>
          <w:rFonts w:asciiTheme="majorHAnsi" w:hAnsiTheme="majorHAnsi"/>
          <w:sz w:val="24"/>
        </w:rPr>
        <w:t>m</w:t>
      </w:r>
      <w:r w:rsidRPr="00BC77A9">
        <w:rPr>
          <w:rFonts w:asciiTheme="majorHAnsi" w:hAnsiTheme="majorHAnsi"/>
          <w:sz w:val="24"/>
        </w:rPr>
        <w:t>iddle-</w:t>
      </w:r>
      <w:r>
        <w:rPr>
          <w:rFonts w:asciiTheme="majorHAnsi" w:hAnsiTheme="majorHAnsi"/>
          <w:sz w:val="24"/>
        </w:rPr>
        <w:t>i</w:t>
      </w:r>
      <w:r w:rsidRPr="00BC77A9">
        <w:rPr>
          <w:rFonts w:asciiTheme="majorHAnsi" w:hAnsiTheme="majorHAnsi"/>
          <w:sz w:val="24"/>
        </w:rPr>
        <w:t xml:space="preserve">ncome </w:t>
      </w:r>
      <w:r>
        <w:rPr>
          <w:rFonts w:asciiTheme="majorHAnsi" w:hAnsiTheme="majorHAnsi"/>
          <w:sz w:val="24"/>
        </w:rPr>
        <w:t>t</w:t>
      </w:r>
      <w:r w:rsidRPr="00BC77A9">
        <w:rPr>
          <w:rFonts w:asciiTheme="majorHAnsi" w:hAnsiTheme="majorHAnsi"/>
          <w:sz w:val="24"/>
        </w:rPr>
        <w:t>rap</w:t>
      </w:r>
      <w:r>
        <w:rPr>
          <w:rFonts w:asciiTheme="majorHAnsi" w:hAnsiTheme="majorHAnsi"/>
          <w:sz w:val="24"/>
        </w:rPr>
        <w:t>’</w:t>
      </w:r>
      <w:r>
        <w:rPr>
          <w:rFonts w:asciiTheme="majorHAnsi" w:hAnsiTheme="majorHAnsi"/>
          <w:i/>
          <w:sz w:val="24"/>
        </w:rPr>
        <w:t xml:space="preserve">, </w:t>
      </w:r>
      <w:r>
        <w:rPr>
          <w:rFonts w:asciiTheme="majorHAnsi" w:hAnsiTheme="majorHAnsi"/>
          <w:sz w:val="24"/>
        </w:rPr>
        <w:t>Working Paper no. 18673,</w:t>
      </w:r>
      <w:r w:rsidRPr="00ED0D4D">
        <w:rPr>
          <w:rFonts w:asciiTheme="majorHAnsi" w:hAnsiTheme="majorHAnsi"/>
          <w:sz w:val="24"/>
        </w:rPr>
        <w:t xml:space="preserve"> </w:t>
      </w:r>
      <w:r>
        <w:rPr>
          <w:rFonts w:asciiTheme="majorHAnsi" w:hAnsiTheme="majorHAnsi"/>
          <w:sz w:val="24"/>
        </w:rPr>
        <w:t>National Bureau of Economic Research, Cambridge, Massachusetts.</w:t>
      </w:r>
    </w:p>
    <w:p w14:paraId="3C3925D2"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HM Treasury and Department for International Development 2015, </w:t>
      </w:r>
      <w:r>
        <w:rPr>
          <w:rFonts w:asciiTheme="majorHAnsi" w:hAnsiTheme="majorHAnsi"/>
          <w:i/>
          <w:sz w:val="24"/>
        </w:rPr>
        <w:t>UK aid: tackling global challenges in the national interest</w:t>
      </w:r>
      <w:r>
        <w:rPr>
          <w:rFonts w:asciiTheme="majorHAnsi" w:hAnsiTheme="majorHAnsi"/>
          <w:sz w:val="24"/>
        </w:rPr>
        <w:t>, HM Treasury, London.</w:t>
      </w:r>
    </w:p>
    <w:p w14:paraId="776CCA3E" w14:textId="77777777" w:rsidR="00ED22DE" w:rsidRDefault="00ED22DE" w:rsidP="00ED22DE">
      <w:pPr>
        <w:pStyle w:val="BodyText"/>
        <w:spacing w:after="120" w:line="240" w:lineRule="auto"/>
        <w:ind w:left="360"/>
        <w:rPr>
          <w:rFonts w:asciiTheme="majorHAnsi" w:hAnsiTheme="majorHAnsi"/>
          <w:sz w:val="24"/>
        </w:rPr>
      </w:pPr>
      <w:r w:rsidRPr="003878AE">
        <w:rPr>
          <w:rFonts w:asciiTheme="majorHAnsi" w:hAnsiTheme="majorHAnsi"/>
          <w:sz w:val="24"/>
        </w:rPr>
        <w:t xml:space="preserve">Independent Commission for Aid Impact 2016, </w:t>
      </w:r>
      <w:r w:rsidRPr="003878AE">
        <w:rPr>
          <w:rFonts w:asciiTheme="majorHAnsi" w:hAnsiTheme="majorHAnsi"/>
          <w:i/>
          <w:sz w:val="24"/>
        </w:rPr>
        <w:t>When aid relationships change: DFID’s approach to managing exit and transition in its development partnerships, A performance Review</w:t>
      </w:r>
      <w:r w:rsidRPr="003878AE">
        <w:rPr>
          <w:rFonts w:asciiTheme="majorHAnsi" w:hAnsiTheme="majorHAnsi"/>
          <w:sz w:val="24"/>
        </w:rPr>
        <w:t xml:space="preserve">, </w:t>
      </w:r>
      <w:r>
        <w:rPr>
          <w:rFonts w:asciiTheme="majorHAnsi" w:hAnsiTheme="majorHAnsi"/>
          <w:sz w:val="24"/>
        </w:rPr>
        <w:t>ICAI, London.</w:t>
      </w:r>
    </w:p>
    <w:p w14:paraId="2397AE60" w14:textId="0EE1DB0E"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Jones, L 2015, ‘</w:t>
      </w:r>
      <w:r w:rsidRPr="00BC77A9">
        <w:rPr>
          <w:rFonts w:asciiTheme="majorHAnsi" w:hAnsiTheme="majorHAnsi"/>
          <w:sz w:val="24"/>
        </w:rPr>
        <w:t xml:space="preserve">Explaining the </w:t>
      </w:r>
      <w:r>
        <w:rPr>
          <w:rFonts w:asciiTheme="majorHAnsi" w:hAnsiTheme="majorHAnsi"/>
          <w:sz w:val="24"/>
        </w:rPr>
        <w:t>f</w:t>
      </w:r>
      <w:r w:rsidRPr="00BC77A9">
        <w:rPr>
          <w:rFonts w:asciiTheme="majorHAnsi" w:hAnsiTheme="majorHAnsi"/>
          <w:sz w:val="24"/>
        </w:rPr>
        <w:t xml:space="preserve">ailure of the ASEAN </w:t>
      </w:r>
      <w:r>
        <w:rPr>
          <w:rFonts w:asciiTheme="majorHAnsi" w:hAnsiTheme="majorHAnsi"/>
          <w:sz w:val="24"/>
        </w:rPr>
        <w:t>e</w:t>
      </w:r>
      <w:r w:rsidRPr="00BC77A9">
        <w:rPr>
          <w:rFonts w:asciiTheme="majorHAnsi" w:hAnsiTheme="majorHAnsi"/>
          <w:sz w:val="24"/>
        </w:rPr>
        <w:t xml:space="preserve">conomic </w:t>
      </w:r>
      <w:r>
        <w:rPr>
          <w:rFonts w:asciiTheme="majorHAnsi" w:hAnsiTheme="majorHAnsi"/>
          <w:sz w:val="24"/>
        </w:rPr>
        <w:t>c</w:t>
      </w:r>
      <w:r w:rsidRPr="00BC77A9">
        <w:rPr>
          <w:rFonts w:asciiTheme="majorHAnsi" w:hAnsiTheme="majorHAnsi"/>
          <w:sz w:val="24"/>
        </w:rPr>
        <w:t xml:space="preserve">ommunity: </w:t>
      </w:r>
      <w:r>
        <w:rPr>
          <w:rFonts w:asciiTheme="majorHAnsi" w:hAnsiTheme="majorHAnsi"/>
          <w:sz w:val="24"/>
        </w:rPr>
        <w:t>t</w:t>
      </w:r>
      <w:r w:rsidRPr="00BC77A9">
        <w:rPr>
          <w:rFonts w:asciiTheme="majorHAnsi" w:hAnsiTheme="majorHAnsi"/>
          <w:sz w:val="24"/>
        </w:rPr>
        <w:t xml:space="preserve">he </w:t>
      </w:r>
      <w:r>
        <w:rPr>
          <w:rFonts w:asciiTheme="majorHAnsi" w:hAnsiTheme="majorHAnsi"/>
          <w:sz w:val="24"/>
        </w:rPr>
        <w:t>p</w:t>
      </w:r>
      <w:r w:rsidRPr="00BC77A9">
        <w:rPr>
          <w:rFonts w:asciiTheme="majorHAnsi" w:hAnsiTheme="majorHAnsi"/>
          <w:sz w:val="24"/>
        </w:rPr>
        <w:t xml:space="preserve">rimacy of </w:t>
      </w:r>
      <w:r>
        <w:rPr>
          <w:rFonts w:asciiTheme="majorHAnsi" w:hAnsiTheme="majorHAnsi"/>
          <w:sz w:val="24"/>
        </w:rPr>
        <w:t>d</w:t>
      </w:r>
      <w:r w:rsidRPr="00BC77A9">
        <w:rPr>
          <w:rFonts w:asciiTheme="majorHAnsi" w:hAnsiTheme="majorHAnsi"/>
          <w:sz w:val="24"/>
        </w:rPr>
        <w:t xml:space="preserve">omestic </w:t>
      </w:r>
      <w:r>
        <w:rPr>
          <w:rFonts w:asciiTheme="majorHAnsi" w:hAnsiTheme="majorHAnsi"/>
          <w:sz w:val="24"/>
        </w:rPr>
        <w:t>p</w:t>
      </w:r>
      <w:r w:rsidRPr="00BC77A9">
        <w:rPr>
          <w:rFonts w:asciiTheme="majorHAnsi" w:hAnsiTheme="majorHAnsi"/>
          <w:sz w:val="24"/>
        </w:rPr>
        <w:t xml:space="preserve">olitical </w:t>
      </w:r>
      <w:r>
        <w:rPr>
          <w:rFonts w:asciiTheme="majorHAnsi" w:hAnsiTheme="majorHAnsi"/>
          <w:sz w:val="24"/>
        </w:rPr>
        <w:t>e</w:t>
      </w:r>
      <w:r w:rsidRPr="00BC77A9">
        <w:rPr>
          <w:rFonts w:asciiTheme="majorHAnsi" w:hAnsiTheme="majorHAnsi"/>
          <w:sz w:val="24"/>
        </w:rPr>
        <w:t>conomy</w:t>
      </w:r>
      <w:r>
        <w:rPr>
          <w:rFonts w:asciiTheme="majorHAnsi" w:hAnsiTheme="majorHAnsi"/>
          <w:sz w:val="24"/>
        </w:rPr>
        <w:t xml:space="preserve">’, </w:t>
      </w:r>
      <w:r w:rsidRPr="00BC77A9">
        <w:rPr>
          <w:rFonts w:asciiTheme="majorHAnsi" w:hAnsiTheme="majorHAnsi"/>
          <w:i/>
          <w:sz w:val="24"/>
        </w:rPr>
        <w:t>The Pacific Review</w:t>
      </w:r>
      <w:r>
        <w:rPr>
          <w:rFonts w:asciiTheme="majorHAnsi" w:hAnsiTheme="majorHAnsi"/>
          <w:sz w:val="24"/>
        </w:rPr>
        <w:t>, vol. 29, no. 5, pp. 647</w:t>
      </w:r>
      <w:r w:rsidR="00000AA1">
        <w:rPr>
          <w:rFonts w:asciiTheme="majorHAnsi" w:hAnsiTheme="majorHAnsi"/>
          <w:sz w:val="24"/>
        </w:rPr>
        <w:t>–</w:t>
      </w:r>
      <w:r>
        <w:rPr>
          <w:rFonts w:asciiTheme="majorHAnsi" w:hAnsiTheme="majorHAnsi"/>
          <w:sz w:val="24"/>
        </w:rPr>
        <w:t>70.</w:t>
      </w:r>
    </w:p>
    <w:p w14:paraId="0D096A7A"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Junquera-Varela, RF, Verhoeven, M, Shukla, GP, Haven, B, Awasthi, R and Moreno-Dodson, B 2017, </w:t>
      </w:r>
      <w:r>
        <w:rPr>
          <w:rFonts w:asciiTheme="majorHAnsi" w:hAnsiTheme="majorHAnsi"/>
          <w:i/>
          <w:sz w:val="24"/>
        </w:rPr>
        <w:t>Strengthening domestic resource mobilization: Moving from theory to practice in low- and middle-income countries</w:t>
      </w:r>
      <w:r>
        <w:rPr>
          <w:rFonts w:asciiTheme="majorHAnsi" w:hAnsiTheme="majorHAnsi"/>
          <w:sz w:val="24"/>
        </w:rPr>
        <w:t>, World Bank, Washington D.C.</w:t>
      </w:r>
    </w:p>
    <w:p w14:paraId="3D467661"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Kharas, H, Prizzon, A and Rogerson, A 2014, </w:t>
      </w:r>
      <w:r>
        <w:rPr>
          <w:rFonts w:asciiTheme="majorHAnsi" w:hAnsiTheme="majorHAnsi"/>
          <w:i/>
          <w:sz w:val="24"/>
        </w:rPr>
        <w:t>Financing the post 2015 Sustainable Development Goals: a rough road-map</w:t>
      </w:r>
      <w:r>
        <w:rPr>
          <w:rFonts w:asciiTheme="majorHAnsi" w:hAnsiTheme="majorHAnsi"/>
          <w:sz w:val="24"/>
        </w:rPr>
        <w:t>, Overseas Development Institute, London.</w:t>
      </w:r>
    </w:p>
    <w:p w14:paraId="53383995"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Kim, JY 2017, ‘</w:t>
      </w:r>
      <w:r w:rsidRPr="00BC77A9">
        <w:rPr>
          <w:rFonts w:asciiTheme="majorHAnsi" w:hAnsiTheme="majorHAnsi"/>
          <w:sz w:val="24"/>
        </w:rPr>
        <w:t>Indonesia’s future depends on its investments now</w:t>
      </w:r>
      <w:r>
        <w:rPr>
          <w:rFonts w:asciiTheme="majorHAnsi" w:hAnsiTheme="majorHAnsi"/>
          <w:sz w:val="24"/>
        </w:rPr>
        <w:t xml:space="preserve">’, </w:t>
      </w:r>
      <w:r w:rsidRPr="00BC77A9">
        <w:rPr>
          <w:rFonts w:asciiTheme="majorHAnsi" w:hAnsiTheme="majorHAnsi"/>
          <w:i/>
          <w:sz w:val="24"/>
        </w:rPr>
        <w:t>The Jakarta Post</w:t>
      </w:r>
      <w:r>
        <w:rPr>
          <w:rFonts w:asciiTheme="majorHAnsi" w:hAnsiTheme="majorHAnsi"/>
          <w:sz w:val="24"/>
        </w:rPr>
        <w:t xml:space="preserve"> (online), 27 July.</w:t>
      </w:r>
    </w:p>
    <w:p w14:paraId="2F05FADF"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Lee, R and Mason, A 2006, ‘</w:t>
      </w:r>
      <w:r w:rsidRPr="00BC77A9">
        <w:rPr>
          <w:rFonts w:asciiTheme="majorHAnsi" w:hAnsiTheme="majorHAnsi"/>
          <w:sz w:val="24"/>
        </w:rPr>
        <w:t>What is the demographic dividend?</w:t>
      </w:r>
      <w:r>
        <w:rPr>
          <w:rFonts w:asciiTheme="majorHAnsi" w:hAnsiTheme="majorHAnsi"/>
          <w:sz w:val="24"/>
        </w:rPr>
        <w:t xml:space="preserve">’, </w:t>
      </w:r>
      <w:r w:rsidRPr="00BC77A9">
        <w:rPr>
          <w:rFonts w:asciiTheme="majorHAnsi" w:hAnsiTheme="majorHAnsi"/>
          <w:i/>
          <w:sz w:val="24"/>
        </w:rPr>
        <w:t>Finance and Development</w:t>
      </w:r>
      <w:r>
        <w:rPr>
          <w:rFonts w:asciiTheme="majorHAnsi" w:hAnsiTheme="majorHAnsi"/>
          <w:sz w:val="24"/>
        </w:rPr>
        <w:t>, vol. 43, no. 3.</w:t>
      </w:r>
    </w:p>
    <w:p w14:paraId="13760C84" w14:textId="300CE000"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Ministry of External Affairs 2017 ‘</w:t>
      </w:r>
      <w:r w:rsidRPr="00BC77A9">
        <w:rPr>
          <w:rFonts w:asciiTheme="majorHAnsi" w:hAnsiTheme="majorHAnsi"/>
          <w:sz w:val="24"/>
        </w:rPr>
        <w:t xml:space="preserve">ASEAN-India </w:t>
      </w:r>
      <w:r>
        <w:rPr>
          <w:rFonts w:asciiTheme="majorHAnsi" w:hAnsiTheme="majorHAnsi"/>
          <w:sz w:val="24"/>
        </w:rPr>
        <w:t>r</w:t>
      </w:r>
      <w:r w:rsidRPr="00BC77A9">
        <w:rPr>
          <w:rFonts w:asciiTheme="majorHAnsi" w:hAnsiTheme="majorHAnsi"/>
          <w:sz w:val="24"/>
        </w:rPr>
        <w:t>elations</w:t>
      </w:r>
      <w:r>
        <w:rPr>
          <w:rFonts w:asciiTheme="majorHAnsi" w:hAnsiTheme="majorHAnsi"/>
          <w:sz w:val="24"/>
        </w:rPr>
        <w:t xml:space="preserve">’ </w:t>
      </w:r>
      <w:r w:rsidRPr="003878AE">
        <w:rPr>
          <w:rFonts w:asciiTheme="majorHAnsi" w:hAnsiTheme="majorHAnsi"/>
          <w:i/>
          <w:sz w:val="24"/>
        </w:rPr>
        <w:t>ASEAN India, 25 Years</w:t>
      </w:r>
      <w:r>
        <w:rPr>
          <w:rFonts w:asciiTheme="majorHAnsi" w:hAnsiTheme="majorHAnsi"/>
          <w:sz w:val="24"/>
        </w:rPr>
        <w:t xml:space="preserve">. Ministry of External Affairs, </w:t>
      </w:r>
      <w:r w:rsidRPr="00E63C75">
        <w:rPr>
          <w:rFonts w:asciiTheme="majorHAnsi" w:hAnsiTheme="majorHAnsi"/>
          <w:sz w:val="24"/>
        </w:rPr>
        <w:t>viewed 19 December, 2017).</w:t>
      </w:r>
      <w:r>
        <w:rPr>
          <w:rFonts w:asciiTheme="majorHAnsi" w:hAnsiTheme="majorHAnsi"/>
          <w:sz w:val="24"/>
        </w:rPr>
        <w:t xml:space="preserve"> </w:t>
      </w:r>
      <w:hyperlink r:id="rId33" w:history="1">
        <w:r w:rsidRPr="00822172">
          <w:rPr>
            <w:rStyle w:val="Hyperlink"/>
            <w:rFonts w:asciiTheme="majorHAnsi" w:hAnsiTheme="majorHAnsi"/>
            <w:sz w:val="24"/>
          </w:rPr>
          <w:t>http://mea.gov.in/aseanindia/20-years.htm</w:t>
        </w:r>
      </w:hyperlink>
    </w:p>
    <w:p w14:paraId="32CACCB7" w14:textId="77777777" w:rsidR="00ED22DE" w:rsidRDefault="00ED22DE" w:rsidP="00ED22DE">
      <w:pPr>
        <w:pStyle w:val="BodyText"/>
        <w:spacing w:after="120" w:line="240" w:lineRule="auto"/>
        <w:ind w:left="360"/>
        <w:rPr>
          <w:rFonts w:asciiTheme="majorHAnsi" w:hAnsiTheme="majorHAnsi"/>
          <w:sz w:val="24"/>
        </w:rPr>
      </w:pPr>
      <w:r>
        <w:rPr>
          <w:rFonts w:asciiTheme="majorHAnsi" w:hAnsiTheme="majorHAnsi"/>
          <w:sz w:val="24"/>
        </w:rPr>
        <w:t xml:space="preserve">Nguyen, TL 2017, </w:t>
      </w:r>
      <w:r>
        <w:rPr>
          <w:rFonts w:asciiTheme="majorHAnsi" w:hAnsiTheme="majorHAnsi"/>
          <w:i/>
          <w:sz w:val="24"/>
        </w:rPr>
        <w:t>Even it up: how to tackle inequality in Vietnam</w:t>
      </w:r>
      <w:r>
        <w:rPr>
          <w:rFonts w:asciiTheme="majorHAnsi" w:hAnsiTheme="majorHAnsi"/>
          <w:sz w:val="24"/>
        </w:rPr>
        <w:t>, OXFAM briefing paper, Hanoi.</w:t>
      </w:r>
    </w:p>
    <w:p w14:paraId="291C5B21"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Office of Development Effectiveness (ODE) 2017, </w:t>
      </w:r>
      <w:r w:rsidRPr="00554E07">
        <w:rPr>
          <w:rFonts w:asciiTheme="majorHAnsi" w:hAnsiTheme="majorHAnsi"/>
          <w:i/>
        </w:rPr>
        <w:t>Investing in roads: Lessons from the Eastern Indonesia National Roads Improvement Project</w:t>
      </w:r>
      <w:r w:rsidRPr="00554E07">
        <w:rPr>
          <w:rFonts w:asciiTheme="majorHAnsi" w:hAnsiTheme="majorHAnsi"/>
        </w:rPr>
        <w:t>, Australian Government, Canberra.</w:t>
      </w:r>
    </w:p>
    <w:p w14:paraId="3FE0C1E0"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ODE 2016, </w:t>
      </w:r>
      <w:r w:rsidRPr="00554E07">
        <w:rPr>
          <w:rFonts w:asciiTheme="majorHAnsi" w:hAnsiTheme="majorHAnsi"/>
          <w:i/>
        </w:rPr>
        <w:t>Gearing up for trade: Australia’s support for trade facilitation programs</w:t>
      </w:r>
      <w:r w:rsidRPr="00554E07">
        <w:rPr>
          <w:rFonts w:asciiTheme="majorHAnsi" w:hAnsiTheme="majorHAnsi"/>
        </w:rPr>
        <w:t>, Australian Government, Canberra.</w:t>
      </w:r>
    </w:p>
    <w:p w14:paraId="2C7A93C1" w14:textId="77777777" w:rsidR="00ED22DE" w:rsidRPr="00554E07" w:rsidRDefault="00ED22DE" w:rsidP="00ED22DE">
      <w:pPr>
        <w:spacing w:after="120"/>
        <w:ind w:left="360"/>
        <w:rPr>
          <w:rFonts w:asciiTheme="majorHAnsi" w:hAnsiTheme="majorHAnsi"/>
        </w:rPr>
      </w:pPr>
      <w:r w:rsidRPr="00554E07">
        <w:rPr>
          <w:rFonts w:asciiTheme="majorHAnsi" w:hAnsiTheme="majorHAnsi"/>
        </w:rPr>
        <w:t>ODE 2007,</w:t>
      </w:r>
      <w:r w:rsidRPr="00554E07">
        <w:rPr>
          <w:rFonts w:asciiTheme="majorHAnsi" w:hAnsiTheme="majorHAnsi"/>
          <w:i/>
        </w:rPr>
        <w:t xml:space="preserve"> Assessment of the Indonesia Country Program Strategy 2003–2006</w:t>
      </w:r>
      <w:r w:rsidRPr="00554E07">
        <w:rPr>
          <w:rFonts w:asciiTheme="majorHAnsi" w:hAnsiTheme="majorHAnsi"/>
        </w:rPr>
        <w:t>, Australian Government, Canberra.</w:t>
      </w:r>
    </w:p>
    <w:p w14:paraId="758323BC"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Overseas Development Institute, German Development Institute, European Centre for Development Policy Management, University of Athens and the Southern Voice Network 2015, </w:t>
      </w:r>
      <w:r w:rsidRPr="00554E07">
        <w:rPr>
          <w:rFonts w:asciiTheme="majorHAnsi" w:hAnsiTheme="majorHAnsi"/>
          <w:i/>
        </w:rPr>
        <w:t>European Report on Development 2015: Combining finance and policies to implement a transformative post-2015 development agenda,</w:t>
      </w:r>
      <w:r w:rsidRPr="00554E07">
        <w:rPr>
          <w:rFonts w:asciiTheme="majorHAnsi" w:hAnsiTheme="majorHAnsi"/>
        </w:rPr>
        <w:t xml:space="preserve"> Brussels.</w:t>
      </w:r>
    </w:p>
    <w:p w14:paraId="42FECE38"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Organisation for Economic Co-operation and Development (OECD) 2018, </w:t>
      </w:r>
      <w:r w:rsidRPr="00554E07">
        <w:rPr>
          <w:rFonts w:asciiTheme="majorHAnsi" w:hAnsiTheme="majorHAnsi"/>
          <w:i/>
        </w:rPr>
        <w:t xml:space="preserve">Geographical distribution of financial flows to developing countries 2018: disbursements, commitments, country indicators, </w:t>
      </w:r>
      <w:r w:rsidRPr="00554E07">
        <w:rPr>
          <w:rFonts w:asciiTheme="majorHAnsi" w:hAnsiTheme="majorHAnsi"/>
        </w:rPr>
        <w:t>OECD Publishing,</w:t>
      </w:r>
      <w:r w:rsidRPr="00554E07">
        <w:rPr>
          <w:rFonts w:asciiTheme="majorHAnsi" w:hAnsiTheme="majorHAnsi"/>
          <w:i/>
        </w:rPr>
        <w:t xml:space="preserve"> </w:t>
      </w:r>
      <w:r w:rsidRPr="00554E07">
        <w:rPr>
          <w:rFonts w:asciiTheme="majorHAnsi" w:hAnsiTheme="majorHAnsi"/>
        </w:rPr>
        <w:t>Paris.</w:t>
      </w:r>
    </w:p>
    <w:p w14:paraId="443A1BFA"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OECD 2018, </w:t>
      </w:r>
      <w:r w:rsidRPr="00554E07">
        <w:rPr>
          <w:rFonts w:asciiTheme="majorHAnsi" w:hAnsiTheme="majorHAnsi"/>
          <w:i/>
        </w:rPr>
        <w:t>OECD development co-operation peer reviews: Australia</w:t>
      </w:r>
      <w:r w:rsidRPr="00554E07">
        <w:rPr>
          <w:rFonts w:asciiTheme="majorHAnsi" w:hAnsiTheme="majorHAnsi"/>
        </w:rPr>
        <w:t>, OECD Development Co-operation Peer Reviews, OECD Publishing, Paris.</w:t>
      </w:r>
    </w:p>
    <w:p w14:paraId="0450134D" w14:textId="77777777" w:rsidR="00ED22DE" w:rsidRPr="00554E07" w:rsidRDefault="00ED22DE" w:rsidP="00ED22DE">
      <w:pPr>
        <w:spacing w:after="120"/>
        <w:ind w:left="360"/>
        <w:rPr>
          <w:rFonts w:asciiTheme="majorHAnsi" w:hAnsiTheme="majorHAnsi"/>
          <w:i/>
        </w:rPr>
      </w:pPr>
      <w:r w:rsidRPr="00554E07">
        <w:rPr>
          <w:rFonts w:asciiTheme="majorHAnsi" w:hAnsiTheme="majorHAnsi"/>
        </w:rPr>
        <w:t xml:space="preserve">OECD 2017, </w:t>
      </w:r>
      <w:r w:rsidRPr="00554E07">
        <w:rPr>
          <w:rFonts w:asciiTheme="majorHAnsi" w:hAnsiTheme="majorHAnsi"/>
          <w:i/>
        </w:rPr>
        <w:t>Development co-operation report 2017: data for development</w:t>
      </w:r>
      <w:r w:rsidRPr="00554E07">
        <w:rPr>
          <w:rFonts w:asciiTheme="majorHAnsi" w:hAnsiTheme="majorHAnsi"/>
        </w:rPr>
        <w:t>. OECD Publishing, Paris.</w:t>
      </w:r>
    </w:p>
    <w:p w14:paraId="0F011D69" w14:textId="77777777" w:rsidR="00ED22DE" w:rsidRPr="00554E07" w:rsidRDefault="00ED22DE" w:rsidP="00ED22DE">
      <w:pPr>
        <w:spacing w:after="120"/>
        <w:ind w:left="360"/>
        <w:rPr>
          <w:rFonts w:asciiTheme="majorHAnsi" w:hAnsiTheme="majorHAnsi"/>
          <w:i/>
        </w:rPr>
      </w:pPr>
      <w:r w:rsidRPr="00A62F4B">
        <w:rPr>
          <w:rFonts w:asciiTheme="majorHAnsi" w:hAnsiTheme="majorHAnsi"/>
        </w:rPr>
        <w:lastRenderedPageBreak/>
        <w:t>OECD,</w:t>
      </w:r>
      <w:r w:rsidRPr="00554E07">
        <w:rPr>
          <w:rFonts w:asciiTheme="majorHAnsi" w:hAnsiTheme="majorHAnsi"/>
          <w:i/>
        </w:rPr>
        <w:t xml:space="preserve"> ‘</w:t>
      </w:r>
      <w:r w:rsidRPr="00A62F4B">
        <w:rPr>
          <w:rFonts w:asciiTheme="majorHAnsi" w:hAnsiTheme="majorHAnsi"/>
        </w:rPr>
        <w:t>Revenue statistics-OECD countries</w:t>
      </w:r>
      <w:r w:rsidRPr="00554E07">
        <w:rPr>
          <w:rFonts w:asciiTheme="majorHAnsi" w:hAnsiTheme="majorHAnsi"/>
          <w:i/>
        </w:rPr>
        <w:t xml:space="preserve">’, OECD.Stat, </w:t>
      </w:r>
      <w:r w:rsidRPr="00A62F4B">
        <w:rPr>
          <w:rFonts w:asciiTheme="majorHAnsi" w:hAnsiTheme="majorHAnsi"/>
        </w:rPr>
        <w:t>OECD, viewed 19 December 2017.</w:t>
      </w:r>
      <w:r w:rsidRPr="00554E07">
        <w:rPr>
          <w:rFonts w:asciiTheme="majorHAnsi" w:hAnsiTheme="majorHAnsi"/>
          <w:i/>
        </w:rPr>
        <w:t xml:space="preserve"> </w:t>
      </w:r>
      <w:hyperlink r:id="rId34" w:history="1">
        <w:r w:rsidRPr="00554E07">
          <w:rPr>
            <w:rStyle w:val="Hyperlink"/>
            <w:rFonts w:asciiTheme="majorHAnsi" w:hAnsiTheme="majorHAnsi"/>
            <w:i/>
          </w:rPr>
          <w:t>https://stats.oecd.org/index.aspx?DataSetCode=REV</w:t>
        </w:r>
      </w:hyperlink>
    </w:p>
    <w:p w14:paraId="38D1ED9B"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PwC 2016, </w:t>
      </w:r>
      <w:r w:rsidRPr="00554E07">
        <w:rPr>
          <w:rFonts w:asciiTheme="majorHAnsi" w:hAnsiTheme="majorHAnsi"/>
          <w:i/>
        </w:rPr>
        <w:t>Indonesian infrastructure: stable foundations for growth</w:t>
      </w:r>
      <w:r w:rsidRPr="00554E07">
        <w:rPr>
          <w:rFonts w:asciiTheme="majorHAnsi" w:hAnsiTheme="majorHAnsi"/>
        </w:rPr>
        <w:t>, pwc Indonesia, Jakarta.</w:t>
      </w:r>
    </w:p>
    <w:p w14:paraId="68953071" w14:textId="5340C8B5" w:rsidR="00ED22DE" w:rsidRPr="00554E07" w:rsidRDefault="00ED22DE" w:rsidP="00ED22DE">
      <w:pPr>
        <w:spacing w:after="120"/>
        <w:ind w:left="360"/>
        <w:rPr>
          <w:rFonts w:asciiTheme="majorHAnsi" w:hAnsiTheme="majorHAnsi"/>
        </w:rPr>
      </w:pPr>
      <w:r w:rsidRPr="00554E07">
        <w:rPr>
          <w:rFonts w:asciiTheme="majorHAnsi" w:hAnsiTheme="majorHAnsi"/>
        </w:rPr>
        <w:t xml:space="preserve">Sri Indrarwati, M 2015, ‘The transformation of the Indonesia economy in challenging times’, Transcript of </w:t>
      </w:r>
      <w:r w:rsidR="009A65C3">
        <w:rPr>
          <w:rFonts w:asciiTheme="majorHAnsi" w:hAnsiTheme="majorHAnsi"/>
        </w:rPr>
        <w:t>s</w:t>
      </w:r>
      <w:r w:rsidRPr="00554E07">
        <w:rPr>
          <w:rFonts w:asciiTheme="majorHAnsi" w:hAnsiTheme="majorHAnsi"/>
        </w:rPr>
        <w:t xml:space="preserve">peech given at Columbia University, 30 November, World Bank, New York. </w:t>
      </w:r>
    </w:p>
    <w:p w14:paraId="3E7056C9" w14:textId="6E94AE14" w:rsidR="00ED22DE" w:rsidRPr="00554E07" w:rsidRDefault="00ED22DE" w:rsidP="00ED22DE">
      <w:pPr>
        <w:spacing w:after="120"/>
        <w:ind w:left="360"/>
        <w:rPr>
          <w:rFonts w:asciiTheme="majorHAnsi" w:hAnsiTheme="majorHAnsi"/>
        </w:rPr>
      </w:pPr>
      <w:r w:rsidRPr="00554E07">
        <w:rPr>
          <w:rFonts w:asciiTheme="majorHAnsi" w:hAnsiTheme="majorHAnsi"/>
        </w:rPr>
        <w:t xml:space="preserve">Tambunan, T 2010, ‘The Indonesian experience with two big economic crises’, </w:t>
      </w:r>
      <w:r w:rsidRPr="00554E07">
        <w:rPr>
          <w:rFonts w:asciiTheme="majorHAnsi" w:hAnsiTheme="majorHAnsi"/>
          <w:i/>
        </w:rPr>
        <w:t>Modern Economy</w:t>
      </w:r>
      <w:r w:rsidRPr="00554E07">
        <w:rPr>
          <w:rFonts w:asciiTheme="majorHAnsi" w:hAnsiTheme="majorHAnsi"/>
        </w:rPr>
        <w:t>, vol. 1, no. 3, pp. 156</w:t>
      </w:r>
      <w:r w:rsidR="00000AA1">
        <w:rPr>
          <w:rFonts w:asciiTheme="majorHAnsi" w:hAnsiTheme="majorHAnsi"/>
        </w:rPr>
        <w:t>–</w:t>
      </w:r>
      <w:r w:rsidRPr="00554E07">
        <w:rPr>
          <w:rFonts w:asciiTheme="majorHAnsi" w:hAnsiTheme="majorHAnsi"/>
        </w:rPr>
        <w:t>67.</w:t>
      </w:r>
    </w:p>
    <w:p w14:paraId="76BE40E5"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Varghese, P 2016, </w:t>
      </w:r>
      <w:r w:rsidRPr="00554E07">
        <w:rPr>
          <w:rFonts w:asciiTheme="majorHAnsi" w:hAnsiTheme="majorHAnsi"/>
          <w:i/>
        </w:rPr>
        <w:t>2016 Australasian aid conference</w:t>
      </w:r>
      <w:r w:rsidRPr="00554E07">
        <w:rPr>
          <w:rFonts w:asciiTheme="majorHAnsi" w:hAnsiTheme="majorHAnsi"/>
        </w:rPr>
        <w:t>, Transcript of speech by the Secretary of the Department of Foreign Affairs on 10 February, Australian Government, Canberra.</w:t>
      </w:r>
    </w:p>
    <w:p w14:paraId="7BCC9643" w14:textId="77274755" w:rsidR="00ED22DE" w:rsidRPr="00554E07" w:rsidRDefault="00ED22DE" w:rsidP="00ED22DE">
      <w:pPr>
        <w:spacing w:after="120"/>
        <w:ind w:left="360"/>
        <w:rPr>
          <w:rFonts w:asciiTheme="majorHAnsi" w:hAnsiTheme="majorHAnsi"/>
        </w:rPr>
      </w:pPr>
      <w:r w:rsidRPr="00554E07">
        <w:rPr>
          <w:rFonts w:asciiTheme="majorHAnsi" w:hAnsiTheme="majorHAnsi"/>
        </w:rPr>
        <w:t>van der Eng, P 2017, ‘Why does Indonesia seem to prefer foreign aid from China?’</w:t>
      </w:r>
      <w:r w:rsidRPr="00554E07">
        <w:rPr>
          <w:rFonts w:asciiTheme="majorHAnsi" w:hAnsiTheme="majorHAnsi"/>
          <w:i/>
        </w:rPr>
        <w:t xml:space="preserve">, East Asia Forum </w:t>
      </w:r>
      <w:r w:rsidRPr="00554E07">
        <w:rPr>
          <w:rFonts w:asciiTheme="majorHAnsi" w:hAnsiTheme="majorHAnsi"/>
        </w:rPr>
        <w:t>(online)</w:t>
      </w:r>
      <w:r w:rsidRPr="00554E07">
        <w:rPr>
          <w:rFonts w:asciiTheme="majorHAnsi" w:hAnsiTheme="majorHAnsi"/>
          <w:i/>
        </w:rPr>
        <w:t>,</w:t>
      </w:r>
      <w:r w:rsidRPr="00554E07">
        <w:rPr>
          <w:rFonts w:asciiTheme="majorHAnsi" w:hAnsiTheme="majorHAnsi"/>
        </w:rPr>
        <w:t xml:space="preserve"> 2 December.</w:t>
      </w:r>
    </w:p>
    <w:p w14:paraId="72AD78F4" w14:textId="2B10D8C1" w:rsidR="00ED22DE" w:rsidRPr="00554E07" w:rsidRDefault="00ED22DE" w:rsidP="00ED22DE">
      <w:pPr>
        <w:spacing w:after="120"/>
        <w:ind w:left="360"/>
        <w:rPr>
          <w:rFonts w:asciiTheme="majorHAnsi" w:hAnsiTheme="majorHAnsi"/>
        </w:rPr>
      </w:pPr>
      <w:r w:rsidRPr="00554E07">
        <w:rPr>
          <w:rFonts w:asciiTheme="majorHAnsi" w:hAnsiTheme="majorHAnsi"/>
        </w:rPr>
        <w:t xml:space="preserve">Vietnam Government 2013, </w:t>
      </w:r>
      <w:r w:rsidRPr="00554E07">
        <w:rPr>
          <w:rFonts w:asciiTheme="majorHAnsi" w:hAnsiTheme="majorHAnsi"/>
          <w:i/>
        </w:rPr>
        <w:t>Master plan on economic restructuring in association with conversion of the growth model towards improving quality, efficiency and competitiveness during the 2013</w:t>
      </w:r>
      <w:r w:rsidR="009A65C3">
        <w:rPr>
          <w:rFonts w:asciiTheme="majorHAnsi" w:hAnsiTheme="majorHAnsi"/>
          <w:i/>
        </w:rPr>
        <w:t>–</w:t>
      </w:r>
      <w:r w:rsidRPr="00554E07">
        <w:rPr>
          <w:rFonts w:asciiTheme="majorHAnsi" w:hAnsiTheme="majorHAnsi"/>
          <w:i/>
        </w:rPr>
        <w:t>2020 period</w:t>
      </w:r>
      <w:r w:rsidRPr="00554E07">
        <w:rPr>
          <w:rFonts w:asciiTheme="majorHAnsi" w:hAnsiTheme="majorHAnsi"/>
        </w:rPr>
        <w:t>, Vietnam Government Portal, Hanoi.</w:t>
      </w:r>
    </w:p>
    <w:p w14:paraId="04062926" w14:textId="586B3090" w:rsidR="00ED22DE" w:rsidRPr="00554E07" w:rsidRDefault="00ED22DE" w:rsidP="00ED22DE">
      <w:pPr>
        <w:spacing w:after="120"/>
        <w:ind w:left="360"/>
        <w:rPr>
          <w:rFonts w:asciiTheme="majorHAnsi" w:hAnsiTheme="majorHAnsi"/>
        </w:rPr>
      </w:pPr>
      <w:r w:rsidRPr="00554E07">
        <w:rPr>
          <w:rFonts w:asciiTheme="majorHAnsi" w:hAnsiTheme="majorHAnsi"/>
        </w:rPr>
        <w:t xml:space="preserve">Wang, Y 2016, ‘The Political Economy of the Middle-Income Trap: Implications for potential growth’, </w:t>
      </w:r>
      <w:r w:rsidRPr="00554E07">
        <w:rPr>
          <w:rFonts w:asciiTheme="majorHAnsi" w:hAnsiTheme="majorHAnsi"/>
          <w:i/>
        </w:rPr>
        <w:t>Asian Development Review</w:t>
      </w:r>
      <w:r w:rsidRPr="00554E07">
        <w:rPr>
          <w:rFonts w:asciiTheme="majorHAnsi" w:hAnsiTheme="majorHAnsi"/>
        </w:rPr>
        <w:t>, vol. 33, no. 2, pp. 167</w:t>
      </w:r>
      <w:r w:rsidR="00000AA1">
        <w:rPr>
          <w:rFonts w:asciiTheme="majorHAnsi" w:hAnsiTheme="majorHAnsi"/>
        </w:rPr>
        <w:t>–</w:t>
      </w:r>
      <w:r w:rsidRPr="00554E07">
        <w:rPr>
          <w:rFonts w:asciiTheme="majorHAnsi" w:hAnsiTheme="majorHAnsi"/>
        </w:rPr>
        <w:t>81.</w:t>
      </w:r>
    </w:p>
    <w:p w14:paraId="7B6537B2"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Development Committee 2018, </w:t>
      </w:r>
      <w:r w:rsidRPr="00554E07">
        <w:rPr>
          <w:rFonts w:asciiTheme="majorHAnsi" w:hAnsiTheme="majorHAnsi"/>
          <w:i/>
        </w:rPr>
        <w:t>Forward look: a vision for the World Bank Group in 2030—</w:t>
      </w:r>
      <w:r w:rsidRPr="00554E07">
        <w:rPr>
          <w:rFonts w:asciiTheme="majorHAnsi" w:hAnsiTheme="majorHAnsi"/>
        </w:rPr>
        <w:t>implementation update, World Bank, Washington D.C.</w:t>
      </w:r>
    </w:p>
    <w:p w14:paraId="75169DE6"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n.d., </w:t>
      </w:r>
      <w:r w:rsidRPr="00554E07">
        <w:rPr>
          <w:rFonts w:asciiTheme="majorHAnsi" w:hAnsiTheme="majorHAnsi"/>
          <w:i/>
        </w:rPr>
        <w:t>Aspiring Indonesia: expanding the middle class</w:t>
      </w:r>
      <w:r w:rsidRPr="00554E07">
        <w:rPr>
          <w:rFonts w:asciiTheme="majorHAnsi" w:hAnsiTheme="majorHAnsi"/>
        </w:rPr>
        <w:t xml:space="preserve">, World Bank, Jakarta (unpublished). </w:t>
      </w:r>
    </w:p>
    <w:p w14:paraId="7FB472AB"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2018, </w:t>
      </w:r>
      <w:r w:rsidRPr="00554E07">
        <w:rPr>
          <w:rFonts w:asciiTheme="majorHAnsi" w:hAnsiTheme="majorHAnsi"/>
          <w:i/>
        </w:rPr>
        <w:t>Riding the wave: an east Asian miracle for the 21st century</w:t>
      </w:r>
      <w:r w:rsidRPr="00554E07">
        <w:rPr>
          <w:rFonts w:asciiTheme="majorHAnsi" w:hAnsiTheme="majorHAnsi"/>
        </w:rPr>
        <w:t>, World Bank East Asia and Pacific Regional Report, World Bank, Washington D.C.</w:t>
      </w:r>
    </w:p>
    <w:p w14:paraId="489FFC89" w14:textId="2462BD42" w:rsidR="00ED22DE" w:rsidRDefault="00ED22DE" w:rsidP="00ED22DE">
      <w:pPr>
        <w:spacing w:after="120"/>
        <w:ind w:left="360"/>
        <w:rPr>
          <w:rFonts w:asciiTheme="majorHAnsi" w:hAnsiTheme="majorHAnsi"/>
        </w:rPr>
      </w:pPr>
      <w:r w:rsidRPr="00554E07">
        <w:rPr>
          <w:rFonts w:asciiTheme="majorHAnsi" w:hAnsiTheme="majorHAnsi"/>
        </w:rPr>
        <w:t xml:space="preserve">World Bank 2018, </w:t>
      </w:r>
      <w:r w:rsidRPr="00554E07">
        <w:rPr>
          <w:rFonts w:asciiTheme="majorHAnsi" w:hAnsiTheme="majorHAnsi"/>
          <w:i/>
        </w:rPr>
        <w:t>‘</w:t>
      </w:r>
      <w:r w:rsidRPr="00554E07">
        <w:rPr>
          <w:rFonts w:asciiTheme="majorHAnsi" w:hAnsiTheme="majorHAnsi"/>
        </w:rPr>
        <w:t xml:space="preserve">Overview’, </w:t>
      </w:r>
      <w:r w:rsidRPr="00554E07">
        <w:rPr>
          <w:rFonts w:asciiTheme="majorHAnsi" w:hAnsiTheme="majorHAnsi"/>
          <w:i/>
        </w:rPr>
        <w:t>The World Bank in Vietnam</w:t>
      </w:r>
      <w:r w:rsidRPr="00554E07">
        <w:rPr>
          <w:rFonts w:asciiTheme="majorHAnsi" w:hAnsiTheme="majorHAnsi"/>
        </w:rPr>
        <w:t>, World Bank, Hanoi</w:t>
      </w:r>
      <w:r w:rsidR="00000AA1">
        <w:rPr>
          <w:rFonts w:asciiTheme="majorHAnsi" w:hAnsiTheme="majorHAnsi"/>
        </w:rPr>
        <w:t>.</w:t>
      </w:r>
      <w:r w:rsidR="00A62F4B">
        <w:rPr>
          <w:rFonts w:asciiTheme="majorHAnsi" w:hAnsiTheme="majorHAnsi"/>
        </w:rPr>
        <w:t xml:space="preserve"> </w:t>
      </w:r>
      <w:hyperlink r:id="rId35" w:history="1">
        <w:r w:rsidR="00000AA1" w:rsidRPr="00000AA1">
          <w:rPr>
            <w:rStyle w:val="Hyperlink"/>
            <w:rFonts w:asciiTheme="majorHAnsi" w:hAnsiTheme="majorHAnsi"/>
          </w:rPr>
          <w:t>http://www.worldbank.org/en/country/vietnam/overview</w:t>
        </w:r>
      </w:hyperlink>
      <w:r w:rsidRPr="00554E07">
        <w:rPr>
          <w:rFonts w:asciiTheme="majorHAnsi" w:hAnsiTheme="majorHAnsi"/>
        </w:rPr>
        <w:t>.</w:t>
      </w:r>
    </w:p>
    <w:p w14:paraId="3CA7FBB2" w14:textId="0CA9512D"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2017, </w:t>
      </w:r>
      <w:r w:rsidRPr="00554E07">
        <w:rPr>
          <w:rFonts w:asciiTheme="majorHAnsi" w:hAnsiTheme="majorHAnsi"/>
          <w:i/>
        </w:rPr>
        <w:t>Indonesia: basing infrastructure investment on more solid ground</w:t>
      </w:r>
      <w:r w:rsidRPr="00554E07">
        <w:rPr>
          <w:rFonts w:asciiTheme="majorHAnsi" w:hAnsiTheme="majorHAnsi"/>
        </w:rPr>
        <w:t xml:space="preserve">, World Bank </w:t>
      </w:r>
      <w:r w:rsidR="009A65C3">
        <w:rPr>
          <w:rFonts w:asciiTheme="majorHAnsi" w:hAnsiTheme="majorHAnsi"/>
        </w:rPr>
        <w:t>f</w:t>
      </w:r>
      <w:r w:rsidRPr="00554E07">
        <w:rPr>
          <w:rFonts w:asciiTheme="majorHAnsi" w:hAnsiTheme="majorHAnsi"/>
        </w:rPr>
        <w:t xml:space="preserve">eature </w:t>
      </w:r>
      <w:r w:rsidR="009A65C3">
        <w:rPr>
          <w:rFonts w:asciiTheme="majorHAnsi" w:hAnsiTheme="majorHAnsi"/>
        </w:rPr>
        <w:t>s</w:t>
      </w:r>
      <w:r w:rsidRPr="00554E07">
        <w:rPr>
          <w:rFonts w:asciiTheme="majorHAnsi" w:hAnsiTheme="majorHAnsi"/>
        </w:rPr>
        <w:t>tory, World Bank Indonesia, Jakarta.</w:t>
      </w:r>
    </w:p>
    <w:p w14:paraId="136FB309" w14:textId="551F9AED"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2017, </w:t>
      </w:r>
      <w:r w:rsidRPr="00554E07">
        <w:rPr>
          <w:rFonts w:asciiTheme="majorHAnsi" w:hAnsiTheme="majorHAnsi"/>
          <w:i/>
        </w:rPr>
        <w:t>Project paper on Indonesia Infrastructure Finance Facility</w:t>
      </w:r>
      <w:r w:rsidR="009A65C3">
        <w:rPr>
          <w:rFonts w:asciiTheme="majorHAnsi" w:hAnsiTheme="majorHAnsi"/>
          <w:i/>
        </w:rPr>
        <w:t>—</w:t>
      </w:r>
      <w:r w:rsidRPr="00554E07">
        <w:rPr>
          <w:rFonts w:asciiTheme="majorHAnsi" w:hAnsiTheme="majorHAnsi"/>
          <w:i/>
        </w:rPr>
        <w:t>Additional Financing</w:t>
      </w:r>
      <w:r w:rsidRPr="00554E07">
        <w:rPr>
          <w:rFonts w:asciiTheme="majorHAnsi" w:hAnsiTheme="majorHAnsi"/>
        </w:rPr>
        <w:t>, World Bank East Asia and Pacific Region Report PAD1571, World Bank</w:t>
      </w:r>
      <w:r w:rsidR="009A65C3">
        <w:rPr>
          <w:rFonts w:asciiTheme="majorHAnsi" w:hAnsiTheme="majorHAnsi"/>
        </w:rPr>
        <w:t>,</w:t>
      </w:r>
      <w:r w:rsidRPr="00554E07">
        <w:rPr>
          <w:rFonts w:asciiTheme="majorHAnsi" w:hAnsiTheme="majorHAnsi"/>
        </w:rPr>
        <w:t xml:space="preserve"> Jakarta.</w:t>
      </w:r>
    </w:p>
    <w:p w14:paraId="3F340BCE" w14:textId="28377F90"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n.d., </w:t>
      </w:r>
      <w:r w:rsidRPr="00554E07">
        <w:rPr>
          <w:rFonts w:asciiTheme="majorHAnsi" w:hAnsiTheme="majorHAnsi"/>
          <w:i/>
        </w:rPr>
        <w:t>World Bank DataBank</w:t>
      </w:r>
      <w:r w:rsidRPr="00554E07">
        <w:rPr>
          <w:rFonts w:asciiTheme="majorHAnsi" w:hAnsiTheme="majorHAnsi"/>
        </w:rPr>
        <w:t xml:space="preserve">, World Bank, viewed December 2017. </w:t>
      </w:r>
      <w:hyperlink r:id="rId36" w:history="1">
        <w:r w:rsidRPr="00554E07">
          <w:rPr>
            <w:rStyle w:val="Hyperlink"/>
            <w:rFonts w:asciiTheme="majorHAnsi" w:hAnsiTheme="majorHAnsi"/>
          </w:rPr>
          <w:t>http://databank.worldbank.org/data/home.aspx</w:t>
        </w:r>
      </w:hyperlink>
    </w:p>
    <w:p w14:paraId="4AB5A5C4" w14:textId="2671171E"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2016, </w:t>
      </w:r>
      <w:r w:rsidRPr="00554E07">
        <w:rPr>
          <w:rFonts w:asciiTheme="majorHAnsi" w:hAnsiTheme="majorHAnsi"/>
          <w:i/>
        </w:rPr>
        <w:t xml:space="preserve">Indonesia’s rising divide: why </w:t>
      </w:r>
      <w:r w:rsidR="009A65C3">
        <w:rPr>
          <w:rFonts w:asciiTheme="majorHAnsi" w:hAnsiTheme="majorHAnsi"/>
          <w:i/>
        </w:rPr>
        <w:t>i</w:t>
      </w:r>
      <w:r w:rsidRPr="00554E07">
        <w:rPr>
          <w:rFonts w:asciiTheme="majorHAnsi" w:hAnsiTheme="majorHAnsi"/>
          <w:i/>
        </w:rPr>
        <w:t>nequality is rising, why it matters and what can be done</w:t>
      </w:r>
      <w:r w:rsidRPr="00554E07">
        <w:rPr>
          <w:rFonts w:asciiTheme="majorHAnsi" w:hAnsiTheme="majorHAnsi"/>
        </w:rPr>
        <w:t>, World Bank, Washington D.C.</w:t>
      </w:r>
    </w:p>
    <w:p w14:paraId="35A5386E" w14:textId="77777777" w:rsidR="00ED22DE" w:rsidRPr="00554E07" w:rsidRDefault="00ED22DE" w:rsidP="00ED22DE">
      <w:pPr>
        <w:spacing w:after="120"/>
        <w:ind w:left="360"/>
        <w:rPr>
          <w:rFonts w:asciiTheme="majorHAnsi" w:hAnsiTheme="majorHAnsi"/>
        </w:rPr>
      </w:pPr>
      <w:r w:rsidRPr="00554E07">
        <w:rPr>
          <w:rFonts w:asciiTheme="majorHAnsi" w:hAnsiTheme="majorHAnsi"/>
        </w:rPr>
        <w:t xml:space="preserve">World Bank 2009, ‘Indonesia 2014 and beyond: a selective look’, </w:t>
      </w:r>
      <w:r w:rsidRPr="00554E07">
        <w:rPr>
          <w:rFonts w:asciiTheme="majorHAnsi" w:hAnsiTheme="majorHAnsi"/>
          <w:i/>
        </w:rPr>
        <w:t>Indonesia Economic Quarterly: Back on Track?</w:t>
      </w:r>
      <w:r w:rsidRPr="00554E07">
        <w:rPr>
          <w:rFonts w:asciiTheme="majorHAnsi" w:hAnsiTheme="majorHAnsi"/>
        </w:rPr>
        <w:t>, World Bank, Jakarta.</w:t>
      </w:r>
    </w:p>
    <w:p w14:paraId="1513D23A" w14:textId="77777777" w:rsidR="00F80458" w:rsidRDefault="00F80458">
      <w:pPr>
        <w:rPr>
          <w:rFonts w:asciiTheme="majorHAnsi" w:hAnsiTheme="majorHAnsi"/>
        </w:rPr>
      </w:pPr>
      <w:r>
        <w:rPr>
          <w:rFonts w:asciiTheme="majorHAnsi" w:hAnsiTheme="majorHAnsi"/>
        </w:rPr>
        <w:br w:type="page"/>
      </w:r>
    </w:p>
    <w:p w14:paraId="1E72A0D7" w14:textId="5B70E526" w:rsidR="00ED22DE" w:rsidRPr="00554E07" w:rsidRDefault="00ED22DE" w:rsidP="00ED22DE">
      <w:pPr>
        <w:spacing w:after="120"/>
        <w:ind w:left="360"/>
        <w:rPr>
          <w:rFonts w:asciiTheme="majorHAnsi" w:hAnsiTheme="majorHAnsi"/>
        </w:rPr>
      </w:pPr>
      <w:r w:rsidRPr="00554E07">
        <w:rPr>
          <w:rFonts w:asciiTheme="majorHAnsi" w:hAnsiTheme="majorHAnsi"/>
        </w:rPr>
        <w:lastRenderedPageBreak/>
        <w:t xml:space="preserve">World Bank and the Development Research Center of the State Council, P.R. China 2013, </w:t>
      </w:r>
      <w:r w:rsidRPr="00554E07">
        <w:rPr>
          <w:rFonts w:asciiTheme="majorHAnsi" w:hAnsiTheme="majorHAnsi"/>
          <w:i/>
        </w:rPr>
        <w:t>China 2030: building a modern, harmonious, and creative society</w:t>
      </w:r>
      <w:r w:rsidRPr="00554E07">
        <w:rPr>
          <w:rFonts w:asciiTheme="majorHAnsi" w:hAnsiTheme="majorHAnsi"/>
        </w:rPr>
        <w:t xml:space="preserve">, World Bank, Washington D.C. </w:t>
      </w:r>
    </w:p>
    <w:p w14:paraId="2E911985" w14:textId="77777777" w:rsidR="00ED22DE" w:rsidRDefault="00ED22DE" w:rsidP="00ED22DE">
      <w:pPr>
        <w:spacing w:after="120"/>
        <w:ind w:left="360"/>
        <w:rPr>
          <w:rFonts w:asciiTheme="majorHAnsi" w:hAnsiTheme="majorHAnsi"/>
        </w:rPr>
      </w:pPr>
      <w:r w:rsidRPr="00554E07">
        <w:rPr>
          <w:rFonts w:asciiTheme="majorHAnsi" w:hAnsiTheme="majorHAnsi"/>
        </w:rPr>
        <w:t xml:space="preserve">World Bank Group and Ministry of Planning and Investment 2016, </w:t>
      </w:r>
      <w:r w:rsidRPr="00554E07">
        <w:rPr>
          <w:rFonts w:asciiTheme="majorHAnsi" w:hAnsiTheme="majorHAnsi"/>
          <w:i/>
        </w:rPr>
        <w:t>Vietnam 2035: toward prosperity, creativity, equity, and democracy</w:t>
      </w:r>
      <w:r w:rsidRPr="00554E07">
        <w:rPr>
          <w:rFonts w:asciiTheme="majorHAnsi" w:hAnsiTheme="majorHAnsi"/>
        </w:rPr>
        <w:t>, World Bank, Washington D.C.</w:t>
      </w:r>
    </w:p>
    <w:p w14:paraId="27979587" w14:textId="77777777" w:rsidR="00ED22DE" w:rsidRDefault="00ED22DE" w:rsidP="00ED22DE">
      <w:pPr>
        <w:spacing w:before="240"/>
        <w:rPr>
          <w:rFonts w:asciiTheme="majorHAnsi" w:eastAsiaTheme="majorEastAsia" w:hAnsiTheme="majorHAnsi" w:cstheme="majorBidi"/>
          <w:b/>
          <w:caps/>
          <w:color w:val="005C66" w:themeColor="accent1" w:themeShade="BF"/>
          <w:spacing w:val="12"/>
        </w:rPr>
      </w:pPr>
      <w:r>
        <w:rPr>
          <w:rFonts w:asciiTheme="majorHAnsi" w:eastAsiaTheme="majorEastAsia" w:hAnsiTheme="majorHAnsi" w:cstheme="majorBidi"/>
          <w:b/>
          <w:caps/>
          <w:color w:val="005C66" w:themeColor="accent1" w:themeShade="BF"/>
          <w:spacing w:val="12"/>
        </w:rPr>
        <w:t>Additional Documents reviewed</w:t>
      </w:r>
    </w:p>
    <w:p w14:paraId="7D502339" w14:textId="705FAE0D" w:rsidR="00ED22DE" w:rsidRDefault="00ED22DE" w:rsidP="00ED22DE">
      <w:pPr>
        <w:rPr>
          <w:rFonts w:asciiTheme="majorHAnsi" w:hAnsiTheme="majorHAnsi" w:cstheme="majorHAnsi"/>
          <w:b/>
          <w:i/>
        </w:rPr>
      </w:pPr>
      <w:r>
        <w:rPr>
          <w:rFonts w:asciiTheme="majorHAnsi" w:hAnsiTheme="majorHAnsi" w:cstheme="majorHAnsi"/>
          <w:b/>
          <w:i/>
        </w:rPr>
        <w:t xml:space="preserve">DFAT policy and background documents </w:t>
      </w:r>
    </w:p>
    <w:p w14:paraId="066430FB" w14:textId="499939C4" w:rsidR="00ED22DE" w:rsidRDefault="00ED22DE" w:rsidP="00ED22DE">
      <w:pPr>
        <w:spacing w:after="120"/>
        <w:rPr>
          <w:rFonts w:asciiTheme="majorHAnsi" w:eastAsia="Times New Roman" w:hAnsiTheme="majorHAnsi" w:cs="Times New Roman"/>
          <w:lang w:eastAsia="en-AU"/>
        </w:rPr>
      </w:pPr>
      <w:r w:rsidRPr="007F2DD6">
        <w:rPr>
          <w:rFonts w:asciiTheme="majorHAnsi" w:eastAsia="Times New Roman" w:hAnsiTheme="majorHAnsi" w:cs="Times New Roman"/>
          <w:lang w:eastAsia="en-AU"/>
        </w:rPr>
        <w:t xml:space="preserve">DFAT 2017, </w:t>
      </w:r>
      <w:r w:rsidRPr="007F2DD6">
        <w:rPr>
          <w:rFonts w:asciiTheme="majorHAnsi" w:eastAsia="Times New Roman" w:hAnsiTheme="majorHAnsi" w:cs="Times New Roman"/>
          <w:i/>
          <w:lang w:eastAsia="en-AU"/>
        </w:rPr>
        <w:t>Aid Budget Summary 2016</w:t>
      </w:r>
      <w:r w:rsidR="00000AA1">
        <w:rPr>
          <w:rFonts w:asciiTheme="majorHAnsi" w:eastAsia="Times New Roman" w:hAnsiTheme="majorHAnsi" w:cs="Times New Roman"/>
          <w:i/>
          <w:lang w:eastAsia="en-AU"/>
        </w:rPr>
        <w:t>–</w:t>
      </w:r>
      <w:r w:rsidRPr="007F2DD6">
        <w:rPr>
          <w:rFonts w:asciiTheme="majorHAnsi" w:eastAsia="Times New Roman" w:hAnsiTheme="majorHAnsi" w:cs="Times New Roman"/>
          <w:i/>
          <w:lang w:eastAsia="en-AU"/>
        </w:rPr>
        <w:t>17</w:t>
      </w:r>
      <w:r w:rsidRPr="007F2DD6">
        <w:rPr>
          <w:rFonts w:asciiTheme="majorHAnsi" w:eastAsia="Times New Roman" w:hAnsiTheme="majorHAnsi" w:cs="Times New Roman"/>
          <w:lang w:eastAsia="en-AU"/>
        </w:rPr>
        <w:t>, Australian Government, Canberra.</w:t>
      </w:r>
    </w:p>
    <w:p w14:paraId="4CB7B69E" w14:textId="33436CA5" w:rsidR="00ED22DE" w:rsidRDefault="005850F4" w:rsidP="00ED22DE">
      <w:pPr>
        <w:spacing w:after="120"/>
        <w:rPr>
          <w:rFonts w:asciiTheme="majorHAnsi" w:eastAsia="Times New Roman" w:hAnsiTheme="majorHAnsi" w:cs="Times New Roman"/>
          <w:lang w:eastAsia="en-AU"/>
        </w:rPr>
      </w:pPr>
      <w:hyperlink r:id="rId37" w:history="1">
        <w:r w:rsidR="00ED22DE" w:rsidRPr="007F2DD6">
          <w:rPr>
            <w:rFonts w:asciiTheme="majorHAnsi" w:eastAsia="Times New Roman" w:hAnsiTheme="majorHAnsi" w:cs="Times New Roman"/>
            <w:lang w:eastAsia="en-AU"/>
          </w:rPr>
          <w:t>Julie Bishop</w:t>
        </w:r>
      </w:hyperlink>
      <w:r w:rsidR="00ED22DE" w:rsidRPr="007F2DD6">
        <w:rPr>
          <w:rFonts w:asciiTheme="majorHAnsi" w:eastAsia="Times New Roman" w:hAnsiTheme="majorHAnsi" w:cs="Times New Roman"/>
          <w:lang w:eastAsia="en-AU"/>
        </w:rPr>
        <w:t xml:space="preserve"> 2016, </w:t>
      </w:r>
      <w:r w:rsidR="00ED22DE" w:rsidRPr="007F2DD6">
        <w:rPr>
          <w:rFonts w:asciiTheme="majorHAnsi" w:eastAsia="Times New Roman" w:hAnsiTheme="majorHAnsi" w:cs="Times New Roman"/>
          <w:i/>
          <w:lang w:eastAsia="en-AU"/>
        </w:rPr>
        <w:t>Address to the Lowy Institute on Australia’s foreign policy and economic diplomacy</w:t>
      </w:r>
      <w:r w:rsidR="00ED22DE" w:rsidRPr="007F2DD6">
        <w:rPr>
          <w:rFonts w:asciiTheme="majorHAnsi" w:eastAsia="Times New Roman" w:hAnsiTheme="majorHAnsi" w:cs="Times New Roman"/>
          <w:lang w:eastAsia="en-AU"/>
        </w:rPr>
        <w:t xml:space="preserve">, </w:t>
      </w:r>
      <w:r w:rsidR="00000AA1">
        <w:rPr>
          <w:rFonts w:asciiTheme="majorHAnsi" w:eastAsia="Times New Roman" w:hAnsiTheme="majorHAnsi" w:cs="Times New Roman"/>
          <w:lang w:eastAsia="en-AU"/>
        </w:rPr>
        <w:br/>
      </w:r>
      <w:r w:rsidR="00ED22DE" w:rsidRPr="007F2DD6">
        <w:rPr>
          <w:rFonts w:asciiTheme="majorHAnsi" w:eastAsia="Times New Roman" w:hAnsiTheme="majorHAnsi" w:cs="Times New Roman"/>
          <w:lang w:eastAsia="en-AU"/>
        </w:rPr>
        <w:t xml:space="preserve">20 June 2016, Sydney. </w:t>
      </w:r>
    </w:p>
    <w:p w14:paraId="3EE5B665" w14:textId="2DACA3F9"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DFAT 2015, </w:t>
      </w:r>
      <w:r w:rsidRPr="007F2DD6">
        <w:rPr>
          <w:rFonts w:asciiTheme="majorHAnsi" w:hAnsiTheme="majorHAnsi"/>
          <w:i/>
          <w:sz w:val="24"/>
          <w:szCs w:val="24"/>
        </w:rPr>
        <w:t>Aid Investment Plan: South-East Asia regional economic growth and human security program 2015</w:t>
      </w:r>
      <w:r w:rsidR="00000AA1">
        <w:rPr>
          <w:rFonts w:asciiTheme="majorHAnsi" w:hAnsiTheme="majorHAnsi"/>
          <w:i/>
          <w:sz w:val="24"/>
          <w:szCs w:val="24"/>
        </w:rPr>
        <w:t>–</w:t>
      </w:r>
      <w:r w:rsidRPr="007F2DD6">
        <w:rPr>
          <w:rFonts w:asciiTheme="majorHAnsi" w:hAnsiTheme="majorHAnsi"/>
          <w:i/>
          <w:sz w:val="24"/>
          <w:szCs w:val="24"/>
        </w:rPr>
        <w:t>16 to 2018</w:t>
      </w:r>
      <w:r w:rsidR="00000AA1">
        <w:rPr>
          <w:rFonts w:asciiTheme="majorHAnsi" w:hAnsiTheme="majorHAnsi"/>
          <w:i/>
          <w:sz w:val="24"/>
          <w:szCs w:val="24"/>
        </w:rPr>
        <w:t>–</w:t>
      </w:r>
      <w:r w:rsidRPr="007F2DD6">
        <w:rPr>
          <w:rFonts w:asciiTheme="majorHAnsi" w:hAnsiTheme="majorHAnsi"/>
          <w:i/>
          <w:sz w:val="24"/>
          <w:szCs w:val="24"/>
        </w:rPr>
        <w:t>19</w:t>
      </w:r>
      <w:r w:rsidRPr="007F2DD6">
        <w:rPr>
          <w:rFonts w:asciiTheme="majorHAnsi" w:hAnsiTheme="majorHAnsi"/>
          <w:sz w:val="24"/>
          <w:szCs w:val="24"/>
        </w:rPr>
        <w:t>, Australian Government, Canberra.</w:t>
      </w:r>
    </w:p>
    <w:p w14:paraId="0D932938" w14:textId="77777777"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DFAT 2015, </w:t>
      </w:r>
      <w:r w:rsidRPr="007F2DD6">
        <w:rPr>
          <w:rFonts w:asciiTheme="majorHAnsi" w:hAnsiTheme="majorHAnsi"/>
          <w:i/>
          <w:sz w:val="24"/>
          <w:szCs w:val="24"/>
        </w:rPr>
        <w:t>DFAT Fact Sheet: Australian Aid to South-East Asia Regional</w:t>
      </w:r>
      <w:r w:rsidRPr="007F2DD6">
        <w:rPr>
          <w:rFonts w:asciiTheme="majorHAnsi" w:hAnsiTheme="majorHAnsi"/>
          <w:sz w:val="24"/>
          <w:szCs w:val="24"/>
        </w:rPr>
        <w:t>, Australian Government, Canberra.</w:t>
      </w:r>
    </w:p>
    <w:p w14:paraId="61A10BBA" w14:textId="74DD7984" w:rsidR="00ED22DE" w:rsidRDefault="00ED22DE" w:rsidP="00ED22DE">
      <w:pPr>
        <w:rPr>
          <w:rFonts w:asciiTheme="majorHAnsi" w:hAnsiTheme="majorHAnsi" w:cstheme="majorHAnsi"/>
          <w:b/>
        </w:rPr>
      </w:pPr>
      <w:r>
        <w:rPr>
          <w:rFonts w:asciiTheme="majorHAnsi" w:hAnsiTheme="majorHAnsi" w:cstheme="majorHAnsi"/>
          <w:b/>
        </w:rPr>
        <w:t>Additional background documents for case study programs</w:t>
      </w:r>
    </w:p>
    <w:p w14:paraId="7A4BDC39" w14:textId="77777777"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2015, </w:t>
      </w:r>
      <w:r w:rsidRPr="00DF7EC3">
        <w:rPr>
          <w:rFonts w:asciiTheme="majorHAnsi" w:hAnsiTheme="majorHAnsi"/>
          <w:i/>
          <w:sz w:val="24"/>
          <w:szCs w:val="24"/>
        </w:rPr>
        <w:t>Aid Investment Plan: Indonesia 2015/16 to 2018/19</w:t>
      </w:r>
      <w:r w:rsidRPr="00A65AE8">
        <w:rPr>
          <w:rFonts w:asciiTheme="majorHAnsi" w:hAnsiTheme="majorHAnsi"/>
          <w:sz w:val="24"/>
          <w:szCs w:val="24"/>
        </w:rPr>
        <w:t>, Australian Government, Canberra.</w:t>
      </w:r>
    </w:p>
    <w:p w14:paraId="4B4C6800" w14:textId="10B88911"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2016, </w:t>
      </w:r>
      <w:r w:rsidRPr="00DF7EC3">
        <w:rPr>
          <w:rFonts w:asciiTheme="majorHAnsi" w:hAnsiTheme="majorHAnsi"/>
          <w:i/>
          <w:sz w:val="24"/>
          <w:szCs w:val="24"/>
        </w:rPr>
        <w:t>Aid Program Performance Report 2015</w:t>
      </w:r>
      <w:r w:rsidR="00000AA1">
        <w:rPr>
          <w:rFonts w:asciiTheme="majorHAnsi" w:hAnsiTheme="majorHAnsi"/>
          <w:i/>
          <w:sz w:val="24"/>
          <w:szCs w:val="24"/>
        </w:rPr>
        <w:t>–</w:t>
      </w:r>
      <w:r w:rsidRPr="00DF7EC3">
        <w:rPr>
          <w:rFonts w:asciiTheme="majorHAnsi" w:hAnsiTheme="majorHAnsi"/>
          <w:i/>
          <w:sz w:val="24"/>
          <w:szCs w:val="24"/>
        </w:rPr>
        <w:t>16</w:t>
      </w:r>
      <w:r w:rsidRPr="00A65AE8">
        <w:rPr>
          <w:rFonts w:asciiTheme="majorHAnsi" w:hAnsiTheme="majorHAnsi"/>
          <w:sz w:val="24"/>
          <w:szCs w:val="24"/>
        </w:rPr>
        <w:t>, Australian Government, Canberra.</w:t>
      </w:r>
    </w:p>
    <w:p w14:paraId="4D3E940D" w14:textId="4C686D64"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2016, </w:t>
      </w:r>
      <w:hyperlink r:id="rId38" w:history="1">
        <w:r w:rsidRPr="00A62F4B">
          <w:rPr>
            <w:rFonts w:asciiTheme="majorHAnsi" w:hAnsiTheme="majorHAnsi"/>
            <w:sz w:val="24"/>
            <w:szCs w:val="24"/>
          </w:rPr>
          <w:t>Indonesia</w:t>
        </w:r>
      </w:hyperlink>
      <w:r w:rsidRPr="00A62F4B">
        <w:rPr>
          <w:rFonts w:asciiTheme="majorHAnsi" w:hAnsiTheme="majorHAnsi"/>
          <w:sz w:val="24"/>
          <w:szCs w:val="24"/>
        </w:rPr>
        <w:t xml:space="preserve"> Economic Factsheet: December,</w:t>
      </w:r>
      <w:r w:rsidRPr="00A65AE8">
        <w:rPr>
          <w:rFonts w:asciiTheme="majorHAnsi" w:hAnsiTheme="majorHAnsi"/>
          <w:sz w:val="24"/>
          <w:szCs w:val="24"/>
        </w:rPr>
        <w:t xml:space="preserve"> Australian Government, Canberra</w:t>
      </w:r>
      <w:r w:rsidR="00000AA1">
        <w:rPr>
          <w:rFonts w:asciiTheme="majorHAnsi" w:hAnsiTheme="majorHAnsi"/>
          <w:sz w:val="24"/>
          <w:szCs w:val="24"/>
        </w:rPr>
        <w:t>.</w:t>
      </w:r>
    </w:p>
    <w:p w14:paraId="74C29E92" w14:textId="0BF83726"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2017, </w:t>
      </w:r>
      <w:r w:rsidRPr="00A62F4B">
        <w:rPr>
          <w:rFonts w:asciiTheme="majorHAnsi" w:hAnsiTheme="majorHAnsi"/>
          <w:sz w:val="24"/>
          <w:szCs w:val="24"/>
        </w:rPr>
        <w:t>Vietnam Aid Factsheet</w:t>
      </w:r>
      <w:r w:rsidRPr="00A65AE8">
        <w:rPr>
          <w:rFonts w:asciiTheme="majorHAnsi" w:hAnsiTheme="majorHAnsi"/>
          <w:sz w:val="24"/>
          <w:szCs w:val="24"/>
        </w:rPr>
        <w:t>, Australian Government, Canberra</w:t>
      </w:r>
      <w:r w:rsidR="00000AA1">
        <w:rPr>
          <w:rFonts w:asciiTheme="majorHAnsi" w:hAnsiTheme="majorHAnsi"/>
          <w:sz w:val="24"/>
          <w:szCs w:val="24"/>
        </w:rPr>
        <w:t>.</w:t>
      </w:r>
    </w:p>
    <w:p w14:paraId="694A3DCC" w14:textId="77777777"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2015, </w:t>
      </w:r>
      <w:r w:rsidRPr="00DF7EC3">
        <w:rPr>
          <w:rFonts w:asciiTheme="majorHAnsi" w:hAnsiTheme="majorHAnsi"/>
          <w:i/>
          <w:sz w:val="24"/>
          <w:szCs w:val="24"/>
        </w:rPr>
        <w:t>Aid Investment Plan: Vietnam 2015/16 to 2019/20</w:t>
      </w:r>
      <w:r w:rsidRPr="00A65AE8">
        <w:rPr>
          <w:rFonts w:asciiTheme="majorHAnsi" w:hAnsiTheme="majorHAnsi"/>
          <w:sz w:val="24"/>
          <w:szCs w:val="24"/>
        </w:rPr>
        <w:t>, Australian Government, Canberra.</w:t>
      </w:r>
    </w:p>
    <w:p w14:paraId="6031B790" w14:textId="5D398532" w:rsidR="00ED22DE" w:rsidRDefault="00ED22DE" w:rsidP="00ED22DE">
      <w:pPr>
        <w:pStyle w:val="NormalWeb"/>
        <w:spacing w:after="120"/>
        <w:rPr>
          <w:rFonts w:asciiTheme="majorHAnsi" w:hAnsiTheme="majorHAnsi"/>
          <w:sz w:val="24"/>
          <w:szCs w:val="24"/>
        </w:rPr>
      </w:pPr>
      <w:r w:rsidRPr="00A65AE8">
        <w:rPr>
          <w:rFonts w:asciiTheme="majorHAnsi" w:hAnsiTheme="majorHAnsi"/>
          <w:sz w:val="24"/>
          <w:szCs w:val="24"/>
        </w:rPr>
        <w:t xml:space="preserve">DFAT 2016, </w:t>
      </w:r>
      <w:r w:rsidRPr="00A62F4B">
        <w:rPr>
          <w:rFonts w:asciiTheme="majorHAnsi" w:hAnsiTheme="majorHAnsi"/>
          <w:sz w:val="24"/>
          <w:szCs w:val="24"/>
        </w:rPr>
        <w:t>Vietnam Economic Factsheet: December</w:t>
      </w:r>
      <w:r w:rsidRPr="00A65AE8">
        <w:rPr>
          <w:rFonts w:asciiTheme="majorHAnsi" w:hAnsiTheme="majorHAnsi"/>
          <w:sz w:val="24"/>
          <w:szCs w:val="24"/>
        </w:rPr>
        <w:t>, Australian Government, Canberra</w:t>
      </w:r>
      <w:r w:rsidR="00000AA1">
        <w:rPr>
          <w:rFonts w:asciiTheme="majorHAnsi" w:hAnsiTheme="majorHAnsi"/>
          <w:sz w:val="24"/>
          <w:szCs w:val="24"/>
        </w:rPr>
        <w:t>.</w:t>
      </w:r>
    </w:p>
    <w:p w14:paraId="6E5C0433" w14:textId="3F1CB822" w:rsidR="00ED22DE" w:rsidRDefault="00ED22DE" w:rsidP="00ED22DE">
      <w:pPr>
        <w:rPr>
          <w:rFonts w:asciiTheme="majorHAnsi" w:hAnsiTheme="majorHAnsi" w:cstheme="majorHAnsi"/>
          <w:b/>
        </w:rPr>
      </w:pPr>
      <w:r>
        <w:rPr>
          <w:rFonts w:asciiTheme="majorHAnsi" w:hAnsiTheme="majorHAnsi" w:cstheme="majorHAnsi"/>
          <w:b/>
        </w:rPr>
        <w:t>Other DFAT program documentation included</w:t>
      </w:r>
    </w:p>
    <w:p w14:paraId="5B1A0027" w14:textId="5ACF793B" w:rsidR="00ED22DE" w:rsidRDefault="00ED22DE" w:rsidP="00ED22DE">
      <w:pPr>
        <w:spacing w:after="120"/>
        <w:rPr>
          <w:rFonts w:asciiTheme="majorHAnsi" w:hAnsiTheme="majorHAnsi" w:cstheme="majorHAnsi"/>
        </w:rPr>
      </w:pPr>
      <w:r>
        <w:rPr>
          <w:rFonts w:asciiTheme="majorHAnsi" w:hAnsiTheme="majorHAnsi" w:cstheme="majorHAnsi"/>
        </w:rPr>
        <w:t xml:space="preserve">Design and appraisal documents, </w:t>
      </w:r>
      <w:r w:rsidR="00A62F4B">
        <w:rPr>
          <w:rFonts w:asciiTheme="majorHAnsi" w:hAnsiTheme="majorHAnsi" w:cstheme="majorHAnsi"/>
        </w:rPr>
        <w:t>a</w:t>
      </w:r>
      <w:r>
        <w:rPr>
          <w:rFonts w:asciiTheme="majorHAnsi" w:hAnsiTheme="majorHAnsi" w:cstheme="majorHAnsi"/>
        </w:rPr>
        <w:t xml:space="preserve">id </w:t>
      </w:r>
      <w:r w:rsidR="00A62F4B">
        <w:rPr>
          <w:rFonts w:asciiTheme="majorHAnsi" w:hAnsiTheme="majorHAnsi" w:cstheme="majorHAnsi"/>
        </w:rPr>
        <w:t>p</w:t>
      </w:r>
      <w:r>
        <w:rPr>
          <w:rFonts w:asciiTheme="majorHAnsi" w:hAnsiTheme="majorHAnsi" w:cstheme="majorHAnsi"/>
        </w:rPr>
        <w:t xml:space="preserve">rogram </w:t>
      </w:r>
      <w:r w:rsidR="00A62F4B">
        <w:rPr>
          <w:rFonts w:asciiTheme="majorHAnsi" w:hAnsiTheme="majorHAnsi" w:cstheme="majorHAnsi"/>
        </w:rPr>
        <w:t>p</w:t>
      </w:r>
      <w:r>
        <w:rPr>
          <w:rFonts w:asciiTheme="majorHAnsi" w:hAnsiTheme="majorHAnsi" w:cstheme="majorHAnsi"/>
        </w:rPr>
        <w:t xml:space="preserve">erformance </w:t>
      </w:r>
      <w:r w:rsidR="00A62F4B">
        <w:rPr>
          <w:rFonts w:asciiTheme="majorHAnsi" w:hAnsiTheme="majorHAnsi" w:cstheme="majorHAnsi"/>
        </w:rPr>
        <w:t>r</w:t>
      </w:r>
      <w:r>
        <w:rPr>
          <w:rFonts w:asciiTheme="majorHAnsi" w:hAnsiTheme="majorHAnsi" w:cstheme="majorHAnsi"/>
        </w:rPr>
        <w:t xml:space="preserve">eports, program </w:t>
      </w:r>
      <w:r w:rsidR="00A62F4B">
        <w:rPr>
          <w:rFonts w:asciiTheme="majorHAnsi" w:hAnsiTheme="majorHAnsi" w:cstheme="majorHAnsi"/>
        </w:rPr>
        <w:t>a</w:t>
      </w:r>
      <w:r>
        <w:rPr>
          <w:rFonts w:asciiTheme="majorHAnsi" w:hAnsiTheme="majorHAnsi" w:cstheme="majorHAnsi"/>
        </w:rPr>
        <w:t xml:space="preserve">id </w:t>
      </w:r>
      <w:r w:rsidR="00A62F4B">
        <w:rPr>
          <w:rFonts w:asciiTheme="majorHAnsi" w:hAnsiTheme="majorHAnsi" w:cstheme="majorHAnsi"/>
        </w:rPr>
        <w:t>q</w:t>
      </w:r>
      <w:r>
        <w:rPr>
          <w:rFonts w:asciiTheme="majorHAnsi" w:hAnsiTheme="majorHAnsi" w:cstheme="majorHAnsi"/>
        </w:rPr>
        <w:t xml:space="preserve">uality </w:t>
      </w:r>
      <w:r w:rsidR="00A62F4B">
        <w:rPr>
          <w:rFonts w:asciiTheme="majorHAnsi" w:hAnsiTheme="majorHAnsi" w:cstheme="majorHAnsi"/>
        </w:rPr>
        <w:t>c</w:t>
      </w:r>
      <w:r>
        <w:rPr>
          <w:rFonts w:asciiTheme="majorHAnsi" w:hAnsiTheme="majorHAnsi" w:cstheme="majorHAnsi"/>
        </w:rPr>
        <w:t>hecks and independent evaluations.</w:t>
      </w:r>
    </w:p>
    <w:p w14:paraId="0F84BA1A" w14:textId="20E0DC28" w:rsidR="00ED22DE" w:rsidRDefault="00ED22DE" w:rsidP="00ED22DE">
      <w:pPr>
        <w:rPr>
          <w:rFonts w:asciiTheme="majorHAnsi" w:hAnsiTheme="majorHAnsi" w:cstheme="majorHAnsi"/>
        </w:rPr>
      </w:pPr>
      <w:r>
        <w:rPr>
          <w:rFonts w:asciiTheme="majorHAnsi" w:hAnsiTheme="majorHAnsi" w:cstheme="majorHAnsi"/>
          <w:b/>
        </w:rPr>
        <w:t>Partner program documents included</w:t>
      </w:r>
    </w:p>
    <w:p w14:paraId="71E43A6E" w14:textId="77777777"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Asian Development Bank (ADB) 2017, </w:t>
      </w:r>
      <w:r w:rsidRPr="007F2DD6">
        <w:rPr>
          <w:rFonts w:asciiTheme="majorHAnsi" w:hAnsiTheme="majorHAnsi"/>
          <w:i/>
          <w:sz w:val="24"/>
          <w:szCs w:val="24"/>
        </w:rPr>
        <w:t>Enhancing transport and trade facilitation in the Greater Mekong Subregion: Technical assistance completion report</w:t>
      </w:r>
      <w:r w:rsidRPr="007F2DD6">
        <w:rPr>
          <w:rFonts w:asciiTheme="majorHAnsi" w:hAnsiTheme="majorHAnsi"/>
          <w:sz w:val="24"/>
          <w:szCs w:val="24"/>
        </w:rPr>
        <w:t>, Manila.</w:t>
      </w:r>
    </w:p>
    <w:p w14:paraId="5BA276A2" w14:textId="77777777"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ADB 2017, </w:t>
      </w:r>
      <w:r>
        <w:rPr>
          <w:rFonts w:asciiTheme="majorHAnsi" w:hAnsiTheme="majorHAnsi"/>
          <w:sz w:val="24"/>
          <w:szCs w:val="24"/>
        </w:rPr>
        <w:t>‘</w:t>
      </w:r>
      <w:r w:rsidRPr="007F2DD6">
        <w:rPr>
          <w:rFonts w:asciiTheme="majorHAnsi" w:hAnsiTheme="majorHAnsi"/>
          <w:sz w:val="24"/>
          <w:szCs w:val="24"/>
        </w:rPr>
        <w:t>Regional: Support for Implementing the Action Plan for Transport and Trade Facilitation in the Greater Mekong Subregion (Subproject 2)</w:t>
      </w:r>
      <w:r>
        <w:rPr>
          <w:rFonts w:asciiTheme="majorHAnsi" w:hAnsiTheme="majorHAnsi"/>
          <w:sz w:val="24"/>
          <w:szCs w:val="24"/>
        </w:rPr>
        <w:t>’</w:t>
      </w:r>
      <w:r w:rsidRPr="007F2DD6">
        <w:rPr>
          <w:rFonts w:asciiTheme="majorHAnsi" w:hAnsiTheme="majorHAnsi"/>
          <w:sz w:val="24"/>
          <w:szCs w:val="24"/>
        </w:rPr>
        <w:t xml:space="preserve">, </w:t>
      </w:r>
      <w:r w:rsidRPr="007F2DD6">
        <w:rPr>
          <w:rFonts w:asciiTheme="majorHAnsi" w:hAnsiTheme="majorHAnsi"/>
          <w:i/>
          <w:sz w:val="24"/>
          <w:szCs w:val="24"/>
        </w:rPr>
        <w:t>ADB Project Data Sheet and Documents</w:t>
      </w:r>
      <w:r>
        <w:rPr>
          <w:rFonts w:asciiTheme="majorHAnsi" w:hAnsiTheme="majorHAnsi"/>
          <w:sz w:val="24"/>
          <w:szCs w:val="24"/>
        </w:rPr>
        <w:t>, Manila.</w:t>
      </w:r>
    </w:p>
    <w:p w14:paraId="02AE1B9E" w14:textId="43749F77"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ADB 2011, </w:t>
      </w:r>
      <w:r w:rsidRPr="007F2DD6">
        <w:rPr>
          <w:rFonts w:asciiTheme="majorHAnsi" w:hAnsiTheme="majorHAnsi"/>
          <w:i/>
          <w:sz w:val="24"/>
          <w:szCs w:val="24"/>
        </w:rPr>
        <w:t>Central Mekong Delta region connectivity technical assistance project: Cao Lanh Bridge</w:t>
      </w:r>
      <w:r w:rsidRPr="007F2DD6">
        <w:rPr>
          <w:rFonts w:asciiTheme="majorHAnsi" w:hAnsiTheme="majorHAnsi"/>
          <w:sz w:val="24"/>
          <w:szCs w:val="24"/>
        </w:rPr>
        <w:t>, Manila</w:t>
      </w:r>
      <w:r w:rsidR="00000AA1">
        <w:rPr>
          <w:rFonts w:asciiTheme="majorHAnsi" w:hAnsiTheme="majorHAnsi"/>
          <w:sz w:val="24"/>
          <w:szCs w:val="24"/>
        </w:rPr>
        <w:t>.</w:t>
      </w:r>
    </w:p>
    <w:p w14:paraId="6C662C0D" w14:textId="77777777" w:rsidR="00ED22DE" w:rsidRDefault="00ED22DE" w:rsidP="00ED22DE">
      <w:pPr>
        <w:pStyle w:val="NormalWeb"/>
        <w:spacing w:after="120"/>
        <w:rPr>
          <w:rFonts w:asciiTheme="majorHAnsi" w:hAnsiTheme="majorHAnsi"/>
          <w:sz w:val="24"/>
          <w:szCs w:val="24"/>
        </w:rPr>
      </w:pPr>
      <w:r w:rsidRPr="007F2DD6">
        <w:rPr>
          <w:rFonts w:asciiTheme="majorHAnsi" w:hAnsiTheme="majorHAnsi"/>
          <w:sz w:val="24"/>
          <w:szCs w:val="24"/>
        </w:rPr>
        <w:t xml:space="preserve">ADB, DFAT and Vietnam Government 2016, </w:t>
      </w:r>
      <w:r w:rsidRPr="007F2DD6">
        <w:rPr>
          <w:rFonts w:asciiTheme="majorHAnsi" w:hAnsiTheme="majorHAnsi"/>
          <w:i/>
          <w:sz w:val="24"/>
          <w:szCs w:val="24"/>
        </w:rPr>
        <w:t>Central Mekong Delta Region Connectivity Project: Cao Lanh Mid-Term Review 2016: Memorandum of Understanding</w:t>
      </w:r>
      <w:r w:rsidRPr="007F2DD6">
        <w:rPr>
          <w:rFonts w:asciiTheme="majorHAnsi" w:hAnsiTheme="majorHAnsi"/>
          <w:sz w:val="24"/>
          <w:szCs w:val="24"/>
        </w:rPr>
        <w:t>, Hanoi.</w:t>
      </w:r>
    </w:p>
    <w:p w14:paraId="26B4DCA6" w14:textId="77777777" w:rsidR="00ED22DE" w:rsidRDefault="00ED22DE" w:rsidP="00ED22DE">
      <w:pPr>
        <w:spacing w:after="120"/>
      </w:pPr>
      <w:r w:rsidRPr="007F2DD6">
        <w:rPr>
          <w:rFonts w:asciiTheme="majorHAnsi" w:hAnsiTheme="majorHAnsi"/>
        </w:rPr>
        <w:t xml:space="preserve">World Bank 2017, </w:t>
      </w:r>
      <w:r w:rsidRPr="007F2DD6">
        <w:rPr>
          <w:rFonts w:asciiTheme="majorHAnsi" w:hAnsiTheme="majorHAnsi"/>
          <w:i/>
        </w:rPr>
        <w:t>Indonesia Economic Quarterly: Sustaining Reform Momentum</w:t>
      </w:r>
      <w:r w:rsidRPr="007F2DD6">
        <w:rPr>
          <w:rFonts w:asciiTheme="majorHAnsi" w:hAnsiTheme="majorHAnsi"/>
        </w:rPr>
        <w:t>, World Bank, Washington D.C.</w:t>
      </w:r>
    </w:p>
    <w:p w14:paraId="7E8D2EF3" w14:textId="13748B1E" w:rsidR="00B3553D" w:rsidRDefault="00B3553D" w:rsidP="00F27E79"/>
    <w:sectPr w:rsidR="00B3553D" w:rsidSect="00F21EFA">
      <w:pgSz w:w="12240" w:h="15840"/>
      <w:pgMar w:top="851" w:right="851" w:bottom="1418" w:left="851" w:header="720" w:footer="56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4F814" w16cid:durableId="1F28F09F"/>
  <w16cid:commentId w16cid:paraId="6057FA08" w16cid:durableId="1F28F188"/>
  <w16cid:commentId w16cid:paraId="0CBCDD84" w16cid:durableId="1F28F72F"/>
  <w16cid:commentId w16cid:paraId="2A0D0054" w16cid:durableId="1F28F460"/>
  <w16cid:commentId w16cid:paraId="4EA455EA" w16cid:durableId="1F28F0A7"/>
  <w16cid:commentId w16cid:paraId="00187C72" w16cid:durableId="1F28F563"/>
  <w16cid:commentId w16cid:paraId="0D1C8D7E" w16cid:durableId="1F28F565"/>
  <w16cid:commentId w16cid:paraId="2AA6C37F" w16cid:durableId="1F195F40"/>
  <w16cid:commentId w16cid:paraId="619D910A" w16cid:durableId="1F28F9FB"/>
  <w16cid:commentId w16cid:paraId="085475B1" w16cid:durableId="1F28FB93"/>
  <w16cid:commentId w16cid:paraId="44A3CBC0" w16cid:durableId="1F28FB82"/>
  <w16cid:commentId w16cid:paraId="3CCFE137" w16cid:durableId="1F28F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1CC7" w14:textId="77777777" w:rsidR="00222AD3" w:rsidRDefault="00222AD3">
      <w:r>
        <w:separator/>
      </w:r>
    </w:p>
  </w:endnote>
  <w:endnote w:type="continuationSeparator" w:id="0">
    <w:p w14:paraId="2BD35BA6" w14:textId="77777777" w:rsidR="00222AD3" w:rsidRDefault="00222AD3">
      <w:r>
        <w:continuationSeparator/>
      </w:r>
    </w:p>
  </w:endnote>
  <w:endnote w:type="continuationNotice" w:id="1">
    <w:p w14:paraId="67F923E5" w14:textId="77777777" w:rsidR="00222AD3" w:rsidRDefault="00222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
    <w:altName w:val="Arial"/>
    <w:panose1 w:val="00000000000000000000"/>
    <w:charset w:val="00"/>
    <w:family w:val="modern"/>
    <w:notTrueType/>
    <w:pitch w:val="variable"/>
    <w:sig w:usb0="00000001" w:usb1="4000206B"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de">
    <w:altName w:val="Calibri"/>
    <w:panose1 w:val="00000000000000000000"/>
    <w:charset w:val="00"/>
    <w:family w:val="swiss"/>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Montserrat">
    <w:charset w:val="00"/>
    <w:family w:val="auto"/>
    <w:pitch w:val="variable"/>
    <w:sig w:usb0="00000007" w:usb1="00000000" w:usb2="00000000" w:usb3="00000000" w:csb0="00000093" w:csb1="00000000"/>
  </w:font>
  <w:font w:name="Ubuntu Light">
    <w:altName w:val="Times New Roman"/>
    <w:charset w:val="00"/>
    <w:family w:val="auto"/>
    <w:pitch w:val="variable"/>
    <w:sig w:usb0="00000001" w:usb1="5000205B" w:usb2="00000000" w:usb3="00000000" w:csb0="0000009F" w:csb1="00000000"/>
  </w:font>
  <w:font w:name="Ubuntu">
    <w:charset w:val="00"/>
    <w:family w:val="auto"/>
    <w:pitch w:val="variable"/>
    <w:sig w:usb0="E00002FF" w:usb1="5000205B" w:usb2="00000000" w:usb3="00000000" w:csb0="0000009F" w:csb1="00000000"/>
  </w:font>
  <w:font w:name="Dosis">
    <w:altName w:val="Franklin Gothic 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7BCE" w14:textId="09F7C8FE" w:rsidR="00222AD3" w:rsidRPr="008756BB" w:rsidRDefault="00222AD3" w:rsidP="00A62CB9">
    <w:pPr>
      <w:pStyle w:val="Footer"/>
      <w:rPr>
        <w:lang w:eastAsia="en-GB"/>
      </w:rPr>
    </w:pPr>
    <w:r>
      <w:t>ODE: Investing in regional prosperity:</w:t>
    </w:r>
    <w:r>
      <w:rPr>
        <w:rFonts w:asciiTheme="minorHAnsi" w:hAnsiTheme="minorHAnsi"/>
        <w:b w:val="0"/>
        <w:color w:val="auto"/>
        <w:sz w:val="22"/>
      </w:rPr>
      <w:t xml:space="preserve"> </w:t>
    </w:r>
    <w:r w:rsidRPr="00504FC8">
      <w:t>Australia’s economic partnerships in Asia</w:t>
    </w:r>
    <w:r>
      <w:rPr>
        <w:b w:val="0"/>
        <w:bCs/>
        <w:spacing w:val="2"/>
      </w:rPr>
      <w:tab/>
    </w:r>
    <w:sdt>
      <w:sdtPr>
        <w:id w:val="-4194812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50F4">
          <w:rPr>
            <w:noProof/>
          </w:rPr>
          <w:t>14</w:t>
        </w:r>
        <w:r>
          <w:rPr>
            <w:noProof/>
          </w:rPr>
          <w:fldChar w:fldCharType="end"/>
        </w:r>
      </w:sdtContent>
    </w:sdt>
    <w:r w:rsidRPr="008756BB">
      <w:rPr>
        <w:noProof/>
        <w:lang w:eastAsia="en-AU"/>
      </w:rPr>
      <w:drawing>
        <wp:anchor distT="0" distB="0" distL="114300" distR="114300" simplePos="0" relativeHeight="251696128" behindDoc="1" locked="0" layoutInCell="1" allowOverlap="1" wp14:anchorId="01FAD75F" wp14:editId="0F250898">
          <wp:simplePos x="0" y="0"/>
          <wp:positionH relativeFrom="page">
            <wp:align>left</wp:align>
          </wp:positionH>
          <wp:positionV relativeFrom="page">
            <wp:align>bottom</wp:align>
          </wp:positionV>
          <wp:extent cx="6228000" cy="7920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1">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r w:rsidRPr="008756BB">
      <w:rPr>
        <w:noProof/>
        <w:lang w:eastAsia="en-AU"/>
      </w:rPr>
      <w:drawing>
        <wp:anchor distT="0" distB="0" distL="114300" distR="114300" simplePos="0" relativeHeight="251697152" behindDoc="1" locked="1" layoutInCell="1" allowOverlap="1" wp14:anchorId="1AC761BA" wp14:editId="6DFCD105">
          <wp:simplePos x="0" y="0"/>
          <wp:positionH relativeFrom="page">
            <wp:align>right</wp:align>
          </wp:positionH>
          <wp:positionV relativeFrom="page">
            <wp:align>bottom</wp:align>
          </wp:positionV>
          <wp:extent cx="6476400" cy="7920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D52A" w14:textId="7EF73F79" w:rsidR="00222AD3" w:rsidRPr="008756BB" w:rsidRDefault="00222AD3" w:rsidP="00A62CB9">
    <w:pPr>
      <w:pStyle w:val="Footer"/>
      <w:rPr>
        <w:lang w:eastAsia="en-GB"/>
      </w:rPr>
    </w:pPr>
    <w:r>
      <w:t xml:space="preserve">ODE: </w:t>
    </w:r>
    <w:r w:rsidRPr="00633FCA">
      <w:t xml:space="preserve">Investing in regional prosperity: </w:t>
    </w:r>
    <w:r w:rsidRPr="00504FC8">
      <w:rPr>
        <w:spacing w:val="2"/>
      </w:rPr>
      <w:t>Australia’s economic partnerships in Asia</w:t>
    </w:r>
    <w:r>
      <w:rPr>
        <w:spacing w:val="2"/>
      </w:rPr>
      <w:tab/>
    </w:r>
    <w:sdt>
      <w:sdtPr>
        <w:id w:val="-180483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50F4">
          <w:rPr>
            <w:noProof/>
          </w:rPr>
          <w:t>15</w:t>
        </w:r>
        <w:r>
          <w:rPr>
            <w:noProof/>
          </w:rPr>
          <w:fldChar w:fldCharType="end"/>
        </w:r>
      </w:sdtContent>
    </w:sdt>
    <w:r w:rsidRPr="008756BB">
      <w:rPr>
        <w:noProof/>
        <w:lang w:eastAsia="en-AU"/>
      </w:rPr>
      <w:drawing>
        <wp:anchor distT="0" distB="0" distL="114300" distR="114300" simplePos="0" relativeHeight="251699200" behindDoc="1" locked="0" layoutInCell="1" allowOverlap="1" wp14:anchorId="2F1A83AE" wp14:editId="273A7E95">
          <wp:simplePos x="0" y="0"/>
          <wp:positionH relativeFrom="page">
            <wp:align>left</wp:align>
          </wp:positionH>
          <wp:positionV relativeFrom="page">
            <wp:align>bottom</wp:align>
          </wp:positionV>
          <wp:extent cx="6228000" cy="7920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1">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r w:rsidRPr="008756BB">
      <w:rPr>
        <w:noProof/>
        <w:lang w:eastAsia="en-AU"/>
      </w:rPr>
      <w:drawing>
        <wp:anchor distT="0" distB="0" distL="114300" distR="114300" simplePos="0" relativeHeight="251700224" behindDoc="1" locked="1" layoutInCell="1" allowOverlap="1" wp14:anchorId="0A16E1D7" wp14:editId="2AE2A210">
          <wp:simplePos x="0" y="0"/>
          <wp:positionH relativeFrom="page">
            <wp:align>right</wp:align>
          </wp:positionH>
          <wp:positionV relativeFrom="page">
            <wp:align>bottom</wp:align>
          </wp:positionV>
          <wp:extent cx="6476400" cy="792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9292" w14:textId="77777777" w:rsidR="00222AD3" w:rsidRDefault="00222AD3">
      <w:r>
        <w:separator/>
      </w:r>
    </w:p>
  </w:footnote>
  <w:footnote w:type="continuationSeparator" w:id="0">
    <w:p w14:paraId="10E87B46" w14:textId="77777777" w:rsidR="00222AD3" w:rsidRDefault="00222AD3">
      <w:r>
        <w:continuationSeparator/>
      </w:r>
    </w:p>
  </w:footnote>
  <w:footnote w:type="continuationNotice" w:id="1">
    <w:p w14:paraId="130DADB4" w14:textId="77777777" w:rsidR="00222AD3" w:rsidRDefault="00222AD3"/>
  </w:footnote>
  <w:footnote w:id="2">
    <w:p w14:paraId="5C95F709" w14:textId="6745369F" w:rsidR="00222AD3" w:rsidRPr="001F40CB" w:rsidRDefault="00222AD3" w:rsidP="00C72E9D">
      <w:pPr>
        <w:pStyle w:val="FootnoteText"/>
        <w:contextualSpacing/>
        <w:rPr>
          <w:rFonts w:eastAsia="Times New Roman" w:cs="Calibri"/>
          <w:szCs w:val="18"/>
        </w:rPr>
      </w:pPr>
      <w:r w:rsidRPr="00143580">
        <w:rPr>
          <w:rStyle w:val="FootnoteReference"/>
          <w:rFonts w:cs="Calibri"/>
          <w:sz w:val="18"/>
          <w:szCs w:val="18"/>
        </w:rPr>
        <w:footnoteRef/>
      </w:r>
      <w:r w:rsidRPr="00143580">
        <w:rPr>
          <w:rFonts w:cs="Calibri"/>
          <w:szCs w:val="18"/>
        </w:rPr>
        <w:t xml:space="preserve"> </w:t>
      </w:r>
      <w:r w:rsidRPr="00143580">
        <w:rPr>
          <w:rFonts w:cs="Calibri"/>
          <w:szCs w:val="18"/>
        </w:rPr>
        <w:tab/>
      </w:r>
      <w:r>
        <w:rPr>
          <w:rFonts w:cs="Calibri"/>
          <w:szCs w:val="18"/>
        </w:rPr>
        <w:t xml:space="preserve">World </w:t>
      </w:r>
      <w:r w:rsidRPr="001F40CB">
        <w:rPr>
          <w:rFonts w:cs="Calibri"/>
          <w:szCs w:val="18"/>
        </w:rPr>
        <w:t xml:space="preserve">Bank and the Development Research Centre of the State Council, </w:t>
      </w:r>
      <w:hyperlink r:id="rId1" w:history="1">
        <w:r w:rsidRPr="001F40CB">
          <w:rPr>
            <w:rStyle w:val="Hyperlink"/>
            <w:rFonts w:eastAsia="Times New Roman" w:cs="Calibri"/>
            <w:i/>
            <w:szCs w:val="18"/>
          </w:rPr>
          <w:t>China 2030: Building a Modern, Harmonious, and Creative High-</w:t>
        </w:r>
        <w:r w:rsidRPr="001F40CB">
          <w:rPr>
            <w:rStyle w:val="Hyperlink"/>
            <w:rFonts w:cs="Calibri"/>
            <w:i/>
            <w:szCs w:val="18"/>
          </w:rPr>
          <w:t>Income</w:t>
        </w:r>
        <w:r w:rsidRPr="001F40CB">
          <w:rPr>
            <w:rStyle w:val="Hyperlink"/>
            <w:rFonts w:eastAsia="Times New Roman" w:cs="Calibri"/>
            <w:i/>
            <w:szCs w:val="18"/>
          </w:rPr>
          <w:t xml:space="preserve"> Society</w:t>
        </w:r>
      </w:hyperlink>
      <w:r w:rsidRPr="001F40CB">
        <w:rPr>
          <w:rFonts w:eastAsia="Times New Roman" w:cs="Calibri"/>
          <w:szCs w:val="18"/>
        </w:rPr>
        <w:t>, 2012.</w:t>
      </w:r>
    </w:p>
  </w:footnote>
  <w:footnote w:id="3">
    <w:p w14:paraId="7F246312" w14:textId="707979BD" w:rsidR="00222AD3" w:rsidRPr="001F40CB" w:rsidRDefault="00222AD3" w:rsidP="0029437C">
      <w:pPr>
        <w:pStyle w:val="FootnoteText"/>
      </w:pPr>
      <w:r w:rsidRPr="001F40CB">
        <w:rPr>
          <w:rStyle w:val="FootnoteReference"/>
        </w:rPr>
        <w:footnoteRef/>
      </w:r>
      <w:r w:rsidRPr="001F40CB">
        <w:t xml:space="preserve"> </w:t>
      </w:r>
      <w:r w:rsidRPr="001F40CB">
        <w:tab/>
        <w:t xml:space="preserve">DFAT, </w:t>
      </w:r>
      <w:hyperlink r:id="rId2" w:history="1">
        <w:r w:rsidRPr="001F40CB">
          <w:rPr>
            <w:rStyle w:val="Hyperlink"/>
            <w:i/>
          </w:rPr>
          <w:t>2017 Foreign Policy White Paper</w:t>
        </w:r>
      </w:hyperlink>
      <w:r w:rsidRPr="001F40CB">
        <w:t>, Australian Government, November 2017, p. 4.</w:t>
      </w:r>
    </w:p>
  </w:footnote>
  <w:footnote w:id="4">
    <w:p w14:paraId="0A680C14" w14:textId="3FD08212" w:rsidR="00222AD3" w:rsidRDefault="00222AD3" w:rsidP="00E01C4A">
      <w:pPr>
        <w:pStyle w:val="FootnoteText"/>
      </w:pPr>
      <w:r w:rsidRPr="001F40CB">
        <w:rPr>
          <w:rStyle w:val="FootnoteReference"/>
        </w:rPr>
        <w:footnoteRef/>
      </w:r>
      <w:r w:rsidRPr="001F40CB">
        <w:t xml:space="preserve"> </w:t>
      </w:r>
      <w:r w:rsidRPr="001F40CB">
        <w:tab/>
        <w:t>Australia phased out bilateral aid to Thailand in 2004–05, on the initiative of the Thai</w:t>
      </w:r>
      <w:r>
        <w:t xml:space="preserve"> Government. Gross national income per capita (constant 2010 USD) at that time was USD4, 100: </w:t>
      </w:r>
      <w:hyperlink r:id="rId3" w:history="1">
        <w:r w:rsidRPr="00506F11">
          <w:rPr>
            <w:rStyle w:val="Hyperlink"/>
          </w:rPr>
          <w:t>World Bank data</w:t>
        </w:r>
      </w:hyperlink>
      <w:r>
        <w:t>.</w:t>
      </w:r>
    </w:p>
  </w:footnote>
  <w:footnote w:id="5">
    <w:p w14:paraId="040F69BA" w14:textId="7F404742" w:rsidR="00222AD3" w:rsidRPr="001F40CB" w:rsidRDefault="00222AD3">
      <w:pPr>
        <w:pStyle w:val="FootnoteText"/>
      </w:pPr>
      <w:r>
        <w:rPr>
          <w:rStyle w:val="FootnoteReference"/>
        </w:rPr>
        <w:footnoteRef/>
      </w:r>
      <w:r>
        <w:t xml:space="preserve"> </w:t>
      </w:r>
      <w:r>
        <w:tab/>
        <w:t>The Hon Julie Bishop MP, Minister for Foreign Affairs</w:t>
      </w:r>
      <w:r w:rsidRPr="001F40CB">
        <w:t xml:space="preserve">, ‘Ministerial Foreword’ in DFAT, </w:t>
      </w:r>
      <w:hyperlink r:id="rId4" w:history="1">
        <w:r w:rsidRPr="001F40CB">
          <w:rPr>
            <w:rStyle w:val="Hyperlink"/>
            <w:i/>
          </w:rPr>
          <w:t>Australian aid: promoting prosperity, reducing poverty, enhancing stability</w:t>
        </w:r>
      </w:hyperlink>
      <w:r w:rsidRPr="001F40CB">
        <w:t xml:space="preserve">, Australian Government, June 2014. </w:t>
      </w:r>
    </w:p>
  </w:footnote>
  <w:footnote w:id="6">
    <w:p w14:paraId="5E57B725" w14:textId="5FFABC11" w:rsidR="00222AD3" w:rsidRDefault="00222AD3">
      <w:pPr>
        <w:pStyle w:val="FootnoteText"/>
      </w:pPr>
      <w:r w:rsidRPr="001F40CB">
        <w:rPr>
          <w:rStyle w:val="FootnoteReference"/>
        </w:rPr>
        <w:footnoteRef/>
      </w:r>
      <w:r w:rsidRPr="001F40CB">
        <w:t xml:space="preserve"> </w:t>
      </w:r>
      <w:r w:rsidRPr="001F40CB">
        <w:tab/>
        <w:t xml:space="preserve">Peter Varghese, Secretary of DFAT, </w:t>
      </w:r>
      <w:hyperlink r:id="rId5" w:history="1">
        <w:r w:rsidRPr="001F40CB">
          <w:rPr>
            <w:rStyle w:val="Hyperlink"/>
          </w:rPr>
          <w:t>speech to the 2016 Australasian Aid Conference</w:t>
        </w:r>
      </w:hyperlink>
      <w:r w:rsidRPr="00513837">
        <w:t>, 10 February 2016</w:t>
      </w:r>
      <w:r>
        <w:t>.</w:t>
      </w:r>
    </w:p>
  </w:footnote>
  <w:footnote w:id="7">
    <w:p w14:paraId="6619F795" w14:textId="75A1130E" w:rsidR="00222AD3" w:rsidRDefault="00222AD3" w:rsidP="00513837">
      <w:pPr>
        <w:pStyle w:val="FootnoteText"/>
      </w:pPr>
      <w:r>
        <w:rPr>
          <w:rStyle w:val="FootnoteReference"/>
        </w:rPr>
        <w:footnoteRef/>
      </w:r>
      <w:r>
        <w:t xml:space="preserve"> </w:t>
      </w:r>
      <w:r>
        <w:tab/>
      </w:r>
      <w:r w:rsidRPr="00513837">
        <w:t xml:space="preserve">DFAT, </w:t>
      </w:r>
      <w:hyperlink r:id="rId6" w:history="1">
        <w:r w:rsidRPr="005B5234">
          <w:rPr>
            <w:rStyle w:val="Hyperlink"/>
            <w:i/>
          </w:rPr>
          <w:t>Australian aid: promoting prosperity, reducing poverty, enhancing stability</w:t>
        </w:r>
      </w:hyperlink>
      <w:r w:rsidRPr="00513837">
        <w:t xml:space="preserve">, </w:t>
      </w:r>
      <w:r>
        <w:t xml:space="preserve">Australian Government, </w:t>
      </w:r>
      <w:r w:rsidRPr="00513837">
        <w:t>June 2014</w:t>
      </w:r>
      <w:r>
        <w:t>, p. 9.</w:t>
      </w:r>
    </w:p>
  </w:footnote>
  <w:footnote w:id="8">
    <w:p w14:paraId="0D3BF39C" w14:textId="3F64E444" w:rsidR="00222AD3" w:rsidRDefault="00222AD3" w:rsidP="009A2A59">
      <w:pPr>
        <w:pStyle w:val="FootnoteText"/>
      </w:pPr>
      <w:r>
        <w:rPr>
          <w:rStyle w:val="FootnoteReference"/>
        </w:rPr>
        <w:footnoteRef/>
      </w:r>
      <w:r>
        <w:t xml:space="preserve"> </w:t>
      </w:r>
      <w:r>
        <w:tab/>
        <w:t xml:space="preserve">DFAT, </w:t>
      </w:r>
      <w:hyperlink r:id="rId7" w:history="1">
        <w:r w:rsidRPr="005B5234">
          <w:rPr>
            <w:rStyle w:val="Hyperlink"/>
            <w:i/>
          </w:rPr>
          <w:t>2017 Foreign Policy White Paper</w:t>
        </w:r>
      </w:hyperlink>
      <w:r>
        <w:t>, Australian Government, November 2017.</w:t>
      </w:r>
    </w:p>
  </w:footnote>
  <w:footnote w:id="9">
    <w:p w14:paraId="6CB20A37" w14:textId="45F2C661" w:rsidR="00222AD3" w:rsidRDefault="00222AD3" w:rsidP="0091363E">
      <w:pPr>
        <w:pStyle w:val="FootnoteText"/>
      </w:pPr>
      <w:r>
        <w:rPr>
          <w:rStyle w:val="FootnoteReference"/>
        </w:rPr>
        <w:footnoteRef/>
      </w:r>
      <w:r>
        <w:t xml:space="preserve"> </w:t>
      </w:r>
      <w:r>
        <w:tab/>
        <w:t>Some additional programs were identified as relevant during the field visits.</w:t>
      </w:r>
    </w:p>
  </w:footnote>
  <w:footnote w:id="10">
    <w:p w14:paraId="4FFD7167" w14:textId="5F5C1D34" w:rsidR="00222AD3" w:rsidRPr="00C548E4" w:rsidRDefault="00222AD3">
      <w:pPr>
        <w:pStyle w:val="FootnoteText"/>
      </w:pPr>
      <w:r>
        <w:rPr>
          <w:rStyle w:val="FootnoteReference"/>
        </w:rPr>
        <w:footnoteRef/>
      </w:r>
      <w:r>
        <w:t xml:space="preserve"> </w:t>
      </w:r>
      <w:r>
        <w:tab/>
        <w:t xml:space="preserve">OECD, </w:t>
      </w:r>
      <w:hyperlink r:id="rId8" w:history="1">
        <w:r w:rsidRPr="00DD0A81">
          <w:rPr>
            <w:rStyle w:val="Hyperlink"/>
            <w:i/>
          </w:rPr>
          <w:t>Development Co-operation Report 2017</w:t>
        </w:r>
      </w:hyperlink>
      <w:r>
        <w:t xml:space="preserve">, p. </w:t>
      </w:r>
      <w:r w:rsidRPr="006E0849">
        <w:t>139.</w:t>
      </w:r>
    </w:p>
  </w:footnote>
  <w:footnote w:id="11">
    <w:p w14:paraId="4E82E1FF" w14:textId="79FA2FD3" w:rsidR="00222AD3" w:rsidRPr="00EF6C2F" w:rsidRDefault="00222AD3">
      <w:pPr>
        <w:pStyle w:val="FootnoteText"/>
      </w:pPr>
      <w:r>
        <w:rPr>
          <w:rStyle w:val="FootnoteReference"/>
        </w:rPr>
        <w:footnoteRef/>
      </w:r>
      <w:r>
        <w:t xml:space="preserve"> </w:t>
      </w:r>
      <w:r>
        <w:tab/>
      </w:r>
      <w:r w:rsidRPr="00E20B7A">
        <w:rPr>
          <w:iCs/>
        </w:rPr>
        <w:t xml:space="preserve">ODI et al., </w:t>
      </w:r>
      <w:hyperlink r:id="rId9" w:history="1">
        <w:r w:rsidRPr="00EF6C2F">
          <w:rPr>
            <w:rStyle w:val="Hyperlink"/>
            <w:i/>
            <w:iCs/>
          </w:rPr>
          <w:t xml:space="preserve">European </w:t>
        </w:r>
        <w:r w:rsidRPr="005B5234">
          <w:rPr>
            <w:rStyle w:val="Hyperlink"/>
          </w:rPr>
          <w:t>Report on Development 2015</w:t>
        </w:r>
      </w:hyperlink>
      <w:r w:rsidRPr="00EF6C2F">
        <w:rPr>
          <w:iCs/>
        </w:rPr>
        <w:t>, 2015, pp. 96–101</w:t>
      </w:r>
      <w:r>
        <w:rPr>
          <w:iCs/>
        </w:rPr>
        <w:t>.</w:t>
      </w:r>
    </w:p>
  </w:footnote>
  <w:footnote w:id="12">
    <w:p w14:paraId="48F44C11" w14:textId="7A55D21C" w:rsidR="00222AD3" w:rsidRPr="00EF6C2F" w:rsidRDefault="00222AD3">
      <w:pPr>
        <w:pStyle w:val="FootnoteText"/>
      </w:pPr>
      <w:r w:rsidRPr="00EF6C2F">
        <w:rPr>
          <w:rStyle w:val="FootnoteReference"/>
        </w:rPr>
        <w:footnoteRef/>
      </w:r>
      <w:r w:rsidRPr="00EF6C2F">
        <w:t xml:space="preserve"> </w:t>
      </w:r>
      <w:r w:rsidRPr="00EF6C2F">
        <w:tab/>
        <w:t xml:space="preserve">Authors’ calculation based on World Bank data. </w:t>
      </w:r>
      <w:hyperlink r:id="rId10" w:history="1">
        <w:r w:rsidRPr="00450A49">
          <w:rPr>
            <w:rStyle w:val="Hyperlink"/>
          </w:rPr>
          <w:t>World Bank Databank</w:t>
        </w:r>
      </w:hyperlink>
      <w:r w:rsidRPr="00EF6C2F">
        <w:t>, World Bank, 2017</w:t>
      </w:r>
      <w:r w:rsidRPr="00450A49">
        <w:t>.</w:t>
      </w:r>
    </w:p>
  </w:footnote>
  <w:footnote w:id="13">
    <w:p w14:paraId="5F17053C" w14:textId="4D274B1A" w:rsidR="00222AD3" w:rsidRDefault="00222AD3">
      <w:pPr>
        <w:pStyle w:val="FootnoteText"/>
      </w:pPr>
      <w:r w:rsidRPr="00EF6C2F">
        <w:rPr>
          <w:rStyle w:val="FootnoteReference"/>
        </w:rPr>
        <w:footnoteRef/>
      </w:r>
      <w:r w:rsidRPr="00EF6C2F">
        <w:t xml:space="preserve"> </w:t>
      </w:r>
      <w:r w:rsidRPr="00EF6C2F">
        <w:tab/>
      </w:r>
      <w:hyperlink r:id="rId11" w:history="1">
        <w:r w:rsidRPr="003920A9">
          <w:rPr>
            <w:rStyle w:val="Hyperlink"/>
            <w:i/>
          </w:rPr>
          <w:t>Revenue Statistics</w:t>
        </w:r>
      </w:hyperlink>
      <w:r w:rsidRPr="00EF6C2F">
        <w:rPr>
          <w:i/>
        </w:rPr>
        <w:t>,</w:t>
      </w:r>
      <w:r w:rsidRPr="00EF6C2F">
        <w:t xml:space="preserve"> OECD.</w:t>
      </w:r>
      <w:r>
        <w:t xml:space="preserve"> </w:t>
      </w:r>
      <w:r w:rsidRPr="00EF6C2F">
        <w:t>Stat</w:t>
      </w:r>
      <w:r>
        <w:t xml:space="preserve"> </w:t>
      </w:r>
      <w:r w:rsidRPr="005E11EA">
        <w:t xml:space="preserve">[accessed 19 </w:t>
      </w:r>
      <w:r w:rsidRPr="001F40CB">
        <w:t xml:space="preserve">December 2017]. Marcus Cox and Tran Thi Hanh, </w:t>
      </w:r>
      <w:hyperlink r:id="rId12" w:history="1">
        <w:r w:rsidRPr="001F40CB">
          <w:rPr>
            <w:rStyle w:val="Hyperlink"/>
            <w:i/>
          </w:rPr>
          <w:t>Development Finance for Sustainable Development Goals in Middle-Income Viet Nam</w:t>
        </w:r>
      </w:hyperlink>
      <w:r w:rsidRPr="001F40CB">
        <w:rPr>
          <w:i/>
        </w:rPr>
        <w:t xml:space="preserve">, </w:t>
      </w:r>
      <w:r w:rsidRPr="001F40CB">
        <w:t>UN, Multidimensional Poverty Index and European Union, December 2014.</w:t>
      </w:r>
    </w:p>
  </w:footnote>
  <w:footnote w:id="14">
    <w:p w14:paraId="1130BF91" w14:textId="225D49A5" w:rsidR="00222AD3" w:rsidRDefault="00222AD3">
      <w:pPr>
        <w:pStyle w:val="FootnoteText"/>
      </w:pPr>
      <w:r>
        <w:rPr>
          <w:rStyle w:val="FootnoteReference"/>
        </w:rPr>
        <w:footnoteRef/>
      </w:r>
      <w:r>
        <w:t xml:space="preserve"> </w:t>
      </w:r>
      <w:r>
        <w:tab/>
      </w:r>
      <w:r w:rsidRPr="00155667">
        <w:t>Foreign direct investment, net inflows (</w:t>
      </w:r>
      <w:r>
        <w:t>balance of payments</w:t>
      </w:r>
      <w:r w:rsidRPr="00155667">
        <w:t>, current US</w:t>
      </w:r>
      <w:r>
        <w:t>D</w:t>
      </w:r>
      <w:r w:rsidRPr="00155667">
        <w:t xml:space="preserve">); Authors’ calculations based on </w:t>
      </w:r>
      <w:hyperlink r:id="rId13" w:history="1">
        <w:r w:rsidRPr="00D9499D">
          <w:rPr>
            <w:rStyle w:val="Hyperlink"/>
            <w:i/>
          </w:rPr>
          <w:t>World Bank Databank</w:t>
        </w:r>
      </w:hyperlink>
      <w:r w:rsidRPr="00155667">
        <w:t>, World Bank, 2017</w:t>
      </w:r>
      <w:r>
        <w:t>.</w:t>
      </w:r>
    </w:p>
  </w:footnote>
  <w:footnote w:id="15">
    <w:p w14:paraId="1631DF51" w14:textId="0E09A605" w:rsidR="00222AD3" w:rsidRDefault="00222AD3">
      <w:pPr>
        <w:pStyle w:val="FootnoteText"/>
      </w:pPr>
      <w:r>
        <w:rPr>
          <w:rStyle w:val="FootnoteReference"/>
        </w:rPr>
        <w:footnoteRef/>
      </w:r>
      <w:r>
        <w:t xml:space="preserve"> </w:t>
      </w:r>
      <w:r>
        <w:tab/>
      </w:r>
      <w:r w:rsidRPr="0023060D">
        <w:t xml:space="preserve">Authors’ calculations based on </w:t>
      </w:r>
      <w:hyperlink r:id="rId14" w:history="1">
        <w:r w:rsidRPr="00D9499D">
          <w:rPr>
            <w:rStyle w:val="Hyperlink"/>
            <w:i/>
          </w:rPr>
          <w:t>World Bank Databank</w:t>
        </w:r>
      </w:hyperlink>
      <w:r w:rsidRPr="0023060D">
        <w:t>, World Bank, 2017</w:t>
      </w:r>
      <w:r>
        <w:t>.</w:t>
      </w:r>
    </w:p>
  </w:footnote>
  <w:footnote w:id="16">
    <w:p w14:paraId="1250DE66" w14:textId="5111945F" w:rsidR="00222AD3" w:rsidRDefault="00222AD3">
      <w:pPr>
        <w:pStyle w:val="FootnoteText"/>
      </w:pPr>
      <w:r>
        <w:rPr>
          <w:rStyle w:val="FootnoteReference"/>
        </w:rPr>
        <w:footnoteRef/>
      </w:r>
      <w:r>
        <w:t xml:space="preserve"> </w:t>
      </w:r>
      <w:r>
        <w:tab/>
      </w:r>
      <w:hyperlink r:id="rId15" w:history="1">
        <w:r w:rsidRPr="00D9499D">
          <w:rPr>
            <w:rStyle w:val="Hyperlink"/>
          </w:rPr>
          <w:t>OECD data</w:t>
        </w:r>
      </w:hyperlink>
      <w:r>
        <w:t>.</w:t>
      </w:r>
    </w:p>
  </w:footnote>
  <w:footnote w:id="17">
    <w:p w14:paraId="4370BCD5" w14:textId="042C3B29" w:rsidR="00222AD3" w:rsidRDefault="00222AD3">
      <w:pPr>
        <w:pStyle w:val="FootnoteText"/>
      </w:pPr>
      <w:r>
        <w:rPr>
          <w:rStyle w:val="FootnoteReference"/>
        </w:rPr>
        <w:footnoteRef/>
      </w:r>
      <w:r>
        <w:t xml:space="preserve"> </w:t>
      </w:r>
      <w:r>
        <w:tab/>
        <w:t>Indonesia first graduated in 1980 but was again given access to blended finance in 1999 following the Asian financial crisis, before a second graduation in 2009.</w:t>
      </w:r>
    </w:p>
  </w:footnote>
  <w:footnote w:id="18">
    <w:p w14:paraId="65F2E301" w14:textId="68C30560" w:rsidR="00222AD3" w:rsidRPr="00791B4D" w:rsidRDefault="00222AD3" w:rsidP="00280BD7">
      <w:pPr>
        <w:pStyle w:val="FootnoteText"/>
        <w:rPr>
          <w:sz w:val="22"/>
        </w:rPr>
      </w:pPr>
      <w:r>
        <w:rPr>
          <w:rStyle w:val="FootnoteReference"/>
        </w:rPr>
        <w:footnoteRef/>
      </w:r>
      <w:r>
        <w:t xml:space="preserve"> </w:t>
      </w:r>
      <w:r w:rsidRPr="006A221F">
        <w:rPr>
          <w:sz w:val="22"/>
        </w:rPr>
        <w:tab/>
      </w:r>
      <w:r w:rsidRPr="00791B4D">
        <w:rPr>
          <w:rFonts w:ascii="Calibri" w:hAnsi="Calibri"/>
          <w:szCs w:val="16"/>
        </w:rPr>
        <w:t>Authors’ calculations based on</w:t>
      </w:r>
      <w:r>
        <w:rPr>
          <w:rFonts w:ascii="Calibri" w:hAnsi="Calibri"/>
          <w:szCs w:val="16"/>
        </w:rPr>
        <w:t xml:space="preserve"> Axel </w:t>
      </w:r>
      <w:r w:rsidRPr="00934E3B">
        <w:rPr>
          <w:rFonts w:ascii="Calibri" w:hAnsi="Calibri"/>
          <w:szCs w:val="16"/>
        </w:rPr>
        <w:t>Dreher</w:t>
      </w:r>
      <w:r>
        <w:rPr>
          <w:rFonts w:ascii="Calibri" w:hAnsi="Calibri"/>
          <w:szCs w:val="16"/>
        </w:rPr>
        <w:t xml:space="preserve"> et al.,</w:t>
      </w:r>
      <w:r w:rsidRPr="00934E3B">
        <w:rPr>
          <w:rFonts w:ascii="Calibri" w:hAnsi="Calibri"/>
          <w:szCs w:val="16"/>
        </w:rPr>
        <w:t xml:space="preserve"> ‘</w:t>
      </w:r>
      <w:hyperlink r:id="rId16" w:history="1">
        <w:r w:rsidRPr="00934E3B">
          <w:rPr>
            <w:rStyle w:val="Hyperlink"/>
            <w:rFonts w:ascii="Calibri" w:hAnsi="Calibri"/>
            <w:szCs w:val="16"/>
          </w:rPr>
          <w:t>Aid, china, and growth: evidence from a new global development finance datase</w:t>
        </w:r>
      </w:hyperlink>
      <w:r w:rsidRPr="00934E3B">
        <w:rPr>
          <w:rFonts w:ascii="Calibri" w:hAnsi="Calibri"/>
          <w:szCs w:val="16"/>
        </w:rPr>
        <w:t xml:space="preserve">t’ </w:t>
      </w:r>
      <w:r w:rsidRPr="004D0472">
        <w:rPr>
          <w:rFonts w:ascii="Calibri" w:hAnsi="Calibri"/>
          <w:i/>
          <w:szCs w:val="16"/>
        </w:rPr>
        <w:t>AidData Working Paper</w:t>
      </w:r>
      <w:r>
        <w:rPr>
          <w:rFonts w:ascii="Calibri" w:hAnsi="Calibri"/>
          <w:szCs w:val="16"/>
        </w:rPr>
        <w:t xml:space="preserve">, no. 46, </w:t>
      </w:r>
      <w:r w:rsidRPr="00791B4D">
        <w:rPr>
          <w:rFonts w:ascii="Calibri" w:eastAsia="Times New Roman" w:hAnsi="Calibri"/>
          <w:color w:val="20303B"/>
          <w:szCs w:val="16"/>
          <w:shd w:val="clear" w:color="auto" w:fill="FFFFFF"/>
        </w:rPr>
        <w:t>2017</w:t>
      </w:r>
      <w:r w:rsidRPr="00791B4D">
        <w:rPr>
          <w:rStyle w:val="Hyperlink"/>
          <w:rFonts w:ascii="Calibri" w:eastAsia="Times New Roman" w:hAnsi="Calibri"/>
          <w:szCs w:val="16"/>
          <w:shd w:val="clear" w:color="auto" w:fill="FFFFFF"/>
        </w:rPr>
        <w:t>.</w:t>
      </w:r>
    </w:p>
  </w:footnote>
  <w:footnote w:id="19">
    <w:p w14:paraId="0F45C148" w14:textId="552358FF" w:rsidR="00222AD3" w:rsidRPr="00791B4D" w:rsidRDefault="00222AD3">
      <w:pPr>
        <w:pStyle w:val="FootnoteText"/>
      </w:pPr>
      <w:r>
        <w:rPr>
          <w:rStyle w:val="FootnoteReference"/>
        </w:rPr>
        <w:footnoteRef/>
      </w:r>
      <w:r>
        <w:t xml:space="preserve"> </w:t>
      </w:r>
      <w:r>
        <w:tab/>
        <w:t xml:space="preserve">OECD, </w:t>
      </w:r>
      <w:hyperlink r:id="rId17" w:anchor="page1" w:history="1">
        <w:r w:rsidRPr="00D9499D">
          <w:rPr>
            <w:rStyle w:val="Hyperlink"/>
            <w:i/>
          </w:rPr>
          <w:t>Geographical Distribution of Financial Flows to Development Countries</w:t>
        </w:r>
      </w:hyperlink>
      <w:r>
        <w:t>, 2017, p. 186.</w:t>
      </w:r>
    </w:p>
  </w:footnote>
  <w:footnote w:id="20">
    <w:p w14:paraId="02149F6E" w14:textId="791E151F" w:rsidR="00222AD3" w:rsidRDefault="00222AD3" w:rsidP="00C47DA8">
      <w:pPr>
        <w:pStyle w:val="FootnoteText"/>
      </w:pPr>
      <w:r>
        <w:rPr>
          <w:rStyle w:val="FootnoteReference"/>
        </w:rPr>
        <w:footnoteRef/>
      </w:r>
      <w:r>
        <w:t xml:space="preserve"> </w:t>
      </w:r>
      <w:r>
        <w:tab/>
      </w:r>
      <w:hyperlink r:id="rId18" w:history="1">
        <w:r w:rsidRPr="00071FB6">
          <w:rPr>
            <w:rStyle w:val="Hyperlink"/>
          </w:rPr>
          <w:t>‘</w:t>
        </w:r>
        <w:r w:rsidRPr="00071FB6">
          <w:rPr>
            <w:rStyle w:val="Hyperlink"/>
            <w:lang w:val="en-US"/>
          </w:rPr>
          <w:t>Why Cambodia has cosied up to China’</w:t>
        </w:r>
      </w:hyperlink>
      <w:r w:rsidRPr="00380C8B">
        <w:rPr>
          <w:lang w:val="en-US"/>
        </w:rPr>
        <w:t xml:space="preserve">, </w:t>
      </w:r>
      <w:r w:rsidRPr="00380C8B">
        <w:rPr>
          <w:i/>
          <w:lang w:val="en-US"/>
        </w:rPr>
        <w:t>The Economist</w:t>
      </w:r>
      <w:r w:rsidRPr="00380C8B">
        <w:rPr>
          <w:lang w:val="en-US"/>
        </w:rPr>
        <w:t xml:space="preserve">, </w:t>
      </w:r>
      <w:r>
        <w:rPr>
          <w:lang w:val="en-US"/>
        </w:rPr>
        <w:t xml:space="preserve">21 </w:t>
      </w:r>
      <w:r w:rsidRPr="00380C8B">
        <w:rPr>
          <w:lang w:val="en-US"/>
        </w:rPr>
        <w:t>January 2017</w:t>
      </w:r>
      <w:r>
        <w:rPr>
          <w:lang w:val="en-US"/>
        </w:rPr>
        <w:t>.</w:t>
      </w:r>
    </w:p>
  </w:footnote>
  <w:footnote w:id="21">
    <w:p w14:paraId="6C35023F" w14:textId="09810857" w:rsidR="00222AD3" w:rsidRDefault="00222AD3">
      <w:pPr>
        <w:pStyle w:val="FootnoteText"/>
      </w:pPr>
      <w:r>
        <w:rPr>
          <w:rStyle w:val="FootnoteReference"/>
        </w:rPr>
        <w:footnoteRef/>
      </w:r>
      <w:r>
        <w:t xml:space="preserve"> </w:t>
      </w:r>
      <w:r>
        <w:tab/>
      </w:r>
      <w:r w:rsidRPr="00B937BC">
        <w:rPr>
          <w:lang w:val="en-US"/>
        </w:rPr>
        <w:t>Pierre van der Eng</w:t>
      </w:r>
      <w:r>
        <w:rPr>
          <w:lang w:val="en-US"/>
        </w:rPr>
        <w:t xml:space="preserve">, </w:t>
      </w:r>
      <w:hyperlink r:id="rId19" w:history="1">
        <w:r w:rsidRPr="00071FB6">
          <w:rPr>
            <w:rStyle w:val="Hyperlink"/>
          </w:rPr>
          <w:t>‘</w:t>
        </w:r>
        <w:r w:rsidRPr="00071FB6">
          <w:rPr>
            <w:rStyle w:val="Hyperlink"/>
            <w:lang w:val="en-US"/>
          </w:rPr>
          <w:t>Why does Indonesia seem to prefer foreign aid from China?’</w:t>
        </w:r>
      </w:hyperlink>
      <w:r w:rsidRPr="00B937BC">
        <w:rPr>
          <w:lang w:val="en-US"/>
        </w:rPr>
        <w:t xml:space="preserve">, </w:t>
      </w:r>
      <w:r w:rsidRPr="00B937BC">
        <w:rPr>
          <w:i/>
          <w:lang w:val="en-US"/>
        </w:rPr>
        <w:t>East Asia Forum</w:t>
      </w:r>
      <w:r w:rsidRPr="00B937BC">
        <w:rPr>
          <w:lang w:val="en-US"/>
        </w:rPr>
        <w:t>, , 2 December 2017</w:t>
      </w:r>
      <w:r>
        <w:rPr>
          <w:lang w:val="en-US"/>
        </w:rPr>
        <w:t>.</w:t>
      </w:r>
    </w:p>
  </w:footnote>
  <w:footnote w:id="22">
    <w:p w14:paraId="48A40913" w14:textId="761C4EE5" w:rsidR="00222AD3" w:rsidRDefault="00222AD3">
      <w:pPr>
        <w:pStyle w:val="FootnoteText"/>
      </w:pPr>
      <w:r>
        <w:rPr>
          <w:rStyle w:val="FootnoteReference"/>
        </w:rPr>
        <w:footnoteRef/>
      </w:r>
      <w:r>
        <w:t xml:space="preserve"> </w:t>
      </w:r>
      <w:r>
        <w:tab/>
      </w:r>
      <w:r w:rsidRPr="00F63FD9">
        <w:rPr>
          <w:lang w:val="en-US"/>
        </w:rPr>
        <w:t>Indian Ministry of External Affairs</w:t>
      </w:r>
      <w:r>
        <w:rPr>
          <w:lang w:val="en-US"/>
        </w:rPr>
        <w:t>,</w:t>
      </w:r>
      <w:r>
        <w:t xml:space="preserve"> </w:t>
      </w:r>
      <w:hyperlink r:id="rId20" w:history="1">
        <w:r w:rsidRPr="00071FB6">
          <w:rPr>
            <w:rStyle w:val="Hyperlink"/>
            <w:i/>
            <w:lang w:val="en-US"/>
          </w:rPr>
          <w:t>ASEAN-India Relations</w:t>
        </w:r>
      </w:hyperlink>
      <w:r w:rsidRPr="00F63FD9">
        <w:rPr>
          <w:lang w:val="en-US"/>
        </w:rPr>
        <w:t>,</w:t>
      </w:r>
      <w:r>
        <w:rPr>
          <w:lang w:val="en-US"/>
        </w:rPr>
        <w:t xml:space="preserve"> ASEAN India, 25 Years</w:t>
      </w:r>
      <w:r w:rsidRPr="00F63FD9">
        <w:rPr>
          <w:lang w:val="en-US"/>
        </w:rPr>
        <w:t xml:space="preserve">, </w:t>
      </w:r>
      <w:r>
        <w:rPr>
          <w:lang w:val="en-US"/>
        </w:rPr>
        <w:t>20</w:t>
      </w:r>
      <w:r w:rsidRPr="00F63FD9">
        <w:rPr>
          <w:lang w:val="en-US"/>
        </w:rPr>
        <w:t>17</w:t>
      </w:r>
      <w:r>
        <w:rPr>
          <w:lang w:val="en-US"/>
        </w:rPr>
        <w:t>.</w:t>
      </w:r>
    </w:p>
  </w:footnote>
  <w:footnote w:id="23">
    <w:p w14:paraId="658DAB7D" w14:textId="5210E2D1" w:rsidR="00222AD3" w:rsidRDefault="00222AD3">
      <w:pPr>
        <w:pStyle w:val="FootnoteText"/>
      </w:pPr>
      <w:r>
        <w:rPr>
          <w:rStyle w:val="FootnoteReference"/>
        </w:rPr>
        <w:footnoteRef/>
      </w:r>
      <w:r>
        <w:t xml:space="preserve"> </w:t>
      </w:r>
      <w:r>
        <w:tab/>
      </w:r>
      <w:r w:rsidRPr="00271EAE">
        <w:t xml:space="preserve">DFAT, </w:t>
      </w:r>
      <w:hyperlink r:id="rId21" w:history="1">
        <w:r w:rsidRPr="005B5234">
          <w:rPr>
            <w:rStyle w:val="Hyperlink"/>
            <w:i/>
          </w:rPr>
          <w:t>2017 Foreign Policy White Paper</w:t>
        </w:r>
      </w:hyperlink>
      <w:r w:rsidRPr="00271EAE">
        <w:t xml:space="preserve">, </w:t>
      </w:r>
      <w:r>
        <w:t xml:space="preserve">Australian Government, </w:t>
      </w:r>
      <w:r w:rsidRPr="00271EAE">
        <w:t>November 2017, p</w:t>
      </w:r>
      <w:r>
        <w:t>p</w:t>
      </w:r>
      <w:r w:rsidRPr="00271EAE">
        <w:t>. 4</w:t>
      </w:r>
      <w:r>
        <w:t>4–45.</w:t>
      </w:r>
    </w:p>
  </w:footnote>
  <w:footnote w:id="24">
    <w:p w14:paraId="57FCF4BE" w14:textId="1098B501" w:rsidR="00222AD3" w:rsidRDefault="00222AD3">
      <w:pPr>
        <w:pStyle w:val="FootnoteText"/>
      </w:pPr>
      <w:r>
        <w:rPr>
          <w:rStyle w:val="FootnoteReference"/>
        </w:rPr>
        <w:footnoteRef/>
      </w:r>
      <w:r>
        <w:t xml:space="preserve"> </w:t>
      </w:r>
      <w:r>
        <w:tab/>
        <w:t xml:space="preserve">Barry </w:t>
      </w:r>
      <w:r w:rsidRPr="00143580">
        <w:rPr>
          <w:szCs w:val="18"/>
        </w:rPr>
        <w:t xml:space="preserve">Eichengreen et al., </w:t>
      </w:r>
      <w:hyperlink r:id="rId22" w:history="1">
        <w:r w:rsidRPr="00071FB6">
          <w:rPr>
            <w:rStyle w:val="Hyperlink"/>
            <w:i/>
            <w:szCs w:val="18"/>
          </w:rPr>
          <w:t>Growth slowdowns redux: new evidence on the middle-income trap</w:t>
        </w:r>
        <w:r w:rsidRPr="00071FB6">
          <w:rPr>
            <w:rStyle w:val="Hyperlink"/>
            <w:szCs w:val="18"/>
          </w:rPr>
          <w:t>,</w:t>
        </w:r>
      </w:hyperlink>
      <w:r w:rsidRPr="00143580">
        <w:rPr>
          <w:szCs w:val="18"/>
        </w:rPr>
        <w:t xml:space="preserve"> National Bureau of Economic Research, 2013.</w:t>
      </w:r>
    </w:p>
  </w:footnote>
  <w:footnote w:id="25">
    <w:p w14:paraId="1E460ADF" w14:textId="023C804F" w:rsidR="00222AD3" w:rsidRPr="00A87C6C" w:rsidRDefault="00222AD3">
      <w:pPr>
        <w:pStyle w:val="FootnoteText"/>
      </w:pPr>
      <w:r>
        <w:rPr>
          <w:rStyle w:val="FootnoteReference"/>
        </w:rPr>
        <w:footnoteRef/>
      </w:r>
      <w:r>
        <w:t xml:space="preserve"> </w:t>
      </w:r>
      <w:r>
        <w:tab/>
        <w:t xml:space="preserve">William Cole, </w:t>
      </w:r>
      <w:r>
        <w:rPr>
          <w:i/>
        </w:rPr>
        <w:t>Advanced Middle Income Countries in Asia: Challenges and Opportunities Ahead</w:t>
      </w:r>
      <w:r>
        <w:t xml:space="preserve">, The Asia Foundation, May 2017 (unpublished); </w:t>
      </w:r>
      <w:r w:rsidRPr="00143580">
        <w:rPr>
          <w:szCs w:val="18"/>
        </w:rPr>
        <w:t xml:space="preserve">Richard Doner and Ben Schneider, </w:t>
      </w:r>
      <w:hyperlink r:id="rId23" w:history="1">
        <w:r w:rsidRPr="00071FB6">
          <w:rPr>
            <w:rStyle w:val="Hyperlink"/>
            <w:szCs w:val="18"/>
          </w:rPr>
          <w:t>‘The middle-income trap: more politics than economics’</w:t>
        </w:r>
      </w:hyperlink>
      <w:r w:rsidRPr="00143580">
        <w:rPr>
          <w:szCs w:val="18"/>
        </w:rPr>
        <w:t xml:space="preserve">, </w:t>
      </w:r>
      <w:r w:rsidRPr="00143580">
        <w:rPr>
          <w:i/>
          <w:szCs w:val="18"/>
        </w:rPr>
        <w:t>World Politics</w:t>
      </w:r>
      <w:r w:rsidRPr="00143580">
        <w:rPr>
          <w:szCs w:val="18"/>
        </w:rPr>
        <w:t xml:space="preserve">, </w:t>
      </w:r>
      <w:r>
        <w:rPr>
          <w:szCs w:val="18"/>
        </w:rPr>
        <w:t xml:space="preserve">vol. 68, no. 4, </w:t>
      </w:r>
      <w:r w:rsidRPr="00143580">
        <w:rPr>
          <w:szCs w:val="18"/>
        </w:rPr>
        <w:t>2016, pp. 1</w:t>
      </w:r>
      <w:r>
        <w:rPr>
          <w:szCs w:val="18"/>
        </w:rPr>
        <w:t>–</w:t>
      </w:r>
      <w:r w:rsidRPr="00143580">
        <w:rPr>
          <w:szCs w:val="18"/>
        </w:rPr>
        <w:t>37</w:t>
      </w:r>
      <w:r>
        <w:rPr>
          <w:rStyle w:val="Hyperlink"/>
          <w:szCs w:val="18"/>
        </w:rPr>
        <w:t>.</w:t>
      </w:r>
    </w:p>
  </w:footnote>
  <w:footnote w:id="26">
    <w:p w14:paraId="001BCB6E" w14:textId="6E5D2FE9" w:rsidR="00222AD3" w:rsidRPr="00E6569C" w:rsidRDefault="00222AD3">
      <w:pPr>
        <w:pStyle w:val="FootnoteText"/>
      </w:pPr>
      <w:r>
        <w:rPr>
          <w:rStyle w:val="FootnoteReference"/>
        </w:rPr>
        <w:footnoteRef/>
      </w:r>
      <w:r>
        <w:t xml:space="preserve"> </w:t>
      </w:r>
      <w:r>
        <w:tab/>
        <w:t xml:space="preserve">Cole, </w:t>
      </w:r>
      <w:r>
        <w:rPr>
          <w:i/>
        </w:rPr>
        <w:t>op. cit.</w:t>
      </w:r>
      <w:r>
        <w:t>, pp. 7–10.</w:t>
      </w:r>
    </w:p>
  </w:footnote>
  <w:footnote w:id="27">
    <w:p w14:paraId="4557FA33" w14:textId="4D648FE6" w:rsidR="00222AD3" w:rsidRPr="001C6EBA" w:rsidRDefault="00222AD3">
      <w:pPr>
        <w:pStyle w:val="FootnoteText"/>
      </w:pPr>
      <w:r>
        <w:rPr>
          <w:rStyle w:val="FootnoteReference"/>
        </w:rPr>
        <w:footnoteRef/>
      </w:r>
      <w:r>
        <w:t xml:space="preserve"> </w:t>
      </w:r>
      <w:r>
        <w:tab/>
        <w:t xml:space="preserve">World Bank, </w:t>
      </w:r>
      <w:hyperlink r:id="rId24" w:history="1">
        <w:r w:rsidRPr="00071FB6">
          <w:rPr>
            <w:rStyle w:val="Hyperlink"/>
            <w:i/>
          </w:rPr>
          <w:t>Indonesia’s Rising Divide</w:t>
        </w:r>
      </w:hyperlink>
      <w:r>
        <w:t xml:space="preserve">, March 2016. Nguyen Tran Lam, </w:t>
      </w:r>
      <w:hyperlink r:id="rId25" w:history="1">
        <w:r w:rsidRPr="00BC6680">
          <w:rPr>
            <w:rStyle w:val="Hyperlink"/>
            <w:i/>
          </w:rPr>
          <w:t>Even it up: How to tackle inequality in Vietnam</w:t>
        </w:r>
        <w:r w:rsidRPr="00BC6680">
          <w:rPr>
            <w:rStyle w:val="Hyperlink"/>
          </w:rPr>
          <w:t>,</w:t>
        </w:r>
      </w:hyperlink>
      <w:r>
        <w:rPr>
          <w:rStyle w:val="Hyperlink"/>
        </w:rPr>
        <w:t xml:space="preserve"> Oxfam,</w:t>
      </w:r>
      <w:r>
        <w:t xml:space="preserve"> 2017.</w:t>
      </w:r>
    </w:p>
  </w:footnote>
  <w:footnote w:id="28">
    <w:p w14:paraId="5732BDB2" w14:textId="356376A6" w:rsidR="00222AD3" w:rsidRPr="00143580" w:rsidRDefault="00222AD3" w:rsidP="00FA38AC">
      <w:pPr>
        <w:pStyle w:val="FootnoteText"/>
        <w:contextualSpacing/>
        <w:rPr>
          <w:rFonts w:cs="Calibri"/>
          <w:szCs w:val="18"/>
        </w:rPr>
      </w:pPr>
      <w:r w:rsidRPr="00143580">
        <w:rPr>
          <w:rStyle w:val="FootnoteReference"/>
          <w:rFonts w:cs="Calibri"/>
          <w:sz w:val="18"/>
          <w:szCs w:val="18"/>
        </w:rPr>
        <w:footnoteRef/>
      </w:r>
      <w:r w:rsidRPr="00143580">
        <w:rPr>
          <w:rFonts w:cs="Calibri"/>
          <w:szCs w:val="18"/>
        </w:rPr>
        <w:t xml:space="preserve"> </w:t>
      </w:r>
      <w:r w:rsidRPr="00143580">
        <w:rPr>
          <w:rFonts w:cs="Calibri"/>
          <w:szCs w:val="18"/>
        </w:rPr>
        <w:tab/>
      </w:r>
      <w:r>
        <w:rPr>
          <w:rFonts w:cs="Calibri"/>
          <w:szCs w:val="18"/>
        </w:rPr>
        <w:t xml:space="preserve">World Bank, </w:t>
      </w:r>
      <w:hyperlink r:id="rId26" w:history="1">
        <w:r w:rsidRPr="00FA49A0">
          <w:rPr>
            <w:rStyle w:val="Hyperlink"/>
            <w:rFonts w:cs="Calibri"/>
            <w:i/>
            <w:szCs w:val="18"/>
          </w:rPr>
          <w:t>Vietnam—Overview</w:t>
        </w:r>
      </w:hyperlink>
      <w:r w:rsidRPr="00143580">
        <w:rPr>
          <w:rFonts w:cs="Calibri"/>
          <w:szCs w:val="18"/>
        </w:rPr>
        <w:t xml:space="preserve">, </w:t>
      </w:r>
      <w:r>
        <w:rPr>
          <w:rFonts w:cs="Calibri"/>
          <w:szCs w:val="18"/>
        </w:rPr>
        <w:t>2018.</w:t>
      </w:r>
    </w:p>
  </w:footnote>
  <w:footnote w:id="29">
    <w:p w14:paraId="03D78C1B" w14:textId="77777777" w:rsidR="00222AD3" w:rsidRDefault="00222AD3" w:rsidP="00FA38AC">
      <w:pPr>
        <w:pStyle w:val="FootnoteText"/>
      </w:pPr>
      <w:r>
        <w:rPr>
          <w:rStyle w:val="FootnoteReference"/>
        </w:rPr>
        <w:footnoteRef/>
      </w:r>
      <w:r>
        <w:t xml:space="preserve"> </w:t>
      </w:r>
      <w:r>
        <w:tab/>
      </w:r>
      <w:r w:rsidRPr="00143580">
        <w:rPr>
          <w:szCs w:val="18"/>
        </w:rPr>
        <w:t xml:space="preserve">Yikai Wang, </w:t>
      </w:r>
      <w:hyperlink r:id="rId27" w:history="1">
        <w:r w:rsidRPr="00BC6680">
          <w:rPr>
            <w:rStyle w:val="Hyperlink"/>
            <w:szCs w:val="18"/>
          </w:rPr>
          <w:t>‘The political economy of the middle-income trap: implications for potential growth’</w:t>
        </w:r>
      </w:hyperlink>
      <w:r w:rsidRPr="00143580">
        <w:rPr>
          <w:szCs w:val="18"/>
        </w:rPr>
        <w:t xml:space="preserve">, </w:t>
      </w:r>
      <w:r w:rsidRPr="00143580">
        <w:rPr>
          <w:i/>
          <w:szCs w:val="18"/>
        </w:rPr>
        <w:t>Asian Development Review</w:t>
      </w:r>
      <w:r w:rsidRPr="00143580">
        <w:rPr>
          <w:szCs w:val="18"/>
        </w:rPr>
        <w:t>, vol. 33, no. 2, 2016, pp. 167</w:t>
      </w:r>
      <w:r>
        <w:rPr>
          <w:szCs w:val="18"/>
        </w:rPr>
        <w:t>–</w:t>
      </w:r>
      <w:r w:rsidRPr="00143580">
        <w:rPr>
          <w:szCs w:val="18"/>
        </w:rPr>
        <w:t>181.</w:t>
      </w:r>
    </w:p>
  </w:footnote>
  <w:footnote w:id="30">
    <w:p w14:paraId="7F26931D" w14:textId="43CB7C32" w:rsidR="00222AD3" w:rsidRPr="005503CC" w:rsidRDefault="00222AD3" w:rsidP="00FA38AC">
      <w:pPr>
        <w:pStyle w:val="FootnoteText"/>
      </w:pPr>
      <w:r>
        <w:rPr>
          <w:rStyle w:val="FootnoteReference"/>
        </w:rPr>
        <w:footnoteRef/>
      </w:r>
      <w:r>
        <w:t xml:space="preserve"> </w:t>
      </w:r>
      <w:r>
        <w:tab/>
        <w:t xml:space="preserve">DFAT-funded World Bank research notes that </w:t>
      </w:r>
      <w:r w:rsidRPr="001F40CB">
        <w:t xml:space="preserve">one in every five Indonesians, or 52 million people, are now middle class, with incomes above purchasing power parity of USD15 per day: World Bank, Aspiring Indonesia: Expanding the Middle Class, 2018 (unpublished). World Bank research suggests that the middle class is growing rapidly in China, Malaysia, Thailand and Vietnam, but only slowly in Cambodia, Indonesia and the Philippines: World Bank, </w:t>
      </w:r>
      <w:hyperlink r:id="rId28" w:history="1">
        <w:r w:rsidRPr="001F40CB">
          <w:rPr>
            <w:rStyle w:val="Hyperlink"/>
            <w:i/>
          </w:rPr>
          <w:t>Riding the Wave: An East Asian Miracle for the 21</w:t>
        </w:r>
        <w:r w:rsidRPr="001F40CB">
          <w:rPr>
            <w:rStyle w:val="Hyperlink"/>
            <w:i/>
            <w:vertAlign w:val="superscript"/>
          </w:rPr>
          <w:t>st</w:t>
        </w:r>
        <w:r w:rsidRPr="001F40CB">
          <w:rPr>
            <w:rStyle w:val="Hyperlink"/>
            <w:i/>
          </w:rPr>
          <w:t xml:space="preserve"> Century</w:t>
        </w:r>
      </w:hyperlink>
      <w:r w:rsidRPr="001F40CB">
        <w:t>, 2018, p. 2.</w:t>
      </w:r>
    </w:p>
  </w:footnote>
  <w:footnote w:id="31">
    <w:p w14:paraId="05E6BF4B" w14:textId="6161322D" w:rsidR="00222AD3" w:rsidRDefault="00222AD3" w:rsidP="00FA38AC">
      <w:pPr>
        <w:pStyle w:val="FootnoteText"/>
      </w:pPr>
      <w:r>
        <w:rPr>
          <w:rStyle w:val="FootnoteReference"/>
        </w:rPr>
        <w:footnoteRef/>
      </w:r>
      <w:r>
        <w:t xml:space="preserve"> </w:t>
      </w:r>
      <w:r>
        <w:tab/>
      </w:r>
      <w:r w:rsidRPr="00143580">
        <w:rPr>
          <w:szCs w:val="18"/>
        </w:rPr>
        <w:t xml:space="preserve">Richard Doner and Ben Schneider, </w:t>
      </w:r>
      <w:hyperlink r:id="rId29" w:history="1">
        <w:r w:rsidRPr="00BC6680">
          <w:rPr>
            <w:rStyle w:val="Hyperlink"/>
            <w:szCs w:val="18"/>
          </w:rPr>
          <w:t>‘The middle-income trap: more politics than economics’</w:t>
        </w:r>
      </w:hyperlink>
      <w:r w:rsidRPr="00143580">
        <w:rPr>
          <w:szCs w:val="18"/>
        </w:rPr>
        <w:t xml:space="preserve">, </w:t>
      </w:r>
      <w:r w:rsidRPr="00143580">
        <w:rPr>
          <w:i/>
          <w:szCs w:val="18"/>
        </w:rPr>
        <w:t>World Politics</w:t>
      </w:r>
      <w:r w:rsidRPr="00143580">
        <w:rPr>
          <w:szCs w:val="18"/>
        </w:rPr>
        <w:t xml:space="preserve">, </w:t>
      </w:r>
      <w:r>
        <w:rPr>
          <w:szCs w:val="18"/>
        </w:rPr>
        <w:t xml:space="preserve">vol. 68, no. 4, </w:t>
      </w:r>
      <w:r w:rsidRPr="00143580">
        <w:rPr>
          <w:szCs w:val="18"/>
        </w:rPr>
        <w:t>2016, pp. 1</w:t>
      </w:r>
      <w:r>
        <w:rPr>
          <w:szCs w:val="18"/>
        </w:rPr>
        <w:t>–</w:t>
      </w:r>
      <w:r w:rsidRPr="00143580">
        <w:rPr>
          <w:szCs w:val="18"/>
        </w:rPr>
        <w:t>37</w:t>
      </w:r>
      <w:r>
        <w:rPr>
          <w:szCs w:val="18"/>
        </w:rPr>
        <w:t>.</w:t>
      </w:r>
    </w:p>
  </w:footnote>
  <w:footnote w:id="32">
    <w:p w14:paraId="00454830" w14:textId="4EE8B51D" w:rsidR="00222AD3" w:rsidRDefault="00222AD3" w:rsidP="00FA38AC">
      <w:pPr>
        <w:pStyle w:val="FootnoteText"/>
      </w:pPr>
      <w:r>
        <w:rPr>
          <w:rStyle w:val="FootnoteReference"/>
        </w:rPr>
        <w:footnoteRef/>
      </w:r>
      <w:r>
        <w:t xml:space="preserve"> </w:t>
      </w:r>
      <w:r>
        <w:tab/>
      </w:r>
      <w:r w:rsidRPr="00004DCA">
        <w:t xml:space="preserve">William Cole, </w:t>
      </w:r>
      <w:r w:rsidRPr="00004DCA">
        <w:rPr>
          <w:i/>
        </w:rPr>
        <w:t>Advanced Middle Income Countries in Asia: Challenges and Opportunities Ahead</w:t>
      </w:r>
      <w:r w:rsidRPr="00004DCA">
        <w:t>, The Asia Foundation, May 2017</w:t>
      </w:r>
      <w:r>
        <w:t xml:space="preserve">, pp. 12–13 (unpublished). </w:t>
      </w:r>
    </w:p>
  </w:footnote>
  <w:footnote w:id="33">
    <w:p w14:paraId="69808813" w14:textId="5A2DB894" w:rsidR="00222AD3" w:rsidRDefault="00222AD3" w:rsidP="001C6EBA">
      <w:pPr>
        <w:pStyle w:val="FootnoteText"/>
      </w:pPr>
      <w:r>
        <w:rPr>
          <w:rStyle w:val="FootnoteReference"/>
        </w:rPr>
        <w:footnoteRef/>
      </w:r>
      <w:r>
        <w:t xml:space="preserve"> </w:t>
      </w:r>
      <w:r>
        <w:tab/>
      </w:r>
      <w:r w:rsidRPr="00CD6390">
        <w:rPr>
          <w:lang w:val="en-US"/>
        </w:rPr>
        <w:t xml:space="preserve">Kharas at al, </w:t>
      </w:r>
      <w:hyperlink r:id="rId30" w:history="1">
        <w:r w:rsidRPr="00BC6680">
          <w:rPr>
            <w:rStyle w:val="Hyperlink"/>
            <w:lang w:val="en-US"/>
          </w:rPr>
          <w:t>‘Financing the post 2015 Sustainable Development Goals: a rough road-map’</w:t>
        </w:r>
      </w:hyperlink>
      <w:r w:rsidRPr="00CD6390">
        <w:rPr>
          <w:lang w:val="en-US"/>
        </w:rPr>
        <w:t>, Overseas Development Institute, 2014</w:t>
      </w:r>
      <w:r>
        <w:rPr>
          <w:lang w:val="en-US"/>
        </w:rPr>
        <w:t>.</w:t>
      </w:r>
    </w:p>
  </w:footnote>
  <w:footnote w:id="34">
    <w:p w14:paraId="02F121F0" w14:textId="60335471" w:rsidR="00222AD3" w:rsidRDefault="00222AD3">
      <w:pPr>
        <w:pStyle w:val="FootnoteText"/>
      </w:pPr>
      <w:r>
        <w:rPr>
          <w:rStyle w:val="FootnoteReference"/>
        </w:rPr>
        <w:footnoteRef/>
      </w:r>
      <w:r>
        <w:t xml:space="preserve"> </w:t>
      </w:r>
      <w:r>
        <w:tab/>
      </w:r>
      <w:hyperlink r:id="rId31" w:history="1">
        <w:r w:rsidRPr="00BC6680">
          <w:rPr>
            <w:rStyle w:val="Hyperlink"/>
          </w:rPr>
          <w:t>World Bank data</w:t>
        </w:r>
      </w:hyperlink>
      <w:r>
        <w:t>.</w:t>
      </w:r>
    </w:p>
  </w:footnote>
  <w:footnote w:id="35">
    <w:p w14:paraId="77AFB047" w14:textId="43719FDE" w:rsidR="00222AD3" w:rsidRPr="00143580" w:rsidRDefault="00222AD3" w:rsidP="001C6EBA">
      <w:pPr>
        <w:pStyle w:val="FootnoteText"/>
        <w:contextualSpacing/>
        <w:rPr>
          <w:rFonts w:cs="Calibri"/>
          <w:szCs w:val="18"/>
        </w:rPr>
      </w:pPr>
      <w:r w:rsidRPr="00143580">
        <w:rPr>
          <w:rStyle w:val="FootnoteReference"/>
          <w:rFonts w:cs="Calibri"/>
          <w:sz w:val="18"/>
          <w:szCs w:val="18"/>
        </w:rPr>
        <w:footnoteRef/>
      </w:r>
      <w:r w:rsidRPr="00143580">
        <w:rPr>
          <w:rFonts w:cs="Calibri"/>
          <w:szCs w:val="18"/>
        </w:rPr>
        <w:t xml:space="preserve"> </w:t>
      </w:r>
      <w:r w:rsidRPr="00143580">
        <w:rPr>
          <w:rFonts w:cs="Calibri"/>
          <w:szCs w:val="18"/>
        </w:rPr>
        <w:tab/>
      </w:r>
      <w:r>
        <w:rPr>
          <w:rFonts w:cs="Calibri"/>
          <w:szCs w:val="18"/>
        </w:rPr>
        <w:t xml:space="preserve">Raul Junquera-Varela et al., </w:t>
      </w:r>
      <w:hyperlink r:id="rId32" w:history="1">
        <w:r w:rsidRPr="00BC6680">
          <w:rPr>
            <w:rStyle w:val="Hyperlink"/>
            <w:rFonts w:cs="Calibri"/>
            <w:i/>
            <w:szCs w:val="18"/>
          </w:rPr>
          <w:t>Strengthening Domestic Resource Mobilization</w:t>
        </w:r>
        <w:r w:rsidRPr="00BC6680">
          <w:rPr>
            <w:rStyle w:val="Hyperlink"/>
            <w:rFonts w:cs="Calibri"/>
            <w:szCs w:val="18"/>
          </w:rPr>
          <w:t>,</w:t>
        </w:r>
      </w:hyperlink>
      <w:r w:rsidRPr="00143580">
        <w:rPr>
          <w:rFonts w:cs="Calibri"/>
          <w:szCs w:val="18"/>
        </w:rPr>
        <w:t xml:space="preserve"> World Bank, 2017, </w:t>
      </w:r>
      <w:r>
        <w:rPr>
          <w:rFonts w:cs="Calibri"/>
          <w:szCs w:val="18"/>
        </w:rPr>
        <w:t>p. ix.</w:t>
      </w:r>
    </w:p>
  </w:footnote>
  <w:footnote w:id="36">
    <w:p w14:paraId="2A0A8790" w14:textId="409A9058" w:rsidR="00222AD3" w:rsidRDefault="00222AD3">
      <w:pPr>
        <w:pStyle w:val="FootnoteText"/>
      </w:pPr>
      <w:r>
        <w:rPr>
          <w:rStyle w:val="FootnoteReference"/>
        </w:rPr>
        <w:footnoteRef/>
      </w:r>
      <w:r>
        <w:t xml:space="preserve"> </w:t>
      </w:r>
      <w:r>
        <w:tab/>
      </w:r>
      <w:r w:rsidRPr="00143580">
        <w:rPr>
          <w:rFonts w:cs="Calibri"/>
          <w:szCs w:val="18"/>
        </w:rPr>
        <w:t xml:space="preserve">Ronald Lee and Andrew Mason, </w:t>
      </w:r>
      <w:hyperlink r:id="rId33" w:history="1">
        <w:r w:rsidRPr="00BC6680">
          <w:rPr>
            <w:rStyle w:val="Hyperlink"/>
            <w:rFonts w:cs="Calibri"/>
            <w:szCs w:val="18"/>
          </w:rPr>
          <w:t>‘What is the demographic dividend?’</w:t>
        </w:r>
      </w:hyperlink>
      <w:r w:rsidRPr="00143580">
        <w:rPr>
          <w:rFonts w:cs="Calibri"/>
          <w:szCs w:val="18"/>
        </w:rPr>
        <w:t xml:space="preserve">, </w:t>
      </w:r>
      <w:r w:rsidRPr="00143580">
        <w:rPr>
          <w:rFonts w:cs="Calibri"/>
          <w:i/>
          <w:szCs w:val="18"/>
        </w:rPr>
        <w:t>Finance and Development</w:t>
      </w:r>
      <w:r w:rsidRPr="00143580">
        <w:rPr>
          <w:rFonts w:cs="Calibri"/>
          <w:szCs w:val="18"/>
        </w:rPr>
        <w:t xml:space="preserve">, </w:t>
      </w:r>
      <w:r>
        <w:rPr>
          <w:rFonts w:cs="Calibri"/>
          <w:szCs w:val="18"/>
        </w:rPr>
        <w:t>v</w:t>
      </w:r>
      <w:r w:rsidRPr="00143580">
        <w:rPr>
          <w:rFonts w:cs="Calibri"/>
          <w:szCs w:val="18"/>
        </w:rPr>
        <w:t xml:space="preserve">ol. 43, </w:t>
      </w:r>
      <w:r>
        <w:rPr>
          <w:rFonts w:cs="Calibri"/>
          <w:szCs w:val="18"/>
        </w:rPr>
        <w:t>n</w:t>
      </w:r>
      <w:r w:rsidRPr="00143580">
        <w:rPr>
          <w:rFonts w:cs="Calibri"/>
          <w:szCs w:val="18"/>
        </w:rPr>
        <w:t>o. 3</w:t>
      </w:r>
      <w:r>
        <w:rPr>
          <w:rFonts w:cs="Calibri"/>
          <w:szCs w:val="18"/>
        </w:rPr>
        <w:t>,</w:t>
      </w:r>
      <w:r w:rsidRPr="00143580">
        <w:rPr>
          <w:rFonts w:cs="Calibri"/>
          <w:szCs w:val="18"/>
        </w:rPr>
        <w:t>2006</w:t>
      </w:r>
      <w:r>
        <w:rPr>
          <w:rFonts w:cs="Calibri"/>
          <w:szCs w:val="18"/>
        </w:rPr>
        <w:t>..</w:t>
      </w:r>
    </w:p>
  </w:footnote>
  <w:footnote w:id="37">
    <w:p w14:paraId="70FF5BC7" w14:textId="5503BBE3" w:rsidR="00222AD3" w:rsidRPr="00143580" w:rsidRDefault="00222AD3" w:rsidP="002C716A">
      <w:pPr>
        <w:pStyle w:val="FootnoteText"/>
        <w:contextualSpacing/>
        <w:rPr>
          <w:rFonts w:cs="Calibri"/>
          <w:szCs w:val="18"/>
        </w:rPr>
      </w:pPr>
      <w:r w:rsidRPr="00143580">
        <w:rPr>
          <w:rStyle w:val="FootnoteReference"/>
          <w:rFonts w:cs="Calibri"/>
          <w:sz w:val="18"/>
          <w:szCs w:val="18"/>
        </w:rPr>
        <w:footnoteRef/>
      </w:r>
      <w:r w:rsidRPr="00143580">
        <w:rPr>
          <w:rFonts w:cs="Calibri"/>
          <w:szCs w:val="18"/>
        </w:rPr>
        <w:t xml:space="preserve"> </w:t>
      </w:r>
      <w:r w:rsidRPr="00143580">
        <w:rPr>
          <w:rFonts w:cs="Calibri"/>
          <w:szCs w:val="18"/>
        </w:rPr>
        <w:tab/>
      </w:r>
      <w:r>
        <w:rPr>
          <w:rFonts w:cs="Calibri"/>
          <w:szCs w:val="18"/>
        </w:rPr>
        <w:t xml:space="preserve">World Bank, </w:t>
      </w:r>
      <w:hyperlink r:id="rId34" w:history="1">
        <w:r w:rsidRPr="001F40CB">
          <w:rPr>
            <w:rStyle w:val="Hyperlink"/>
            <w:rFonts w:cs="Calibri"/>
            <w:i/>
            <w:szCs w:val="18"/>
          </w:rPr>
          <w:t>Indonesia 2014 and Beyond: A Selective Look</w:t>
        </w:r>
        <w:r w:rsidRPr="001F40CB">
          <w:rPr>
            <w:rStyle w:val="Hyperlink"/>
            <w:rFonts w:cs="Calibri"/>
            <w:szCs w:val="18"/>
          </w:rPr>
          <w:t>,</w:t>
        </w:r>
      </w:hyperlink>
      <w:r w:rsidRPr="001F40CB">
        <w:rPr>
          <w:rFonts w:cs="Calibri"/>
          <w:szCs w:val="18"/>
        </w:rPr>
        <w:t xml:space="preserve"> 2009, p. 31.</w:t>
      </w:r>
    </w:p>
  </w:footnote>
  <w:footnote w:id="38">
    <w:p w14:paraId="0F70D18A" w14:textId="679E66A6" w:rsidR="00222AD3" w:rsidRPr="00143580" w:rsidRDefault="00222AD3" w:rsidP="002C716A">
      <w:pPr>
        <w:pStyle w:val="FootnoteText"/>
        <w:contextualSpacing/>
        <w:rPr>
          <w:rFonts w:cs="Calibri"/>
          <w:szCs w:val="18"/>
        </w:rPr>
      </w:pPr>
      <w:r w:rsidRPr="00143580">
        <w:rPr>
          <w:rStyle w:val="FootnoteReference"/>
          <w:rFonts w:cs="Calibri"/>
          <w:sz w:val="18"/>
          <w:szCs w:val="18"/>
        </w:rPr>
        <w:footnoteRef/>
      </w:r>
      <w:r w:rsidRPr="00143580">
        <w:rPr>
          <w:rFonts w:cs="Calibri"/>
          <w:szCs w:val="18"/>
        </w:rPr>
        <w:t xml:space="preserve"> </w:t>
      </w:r>
      <w:r w:rsidRPr="00143580">
        <w:rPr>
          <w:rFonts w:cs="Calibri"/>
          <w:szCs w:val="18"/>
        </w:rPr>
        <w:tab/>
        <w:t xml:space="preserve">Speech by </w:t>
      </w:r>
      <w:r>
        <w:rPr>
          <w:rFonts w:cs="Calibri"/>
          <w:szCs w:val="18"/>
        </w:rPr>
        <w:t xml:space="preserve">former </w:t>
      </w:r>
      <w:r w:rsidRPr="00143580">
        <w:rPr>
          <w:rFonts w:cs="Calibri"/>
          <w:szCs w:val="18"/>
        </w:rPr>
        <w:t xml:space="preserve">World Bank Managing Director Sri Mulyani Indrarwati, </w:t>
      </w:r>
      <w:hyperlink r:id="rId35" w:history="1">
        <w:r w:rsidRPr="00FA49A0">
          <w:rPr>
            <w:rStyle w:val="Hyperlink"/>
            <w:rFonts w:cs="Calibri"/>
            <w:szCs w:val="18"/>
          </w:rPr>
          <w:t>‘The transformation of the Indonesia economy in challenging times’</w:t>
        </w:r>
      </w:hyperlink>
      <w:r w:rsidRPr="00143580">
        <w:rPr>
          <w:rFonts w:cs="Calibri"/>
          <w:szCs w:val="18"/>
        </w:rPr>
        <w:t>, Columbia University, November 2015</w:t>
      </w:r>
      <w:r>
        <w:rPr>
          <w:rFonts w:cs="Calibri"/>
          <w:szCs w:val="18"/>
        </w:rPr>
        <w:t>.</w:t>
      </w:r>
    </w:p>
  </w:footnote>
  <w:footnote w:id="39">
    <w:p w14:paraId="48E0023D" w14:textId="394608A6" w:rsidR="00222AD3" w:rsidRPr="00AC54BF" w:rsidRDefault="00222AD3">
      <w:pPr>
        <w:pStyle w:val="FootnoteText"/>
      </w:pPr>
      <w:r>
        <w:rPr>
          <w:rStyle w:val="FootnoteReference"/>
        </w:rPr>
        <w:footnoteRef/>
      </w:r>
      <w:r>
        <w:t xml:space="preserve"> </w:t>
      </w:r>
      <w:r>
        <w:tab/>
        <w:t xml:space="preserve">World Bank Development Committee, </w:t>
      </w:r>
      <w:hyperlink r:id="rId36" w:history="1">
        <w:r w:rsidRPr="006661FB">
          <w:rPr>
            <w:rStyle w:val="Hyperlink"/>
            <w:i/>
          </w:rPr>
          <w:t>Forward L</w:t>
        </w:r>
        <w:r w:rsidRPr="001F40CB">
          <w:rPr>
            <w:rStyle w:val="Hyperlink"/>
            <w:i/>
          </w:rPr>
          <w:t>ook: A Vision for the</w:t>
        </w:r>
        <w:r w:rsidRPr="006661FB">
          <w:rPr>
            <w:rStyle w:val="Hyperlink"/>
            <w:i/>
          </w:rPr>
          <w:t xml:space="preserve"> World Bank Group in 2030—Implementation Update</w:t>
        </w:r>
      </w:hyperlink>
      <w:r>
        <w:t>, March 2018.</w:t>
      </w:r>
    </w:p>
  </w:footnote>
  <w:footnote w:id="40">
    <w:p w14:paraId="4421019E" w14:textId="4C042A4C" w:rsidR="00222AD3" w:rsidRPr="0055515C" w:rsidRDefault="00222AD3" w:rsidP="009B6D0F">
      <w:pPr>
        <w:pStyle w:val="FootnoteText"/>
      </w:pPr>
      <w:r>
        <w:rPr>
          <w:rStyle w:val="FootnoteReference"/>
        </w:rPr>
        <w:footnoteRef/>
      </w:r>
      <w:r>
        <w:t xml:space="preserve"> </w:t>
      </w:r>
      <w:r>
        <w:tab/>
        <w:t xml:space="preserve">ICAI, </w:t>
      </w:r>
      <w:hyperlink r:id="rId37" w:history="1">
        <w:r w:rsidRPr="006661FB">
          <w:rPr>
            <w:rStyle w:val="Hyperlink"/>
            <w:i/>
          </w:rPr>
          <w:t>When aid relationships change: DFID’s approach to managing exit and transition in its development partnerships</w:t>
        </w:r>
      </w:hyperlink>
      <w:r>
        <w:t>, November 2016.</w:t>
      </w:r>
    </w:p>
  </w:footnote>
  <w:footnote w:id="41">
    <w:p w14:paraId="4147F3D3" w14:textId="4F592D6F" w:rsidR="00222AD3" w:rsidRPr="00FC3FC2" w:rsidRDefault="00222AD3">
      <w:pPr>
        <w:pStyle w:val="FootnoteText"/>
      </w:pPr>
      <w:r>
        <w:rPr>
          <w:rStyle w:val="FootnoteReference"/>
        </w:rPr>
        <w:footnoteRef/>
      </w:r>
      <w:r>
        <w:t xml:space="preserve"> </w:t>
      </w:r>
      <w:r>
        <w:tab/>
        <w:t xml:space="preserve">HM Treasury and DFID, </w:t>
      </w:r>
      <w:hyperlink r:id="rId38" w:history="1">
        <w:r w:rsidRPr="006661FB">
          <w:rPr>
            <w:rStyle w:val="Hyperlink"/>
            <w:i/>
          </w:rPr>
          <w:t>UK aid: tackling global challenges in the national interest</w:t>
        </w:r>
      </w:hyperlink>
      <w:r>
        <w:t>, November 2015, p. 9.</w:t>
      </w:r>
    </w:p>
  </w:footnote>
  <w:footnote w:id="42">
    <w:p w14:paraId="0061AEF0" w14:textId="0B34FB3E" w:rsidR="00222AD3" w:rsidRPr="006B1E63" w:rsidRDefault="00222AD3">
      <w:pPr>
        <w:pStyle w:val="FootnoteText"/>
      </w:pPr>
      <w:r>
        <w:rPr>
          <w:rStyle w:val="FootnoteReference"/>
        </w:rPr>
        <w:footnoteRef/>
      </w:r>
      <w:r>
        <w:t xml:space="preserve"> </w:t>
      </w:r>
      <w:r>
        <w:tab/>
        <w:t xml:space="preserve">DFAT, </w:t>
      </w:r>
      <w:hyperlink r:id="rId39" w:history="1">
        <w:r w:rsidRPr="006661FB">
          <w:rPr>
            <w:rStyle w:val="Hyperlink"/>
            <w:i/>
          </w:rPr>
          <w:t>Australia’s Education Partnership with Indonesia</w:t>
        </w:r>
      </w:hyperlink>
      <w:r>
        <w:t>, Education Sector Support Program design document, Australian Government, October 2010.</w:t>
      </w:r>
    </w:p>
  </w:footnote>
  <w:footnote w:id="43">
    <w:p w14:paraId="3E80D307" w14:textId="26F83AB9" w:rsidR="00222AD3" w:rsidRPr="006B1E63" w:rsidRDefault="00222AD3">
      <w:pPr>
        <w:pStyle w:val="FootnoteText"/>
      </w:pPr>
      <w:r>
        <w:rPr>
          <w:rStyle w:val="FootnoteReference"/>
        </w:rPr>
        <w:footnoteRef/>
      </w:r>
      <w:r>
        <w:t xml:space="preserve"> </w:t>
      </w:r>
      <w:r>
        <w:tab/>
        <w:t xml:space="preserve">Lisa Cornish, </w:t>
      </w:r>
      <w:hyperlink r:id="rId40" w:history="1">
        <w:r w:rsidRPr="006661FB">
          <w:rPr>
            <w:rStyle w:val="Hyperlink"/>
            <w:i/>
          </w:rPr>
          <w:t>Australian Aid’s innovative approach to education in Indonesia</w:t>
        </w:r>
      </w:hyperlink>
      <w:r>
        <w:t>, devex, 16 November 2017.</w:t>
      </w:r>
    </w:p>
  </w:footnote>
  <w:footnote w:id="44">
    <w:p w14:paraId="6F2C82F7" w14:textId="7BA84181" w:rsidR="00222AD3" w:rsidRDefault="00222AD3">
      <w:pPr>
        <w:pStyle w:val="FootnoteText"/>
      </w:pPr>
      <w:r>
        <w:rPr>
          <w:rStyle w:val="FootnoteReference"/>
        </w:rPr>
        <w:footnoteRef/>
      </w:r>
      <w:r>
        <w:t xml:space="preserve"> </w:t>
      </w:r>
      <w:r>
        <w:tab/>
        <w:t>AIPEG and GPF were merged into a single facility, the Australia Indonesia Partnership for Economic Development.</w:t>
      </w:r>
    </w:p>
  </w:footnote>
  <w:footnote w:id="45">
    <w:p w14:paraId="19A93AA3" w14:textId="7303AEAA" w:rsidR="00222AD3" w:rsidRPr="008E7A22" w:rsidRDefault="00222AD3">
      <w:pPr>
        <w:pStyle w:val="FootnoteText"/>
      </w:pPr>
      <w:r>
        <w:rPr>
          <w:rStyle w:val="FootnoteReference"/>
        </w:rPr>
        <w:footnoteRef/>
      </w:r>
      <w:r>
        <w:t xml:space="preserve"> </w:t>
      </w:r>
      <w:r>
        <w:tab/>
        <w:t xml:space="preserve">World Bank Group and Ministry of Planning and Investment, </w:t>
      </w:r>
      <w:hyperlink r:id="rId41" w:history="1">
        <w:r w:rsidRPr="00264F2A">
          <w:rPr>
            <w:rStyle w:val="Hyperlink"/>
            <w:i/>
          </w:rPr>
          <w:t>Vietnam 2035: Toward Prosperity, Creativity, Equity, and Democracy</w:t>
        </w:r>
      </w:hyperlink>
      <w:r>
        <w:t>, 2016.</w:t>
      </w:r>
    </w:p>
  </w:footnote>
  <w:footnote w:id="46">
    <w:p w14:paraId="5A5BEDE5" w14:textId="3F3C2EFF" w:rsidR="00222AD3" w:rsidRPr="00DD2608" w:rsidRDefault="00222AD3">
      <w:pPr>
        <w:pStyle w:val="FootnoteText"/>
      </w:pPr>
      <w:r>
        <w:rPr>
          <w:rStyle w:val="FootnoteReference"/>
        </w:rPr>
        <w:footnoteRef/>
      </w:r>
      <w:r>
        <w:t xml:space="preserve"> </w:t>
      </w:r>
      <w:r>
        <w:tab/>
        <w:t xml:space="preserve">DFAT, </w:t>
      </w:r>
      <w:hyperlink r:id="rId42" w:history="1">
        <w:r w:rsidRPr="006A564A">
          <w:rPr>
            <w:rStyle w:val="Hyperlink"/>
            <w:i/>
          </w:rPr>
          <w:t>Emerging Markets Impact Investment Fund (EMIIF): Draft Design</w:t>
        </w:r>
      </w:hyperlink>
      <w:r>
        <w:t>, Australian Government, October 2017.</w:t>
      </w:r>
    </w:p>
  </w:footnote>
  <w:footnote w:id="47">
    <w:p w14:paraId="0C3B5144" w14:textId="4EC6AAE9" w:rsidR="00222AD3" w:rsidRDefault="00222AD3">
      <w:pPr>
        <w:pStyle w:val="FootnoteText"/>
      </w:pPr>
      <w:r>
        <w:rPr>
          <w:rStyle w:val="FootnoteReference"/>
        </w:rPr>
        <w:footnoteRef/>
      </w:r>
      <w:r>
        <w:t xml:space="preserve"> </w:t>
      </w:r>
      <w:r>
        <w:tab/>
        <w:t xml:space="preserve">DFAT, </w:t>
      </w:r>
      <w:hyperlink r:id="rId43" w:history="1">
        <w:r w:rsidRPr="00280B6E">
          <w:rPr>
            <w:rStyle w:val="Hyperlink"/>
            <w:i/>
          </w:rPr>
          <w:t>Australian aid: promoting prosperity, reducing poverty, enhancing stability</w:t>
        </w:r>
      </w:hyperlink>
      <w:r>
        <w:t>, Australian Government, June 2014, p. 11.</w:t>
      </w:r>
    </w:p>
  </w:footnote>
  <w:footnote w:id="48">
    <w:p w14:paraId="2C03CA3D" w14:textId="3BC93069" w:rsidR="00222AD3" w:rsidRDefault="00222AD3">
      <w:pPr>
        <w:pStyle w:val="FootnoteText"/>
      </w:pPr>
      <w:r>
        <w:rPr>
          <w:rStyle w:val="FootnoteReference"/>
        </w:rPr>
        <w:footnoteRef/>
      </w:r>
      <w:r>
        <w:t xml:space="preserve"> </w:t>
      </w:r>
      <w:r>
        <w:tab/>
        <w:t xml:space="preserve">World Bank, </w:t>
      </w:r>
      <w:hyperlink r:id="rId44" w:history="1">
        <w:r w:rsidRPr="001F40CB">
          <w:rPr>
            <w:rStyle w:val="Hyperlink"/>
          </w:rPr>
          <w:t>‘Indonesia: Basing infrastructure investment on more solid ground’,</w:t>
        </w:r>
      </w:hyperlink>
      <w:r w:rsidRPr="001F40CB">
        <w:t xml:space="preserve"> World Bank </w:t>
      </w:r>
      <w:r>
        <w:t>f</w:t>
      </w:r>
      <w:r w:rsidRPr="001F40CB">
        <w:t>eature story, 30</w:t>
      </w:r>
      <w:r>
        <w:t xml:space="preserve"> January 2017.</w:t>
      </w:r>
    </w:p>
  </w:footnote>
  <w:footnote w:id="49">
    <w:p w14:paraId="287253CA" w14:textId="495910A8" w:rsidR="00222AD3" w:rsidRPr="001E2D11" w:rsidRDefault="00222AD3" w:rsidP="008E11DB">
      <w:pPr>
        <w:pStyle w:val="FootnoteText"/>
      </w:pPr>
      <w:r>
        <w:rPr>
          <w:rStyle w:val="FootnoteReference"/>
        </w:rPr>
        <w:footnoteRef/>
      </w:r>
      <w:r>
        <w:t xml:space="preserve"> </w:t>
      </w:r>
      <w:r>
        <w:tab/>
        <w:t xml:space="preserve">PwC, </w:t>
      </w:r>
      <w:hyperlink r:id="rId45" w:history="1">
        <w:r w:rsidRPr="00347202">
          <w:rPr>
            <w:rStyle w:val="Hyperlink"/>
            <w:i/>
          </w:rPr>
          <w:t>Indonesian Infrastructure: Stable foundations for growth</w:t>
        </w:r>
      </w:hyperlink>
      <w:r>
        <w:t>, 2016, p. 5.</w:t>
      </w:r>
    </w:p>
  </w:footnote>
  <w:footnote w:id="50">
    <w:p w14:paraId="450526C1" w14:textId="711AF60B" w:rsidR="00222AD3" w:rsidRDefault="00222AD3" w:rsidP="008E11DB">
      <w:pPr>
        <w:pStyle w:val="FootnoteText"/>
      </w:pPr>
      <w:r>
        <w:rPr>
          <w:rStyle w:val="FootnoteReference"/>
        </w:rPr>
        <w:footnoteRef/>
      </w:r>
      <w:r>
        <w:t xml:space="preserve"> </w:t>
      </w:r>
      <w:r>
        <w:tab/>
        <w:t>World Bank</w:t>
      </w:r>
      <w:hyperlink r:id="rId46" w:history="1">
        <w:r w:rsidRPr="00A747DD">
          <w:rPr>
            <w:rStyle w:val="Hyperlink"/>
          </w:rPr>
          <w:t>, Project paper on Indonesia Infrastructure Finance Facility—Additional financing</w:t>
        </w:r>
      </w:hyperlink>
      <w:r>
        <w:t>, March 2017, p. 7.</w:t>
      </w:r>
    </w:p>
  </w:footnote>
  <w:footnote w:id="51">
    <w:p w14:paraId="71AC80B1" w14:textId="379C62CE" w:rsidR="00222AD3" w:rsidRDefault="00222AD3" w:rsidP="008E11DB">
      <w:pPr>
        <w:pStyle w:val="FootnoteText"/>
      </w:pPr>
      <w:r>
        <w:rPr>
          <w:rStyle w:val="FootnoteReference"/>
        </w:rPr>
        <w:footnoteRef/>
      </w:r>
      <w:r>
        <w:t xml:space="preserve"> </w:t>
      </w:r>
      <w:r>
        <w:tab/>
        <w:t xml:space="preserve">Jim Yong Kim, </w:t>
      </w:r>
      <w:hyperlink r:id="rId47" w:history="1">
        <w:r w:rsidRPr="00347202">
          <w:rPr>
            <w:rStyle w:val="Hyperlink"/>
          </w:rPr>
          <w:t>‘Indonesia’s future depends on its investments now’</w:t>
        </w:r>
      </w:hyperlink>
      <w:r>
        <w:t>, World Bank article, 27 July 2017.</w:t>
      </w:r>
    </w:p>
  </w:footnote>
  <w:footnote w:id="52">
    <w:p w14:paraId="01D20A8E" w14:textId="2F9CF89B" w:rsidR="00222AD3" w:rsidRPr="00432F84" w:rsidRDefault="00222AD3">
      <w:pPr>
        <w:pStyle w:val="FootnoteText"/>
      </w:pPr>
      <w:r>
        <w:rPr>
          <w:rStyle w:val="FootnoteReference"/>
        </w:rPr>
        <w:footnoteRef/>
      </w:r>
      <w:r>
        <w:t xml:space="preserve"> </w:t>
      </w:r>
      <w:r>
        <w:tab/>
        <w:t>Marcus Cox &amp; Tran Thi Hanh</w:t>
      </w:r>
      <w:r w:rsidRPr="009E4AFA">
        <w:t>,</w:t>
      </w:r>
      <w:r>
        <w:t xml:space="preserve"> </w:t>
      </w:r>
      <w:hyperlink r:id="rId48" w:history="1">
        <w:r w:rsidRPr="00347202">
          <w:rPr>
            <w:rStyle w:val="Hyperlink"/>
            <w:i/>
          </w:rPr>
          <w:t>Development Finance for Sustainable Development Goals in Middle-Income Viet Nam</w:t>
        </w:r>
      </w:hyperlink>
      <w:r>
        <w:t xml:space="preserve">, UN, </w:t>
      </w:r>
      <w:r w:rsidRPr="00347202">
        <w:t>Multidimensional Poverty Index</w:t>
      </w:r>
      <w:r>
        <w:t xml:space="preserve"> and European Union, December 2014, p. 24.</w:t>
      </w:r>
    </w:p>
  </w:footnote>
  <w:footnote w:id="53">
    <w:p w14:paraId="71EB8DA0" w14:textId="325E0027" w:rsidR="00222AD3" w:rsidRPr="007F2207" w:rsidRDefault="00222AD3" w:rsidP="00432F84">
      <w:pPr>
        <w:pStyle w:val="FootnoteText"/>
      </w:pPr>
      <w:r>
        <w:rPr>
          <w:rStyle w:val="FootnoteReference"/>
        </w:rPr>
        <w:footnoteRef/>
      </w:r>
      <w:r>
        <w:t xml:space="preserve"> </w:t>
      </w:r>
      <w:r>
        <w:tab/>
        <w:t xml:space="preserve">Viet Tuan Dinh et al, </w:t>
      </w:r>
      <w:hyperlink r:id="rId49" w:history="1">
        <w:r w:rsidRPr="005B428D">
          <w:rPr>
            <w:rStyle w:val="Hyperlink"/>
            <w:i/>
          </w:rPr>
          <w:t>Taking Stock: An update on Vietnam’s recent economic developments</w:t>
        </w:r>
      </w:hyperlink>
      <w:r>
        <w:t>, World Bank, December 2017, pp. 36–39.</w:t>
      </w:r>
    </w:p>
  </w:footnote>
  <w:footnote w:id="54">
    <w:p w14:paraId="74A51B20" w14:textId="28F509B2" w:rsidR="00222AD3" w:rsidRPr="008A3486" w:rsidRDefault="00222AD3" w:rsidP="008A3486">
      <w:pPr>
        <w:pStyle w:val="FootnoteText"/>
      </w:pPr>
      <w:r>
        <w:rPr>
          <w:rStyle w:val="FootnoteReference"/>
        </w:rPr>
        <w:footnoteRef/>
      </w:r>
      <w:r>
        <w:t xml:space="preserve"> </w:t>
      </w:r>
      <w:r>
        <w:tab/>
        <w:t xml:space="preserve">World Bank and Ministry of Planning and Investment,, </w:t>
      </w:r>
      <w:hyperlink r:id="rId50" w:history="1">
        <w:r w:rsidRPr="00347202">
          <w:rPr>
            <w:rStyle w:val="Hyperlink"/>
            <w:i/>
          </w:rPr>
          <w:t>Vietnam 2035: Towards Prosperity, Creativity, Equity, and Democracy</w:t>
        </w:r>
      </w:hyperlink>
      <w:r>
        <w:t>, 2016, p. 109.</w:t>
      </w:r>
    </w:p>
  </w:footnote>
  <w:footnote w:id="55">
    <w:p w14:paraId="7D0E9009" w14:textId="663E2B8D" w:rsidR="00222AD3" w:rsidRPr="00670E39" w:rsidRDefault="00222AD3">
      <w:pPr>
        <w:pStyle w:val="FootnoteText"/>
      </w:pPr>
      <w:r>
        <w:rPr>
          <w:rStyle w:val="FootnoteReference"/>
        </w:rPr>
        <w:footnoteRef/>
      </w:r>
      <w:r>
        <w:t xml:space="preserve"> </w:t>
      </w:r>
      <w:r>
        <w:tab/>
        <w:t xml:space="preserve">Vietnam Government, </w:t>
      </w:r>
      <w:hyperlink r:id="rId51" w:history="1">
        <w:r w:rsidRPr="00347202">
          <w:rPr>
            <w:rStyle w:val="Hyperlink"/>
            <w:i/>
          </w:rPr>
          <w:t>Master plan on economic restructuring</w:t>
        </w:r>
      </w:hyperlink>
      <w:r>
        <w:t>, 2013.</w:t>
      </w:r>
    </w:p>
  </w:footnote>
  <w:footnote w:id="56">
    <w:p w14:paraId="32B89B63" w14:textId="0C0B05FC" w:rsidR="00222AD3" w:rsidRPr="00902D94" w:rsidRDefault="00222AD3">
      <w:pPr>
        <w:pStyle w:val="FootnoteText"/>
      </w:pPr>
      <w:r>
        <w:rPr>
          <w:rStyle w:val="FootnoteReference"/>
        </w:rPr>
        <w:footnoteRef/>
      </w:r>
      <w:r>
        <w:t xml:space="preserve"> </w:t>
      </w:r>
      <w:r>
        <w:tab/>
        <w:t xml:space="preserve">Jorn Dosch, </w:t>
      </w:r>
      <w:hyperlink r:id="rId52" w:history="1">
        <w:r w:rsidRPr="00347202">
          <w:rPr>
            <w:rStyle w:val="Hyperlink"/>
          </w:rPr>
          <w:t>‘The ASEAN Economic Community: What Stands in the Way?’</w:t>
        </w:r>
      </w:hyperlink>
      <w:r>
        <w:t xml:space="preserve">, East-West Center, </w:t>
      </w:r>
      <w:r>
        <w:rPr>
          <w:i/>
        </w:rPr>
        <w:t>Asia Pacific Issues</w:t>
      </w:r>
      <w:r>
        <w:t>, no. 119, September 2015.</w:t>
      </w:r>
    </w:p>
  </w:footnote>
  <w:footnote w:id="57">
    <w:p w14:paraId="6F2DF104" w14:textId="5B81A789" w:rsidR="00222AD3" w:rsidRPr="00902D94" w:rsidRDefault="00222AD3">
      <w:pPr>
        <w:pStyle w:val="FootnoteText"/>
      </w:pPr>
      <w:r>
        <w:rPr>
          <w:rStyle w:val="FootnoteReference"/>
        </w:rPr>
        <w:footnoteRef/>
      </w:r>
      <w:r>
        <w:t xml:space="preserve"> </w:t>
      </w:r>
      <w:r>
        <w:tab/>
        <w:t xml:space="preserve">Lee Jones, ‘Explaining the Failure of the ASEAN Economic Community: The Primacy of Domestic Political Economy’, </w:t>
      </w:r>
      <w:r>
        <w:rPr>
          <w:i/>
        </w:rPr>
        <w:t>The Pacific Review</w:t>
      </w:r>
      <w:r>
        <w:t>, vol. 29, no. 5, March 2015.</w:t>
      </w:r>
    </w:p>
  </w:footnote>
  <w:footnote w:id="58">
    <w:p w14:paraId="2B94B7FF" w14:textId="183406A5" w:rsidR="00222AD3" w:rsidRDefault="00222AD3" w:rsidP="001205A7">
      <w:pPr>
        <w:pStyle w:val="FootnoteText"/>
      </w:pPr>
      <w:r>
        <w:rPr>
          <w:rStyle w:val="FootnoteReference"/>
        </w:rPr>
        <w:footnoteRef/>
      </w:r>
      <w:r>
        <w:t xml:space="preserve"> </w:t>
      </w:r>
      <w:r>
        <w:tab/>
      </w:r>
      <w:r w:rsidRPr="001205A7">
        <w:t xml:space="preserve">DFAT, </w:t>
      </w:r>
      <w:hyperlink r:id="rId53" w:history="1">
        <w:r w:rsidRPr="005B5234">
          <w:rPr>
            <w:rStyle w:val="Hyperlink"/>
            <w:i/>
          </w:rPr>
          <w:t>2017 Foreign Policy White Paper</w:t>
        </w:r>
      </w:hyperlink>
      <w:r w:rsidRPr="001205A7">
        <w:t xml:space="preserve">, </w:t>
      </w:r>
      <w:r>
        <w:t xml:space="preserve">Australian Government, </w:t>
      </w:r>
      <w:r w:rsidRPr="001205A7">
        <w:t xml:space="preserve">November 2017, p. </w:t>
      </w:r>
      <w:r>
        <w:t>28. The estimates of the Asian middle class come from the Brookings Institution.</w:t>
      </w:r>
    </w:p>
  </w:footnote>
  <w:footnote w:id="59">
    <w:p w14:paraId="40FFEC46" w14:textId="6879B965" w:rsidR="00222AD3" w:rsidRDefault="00222AD3" w:rsidP="00487C2D">
      <w:pPr>
        <w:pStyle w:val="FootnoteText"/>
      </w:pPr>
      <w:r>
        <w:rPr>
          <w:rStyle w:val="FootnoteReference"/>
        </w:rPr>
        <w:footnoteRef/>
      </w:r>
      <w:r>
        <w:t xml:space="preserve"> </w:t>
      </w:r>
      <w:r>
        <w:tab/>
        <w:t xml:space="preserve">DFAT, </w:t>
      </w:r>
      <w:hyperlink r:id="rId54" w:anchor="exports" w:history="1">
        <w:r w:rsidRPr="005356BD">
          <w:rPr>
            <w:rStyle w:val="Hyperlink"/>
          </w:rPr>
          <w:t>‘Australia’s trade in goods and services 2016’</w:t>
        </w:r>
      </w:hyperlink>
      <w:r>
        <w:t>, Australian Government, 2017.</w:t>
      </w:r>
    </w:p>
  </w:footnote>
  <w:footnote w:id="60">
    <w:p w14:paraId="752596E2" w14:textId="74AA9F6C" w:rsidR="00222AD3" w:rsidRDefault="00222AD3">
      <w:pPr>
        <w:pStyle w:val="FootnoteText"/>
      </w:pPr>
      <w:r>
        <w:rPr>
          <w:rStyle w:val="FootnoteReference"/>
        </w:rPr>
        <w:footnoteRef/>
      </w:r>
      <w:r>
        <w:t xml:space="preserve"> </w:t>
      </w:r>
      <w:r>
        <w:tab/>
        <w:t xml:space="preserve">World Bank Group and Ministry of Planning and Investment, </w:t>
      </w:r>
      <w:hyperlink r:id="rId55" w:history="1">
        <w:r w:rsidRPr="0024395A">
          <w:rPr>
            <w:rStyle w:val="Hyperlink"/>
            <w:i/>
          </w:rPr>
          <w:t>Vietnam 2035: Toward Prosperity, Creativity, Equity, and Democracy</w:t>
        </w:r>
      </w:hyperlink>
      <w:r>
        <w:t>, 2016.</w:t>
      </w:r>
    </w:p>
  </w:footnote>
  <w:footnote w:id="61">
    <w:p w14:paraId="6A8244B1" w14:textId="1D22CCD5" w:rsidR="00222AD3" w:rsidRDefault="00222AD3" w:rsidP="00EB768A">
      <w:pPr>
        <w:pStyle w:val="FootnoteText"/>
      </w:pPr>
      <w:r>
        <w:rPr>
          <w:rStyle w:val="FootnoteReference"/>
        </w:rPr>
        <w:footnoteRef/>
      </w:r>
      <w:r>
        <w:t xml:space="preserve"> </w:t>
      </w:r>
      <w:r>
        <w:tab/>
        <w:t xml:space="preserve">DFAT, </w:t>
      </w:r>
      <w:hyperlink r:id="rId56" w:history="1">
        <w:r w:rsidRPr="00AE477E">
          <w:rPr>
            <w:rStyle w:val="Hyperlink"/>
            <w:i/>
          </w:rPr>
          <w:t xml:space="preserve">Strategy for Australia’s Aid for Trade </w:t>
        </w:r>
        <w:r w:rsidRPr="005B5234">
          <w:rPr>
            <w:rStyle w:val="Hyperlink"/>
            <w:i/>
          </w:rPr>
          <w:t>Investments</w:t>
        </w:r>
      </w:hyperlink>
      <w:r>
        <w:t xml:space="preserve">, Australian Government, July 2015. </w:t>
      </w:r>
      <w:r w:rsidRPr="000A09DF">
        <w:t>Under</w:t>
      </w:r>
      <w:r>
        <w:t xml:space="preserve"> OECD statistical classifications, ‘aid for trade’ encompasses support for trade policy and regulations, economic infrastructure and building productive capacity.</w:t>
      </w:r>
    </w:p>
  </w:footnote>
  <w:footnote w:id="62">
    <w:p w14:paraId="57F939D8" w14:textId="73A1B756" w:rsidR="00222AD3" w:rsidRPr="00997BB4" w:rsidRDefault="00222AD3">
      <w:pPr>
        <w:pStyle w:val="FootnoteText"/>
      </w:pPr>
      <w:r>
        <w:rPr>
          <w:rStyle w:val="FootnoteReference"/>
        </w:rPr>
        <w:footnoteRef/>
      </w:r>
      <w:r>
        <w:t xml:space="preserve"> </w:t>
      </w:r>
      <w:r>
        <w:tab/>
        <w:t xml:space="preserve">OECD Development Assistance Committee, </w:t>
      </w:r>
      <w:hyperlink r:id="rId57" w:anchor="page1" w:history="1">
        <w:r w:rsidRPr="00AE477E">
          <w:rPr>
            <w:rStyle w:val="Hyperlink"/>
            <w:i/>
          </w:rPr>
          <w:t>OECD Development Co-operation Peer Reviews—Australia</w:t>
        </w:r>
      </w:hyperlink>
      <w:r>
        <w:t>, 2018, p. 32.</w:t>
      </w:r>
    </w:p>
  </w:footnote>
  <w:footnote w:id="63">
    <w:p w14:paraId="5935F80A" w14:textId="6D217885" w:rsidR="00222AD3" w:rsidRPr="00997BB4" w:rsidRDefault="00222AD3">
      <w:pPr>
        <w:pStyle w:val="FootnoteText"/>
      </w:pPr>
      <w:r>
        <w:rPr>
          <w:rStyle w:val="FootnoteReference"/>
        </w:rPr>
        <w:footnoteRef/>
      </w:r>
      <w:r>
        <w:t xml:space="preserve"> </w:t>
      </w:r>
      <w:r>
        <w:tab/>
        <w:t xml:space="preserve">Center for Global Development, </w:t>
      </w:r>
      <w:hyperlink r:id="rId58" w:history="1">
        <w:r w:rsidRPr="00AE477E">
          <w:rPr>
            <w:rStyle w:val="Hyperlink"/>
            <w:i/>
          </w:rPr>
          <w:t>The Commitment to Development Index 2017</w:t>
        </w:r>
      </w:hyperlink>
      <w:r>
        <w:t>.</w:t>
      </w:r>
    </w:p>
  </w:footnote>
  <w:footnote w:id="64">
    <w:p w14:paraId="71CBF508" w14:textId="58C9F15C" w:rsidR="00222AD3" w:rsidRPr="00997BB4" w:rsidRDefault="00222AD3">
      <w:pPr>
        <w:pStyle w:val="FootnoteText"/>
      </w:pPr>
      <w:r>
        <w:rPr>
          <w:rStyle w:val="FootnoteReference"/>
        </w:rPr>
        <w:footnoteRef/>
      </w:r>
      <w:r>
        <w:t xml:space="preserve"> </w:t>
      </w:r>
      <w:r>
        <w:tab/>
        <w:t xml:space="preserve">ODE, </w:t>
      </w:r>
      <w:hyperlink r:id="rId59" w:history="1">
        <w:r w:rsidRPr="00AE477E">
          <w:rPr>
            <w:rStyle w:val="Hyperlink"/>
            <w:i/>
          </w:rPr>
          <w:t>Gearing up for Trade: Australia’s support for trade facilitation programs</w:t>
        </w:r>
      </w:hyperlink>
      <w:r>
        <w:t>, Australian Government, April 2016.</w:t>
      </w:r>
    </w:p>
  </w:footnote>
  <w:footnote w:id="65">
    <w:p w14:paraId="62FC9B10" w14:textId="1C6BE2DB" w:rsidR="00222AD3" w:rsidRPr="006955BC" w:rsidRDefault="00222AD3">
      <w:pPr>
        <w:pStyle w:val="FootnoteText"/>
      </w:pPr>
      <w:r>
        <w:rPr>
          <w:rStyle w:val="FootnoteReference"/>
        </w:rPr>
        <w:footnoteRef/>
      </w:r>
      <w:r>
        <w:t xml:space="preserve"> </w:t>
      </w:r>
      <w:r>
        <w:tab/>
      </w:r>
      <w:r w:rsidRPr="006955BC">
        <w:t xml:space="preserve">DFAT, </w:t>
      </w:r>
      <w:hyperlink r:id="rId60" w:history="1">
        <w:r w:rsidRPr="00834232">
          <w:rPr>
            <w:rStyle w:val="Hyperlink"/>
            <w:i/>
          </w:rPr>
          <w:t>Aid Program Performance Report 2016-17—Indonesia</w:t>
        </w:r>
      </w:hyperlink>
      <w:r w:rsidRPr="006955BC">
        <w:t>,</w:t>
      </w:r>
      <w:r>
        <w:t xml:space="preserve"> Australian Government,</w:t>
      </w:r>
      <w:r w:rsidRPr="006955BC">
        <w:t xml:space="preserve"> September 2017, p. 2</w:t>
      </w:r>
      <w:r>
        <w:t>.</w:t>
      </w:r>
    </w:p>
  </w:footnote>
  <w:footnote w:id="66">
    <w:p w14:paraId="10183EEB" w14:textId="49781F8B" w:rsidR="00222AD3" w:rsidRPr="00B07AA8" w:rsidRDefault="00222AD3" w:rsidP="00655424">
      <w:pPr>
        <w:pStyle w:val="FootnoteText"/>
      </w:pPr>
      <w:r>
        <w:rPr>
          <w:rStyle w:val="FootnoteReference"/>
        </w:rPr>
        <w:footnoteRef/>
      </w:r>
      <w:r>
        <w:t xml:space="preserve"> </w:t>
      </w:r>
      <w:r>
        <w:tab/>
        <w:t xml:space="preserve">Tulus Tambunan, </w:t>
      </w:r>
      <w:hyperlink r:id="rId61" w:history="1">
        <w:r w:rsidRPr="00F80376">
          <w:rPr>
            <w:rStyle w:val="Hyperlink"/>
          </w:rPr>
          <w:t>‘The Indonesian Experience with Two Big Economic Crises’</w:t>
        </w:r>
      </w:hyperlink>
      <w:r>
        <w:t xml:space="preserve">, </w:t>
      </w:r>
      <w:r>
        <w:rPr>
          <w:i/>
        </w:rPr>
        <w:t>Modern Economy</w:t>
      </w:r>
      <w:r>
        <w:t>, 2010, vol. 1, pp. 156–167.</w:t>
      </w:r>
    </w:p>
  </w:footnote>
  <w:footnote w:id="67">
    <w:p w14:paraId="0D6A2C76" w14:textId="41617233" w:rsidR="00222AD3" w:rsidRPr="006955BC" w:rsidRDefault="00222AD3">
      <w:pPr>
        <w:pStyle w:val="FootnoteText"/>
      </w:pPr>
      <w:r>
        <w:rPr>
          <w:rStyle w:val="FootnoteReference"/>
        </w:rPr>
        <w:footnoteRef/>
      </w:r>
      <w:r>
        <w:t xml:space="preserve"> </w:t>
      </w:r>
      <w:r>
        <w:tab/>
        <w:t xml:space="preserve">DFAT, </w:t>
      </w:r>
      <w:hyperlink r:id="rId62" w:history="1">
        <w:r w:rsidRPr="00F80376">
          <w:rPr>
            <w:rStyle w:val="Hyperlink"/>
            <w:i/>
          </w:rPr>
          <w:t>Aid Program Performance Report 2016–17—Indonesia</w:t>
        </w:r>
      </w:hyperlink>
      <w:r>
        <w:t>, Australian Government, September 2017, p. 24.</w:t>
      </w:r>
    </w:p>
  </w:footnote>
  <w:footnote w:id="68">
    <w:p w14:paraId="6BDBB079" w14:textId="0E78FE55" w:rsidR="00222AD3" w:rsidRPr="009F3AC1" w:rsidRDefault="00222AD3">
      <w:pPr>
        <w:pStyle w:val="FootnoteText"/>
      </w:pPr>
      <w:r>
        <w:rPr>
          <w:rStyle w:val="FootnoteReference"/>
        </w:rPr>
        <w:footnoteRef/>
      </w:r>
      <w:r>
        <w:t xml:space="preserve"> </w:t>
      </w:r>
      <w:r>
        <w:tab/>
        <w:t xml:space="preserve">AIPEG, </w:t>
      </w:r>
      <w:hyperlink r:id="rId63" w:history="1">
        <w:r w:rsidRPr="00ED4291">
          <w:rPr>
            <w:rStyle w:val="Hyperlink"/>
            <w:i/>
          </w:rPr>
          <w:t>Evaluating AIPEG 2009</w:t>
        </w:r>
        <w:r>
          <w:rPr>
            <w:rStyle w:val="Hyperlink"/>
            <w:i/>
          </w:rPr>
          <w:t>–</w:t>
        </w:r>
        <w:r w:rsidRPr="00ED4291">
          <w:rPr>
            <w:rStyle w:val="Hyperlink"/>
            <w:i/>
          </w:rPr>
          <w:t>2017: Summary Report</w:t>
        </w:r>
      </w:hyperlink>
      <w:r>
        <w:t>, August 2017.</w:t>
      </w:r>
    </w:p>
  </w:footnote>
  <w:footnote w:id="69">
    <w:p w14:paraId="30BA6E36" w14:textId="47AA4E17" w:rsidR="00222AD3" w:rsidRPr="00574B28" w:rsidRDefault="00222AD3">
      <w:pPr>
        <w:pStyle w:val="FootnoteText"/>
      </w:pPr>
      <w:r>
        <w:rPr>
          <w:rStyle w:val="FootnoteReference"/>
        </w:rPr>
        <w:footnoteRef/>
      </w:r>
      <w:r>
        <w:t xml:space="preserve"> </w:t>
      </w:r>
      <w:r>
        <w:tab/>
        <w:t xml:space="preserve">AIPEG, </w:t>
      </w:r>
      <w:r>
        <w:rPr>
          <w:i/>
        </w:rPr>
        <w:t>Evaluating AIPEG 2009–2017—Part B: The Case Studies</w:t>
      </w:r>
      <w:r>
        <w:t>, June 2017</w:t>
      </w:r>
      <w:r w:rsidRPr="00000AA1">
        <w:t>, p. 66</w:t>
      </w:r>
      <w:r>
        <w:t>,</w:t>
      </w:r>
      <w:r w:rsidRPr="00000AA1">
        <w:t xml:space="preserve"> (unpublished).</w:t>
      </w:r>
    </w:p>
  </w:footnote>
  <w:footnote w:id="70">
    <w:p w14:paraId="7DA69CE1" w14:textId="32F38AB6" w:rsidR="00222AD3" w:rsidRDefault="00222AD3">
      <w:pPr>
        <w:pStyle w:val="FootnoteText"/>
      </w:pPr>
      <w:r>
        <w:rPr>
          <w:rStyle w:val="FootnoteReference"/>
        </w:rPr>
        <w:footnoteRef/>
      </w:r>
      <w:r>
        <w:t xml:space="preserve"> </w:t>
      </w:r>
      <w:r>
        <w:tab/>
        <w:t>AIPEG management interviews.</w:t>
      </w:r>
    </w:p>
  </w:footnote>
  <w:footnote w:id="71">
    <w:p w14:paraId="6E26476D" w14:textId="1E1839A6" w:rsidR="00222AD3" w:rsidRPr="000230C9" w:rsidRDefault="00222AD3">
      <w:pPr>
        <w:pStyle w:val="FootnoteText"/>
      </w:pPr>
      <w:r>
        <w:rPr>
          <w:rStyle w:val="FootnoteReference"/>
        </w:rPr>
        <w:footnoteRef/>
      </w:r>
      <w:r>
        <w:t xml:space="preserve"> </w:t>
      </w:r>
      <w:r>
        <w:tab/>
        <w:t xml:space="preserve">DFAT, </w:t>
      </w:r>
      <w:hyperlink r:id="rId64" w:history="1">
        <w:r w:rsidRPr="00280B6E">
          <w:rPr>
            <w:rStyle w:val="Hyperlink"/>
            <w:i/>
          </w:rPr>
          <w:t>Australia Indonesia Government Partnerships Fund Phase II 2010–15: Design</w:t>
        </w:r>
      </w:hyperlink>
      <w:r>
        <w:t>, Australian Government, undated.</w:t>
      </w:r>
    </w:p>
  </w:footnote>
  <w:footnote w:id="72">
    <w:p w14:paraId="0D326B15" w14:textId="7693E1C0" w:rsidR="00222AD3" w:rsidRPr="009D29F0" w:rsidRDefault="00222AD3">
      <w:pPr>
        <w:pStyle w:val="FootnoteText"/>
      </w:pPr>
      <w:r>
        <w:rPr>
          <w:rStyle w:val="FootnoteReference"/>
        </w:rPr>
        <w:footnoteRef/>
      </w:r>
      <w:r>
        <w:t xml:space="preserve"> </w:t>
      </w:r>
      <w:r>
        <w:tab/>
        <w:t xml:space="preserve">ODE, </w:t>
      </w:r>
      <w:hyperlink r:id="rId65" w:history="1">
        <w:r w:rsidRPr="005B0E76">
          <w:rPr>
            <w:rStyle w:val="Hyperlink"/>
            <w:i/>
          </w:rPr>
          <w:t>Assessment of the Indonesia Country Program Strategy 2003–2006</w:t>
        </w:r>
      </w:hyperlink>
      <w:r>
        <w:t>, Australian Government, September 2007, p. 12.</w:t>
      </w:r>
    </w:p>
  </w:footnote>
  <w:footnote w:id="73">
    <w:p w14:paraId="517F2AEB" w14:textId="157E72E7" w:rsidR="00222AD3" w:rsidRDefault="00222AD3">
      <w:pPr>
        <w:pStyle w:val="FootnoteText"/>
      </w:pPr>
      <w:r>
        <w:rPr>
          <w:rStyle w:val="FootnoteReference"/>
        </w:rPr>
        <w:footnoteRef/>
      </w:r>
      <w:r>
        <w:t xml:space="preserve"> </w:t>
      </w:r>
      <w:r>
        <w:tab/>
        <w:t xml:space="preserve">See, for example, Katherine </w:t>
      </w:r>
      <w:r w:rsidRPr="00896D3B">
        <w:t xml:space="preserve">Bridges and </w:t>
      </w:r>
      <w:r>
        <w:t xml:space="preserve">Michael </w:t>
      </w:r>
      <w:r w:rsidRPr="00896D3B">
        <w:t xml:space="preserve">Woolcock, </w:t>
      </w:r>
      <w:r>
        <w:rPr>
          <w:rStyle w:val="Hyperlink"/>
          <w:i/>
        </w:rPr>
        <w:t xml:space="preserve"> </w:t>
      </w:r>
      <w:hyperlink r:id="rId66" w:history="1">
        <w:r w:rsidRPr="004379C2">
          <w:rPr>
            <w:rStyle w:val="Hyperlink"/>
            <w:i/>
          </w:rPr>
          <w:t>How (Not) to Fix Problems that Matter: Assessing and Responding to Malawi’s History of Institutional Reform</w:t>
        </w:r>
      </w:hyperlink>
      <w:r w:rsidRPr="00896D3B">
        <w:rPr>
          <w:i/>
        </w:rPr>
        <w:t xml:space="preserve">, </w:t>
      </w:r>
      <w:r w:rsidRPr="00896D3B">
        <w:t>World Bank Policy Research Working Paper</w:t>
      </w:r>
      <w:r>
        <w:t>,</w:t>
      </w:r>
      <w:r w:rsidRPr="00896D3B">
        <w:t xml:space="preserve"> </w:t>
      </w:r>
      <w:r>
        <w:t>n</w:t>
      </w:r>
      <w:r w:rsidRPr="00896D3B">
        <w:t>o. 8289, December 2017</w:t>
      </w:r>
      <w:r>
        <w:t>.</w:t>
      </w:r>
    </w:p>
  </w:footnote>
  <w:footnote w:id="74">
    <w:p w14:paraId="73742330" w14:textId="294C996B" w:rsidR="00222AD3" w:rsidRPr="00574B28" w:rsidRDefault="00222AD3">
      <w:pPr>
        <w:pStyle w:val="FootnoteText"/>
      </w:pPr>
      <w:r>
        <w:rPr>
          <w:rStyle w:val="FootnoteReference"/>
        </w:rPr>
        <w:footnoteRef/>
      </w:r>
      <w:r>
        <w:t xml:space="preserve"> </w:t>
      </w:r>
      <w:r>
        <w:tab/>
        <w:t xml:space="preserve">DFAT, </w:t>
      </w:r>
      <w:r>
        <w:rPr>
          <w:i/>
        </w:rPr>
        <w:t>Aid Quality Check for Governance Partnership Fund Phase II</w:t>
      </w:r>
      <w:r>
        <w:t>, Australian Government, April 2016.</w:t>
      </w:r>
    </w:p>
  </w:footnote>
  <w:footnote w:id="75">
    <w:p w14:paraId="6242B076" w14:textId="2F0AB999" w:rsidR="00222AD3" w:rsidRPr="00C2353D" w:rsidRDefault="00222AD3">
      <w:pPr>
        <w:pStyle w:val="FootnoteText"/>
      </w:pPr>
      <w:r>
        <w:rPr>
          <w:rStyle w:val="FootnoteReference"/>
        </w:rPr>
        <w:footnoteRef/>
      </w:r>
      <w:r>
        <w:t xml:space="preserve"> </w:t>
      </w:r>
      <w:r>
        <w:tab/>
      </w:r>
      <w:r w:rsidRPr="00E405D7">
        <w:t>ODE,</w:t>
      </w:r>
      <w:r>
        <w:t xml:space="preserve"> </w:t>
      </w:r>
      <w:hyperlink r:id="rId67" w:history="1">
        <w:r w:rsidRPr="005B0E76">
          <w:rPr>
            <w:rStyle w:val="Hyperlink"/>
            <w:i/>
          </w:rPr>
          <w:t>Banking our aid: Australia’s non-core funding to the Asian Development Bank and the World Bank</w:t>
        </w:r>
      </w:hyperlink>
      <w:r>
        <w:t>, Australian Government, September 2015.</w:t>
      </w:r>
    </w:p>
  </w:footnote>
  <w:footnote w:id="76">
    <w:p w14:paraId="154446B7" w14:textId="77EDDD48" w:rsidR="00222AD3" w:rsidRPr="00D70EC0" w:rsidRDefault="00222AD3" w:rsidP="00DD117F">
      <w:pPr>
        <w:pStyle w:val="FootnoteText"/>
      </w:pPr>
      <w:r>
        <w:rPr>
          <w:rStyle w:val="FootnoteReference"/>
        </w:rPr>
        <w:footnoteRef/>
      </w:r>
      <w:r>
        <w:t xml:space="preserve"> </w:t>
      </w:r>
      <w:r>
        <w:tab/>
        <w:t xml:space="preserve">ODE, </w:t>
      </w:r>
      <w:hyperlink r:id="rId68" w:history="1">
        <w:r w:rsidRPr="00825E55">
          <w:rPr>
            <w:rStyle w:val="Hyperlink"/>
            <w:i/>
          </w:rPr>
          <w:t>Investing in Roads—Lessons from the Eastern Indonesia National Roads Improvement Project</w:t>
        </w:r>
      </w:hyperlink>
      <w:r>
        <w:t>, Australian Government,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C439" w14:textId="77777777" w:rsidR="00222AD3" w:rsidRDefault="00222AD3" w:rsidP="0050527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AAA00" w14:textId="77777777" w:rsidR="00222AD3" w:rsidRDefault="00222AD3" w:rsidP="008275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0F64" w14:textId="77777777" w:rsidR="00222AD3" w:rsidRDefault="00222AD3">
    <w:pPr>
      <w:pStyle w:val="Header"/>
    </w:pPr>
    <w:r>
      <w:rPr>
        <w:noProof/>
        <w:lang w:eastAsia="en-AU"/>
      </w:rPr>
      <w:drawing>
        <wp:anchor distT="0" distB="0" distL="114300" distR="114300" simplePos="0" relativeHeight="251676672" behindDoc="1" locked="1" layoutInCell="1" allowOverlap="1" wp14:anchorId="4D02C7E7" wp14:editId="7EBBB424">
          <wp:simplePos x="0" y="0"/>
          <wp:positionH relativeFrom="page">
            <wp:align>left</wp:align>
          </wp:positionH>
          <wp:positionV relativeFrom="page">
            <wp:align>top</wp:align>
          </wp:positionV>
          <wp:extent cx="7558405" cy="1069149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E long_report_word_FA11.pn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2384" w14:textId="77777777" w:rsidR="00222AD3" w:rsidRDefault="00222AD3">
    <w:pPr>
      <w:pStyle w:val="Header"/>
    </w:pPr>
    <w:r>
      <w:rPr>
        <w:noProof/>
        <w:lang w:eastAsia="en-AU"/>
      </w:rPr>
      <w:drawing>
        <wp:anchor distT="0" distB="0" distL="114300" distR="114300" simplePos="0" relativeHeight="251692032" behindDoc="1" locked="1" layoutInCell="1" allowOverlap="1" wp14:anchorId="16EB8C5A" wp14:editId="657422F3">
          <wp:simplePos x="0" y="0"/>
          <wp:positionH relativeFrom="page">
            <wp:align>center</wp:align>
          </wp:positionH>
          <wp:positionV relativeFrom="page">
            <wp:align>top</wp:align>
          </wp:positionV>
          <wp:extent cx="7560000" cy="106920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E long_report_word_FA1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A9BB" w14:textId="77777777" w:rsidR="00222AD3" w:rsidRDefault="00222AD3" w:rsidP="007D794C">
    <w:pPr>
      <w:pStyle w:val="Header"/>
    </w:pPr>
    <w:r>
      <w:rPr>
        <w:noProof/>
        <w:lang w:eastAsia="en-AU"/>
      </w:rPr>
      <w:drawing>
        <wp:anchor distT="0" distB="0" distL="114300" distR="114300" simplePos="0" relativeHeight="251679744" behindDoc="1" locked="1" layoutInCell="1" allowOverlap="1" wp14:anchorId="336D9E58" wp14:editId="0F605630">
          <wp:simplePos x="0" y="0"/>
          <wp:positionH relativeFrom="page">
            <wp:align>right</wp:align>
          </wp:positionH>
          <wp:positionV relativeFrom="page">
            <wp:align>bottom</wp:align>
          </wp:positionV>
          <wp:extent cx="6476400" cy="7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1">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8720" behindDoc="1" locked="1" layoutInCell="1" allowOverlap="1" wp14:anchorId="7DD71619" wp14:editId="3F77B2CB">
          <wp:simplePos x="0" y="0"/>
          <wp:positionH relativeFrom="page">
            <wp:align>left</wp:align>
          </wp:positionH>
          <wp:positionV relativeFrom="page">
            <wp:align>bottom</wp:align>
          </wp:positionV>
          <wp:extent cx="6228000" cy="792000"/>
          <wp:effectExtent l="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2">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7F5" w14:textId="77777777" w:rsidR="00222AD3" w:rsidRPr="007D794C" w:rsidRDefault="00222AD3" w:rsidP="007D794C">
    <w:pPr>
      <w:pStyle w:val="Header"/>
    </w:pPr>
    <w:r>
      <w:rPr>
        <w:noProof/>
        <w:lang w:eastAsia="en-AU"/>
      </w:rPr>
      <w:drawing>
        <wp:anchor distT="0" distB="0" distL="114300" distR="114300" simplePos="0" relativeHeight="251702272" behindDoc="1" locked="1" layoutInCell="1" allowOverlap="1" wp14:anchorId="6E12FD5F" wp14:editId="698F075E">
          <wp:simplePos x="0" y="0"/>
          <wp:positionH relativeFrom="page">
            <wp:align>center</wp:align>
          </wp:positionH>
          <wp:positionV relativeFrom="page">
            <wp:align>top</wp:align>
          </wp:positionV>
          <wp:extent cx="7560000" cy="2520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DB36" w14:textId="77777777" w:rsidR="00222AD3" w:rsidRDefault="00222AD3" w:rsidP="00C518B5">
    <w:pPr>
      <w:pStyle w:val="Header"/>
      <w:framePr w:wrap="none" w:vAnchor="text" w:hAnchor="margin" w:xAlign="right" w:y="1"/>
    </w:pPr>
  </w:p>
  <w:p w14:paraId="6FA84B8E" w14:textId="5B763ABE" w:rsidR="00222AD3" w:rsidRDefault="00222AD3" w:rsidP="00B659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DA01" w14:textId="77777777" w:rsidR="00222AD3" w:rsidRDefault="00222AD3">
    <w:pPr>
      <w:pStyle w:val="Header"/>
    </w:pPr>
    <w:r>
      <w:rPr>
        <w:noProof/>
        <w:lang w:eastAsia="en-AU"/>
      </w:rPr>
      <w:drawing>
        <wp:anchor distT="0" distB="0" distL="114300" distR="114300" simplePos="0" relativeHeight="251683840" behindDoc="1" locked="1" layoutInCell="1" allowOverlap="1" wp14:anchorId="5370190D" wp14:editId="0E7DEE61">
          <wp:simplePos x="0" y="0"/>
          <wp:positionH relativeFrom="page">
            <wp:align>center</wp:align>
          </wp:positionH>
          <wp:positionV relativeFrom="page">
            <wp:align>top</wp:align>
          </wp:positionV>
          <wp:extent cx="7560000" cy="2520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FDA9" w14:textId="77777777" w:rsidR="00222AD3" w:rsidRDefault="00222AD3">
    <w:pPr>
      <w:pStyle w:val="Header"/>
    </w:pPr>
    <w:r>
      <w:rPr>
        <w:noProof/>
        <w:lang w:eastAsia="en-AU"/>
      </w:rPr>
      <w:drawing>
        <wp:anchor distT="0" distB="0" distL="114300" distR="114300" simplePos="0" relativeHeight="251704320" behindDoc="1" locked="1" layoutInCell="1" allowOverlap="1" wp14:anchorId="2B0C3C00" wp14:editId="0F668C5E">
          <wp:simplePos x="0" y="0"/>
          <wp:positionH relativeFrom="page">
            <wp:align>center</wp:align>
          </wp:positionH>
          <wp:positionV relativeFrom="page">
            <wp:align>top</wp:align>
          </wp:positionV>
          <wp:extent cx="7560000" cy="2520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6E1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6622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984B5B2"/>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FA24C95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980063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568" w:hanging="284"/>
      </w:pPr>
      <w:rPr>
        <w:rFonts w:hint="default"/>
      </w:rPr>
    </w:lvl>
    <w:lvl w:ilvl="1">
      <w:start w:val="1"/>
      <w:numFmt w:val="lowerLetter"/>
      <w:pStyle w:val="NumberedList2"/>
      <w:lvlText w:val="%2."/>
      <w:lvlJc w:val="left"/>
      <w:pPr>
        <w:ind w:left="852" w:hanging="284"/>
      </w:pPr>
      <w:rPr>
        <w:rFonts w:hint="default"/>
      </w:rPr>
    </w:lvl>
    <w:lvl w:ilvl="2">
      <w:start w:val="1"/>
      <w:numFmt w:val="lowerRoman"/>
      <w:pStyle w:val="NumberedList3"/>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6" w15:restartNumberingAfterBreak="0">
    <w:nsid w:val="0ED9565D"/>
    <w:multiLevelType w:val="hybridMultilevel"/>
    <w:tmpl w:val="D55EF546"/>
    <w:lvl w:ilvl="0" w:tplc="09544980">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A1066"/>
    <w:multiLevelType w:val="multilevel"/>
    <w:tmpl w:val="0E508774"/>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EF0657"/>
    <w:multiLevelType w:val="hybridMultilevel"/>
    <w:tmpl w:val="D478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40BD7"/>
    <w:multiLevelType w:val="multilevel"/>
    <w:tmpl w:val="64744A80"/>
    <w:lvl w:ilvl="0">
      <w:start w:val="1"/>
      <w:numFmt w:val="bullet"/>
      <w:pStyle w:val="BoxBullet"/>
      <w:lvlText w:val=""/>
      <w:lvlJc w:val="left"/>
      <w:pPr>
        <w:ind w:left="284" w:hanging="284"/>
      </w:pPr>
      <w:rPr>
        <w:rFonts w:ascii="Symbol" w:hAnsi="Symbol" w:hint="default"/>
      </w:rPr>
    </w:lvl>
    <w:lvl w:ilvl="1">
      <w:start w:val="1"/>
      <w:numFmt w:val="bullet"/>
      <w:pStyle w:val="BoxBullet2"/>
      <w:lvlText w:val="–"/>
      <w:lvlJc w:val="left"/>
      <w:pPr>
        <w:ind w:left="568" w:hanging="284"/>
      </w:pPr>
      <w:rPr>
        <w:rFonts w:ascii="Brown" w:hAnsi="Brown"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C465DED"/>
    <w:multiLevelType w:val="hybridMultilevel"/>
    <w:tmpl w:val="3B580A7C"/>
    <w:lvl w:ilvl="0" w:tplc="09544980">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F3210"/>
    <w:multiLevelType w:val="hybridMultilevel"/>
    <w:tmpl w:val="A392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76292"/>
    <w:multiLevelType w:val="hybridMultilevel"/>
    <w:tmpl w:val="7280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42831"/>
    <w:multiLevelType w:val="hybridMultilevel"/>
    <w:tmpl w:val="5754B31A"/>
    <w:lvl w:ilvl="0" w:tplc="29761A5C">
      <w:start w:val="1"/>
      <w:numFmt w:val="decimal"/>
      <w:lvlText w:val="%1."/>
      <w:lvlJc w:val="left"/>
      <w:pPr>
        <w:ind w:left="360" w:hanging="360"/>
      </w:pPr>
      <w:rPr>
        <w:rFonts w:hint="default"/>
        <w:b/>
        <w:color w:val="434343" w:themeColor="text1"/>
      </w:rPr>
    </w:lvl>
    <w:lvl w:ilvl="1" w:tplc="61BCF5A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37B83"/>
    <w:multiLevelType w:val="multilevel"/>
    <w:tmpl w:val="0C09001D"/>
    <w:styleLink w:val="Box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9B159F"/>
    <w:multiLevelType w:val="multilevel"/>
    <w:tmpl w:val="3D50B10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00F74DE"/>
    <w:multiLevelType w:val="multilevel"/>
    <w:tmpl w:val="6510ADC4"/>
    <w:styleLink w:val="Numbers"/>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04F31"/>
    <w:multiLevelType w:val="multilevel"/>
    <w:tmpl w:val="A0F20A18"/>
    <w:lvl w:ilvl="0">
      <w:start w:val="1"/>
      <w:numFmt w:val="decimal"/>
      <w:pStyle w:val="ListNumber"/>
      <w:lvlText w:val="%1."/>
      <w:lvlJc w:val="left"/>
      <w:pPr>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right"/>
      <w:pPr>
        <w:ind w:left="681" w:hanging="171"/>
      </w:pPr>
      <w:rPr>
        <w:rFonts w:hint="default"/>
      </w:rPr>
    </w:lvl>
    <w:lvl w:ilvl="3">
      <w:start w:val="1"/>
      <w:numFmt w:val="decimal"/>
      <w:lvlText w:val="%4."/>
      <w:lvlJc w:val="left"/>
      <w:pPr>
        <w:tabs>
          <w:tab w:val="num" w:pos="1041"/>
        </w:tabs>
        <w:ind w:left="908" w:hanging="227"/>
      </w:pPr>
      <w:rPr>
        <w:rFonts w:hint="default"/>
      </w:rPr>
    </w:lvl>
    <w:lvl w:ilvl="4">
      <w:start w:val="1"/>
      <w:numFmt w:val="lowerLetter"/>
      <w:lvlText w:val="%5."/>
      <w:lvlJc w:val="left"/>
      <w:pPr>
        <w:tabs>
          <w:tab w:val="num" w:pos="1268"/>
        </w:tabs>
        <w:ind w:left="1135" w:hanging="227"/>
      </w:pPr>
      <w:rPr>
        <w:rFonts w:hint="default"/>
      </w:rPr>
    </w:lvl>
    <w:lvl w:ilvl="5">
      <w:start w:val="1"/>
      <w:numFmt w:val="lowerRoman"/>
      <w:lvlText w:val="%6."/>
      <w:lvlJc w:val="right"/>
      <w:pPr>
        <w:tabs>
          <w:tab w:val="num" w:pos="1495"/>
        </w:tabs>
        <w:ind w:left="1362" w:hanging="227"/>
      </w:pPr>
      <w:rPr>
        <w:rFonts w:hint="default"/>
      </w:rPr>
    </w:lvl>
    <w:lvl w:ilvl="6">
      <w:start w:val="1"/>
      <w:numFmt w:val="decimal"/>
      <w:lvlText w:val="%7."/>
      <w:lvlJc w:val="left"/>
      <w:pPr>
        <w:tabs>
          <w:tab w:val="num" w:pos="1722"/>
        </w:tabs>
        <w:ind w:left="1589" w:hanging="227"/>
      </w:pPr>
      <w:rPr>
        <w:rFonts w:hint="default"/>
      </w:rPr>
    </w:lvl>
    <w:lvl w:ilvl="7">
      <w:start w:val="1"/>
      <w:numFmt w:val="lowerLetter"/>
      <w:lvlText w:val="%8."/>
      <w:lvlJc w:val="left"/>
      <w:pPr>
        <w:tabs>
          <w:tab w:val="num" w:pos="1949"/>
        </w:tabs>
        <w:ind w:left="1816" w:hanging="227"/>
      </w:pPr>
      <w:rPr>
        <w:rFonts w:hint="default"/>
      </w:rPr>
    </w:lvl>
    <w:lvl w:ilvl="8">
      <w:start w:val="1"/>
      <w:numFmt w:val="lowerRoman"/>
      <w:lvlText w:val="%9."/>
      <w:lvlJc w:val="right"/>
      <w:pPr>
        <w:tabs>
          <w:tab w:val="num" w:pos="2176"/>
        </w:tabs>
        <w:ind w:left="2043" w:hanging="227"/>
      </w:pPr>
      <w:rPr>
        <w:rFonts w:hint="default"/>
      </w:rPr>
    </w:lvl>
  </w:abstractNum>
  <w:abstractNum w:abstractNumId="19" w15:restartNumberingAfterBreak="0">
    <w:nsid w:val="40233295"/>
    <w:multiLevelType w:val="hybridMultilevel"/>
    <w:tmpl w:val="550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F0F62"/>
    <w:multiLevelType w:val="hybridMultilevel"/>
    <w:tmpl w:val="04489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53C9E"/>
    <w:multiLevelType w:val="hybridMultilevel"/>
    <w:tmpl w:val="86F8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32DB4"/>
    <w:multiLevelType w:val="hybridMultilevel"/>
    <w:tmpl w:val="00285C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935FC"/>
    <w:multiLevelType w:val="hybridMultilevel"/>
    <w:tmpl w:val="9B487FE0"/>
    <w:lvl w:ilvl="0" w:tplc="09544980">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AE6593"/>
    <w:multiLevelType w:val="hybridMultilevel"/>
    <w:tmpl w:val="F93E4988"/>
    <w:lvl w:ilvl="0" w:tplc="473AEED2">
      <w:start w:val="1"/>
      <w:numFmt w:val="decimal"/>
      <w:pStyle w:val="TableofFigures"/>
      <w:lvlText w:val="Figure %1."/>
      <w:lvlJc w:val="left"/>
      <w:pPr>
        <w:ind w:left="720"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135A1"/>
    <w:multiLevelType w:val="multilevel"/>
    <w:tmpl w:val="F23A5852"/>
    <w:lvl w:ilvl="0">
      <w:start w:val="1"/>
      <w:numFmt w:val="bullet"/>
      <w:pStyle w:val="ListBullet"/>
      <w:lvlText w:val="•"/>
      <w:lvlJc w:val="left"/>
      <w:pPr>
        <w:tabs>
          <w:tab w:val="num" w:pos="360"/>
        </w:tabs>
        <w:ind w:left="227" w:hanging="227"/>
      </w:pPr>
      <w:rPr>
        <w:rFonts w:ascii="Arial" w:hAnsi="Arial" w:hint="default"/>
      </w:rPr>
    </w:lvl>
    <w:lvl w:ilvl="1">
      <w:start w:val="1"/>
      <w:numFmt w:val="bullet"/>
      <w:pStyle w:val="ListBullet2"/>
      <w:lvlText w:val="–"/>
      <w:lvlJc w:val="left"/>
      <w:pPr>
        <w:tabs>
          <w:tab w:val="num" w:pos="587"/>
        </w:tabs>
        <w:ind w:left="454" w:hanging="227"/>
      </w:pPr>
      <w:rPr>
        <w:rFonts w:ascii="Brown" w:hAnsi="Brown" w:hint="default"/>
      </w:rPr>
    </w:lvl>
    <w:lvl w:ilvl="2">
      <w:start w:val="1"/>
      <w:numFmt w:val="bullet"/>
      <w:pStyle w:val="ListBullet3"/>
      <w:lvlText w:val="»"/>
      <w:lvlJc w:val="left"/>
      <w:pPr>
        <w:tabs>
          <w:tab w:val="num" w:pos="814"/>
        </w:tabs>
        <w:ind w:left="681" w:hanging="227"/>
      </w:pPr>
      <w:rPr>
        <w:rFonts w:ascii="Arial" w:hAnsi="Arial" w:hint="default"/>
      </w:rPr>
    </w:lvl>
    <w:lvl w:ilvl="3">
      <w:start w:val="1"/>
      <w:numFmt w:val="bullet"/>
      <w:lvlText w:val=""/>
      <w:lvlJc w:val="left"/>
      <w:pPr>
        <w:tabs>
          <w:tab w:val="num" w:pos="1041"/>
        </w:tabs>
        <w:ind w:left="908" w:hanging="227"/>
      </w:pPr>
      <w:rPr>
        <w:rFonts w:ascii="Symbol" w:hAnsi="Symbol" w:hint="default"/>
      </w:rPr>
    </w:lvl>
    <w:lvl w:ilvl="4">
      <w:start w:val="1"/>
      <w:numFmt w:val="bullet"/>
      <w:lvlText w:val="o"/>
      <w:lvlJc w:val="left"/>
      <w:pPr>
        <w:tabs>
          <w:tab w:val="num" w:pos="1268"/>
        </w:tabs>
        <w:ind w:left="1135" w:hanging="227"/>
      </w:pPr>
      <w:rPr>
        <w:rFonts w:ascii="Courier New" w:hAnsi="Courier New" w:cs="Courier New" w:hint="default"/>
      </w:rPr>
    </w:lvl>
    <w:lvl w:ilvl="5">
      <w:start w:val="1"/>
      <w:numFmt w:val="bullet"/>
      <w:lvlText w:val=""/>
      <w:lvlJc w:val="left"/>
      <w:pPr>
        <w:tabs>
          <w:tab w:val="num" w:pos="1495"/>
        </w:tabs>
        <w:ind w:left="1362" w:hanging="227"/>
      </w:pPr>
      <w:rPr>
        <w:rFonts w:ascii="Wingdings" w:hAnsi="Wingdings" w:hint="default"/>
      </w:rPr>
    </w:lvl>
    <w:lvl w:ilvl="6">
      <w:start w:val="1"/>
      <w:numFmt w:val="bullet"/>
      <w:lvlText w:val=""/>
      <w:lvlJc w:val="left"/>
      <w:pPr>
        <w:tabs>
          <w:tab w:val="num" w:pos="1722"/>
        </w:tabs>
        <w:ind w:left="1589" w:hanging="227"/>
      </w:pPr>
      <w:rPr>
        <w:rFonts w:ascii="Symbol" w:hAnsi="Symbol" w:hint="default"/>
      </w:rPr>
    </w:lvl>
    <w:lvl w:ilvl="7">
      <w:start w:val="1"/>
      <w:numFmt w:val="bullet"/>
      <w:lvlText w:val="o"/>
      <w:lvlJc w:val="left"/>
      <w:pPr>
        <w:tabs>
          <w:tab w:val="num" w:pos="1949"/>
        </w:tabs>
        <w:ind w:left="1816" w:hanging="227"/>
      </w:pPr>
      <w:rPr>
        <w:rFonts w:ascii="Courier New" w:hAnsi="Courier New" w:cs="Courier New" w:hint="default"/>
      </w:rPr>
    </w:lvl>
    <w:lvl w:ilvl="8">
      <w:start w:val="1"/>
      <w:numFmt w:val="bullet"/>
      <w:lvlText w:val=""/>
      <w:lvlJc w:val="left"/>
      <w:pPr>
        <w:tabs>
          <w:tab w:val="num" w:pos="2176"/>
        </w:tabs>
        <w:ind w:left="2043" w:hanging="227"/>
      </w:pPr>
      <w:rPr>
        <w:rFonts w:ascii="Wingdings" w:hAnsi="Wingdings" w:hint="default"/>
      </w:rPr>
    </w:lvl>
  </w:abstractNum>
  <w:abstractNum w:abstractNumId="26" w15:restartNumberingAfterBreak="0">
    <w:nsid w:val="5A901E4B"/>
    <w:multiLevelType w:val="hybridMultilevel"/>
    <w:tmpl w:val="B548FA4C"/>
    <w:lvl w:ilvl="0" w:tplc="D646BC3C">
      <w:start w:val="1"/>
      <w:numFmt w:val="bullet"/>
      <w:lvlText w:val=""/>
      <w:lvlJc w:val="left"/>
      <w:pPr>
        <w:ind w:left="720" w:hanging="360"/>
      </w:pPr>
      <w:rPr>
        <w:rFonts w:ascii="Wingdings" w:hAnsi="Wingdings" w:hint="default"/>
        <w:color w:val="296C60"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7062E"/>
    <w:multiLevelType w:val="hybridMultilevel"/>
    <w:tmpl w:val="920C7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64661"/>
    <w:multiLevelType w:val="hybridMultilevel"/>
    <w:tmpl w:val="5086B2DE"/>
    <w:lvl w:ilvl="0" w:tplc="88C097B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1292958"/>
    <w:multiLevelType w:val="hybridMultilevel"/>
    <w:tmpl w:val="10FE65D6"/>
    <w:lvl w:ilvl="0" w:tplc="08090001">
      <w:start w:val="1"/>
      <w:numFmt w:val="bullet"/>
      <w:lvlText w:val=""/>
      <w:lvlJc w:val="left"/>
      <w:pPr>
        <w:ind w:left="360" w:hanging="360"/>
      </w:pPr>
      <w:rPr>
        <w:rFonts w:ascii="Symbol" w:hAnsi="Symbol" w:hint="default"/>
        <w:b w:val="0"/>
        <w:color w:val="434343"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6E1254"/>
    <w:multiLevelType w:val="hybridMultilevel"/>
    <w:tmpl w:val="849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0BD5"/>
    <w:multiLevelType w:val="hybridMultilevel"/>
    <w:tmpl w:val="8DE4E256"/>
    <w:lvl w:ilvl="0" w:tplc="9DD8D2B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F32986"/>
    <w:multiLevelType w:val="hybridMultilevel"/>
    <w:tmpl w:val="6C90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6275C"/>
    <w:multiLevelType w:val="hybridMultilevel"/>
    <w:tmpl w:val="7E62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85CF3"/>
    <w:multiLevelType w:val="hybridMultilevel"/>
    <w:tmpl w:val="B36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24BB9"/>
    <w:multiLevelType w:val="hybridMultilevel"/>
    <w:tmpl w:val="824C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25EB7"/>
    <w:multiLevelType w:val="hybridMultilevel"/>
    <w:tmpl w:val="BEF8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63380"/>
    <w:multiLevelType w:val="hybridMultilevel"/>
    <w:tmpl w:val="4E048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2A02B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6A7924"/>
    <w:multiLevelType w:val="hybridMultilevel"/>
    <w:tmpl w:val="4322FD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A9D29B2"/>
    <w:multiLevelType w:val="hybridMultilevel"/>
    <w:tmpl w:val="BA60A772"/>
    <w:lvl w:ilvl="0" w:tplc="09544980">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E77057"/>
    <w:multiLevelType w:val="hybridMultilevel"/>
    <w:tmpl w:val="1D3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5"/>
  </w:num>
  <w:num w:numId="3">
    <w:abstractNumId w:val="17"/>
  </w:num>
  <w:num w:numId="4">
    <w:abstractNumId w:val="15"/>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4"/>
  </w:num>
  <w:num w:numId="9">
    <w:abstractNumId w:val="40"/>
  </w:num>
  <w:num w:numId="10">
    <w:abstractNumId w:val="5"/>
  </w:num>
  <w:num w:numId="11">
    <w:abstractNumId w:val="10"/>
  </w:num>
  <w:num w:numId="12">
    <w:abstractNumId w:val="36"/>
  </w:num>
  <w:num w:numId="13">
    <w:abstractNumId w:val="37"/>
  </w:num>
  <w:num w:numId="14">
    <w:abstractNumId w:val="38"/>
  </w:num>
  <w:num w:numId="15">
    <w:abstractNumId w:val="26"/>
  </w:num>
  <w:num w:numId="16">
    <w:abstractNumId w:val="34"/>
  </w:num>
  <w:num w:numId="17">
    <w:abstractNumId w:val="35"/>
  </w:num>
  <w:num w:numId="18">
    <w:abstractNumId w:val="33"/>
  </w:num>
  <w:num w:numId="19">
    <w:abstractNumId w:val="32"/>
  </w:num>
  <w:num w:numId="20">
    <w:abstractNumId w:val="12"/>
  </w:num>
  <w:num w:numId="21">
    <w:abstractNumId w:val="22"/>
  </w:num>
  <w:num w:numId="22">
    <w:abstractNumId w:val="19"/>
  </w:num>
  <w:num w:numId="23">
    <w:abstractNumId w:val="30"/>
  </w:num>
  <w:num w:numId="24">
    <w:abstractNumId w:val="21"/>
  </w:num>
  <w:num w:numId="25">
    <w:abstractNumId w:val="8"/>
  </w:num>
  <w:num w:numId="26">
    <w:abstractNumId w:val="13"/>
  </w:num>
  <w:num w:numId="27">
    <w:abstractNumId w:val="14"/>
  </w:num>
  <w:num w:numId="28">
    <w:abstractNumId w:val="29"/>
  </w:num>
  <w:num w:numId="29">
    <w:abstractNumId w:val="20"/>
  </w:num>
  <w:num w:numId="30">
    <w:abstractNumId w:val="31"/>
  </w:num>
  <w:num w:numId="31">
    <w:abstractNumId w:val="39"/>
  </w:num>
  <w:num w:numId="32">
    <w:abstractNumId w:val="6"/>
  </w:num>
  <w:num w:numId="33">
    <w:abstractNumId w:val="11"/>
  </w:num>
  <w:num w:numId="34">
    <w:abstractNumId w:val="23"/>
  </w:num>
  <w:num w:numId="35">
    <w:abstractNumId w:val="27"/>
  </w:num>
  <w:num w:numId="36">
    <w:abstractNumId w:val="16"/>
  </w:num>
  <w:num w:numId="37">
    <w:abstractNumId w:val="16"/>
    <w:lvlOverride w:ilvl="0">
      <w:lvl w:ilvl="0">
        <w:start w:val="1"/>
        <w:numFmt w:val="decimal"/>
        <w:pStyle w:val="Heading1Numbered"/>
        <w:lvlText w:val="%1."/>
        <w:lvlJc w:val="left"/>
        <w:pPr>
          <w:ind w:left="567" w:hanging="567"/>
        </w:pPr>
      </w:lvl>
    </w:lvlOverride>
  </w:num>
  <w:num w:numId="38">
    <w:abstractNumId w:val="16"/>
  </w:num>
  <w:num w:numId="39">
    <w:abstractNumId w:val="0"/>
  </w:num>
  <w:num w:numId="40">
    <w:abstractNumId w:val="1"/>
  </w:num>
  <w:num w:numId="41">
    <w:abstractNumId w:val="2"/>
  </w:num>
  <w:num w:numId="42">
    <w:abstractNumId w:val="3"/>
  </w:num>
  <w:num w:numId="43">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DF"/>
    <w:rsid w:val="00000756"/>
    <w:rsid w:val="00000AA1"/>
    <w:rsid w:val="0000134D"/>
    <w:rsid w:val="000016E6"/>
    <w:rsid w:val="000024B9"/>
    <w:rsid w:val="00002570"/>
    <w:rsid w:val="00002761"/>
    <w:rsid w:val="00002922"/>
    <w:rsid w:val="0000316C"/>
    <w:rsid w:val="00003CB6"/>
    <w:rsid w:val="00003FD1"/>
    <w:rsid w:val="00004D35"/>
    <w:rsid w:val="00004DCA"/>
    <w:rsid w:val="000057D9"/>
    <w:rsid w:val="00005A9F"/>
    <w:rsid w:val="00005F07"/>
    <w:rsid w:val="0000686A"/>
    <w:rsid w:val="00007F8D"/>
    <w:rsid w:val="00010BC7"/>
    <w:rsid w:val="00010FE2"/>
    <w:rsid w:val="00011089"/>
    <w:rsid w:val="0001183C"/>
    <w:rsid w:val="00011FFF"/>
    <w:rsid w:val="000126AB"/>
    <w:rsid w:val="00013300"/>
    <w:rsid w:val="0001376A"/>
    <w:rsid w:val="00014C68"/>
    <w:rsid w:val="00015337"/>
    <w:rsid w:val="00015E5A"/>
    <w:rsid w:val="000164E4"/>
    <w:rsid w:val="0001703B"/>
    <w:rsid w:val="0001753D"/>
    <w:rsid w:val="00017917"/>
    <w:rsid w:val="00017FA6"/>
    <w:rsid w:val="00017FC1"/>
    <w:rsid w:val="00020016"/>
    <w:rsid w:val="00020E8D"/>
    <w:rsid w:val="000215E1"/>
    <w:rsid w:val="00022837"/>
    <w:rsid w:val="00022B53"/>
    <w:rsid w:val="000230C9"/>
    <w:rsid w:val="00023F9F"/>
    <w:rsid w:val="00024F18"/>
    <w:rsid w:val="00024F38"/>
    <w:rsid w:val="00025BC6"/>
    <w:rsid w:val="000265F6"/>
    <w:rsid w:val="000269FB"/>
    <w:rsid w:val="0002707A"/>
    <w:rsid w:val="000270F0"/>
    <w:rsid w:val="000278CF"/>
    <w:rsid w:val="00030289"/>
    <w:rsid w:val="00032BEB"/>
    <w:rsid w:val="000331C7"/>
    <w:rsid w:val="00033756"/>
    <w:rsid w:val="0003558D"/>
    <w:rsid w:val="00036AFF"/>
    <w:rsid w:val="00037BCA"/>
    <w:rsid w:val="00037D91"/>
    <w:rsid w:val="00041D0D"/>
    <w:rsid w:val="00041D5B"/>
    <w:rsid w:val="000422A9"/>
    <w:rsid w:val="00043A01"/>
    <w:rsid w:val="00044C1B"/>
    <w:rsid w:val="00045547"/>
    <w:rsid w:val="000456AE"/>
    <w:rsid w:val="00045EDA"/>
    <w:rsid w:val="00046C65"/>
    <w:rsid w:val="000506E2"/>
    <w:rsid w:val="00052AF7"/>
    <w:rsid w:val="00052CD2"/>
    <w:rsid w:val="000535D0"/>
    <w:rsid w:val="000537E0"/>
    <w:rsid w:val="00054220"/>
    <w:rsid w:val="00054E62"/>
    <w:rsid w:val="00055C9E"/>
    <w:rsid w:val="0005645F"/>
    <w:rsid w:val="00056471"/>
    <w:rsid w:val="00057310"/>
    <w:rsid w:val="000573D7"/>
    <w:rsid w:val="0006021A"/>
    <w:rsid w:val="00060A2D"/>
    <w:rsid w:val="00061793"/>
    <w:rsid w:val="0006207B"/>
    <w:rsid w:val="00062229"/>
    <w:rsid w:val="00062EE4"/>
    <w:rsid w:val="00063464"/>
    <w:rsid w:val="00065582"/>
    <w:rsid w:val="0006575B"/>
    <w:rsid w:val="000664A4"/>
    <w:rsid w:val="00066EBC"/>
    <w:rsid w:val="0006710D"/>
    <w:rsid w:val="000701A3"/>
    <w:rsid w:val="00070487"/>
    <w:rsid w:val="000709F6"/>
    <w:rsid w:val="00071FB6"/>
    <w:rsid w:val="0007248B"/>
    <w:rsid w:val="000727BB"/>
    <w:rsid w:val="00072982"/>
    <w:rsid w:val="000730C6"/>
    <w:rsid w:val="00073644"/>
    <w:rsid w:val="00073BD2"/>
    <w:rsid w:val="00074B9B"/>
    <w:rsid w:val="000754BA"/>
    <w:rsid w:val="000764C9"/>
    <w:rsid w:val="00076579"/>
    <w:rsid w:val="00076CEA"/>
    <w:rsid w:val="0008082F"/>
    <w:rsid w:val="000812D9"/>
    <w:rsid w:val="00083856"/>
    <w:rsid w:val="00084191"/>
    <w:rsid w:val="00084D1B"/>
    <w:rsid w:val="00085485"/>
    <w:rsid w:val="00086053"/>
    <w:rsid w:val="000861B0"/>
    <w:rsid w:val="000869DF"/>
    <w:rsid w:val="00090E31"/>
    <w:rsid w:val="000915D6"/>
    <w:rsid w:val="00093D08"/>
    <w:rsid w:val="0009437C"/>
    <w:rsid w:val="000955F8"/>
    <w:rsid w:val="00096B7B"/>
    <w:rsid w:val="00096D09"/>
    <w:rsid w:val="000A0362"/>
    <w:rsid w:val="000A0C49"/>
    <w:rsid w:val="000A1107"/>
    <w:rsid w:val="000A1664"/>
    <w:rsid w:val="000A226E"/>
    <w:rsid w:val="000A3E4A"/>
    <w:rsid w:val="000A3FBF"/>
    <w:rsid w:val="000A44E6"/>
    <w:rsid w:val="000A4B63"/>
    <w:rsid w:val="000A4EF0"/>
    <w:rsid w:val="000A57F2"/>
    <w:rsid w:val="000A6B50"/>
    <w:rsid w:val="000A7249"/>
    <w:rsid w:val="000A7285"/>
    <w:rsid w:val="000A7BD9"/>
    <w:rsid w:val="000B1CAC"/>
    <w:rsid w:val="000B296B"/>
    <w:rsid w:val="000B2DF2"/>
    <w:rsid w:val="000B3664"/>
    <w:rsid w:val="000B3FE5"/>
    <w:rsid w:val="000B4EFA"/>
    <w:rsid w:val="000B52D0"/>
    <w:rsid w:val="000B581D"/>
    <w:rsid w:val="000B5860"/>
    <w:rsid w:val="000B62C2"/>
    <w:rsid w:val="000B6782"/>
    <w:rsid w:val="000B6D04"/>
    <w:rsid w:val="000B7617"/>
    <w:rsid w:val="000B7809"/>
    <w:rsid w:val="000C0111"/>
    <w:rsid w:val="000C0645"/>
    <w:rsid w:val="000C0828"/>
    <w:rsid w:val="000C0D25"/>
    <w:rsid w:val="000C230F"/>
    <w:rsid w:val="000C26F7"/>
    <w:rsid w:val="000C37BB"/>
    <w:rsid w:val="000C400A"/>
    <w:rsid w:val="000C5533"/>
    <w:rsid w:val="000C55B6"/>
    <w:rsid w:val="000C5D0C"/>
    <w:rsid w:val="000C5D38"/>
    <w:rsid w:val="000C6356"/>
    <w:rsid w:val="000C6F6E"/>
    <w:rsid w:val="000D046A"/>
    <w:rsid w:val="000D0758"/>
    <w:rsid w:val="000D0D13"/>
    <w:rsid w:val="000D1616"/>
    <w:rsid w:val="000D161D"/>
    <w:rsid w:val="000D1CA4"/>
    <w:rsid w:val="000D292B"/>
    <w:rsid w:val="000D2A11"/>
    <w:rsid w:val="000D2CB3"/>
    <w:rsid w:val="000D363D"/>
    <w:rsid w:val="000D379C"/>
    <w:rsid w:val="000D40BB"/>
    <w:rsid w:val="000D47DE"/>
    <w:rsid w:val="000D5283"/>
    <w:rsid w:val="000D5939"/>
    <w:rsid w:val="000D6875"/>
    <w:rsid w:val="000D6FBB"/>
    <w:rsid w:val="000D760B"/>
    <w:rsid w:val="000D7F53"/>
    <w:rsid w:val="000E1441"/>
    <w:rsid w:val="000E1D91"/>
    <w:rsid w:val="000E1DAE"/>
    <w:rsid w:val="000E2722"/>
    <w:rsid w:val="000E279A"/>
    <w:rsid w:val="000E438D"/>
    <w:rsid w:val="000E49BA"/>
    <w:rsid w:val="000E4ED6"/>
    <w:rsid w:val="000E69C7"/>
    <w:rsid w:val="000E70F0"/>
    <w:rsid w:val="000E7462"/>
    <w:rsid w:val="000E7C7E"/>
    <w:rsid w:val="000E7D78"/>
    <w:rsid w:val="000F06F2"/>
    <w:rsid w:val="000F13B1"/>
    <w:rsid w:val="000F4B90"/>
    <w:rsid w:val="000F54AC"/>
    <w:rsid w:val="000F54BD"/>
    <w:rsid w:val="000F5550"/>
    <w:rsid w:val="000F5B64"/>
    <w:rsid w:val="000F6BE4"/>
    <w:rsid w:val="00100030"/>
    <w:rsid w:val="00102A65"/>
    <w:rsid w:val="00105150"/>
    <w:rsid w:val="00105CD9"/>
    <w:rsid w:val="00105E5D"/>
    <w:rsid w:val="001067DE"/>
    <w:rsid w:val="00107576"/>
    <w:rsid w:val="00107D1B"/>
    <w:rsid w:val="001113BE"/>
    <w:rsid w:val="001114AF"/>
    <w:rsid w:val="00111D50"/>
    <w:rsid w:val="001129D7"/>
    <w:rsid w:val="0011370C"/>
    <w:rsid w:val="00114D9A"/>
    <w:rsid w:val="00115B52"/>
    <w:rsid w:val="00116062"/>
    <w:rsid w:val="00116236"/>
    <w:rsid w:val="001168DA"/>
    <w:rsid w:val="00116D0B"/>
    <w:rsid w:val="00116E42"/>
    <w:rsid w:val="001205A7"/>
    <w:rsid w:val="0012104D"/>
    <w:rsid w:val="00121368"/>
    <w:rsid w:val="001214DA"/>
    <w:rsid w:val="00122063"/>
    <w:rsid w:val="00122510"/>
    <w:rsid w:val="0012306F"/>
    <w:rsid w:val="00123331"/>
    <w:rsid w:val="00123D89"/>
    <w:rsid w:val="00125857"/>
    <w:rsid w:val="0012591A"/>
    <w:rsid w:val="0012642C"/>
    <w:rsid w:val="00126596"/>
    <w:rsid w:val="00126A87"/>
    <w:rsid w:val="00126FE2"/>
    <w:rsid w:val="00127003"/>
    <w:rsid w:val="00127896"/>
    <w:rsid w:val="00127C02"/>
    <w:rsid w:val="00131011"/>
    <w:rsid w:val="001311E8"/>
    <w:rsid w:val="0013199C"/>
    <w:rsid w:val="00132937"/>
    <w:rsid w:val="00133FE8"/>
    <w:rsid w:val="001346FE"/>
    <w:rsid w:val="00134A73"/>
    <w:rsid w:val="00137988"/>
    <w:rsid w:val="00137F35"/>
    <w:rsid w:val="00137FC7"/>
    <w:rsid w:val="00140891"/>
    <w:rsid w:val="00142EFE"/>
    <w:rsid w:val="00143E4D"/>
    <w:rsid w:val="00144BE7"/>
    <w:rsid w:val="0014532A"/>
    <w:rsid w:val="0014590B"/>
    <w:rsid w:val="0014603D"/>
    <w:rsid w:val="0014661E"/>
    <w:rsid w:val="001466DB"/>
    <w:rsid w:val="00146A4C"/>
    <w:rsid w:val="00146F40"/>
    <w:rsid w:val="001477D0"/>
    <w:rsid w:val="00147815"/>
    <w:rsid w:val="0015191F"/>
    <w:rsid w:val="001519FF"/>
    <w:rsid w:val="00152396"/>
    <w:rsid w:val="001524FB"/>
    <w:rsid w:val="001538D4"/>
    <w:rsid w:val="001547E4"/>
    <w:rsid w:val="001553AA"/>
    <w:rsid w:val="00155667"/>
    <w:rsid w:val="00155CE3"/>
    <w:rsid w:val="001578D1"/>
    <w:rsid w:val="0016003A"/>
    <w:rsid w:val="00161C6A"/>
    <w:rsid w:val="00161EF3"/>
    <w:rsid w:val="0016213F"/>
    <w:rsid w:val="001624BD"/>
    <w:rsid w:val="00163351"/>
    <w:rsid w:val="0016336F"/>
    <w:rsid w:val="001634C3"/>
    <w:rsid w:val="001646AD"/>
    <w:rsid w:val="001646FC"/>
    <w:rsid w:val="00164F8E"/>
    <w:rsid w:val="001656AB"/>
    <w:rsid w:val="001661F3"/>
    <w:rsid w:val="0016639A"/>
    <w:rsid w:val="0016677A"/>
    <w:rsid w:val="00166E18"/>
    <w:rsid w:val="00167771"/>
    <w:rsid w:val="0017050B"/>
    <w:rsid w:val="00170DED"/>
    <w:rsid w:val="001711DB"/>
    <w:rsid w:val="001711DD"/>
    <w:rsid w:val="001712A1"/>
    <w:rsid w:val="0017184E"/>
    <w:rsid w:val="001729F4"/>
    <w:rsid w:val="00172E76"/>
    <w:rsid w:val="00172EF4"/>
    <w:rsid w:val="00173275"/>
    <w:rsid w:val="0017422F"/>
    <w:rsid w:val="001754AF"/>
    <w:rsid w:val="00176549"/>
    <w:rsid w:val="00177917"/>
    <w:rsid w:val="00177EE3"/>
    <w:rsid w:val="001804C5"/>
    <w:rsid w:val="00180FE9"/>
    <w:rsid w:val="00181129"/>
    <w:rsid w:val="0018138B"/>
    <w:rsid w:val="001815AA"/>
    <w:rsid w:val="00182D34"/>
    <w:rsid w:val="00182E5F"/>
    <w:rsid w:val="00183010"/>
    <w:rsid w:val="00183907"/>
    <w:rsid w:val="001839A3"/>
    <w:rsid w:val="001840E5"/>
    <w:rsid w:val="0018429F"/>
    <w:rsid w:val="00184B27"/>
    <w:rsid w:val="00185082"/>
    <w:rsid w:val="0018512F"/>
    <w:rsid w:val="00185192"/>
    <w:rsid w:val="00185275"/>
    <w:rsid w:val="001855D4"/>
    <w:rsid w:val="00185BE6"/>
    <w:rsid w:val="00190213"/>
    <w:rsid w:val="00190C8D"/>
    <w:rsid w:val="001918D0"/>
    <w:rsid w:val="00191CE2"/>
    <w:rsid w:val="0019323E"/>
    <w:rsid w:val="00193AC4"/>
    <w:rsid w:val="001950F2"/>
    <w:rsid w:val="001954CC"/>
    <w:rsid w:val="00195BA5"/>
    <w:rsid w:val="0019727F"/>
    <w:rsid w:val="001A0D51"/>
    <w:rsid w:val="001A1D2A"/>
    <w:rsid w:val="001A3E86"/>
    <w:rsid w:val="001A4932"/>
    <w:rsid w:val="001A4B47"/>
    <w:rsid w:val="001A4DB8"/>
    <w:rsid w:val="001A525E"/>
    <w:rsid w:val="001A52DA"/>
    <w:rsid w:val="001A679D"/>
    <w:rsid w:val="001A6B18"/>
    <w:rsid w:val="001A6CFD"/>
    <w:rsid w:val="001A76C0"/>
    <w:rsid w:val="001A77A5"/>
    <w:rsid w:val="001A7C84"/>
    <w:rsid w:val="001B0444"/>
    <w:rsid w:val="001B1219"/>
    <w:rsid w:val="001B1945"/>
    <w:rsid w:val="001B2858"/>
    <w:rsid w:val="001B3141"/>
    <w:rsid w:val="001B3B93"/>
    <w:rsid w:val="001B3CC9"/>
    <w:rsid w:val="001B3F7F"/>
    <w:rsid w:val="001B4625"/>
    <w:rsid w:val="001B47E4"/>
    <w:rsid w:val="001B56F3"/>
    <w:rsid w:val="001B68DE"/>
    <w:rsid w:val="001B6E79"/>
    <w:rsid w:val="001B73BD"/>
    <w:rsid w:val="001B7404"/>
    <w:rsid w:val="001B76CB"/>
    <w:rsid w:val="001B7D89"/>
    <w:rsid w:val="001C08EE"/>
    <w:rsid w:val="001C0B61"/>
    <w:rsid w:val="001C13FA"/>
    <w:rsid w:val="001C14CF"/>
    <w:rsid w:val="001C31D0"/>
    <w:rsid w:val="001C3680"/>
    <w:rsid w:val="001C39D4"/>
    <w:rsid w:val="001C3DE6"/>
    <w:rsid w:val="001C6854"/>
    <w:rsid w:val="001C6D6E"/>
    <w:rsid w:val="001C6EBA"/>
    <w:rsid w:val="001C7483"/>
    <w:rsid w:val="001D0330"/>
    <w:rsid w:val="001D0ECA"/>
    <w:rsid w:val="001D1FB4"/>
    <w:rsid w:val="001D25F8"/>
    <w:rsid w:val="001D441C"/>
    <w:rsid w:val="001D4BE9"/>
    <w:rsid w:val="001D4E9F"/>
    <w:rsid w:val="001D4ED5"/>
    <w:rsid w:val="001D4FFD"/>
    <w:rsid w:val="001D5C1D"/>
    <w:rsid w:val="001D6DA0"/>
    <w:rsid w:val="001D751A"/>
    <w:rsid w:val="001D75CF"/>
    <w:rsid w:val="001D7C50"/>
    <w:rsid w:val="001D7E27"/>
    <w:rsid w:val="001E0639"/>
    <w:rsid w:val="001E0ECB"/>
    <w:rsid w:val="001E14D8"/>
    <w:rsid w:val="001E1532"/>
    <w:rsid w:val="001E26A6"/>
    <w:rsid w:val="001E2917"/>
    <w:rsid w:val="001E2D11"/>
    <w:rsid w:val="001E2D9B"/>
    <w:rsid w:val="001E3201"/>
    <w:rsid w:val="001E5FB3"/>
    <w:rsid w:val="001E5FF3"/>
    <w:rsid w:val="001E69BC"/>
    <w:rsid w:val="001E6E4D"/>
    <w:rsid w:val="001E6F3B"/>
    <w:rsid w:val="001E77E1"/>
    <w:rsid w:val="001F1E3D"/>
    <w:rsid w:val="001F20F5"/>
    <w:rsid w:val="001F28B0"/>
    <w:rsid w:val="001F34F0"/>
    <w:rsid w:val="001F35E9"/>
    <w:rsid w:val="001F3C5A"/>
    <w:rsid w:val="001F40CB"/>
    <w:rsid w:val="001F4632"/>
    <w:rsid w:val="001F4A4A"/>
    <w:rsid w:val="001F635E"/>
    <w:rsid w:val="001F7099"/>
    <w:rsid w:val="001F72F9"/>
    <w:rsid w:val="001F7E8D"/>
    <w:rsid w:val="00200984"/>
    <w:rsid w:val="00200C76"/>
    <w:rsid w:val="002010DF"/>
    <w:rsid w:val="0020163A"/>
    <w:rsid w:val="00201738"/>
    <w:rsid w:val="00201CC7"/>
    <w:rsid w:val="002020B6"/>
    <w:rsid w:val="00203179"/>
    <w:rsid w:val="002041A8"/>
    <w:rsid w:val="002064EA"/>
    <w:rsid w:val="002070C0"/>
    <w:rsid w:val="002116BD"/>
    <w:rsid w:val="00211BA7"/>
    <w:rsid w:val="00211DCC"/>
    <w:rsid w:val="00212489"/>
    <w:rsid w:val="00214C16"/>
    <w:rsid w:val="00214D8C"/>
    <w:rsid w:val="00214E74"/>
    <w:rsid w:val="00215188"/>
    <w:rsid w:val="00215AF7"/>
    <w:rsid w:val="00216F57"/>
    <w:rsid w:val="002172A0"/>
    <w:rsid w:val="00217461"/>
    <w:rsid w:val="002202C2"/>
    <w:rsid w:val="002203F8"/>
    <w:rsid w:val="0022066B"/>
    <w:rsid w:val="00220788"/>
    <w:rsid w:val="00221202"/>
    <w:rsid w:val="00222913"/>
    <w:rsid w:val="00222AD3"/>
    <w:rsid w:val="00222D2C"/>
    <w:rsid w:val="00222F18"/>
    <w:rsid w:val="002242A0"/>
    <w:rsid w:val="00224662"/>
    <w:rsid w:val="00224B5B"/>
    <w:rsid w:val="0022519C"/>
    <w:rsid w:val="00225567"/>
    <w:rsid w:val="00225784"/>
    <w:rsid w:val="002258F2"/>
    <w:rsid w:val="002259B6"/>
    <w:rsid w:val="002275BC"/>
    <w:rsid w:val="00227AB1"/>
    <w:rsid w:val="002300C7"/>
    <w:rsid w:val="00230184"/>
    <w:rsid w:val="0023060D"/>
    <w:rsid w:val="00230A4B"/>
    <w:rsid w:val="002310F5"/>
    <w:rsid w:val="0023126F"/>
    <w:rsid w:val="00231714"/>
    <w:rsid w:val="00232A7B"/>
    <w:rsid w:val="00232C06"/>
    <w:rsid w:val="0023655A"/>
    <w:rsid w:val="00237682"/>
    <w:rsid w:val="00237C9A"/>
    <w:rsid w:val="00241156"/>
    <w:rsid w:val="00241354"/>
    <w:rsid w:val="002417FB"/>
    <w:rsid w:val="00241DA6"/>
    <w:rsid w:val="002420E0"/>
    <w:rsid w:val="00243247"/>
    <w:rsid w:val="00243911"/>
    <w:rsid w:val="0024395A"/>
    <w:rsid w:val="00244645"/>
    <w:rsid w:val="00244C1F"/>
    <w:rsid w:val="0024592E"/>
    <w:rsid w:val="00245B05"/>
    <w:rsid w:val="00247DD5"/>
    <w:rsid w:val="0025026D"/>
    <w:rsid w:val="00250929"/>
    <w:rsid w:val="00252555"/>
    <w:rsid w:val="00252573"/>
    <w:rsid w:val="00252CA8"/>
    <w:rsid w:val="00253210"/>
    <w:rsid w:val="002533EF"/>
    <w:rsid w:val="00254CE7"/>
    <w:rsid w:val="002558CD"/>
    <w:rsid w:val="00255D2B"/>
    <w:rsid w:val="002560AC"/>
    <w:rsid w:val="00256A6A"/>
    <w:rsid w:val="0025711F"/>
    <w:rsid w:val="00257DAB"/>
    <w:rsid w:val="00257E7E"/>
    <w:rsid w:val="00260B92"/>
    <w:rsid w:val="00261027"/>
    <w:rsid w:val="00261068"/>
    <w:rsid w:val="002611D9"/>
    <w:rsid w:val="0026294F"/>
    <w:rsid w:val="00262D38"/>
    <w:rsid w:val="00262E54"/>
    <w:rsid w:val="002630F1"/>
    <w:rsid w:val="002632DA"/>
    <w:rsid w:val="00263718"/>
    <w:rsid w:val="00264C78"/>
    <w:rsid w:val="00264F2A"/>
    <w:rsid w:val="00264F5B"/>
    <w:rsid w:val="00265AA8"/>
    <w:rsid w:val="0026646C"/>
    <w:rsid w:val="00267CA0"/>
    <w:rsid w:val="002719F3"/>
    <w:rsid w:val="00271EAE"/>
    <w:rsid w:val="00272AEC"/>
    <w:rsid w:val="0027334D"/>
    <w:rsid w:val="00273371"/>
    <w:rsid w:val="0027356D"/>
    <w:rsid w:val="002738F4"/>
    <w:rsid w:val="00273C29"/>
    <w:rsid w:val="00273EAD"/>
    <w:rsid w:val="002754DD"/>
    <w:rsid w:val="00275E01"/>
    <w:rsid w:val="00275E4A"/>
    <w:rsid w:val="00276DC6"/>
    <w:rsid w:val="00277B4A"/>
    <w:rsid w:val="00277E07"/>
    <w:rsid w:val="00280B6E"/>
    <w:rsid w:val="00280BD7"/>
    <w:rsid w:val="002811C6"/>
    <w:rsid w:val="00281A69"/>
    <w:rsid w:val="0028300B"/>
    <w:rsid w:val="00283BEB"/>
    <w:rsid w:val="00283D26"/>
    <w:rsid w:val="00284267"/>
    <w:rsid w:val="00284CDE"/>
    <w:rsid w:val="002857BD"/>
    <w:rsid w:val="002873E4"/>
    <w:rsid w:val="00290A50"/>
    <w:rsid w:val="00290B58"/>
    <w:rsid w:val="00290BAE"/>
    <w:rsid w:val="00291383"/>
    <w:rsid w:val="00292CB6"/>
    <w:rsid w:val="00293D50"/>
    <w:rsid w:val="0029437C"/>
    <w:rsid w:val="002946C9"/>
    <w:rsid w:val="00295283"/>
    <w:rsid w:val="00295608"/>
    <w:rsid w:val="0029692B"/>
    <w:rsid w:val="00297DFF"/>
    <w:rsid w:val="002A04FD"/>
    <w:rsid w:val="002A1120"/>
    <w:rsid w:val="002A1BE0"/>
    <w:rsid w:val="002A35BC"/>
    <w:rsid w:val="002A48A6"/>
    <w:rsid w:val="002A51BF"/>
    <w:rsid w:val="002A6447"/>
    <w:rsid w:val="002A70C0"/>
    <w:rsid w:val="002B0510"/>
    <w:rsid w:val="002B0BEC"/>
    <w:rsid w:val="002B2123"/>
    <w:rsid w:val="002B32AE"/>
    <w:rsid w:val="002B3ACB"/>
    <w:rsid w:val="002B3BFB"/>
    <w:rsid w:val="002B3E99"/>
    <w:rsid w:val="002B4B18"/>
    <w:rsid w:val="002B4BCA"/>
    <w:rsid w:val="002B4D44"/>
    <w:rsid w:val="002B5A44"/>
    <w:rsid w:val="002B612D"/>
    <w:rsid w:val="002B701F"/>
    <w:rsid w:val="002B79D0"/>
    <w:rsid w:val="002B7C01"/>
    <w:rsid w:val="002C18FB"/>
    <w:rsid w:val="002C195E"/>
    <w:rsid w:val="002C2B72"/>
    <w:rsid w:val="002C2C01"/>
    <w:rsid w:val="002C36D9"/>
    <w:rsid w:val="002C3772"/>
    <w:rsid w:val="002C3B33"/>
    <w:rsid w:val="002C3CC7"/>
    <w:rsid w:val="002C5268"/>
    <w:rsid w:val="002C5FB9"/>
    <w:rsid w:val="002C6AC9"/>
    <w:rsid w:val="002C6E70"/>
    <w:rsid w:val="002C6E9E"/>
    <w:rsid w:val="002C716A"/>
    <w:rsid w:val="002C743B"/>
    <w:rsid w:val="002C7B66"/>
    <w:rsid w:val="002D0071"/>
    <w:rsid w:val="002D02AD"/>
    <w:rsid w:val="002D05F9"/>
    <w:rsid w:val="002D2C55"/>
    <w:rsid w:val="002D2E8F"/>
    <w:rsid w:val="002D381E"/>
    <w:rsid w:val="002D3EDD"/>
    <w:rsid w:val="002D3FAC"/>
    <w:rsid w:val="002D4CCC"/>
    <w:rsid w:val="002D54F7"/>
    <w:rsid w:val="002D5AD0"/>
    <w:rsid w:val="002D5D89"/>
    <w:rsid w:val="002D6111"/>
    <w:rsid w:val="002D62E1"/>
    <w:rsid w:val="002D6BF1"/>
    <w:rsid w:val="002D6C49"/>
    <w:rsid w:val="002D6D84"/>
    <w:rsid w:val="002E0159"/>
    <w:rsid w:val="002E03E9"/>
    <w:rsid w:val="002E0924"/>
    <w:rsid w:val="002E0D30"/>
    <w:rsid w:val="002E2126"/>
    <w:rsid w:val="002E2541"/>
    <w:rsid w:val="002E308D"/>
    <w:rsid w:val="002E30E3"/>
    <w:rsid w:val="002E4001"/>
    <w:rsid w:val="002E4A97"/>
    <w:rsid w:val="002E4D1B"/>
    <w:rsid w:val="002E4F76"/>
    <w:rsid w:val="002E5049"/>
    <w:rsid w:val="002E5A3D"/>
    <w:rsid w:val="002E5D8E"/>
    <w:rsid w:val="002E6856"/>
    <w:rsid w:val="002E6A24"/>
    <w:rsid w:val="002E7A52"/>
    <w:rsid w:val="002F0073"/>
    <w:rsid w:val="002F02A4"/>
    <w:rsid w:val="002F02F3"/>
    <w:rsid w:val="002F06DF"/>
    <w:rsid w:val="002F164B"/>
    <w:rsid w:val="002F17CC"/>
    <w:rsid w:val="002F1BCC"/>
    <w:rsid w:val="002F2932"/>
    <w:rsid w:val="002F3729"/>
    <w:rsid w:val="002F389A"/>
    <w:rsid w:val="002F4CE3"/>
    <w:rsid w:val="002F4F0B"/>
    <w:rsid w:val="002F524A"/>
    <w:rsid w:val="002F5E2F"/>
    <w:rsid w:val="002F6E2E"/>
    <w:rsid w:val="002F6E32"/>
    <w:rsid w:val="002F72D9"/>
    <w:rsid w:val="0030010F"/>
    <w:rsid w:val="003001B0"/>
    <w:rsid w:val="00300B54"/>
    <w:rsid w:val="003017D4"/>
    <w:rsid w:val="00301FEE"/>
    <w:rsid w:val="00302222"/>
    <w:rsid w:val="003039EB"/>
    <w:rsid w:val="00303B32"/>
    <w:rsid w:val="00303C6F"/>
    <w:rsid w:val="003041C3"/>
    <w:rsid w:val="0030529A"/>
    <w:rsid w:val="0030586B"/>
    <w:rsid w:val="00305932"/>
    <w:rsid w:val="003060DB"/>
    <w:rsid w:val="00306112"/>
    <w:rsid w:val="00306801"/>
    <w:rsid w:val="003068CD"/>
    <w:rsid w:val="0030702E"/>
    <w:rsid w:val="00310A0A"/>
    <w:rsid w:val="00310F44"/>
    <w:rsid w:val="0031148E"/>
    <w:rsid w:val="003117D5"/>
    <w:rsid w:val="00311AD0"/>
    <w:rsid w:val="00311AD5"/>
    <w:rsid w:val="00313D6F"/>
    <w:rsid w:val="0031459F"/>
    <w:rsid w:val="00314ABE"/>
    <w:rsid w:val="00314EDA"/>
    <w:rsid w:val="00315EAF"/>
    <w:rsid w:val="00315F9D"/>
    <w:rsid w:val="003162F4"/>
    <w:rsid w:val="003165FA"/>
    <w:rsid w:val="00316B6F"/>
    <w:rsid w:val="003173FE"/>
    <w:rsid w:val="003204D9"/>
    <w:rsid w:val="00320768"/>
    <w:rsid w:val="00320B37"/>
    <w:rsid w:val="00320BDC"/>
    <w:rsid w:val="0032128D"/>
    <w:rsid w:val="00321506"/>
    <w:rsid w:val="003217FC"/>
    <w:rsid w:val="00322668"/>
    <w:rsid w:val="00322D4B"/>
    <w:rsid w:val="00324D34"/>
    <w:rsid w:val="00324F6A"/>
    <w:rsid w:val="003261C9"/>
    <w:rsid w:val="00326BA7"/>
    <w:rsid w:val="003278EA"/>
    <w:rsid w:val="0033093D"/>
    <w:rsid w:val="003309E8"/>
    <w:rsid w:val="00331A04"/>
    <w:rsid w:val="0033270C"/>
    <w:rsid w:val="00332A6C"/>
    <w:rsid w:val="00333468"/>
    <w:rsid w:val="0033367E"/>
    <w:rsid w:val="00333CDF"/>
    <w:rsid w:val="00335060"/>
    <w:rsid w:val="00335990"/>
    <w:rsid w:val="00335BEF"/>
    <w:rsid w:val="00335C48"/>
    <w:rsid w:val="00336DD8"/>
    <w:rsid w:val="00336E2B"/>
    <w:rsid w:val="003373E2"/>
    <w:rsid w:val="00337E05"/>
    <w:rsid w:val="00337EC5"/>
    <w:rsid w:val="003402F3"/>
    <w:rsid w:val="003408DD"/>
    <w:rsid w:val="00340D35"/>
    <w:rsid w:val="00341AC1"/>
    <w:rsid w:val="00342019"/>
    <w:rsid w:val="0034303C"/>
    <w:rsid w:val="00344156"/>
    <w:rsid w:val="00344BFC"/>
    <w:rsid w:val="003467F6"/>
    <w:rsid w:val="00346D6B"/>
    <w:rsid w:val="00347202"/>
    <w:rsid w:val="00347455"/>
    <w:rsid w:val="0034748C"/>
    <w:rsid w:val="00350298"/>
    <w:rsid w:val="00350AEE"/>
    <w:rsid w:val="00351369"/>
    <w:rsid w:val="003523E5"/>
    <w:rsid w:val="0035278D"/>
    <w:rsid w:val="003529C8"/>
    <w:rsid w:val="00353182"/>
    <w:rsid w:val="0035434A"/>
    <w:rsid w:val="00354523"/>
    <w:rsid w:val="00354899"/>
    <w:rsid w:val="00354C11"/>
    <w:rsid w:val="00355471"/>
    <w:rsid w:val="003558EB"/>
    <w:rsid w:val="00355BEB"/>
    <w:rsid w:val="00355DA5"/>
    <w:rsid w:val="003564E0"/>
    <w:rsid w:val="0035692E"/>
    <w:rsid w:val="003575A1"/>
    <w:rsid w:val="00360014"/>
    <w:rsid w:val="00360292"/>
    <w:rsid w:val="00360573"/>
    <w:rsid w:val="003605F7"/>
    <w:rsid w:val="0036183E"/>
    <w:rsid w:val="00361860"/>
    <w:rsid w:val="003619A1"/>
    <w:rsid w:val="003619A3"/>
    <w:rsid w:val="00362990"/>
    <w:rsid w:val="00362A42"/>
    <w:rsid w:val="00362D5F"/>
    <w:rsid w:val="00365BC4"/>
    <w:rsid w:val="00366428"/>
    <w:rsid w:val="00366891"/>
    <w:rsid w:val="00367012"/>
    <w:rsid w:val="003709F2"/>
    <w:rsid w:val="00370D97"/>
    <w:rsid w:val="00370FD6"/>
    <w:rsid w:val="003712BE"/>
    <w:rsid w:val="00371449"/>
    <w:rsid w:val="00372355"/>
    <w:rsid w:val="003742B5"/>
    <w:rsid w:val="003750ED"/>
    <w:rsid w:val="003777D3"/>
    <w:rsid w:val="00377A02"/>
    <w:rsid w:val="00377BF6"/>
    <w:rsid w:val="00377C97"/>
    <w:rsid w:val="00377E18"/>
    <w:rsid w:val="003800C6"/>
    <w:rsid w:val="003802FD"/>
    <w:rsid w:val="00380C8B"/>
    <w:rsid w:val="003823EF"/>
    <w:rsid w:val="0038277B"/>
    <w:rsid w:val="00382DDC"/>
    <w:rsid w:val="003836C4"/>
    <w:rsid w:val="00387226"/>
    <w:rsid w:val="003872F7"/>
    <w:rsid w:val="003878AE"/>
    <w:rsid w:val="00390A1E"/>
    <w:rsid w:val="00391B04"/>
    <w:rsid w:val="003920A9"/>
    <w:rsid w:val="00392159"/>
    <w:rsid w:val="00392260"/>
    <w:rsid w:val="00392ADA"/>
    <w:rsid w:val="00392F2A"/>
    <w:rsid w:val="0039329F"/>
    <w:rsid w:val="003937A3"/>
    <w:rsid w:val="00393D0F"/>
    <w:rsid w:val="00394279"/>
    <w:rsid w:val="003949D6"/>
    <w:rsid w:val="00395236"/>
    <w:rsid w:val="0039523F"/>
    <w:rsid w:val="00395798"/>
    <w:rsid w:val="00396626"/>
    <w:rsid w:val="00396DB0"/>
    <w:rsid w:val="003A07B8"/>
    <w:rsid w:val="003A1817"/>
    <w:rsid w:val="003A1C26"/>
    <w:rsid w:val="003A28AB"/>
    <w:rsid w:val="003A398B"/>
    <w:rsid w:val="003A39F6"/>
    <w:rsid w:val="003A3A3D"/>
    <w:rsid w:val="003A53D5"/>
    <w:rsid w:val="003A5513"/>
    <w:rsid w:val="003A5F01"/>
    <w:rsid w:val="003A61B5"/>
    <w:rsid w:val="003A6B71"/>
    <w:rsid w:val="003A7A64"/>
    <w:rsid w:val="003B0426"/>
    <w:rsid w:val="003B0684"/>
    <w:rsid w:val="003B0A6B"/>
    <w:rsid w:val="003B3DB9"/>
    <w:rsid w:val="003B3E1B"/>
    <w:rsid w:val="003B4794"/>
    <w:rsid w:val="003B4F44"/>
    <w:rsid w:val="003B54D1"/>
    <w:rsid w:val="003B7BA8"/>
    <w:rsid w:val="003C0663"/>
    <w:rsid w:val="003C08B1"/>
    <w:rsid w:val="003C162D"/>
    <w:rsid w:val="003C35AF"/>
    <w:rsid w:val="003C44EB"/>
    <w:rsid w:val="003C4CEC"/>
    <w:rsid w:val="003C4D9F"/>
    <w:rsid w:val="003C5161"/>
    <w:rsid w:val="003C609F"/>
    <w:rsid w:val="003C73B3"/>
    <w:rsid w:val="003C7F28"/>
    <w:rsid w:val="003D355B"/>
    <w:rsid w:val="003D3BD9"/>
    <w:rsid w:val="003D5D8D"/>
    <w:rsid w:val="003D63A3"/>
    <w:rsid w:val="003D7579"/>
    <w:rsid w:val="003D7E28"/>
    <w:rsid w:val="003E0249"/>
    <w:rsid w:val="003E32BC"/>
    <w:rsid w:val="003E3F3E"/>
    <w:rsid w:val="003E69A5"/>
    <w:rsid w:val="003E7417"/>
    <w:rsid w:val="003E7570"/>
    <w:rsid w:val="003E7638"/>
    <w:rsid w:val="003E7DA1"/>
    <w:rsid w:val="003F0083"/>
    <w:rsid w:val="003F05F2"/>
    <w:rsid w:val="003F1806"/>
    <w:rsid w:val="003F192E"/>
    <w:rsid w:val="003F23C7"/>
    <w:rsid w:val="003F2BB8"/>
    <w:rsid w:val="003F2E88"/>
    <w:rsid w:val="003F311E"/>
    <w:rsid w:val="003F3CE6"/>
    <w:rsid w:val="003F468B"/>
    <w:rsid w:val="003F5986"/>
    <w:rsid w:val="003F5ADF"/>
    <w:rsid w:val="003F61CD"/>
    <w:rsid w:val="003F7891"/>
    <w:rsid w:val="00400F72"/>
    <w:rsid w:val="004016A3"/>
    <w:rsid w:val="00402946"/>
    <w:rsid w:val="00402AED"/>
    <w:rsid w:val="00402D3D"/>
    <w:rsid w:val="00404022"/>
    <w:rsid w:val="00405347"/>
    <w:rsid w:val="00405B25"/>
    <w:rsid w:val="00405BEB"/>
    <w:rsid w:val="00405C84"/>
    <w:rsid w:val="0040611D"/>
    <w:rsid w:val="0040651F"/>
    <w:rsid w:val="00406D09"/>
    <w:rsid w:val="004070F4"/>
    <w:rsid w:val="00407800"/>
    <w:rsid w:val="00407B17"/>
    <w:rsid w:val="00410778"/>
    <w:rsid w:val="00410BC2"/>
    <w:rsid w:val="0041157B"/>
    <w:rsid w:val="0041167F"/>
    <w:rsid w:val="00411745"/>
    <w:rsid w:val="004128DF"/>
    <w:rsid w:val="004129B9"/>
    <w:rsid w:val="00412CD6"/>
    <w:rsid w:val="00413401"/>
    <w:rsid w:val="00413996"/>
    <w:rsid w:val="00413A7B"/>
    <w:rsid w:val="00414064"/>
    <w:rsid w:val="00414949"/>
    <w:rsid w:val="00415E9C"/>
    <w:rsid w:val="00416293"/>
    <w:rsid w:val="00416523"/>
    <w:rsid w:val="00416771"/>
    <w:rsid w:val="00416E2E"/>
    <w:rsid w:val="00417052"/>
    <w:rsid w:val="004179B0"/>
    <w:rsid w:val="0042066B"/>
    <w:rsid w:val="004215A3"/>
    <w:rsid w:val="004226D2"/>
    <w:rsid w:val="00422BCE"/>
    <w:rsid w:val="00422D25"/>
    <w:rsid w:val="00424782"/>
    <w:rsid w:val="004248FF"/>
    <w:rsid w:val="0042547C"/>
    <w:rsid w:val="0042555A"/>
    <w:rsid w:val="004258E7"/>
    <w:rsid w:val="00425B27"/>
    <w:rsid w:val="00425FEF"/>
    <w:rsid w:val="0042646C"/>
    <w:rsid w:val="00427418"/>
    <w:rsid w:val="0043031F"/>
    <w:rsid w:val="0043057B"/>
    <w:rsid w:val="004312D2"/>
    <w:rsid w:val="0043167E"/>
    <w:rsid w:val="00431C23"/>
    <w:rsid w:val="00431C46"/>
    <w:rsid w:val="00431EF8"/>
    <w:rsid w:val="00432F84"/>
    <w:rsid w:val="0043384D"/>
    <w:rsid w:val="00433C55"/>
    <w:rsid w:val="004351D0"/>
    <w:rsid w:val="00435A63"/>
    <w:rsid w:val="00436D67"/>
    <w:rsid w:val="0043727C"/>
    <w:rsid w:val="004374B1"/>
    <w:rsid w:val="004374EB"/>
    <w:rsid w:val="004374F9"/>
    <w:rsid w:val="004379C2"/>
    <w:rsid w:val="00437B8E"/>
    <w:rsid w:val="00437D9A"/>
    <w:rsid w:val="00440548"/>
    <w:rsid w:val="00440DF9"/>
    <w:rsid w:val="00441AB7"/>
    <w:rsid w:val="00441B6D"/>
    <w:rsid w:val="00442280"/>
    <w:rsid w:val="004433A5"/>
    <w:rsid w:val="004440AC"/>
    <w:rsid w:val="00444278"/>
    <w:rsid w:val="00444A1F"/>
    <w:rsid w:val="0044553E"/>
    <w:rsid w:val="00447DF9"/>
    <w:rsid w:val="0045068E"/>
    <w:rsid w:val="00450A49"/>
    <w:rsid w:val="00450E9B"/>
    <w:rsid w:val="0045101E"/>
    <w:rsid w:val="00451E89"/>
    <w:rsid w:val="00454534"/>
    <w:rsid w:val="00456749"/>
    <w:rsid w:val="004568BF"/>
    <w:rsid w:val="00457504"/>
    <w:rsid w:val="00457BB0"/>
    <w:rsid w:val="0046061E"/>
    <w:rsid w:val="00462509"/>
    <w:rsid w:val="00462C3D"/>
    <w:rsid w:val="004644FC"/>
    <w:rsid w:val="00464B9B"/>
    <w:rsid w:val="00464F76"/>
    <w:rsid w:val="00465590"/>
    <w:rsid w:val="0046575B"/>
    <w:rsid w:val="004664DE"/>
    <w:rsid w:val="004669FB"/>
    <w:rsid w:val="004677A9"/>
    <w:rsid w:val="00470343"/>
    <w:rsid w:val="004705B3"/>
    <w:rsid w:val="0047116D"/>
    <w:rsid w:val="004730EC"/>
    <w:rsid w:val="00474387"/>
    <w:rsid w:val="0047457F"/>
    <w:rsid w:val="00474A55"/>
    <w:rsid w:val="00475334"/>
    <w:rsid w:val="00476D8E"/>
    <w:rsid w:val="0047769C"/>
    <w:rsid w:val="00480074"/>
    <w:rsid w:val="004806AF"/>
    <w:rsid w:val="00480EF9"/>
    <w:rsid w:val="0048119C"/>
    <w:rsid w:val="004814AC"/>
    <w:rsid w:val="00481886"/>
    <w:rsid w:val="00481B30"/>
    <w:rsid w:val="00481EB0"/>
    <w:rsid w:val="00482169"/>
    <w:rsid w:val="004823EC"/>
    <w:rsid w:val="004827BA"/>
    <w:rsid w:val="00482C23"/>
    <w:rsid w:val="00483BC7"/>
    <w:rsid w:val="004844AC"/>
    <w:rsid w:val="0048459E"/>
    <w:rsid w:val="004852D0"/>
    <w:rsid w:val="00486690"/>
    <w:rsid w:val="00486D14"/>
    <w:rsid w:val="004877AB"/>
    <w:rsid w:val="004878EE"/>
    <w:rsid w:val="00487C2D"/>
    <w:rsid w:val="00487DD3"/>
    <w:rsid w:val="00487DF0"/>
    <w:rsid w:val="0049056D"/>
    <w:rsid w:val="0049158B"/>
    <w:rsid w:val="004930D3"/>
    <w:rsid w:val="004958C5"/>
    <w:rsid w:val="0049638F"/>
    <w:rsid w:val="00496FEF"/>
    <w:rsid w:val="00497264"/>
    <w:rsid w:val="004974D3"/>
    <w:rsid w:val="0049755E"/>
    <w:rsid w:val="00497F47"/>
    <w:rsid w:val="004A0119"/>
    <w:rsid w:val="004A03CA"/>
    <w:rsid w:val="004A0755"/>
    <w:rsid w:val="004A188A"/>
    <w:rsid w:val="004A1C7C"/>
    <w:rsid w:val="004A1C8C"/>
    <w:rsid w:val="004A230E"/>
    <w:rsid w:val="004A26F2"/>
    <w:rsid w:val="004A2C6C"/>
    <w:rsid w:val="004A31C7"/>
    <w:rsid w:val="004A3390"/>
    <w:rsid w:val="004A3446"/>
    <w:rsid w:val="004A38A2"/>
    <w:rsid w:val="004A39A3"/>
    <w:rsid w:val="004A3DFF"/>
    <w:rsid w:val="004A3EB2"/>
    <w:rsid w:val="004A3F26"/>
    <w:rsid w:val="004A4AE2"/>
    <w:rsid w:val="004A4C73"/>
    <w:rsid w:val="004A5A6A"/>
    <w:rsid w:val="004A5ABE"/>
    <w:rsid w:val="004A5D79"/>
    <w:rsid w:val="004A5FA0"/>
    <w:rsid w:val="004A74AD"/>
    <w:rsid w:val="004B1799"/>
    <w:rsid w:val="004B1CC3"/>
    <w:rsid w:val="004B2C8C"/>
    <w:rsid w:val="004B3304"/>
    <w:rsid w:val="004B5310"/>
    <w:rsid w:val="004B64EB"/>
    <w:rsid w:val="004B68A9"/>
    <w:rsid w:val="004C07F9"/>
    <w:rsid w:val="004C1544"/>
    <w:rsid w:val="004C17CC"/>
    <w:rsid w:val="004C2297"/>
    <w:rsid w:val="004C2485"/>
    <w:rsid w:val="004C3648"/>
    <w:rsid w:val="004C39F2"/>
    <w:rsid w:val="004C3D4F"/>
    <w:rsid w:val="004C58C7"/>
    <w:rsid w:val="004C5AC8"/>
    <w:rsid w:val="004C5E86"/>
    <w:rsid w:val="004C694A"/>
    <w:rsid w:val="004C7561"/>
    <w:rsid w:val="004C7A37"/>
    <w:rsid w:val="004C7ACE"/>
    <w:rsid w:val="004D057B"/>
    <w:rsid w:val="004D278D"/>
    <w:rsid w:val="004D2823"/>
    <w:rsid w:val="004D2C76"/>
    <w:rsid w:val="004D392F"/>
    <w:rsid w:val="004D3D31"/>
    <w:rsid w:val="004D3ED0"/>
    <w:rsid w:val="004D5257"/>
    <w:rsid w:val="004D68BF"/>
    <w:rsid w:val="004D6FD0"/>
    <w:rsid w:val="004D7355"/>
    <w:rsid w:val="004D744C"/>
    <w:rsid w:val="004D77BE"/>
    <w:rsid w:val="004D7CB0"/>
    <w:rsid w:val="004D7CCE"/>
    <w:rsid w:val="004E080F"/>
    <w:rsid w:val="004E0BFA"/>
    <w:rsid w:val="004E141D"/>
    <w:rsid w:val="004E181E"/>
    <w:rsid w:val="004E1B80"/>
    <w:rsid w:val="004E1CC9"/>
    <w:rsid w:val="004E323F"/>
    <w:rsid w:val="004E3958"/>
    <w:rsid w:val="004E54B1"/>
    <w:rsid w:val="004E5F67"/>
    <w:rsid w:val="004E729A"/>
    <w:rsid w:val="004E7600"/>
    <w:rsid w:val="004E76A9"/>
    <w:rsid w:val="004F1E59"/>
    <w:rsid w:val="004F34AF"/>
    <w:rsid w:val="004F58E0"/>
    <w:rsid w:val="004F74E0"/>
    <w:rsid w:val="004F74E7"/>
    <w:rsid w:val="004F7CC7"/>
    <w:rsid w:val="00500356"/>
    <w:rsid w:val="005004AC"/>
    <w:rsid w:val="0050157D"/>
    <w:rsid w:val="00502FED"/>
    <w:rsid w:val="00503074"/>
    <w:rsid w:val="0050436F"/>
    <w:rsid w:val="00504FC8"/>
    <w:rsid w:val="00505272"/>
    <w:rsid w:val="005054EE"/>
    <w:rsid w:val="00505CC7"/>
    <w:rsid w:val="005061D4"/>
    <w:rsid w:val="0050631B"/>
    <w:rsid w:val="00506F11"/>
    <w:rsid w:val="00507942"/>
    <w:rsid w:val="005106D7"/>
    <w:rsid w:val="0051093A"/>
    <w:rsid w:val="005129DC"/>
    <w:rsid w:val="0051339B"/>
    <w:rsid w:val="00513469"/>
    <w:rsid w:val="00513837"/>
    <w:rsid w:val="00513977"/>
    <w:rsid w:val="00513CF6"/>
    <w:rsid w:val="00514FEF"/>
    <w:rsid w:val="00515C69"/>
    <w:rsid w:val="00515F6C"/>
    <w:rsid w:val="00516504"/>
    <w:rsid w:val="00516916"/>
    <w:rsid w:val="00517009"/>
    <w:rsid w:val="0051751B"/>
    <w:rsid w:val="00517753"/>
    <w:rsid w:val="0051792C"/>
    <w:rsid w:val="0052085D"/>
    <w:rsid w:val="00520A8B"/>
    <w:rsid w:val="00522D4E"/>
    <w:rsid w:val="005237D3"/>
    <w:rsid w:val="00523A18"/>
    <w:rsid w:val="00525313"/>
    <w:rsid w:val="00525734"/>
    <w:rsid w:val="005260D6"/>
    <w:rsid w:val="005262B6"/>
    <w:rsid w:val="00526D1E"/>
    <w:rsid w:val="0053132D"/>
    <w:rsid w:val="005325A2"/>
    <w:rsid w:val="005327A9"/>
    <w:rsid w:val="00533907"/>
    <w:rsid w:val="00534764"/>
    <w:rsid w:val="005349CF"/>
    <w:rsid w:val="00534BF2"/>
    <w:rsid w:val="00534FB2"/>
    <w:rsid w:val="005356BD"/>
    <w:rsid w:val="005360E3"/>
    <w:rsid w:val="00536816"/>
    <w:rsid w:val="00536B50"/>
    <w:rsid w:val="00540705"/>
    <w:rsid w:val="00541A08"/>
    <w:rsid w:val="005420EC"/>
    <w:rsid w:val="00542FCF"/>
    <w:rsid w:val="00543137"/>
    <w:rsid w:val="00544471"/>
    <w:rsid w:val="0054499D"/>
    <w:rsid w:val="00545E6B"/>
    <w:rsid w:val="00546AE7"/>
    <w:rsid w:val="005503CC"/>
    <w:rsid w:val="0055103C"/>
    <w:rsid w:val="00552431"/>
    <w:rsid w:val="005525B6"/>
    <w:rsid w:val="00552B25"/>
    <w:rsid w:val="00553CDC"/>
    <w:rsid w:val="00554233"/>
    <w:rsid w:val="00554737"/>
    <w:rsid w:val="005548BB"/>
    <w:rsid w:val="00554968"/>
    <w:rsid w:val="0055515C"/>
    <w:rsid w:val="00555499"/>
    <w:rsid w:val="00555FA8"/>
    <w:rsid w:val="005567AD"/>
    <w:rsid w:val="00556868"/>
    <w:rsid w:val="00556AFD"/>
    <w:rsid w:val="005577E1"/>
    <w:rsid w:val="00557814"/>
    <w:rsid w:val="005600E7"/>
    <w:rsid w:val="005613B0"/>
    <w:rsid w:val="0056331A"/>
    <w:rsid w:val="005637F1"/>
    <w:rsid w:val="005639C5"/>
    <w:rsid w:val="00563A01"/>
    <w:rsid w:val="00564B22"/>
    <w:rsid w:val="00565106"/>
    <w:rsid w:val="00565691"/>
    <w:rsid w:val="005658F7"/>
    <w:rsid w:val="00567133"/>
    <w:rsid w:val="00567D3D"/>
    <w:rsid w:val="00567E7A"/>
    <w:rsid w:val="00570F57"/>
    <w:rsid w:val="00571527"/>
    <w:rsid w:val="00572CD7"/>
    <w:rsid w:val="005730C8"/>
    <w:rsid w:val="00573305"/>
    <w:rsid w:val="005734DC"/>
    <w:rsid w:val="00573BBC"/>
    <w:rsid w:val="00574B28"/>
    <w:rsid w:val="00575825"/>
    <w:rsid w:val="005758F5"/>
    <w:rsid w:val="00576B6B"/>
    <w:rsid w:val="00577772"/>
    <w:rsid w:val="00577B2C"/>
    <w:rsid w:val="0058066A"/>
    <w:rsid w:val="005806D3"/>
    <w:rsid w:val="005814A0"/>
    <w:rsid w:val="00582A48"/>
    <w:rsid w:val="00583598"/>
    <w:rsid w:val="005835AB"/>
    <w:rsid w:val="00584AFB"/>
    <w:rsid w:val="005850F4"/>
    <w:rsid w:val="00585B77"/>
    <w:rsid w:val="005866FB"/>
    <w:rsid w:val="0058745D"/>
    <w:rsid w:val="0058757C"/>
    <w:rsid w:val="0058789A"/>
    <w:rsid w:val="00587F76"/>
    <w:rsid w:val="00590750"/>
    <w:rsid w:val="00590AFD"/>
    <w:rsid w:val="00590CA2"/>
    <w:rsid w:val="00591DFC"/>
    <w:rsid w:val="005921A0"/>
    <w:rsid w:val="00592FB9"/>
    <w:rsid w:val="005934D4"/>
    <w:rsid w:val="00593763"/>
    <w:rsid w:val="00594734"/>
    <w:rsid w:val="00595A95"/>
    <w:rsid w:val="00595D2F"/>
    <w:rsid w:val="00596563"/>
    <w:rsid w:val="0059667E"/>
    <w:rsid w:val="005966FC"/>
    <w:rsid w:val="00597302"/>
    <w:rsid w:val="005A000A"/>
    <w:rsid w:val="005A0938"/>
    <w:rsid w:val="005A1C51"/>
    <w:rsid w:val="005A25A9"/>
    <w:rsid w:val="005A2910"/>
    <w:rsid w:val="005A2A13"/>
    <w:rsid w:val="005A3210"/>
    <w:rsid w:val="005A356C"/>
    <w:rsid w:val="005A4871"/>
    <w:rsid w:val="005A53DC"/>
    <w:rsid w:val="005B00D6"/>
    <w:rsid w:val="005B0990"/>
    <w:rsid w:val="005B0B69"/>
    <w:rsid w:val="005B0E76"/>
    <w:rsid w:val="005B24B3"/>
    <w:rsid w:val="005B2CE8"/>
    <w:rsid w:val="005B3AA1"/>
    <w:rsid w:val="005B3BB1"/>
    <w:rsid w:val="005B428D"/>
    <w:rsid w:val="005B5234"/>
    <w:rsid w:val="005B66D7"/>
    <w:rsid w:val="005B716E"/>
    <w:rsid w:val="005B7ACE"/>
    <w:rsid w:val="005C0E89"/>
    <w:rsid w:val="005C130F"/>
    <w:rsid w:val="005C1774"/>
    <w:rsid w:val="005C1B2E"/>
    <w:rsid w:val="005C2096"/>
    <w:rsid w:val="005C2CA5"/>
    <w:rsid w:val="005C2F4E"/>
    <w:rsid w:val="005C3C24"/>
    <w:rsid w:val="005C4B96"/>
    <w:rsid w:val="005C4D71"/>
    <w:rsid w:val="005C4F2E"/>
    <w:rsid w:val="005C55F9"/>
    <w:rsid w:val="005C6790"/>
    <w:rsid w:val="005C6A90"/>
    <w:rsid w:val="005C79B4"/>
    <w:rsid w:val="005C7C15"/>
    <w:rsid w:val="005D0E8B"/>
    <w:rsid w:val="005D1E99"/>
    <w:rsid w:val="005D1EA2"/>
    <w:rsid w:val="005D26BA"/>
    <w:rsid w:val="005D2787"/>
    <w:rsid w:val="005D50E2"/>
    <w:rsid w:val="005D54A5"/>
    <w:rsid w:val="005D54DE"/>
    <w:rsid w:val="005D5560"/>
    <w:rsid w:val="005D5C25"/>
    <w:rsid w:val="005D63F8"/>
    <w:rsid w:val="005D68AF"/>
    <w:rsid w:val="005D6B4D"/>
    <w:rsid w:val="005D6EDA"/>
    <w:rsid w:val="005E0840"/>
    <w:rsid w:val="005E0A41"/>
    <w:rsid w:val="005E0DE0"/>
    <w:rsid w:val="005E0ED8"/>
    <w:rsid w:val="005E0F8F"/>
    <w:rsid w:val="005E11EA"/>
    <w:rsid w:val="005E3BD5"/>
    <w:rsid w:val="005E3C3B"/>
    <w:rsid w:val="005E428D"/>
    <w:rsid w:val="005E44E3"/>
    <w:rsid w:val="005E4B99"/>
    <w:rsid w:val="005E4D69"/>
    <w:rsid w:val="005E4ECE"/>
    <w:rsid w:val="005E5171"/>
    <w:rsid w:val="005E57C7"/>
    <w:rsid w:val="005E598B"/>
    <w:rsid w:val="005E6A3D"/>
    <w:rsid w:val="005E6B8D"/>
    <w:rsid w:val="005E6CE0"/>
    <w:rsid w:val="005E720B"/>
    <w:rsid w:val="005F0C34"/>
    <w:rsid w:val="005F1369"/>
    <w:rsid w:val="005F1744"/>
    <w:rsid w:val="005F2D53"/>
    <w:rsid w:val="005F335D"/>
    <w:rsid w:val="005F3598"/>
    <w:rsid w:val="005F38E0"/>
    <w:rsid w:val="005F3A18"/>
    <w:rsid w:val="005F41E6"/>
    <w:rsid w:val="005F471C"/>
    <w:rsid w:val="005F54D8"/>
    <w:rsid w:val="005F55E3"/>
    <w:rsid w:val="005F606C"/>
    <w:rsid w:val="005F6841"/>
    <w:rsid w:val="005F7BF5"/>
    <w:rsid w:val="00600225"/>
    <w:rsid w:val="00600CE9"/>
    <w:rsid w:val="0060151C"/>
    <w:rsid w:val="0060323C"/>
    <w:rsid w:val="00603257"/>
    <w:rsid w:val="00603E30"/>
    <w:rsid w:val="00604688"/>
    <w:rsid w:val="00604D74"/>
    <w:rsid w:val="0060536C"/>
    <w:rsid w:val="00605D7C"/>
    <w:rsid w:val="006060BB"/>
    <w:rsid w:val="006071CC"/>
    <w:rsid w:val="006114DE"/>
    <w:rsid w:val="00611519"/>
    <w:rsid w:val="006119A8"/>
    <w:rsid w:val="00612563"/>
    <w:rsid w:val="00612737"/>
    <w:rsid w:val="006131DC"/>
    <w:rsid w:val="006142D6"/>
    <w:rsid w:val="0061431F"/>
    <w:rsid w:val="006147CF"/>
    <w:rsid w:val="0061568E"/>
    <w:rsid w:val="00615748"/>
    <w:rsid w:val="00615AE1"/>
    <w:rsid w:val="00615C79"/>
    <w:rsid w:val="00616769"/>
    <w:rsid w:val="00621417"/>
    <w:rsid w:val="006223A7"/>
    <w:rsid w:val="006223BC"/>
    <w:rsid w:val="0062257B"/>
    <w:rsid w:val="006227E4"/>
    <w:rsid w:val="00622BE7"/>
    <w:rsid w:val="00623606"/>
    <w:rsid w:val="00623CEC"/>
    <w:rsid w:val="00624059"/>
    <w:rsid w:val="00624073"/>
    <w:rsid w:val="00624382"/>
    <w:rsid w:val="00626206"/>
    <w:rsid w:val="006279FC"/>
    <w:rsid w:val="00630179"/>
    <w:rsid w:val="00630E23"/>
    <w:rsid w:val="006312AE"/>
    <w:rsid w:val="006337ED"/>
    <w:rsid w:val="00633A55"/>
    <w:rsid w:val="00633FCA"/>
    <w:rsid w:val="00634424"/>
    <w:rsid w:val="006344D6"/>
    <w:rsid w:val="00635267"/>
    <w:rsid w:val="00635980"/>
    <w:rsid w:val="00636D59"/>
    <w:rsid w:val="00641779"/>
    <w:rsid w:val="00642C92"/>
    <w:rsid w:val="00643AAF"/>
    <w:rsid w:val="00643E4F"/>
    <w:rsid w:val="0064451A"/>
    <w:rsid w:val="0064576C"/>
    <w:rsid w:val="00645930"/>
    <w:rsid w:val="00646E08"/>
    <w:rsid w:val="00646FA7"/>
    <w:rsid w:val="006470DB"/>
    <w:rsid w:val="00650269"/>
    <w:rsid w:val="006502B6"/>
    <w:rsid w:val="0065129A"/>
    <w:rsid w:val="00651669"/>
    <w:rsid w:val="00652556"/>
    <w:rsid w:val="00654D7C"/>
    <w:rsid w:val="006551F8"/>
    <w:rsid w:val="00655249"/>
    <w:rsid w:val="00655424"/>
    <w:rsid w:val="006557B9"/>
    <w:rsid w:val="006567FB"/>
    <w:rsid w:val="006576D3"/>
    <w:rsid w:val="00661F1B"/>
    <w:rsid w:val="0066256F"/>
    <w:rsid w:val="0066268F"/>
    <w:rsid w:val="00662B31"/>
    <w:rsid w:val="00662E35"/>
    <w:rsid w:val="006631FC"/>
    <w:rsid w:val="0066397E"/>
    <w:rsid w:val="00663E24"/>
    <w:rsid w:val="00663F88"/>
    <w:rsid w:val="00664894"/>
    <w:rsid w:val="00665131"/>
    <w:rsid w:val="00665321"/>
    <w:rsid w:val="006656ED"/>
    <w:rsid w:val="00665ECD"/>
    <w:rsid w:val="006661FB"/>
    <w:rsid w:val="006662E3"/>
    <w:rsid w:val="00666F79"/>
    <w:rsid w:val="00667680"/>
    <w:rsid w:val="00670292"/>
    <w:rsid w:val="006702C4"/>
    <w:rsid w:val="00670974"/>
    <w:rsid w:val="00670E39"/>
    <w:rsid w:val="006713E5"/>
    <w:rsid w:val="006718F7"/>
    <w:rsid w:val="00671981"/>
    <w:rsid w:val="00673ACE"/>
    <w:rsid w:val="00673B79"/>
    <w:rsid w:val="006750AC"/>
    <w:rsid w:val="00675688"/>
    <w:rsid w:val="0067655D"/>
    <w:rsid w:val="0067664C"/>
    <w:rsid w:val="00676D0E"/>
    <w:rsid w:val="00677216"/>
    <w:rsid w:val="006772DE"/>
    <w:rsid w:val="0067740D"/>
    <w:rsid w:val="006775D1"/>
    <w:rsid w:val="00677912"/>
    <w:rsid w:val="006779D9"/>
    <w:rsid w:val="00680C0D"/>
    <w:rsid w:val="00680C4A"/>
    <w:rsid w:val="00682097"/>
    <w:rsid w:val="00682655"/>
    <w:rsid w:val="006842E5"/>
    <w:rsid w:val="00684420"/>
    <w:rsid w:val="006847AB"/>
    <w:rsid w:val="00685723"/>
    <w:rsid w:val="00685DFA"/>
    <w:rsid w:val="006867DB"/>
    <w:rsid w:val="00686DE2"/>
    <w:rsid w:val="0069022C"/>
    <w:rsid w:val="00690C0C"/>
    <w:rsid w:val="00693B35"/>
    <w:rsid w:val="00693BAC"/>
    <w:rsid w:val="00694A82"/>
    <w:rsid w:val="00694B76"/>
    <w:rsid w:val="00695207"/>
    <w:rsid w:val="006955BC"/>
    <w:rsid w:val="00696049"/>
    <w:rsid w:val="006960AC"/>
    <w:rsid w:val="006962A6"/>
    <w:rsid w:val="00696E7D"/>
    <w:rsid w:val="006976DD"/>
    <w:rsid w:val="0069773D"/>
    <w:rsid w:val="006A1408"/>
    <w:rsid w:val="006A173F"/>
    <w:rsid w:val="006A1969"/>
    <w:rsid w:val="006A19DC"/>
    <w:rsid w:val="006A19F4"/>
    <w:rsid w:val="006A221F"/>
    <w:rsid w:val="006A2337"/>
    <w:rsid w:val="006A2811"/>
    <w:rsid w:val="006A3058"/>
    <w:rsid w:val="006A4047"/>
    <w:rsid w:val="006A4229"/>
    <w:rsid w:val="006A4FAE"/>
    <w:rsid w:val="006A521F"/>
    <w:rsid w:val="006A5313"/>
    <w:rsid w:val="006A5550"/>
    <w:rsid w:val="006A564A"/>
    <w:rsid w:val="006A58D0"/>
    <w:rsid w:val="006A637A"/>
    <w:rsid w:val="006B0832"/>
    <w:rsid w:val="006B085B"/>
    <w:rsid w:val="006B10C5"/>
    <w:rsid w:val="006B1122"/>
    <w:rsid w:val="006B1E63"/>
    <w:rsid w:val="006B2F15"/>
    <w:rsid w:val="006B38B6"/>
    <w:rsid w:val="006B62E0"/>
    <w:rsid w:val="006B6455"/>
    <w:rsid w:val="006B75CD"/>
    <w:rsid w:val="006B773F"/>
    <w:rsid w:val="006B7AA8"/>
    <w:rsid w:val="006C04D2"/>
    <w:rsid w:val="006C0593"/>
    <w:rsid w:val="006C09E8"/>
    <w:rsid w:val="006C0F85"/>
    <w:rsid w:val="006C1645"/>
    <w:rsid w:val="006C1FA6"/>
    <w:rsid w:val="006C34C1"/>
    <w:rsid w:val="006C488B"/>
    <w:rsid w:val="006C4E38"/>
    <w:rsid w:val="006C6B85"/>
    <w:rsid w:val="006C7126"/>
    <w:rsid w:val="006C7274"/>
    <w:rsid w:val="006C7AD4"/>
    <w:rsid w:val="006C7E8B"/>
    <w:rsid w:val="006D2283"/>
    <w:rsid w:val="006D2696"/>
    <w:rsid w:val="006D3009"/>
    <w:rsid w:val="006D3179"/>
    <w:rsid w:val="006D3E44"/>
    <w:rsid w:val="006D4ADF"/>
    <w:rsid w:val="006D4E34"/>
    <w:rsid w:val="006D53D4"/>
    <w:rsid w:val="006D7D3A"/>
    <w:rsid w:val="006D7DEB"/>
    <w:rsid w:val="006D7F76"/>
    <w:rsid w:val="006E05C9"/>
    <w:rsid w:val="006E0795"/>
    <w:rsid w:val="006E0849"/>
    <w:rsid w:val="006E1873"/>
    <w:rsid w:val="006E2813"/>
    <w:rsid w:val="006E2C2B"/>
    <w:rsid w:val="006E3AA5"/>
    <w:rsid w:val="006E6446"/>
    <w:rsid w:val="006E742A"/>
    <w:rsid w:val="006E778F"/>
    <w:rsid w:val="006E7904"/>
    <w:rsid w:val="006F0DC9"/>
    <w:rsid w:val="006F0FF1"/>
    <w:rsid w:val="006F112D"/>
    <w:rsid w:val="006F21C6"/>
    <w:rsid w:val="006F25CE"/>
    <w:rsid w:val="006F265F"/>
    <w:rsid w:val="006F2FDA"/>
    <w:rsid w:val="006F319C"/>
    <w:rsid w:val="006F4F38"/>
    <w:rsid w:val="006F6452"/>
    <w:rsid w:val="006F6E74"/>
    <w:rsid w:val="00701F1A"/>
    <w:rsid w:val="00703536"/>
    <w:rsid w:val="00703BD4"/>
    <w:rsid w:val="00703F3B"/>
    <w:rsid w:val="00704923"/>
    <w:rsid w:val="00704A85"/>
    <w:rsid w:val="00704AA7"/>
    <w:rsid w:val="00704D01"/>
    <w:rsid w:val="0070576E"/>
    <w:rsid w:val="007074BE"/>
    <w:rsid w:val="00707ECE"/>
    <w:rsid w:val="007100CC"/>
    <w:rsid w:val="00710178"/>
    <w:rsid w:val="00710761"/>
    <w:rsid w:val="00710E26"/>
    <w:rsid w:val="00710F0C"/>
    <w:rsid w:val="00711587"/>
    <w:rsid w:val="00711CAB"/>
    <w:rsid w:val="0071367B"/>
    <w:rsid w:val="007139F9"/>
    <w:rsid w:val="00714153"/>
    <w:rsid w:val="00714718"/>
    <w:rsid w:val="007148CF"/>
    <w:rsid w:val="007153E1"/>
    <w:rsid w:val="007164C8"/>
    <w:rsid w:val="00717490"/>
    <w:rsid w:val="00717539"/>
    <w:rsid w:val="0071755E"/>
    <w:rsid w:val="00717B5A"/>
    <w:rsid w:val="00721720"/>
    <w:rsid w:val="007217B0"/>
    <w:rsid w:val="00721D64"/>
    <w:rsid w:val="00721DA8"/>
    <w:rsid w:val="00722968"/>
    <w:rsid w:val="00723083"/>
    <w:rsid w:val="00723F46"/>
    <w:rsid w:val="007252B2"/>
    <w:rsid w:val="00725443"/>
    <w:rsid w:val="00725C73"/>
    <w:rsid w:val="007265BD"/>
    <w:rsid w:val="007267BE"/>
    <w:rsid w:val="00726961"/>
    <w:rsid w:val="00727A89"/>
    <w:rsid w:val="00730D80"/>
    <w:rsid w:val="00731119"/>
    <w:rsid w:val="00731895"/>
    <w:rsid w:val="00731B21"/>
    <w:rsid w:val="00732205"/>
    <w:rsid w:val="00732726"/>
    <w:rsid w:val="0073318F"/>
    <w:rsid w:val="00734CE8"/>
    <w:rsid w:val="00735DB5"/>
    <w:rsid w:val="00737A83"/>
    <w:rsid w:val="00737F72"/>
    <w:rsid w:val="0074009F"/>
    <w:rsid w:val="007400C3"/>
    <w:rsid w:val="00740A7A"/>
    <w:rsid w:val="00740D24"/>
    <w:rsid w:val="00741A77"/>
    <w:rsid w:val="0074244D"/>
    <w:rsid w:val="0074327B"/>
    <w:rsid w:val="0074366E"/>
    <w:rsid w:val="00745401"/>
    <w:rsid w:val="00745E83"/>
    <w:rsid w:val="00750229"/>
    <w:rsid w:val="0075063B"/>
    <w:rsid w:val="007509D9"/>
    <w:rsid w:val="00750C71"/>
    <w:rsid w:val="00751FAA"/>
    <w:rsid w:val="00752CDC"/>
    <w:rsid w:val="007530F9"/>
    <w:rsid w:val="00755C8A"/>
    <w:rsid w:val="007573F3"/>
    <w:rsid w:val="00757CBC"/>
    <w:rsid w:val="00760D34"/>
    <w:rsid w:val="00760EB8"/>
    <w:rsid w:val="00761C16"/>
    <w:rsid w:val="00763B8C"/>
    <w:rsid w:val="00763BE2"/>
    <w:rsid w:val="00764A87"/>
    <w:rsid w:val="00764BB3"/>
    <w:rsid w:val="00765606"/>
    <w:rsid w:val="00765632"/>
    <w:rsid w:val="007668BA"/>
    <w:rsid w:val="00767B13"/>
    <w:rsid w:val="007705A8"/>
    <w:rsid w:val="0077105E"/>
    <w:rsid w:val="00771D2C"/>
    <w:rsid w:val="00771D96"/>
    <w:rsid w:val="00771FB9"/>
    <w:rsid w:val="0077223C"/>
    <w:rsid w:val="00772352"/>
    <w:rsid w:val="00772412"/>
    <w:rsid w:val="0077358E"/>
    <w:rsid w:val="00773D1A"/>
    <w:rsid w:val="00776012"/>
    <w:rsid w:val="0077638F"/>
    <w:rsid w:val="00776A97"/>
    <w:rsid w:val="00777416"/>
    <w:rsid w:val="00777A19"/>
    <w:rsid w:val="00780F44"/>
    <w:rsid w:val="00782A83"/>
    <w:rsid w:val="00783386"/>
    <w:rsid w:val="00783D15"/>
    <w:rsid w:val="00784150"/>
    <w:rsid w:val="00784593"/>
    <w:rsid w:val="007849ED"/>
    <w:rsid w:val="007854D4"/>
    <w:rsid w:val="00785A40"/>
    <w:rsid w:val="00786D81"/>
    <w:rsid w:val="00787137"/>
    <w:rsid w:val="00787CDB"/>
    <w:rsid w:val="00787D2E"/>
    <w:rsid w:val="00790199"/>
    <w:rsid w:val="007901A8"/>
    <w:rsid w:val="0079112B"/>
    <w:rsid w:val="007911C5"/>
    <w:rsid w:val="00791B4D"/>
    <w:rsid w:val="00791F1C"/>
    <w:rsid w:val="00793901"/>
    <w:rsid w:val="007955A6"/>
    <w:rsid w:val="007963A6"/>
    <w:rsid w:val="007966EC"/>
    <w:rsid w:val="00796AFD"/>
    <w:rsid w:val="00796B63"/>
    <w:rsid w:val="007970A5"/>
    <w:rsid w:val="007976A2"/>
    <w:rsid w:val="007977B1"/>
    <w:rsid w:val="00797BC5"/>
    <w:rsid w:val="007A0A22"/>
    <w:rsid w:val="007A1391"/>
    <w:rsid w:val="007A23F4"/>
    <w:rsid w:val="007A39BE"/>
    <w:rsid w:val="007A4267"/>
    <w:rsid w:val="007A45F8"/>
    <w:rsid w:val="007A4AC7"/>
    <w:rsid w:val="007A4CDA"/>
    <w:rsid w:val="007A5423"/>
    <w:rsid w:val="007A660F"/>
    <w:rsid w:val="007A79BF"/>
    <w:rsid w:val="007A79DE"/>
    <w:rsid w:val="007B0B8C"/>
    <w:rsid w:val="007B1136"/>
    <w:rsid w:val="007B1362"/>
    <w:rsid w:val="007B26DF"/>
    <w:rsid w:val="007B2CEF"/>
    <w:rsid w:val="007B3C4F"/>
    <w:rsid w:val="007B5B2C"/>
    <w:rsid w:val="007B7A9B"/>
    <w:rsid w:val="007C10E2"/>
    <w:rsid w:val="007C1196"/>
    <w:rsid w:val="007C12DD"/>
    <w:rsid w:val="007C3D9B"/>
    <w:rsid w:val="007C4047"/>
    <w:rsid w:val="007C5828"/>
    <w:rsid w:val="007C5BFD"/>
    <w:rsid w:val="007C6EEF"/>
    <w:rsid w:val="007D09F3"/>
    <w:rsid w:val="007D1477"/>
    <w:rsid w:val="007D237C"/>
    <w:rsid w:val="007D278D"/>
    <w:rsid w:val="007D36D2"/>
    <w:rsid w:val="007D4F31"/>
    <w:rsid w:val="007D652E"/>
    <w:rsid w:val="007D6638"/>
    <w:rsid w:val="007D7457"/>
    <w:rsid w:val="007D794C"/>
    <w:rsid w:val="007E0611"/>
    <w:rsid w:val="007E06F9"/>
    <w:rsid w:val="007E0CDB"/>
    <w:rsid w:val="007E0DA0"/>
    <w:rsid w:val="007E1D64"/>
    <w:rsid w:val="007E303B"/>
    <w:rsid w:val="007E3304"/>
    <w:rsid w:val="007E40F7"/>
    <w:rsid w:val="007E41BA"/>
    <w:rsid w:val="007E4836"/>
    <w:rsid w:val="007E4C67"/>
    <w:rsid w:val="007E596E"/>
    <w:rsid w:val="007E6BAF"/>
    <w:rsid w:val="007F04B8"/>
    <w:rsid w:val="007F0635"/>
    <w:rsid w:val="007F0964"/>
    <w:rsid w:val="007F1B8D"/>
    <w:rsid w:val="007F21E6"/>
    <w:rsid w:val="007F2207"/>
    <w:rsid w:val="007F2DD6"/>
    <w:rsid w:val="007F37CD"/>
    <w:rsid w:val="007F424E"/>
    <w:rsid w:val="007F5D96"/>
    <w:rsid w:val="007F6AC4"/>
    <w:rsid w:val="007F6B9B"/>
    <w:rsid w:val="007F7703"/>
    <w:rsid w:val="007F7964"/>
    <w:rsid w:val="00800747"/>
    <w:rsid w:val="00800757"/>
    <w:rsid w:val="00801136"/>
    <w:rsid w:val="0080168A"/>
    <w:rsid w:val="00801891"/>
    <w:rsid w:val="008024E6"/>
    <w:rsid w:val="0080303E"/>
    <w:rsid w:val="0080306A"/>
    <w:rsid w:val="008031A9"/>
    <w:rsid w:val="00803231"/>
    <w:rsid w:val="008053E6"/>
    <w:rsid w:val="00805C6E"/>
    <w:rsid w:val="008061DB"/>
    <w:rsid w:val="008066B8"/>
    <w:rsid w:val="00806D33"/>
    <w:rsid w:val="00806EF5"/>
    <w:rsid w:val="00810180"/>
    <w:rsid w:val="00811056"/>
    <w:rsid w:val="0081218D"/>
    <w:rsid w:val="00812296"/>
    <w:rsid w:val="00812C2B"/>
    <w:rsid w:val="00812DA8"/>
    <w:rsid w:val="00814AF1"/>
    <w:rsid w:val="00815595"/>
    <w:rsid w:val="0081581F"/>
    <w:rsid w:val="00817233"/>
    <w:rsid w:val="008178A7"/>
    <w:rsid w:val="008215D7"/>
    <w:rsid w:val="00822CE2"/>
    <w:rsid w:val="00825141"/>
    <w:rsid w:val="00825E55"/>
    <w:rsid w:val="00826B18"/>
    <w:rsid w:val="008274F5"/>
    <w:rsid w:val="0082758C"/>
    <w:rsid w:val="00827847"/>
    <w:rsid w:val="00827D2D"/>
    <w:rsid w:val="008301BC"/>
    <w:rsid w:val="00830231"/>
    <w:rsid w:val="00830AB2"/>
    <w:rsid w:val="008310B8"/>
    <w:rsid w:val="008313C4"/>
    <w:rsid w:val="00831F5D"/>
    <w:rsid w:val="00831FB2"/>
    <w:rsid w:val="00832114"/>
    <w:rsid w:val="0083323F"/>
    <w:rsid w:val="00834232"/>
    <w:rsid w:val="008346BA"/>
    <w:rsid w:val="00835431"/>
    <w:rsid w:val="008361C8"/>
    <w:rsid w:val="0083628E"/>
    <w:rsid w:val="00837CBF"/>
    <w:rsid w:val="0084169E"/>
    <w:rsid w:val="008428F2"/>
    <w:rsid w:val="008450A5"/>
    <w:rsid w:val="008457B8"/>
    <w:rsid w:val="008457C5"/>
    <w:rsid w:val="0084646D"/>
    <w:rsid w:val="00847FC1"/>
    <w:rsid w:val="008503BC"/>
    <w:rsid w:val="0085082C"/>
    <w:rsid w:val="0085103C"/>
    <w:rsid w:val="00851678"/>
    <w:rsid w:val="0085281E"/>
    <w:rsid w:val="00852C98"/>
    <w:rsid w:val="00853231"/>
    <w:rsid w:val="00853D26"/>
    <w:rsid w:val="00855357"/>
    <w:rsid w:val="008553B6"/>
    <w:rsid w:val="00855472"/>
    <w:rsid w:val="008554BF"/>
    <w:rsid w:val="008577FD"/>
    <w:rsid w:val="00857ACA"/>
    <w:rsid w:val="00857B32"/>
    <w:rsid w:val="0086061A"/>
    <w:rsid w:val="0086103C"/>
    <w:rsid w:val="0086129B"/>
    <w:rsid w:val="008613F7"/>
    <w:rsid w:val="00861C69"/>
    <w:rsid w:val="0086440F"/>
    <w:rsid w:val="00864A1C"/>
    <w:rsid w:val="00864C79"/>
    <w:rsid w:val="00864EB1"/>
    <w:rsid w:val="00864F89"/>
    <w:rsid w:val="008673C3"/>
    <w:rsid w:val="0087013C"/>
    <w:rsid w:val="0087043F"/>
    <w:rsid w:val="008724E1"/>
    <w:rsid w:val="00872B77"/>
    <w:rsid w:val="00872DDB"/>
    <w:rsid w:val="0087300A"/>
    <w:rsid w:val="0087319F"/>
    <w:rsid w:val="0087406C"/>
    <w:rsid w:val="00874250"/>
    <w:rsid w:val="008744D2"/>
    <w:rsid w:val="00874A7F"/>
    <w:rsid w:val="008756BB"/>
    <w:rsid w:val="00875DBE"/>
    <w:rsid w:val="00875EA9"/>
    <w:rsid w:val="00876285"/>
    <w:rsid w:val="00876E1E"/>
    <w:rsid w:val="008777BB"/>
    <w:rsid w:val="00877A8F"/>
    <w:rsid w:val="00880672"/>
    <w:rsid w:val="00880912"/>
    <w:rsid w:val="008823AE"/>
    <w:rsid w:val="00883574"/>
    <w:rsid w:val="00883629"/>
    <w:rsid w:val="00883DDE"/>
    <w:rsid w:val="00884281"/>
    <w:rsid w:val="008853C4"/>
    <w:rsid w:val="008867AE"/>
    <w:rsid w:val="00886B7D"/>
    <w:rsid w:val="00886E6F"/>
    <w:rsid w:val="008876DE"/>
    <w:rsid w:val="008925B4"/>
    <w:rsid w:val="00892B1E"/>
    <w:rsid w:val="008945B1"/>
    <w:rsid w:val="00894E59"/>
    <w:rsid w:val="00895DF6"/>
    <w:rsid w:val="00896D3B"/>
    <w:rsid w:val="00896D55"/>
    <w:rsid w:val="00896ED0"/>
    <w:rsid w:val="00897652"/>
    <w:rsid w:val="00897784"/>
    <w:rsid w:val="008A096E"/>
    <w:rsid w:val="008A1506"/>
    <w:rsid w:val="008A1848"/>
    <w:rsid w:val="008A21C8"/>
    <w:rsid w:val="008A2BC5"/>
    <w:rsid w:val="008A3486"/>
    <w:rsid w:val="008A3697"/>
    <w:rsid w:val="008A3CF5"/>
    <w:rsid w:val="008A511D"/>
    <w:rsid w:val="008A617C"/>
    <w:rsid w:val="008A63B7"/>
    <w:rsid w:val="008A6450"/>
    <w:rsid w:val="008A71C2"/>
    <w:rsid w:val="008B10B8"/>
    <w:rsid w:val="008B114D"/>
    <w:rsid w:val="008B12EE"/>
    <w:rsid w:val="008B1FB3"/>
    <w:rsid w:val="008B428E"/>
    <w:rsid w:val="008B447B"/>
    <w:rsid w:val="008B4C32"/>
    <w:rsid w:val="008B50D0"/>
    <w:rsid w:val="008B5E75"/>
    <w:rsid w:val="008B695C"/>
    <w:rsid w:val="008B6D34"/>
    <w:rsid w:val="008C0F60"/>
    <w:rsid w:val="008C1470"/>
    <w:rsid w:val="008C16AB"/>
    <w:rsid w:val="008C333C"/>
    <w:rsid w:val="008C39D6"/>
    <w:rsid w:val="008C3D33"/>
    <w:rsid w:val="008C534C"/>
    <w:rsid w:val="008C5E26"/>
    <w:rsid w:val="008C6BDA"/>
    <w:rsid w:val="008C7500"/>
    <w:rsid w:val="008C7933"/>
    <w:rsid w:val="008C7A33"/>
    <w:rsid w:val="008D073F"/>
    <w:rsid w:val="008D0D59"/>
    <w:rsid w:val="008D0F1E"/>
    <w:rsid w:val="008D0F3A"/>
    <w:rsid w:val="008D18D5"/>
    <w:rsid w:val="008D18F2"/>
    <w:rsid w:val="008D2898"/>
    <w:rsid w:val="008D319B"/>
    <w:rsid w:val="008D38AA"/>
    <w:rsid w:val="008D40F5"/>
    <w:rsid w:val="008D4369"/>
    <w:rsid w:val="008D49DD"/>
    <w:rsid w:val="008D5291"/>
    <w:rsid w:val="008D6952"/>
    <w:rsid w:val="008E02EF"/>
    <w:rsid w:val="008E0C98"/>
    <w:rsid w:val="008E11DB"/>
    <w:rsid w:val="008E1721"/>
    <w:rsid w:val="008E1B90"/>
    <w:rsid w:val="008E2021"/>
    <w:rsid w:val="008E26EF"/>
    <w:rsid w:val="008E2DE3"/>
    <w:rsid w:val="008E455B"/>
    <w:rsid w:val="008E4BBD"/>
    <w:rsid w:val="008E558D"/>
    <w:rsid w:val="008E5677"/>
    <w:rsid w:val="008E6091"/>
    <w:rsid w:val="008E6DAF"/>
    <w:rsid w:val="008E7401"/>
    <w:rsid w:val="008E7A22"/>
    <w:rsid w:val="008E7A55"/>
    <w:rsid w:val="008E7C1B"/>
    <w:rsid w:val="008F0F09"/>
    <w:rsid w:val="008F1A67"/>
    <w:rsid w:val="008F1A6E"/>
    <w:rsid w:val="008F1DD0"/>
    <w:rsid w:val="008F1F3E"/>
    <w:rsid w:val="008F253D"/>
    <w:rsid w:val="008F36FC"/>
    <w:rsid w:val="008F3962"/>
    <w:rsid w:val="008F41C5"/>
    <w:rsid w:val="008F43A6"/>
    <w:rsid w:val="008F43C9"/>
    <w:rsid w:val="008F4C16"/>
    <w:rsid w:val="008F4DD3"/>
    <w:rsid w:val="008F5F63"/>
    <w:rsid w:val="008F693A"/>
    <w:rsid w:val="008F6B7C"/>
    <w:rsid w:val="008F6F44"/>
    <w:rsid w:val="008F753B"/>
    <w:rsid w:val="00900B08"/>
    <w:rsid w:val="00900DFE"/>
    <w:rsid w:val="009017A7"/>
    <w:rsid w:val="00901896"/>
    <w:rsid w:val="009025FE"/>
    <w:rsid w:val="0090296D"/>
    <w:rsid w:val="00902D94"/>
    <w:rsid w:val="00902E95"/>
    <w:rsid w:val="009031D6"/>
    <w:rsid w:val="009039D2"/>
    <w:rsid w:val="00903ACF"/>
    <w:rsid w:val="00903D1D"/>
    <w:rsid w:val="00903D31"/>
    <w:rsid w:val="00905163"/>
    <w:rsid w:val="0090540B"/>
    <w:rsid w:val="00905BF9"/>
    <w:rsid w:val="0090646A"/>
    <w:rsid w:val="00906AEC"/>
    <w:rsid w:val="00907990"/>
    <w:rsid w:val="00910772"/>
    <w:rsid w:val="00911416"/>
    <w:rsid w:val="00911A81"/>
    <w:rsid w:val="00911CB1"/>
    <w:rsid w:val="0091363E"/>
    <w:rsid w:val="009138E8"/>
    <w:rsid w:val="00914237"/>
    <w:rsid w:val="0091529D"/>
    <w:rsid w:val="00915764"/>
    <w:rsid w:val="00915F91"/>
    <w:rsid w:val="009168BC"/>
    <w:rsid w:val="00917BFA"/>
    <w:rsid w:val="00920052"/>
    <w:rsid w:val="0092038F"/>
    <w:rsid w:val="00920C78"/>
    <w:rsid w:val="00922DA5"/>
    <w:rsid w:val="00923942"/>
    <w:rsid w:val="009239BA"/>
    <w:rsid w:val="00924CCD"/>
    <w:rsid w:val="00924DE4"/>
    <w:rsid w:val="00926EFF"/>
    <w:rsid w:val="009271D0"/>
    <w:rsid w:val="00930379"/>
    <w:rsid w:val="00931185"/>
    <w:rsid w:val="009311A6"/>
    <w:rsid w:val="00931B2A"/>
    <w:rsid w:val="00931CE8"/>
    <w:rsid w:val="009323E1"/>
    <w:rsid w:val="00932CE4"/>
    <w:rsid w:val="009333D9"/>
    <w:rsid w:val="009341CF"/>
    <w:rsid w:val="00934B90"/>
    <w:rsid w:val="00935E38"/>
    <w:rsid w:val="00936461"/>
    <w:rsid w:val="009366D4"/>
    <w:rsid w:val="0093700D"/>
    <w:rsid w:val="00937888"/>
    <w:rsid w:val="00937A14"/>
    <w:rsid w:val="00937ED5"/>
    <w:rsid w:val="00937F01"/>
    <w:rsid w:val="0094102C"/>
    <w:rsid w:val="009425FF"/>
    <w:rsid w:val="009436C4"/>
    <w:rsid w:val="00943966"/>
    <w:rsid w:val="00943C6D"/>
    <w:rsid w:val="009448C0"/>
    <w:rsid w:val="00944CA8"/>
    <w:rsid w:val="00945F59"/>
    <w:rsid w:val="009461E5"/>
    <w:rsid w:val="0094639E"/>
    <w:rsid w:val="0094693E"/>
    <w:rsid w:val="009469FE"/>
    <w:rsid w:val="00946F29"/>
    <w:rsid w:val="00947291"/>
    <w:rsid w:val="00947736"/>
    <w:rsid w:val="00950658"/>
    <w:rsid w:val="00950AE4"/>
    <w:rsid w:val="0095106E"/>
    <w:rsid w:val="00951C68"/>
    <w:rsid w:val="009532EC"/>
    <w:rsid w:val="00953E74"/>
    <w:rsid w:val="009543A2"/>
    <w:rsid w:val="0095489E"/>
    <w:rsid w:val="0095561B"/>
    <w:rsid w:val="00955AFB"/>
    <w:rsid w:val="00957281"/>
    <w:rsid w:val="0095773A"/>
    <w:rsid w:val="00961D2F"/>
    <w:rsid w:val="00962167"/>
    <w:rsid w:val="00962668"/>
    <w:rsid w:val="009630F8"/>
    <w:rsid w:val="009635DE"/>
    <w:rsid w:val="00964256"/>
    <w:rsid w:val="00964B1D"/>
    <w:rsid w:val="00966407"/>
    <w:rsid w:val="00966D7C"/>
    <w:rsid w:val="00967449"/>
    <w:rsid w:val="009725CC"/>
    <w:rsid w:val="0097405D"/>
    <w:rsid w:val="0097491F"/>
    <w:rsid w:val="00974C8F"/>
    <w:rsid w:val="0097579C"/>
    <w:rsid w:val="00976CFD"/>
    <w:rsid w:val="0097738D"/>
    <w:rsid w:val="00980388"/>
    <w:rsid w:val="0098095A"/>
    <w:rsid w:val="00982219"/>
    <w:rsid w:val="00982754"/>
    <w:rsid w:val="00982D5C"/>
    <w:rsid w:val="00982E2F"/>
    <w:rsid w:val="00984F28"/>
    <w:rsid w:val="009851D9"/>
    <w:rsid w:val="0098528E"/>
    <w:rsid w:val="00986A63"/>
    <w:rsid w:val="00987639"/>
    <w:rsid w:val="00990294"/>
    <w:rsid w:val="00992656"/>
    <w:rsid w:val="00993283"/>
    <w:rsid w:val="009938FB"/>
    <w:rsid w:val="00994E41"/>
    <w:rsid w:val="00995186"/>
    <w:rsid w:val="0099545A"/>
    <w:rsid w:val="00995A54"/>
    <w:rsid w:val="00995CB0"/>
    <w:rsid w:val="00995FCC"/>
    <w:rsid w:val="00997BB4"/>
    <w:rsid w:val="00997F04"/>
    <w:rsid w:val="009A0737"/>
    <w:rsid w:val="009A076A"/>
    <w:rsid w:val="009A19E7"/>
    <w:rsid w:val="009A25EA"/>
    <w:rsid w:val="009A2A59"/>
    <w:rsid w:val="009A51F3"/>
    <w:rsid w:val="009A52A3"/>
    <w:rsid w:val="009A5974"/>
    <w:rsid w:val="009A626C"/>
    <w:rsid w:val="009A65C3"/>
    <w:rsid w:val="009A7879"/>
    <w:rsid w:val="009B0668"/>
    <w:rsid w:val="009B0DB1"/>
    <w:rsid w:val="009B12DD"/>
    <w:rsid w:val="009B1331"/>
    <w:rsid w:val="009B2B42"/>
    <w:rsid w:val="009B4100"/>
    <w:rsid w:val="009B46C1"/>
    <w:rsid w:val="009B4744"/>
    <w:rsid w:val="009B48DD"/>
    <w:rsid w:val="009B5109"/>
    <w:rsid w:val="009B67E3"/>
    <w:rsid w:val="009B6D0F"/>
    <w:rsid w:val="009B7553"/>
    <w:rsid w:val="009B78BC"/>
    <w:rsid w:val="009B7D7B"/>
    <w:rsid w:val="009C1631"/>
    <w:rsid w:val="009C2115"/>
    <w:rsid w:val="009C26C5"/>
    <w:rsid w:val="009C3376"/>
    <w:rsid w:val="009C38A5"/>
    <w:rsid w:val="009C38EB"/>
    <w:rsid w:val="009C45C1"/>
    <w:rsid w:val="009C51C7"/>
    <w:rsid w:val="009C52E2"/>
    <w:rsid w:val="009C5B0C"/>
    <w:rsid w:val="009C5D4B"/>
    <w:rsid w:val="009C6699"/>
    <w:rsid w:val="009C674D"/>
    <w:rsid w:val="009C6AAA"/>
    <w:rsid w:val="009C6FC1"/>
    <w:rsid w:val="009C73C5"/>
    <w:rsid w:val="009C7750"/>
    <w:rsid w:val="009C7B2F"/>
    <w:rsid w:val="009D1640"/>
    <w:rsid w:val="009D1A6F"/>
    <w:rsid w:val="009D29F0"/>
    <w:rsid w:val="009D4231"/>
    <w:rsid w:val="009D5D09"/>
    <w:rsid w:val="009D7A7C"/>
    <w:rsid w:val="009D7C7D"/>
    <w:rsid w:val="009E10A8"/>
    <w:rsid w:val="009E1378"/>
    <w:rsid w:val="009E143A"/>
    <w:rsid w:val="009E207B"/>
    <w:rsid w:val="009E2565"/>
    <w:rsid w:val="009E4AFA"/>
    <w:rsid w:val="009E4FF8"/>
    <w:rsid w:val="009E6861"/>
    <w:rsid w:val="009E7CED"/>
    <w:rsid w:val="009F197E"/>
    <w:rsid w:val="009F2870"/>
    <w:rsid w:val="009F3AC1"/>
    <w:rsid w:val="009F3D9C"/>
    <w:rsid w:val="009F423E"/>
    <w:rsid w:val="009F4EE4"/>
    <w:rsid w:val="009F6691"/>
    <w:rsid w:val="009F6BB5"/>
    <w:rsid w:val="009F71AF"/>
    <w:rsid w:val="009F7B5D"/>
    <w:rsid w:val="009F7CD2"/>
    <w:rsid w:val="009F7E28"/>
    <w:rsid w:val="00A004B9"/>
    <w:rsid w:val="00A020A2"/>
    <w:rsid w:val="00A02A55"/>
    <w:rsid w:val="00A02AB2"/>
    <w:rsid w:val="00A02BA0"/>
    <w:rsid w:val="00A02DB9"/>
    <w:rsid w:val="00A032BB"/>
    <w:rsid w:val="00A03423"/>
    <w:rsid w:val="00A04D7B"/>
    <w:rsid w:val="00A04FBB"/>
    <w:rsid w:val="00A0515B"/>
    <w:rsid w:val="00A05969"/>
    <w:rsid w:val="00A060E9"/>
    <w:rsid w:val="00A103E7"/>
    <w:rsid w:val="00A1090E"/>
    <w:rsid w:val="00A12E7C"/>
    <w:rsid w:val="00A13582"/>
    <w:rsid w:val="00A13B8A"/>
    <w:rsid w:val="00A142C5"/>
    <w:rsid w:val="00A15798"/>
    <w:rsid w:val="00A15F13"/>
    <w:rsid w:val="00A17CA8"/>
    <w:rsid w:val="00A20702"/>
    <w:rsid w:val="00A21765"/>
    <w:rsid w:val="00A22BA1"/>
    <w:rsid w:val="00A237F6"/>
    <w:rsid w:val="00A243FC"/>
    <w:rsid w:val="00A25CE0"/>
    <w:rsid w:val="00A25E52"/>
    <w:rsid w:val="00A2619E"/>
    <w:rsid w:val="00A26A53"/>
    <w:rsid w:val="00A272A2"/>
    <w:rsid w:val="00A27F81"/>
    <w:rsid w:val="00A304C1"/>
    <w:rsid w:val="00A30B29"/>
    <w:rsid w:val="00A32840"/>
    <w:rsid w:val="00A328BC"/>
    <w:rsid w:val="00A33A08"/>
    <w:rsid w:val="00A34FC6"/>
    <w:rsid w:val="00A3507D"/>
    <w:rsid w:val="00A35AB1"/>
    <w:rsid w:val="00A360EF"/>
    <w:rsid w:val="00A3633F"/>
    <w:rsid w:val="00A36378"/>
    <w:rsid w:val="00A3647A"/>
    <w:rsid w:val="00A36A17"/>
    <w:rsid w:val="00A36C6F"/>
    <w:rsid w:val="00A3726A"/>
    <w:rsid w:val="00A37BB3"/>
    <w:rsid w:val="00A40BC1"/>
    <w:rsid w:val="00A41066"/>
    <w:rsid w:val="00A41E14"/>
    <w:rsid w:val="00A421A9"/>
    <w:rsid w:val="00A42A55"/>
    <w:rsid w:val="00A434A5"/>
    <w:rsid w:val="00A439B4"/>
    <w:rsid w:val="00A442C0"/>
    <w:rsid w:val="00A44331"/>
    <w:rsid w:val="00A44DB7"/>
    <w:rsid w:val="00A45C7A"/>
    <w:rsid w:val="00A46A78"/>
    <w:rsid w:val="00A50C04"/>
    <w:rsid w:val="00A50DFC"/>
    <w:rsid w:val="00A512D7"/>
    <w:rsid w:val="00A523F3"/>
    <w:rsid w:val="00A52462"/>
    <w:rsid w:val="00A524B3"/>
    <w:rsid w:val="00A5251E"/>
    <w:rsid w:val="00A52723"/>
    <w:rsid w:val="00A5485F"/>
    <w:rsid w:val="00A55265"/>
    <w:rsid w:val="00A5527A"/>
    <w:rsid w:val="00A553D7"/>
    <w:rsid w:val="00A55B0F"/>
    <w:rsid w:val="00A55D09"/>
    <w:rsid w:val="00A60BDB"/>
    <w:rsid w:val="00A60F64"/>
    <w:rsid w:val="00A620AF"/>
    <w:rsid w:val="00A628B5"/>
    <w:rsid w:val="00A62A63"/>
    <w:rsid w:val="00A62CB9"/>
    <w:rsid w:val="00A62F4B"/>
    <w:rsid w:val="00A63D70"/>
    <w:rsid w:val="00A645BC"/>
    <w:rsid w:val="00A64E82"/>
    <w:rsid w:val="00A65131"/>
    <w:rsid w:val="00A65AE8"/>
    <w:rsid w:val="00A665CC"/>
    <w:rsid w:val="00A668AE"/>
    <w:rsid w:val="00A67145"/>
    <w:rsid w:val="00A67396"/>
    <w:rsid w:val="00A70458"/>
    <w:rsid w:val="00A70637"/>
    <w:rsid w:val="00A72622"/>
    <w:rsid w:val="00A734C5"/>
    <w:rsid w:val="00A736D0"/>
    <w:rsid w:val="00A73BA9"/>
    <w:rsid w:val="00A73D56"/>
    <w:rsid w:val="00A73EC1"/>
    <w:rsid w:val="00A746CE"/>
    <w:rsid w:val="00A747DD"/>
    <w:rsid w:val="00A75916"/>
    <w:rsid w:val="00A75985"/>
    <w:rsid w:val="00A77D70"/>
    <w:rsid w:val="00A813E6"/>
    <w:rsid w:val="00A819EF"/>
    <w:rsid w:val="00A820BD"/>
    <w:rsid w:val="00A82C6C"/>
    <w:rsid w:val="00A82E6F"/>
    <w:rsid w:val="00A83C29"/>
    <w:rsid w:val="00A83F24"/>
    <w:rsid w:val="00A8578B"/>
    <w:rsid w:val="00A85C5E"/>
    <w:rsid w:val="00A8635F"/>
    <w:rsid w:val="00A87C6C"/>
    <w:rsid w:val="00A90B9C"/>
    <w:rsid w:val="00A91A03"/>
    <w:rsid w:val="00A925D2"/>
    <w:rsid w:val="00A92D03"/>
    <w:rsid w:val="00A93459"/>
    <w:rsid w:val="00A94887"/>
    <w:rsid w:val="00A94BFB"/>
    <w:rsid w:val="00A97706"/>
    <w:rsid w:val="00A9777D"/>
    <w:rsid w:val="00AA119E"/>
    <w:rsid w:val="00AA2F22"/>
    <w:rsid w:val="00AA30CC"/>
    <w:rsid w:val="00AA4812"/>
    <w:rsid w:val="00AA64F8"/>
    <w:rsid w:val="00AA7565"/>
    <w:rsid w:val="00AB03E9"/>
    <w:rsid w:val="00AB080F"/>
    <w:rsid w:val="00AB2E99"/>
    <w:rsid w:val="00AB3B63"/>
    <w:rsid w:val="00AB3BFB"/>
    <w:rsid w:val="00AB3C05"/>
    <w:rsid w:val="00AB4AA2"/>
    <w:rsid w:val="00AB641B"/>
    <w:rsid w:val="00AC143B"/>
    <w:rsid w:val="00AC1DDC"/>
    <w:rsid w:val="00AC315F"/>
    <w:rsid w:val="00AC380C"/>
    <w:rsid w:val="00AC3E0D"/>
    <w:rsid w:val="00AC4E65"/>
    <w:rsid w:val="00AC54BF"/>
    <w:rsid w:val="00AC5A6F"/>
    <w:rsid w:val="00AC69B1"/>
    <w:rsid w:val="00AC7839"/>
    <w:rsid w:val="00AD0238"/>
    <w:rsid w:val="00AD0B7B"/>
    <w:rsid w:val="00AD0BBA"/>
    <w:rsid w:val="00AD0D48"/>
    <w:rsid w:val="00AD1027"/>
    <w:rsid w:val="00AD22A5"/>
    <w:rsid w:val="00AD2CD7"/>
    <w:rsid w:val="00AD2F65"/>
    <w:rsid w:val="00AD4FBC"/>
    <w:rsid w:val="00AD5662"/>
    <w:rsid w:val="00AD7720"/>
    <w:rsid w:val="00AE10B3"/>
    <w:rsid w:val="00AE11DA"/>
    <w:rsid w:val="00AE12ED"/>
    <w:rsid w:val="00AE2465"/>
    <w:rsid w:val="00AE2F97"/>
    <w:rsid w:val="00AE36CA"/>
    <w:rsid w:val="00AE40B9"/>
    <w:rsid w:val="00AE4505"/>
    <w:rsid w:val="00AE477E"/>
    <w:rsid w:val="00AE4FE6"/>
    <w:rsid w:val="00AE50ED"/>
    <w:rsid w:val="00AE576F"/>
    <w:rsid w:val="00AE64C0"/>
    <w:rsid w:val="00AE68D1"/>
    <w:rsid w:val="00AE7203"/>
    <w:rsid w:val="00AE725E"/>
    <w:rsid w:val="00AE73A7"/>
    <w:rsid w:val="00AE7CBA"/>
    <w:rsid w:val="00AF0341"/>
    <w:rsid w:val="00AF0B07"/>
    <w:rsid w:val="00AF18A6"/>
    <w:rsid w:val="00AF1EC5"/>
    <w:rsid w:val="00AF22E9"/>
    <w:rsid w:val="00AF369C"/>
    <w:rsid w:val="00AF4329"/>
    <w:rsid w:val="00AF4953"/>
    <w:rsid w:val="00AF49B4"/>
    <w:rsid w:val="00AF4A92"/>
    <w:rsid w:val="00AF5702"/>
    <w:rsid w:val="00AF5748"/>
    <w:rsid w:val="00AF7B61"/>
    <w:rsid w:val="00AF7C2B"/>
    <w:rsid w:val="00B01B64"/>
    <w:rsid w:val="00B01F56"/>
    <w:rsid w:val="00B026F3"/>
    <w:rsid w:val="00B02806"/>
    <w:rsid w:val="00B0374F"/>
    <w:rsid w:val="00B05C6C"/>
    <w:rsid w:val="00B05FF9"/>
    <w:rsid w:val="00B06065"/>
    <w:rsid w:val="00B0673A"/>
    <w:rsid w:val="00B07326"/>
    <w:rsid w:val="00B07AA8"/>
    <w:rsid w:val="00B10977"/>
    <w:rsid w:val="00B11D2B"/>
    <w:rsid w:val="00B144A5"/>
    <w:rsid w:val="00B147C9"/>
    <w:rsid w:val="00B14FA1"/>
    <w:rsid w:val="00B1544C"/>
    <w:rsid w:val="00B161DA"/>
    <w:rsid w:val="00B202EC"/>
    <w:rsid w:val="00B21543"/>
    <w:rsid w:val="00B21A56"/>
    <w:rsid w:val="00B21B44"/>
    <w:rsid w:val="00B236C8"/>
    <w:rsid w:val="00B236F3"/>
    <w:rsid w:val="00B23DD1"/>
    <w:rsid w:val="00B24E67"/>
    <w:rsid w:val="00B24E9D"/>
    <w:rsid w:val="00B2707E"/>
    <w:rsid w:val="00B2751C"/>
    <w:rsid w:val="00B2751D"/>
    <w:rsid w:val="00B3014F"/>
    <w:rsid w:val="00B307AE"/>
    <w:rsid w:val="00B30B7D"/>
    <w:rsid w:val="00B30BEE"/>
    <w:rsid w:val="00B32065"/>
    <w:rsid w:val="00B3280C"/>
    <w:rsid w:val="00B32CA9"/>
    <w:rsid w:val="00B333D5"/>
    <w:rsid w:val="00B3355F"/>
    <w:rsid w:val="00B3411E"/>
    <w:rsid w:val="00B34383"/>
    <w:rsid w:val="00B34F05"/>
    <w:rsid w:val="00B34F23"/>
    <w:rsid w:val="00B35171"/>
    <w:rsid w:val="00B3553D"/>
    <w:rsid w:val="00B3559E"/>
    <w:rsid w:val="00B357AE"/>
    <w:rsid w:val="00B36244"/>
    <w:rsid w:val="00B36450"/>
    <w:rsid w:val="00B36988"/>
    <w:rsid w:val="00B36EDD"/>
    <w:rsid w:val="00B40DAD"/>
    <w:rsid w:val="00B4157E"/>
    <w:rsid w:val="00B41F2E"/>
    <w:rsid w:val="00B42B39"/>
    <w:rsid w:val="00B42DE1"/>
    <w:rsid w:val="00B43281"/>
    <w:rsid w:val="00B438F8"/>
    <w:rsid w:val="00B454DE"/>
    <w:rsid w:val="00B46D93"/>
    <w:rsid w:val="00B46DDE"/>
    <w:rsid w:val="00B500E5"/>
    <w:rsid w:val="00B50833"/>
    <w:rsid w:val="00B50F68"/>
    <w:rsid w:val="00B518B6"/>
    <w:rsid w:val="00B52265"/>
    <w:rsid w:val="00B53073"/>
    <w:rsid w:val="00B53124"/>
    <w:rsid w:val="00B53D27"/>
    <w:rsid w:val="00B53FA7"/>
    <w:rsid w:val="00B54C9D"/>
    <w:rsid w:val="00B54D0A"/>
    <w:rsid w:val="00B56449"/>
    <w:rsid w:val="00B573FE"/>
    <w:rsid w:val="00B57AA1"/>
    <w:rsid w:val="00B60F1A"/>
    <w:rsid w:val="00B618C9"/>
    <w:rsid w:val="00B61993"/>
    <w:rsid w:val="00B61C28"/>
    <w:rsid w:val="00B62994"/>
    <w:rsid w:val="00B642C4"/>
    <w:rsid w:val="00B64CF7"/>
    <w:rsid w:val="00B652A3"/>
    <w:rsid w:val="00B656C1"/>
    <w:rsid w:val="00B65996"/>
    <w:rsid w:val="00B65ED9"/>
    <w:rsid w:val="00B6621C"/>
    <w:rsid w:val="00B66C06"/>
    <w:rsid w:val="00B70A58"/>
    <w:rsid w:val="00B71594"/>
    <w:rsid w:val="00B715C9"/>
    <w:rsid w:val="00B7171C"/>
    <w:rsid w:val="00B7178C"/>
    <w:rsid w:val="00B71ED4"/>
    <w:rsid w:val="00B71F81"/>
    <w:rsid w:val="00B72C8C"/>
    <w:rsid w:val="00B72DE2"/>
    <w:rsid w:val="00B73930"/>
    <w:rsid w:val="00B73C10"/>
    <w:rsid w:val="00B740F1"/>
    <w:rsid w:val="00B75034"/>
    <w:rsid w:val="00B752EA"/>
    <w:rsid w:val="00B759EA"/>
    <w:rsid w:val="00B773FC"/>
    <w:rsid w:val="00B778B8"/>
    <w:rsid w:val="00B80842"/>
    <w:rsid w:val="00B80B3F"/>
    <w:rsid w:val="00B80CE2"/>
    <w:rsid w:val="00B81151"/>
    <w:rsid w:val="00B81A88"/>
    <w:rsid w:val="00B82C36"/>
    <w:rsid w:val="00B83AA7"/>
    <w:rsid w:val="00B83CD1"/>
    <w:rsid w:val="00B8461E"/>
    <w:rsid w:val="00B851F3"/>
    <w:rsid w:val="00B85ACA"/>
    <w:rsid w:val="00B85F61"/>
    <w:rsid w:val="00B865BC"/>
    <w:rsid w:val="00B8699E"/>
    <w:rsid w:val="00B86A91"/>
    <w:rsid w:val="00B872A3"/>
    <w:rsid w:val="00B9119A"/>
    <w:rsid w:val="00B912B4"/>
    <w:rsid w:val="00B92E08"/>
    <w:rsid w:val="00B9361C"/>
    <w:rsid w:val="00B937BC"/>
    <w:rsid w:val="00B939FA"/>
    <w:rsid w:val="00B93DD1"/>
    <w:rsid w:val="00B946B8"/>
    <w:rsid w:val="00B94748"/>
    <w:rsid w:val="00B94A8C"/>
    <w:rsid w:val="00B954FA"/>
    <w:rsid w:val="00B95988"/>
    <w:rsid w:val="00B96986"/>
    <w:rsid w:val="00B9765F"/>
    <w:rsid w:val="00B97730"/>
    <w:rsid w:val="00B97828"/>
    <w:rsid w:val="00B97C30"/>
    <w:rsid w:val="00BA1647"/>
    <w:rsid w:val="00BA1C1F"/>
    <w:rsid w:val="00BA210A"/>
    <w:rsid w:val="00BA235E"/>
    <w:rsid w:val="00BA2393"/>
    <w:rsid w:val="00BA2EBA"/>
    <w:rsid w:val="00BA3292"/>
    <w:rsid w:val="00BA499A"/>
    <w:rsid w:val="00BA4C81"/>
    <w:rsid w:val="00BA530F"/>
    <w:rsid w:val="00BA6878"/>
    <w:rsid w:val="00BA68BF"/>
    <w:rsid w:val="00BB0556"/>
    <w:rsid w:val="00BB05EF"/>
    <w:rsid w:val="00BB0608"/>
    <w:rsid w:val="00BB19AB"/>
    <w:rsid w:val="00BB1B32"/>
    <w:rsid w:val="00BB230A"/>
    <w:rsid w:val="00BB2330"/>
    <w:rsid w:val="00BB3029"/>
    <w:rsid w:val="00BB3308"/>
    <w:rsid w:val="00BB458D"/>
    <w:rsid w:val="00BB4C88"/>
    <w:rsid w:val="00BB5909"/>
    <w:rsid w:val="00BB5DED"/>
    <w:rsid w:val="00BC0278"/>
    <w:rsid w:val="00BC0770"/>
    <w:rsid w:val="00BC28F1"/>
    <w:rsid w:val="00BC2F79"/>
    <w:rsid w:val="00BC3B39"/>
    <w:rsid w:val="00BC3F98"/>
    <w:rsid w:val="00BC48F2"/>
    <w:rsid w:val="00BC4C6D"/>
    <w:rsid w:val="00BC4EEE"/>
    <w:rsid w:val="00BC6504"/>
    <w:rsid w:val="00BC6680"/>
    <w:rsid w:val="00BC675A"/>
    <w:rsid w:val="00BC7079"/>
    <w:rsid w:val="00BC731D"/>
    <w:rsid w:val="00BC77A9"/>
    <w:rsid w:val="00BD0C83"/>
    <w:rsid w:val="00BD1129"/>
    <w:rsid w:val="00BD1A5A"/>
    <w:rsid w:val="00BD2851"/>
    <w:rsid w:val="00BD31CD"/>
    <w:rsid w:val="00BD3592"/>
    <w:rsid w:val="00BD3980"/>
    <w:rsid w:val="00BD5249"/>
    <w:rsid w:val="00BD66A5"/>
    <w:rsid w:val="00BE08AA"/>
    <w:rsid w:val="00BE2BFC"/>
    <w:rsid w:val="00BE30B3"/>
    <w:rsid w:val="00BE369B"/>
    <w:rsid w:val="00BE4529"/>
    <w:rsid w:val="00BE4576"/>
    <w:rsid w:val="00BE4E18"/>
    <w:rsid w:val="00BE4F89"/>
    <w:rsid w:val="00BE5097"/>
    <w:rsid w:val="00BE6622"/>
    <w:rsid w:val="00BE67D3"/>
    <w:rsid w:val="00BF0EF5"/>
    <w:rsid w:val="00BF1996"/>
    <w:rsid w:val="00BF19F2"/>
    <w:rsid w:val="00BF1E98"/>
    <w:rsid w:val="00BF3507"/>
    <w:rsid w:val="00BF418D"/>
    <w:rsid w:val="00BF49FD"/>
    <w:rsid w:val="00BF4F2B"/>
    <w:rsid w:val="00BF6AAE"/>
    <w:rsid w:val="00BF7484"/>
    <w:rsid w:val="00BF7CD6"/>
    <w:rsid w:val="00C001C6"/>
    <w:rsid w:val="00C00414"/>
    <w:rsid w:val="00C004AA"/>
    <w:rsid w:val="00C0070F"/>
    <w:rsid w:val="00C00C73"/>
    <w:rsid w:val="00C014F4"/>
    <w:rsid w:val="00C02C64"/>
    <w:rsid w:val="00C034FE"/>
    <w:rsid w:val="00C03D43"/>
    <w:rsid w:val="00C050E9"/>
    <w:rsid w:val="00C056BF"/>
    <w:rsid w:val="00C06DA2"/>
    <w:rsid w:val="00C1089E"/>
    <w:rsid w:val="00C10CF2"/>
    <w:rsid w:val="00C115B0"/>
    <w:rsid w:val="00C11F18"/>
    <w:rsid w:val="00C1226A"/>
    <w:rsid w:val="00C12472"/>
    <w:rsid w:val="00C125AC"/>
    <w:rsid w:val="00C13189"/>
    <w:rsid w:val="00C134C5"/>
    <w:rsid w:val="00C14DBF"/>
    <w:rsid w:val="00C15174"/>
    <w:rsid w:val="00C15646"/>
    <w:rsid w:val="00C15A84"/>
    <w:rsid w:val="00C15C4A"/>
    <w:rsid w:val="00C16208"/>
    <w:rsid w:val="00C16E50"/>
    <w:rsid w:val="00C1782D"/>
    <w:rsid w:val="00C17D62"/>
    <w:rsid w:val="00C20056"/>
    <w:rsid w:val="00C202BD"/>
    <w:rsid w:val="00C20700"/>
    <w:rsid w:val="00C20AB7"/>
    <w:rsid w:val="00C21ED8"/>
    <w:rsid w:val="00C22358"/>
    <w:rsid w:val="00C2353D"/>
    <w:rsid w:val="00C2438E"/>
    <w:rsid w:val="00C24B02"/>
    <w:rsid w:val="00C2527E"/>
    <w:rsid w:val="00C25A47"/>
    <w:rsid w:val="00C30320"/>
    <w:rsid w:val="00C30625"/>
    <w:rsid w:val="00C30B82"/>
    <w:rsid w:val="00C30FD6"/>
    <w:rsid w:val="00C32B66"/>
    <w:rsid w:val="00C333D4"/>
    <w:rsid w:val="00C3422A"/>
    <w:rsid w:val="00C34B7A"/>
    <w:rsid w:val="00C35972"/>
    <w:rsid w:val="00C35DBF"/>
    <w:rsid w:val="00C37B13"/>
    <w:rsid w:val="00C41CF4"/>
    <w:rsid w:val="00C42187"/>
    <w:rsid w:val="00C421E1"/>
    <w:rsid w:val="00C42E77"/>
    <w:rsid w:val="00C43882"/>
    <w:rsid w:val="00C445A1"/>
    <w:rsid w:val="00C4546F"/>
    <w:rsid w:val="00C45651"/>
    <w:rsid w:val="00C457B7"/>
    <w:rsid w:val="00C4774A"/>
    <w:rsid w:val="00C47A1C"/>
    <w:rsid w:val="00C47C2D"/>
    <w:rsid w:val="00C47DA8"/>
    <w:rsid w:val="00C5005E"/>
    <w:rsid w:val="00C518B5"/>
    <w:rsid w:val="00C53688"/>
    <w:rsid w:val="00C5382D"/>
    <w:rsid w:val="00C54732"/>
    <w:rsid w:val="00C54754"/>
    <w:rsid w:val="00C548E4"/>
    <w:rsid w:val="00C54998"/>
    <w:rsid w:val="00C55695"/>
    <w:rsid w:val="00C561E4"/>
    <w:rsid w:val="00C56329"/>
    <w:rsid w:val="00C563E6"/>
    <w:rsid w:val="00C56B4F"/>
    <w:rsid w:val="00C56E13"/>
    <w:rsid w:val="00C5745F"/>
    <w:rsid w:val="00C6021E"/>
    <w:rsid w:val="00C613E4"/>
    <w:rsid w:val="00C61892"/>
    <w:rsid w:val="00C61B5C"/>
    <w:rsid w:val="00C62309"/>
    <w:rsid w:val="00C62532"/>
    <w:rsid w:val="00C625FE"/>
    <w:rsid w:val="00C6273A"/>
    <w:rsid w:val="00C62DF7"/>
    <w:rsid w:val="00C6394F"/>
    <w:rsid w:val="00C65686"/>
    <w:rsid w:val="00C65D11"/>
    <w:rsid w:val="00C65FBB"/>
    <w:rsid w:val="00C66637"/>
    <w:rsid w:val="00C66A4A"/>
    <w:rsid w:val="00C66CF5"/>
    <w:rsid w:val="00C6764E"/>
    <w:rsid w:val="00C700EF"/>
    <w:rsid w:val="00C70C2C"/>
    <w:rsid w:val="00C713D6"/>
    <w:rsid w:val="00C71656"/>
    <w:rsid w:val="00C71C4E"/>
    <w:rsid w:val="00C71DB6"/>
    <w:rsid w:val="00C71E3E"/>
    <w:rsid w:val="00C721C8"/>
    <w:rsid w:val="00C72660"/>
    <w:rsid w:val="00C72BD0"/>
    <w:rsid w:val="00C72BF9"/>
    <w:rsid w:val="00C72C74"/>
    <w:rsid w:val="00C72E9D"/>
    <w:rsid w:val="00C73185"/>
    <w:rsid w:val="00C73205"/>
    <w:rsid w:val="00C73663"/>
    <w:rsid w:val="00C73F30"/>
    <w:rsid w:val="00C74A52"/>
    <w:rsid w:val="00C755A7"/>
    <w:rsid w:val="00C75ECC"/>
    <w:rsid w:val="00C763F0"/>
    <w:rsid w:val="00C769CF"/>
    <w:rsid w:val="00C76C51"/>
    <w:rsid w:val="00C77777"/>
    <w:rsid w:val="00C80E54"/>
    <w:rsid w:val="00C80F74"/>
    <w:rsid w:val="00C80F75"/>
    <w:rsid w:val="00C825CF"/>
    <w:rsid w:val="00C833B2"/>
    <w:rsid w:val="00C83CE2"/>
    <w:rsid w:val="00C8482D"/>
    <w:rsid w:val="00C84E8C"/>
    <w:rsid w:val="00C85397"/>
    <w:rsid w:val="00C858FA"/>
    <w:rsid w:val="00C85A60"/>
    <w:rsid w:val="00C85E3A"/>
    <w:rsid w:val="00C8666C"/>
    <w:rsid w:val="00C868EB"/>
    <w:rsid w:val="00C86A7D"/>
    <w:rsid w:val="00C870CF"/>
    <w:rsid w:val="00C87A9C"/>
    <w:rsid w:val="00C90F2C"/>
    <w:rsid w:val="00C91026"/>
    <w:rsid w:val="00C910CA"/>
    <w:rsid w:val="00C91382"/>
    <w:rsid w:val="00C9186E"/>
    <w:rsid w:val="00C92F41"/>
    <w:rsid w:val="00C930B4"/>
    <w:rsid w:val="00C9346B"/>
    <w:rsid w:val="00C9364E"/>
    <w:rsid w:val="00C93D22"/>
    <w:rsid w:val="00C94232"/>
    <w:rsid w:val="00C9441E"/>
    <w:rsid w:val="00C947D6"/>
    <w:rsid w:val="00C94B88"/>
    <w:rsid w:val="00C95FB4"/>
    <w:rsid w:val="00C972EE"/>
    <w:rsid w:val="00C97CC4"/>
    <w:rsid w:val="00CA01FC"/>
    <w:rsid w:val="00CA28E6"/>
    <w:rsid w:val="00CA314E"/>
    <w:rsid w:val="00CA3B6D"/>
    <w:rsid w:val="00CA4F94"/>
    <w:rsid w:val="00CA60FF"/>
    <w:rsid w:val="00CA68EA"/>
    <w:rsid w:val="00CA7307"/>
    <w:rsid w:val="00CA7366"/>
    <w:rsid w:val="00CB0A8E"/>
    <w:rsid w:val="00CB0E56"/>
    <w:rsid w:val="00CB101E"/>
    <w:rsid w:val="00CB126B"/>
    <w:rsid w:val="00CB151B"/>
    <w:rsid w:val="00CB2699"/>
    <w:rsid w:val="00CB28C7"/>
    <w:rsid w:val="00CB2A0C"/>
    <w:rsid w:val="00CB2B6A"/>
    <w:rsid w:val="00CB2FBF"/>
    <w:rsid w:val="00CB34BF"/>
    <w:rsid w:val="00CB390D"/>
    <w:rsid w:val="00CB413C"/>
    <w:rsid w:val="00CB51A3"/>
    <w:rsid w:val="00CB5FB9"/>
    <w:rsid w:val="00CB6DCE"/>
    <w:rsid w:val="00CB71F1"/>
    <w:rsid w:val="00CB73A2"/>
    <w:rsid w:val="00CB73C6"/>
    <w:rsid w:val="00CB77AB"/>
    <w:rsid w:val="00CB7967"/>
    <w:rsid w:val="00CB7AF2"/>
    <w:rsid w:val="00CB7DC5"/>
    <w:rsid w:val="00CC1DF9"/>
    <w:rsid w:val="00CC270E"/>
    <w:rsid w:val="00CC30C5"/>
    <w:rsid w:val="00CC32A2"/>
    <w:rsid w:val="00CC33D5"/>
    <w:rsid w:val="00CC3B85"/>
    <w:rsid w:val="00CC3F33"/>
    <w:rsid w:val="00CC40E7"/>
    <w:rsid w:val="00CC4A45"/>
    <w:rsid w:val="00CC4D33"/>
    <w:rsid w:val="00CC5FA2"/>
    <w:rsid w:val="00CC632E"/>
    <w:rsid w:val="00CC65C4"/>
    <w:rsid w:val="00CC67BD"/>
    <w:rsid w:val="00CC6BCE"/>
    <w:rsid w:val="00CC755E"/>
    <w:rsid w:val="00CD0393"/>
    <w:rsid w:val="00CD03E4"/>
    <w:rsid w:val="00CD1173"/>
    <w:rsid w:val="00CD23B5"/>
    <w:rsid w:val="00CD2685"/>
    <w:rsid w:val="00CD3898"/>
    <w:rsid w:val="00CD491A"/>
    <w:rsid w:val="00CD6390"/>
    <w:rsid w:val="00CD7CC5"/>
    <w:rsid w:val="00CE1388"/>
    <w:rsid w:val="00CE1787"/>
    <w:rsid w:val="00CE277D"/>
    <w:rsid w:val="00CE3420"/>
    <w:rsid w:val="00CE49C0"/>
    <w:rsid w:val="00CE6015"/>
    <w:rsid w:val="00CE61CD"/>
    <w:rsid w:val="00CE65DA"/>
    <w:rsid w:val="00CE692C"/>
    <w:rsid w:val="00CE7721"/>
    <w:rsid w:val="00CE7964"/>
    <w:rsid w:val="00CE7B1A"/>
    <w:rsid w:val="00CE7B7D"/>
    <w:rsid w:val="00CF0968"/>
    <w:rsid w:val="00CF0CED"/>
    <w:rsid w:val="00CF1159"/>
    <w:rsid w:val="00CF14CE"/>
    <w:rsid w:val="00CF1D0E"/>
    <w:rsid w:val="00CF3278"/>
    <w:rsid w:val="00CF3844"/>
    <w:rsid w:val="00CF3B31"/>
    <w:rsid w:val="00CF3C44"/>
    <w:rsid w:val="00CF3D78"/>
    <w:rsid w:val="00CF4021"/>
    <w:rsid w:val="00CF4930"/>
    <w:rsid w:val="00CF49E2"/>
    <w:rsid w:val="00CF4A7D"/>
    <w:rsid w:val="00CF5131"/>
    <w:rsid w:val="00CF7014"/>
    <w:rsid w:val="00CF7024"/>
    <w:rsid w:val="00CF714D"/>
    <w:rsid w:val="00D008AE"/>
    <w:rsid w:val="00D00B2C"/>
    <w:rsid w:val="00D02273"/>
    <w:rsid w:val="00D03389"/>
    <w:rsid w:val="00D04045"/>
    <w:rsid w:val="00D048AC"/>
    <w:rsid w:val="00D04DEE"/>
    <w:rsid w:val="00D06C37"/>
    <w:rsid w:val="00D06DC8"/>
    <w:rsid w:val="00D06E61"/>
    <w:rsid w:val="00D079F3"/>
    <w:rsid w:val="00D103D1"/>
    <w:rsid w:val="00D117FE"/>
    <w:rsid w:val="00D11C4D"/>
    <w:rsid w:val="00D120D1"/>
    <w:rsid w:val="00D122A5"/>
    <w:rsid w:val="00D14357"/>
    <w:rsid w:val="00D158B9"/>
    <w:rsid w:val="00D2010E"/>
    <w:rsid w:val="00D2106B"/>
    <w:rsid w:val="00D21070"/>
    <w:rsid w:val="00D22387"/>
    <w:rsid w:val="00D224FE"/>
    <w:rsid w:val="00D22825"/>
    <w:rsid w:val="00D2391C"/>
    <w:rsid w:val="00D23970"/>
    <w:rsid w:val="00D243D0"/>
    <w:rsid w:val="00D244B5"/>
    <w:rsid w:val="00D24C4D"/>
    <w:rsid w:val="00D25299"/>
    <w:rsid w:val="00D25C75"/>
    <w:rsid w:val="00D269A2"/>
    <w:rsid w:val="00D26F4A"/>
    <w:rsid w:val="00D27102"/>
    <w:rsid w:val="00D3045E"/>
    <w:rsid w:val="00D30B3C"/>
    <w:rsid w:val="00D30FB8"/>
    <w:rsid w:val="00D31445"/>
    <w:rsid w:val="00D320C6"/>
    <w:rsid w:val="00D32138"/>
    <w:rsid w:val="00D325D1"/>
    <w:rsid w:val="00D33C4D"/>
    <w:rsid w:val="00D3470E"/>
    <w:rsid w:val="00D34BF8"/>
    <w:rsid w:val="00D34C31"/>
    <w:rsid w:val="00D34E2A"/>
    <w:rsid w:val="00D3565B"/>
    <w:rsid w:val="00D367E4"/>
    <w:rsid w:val="00D36E3D"/>
    <w:rsid w:val="00D37314"/>
    <w:rsid w:val="00D37461"/>
    <w:rsid w:val="00D401AD"/>
    <w:rsid w:val="00D403B7"/>
    <w:rsid w:val="00D404B2"/>
    <w:rsid w:val="00D40BAE"/>
    <w:rsid w:val="00D420C4"/>
    <w:rsid w:val="00D424BF"/>
    <w:rsid w:val="00D42F28"/>
    <w:rsid w:val="00D43D6B"/>
    <w:rsid w:val="00D46A43"/>
    <w:rsid w:val="00D519D7"/>
    <w:rsid w:val="00D52D59"/>
    <w:rsid w:val="00D52DA9"/>
    <w:rsid w:val="00D532D1"/>
    <w:rsid w:val="00D54EFD"/>
    <w:rsid w:val="00D55FC0"/>
    <w:rsid w:val="00D56212"/>
    <w:rsid w:val="00D5665C"/>
    <w:rsid w:val="00D602FB"/>
    <w:rsid w:val="00D606A4"/>
    <w:rsid w:val="00D60A84"/>
    <w:rsid w:val="00D60AD4"/>
    <w:rsid w:val="00D60EA0"/>
    <w:rsid w:val="00D61CF7"/>
    <w:rsid w:val="00D624A1"/>
    <w:rsid w:val="00D6520C"/>
    <w:rsid w:val="00D6541A"/>
    <w:rsid w:val="00D65FE6"/>
    <w:rsid w:val="00D6634E"/>
    <w:rsid w:val="00D6671A"/>
    <w:rsid w:val="00D66D62"/>
    <w:rsid w:val="00D67461"/>
    <w:rsid w:val="00D7023D"/>
    <w:rsid w:val="00D70372"/>
    <w:rsid w:val="00D705CF"/>
    <w:rsid w:val="00D70EC0"/>
    <w:rsid w:val="00D71802"/>
    <w:rsid w:val="00D73B4D"/>
    <w:rsid w:val="00D772DA"/>
    <w:rsid w:val="00D77ABB"/>
    <w:rsid w:val="00D814FC"/>
    <w:rsid w:val="00D81D3A"/>
    <w:rsid w:val="00D81F07"/>
    <w:rsid w:val="00D858A1"/>
    <w:rsid w:val="00D859B4"/>
    <w:rsid w:val="00D85A6F"/>
    <w:rsid w:val="00D85A7E"/>
    <w:rsid w:val="00D860AA"/>
    <w:rsid w:val="00D86518"/>
    <w:rsid w:val="00D86724"/>
    <w:rsid w:val="00D8785C"/>
    <w:rsid w:val="00D87AE8"/>
    <w:rsid w:val="00D903DC"/>
    <w:rsid w:val="00D907E1"/>
    <w:rsid w:val="00D90C34"/>
    <w:rsid w:val="00D90FF9"/>
    <w:rsid w:val="00D91AB9"/>
    <w:rsid w:val="00D91AE5"/>
    <w:rsid w:val="00D93016"/>
    <w:rsid w:val="00D930D1"/>
    <w:rsid w:val="00D93F45"/>
    <w:rsid w:val="00D9499D"/>
    <w:rsid w:val="00D95A50"/>
    <w:rsid w:val="00D9644E"/>
    <w:rsid w:val="00D96D01"/>
    <w:rsid w:val="00D9708B"/>
    <w:rsid w:val="00DA04D3"/>
    <w:rsid w:val="00DA1B7F"/>
    <w:rsid w:val="00DA2375"/>
    <w:rsid w:val="00DA30E5"/>
    <w:rsid w:val="00DA4660"/>
    <w:rsid w:val="00DA48B8"/>
    <w:rsid w:val="00DA4DFC"/>
    <w:rsid w:val="00DA5731"/>
    <w:rsid w:val="00DA63C8"/>
    <w:rsid w:val="00DA6AA1"/>
    <w:rsid w:val="00DB0264"/>
    <w:rsid w:val="00DB091D"/>
    <w:rsid w:val="00DB1E56"/>
    <w:rsid w:val="00DB2D29"/>
    <w:rsid w:val="00DB54DE"/>
    <w:rsid w:val="00DB5530"/>
    <w:rsid w:val="00DB6202"/>
    <w:rsid w:val="00DB643A"/>
    <w:rsid w:val="00DB773E"/>
    <w:rsid w:val="00DC1A96"/>
    <w:rsid w:val="00DC4533"/>
    <w:rsid w:val="00DC4948"/>
    <w:rsid w:val="00DC500D"/>
    <w:rsid w:val="00DC5C5B"/>
    <w:rsid w:val="00DC6487"/>
    <w:rsid w:val="00DC6F73"/>
    <w:rsid w:val="00DD0A81"/>
    <w:rsid w:val="00DD0C0D"/>
    <w:rsid w:val="00DD117F"/>
    <w:rsid w:val="00DD2608"/>
    <w:rsid w:val="00DD2F6B"/>
    <w:rsid w:val="00DD46D8"/>
    <w:rsid w:val="00DD48F7"/>
    <w:rsid w:val="00DD4911"/>
    <w:rsid w:val="00DD4C6C"/>
    <w:rsid w:val="00DD61A8"/>
    <w:rsid w:val="00DD6586"/>
    <w:rsid w:val="00DD6D61"/>
    <w:rsid w:val="00DE00DC"/>
    <w:rsid w:val="00DE0491"/>
    <w:rsid w:val="00DE137D"/>
    <w:rsid w:val="00DE1D14"/>
    <w:rsid w:val="00DE236F"/>
    <w:rsid w:val="00DE4575"/>
    <w:rsid w:val="00DE4AA2"/>
    <w:rsid w:val="00DE5029"/>
    <w:rsid w:val="00DE55A8"/>
    <w:rsid w:val="00DE5C59"/>
    <w:rsid w:val="00DE5ED2"/>
    <w:rsid w:val="00DE6D52"/>
    <w:rsid w:val="00DE6D8D"/>
    <w:rsid w:val="00DF0927"/>
    <w:rsid w:val="00DF0D9E"/>
    <w:rsid w:val="00DF0F3B"/>
    <w:rsid w:val="00DF123A"/>
    <w:rsid w:val="00DF4690"/>
    <w:rsid w:val="00DF4DA1"/>
    <w:rsid w:val="00DF4DAB"/>
    <w:rsid w:val="00DF7B11"/>
    <w:rsid w:val="00DF7CB0"/>
    <w:rsid w:val="00DF7EC3"/>
    <w:rsid w:val="00E0094B"/>
    <w:rsid w:val="00E01C4A"/>
    <w:rsid w:val="00E01E35"/>
    <w:rsid w:val="00E01E53"/>
    <w:rsid w:val="00E025EB"/>
    <w:rsid w:val="00E03951"/>
    <w:rsid w:val="00E03A4E"/>
    <w:rsid w:val="00E03BBF"/>
    <w:rsid w:val="00E04C40"/>
    <w:rsid w:val="00E05AF1"/>
    <w:rsid w:val="00E0642F"/>
    <w:rsid w:val="00E0680D"/>
    <w:rsid w:val="00E07F3D"/>
    <w:rsid w:val="00E11636"/>
    <w:rsid w:val="00E133DC"/>
    <w:rsid w:val="00E1362E"/>
    <w:rsid w:val="00E13C7D"/>
    <w:rsid w:val="00E14063"/>
    <w:rsid w:val="00E1528B"/>
    <w:rsid w:val="00E16224"/>
    <w:rsid w:val="00E1685F"/>
    <w:rsid w:val="00E16D65"/>
    <w:rsid w:val="00E16F66"/>
    <w:rsid w:val="00E1708B"/>
    <w:rsid w:val="00E1740B"/>
    <w:rsid w:val="00E17828"/>
    <w:rsid w:val="00E20971"/>
    <w:rsid w:val="00E20B7A"/>
    <w:rsid w:val="00E20FBB"/>
    <w:rsid w:val="00E213A0"/>
    <w:rsid w:val="00E21813"/>
    <w:rsid w:val="00E2212D"/>
    <w:rsid w:val="00E22A9F"/>
    <w:rsid w:val="00E22BF0"/>
    <w:rsid w:val="00E239B1"/>
    <w:rsid w:val="00E23EE2"/>
    <w:rsid w:val="00E241C5"/>
    <w:rsid w:val="00E2438A"/>
    <w:rsid w:val="00E24959"/>
    <w:rsid w:val="00E25E58"/>
    <w:rsid w:val="00E26B2F"/>
    <w:rsid w:val="00E27675"/>
    <w:rsid w:val="00E30F24"/>
    <w:rsid w:val="00E310BB"/>
    <w:rsid w:val="00E313A6"/>
    <w:rsid w:val="00E31D78"/>
    <w:rsid w:val="00E3280F"/>
    <w:rsid w:val="00E32914"/>
    <w:rsid w:val="00E33A91"/>
    <w:rsid w:val="00E34674"/>
    <w:rsid w:val="00E35ED6"/>
    <w:rsid w:val="00E3651B"/>
    <w:rsid w:val="00E3745D"/>
    <w:rsid w:val="00E376BC"/>
    <w:rsid w:val="00E405D7"/>
    <w:rsid w:val="00E41917"/>
    <w:rsid w:val="00E41A02"/>
    <w:rsid w:val="00E41BB4"/>
    <w:rsid w:val="00E436F4"/>
    <w:rsid w:val="00E44ADA"/>
    <w:rsid w:val="00E44EC3"/>
    <w:rsid w:val="00E450A3"/>
    <w:rsid w:val="00E46E7D"/>
    <w:rsid w:val="00E47D81"/>
    <w:rsid w:val="00E50789"/>
    <w:rsid w:val="00E50E8E"/>
    <w:rsid w:val="00E51F46"/>
    <w:rsid w:val="00E51F5A"/>
    <w:rsid w:val="00E528B2"/>
    <w:rsid w:val="00E52C85"/>
    <w:rsid w:val="00E532E8"/>
    <w:rsid w:val="00E53B8A"/>
    <w:rsid w:val="00E54AA1"/>
    <w:rsid w:val="00E55921"/>
    <w:rsid w:val="00E55C24"/>
    <w:rsid w:val="00E561D1"/>
    <w:rsid w:val="00E5755F"/>
    <w:rsid w:val="00E575C6"/>
    <w:rsid w:val="00E60083"/>
    <w:rsid w:val="00E606A5"/>
    <w:rsid w:val="00E608E2"/>
    <w:rsid w:val="00E61D2A"/>
    <w:rsid w:val="00E6204F"/>
    <w:rsid w:val="00E62184"/>
    <w:rsid w:val="00E63749"/>
    <w:rsid w:val="00E63779"/>
    <w:rsid w:val="00E63C3F"/>
    <w:rsid w:val="00E63C75"/>
    <w:rsid w:val="00E64FCF"/>
    <w:rsid w:val="00E65037"/>
    <w:rsid w:val="00E6569C"/>
    <w:rsid w:val="00E65D22"/>
    <w:rsid w:val="00E66127"/>
    <w:rsid w:val="00E666BE"/>
    <w:rsid w:val="00E67751"/>
    <w:rsid w:val="00E67848"/>
    <w:rsid w:val="00E678F4"/>
    <w:rsid w:val="00E70505"/>
    <w:rsid w:val="00E7163E"/>
    <w:rsid w:val="00E71F5C"/>
    <w:rsid w:val="00E738EB"/>
    <w:rsid w:val="00E73E04"/>
    <w:rsid w:val="00E77485"/>
    <w:rsid w:val="00E774D4"/>
    <w:rsid w:val="00E77901"/>
    <w:rsid w:val="00E77C6F"/>
    <w:rsid w:val="00E812D1"/>
    <w:rsid w:val="00E82ACE"/>
    <w:rsid w:val="00E83F60"/>
    <w:rsid w:val="00E8460A"/>
    <w:rsid w:val="00E84995"/>
    <w:rsid w:val="00E84DC4"/>
    <w:rsid w:val="00E84FC9"/>
    <w:rsid w:val="00E85CF2"/>
    <w:rsid w:val="00E86F09"/>
    <w:rsid w:val="00E87151"/>
    <w:rsid w:val="00E873EE"/>
    <w:rsid w:val="00E875C3"/>
    <w:rsid w:val="00E8761C"/>
    <w:rsid w:val="00E8788B"/>
    <w:rsid w:val="00E903B6"/>
    <w:rsid w:val="00E9044F"/>
    <w:rsid w:val="00E90CCB"/>
    <w:rsid w:val="00E90F85"/>
    <w:rsid w:val="00E90FB9"/>
    <w:rsid w:val="00E9247F"/>
    <w:rsid w:val="00E933E7"/>
    <w:rsid w:val="00E93590"/>
    <w:rsid w:val="00E9359B"/>
    <w:rsid w:val="00E935AC"/>
    <w:rsid w:val="00E937EC"/>
    <w:rsid w:val="00E94793"/>
    <w:rsid w:val="00E95131"/>
    <w:rsid w:val="00E9563A"/>
    <w:rsid w:val="00E95882"/>
    <w:rsid w:val="00E95A75"/>
    <w:rsid w:val="00E95F08"/>
    <w:rsid w:val="00E9611B"/>
    <w:rsid w:val="00E961C0"/>
    <w:rsid w:val="00E97D0F"/>
    <w:rsid w:val="00E97FCD"/>
    <w:rsid w:val="00EA0636"/>
    <w:rsid w:val="00EA11D7"/>
    <w:rsid w:val="00EA1E8E"/>
    <w:rsid w:val="00EA2125"/>
    <w:rsid w:val="00EA2B6E"/>
    <w:rsid w:val="00EA2FA8"/>
    <w:rsid w:val="00EA3048"/>
    <w:rsid w:val="00EA3E20"/>
    <w:rsid w:val="00EA5847"/>
    <w:rsid w:val="00EA5987"/>
    <w:rsid w:val="00EA6B1F"/>
    <w:rsid w:val="00EA75AA"/>
    <w:rsid w:val="00EB0343"/>
    <w:rsid w:val="00EB1BB8"/>
    <w:rsid w:val="00EB21DA"/>
    <w:rsid w:val="00EB32CF"/>
    <w:rsid w:val="00EB4AB2"/>
    <w:rsid w:val="00EB4EB6"/>
    <w:rsid w:val="00EB59CB"/>
    <w:rsid w:val="00EB5B1E"/>
    <w:rsid w:val="00EB5D38"/>
    <w:rsid w:val="00EB6288"/>
    <w:rsid w:val="00EB67DD"/>
    <w:rsid w:val="00EB6871"/>
    <w:rsid w:val="00EB768A"/>
    <w:rsid w:val="00EB7AC4"/>
    <w:rsid w:val="00EB7C60"/>
    <w:rsid w:val="00EC0A0D"/>
    <w:rsid w:val="00EC133B"/>
    <w:rsid w:val="00EC169E"/>
    <w:rsid w:val="00EC1C13"/>
    <w:rsid w:val="00EC221D"/>
    <w:rsid w:val="00EC2AD9"/>
    <w:rsid w:val="00EC2C7A"/>
    <w:rsid w:val="00EC5CAB"/>
    <w:rsid w:val="00EC751F"/>
    <w:rsid w:val="00ED051F"/>
    <w:rsid w:val="00ED0D4D"/>
    <w:rsid w:val="00ED0FCB"/>
    <w:rsid w:val="00ED22DE"/>
    <w:rsid w:val="00ED340F"/>
    <w:rsid w:val="00ED3A10"/>
    <w:rsid w:val="00ED4291"/>
    <w:rsid w:val="00ED515C"/>
    <w:rsid w:val="00ED5290"/>
    <w:rsid w:val="00ED5B8B"/>
    <w:rsid w:val="00ED6234"/>
    <w:rsid w:val="00ED651B"/>
    <w:rsid w:val="00ED6E55"/>
    <w:rsid w:val="00EE0AAC"/>
    <w:rsid w:val="00EE1062"/>
    <w:rsid w:val="00EE10C4"/>
    <w:rsid w:val="00EE1D68"/>
    <w:rsid w:val="00EE1E19"/>
    <w:rsid w:val="00EE27B3"/>
    <w:rsid w:val="00EE2BD4"/>
    <w:rsid w:val="00EE2E1D"/>
    <w:rsid w:val="00EE3CDC"/>
    <w:rsid w:val="00EE3E37"/>
    <w:rsid w:val="00EE4D92"/>
    <w:rsid w:val="00EE50AE"/>
    <w:rsid w:val="00EE5C1A"/>
    <w:rsid w:val="00EE6548"/>
    <w:rsid w:val="00EE6909"/>
    <w:rsid w:val="00EE6F4D"/>
    <w:rsid w:val="00EE76CC"/>
    <w:rsid w:val="00EE7A51"/>
    <w:rsid w:val="00EF022B"/>
    <w:rsid w:val="00EF07E5"/>
    <w:rsid w:val="00EF0EEC"/>
    <w:rsid w:val="00EF11E3"/>
    <w:rsid w:val="00EF12A8"/>
    <w:rsid w:val="00EF2789"/>
    <w:rsid w:val="00EF39EF"/>
    <w:rsid w:val="00EF3D73"/>
    <w:rsid w:val="00EF4632"/>
    <w:rsid w:val="00EF59AD"/>
    <w:rsid w:val="00EF69B8"/>
    <w:rsid w:val="00EF6C2F"/>
    <w:rsid w:val="00EF6E35"/>
    <w:rsid w:val="00EF6FE9"/>
    <w:rsid w:val="00EF74EA"/>
    <w:rsid w:val="00F00095"/>
    <w:rsid w:val="00F0022C"/>
    <w:rsid w:val="00F022F0"/>
    <w:rsid w:val="00F0250B"/>
    <w:rsid w:val="00F028E1"/>
    <w:rsid w:val="00F03C01"/>
    <w:rsid w:val="00F0412C"/>
    <w:rsid w:val="00F0445D"/>
    <w:rsid w:val="00F06550"/>
    <w:rsid w:val="00F07AA9"/>
    <w:rsid w:val="00F07CE4"/>
    <w:rsid w:val="00F100CB"/>
    <w:rsid w:val="00F10164"/>
    <w:rsid w:val="00F10E57"/>
    <w:rsid w:val="00F11799"/>
    <w:rsid w:val="00F12410"/>
    <w:rsid w:val="00F12B3D"/>
    <w:rsid w:val="00F15251"/>
    <w:rsid w:val="00F15681"/>
    <w:rsid w:val="00F171FD"/>
    <w:rsid w:val="00F178C8"/>
    <w:rsid w:val="00F17B7D"/>
    <w:rsid w:val="00F219BE"/>
    <w:rsid w:val="00F21E9D"/>
    <w:rsid w:val="00F21EFA"/>
    <w:rsid w:val="00F22064"/>
    <w:rsid w:val="00F241A7"/>
    <w:rsid w:val="00F243B2"/>
    <w:rsid w:val="00F2515C"/>
    <w:rsid w:val="00F257F5"/>
    <w:rsid w:val="00F26C51"/>
    <w:rsid w:val="00F27213"/>
    <w:rsid w:val="00F27E79"/>
    <w:rsid w:val="00F311A0"/>
    <w:rsid w:val="00F31E90"/>
    <w:rsid w:val="00F3285F"/>
    <w:rsid w:val="00F331E3"/>
    <w:rsid w:val="00F332A5"/>
    <w:rsid w:val="00F33C21"/>
    <w:rsid w:val="00F33C2F"/>
    <w:rsid w:val="00F33D05"/>
    <w:rsid w:val="00F34CFD"/>
    <w:rsid w:val="00F3522A"/>
    <w:rsid w:val="00F35E44"/>
    <w:rsid w:val="00F36E9D"/>
    <w:rsid w:val="00F37459"/>
    <w:rsid w:val="00F405E9"/>
    <w:rsid w:val="00F40811"/>
    <w:rsid w:val="00F40860"/>
    <w:rsid w:val="00F40FA3"/>
    <w:rsid w:val="00F41DE0"/>
    <w:rsid w:val="00F4205D"/>
    <w:rsid w:val="00F42634"/>
    <w:rsid w:val="00F42668"/>
    <w:rsid w:val="00F43692"/>
    <w:rsid w:val="00F4383A"/>
    <w:rsid w:val="00F45B09"/>
    <w:rsid w:val="00F469BB"/>
    <w:rsid w:val="00F47297"/>
    <w:rsid w:val="00F472B2"/>
    <w:rsid w:val="00F51016"/>
    <w:rsid w:val="00F51C17"/>
    <w:rsid w:val="00F541F4"/>
    <w:rsid w:val="00F54721"/>
    <w:rsid w:val="00F55DDB"/>
    <w:rsid w:val="00F5655D"/>
    <w:rsid w:val="00F56EEF"/>
    <w:rsid w:val="00F56FE3"/>
    <w:rsid w:val="00F57063"/>
    <w:rsid w:val="00F574A3"/>
    <w:rsid w:val="00F57862"/>
    <w:rsid w:val="00F57E14"/>
    <w:rsid w:val="00F609DB"/>
    <w:rsid w:val="00F60C78"/>
    <w:rsid w:val="00F611DB"/>
    <w:rsid w:val="00F619D9"/>
    <w:rsid w:val="00F62014"/>
    <w:rsid w:val="00F623B4"/>
    <w:rsid w:val="00F629FF"/>
    <w:rsid w:val="00F62C11"/>
    <w:rsid w:val="00F633AC"/>
    <w:rsid w:val="00F6394E"/>
    <w:rsid w:val="00F639D8"/>
    <w:rsid w:val="00F63FD9"/>
    <w:rsid w:val="00F644F8"/>
    <w:rsid w:val="00F64722"/>
    <w:rsid w:val="00F647F3"/>
    <w:rsid w:val="00F654DE"/>
    <w:rsid w:val="00F6553D"/>
    <w:rsid w:val="00F65F68"/>
    <w:rsid w:val="00F67144"/>
    <w:rsid w:val="00F677E1"/>
    <w:rsid w:val="00F67A6A"/>
    <w:rsid w:val="00F67C16"/>
    <w:rsid w:val="00F701B3"/>
    <w:rsid w:val="00F7110A"/>
    <w:rsid w:val="00F7199D"/>
    <w:rsid w:val="00F71E22"/>
    <w:rsid w:val="00F72040"/>
    <w:rsid w:val="00F72143"/>
    <w:rsid w:val="00F72BDF"/>
    <w:rsid w:val="00F7304B"/>
    <w:rsid w:val="00F741DB"/>
    <w:rsid w:val="00F74212"/>
    <w:rsid w:val="00F74302"/>
    <w:rsid w:val="00F75D8D"/>
    <w:rsid w:val="00F76086"/>
    <w:rsid w:val="00F76180"/>
    <w:rsid w:val="00F7648C"/>
    <w:rsid w:val="00F765C4"/>
    <w:rsid w:val="00F779AE"/>
    <w:rsid w:val="00F77C84"/>
    <w:rsid w:val="00F8013C"/>
    <w:rsid w:val="00F8017F"/>
    <w:rsid w:val="00F80376"/>
    <w:rsid w:val="00F80458"/>
    <w:rsid w:val="00F80469"/>
    <w:rsid w:val="00F82D05"/>
    <w:rsid w:val="00F82F6D"/>
    <w:rsid w:val="00F83078"/>
    <w:rsid w:val="00F83BCE"/>
    <w:rsid w:val="00F8486E"/>
    <w:rsid w:val="00F85994"/>
    <w:rsid w:val="00F87238"/>
    <w:rsid w:val="00F872AC"/>
    <w:rsid w:val="00F87436"/>
    <w:rsid w:val="00F91497"/>
    <w:rsid w:val="00F9150D"/>
    <w:rsid w:val="00F9339F"/>
    <w:rsid w:val="00F934EB"/>
    <w:rsid w:val="00F954FD"/>
    <w:rsid w:val="00F95F91"/>
    <w:rsid w:val="00F96292"/>
    <w:rsid w:val="00F96A1B"/>
    <w:rsid w:val="00F96FD1"/>
    <w:rsid w:val="00F970F8"/>
    <w:rsid w:val="00F97146"/>
    <w:rsid w:val="00F97741"/>
    <w:rsid w:val="00FA096B"/>
    <w:rsid w:val="00FA0B3B"/>
    <w:rsid w:val="00FA1015"/>
    <w:rsid w:val="00FA2947"/>
    <w:rsid w:val="00FA38AC"/>
    <w:rsid w:val="00FA3FA0"/>
    <w:rsid w:val="00FA49A0"/>
    <w:rsid w:val="00FA6BFE"/>
    <w:rsid w:val="00FA71B6"/>
    <w:rsid w:val="00FA7CFC"/>
    <w:rsid w:val="00FB0C00"/>
    <w:rsid w:val="00FB1F72"/>
    <w:rsid w:val="00FB216E"/>
    <w:rsid w:val="00FB227D"/>
    <w:rsid w:val="00FB27CD"/>
    <w:rsid w:val="00FB2F64"/>
    <w:rsid w:val="00FB376C"/>
    <w:rsid w:val="00FB3DB2"/>
    <w:rsid w:val="00FB3FC2"/>
    <w:rsid w:val="00FB420A"/>
    <w:rsid w:val="00FB4C4A"/>
    <w:rsid w:val="00FB4DC4"/>
    <w:rsid w:val="00FC01FF"/>
    <w:rsid w:val="00FC03AB"/>
    <w:rsid w:val="00FC0988"/>
    <w:rsid w:val="00FC0A87"/>
    <w:rsid w:val="00FC205A"/>
    <w:rsid w:val="00FC236C"/>
    <w:rsid w:val="00FC2900"/>
    <w:rsid w:val="00FC296E"/>
    <w:rsid w:val="00FC2A11"/>
    <w:rsid w:val="00FC2E92"/>
    <w:rsid w:val="00FC3363"/>
    <w:rsid w:val="00FC3C73"/>
    <w:rsid w:val="00FC3FC2"/>
    <w:rsid w:val="00FC4587"/>
    <w:rsid w:val="00FC5059"/>
    <w:rsid w:val="00FC560B"/>
    <w:rsid w:val="00FC5C5E"/>
    <w:rsid w:val="00FC5F88"/>
    <w:rsid w:val="00FC6B64"/>
    <w:rsid w:val="00FC7238"/>
    <w:rsid w:val="00FD020B"/>
    <w:rsid w:val="00FD049B"/>
    <w:rsid w:val="00FD0573"/>
    <w:rsid w:val="00FD08BD"/>
    <w:rsid w:val="00FD0B12"/>
    <w:rsid w:val="00FD1394"/>
    <w:rsid w:val="00FD185D"/>
    <w:rsid w:val="00FD188D"/>
    <w:rsid w:val="00FD1FF3"/>
    <w:rsid w:val="00FD24F6"/>
    <w:rsid w:val="00FD2FAF"/>
    <w:rsid w:val="00FD3000"/>
    <w:rsid w:val="00FD3554"/>
    <w:rsid w:val="00FD4F14"/>
    <w:rsid w:val="00FD6345"/>
    <w:rsid w:val="00FD69CC"/>
    <w:rsid w:val="00FD701B"/>
    <w:rsid w:val="00FD71A3"/>
    <w:rsid w:val="00FD76F1"/>
    <w:rsid w:val="00FD7DB3"/>
    <w:rsid w:val="00FE02D0"/>
    <w:rsid w:val="00FE13CE"/>
    <w:rsid w:val="00FE2A88"/>
    <w:rsid w:val="00FE2B9D"/>
    <w:rsid w:val="00FE3B25"/>
    <w:rsid w:val="00FE438F"/>
    <w:rsid w:val="00FE46DA"/>
    <w:rsid w:val="00FE492F"/>
    <w:rsid w:val="00FE4F13"/>
    <w:rsid w:val="00FE5646"/>
    <w:rsid w:val="00FE6E07"/>
    <w:rsid w:val="00FF0232"/>
    <w:rsid w:val="00FF028E"/>
    <w:rsid w:val="00FF067F"/>
    <w:rsid w:val="00FF0E0D"/>
    <w:rsid w:val="00FF14F7"/>
    <w:rsid w:val="00FF1832"/>
    <w:rsid w:val="00FF1CCC"/>
    <w:rsid w:val="00FF1CD5"/>
    <w:rsid w:val="00FF2030"/>
    <w:rsid w:val="00FF219B"/>
    <w:rsid w:val="00FF25CE"/>
    <w:rsid w:val="00FF280B"/>
    <w:rsid w:val="00FF29F5"/>
    <w:rsid w:val="00FF2ECE"/>
    <w:rsid w:val="00FF2F29"/>
    <w:rsid w:val="00FF2FAA"/>
    <w:rsid w:val="00FF3026"/>
    <w:rsid w:val="00FF380F"/>
    <w:rsid w:val="00FF467C"/>
    <w:rsid w:val="00FF49F2"/>
    <w:rsid w:val="00FF65E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38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F4"/>
  </w:style>
  <w:style w:type="paragraph" w:styleId="Heading1">
    <w:name w:val="heading 1"/>
    <w:basedOn w:val="Normal"/>
    <w:next w:val="Normal"/>
    <w:link w:val="Heading1Char"/>
    <w:uiPriority w:val="9"/>
    <w:qFormat/>
    <w:rsid w:val="00980388"/>
    <w:pPr>
      <w:keepNext/>
      <w:keepLines/>
      <w:spacing w:after="400" w:line="168" w:lineRule="auto"/>
      <w:outlineLvl w:val="0"/>
    </w:pPr>
    <w:rPr>
      <w:rFonts w:asciiTheme="majorHAnsi" w:eastAsiaTheme="majorEastAsia" w:hAnsiTheme="majorHAnsi" w:cstheme="majorBidi"/>
      <w:b/>
      <w:caps/>
      <w:color w:val="005C66" w:themeColor="accent1" w:themeShade="BF"/>
      <w:spacing w:val="12"/>
      <w:sz w:val="38"/>
      <w:szCs w:val="32"/>
    </w:rPr>
  </w:style>
  <w:style w:type="paragraph" w:styleId="Heading2">
    <w:name w:val="heading 2"/>
    <w:basedOn w:val="Normal"/>
    <w:next w:val="Normal"/>
    <w:link w:val="Heading2Char"/>
    <w:uiPriority w:val="9"/>
    <w:unhideWhenUsed/>
    <w:qFormat/>
    <w:rsid w:val="0048459E"/>
    <w:pPr>
      <w:keepNext/>
      <w:keepLines/>
      <w:spacing w:before="360" w:after="320" w:line="168" w:lineRule="auto"/>
      <w:outlineLvl w:val="1"/>
    </w:pPr>
    <w:rPr>
      <w:rFonts w:asciiTheme="majorHAnsi" w:eastAsiaTheme="majorEastAsia" w:hAnsiTheme="majorHAnsi" w:cstheme="majorBidi"/>
      <w:spacing w:val="2"/>
      <w:sz w:val="38"/>
      <w:szCs w:val="26"/>
    </w:rPr>
  </w:style>
  <w:style w:type="paragraph" w:styleId="Heading3">
    <w:name w:val="heading 3"/>
    <w:basedOn w:val="Normal"/>
    <w:next w:val="Normal"/>
    <w:link w:val="Heading3Char"/>
    <w:uiPriority w:val="9"/>
    <w:unhideWhenUsed/>
    <w:qFormat/>
    <w:rsid w:val="00B773FC"/>
    <w:pPr>
      <w:keepNext/>
      <w:keepLines/>
      <w:spacing w:before="360"/>
      <w:outlineLvl w:val="2"/>
    </w:pPr>
    <w:rPr>
      <w:rFonts w:asciiTheme="majorHAnsi" w:eastAsiaTheme="majorEastAsia" w:hAnsiTheme="majorHAnsi" w:cstheme="majorBidi"/>
      <w:color w:val="485865" w:themeColor="text2"/>
      <w:sz w:val="32"/>
    </w:rPr>
  </w:style>
  <w:style w:type="paragraph" w:styleId="Heading4">
    <w:name w:val="heading 4"/>
    <w:basedOn w:val="Normal"/>
    <w:next w:val="Normal"/>
    <w:link w:val="Heading4Char"/>
    <w:uiPriority w:val="9"/>
    <w:unhideWhenUsed/>
    <w:qFormat/>
    <w:rsid w:val="00AE576F"/>
    <w:pPr>
      <w:keepNext/>
      <w:keepLines/>
      <w:spacing w:before="320" w:after="220" w:line="168" w:lineRule="auto"/>
      <w:outlineLvl w:val="3"/>
    </w:pPr>
    <w:rPr>
      <w:rFonts w:asciiTheme="majorHAnsi" w:eastAsiaTheme="majorEastAsia" w:hAnsiTheme="majorHAnsi" w:cstheme="majorBidi"/>
      <w:b/>
      <w:iCs/>
      <w:color w:val="007C89" w:themeColor="accent1"/>
      <w:sz w:val="26"/>
    </w:rPr>
  </w:style>
  <w:style w:type="paragraph" w:styleId="Heading5">
    <w:name w:val="heading 5"/>
    <w:basedOn w:val="Normal"/>
    <w:next w:val="Normal"/>
    <w:link w:val="Heading5Char"/>
    <w:uiPriority w:val="9"/>
    <w:unhideWhenUsed/>
    <w:qFormat/>
    <w:rsid w:val="0048459E"/>
    <w:pPr>
      <w:keepNext/>
      <w:keepLines/>
      <w:spacing w:line="168" w:lineRule="auto"/>
      <w:outlineLvl w:val="4"/>
    </w:pPr>
    <w:rPr>
      <w:rFonts w:asciiTheme="majorHAnsi" w:eastAsiaTheme="majorEastAsia" w:hAnsiTheme="majorHAnsi" w:cstheme="majorBidi"/>
      <w:b/>
      <w:color w:val="005C66" w:themeColor="accent1" w:themeShade="BF"/>
    </w:rPr>
  </w:style>
  <w:style w:type="paragraph" w:styleId="Heading6">
    <w:name w:val="heading 6"/>
    <w:basedOn w:val="Normal"/>
    <w:next w:val="Normal"/>
    <w:link w:val="Heading6Char"/>
    <w:uiPriority w:val="9"/>
    <w:unhideWhenUsed/>
    <w:qFormat/>
    <w:rsid w:val="0048459E"/>
    <w:pPr>
      <w:keepNext/>
      <w:keepLines/>
      <w:spacing w:before="360" w:after="120" w:line="168" w:lineRule="auto"/>
      <w:outlineLvl w:val="5"/>
    </w:pPr>
    <w:rPr>
      <w:rFonts w:asciiTheme="majorHAnsi" w:eastAsiaTheme="majorEastAsia" w:hAnsiTheme="majorHAnsi" w:cstheme="majorBidi"/>
      <w:b/>
      <w:color w:val="485865" w:themeColor="text2"/>
      <w:sz w:val="20"/>
    </w:rPr>
  </w:style>
  <w:style w:type="character" w:default="1" w:styleId="DefaultParagraphFont">
    <w:name w:val="Default Paragraph Font"/>
    <w:uiPriority w:val="1"/>
    <w:semiHidden/>
    <w:unhideWhenUsed/>
    <w:rsid w:val="00585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0F4"/>
  </w:style>
  <w:style w:type="character" w:customStyle="1" w:styleId="Heading1Char">
    <w:name w:val="Heading 1 Char"/>
    <w:basedOn w:val="DefaultParagraphFont"/>
    <w:link w:val="Heading1"/>
    <w:uiPriority w:val="9"/>
    <w:rsid w:val="00980388"/>
    <w:rPr>
      <w:rFonts w:asciiTheme="majorHAnsi" w:eastAsiaTheme="majorEastAsia" w:hAnsiTheme="majorHAnsi" w:cstheme="majorBidi"/>
      <w:b/>
      <w:caps/>
      <w:color w:val="005C66" w:themeColor="accent1" w:themeShade="BF"/>
      <w:spacing w:val="12"/>
      <w:sz w:val="38"/>
      <w:szCs w:val="32"/>
    </w:rPr>
  </w:style>
  <w:style w:type="character" w:customStyle="1" w:styleId="Heading2Char">
    <w:name w:val="Heading 2 Char"/>
    <w:basedOn w:val="DefaultParagraphFont"/>
    <w:link w:val="Heading2"/>
    <w:uiPriority w:val="9"/>
    <w:rsid w:val="0048459E"/>
    <w:rPr>
      <w:rFonts w:asciiTheme="majorHAnsi" w:eastAsiaTheme="majorEastAsia" w:hAnsiTheme="majorHAnsi" w:cstheme="majorBidi"/>
      <w:color w:val="434343" w:themeColor="text1"/>
      <w:spacing w:val="2"/>
      <w:sz w:val="38"/>
      <w:szCs w:val="26"/>
    </w:rPr>
  </w:style>
  <w:style w:type="character" w:customStyle="1" w:styleId="Heading3Char">
    <w:name w:val="Heading 3 Char"/>
    <w:basedOn w:val="DefaultParagraphFont"/>
    <w:link w:val="Heading3"/>
    <w:uiPriority w:val="9"/>
    <w:rsid w:val="00B773FC"/>
    <w:rPr>
      <w:rFonts w:asciiTheme="majorHAnsi" w:eastAsiaTheme="majorEastAsia" w:hAnsiTheme="majorHAnsi" w:cstheme="majorBidi"/>
      <w:color w:val="485865" w:themeColor="text2"/>
      <w:sz w:val="32"/>
      <w:szCs w:val="24"/>
    </w:rPr>
  </w:style>
  <w:style w:type="paragraph" w:styleId="ListParagraph">
    <w:name w:val="List Paragraph"/>
    <w:aliases w:val="References,List Paragraph1,Recommendation,List Paragraph11,L,F5 List Paragraph,Dot pt,CV text,Table text,List Paragraph111,Medium Grid 1 - Accent 21,Numbered Paragraph,List Paragraph2,Bulleted Para,NFP GP Bulleted List,FooterText,numbere"/>
    <w:basedOn w:val="Normal"/>
    <w:link w:val="ListParagraphChar"/>
    <w:uiPriority w:val="34"/>
    <w:qFormat/>
    <w:rsid w:val="002F06DF"/>
    <w:pPr>
      <w:ind w:left="720"/>
      <w:contextualSpacing/>
    </w:pPr>
  </w:style>
  <w:style w:type="paragraph" w:styleId="BalloonText">
    <w:name w:val="Balloon Text"/>
    <w:basedOn w:val="Normal"/>
    <w:link w:val="BalloonTextChar"/>
    <w:uiPriority w:val="99"/>
    <w:semiHidden/>
    <w:unhideWhenUsed/>
    <w:rsid w:val="002F0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DF"/>
    <w:rPr>
      <w:rFonts w:ascii="Segoe UI" w:hAnsi="Segoe UI" w:cs="Segoe UI"/>
      <w:sz w:val="18"/>
      <w:szCs w:val="18"/>
    </w:rPr>
  </w:style>
  <w:style w:type="paragraph" w:styleId="Header">
    <w:name w:val="header"/>
    <w:basedOn w:val="Normal"/>
    <w:link w:val="HeaderChar"/>
    <w:uiPriority w:val="99"/>
    <w:unhideWhenUsed/>
    <w:rsid w:val="0048459E"/>
    <w:pPr>
      <w:tabs>
        <w:tab w:val="center" w:pos="4513"/>
        <w:tab w:val="right" w:pos="9026"/>
      </w:tabs>
    </w:pPr>
  </w:style>
  <w:style w:type="character" w:customStyle="1" w:styleId="HeaderChar">
    <w:name w:val="Header Char"/>
    <w:basedOn w:val="DefaultParagraphFont"/>
    <w:link w:val="Header"/>
    <w:uiPriority w:val="99"/>
    <w:rsid w:val="0048459E"/>
    <w:rPr>
      <w:color w:val="434343" w:themeColor="text1"/>
      <w:sz w:val="23"/>
    </w:rPr>
  </w:style>
  <w:style w:type="paragraph" w:styleId="Footer">
    <w:name w:val="footer"/>
    <w:basedOn w:val="Normal"/>
    <w:link w:val="FooterChar"/>
    <w:uiPriority w:val="99"/>
    <w:unhideWhenUsed/>
    <w:rsid w:val="0048459E"/>
    <w:pPr>
      <w:tabs>
        <w:tab w:val="right" w:pos="15876"/>
      </w:tabs>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48459E"/>
    <w:rPr>
      <w:rFonts w:asciiTheme="majorHAnsi" w:hAnsiTheme="majorHAnsi"/>
      <w:b/>
      <w:color w:val="FFFFFF" w:themeColor="background1"/>
      <w:sz w:val="16"/>
    </w:rPr>
  </w:style>
  <w:style w:type="table" w:styleId="TableGrid">
    <w:name w:val="Table Grid"/>
    <w:basedOn w:val="TableNormal"/>
    <w:uiPriority w:val="39"/>
    <w:rsid w:val="0048459E"/>
    <w:pPr>
      <w:spacing w:after="0" w:line="240" w:lineRule="auto"/>
    </w:pPr>
    <w:rPr>
      <w:color w:val="434343" w:themeColor="text1"/>
    </w:rPr>
    <w:tblPr>
      <w:tblBorders>
        <w:bottom w:val="single" w:sz="2" w:space="0" w:color="485865" w:themeColor="text2"/>
        <w:insideH w:val="single" w:sz="2" w:space="0" w:color="485865" w:themeColor="text2"/>
      </w:tblBorders>
      <w:tblCellMar>
        <w:top w:w="85" w:type="dxa"/>
        <w:left w:w="113" w:type="dxa"/>
        <w:bottom w:w="57" w:type="dxa"/>
        <w:right w:w="57" w:type="dxa"/>
      </w:tblCellMar>
    </w:tblPr>
    <w:tblStylePr w:type="firstRow">
      <w:pPr>
        <w:jc w:val="left"/>
      </w:pPr>
      <w:rPr>
        <w:b w:val="0"/>
        <w:color w:val="485865" w:themeColor="text2"/>
      </w:rPr>
      <w:tblPr/>
      <w:tcPr>
        <w:tcBorders>
          <w:top w:val="nil"/>
          <w:left w:val="nil"/>
          <w:bottom w:val="single" w:sz="12" w:space="0" w:color="FFFFFF" w:themeColor="background1"/>
          <w:right w:val="nil"/>
          <w:insideH w:val="nil"/>
          <w:insideV w:val="nil"/>
          <w:tl2br w:val="nil"/>
          <w:tr2bl w:val="nil"/>
        </w:tcBorders>
        <w:shd w:val="clear" w:color="auto" w:fill="007C89"/>
      </w:tcPr>
    </w:tblStylePr>
    <w:tblStylePr w:type="lastRow">
      <w:rPr>
        <w:b w:val="0"/>
        <w:color w:val="FFFFFF" w:themeColor="background1"/>
      </w:rPr>
      <w:tblPr/>
      <w:tcPr>
        <w:shd w:val="clear" w:color="auto" w:fill="485865" w:themeFill="text2"/>
      </w:tcPr>
    </w:tblStylePr>
    <w:tblStylePr w:type="firstCol">
      <w:tblPr/>
      <w:tcPr>
        <w:shd w:val="clear" w:color="auto" w:fill="D8DBDA" w:themeFill="accent5"/>
      </w:tcPr>
    </w:tblStylePr>
  </w:style>
  <w:style w:type="character" w:styleId="CommentReference">
    <w:name w:val="annotation reference"/>
    <w:basedOn w:val="DefaultParagraphFont"/>
    <w:uiPriority w:val="99"/>
    <w:semiHidden/>
    <w:unhideWhenUsed/>
    <w:rsid w:val="002F06DF"/>
    <w:rPr>
      <w:sz w:val="16"/>
      <w:szCs w:val="16"/>
    </w:rPr>
  </w:style>
  <w:style w:type="paragraph" w:styleId="CommentText">
    <w:name w:val="annotation text"/>
    <w:basedOn w:val="Normal"/>
    <w:link w:val="CommentTextChar"/>
    <w:uiPriority w:val="99"/>
    <w:unhideWhenUsed/>
    <w:rsid w:val="002F06DF"/>
    <w:rPr>
      <w:sz w:val="20"/>
      <w:szCs w:val="20"/>
    </w:rPr>
  </w:style>
  <w:style w:type="character" w:customStyle="1" w:styleId="CommentTextChar">
    <w:name w:val="Comment Text Char"/>
    <w:basedOn w:val="DefaultParagraphFont"/>
    <w:link w:val="CommentText"/>
    <w:uiPriority w:val="99"/>
    <w:rsid w:val="002F06DF"/>
    <w:rPr>
      <w:sz w:val="20"/>
      <w:szCs w:val="20"/>
    </w:rPr>
  </w:style>
  <w:style w:type="paragraph" w:customStyle="1" w:styleId="TableTextEntries">
    <w:name w:val="Table Text Entries"/>
    <w:basedOn w:val="Normal"/>
    <w:rsid w:val="002F06DF"/>
    <w:pPr>
      <w:spacing w:before="40" w:after="40" w:line="200" w:lineRule="atLeast"/>
    </w:pPr>
    <w:rPr>
      <w:rFonts w:ascii="Franklin Gothic Book" w:eastAsia="Calibri" w:hAnsi="Franklin Gothic Book" w:cs="Times New Roman"/>
      <w:sz w:val="17"/>
      <w:szCs w:val="17"/>
    </w:rPr>
  </w:style>
  <w:style w:type="character" w:customStyle="1" w:styleId="ListParagraphChar">
    <w:name w:val="List Paragraph Char"/>
    <w:aliases w:val="References Char,List Paragraph1 Char,Recommendation Char,List Paragraph11 Char,L Char,F5 List Paragraph Char,Dot pt Char,CV text Char,Table text Char,List Paragraph111 Char,Medium Grid 1 - Accent 21 Char,Numbered Paragraph Char"/>
    <w:link w:val="ListParagraph"/>
    <w:uiPriority w:val="34"/>
    <w:qFormat/>
    <w:locked/>
    <w:rsid w:val="002F06DF"/>
  </w:style>
  <w:style w:type="table" w:styleId="GridTable1Light-Accent1">
    <w:name w:val="Grid Table 1 Light Accent 1"/>
    <w:basedOn w:val="TableNormal"/>
    <w:uiPriority w:val="46"/>
    <w:rsid w:val="002F06DF"/>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F06DF"/>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F06DF"/>
    <w:rPr>
      <w:b/>
      <w:bCs/>
    </w:rPr>
  </w:style>
  <w:style w:type="character" w:customStyle="1" w:styleId="CommentSubjectChar">
    <w:name w:val="Comment Subject Char"/>
    <w:basedOn w:val="CommentTextChar"/>
    <w:link w:val="CommentSubject"/>
    <w:uiPriority w:val="99"/>
    <w:semiHidden/>
    <w:rsid w:val="002F06DF"/>
    <w:rPr>
      <w:b/>
      <w:bCs/>
      <w:sz w:val="20"/>
      <w:szCs w:val="20"/>
    </w:rPr>
  </w:style>
  <w:style w:type="paragraph" w:styleId="BodyText">
    <w:name w:val="Body Text"/>
    <w:basedOn w:val="Normal"/>
    <w:link w:val="BodyTextChar"/>
    <w:qFormat/>
    <w:rsid w:val="002F06DF"/>
    <w:pPr>
      <w:spacing w:line="280" w:lineRule="exact"/>
    </w:pPr>
    <w:rPr>
      <w:rFonts w:ascii="Franklin Gothic Book" w:eastAsia="Times New Roman" w:hAnsi="Franklin Gothic Book" w:cs="Times New Roman"/>
      <w:sz w:val="21"/>
      <w:lang w:eastAsia="en-AU"/>
    </w:rPr>
  </w:style>
  <w:style w:type="character" w:customStyle="1" w:styleId="BodyTextChar">
    <w:name w:val="Body Text Char"/>
    <w:basedOn w:val="DefaultParagraphFont"/>
    <w:link w:val="BodyText"/>
    <w:rsid w:val="002F06DF"/>
    <w:rPr>
      <w:rFonts w:ascii="Franklin Gothic Book" w:eastAsia="Times New Roman" w:hAnsi="Franklin Gothic Book" w:cs="Times New Roman"/>
      <w:sz w:val="21"/>
      <w:szCs w:val="24"/>
      <w:lang w:eastAsia="en-AU"/>
    </w:rPr>
  </w:style>
  <w:style w:type="paragraph" w:styleId="ListBullet">
    <w:name w:val="List Bullet"/>
    <w:basedOn w:val="Normal"/>
    <w:uiPriority w:val="99"/>
    <w:unhideWhenUsed/>
    <w:qFormat/>
    <w:rsid w:val="0048459E"/>
    <w:pPr>
      <w:numPr>
        <w:numId w:val="2"/>
      </w:numPr>
      <w:spacing w:after="80"/>
    </w:pPr>
  </w:style>
  <w:style w:type="table" w:customStyle="1" w:styleId="TableGrid1">
    <w:name w:val="Table Grid1"/>
    <w:basedOn w:val="TableNormal"/>
    <w:uiPriority w:val="39"/>
    <w:rsid w:val="002F06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ChapterHead"/>
    <w:next w:val="Normal"/>
    <w:uiPriority w:val="39"/>
    <w:unhideWhenUsed/>
    <w:rsid w:val="0048459E"/>
    <w:pPr>
      <w:framePr w:wrap="around"/>
    </w:pPr>
  </w:style>
  <w:style w:type="paragraph" w:styleId="TOC2">
    <w:name w:val="toc 2"/>
    <w:basedOn w:val="Normal"/>
    <w:next w:val="Normal"/>
    <w:uiPriority w:val="39"/>
    <w:unhideWhenUsed/>
    <w:qFormat/>
    <w:rsid w:val="002E4F76"/>
    <w:pPr>
      <w:tabs>
        <w:tab w:val="right" w:pos="10195"/>
      </w:tabs>
      <w:spacing w:before="240" w:after="240"/>
      <w:ind w:right="48"/>
    </w:pPr>
    <w:rPr>
      <w:rFonts w:asciiTheme="majorHAnsi" w:eastAsiaTheme="majorEastAsia" w:hAnsiTheme="majorHAnsi" w:cstheme="majorBidi"/>
      <w:b/>
      <w:color w:val="007C89" w:themeColor="accent1"/>
      <w:u w:val="dotted" w:color="007C89" w:themeColor="accent1"/>
    </w:rPr>
  </w:style>
  <w:style w:type="paragraph" w:styleId="TOC1">
    <w:name w:val="toc 1"/>
    <w:basedOn w:val="Normal"/>
    <w:next w:val="Normal"/>
    <w:autoRedefine/>
    <w:uiPriority w:val="39"/>
    <w:unhideWhenUsed/>
    <w:qFormat/>
    <w:rsid w:val="00D85A6F"/>
    <w:pPr>
      <w:tabs>
        <w:tab w:val="right" w:pos="992"/>
        <w:tab w:val="right" w:pos="10490"/>
      </w:tabs>
      <w:spacing w:before="240" w:after="100" w:line="264" w:lineRule="auto"/>
      <w:ind w:right="48"/>
    </w:pPr>
    <w:rPr>
      <w:rFonts w:asciiTheme="majorHAnsi" w:hAnsiTheme="majorHAnsi"/>
      <w:b/>
      <w:caps/>
      <w:noProof/>
      <w:color w:val="007C89" w:themeColor="accent1"/>
      <w:spacing w:val="20"/>
      <w:u w:val="single" w:color="007C89" w:themeColor="accent1"/>
    </w:rPr>
  </w:style>
  <w:style w:type="paragraph" w:styleId="TOC3">
    <w:name w:val="toc 3"/>
    <w:basedOn w:val="Normal"/>
    <w:next w:val="Normal"/>
    <w:uiPriority w:val="39"/>
    <w:unhideWhenUsed/>
    <w:qFormat/>
    <w:rsid w:val="00A17CA8"/>
    <w:pPr>
      <w:tabs>
        <w:tab w:val="left" w:pos="9923"/>
      </w:tabs>
      <w:spacing w:after="100"/>
    </w:pPr>
    <w:rPr>
      <w:noProof/>
    </w:rPr>
  </w:style>
  <w:style w:type="character" w:styleId="Hyperlink">
    <w:name w:val="Hyperlink"/>
    <w:basedOn w:val="DefaultParagraphFont"/>
    <w:uiPriority w:val="99"/>
    <w:unhideWhenUsed/>
    <w:rsid w:val="003D7579"/>
    <w:rPr>
      <w:color w:val="874121" w:themeColor="accent2" w:themeShade="BF"/>
      <w:u w:val="none"/>
    </w:rPr>
  </w:style>
  <w:style w:type="paragraph" w:styleId="NormalWeb">
    <w:name w:val="Normal (Web)"/>
    <w:basedOn w:val="Normal"/>
    <w:uiPriority w:val="99"/>
    <w:unhideWhenUsed/>
    <w:rsid w:val="00FD049B"/>
    <w:pPr>
      <w:spacing w:after="150"/>
    </w:pPr>
    <w:rPr>
      <w:rFonts w:ascii="Times New Roman" w:eastAsia="Times New Roman" w:hAnsi="Times New Roman" w:cs="Times New Roman"/>
      <w:sz w:val="21"/>
      <w:szCs w:val="21"/>
      <w:lang w:eastAsia="en-AU"/>
    </w:rPr>
  </w:style>
  <w:style w:type="paragraph" w:styleId="NoSpacing">
    <w:name w:val="No Spacing"/>
    <w:link w:val="NoSpacingChar"/>
    <w:uiPriority w:val="1"/>
    <w:qFormat/>
    <w:rsid w:val="0048459E"/>
    <w:pPr>
      <w:tabs>
        <w:tab w:val="left" w:pos="992"/>
      </w:tabs>
      <w:spacing w:after="0" w:line="288" w:lineRule="auto"/>
    </w:pPr>
    <w:rPr>
      <w:color w:val="434343" w:themeColor="text1"/>
      <w:spacing w:val="6"/>
      <w:sz w:val="23"/>
    </w:rPr>
  </w:style>
  <w:style w:type="character" w:customStyle="1" w:styleId="NoSpacingChar">
    <w:name w:val="No Spacing Char"/>
    <w:basedOn w:val="DefaultParagraphFont"/>
    <w:link w:val="NoSpacing"/>
    <w:uiPriority w:val="1"/>
    <w:rsid w:val="0048459E"/>
    <w:rPr>
      <w:color w:val="434343" w:themeColor="text1"/>
      <w:spacing w:val="6"/>
      <w:sz w:val="23"/>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Normal"/>
    <w:link w:val="FootnoteTextChar"/>
    <w:uiPriority w:val="99"/>
    <w:unhideWhenUsed/>
    <w:rsid w:val="00696E7D"/>
    <w:pPr>
      <w:ind w:left="426" w:hanging="426"/>
    </w:pPr>
    <w:rPr>
      <w:sz w:val="20"/>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696E7D"/>
    <w:rPr>
      <w:sz w:val="20"/>
      <w:szCs w:val="20"/>
      <w:lang w:val="en-GB"/>
    </w:rPr>
  </w:style>
  <w:style w:type="character" w:styleId="FootnoteReference">
    <w:name w:val="footnote reference"/>
    <w:aliases w:val="ftref,Footnote symbol,BVI fnr,Voetnootverwijzing,Times 10 Point,Exposant 3 Point,Appel note de bas de p,Footnote Refernece,Fußnotenzeichen_Raxen,callout,Footnote Reference Number, BVI fnr,SUPERS,Footnote reference number,note TESI,fr"/>
    <w:basedOn w:val="DefaultParagraphFont"/>
    <w:uiPriority w:val="99"/>
    <w:unhideWhenUsed/>
    <w:rsid w:val="0048459E"/>
    <w:rPr>
      <w:vertAlign w:val="superscript"/>
    </w:rPr>
  </w:style>
  <w:style w:type="paragraph" w:customStyle="1" w:styleId="Default">
    <w:name w:val="Default"/>
    <w:rsid w:val="003402F3"/>
    <w:pPr>
      <w:autoSpaceDE w:val="0"/>
      <w:autoSpaceDN w:val="0"/>
      <w:adjustRightInd w:val="0"/>
      <w:spacing w:after="0" w:line="240" w:lineRule="auto"/>
    </w:pPr>
    <w:rPr>
      <w:rFonts w:ascii="Code" w:hAnsi="Code" w:cs="Code"/>
      <w:color w:val="000000"/>
      <w:sz w:val="24"/>
      <w:szCs w:val="24"/>
    </w:rPr>
  </w:style>
  <w:style w:type="paragraph" w:styleId="Revision">
    <w:name w:val="Revision"/>
    <w:hidden/>
    <w:uiPriority w:val="99"/>
    <w:semiHidden/>
    <w:rsid w:val="00CB73A2"/>
    <w:pPr>
      <w:spacing w:after="0" w:line="240" w:lineRule="auto"/>
    </w:pPr>
  </w:style>
  <w:style w:type="table" w:customStyle="1" w:styleId="Frame">
    <w:name w:val="Frame"/>
    <w:basedOn w:val="TableNormal"/>
    <w:uiPriority w:val="99"/>
    <w:rsid w:val="0048459E"/>
    <w:pPr>
      <w:spacing w:after="0" w:line="240" w:lineRule="auto"/>
    </w:pPr>
    <w:tblPr>
      <w:tblCellMar>
        <w:left w:w="0" w:type="dxa"/>
        <w:right w:w="0" w:type="dxa"/>
      </w:tblCellMar>
    </w:tblPr>
  </w:style>
  <w:style w:type="character" w:styleId="Strong">
    <w:name w:val="Strong"/>
    <w:basedOn w:val="DefaultParagraphFont"/>
    <w:uiPriority w:val="22"/>
    <w:qFormat/>
    <w:rsid w:val="0048459E"/>
    <w:rPr>
      <w:rFonts w:asciiTheme="majorHAnsi" w:hAnsiTheme="majorHAnsi"/>
      <w:b/>
      <w:bCs/>
    </w:rPr>
  </w:style>
  <w:style w:type="table" w:customStyle="1" w:styleId="Box1">
    <w:name w:val="Box 1"/>
    <w:basedOn w:val="TableNormal"/>
    <w:uiPriority w:val="99"/>
    <w:rsid w:val="0048459E"/>
    <w:pPr>
      <w:spacing w:after="0" w:line="240" w:lineRule="auto"/>
    </w:pPr>
    <w:tblPr>
      <w:tblCellMar>
        <w:top w:w="284" w:type="dxa"/>
        <w:left w:w="284" w:type="dxa"/>
        <w:bottom w:w="57" w:type="dxa"/>
        <w:right w:w="284" w:type="dxa"/>
      </w:tblCellMar>
    </w:tblPr>
    <w:tcPr>
      <w:shd w:val="clear" w:color="auto" w:fill="D0EBE5"/>
    </w:tcPr>
  </w:style>
  <w:style w:type="paragraph" w:customStyle="1" w:styleId="BoxHeading">
    <w:name w:val="Box Heading"/>
    <w:basedOn w:val="NoSpacing"/>
    <w:link w:val="BoxHeadingChar"/>
    <w:qFormat/>
    <w:rsid w:val="0048459E"/>
    <w:pPr>
      <w:spacing w:after="200" w:line="168" w:lineRule="auto"/>
    </w:pPr>
    <w:rPr>
      <w:rFonts w:asciiTheme="majorHAnsi" w:hAnsiTheme="majorHAnsi"/>
      <w:b/>
      <w:color w:val="485865" w:themeColor="text2"/>
    </w:rPr>
  </w:style>
  <w:style w:type="paragraph" w:customStyle="1" w:styleId="BoxText">
    <w:name w:val="Box Text"/>
    <w:basedOn w:val="BoxHeading"/>
    <w:link w:val="BoxTextChar"/>
    <w:qFormat/>
    <w:rsid w:val="0048459E"/>
    <w:pPr>
      <w:spacing w:after="120" w:line="264" w:lineRule="auto"/>
    </w:pPr>
    <w:rPr>
      <w:b w:val="0"/>
    </w:rPr>
  </w:style>
  <w:style w:type="character" w:customStyle="1" w:styleId="BoxHeadingChar">
    <w:name w:val="Box Heading Char"/>
    <w:basedOn w:val="NoSpacingChar"/>
    <w:link w:val="BoxHeading"/>
    <w:rsid w:val="0048459E"/>
    <w:rPr>
      <w:rFonts w:asciiTheme="majorHAnsi" w:hAnsiTheme="majorHAnsi"/>
      <w:b/>
      <w:color w:val="485865" w:themeColor="text2"/>
      <w:spacing w:val="6"/>
      <w:sz w:val="23"/>
    </w:rPr>
  </w:style>
  <w:style w:type="character" w:customStyle="1" w:styleId="BoxTextChar">
    <w:name w:val="Box Text Char"/>
    <w:basedOn w:val="BoxHeadingChar"/>
    <w:link w:val="BoxText"/>
    <w:rsid w:val="0048459E"/>
    <w:rPr>
      <w:rFonts w:asciiTheme="majorHAnsi" w:hAnsiTheme="majorHAnsi"/>
      <w:b w:val="0"/>
      <w:color w:val="485865" w:themeColor="text2"/>
      <w:spacing w:val="6"/>
      <w:sz w:val="23"/>
    </w:rPr>
  </w:style>
  <w:style w:type="character" w:styleId="PlaceholderText">
    <w:name w:val="Placeholder Text"/>
    <w:basedOn w:val="DefaultParagraphFont"/>
    <w:uiPriority w:val="99"/>
    <w:semiHidden/>
    <w:rsid w:val="0048459E"/>
    <w:rPr>
      <w:color w:val="808080"/>
    </w:rPr>
  </w:style>
  <w:style w:type="paragraph" w:styleId="Title">
    <w:name w:val="Title"/>
    <w:basedOn w:val="Normal"/>
    <w:next w:val="Normal"/>
    <w:link w:val="TitleChar"/>
    <w:uiPriority w:val="10"/>
    <w:qFormat/>
    <w:rsid w:val="00E63749"/>
    <w:pPr>
      <w:framePr w:w="9072" w:wrap="around" w:vAnchor="page" w:hAnchor="text" w:y="12277" w:anchorLock="1"/>
      <w:spacing w:after="100" w:line="204" w:lineRule="auto"/>
      <w:contextualSpacing/>
    </w:pPr>
    <w:rPr>
      <w:rFonts w:asciiTheme="majorHAnsi" w:eastAsiaTheme="majorEastAsia" w:hAnsiTheme="majorHAnsi" w:cstheme="majorBidi"/>
      <w:b/>
      <w:caps/>
      <w:color w:val="FFFFFF" w:themeColor="background1"/>
      <w:spacing w:val="-2"/>
      <w:kern w:val="28"/>
      <w:sz w:val="58"/>
      <w:szCs w:val="56"/>
    </w:rPr>
  </w:style>
  <w:style w:type="character" w:customStyle="1" w:styleId="TitleChar">
    <w:name w:val="Title Char"/>
    <w:basedOn w:val="DefaultParagraphFont"/>
    <w:link w:val="Title"/>
    <w:uiPriority w:val="10"/>
    <w:rsid w:val="00E63749"/>
    <w:rPr>
      <w:rFonts w:asciiTheme="majorHAnsi" w:eastAsiaTheme="majorEastAsia" w:hAnsiTheme="majorHAnsi" w:cstheme="majorBidi"/>
      <w:b/>
      <w:caps/>
      <w:color w:val="FFFFFF" w:themeColor="background1"/>
      <w:spacing w:val="-2"/>
      <w:kern w:val="28"/>
      <w:sz w:val="58"/>
      <w:szCs w:val="56"/>
    </w:rPr>
  </w:style>
  <w:style w:type="paragraph" w:styleId="Date">
    <w:name w:val="Date"/>
    <w:basedOn w:val="Title"/>
    <w:next w:val="Normal"/>
    <w:link w:val="DateChar"/>
    <w:uiPriority w:val="99"/>
    <w:unhideWhenUsed/>
    <w:qFormat/>
    <w:rsid w:val="0048459E"/>
    <w:pPr>
      <w:framePr w:wrap="around"/>
    </w:pPr>
    <w:rPr>
      <w:sz w:val="24"/>
    </w:rPr>
  </w:style>
  <w:style w:type="character" w:customStyle="1" w:styleId="DateChar">
    <w:name w:val="Date Char"/>
    <w:basedOn w:val="DefaultParagraphFont"/>
    <w:link w:val="Date"/>
    <w:uiPriority w:val="99"/>
    <w:rsid w:val="0048459E"/>
    <w:rPr>
      <w:rFonts w:asciiTheme="majorHAnsi" w:eastAsiaTheme="majorEastAsia" w:hAnsiTheme="majorHAnsi" w:cstheme="majorBidi"/>
      <w:b/>
      <w:caps/>
      <w:color w:val="FFFFFF" w:themeColor="background1"/>
      <w:spacing w:val="-2"/>
      <w:kern w:val="28"/>
      <w:sz w:val="24"/>
      <w:szCs w:val="56"/>
    </w:rPr>
  </w:style>
  <w:style w:type="paragraph" w:customStyle="1" w:styleId="ChapterHead">
    <w:name w:val="Chapter Head"/>
    <w:basedOn w:val="Normal"/>
    <w:link w:val="ChapterHeadChar"/>
    <w:qFormat/>
    <w:rsid w:val="0048459E"/>
    <w:pPr>
      <w:framePr w:w="10206" w:vSpace="1021" w:wrap="around" w:vAnchor="page" w:hAnchor="text" w:y="1872" w:anchorLock="1"/>
      <w:spacing w:line="264" w:lineRule="auto"/>
      <w:outlineLvl w:val="0"/>
    </w:pPr>
    <w:rPr>
      <w:rFonts w:asciiTheme="majorHAnsi" w:hAnsiTheme="majorHAnsi"/>
      <w:b/>
      <w:caps/>
      <w:color w:val="FFFFFF" w:themeColor="background1"/>
      <w:spacing w:val="12"/>
      <w:sz w:val="42"/>
    </w:rPr>
  </w:style>
  <w:style w:type="character" w:customStyle="1" w:styleId="ChapterHeadChar">
    <w:name w:val="Chapter Head Char"/>
    <w:basedOn w:val="DefaultParagraphFont"/>
    <w:link w:val="ChapterHead"/>
    <w:rsid w:val="0048459E"/>
    <w:rPr>
      <w:rFonts w:asciiTheme="majorHAnsi" w:hAnsiTheme="majorHAnsi"/>
      <w:b/>
      <w:caps/>
      <w:color w:val="FFFFFF" w:themeColor="background1"/>
      <w:spacing w:val="12"/>
      <w:sz w:val="42"/>
    </w:rPr>
  </w:style>
  <w:style w:type="paragraph" w:styleId="EndnoteText">
    <w:name w:val="endnote text"/>
    <w:basedOn w:val="Normal"/>
    <w:link w:val="EndnoteTextChar"/>
    <w:uiPriority w:val="99"/>
    <w:semiHidden/>
    <w:unhideWhenUsed/>
    <w:rsid w:val="0048459E"/>
    <w:rPr>
      <w:sz w:val="20"/>
      <w:szCs w:val="20"/>
    </w:rPr>
  </w:style>
  <w:style w:type="character" w:customStyle="1" w:styleId="EndnoteTextChar">
    <w:name w:val="Endnote Text Char"/>
    <w:basedOn w:val="DefaultParagraphFont"/>
    <w:link w:val="EndnoteText"/>
    <w:uiPriority w:val="99"/>
    <w:semiHidden/>
    <w:rsid w:val="0048459E"/>
    <w:rPr>
      <w:color w:val="434343" w:themeColor="text1"/>
      <w:sz w:val="20"/>
      <w:szCs w:val="20"/>
    </w:rPr>
  </w:style>
  <w:style w:type="character" w:styleId="EndnoteReference">
    <w:name w:val="endnote reference"/>
    <w:basedOn w:val="DefaultParagraphFont"/>
    <w:uiPriority w:val="99"/>
    <w:unhideWhenUsed/>
    <w:rsid w:val="0048459E"/>
    <w:rPr>
      <w:vertAlign w:val="superscript"/>
    </w:rPr>
  </w:style>
  <w:style w:type="paragraph" w:styleId="DocumentMap">
    <w:name w:val="Document Map"/>
    <w:basedOn w:val="Normal"/>
    <w:link w:val="DocumentMapChar"/>
    <w:uiPriority w:val="99"/>
    <w:semiHidden/>
    <w:unhideWhenUsed/>
    <w:rsid w:val="001A6CFD"/>
    <w:rPr>
      <w:rFonts w:ascii="Times New Roman" w:hAnsi="Times New Roman" w:cs="Times New Roman"/>
    </w:rPr>
  </w:style>
  <w:style w:type="character" w:customStyle="1" w:styleId="DocumentMapChar">
    <w:name w:val="Document Map Char"/>
    <w:basedOn w:val="DefaultParagraphFont"/>
    <w:link w:val="DocumentMap"/>
    <w:uiPriority w:val="99"/>
    <w:semiHidden/>
    <w:rsid w:val="001A6CFD"/>
    <w:rPr>
      <w:rFonts w:ascii="Times New Roman" w:hAnsi="Times New Roman" w:cs="Times New Roman"/>
      <w:sz w:val="24"/>
      <w:szCs w:val="24"/>
    </w:rPr>
  </w:style>
  <w:style w:type="character" w:customStyle="1" w:styleId="Heading4Char">
    <w:name w:val="Heading 4 Char"/>
    <w:basedOn w:val="DefaultParagraphFont"/>
    <w:link w:val="Heading4"/>
    <w:uiPriority w:val="9"/>
    <w:rsid w:val="00AE576F"/>
    <w:rPr>
      <w:rFonts w:asciiTheme="majorHAnsi" w:eastAsiaTheme="majorEastAsia" w:hAnsiTheme="majorHAnsi" w:cstheme="majorBidi"/>
      <w:b/>
      <w:iCs/>
      <w:color w:val="007C89" w:themeColor="accent1"/>
      <w:sz w:val="26"/>
    </w:rPr>
  </w:style>
  <w:style w:type="character" w:customStyle="1" w:styleId="Heading5Char">
    <w:name w:val="Heading 5 Char"/>
    <w:basedOn w:val="DefaultParagraphFont"/>
    <w:link w:val="Heading5"/>
    <w:uiPriority w:val="9"/>
    <w:rsid w:val="0048459E"/>
    <w:rPr>
      <w:rFonts w:asciiTheme="majorHAnsi" w:eastAsiaTheme="majorEastAsia" w:hAnsiTheme="majorHAnsi" w:cstheme="majorBidi"/>
      <w:b/>
      <w:color w:val="005C66" w:themeColor="accent1" w:themeShade="BF"/>
    </w:rPr>
  </w:style>
  <w:style w:type="character" w:customStyle="1" w:styleId="Heading6Char">
    <w:name w:val="Heading 6 Char"/>
    <w:basedOn w:val="DefaultParagraphFont"/>
    <w:link w:val="Heading6"/>
    <w:uiPriority w:val="9"/>
    <w:rsid w:val="0048459E"/>
    <w:rPr>
      <w:rFonts w:asciiTheme="majorHAnsi" w:eastAsiaTheme="majorEastAsia" w:hAnsiTheme="majorHAnsi" w:cstheme="majorBidi"/>
      <w:b/>
      <w:color w:val="485865" w:themeColor="text2"/>
      <w:sz w:val="20"/>
    </w:rPr>
  </w:style>
  <w:style w:type="paragraph" w:styleId="Quote">
    <w:name w:val="Quote"/>
    <w:basedOn w:val="Normal"/>
    <w:next w:val="Normal"/>
    <w:link w:val="QuoteChar"/>
    <w:uiPriority w:val="29"/>
    <w:qFormat/>
    <w:rsid w:val="0048459E"/>
    <w:pPr>
      <w:pBdr>
        <w:top w:val="single" w:sz="4" w:space="12" w:color="B5582D" w:themeColor="accent2"/>
        <w:bottom w:val="single" w:sz="4" w:space="5" w:color="B5582D" w:themeColor="accent2"/>
      </w:pBdr>
      <w:spacing w:before="300" w:after="520"/>
    </w:pPr>
    <w:rPr>
      <w:b/>
      <w:iCs/>
      <w:color w:val="B5582D" w:themeColor="accent2"/>
    </w:rPr>
  </w:style>
  <w:style w:type="character" w:customStyle="1" w:styleId="QuoteChar">
    <w:name w:val="Quote Char"/>
    <w:basedOn w:val="DefaultParagraphFont"/>
    <w:link w:val="Quote"/>
    <w:uiPriority w:val="29"/>
    <w:rsid w:val="0048459E"/>
    <w:rPr>
      <w:b/>
      <w:iCs/>
      <w:color w:val="B5582D" w:themeColor="accent2"/>
      <w:sz w:val="24"/>
    </w:rPr>
  </w:style>
  <w:style w:type="character" w:customStyle="1" w:styleId="Quote-Attribute">
    <w:name w:val="Quote - Attribute"/>
    <w:basedOn w:val="DefaultParagraphFont"/>
    <w:uiPriority w:val="1"/>
    <w:qFormat/>
    <w:rsid w:val="0048459E"/>
    <w:rPr>
      <w:i/>
      <w:sz w:val="20"/>
    </w:rPr>
  </w:style>
  <w:style w:type="paragraph" w:styleId="ListBullet2">
    <w:name w:val="List Bullet 2"/>
    <w:basedOn w:val="Normal"/>
    <w:uiPriority w:val="99"/>
    <w:unhideWhenUsed/>
    <w:qFormat/>
    <w:rsid w:val="0048459E"/>
    <w:pPr>
      <w:numPr>
        <w:ilvl w:val="1"/>
        <w:numId w:val="2"/>
      </w:numPr>
      <w:spacing w:after="80"/>
    </w:pPr>
  </w:style>
  <w:style w:type="paragraph" w:styleId="ListBullet3">
    <w:name w:val="List Bullet 3"/>
    <w:basedOn w:val="Normal"/>
    <w:uiPriority w:val="99"/>
    <w:unhideWhenUsed/>
    <w:qFormat/>
    <w:rsid w:val="0048459E"/>
    <w:pPr>
      <w:numPr>
        <w:ilvl w:val="2"/>
        <w:numId w:val="2"/>
      </w:numPr>
      <w:spacing w:after="80"/>
    </w:pPr>
  </w:style>
  <w:style w:type="paragraph" w:styleId="ListNumber">
    <w:name w:val="List Number"/>
    <w:basedOn w:val="Normal"/>
    <w:uiPriority w:val="99"/>
    <w:unhideWhenUsed/>
    <w:qFormat/>
    <w:rsid w:val="0048459E"/>
    <w:pPr>
      <w:numPr>
        <w:numId w:val="6"/>
      </w:numPr>
      <w:spacing w:after="120" w:line="252" w:lineRule="auto"/>
    </w:pPr>
  </w:style>
  <w:style w:type="paragraph" w:styleId="ListNumber2">
    <w:name w:val="List Number 2"/>
    <w:basedOn w:val="Normal"/>
    <w:uiPriority w:val="99"/>
    <w:unhideWhenUsed/>
    <w:qFormat/>
    <w:rsid w:val="0048459E"/>
    <w:pPr>
      <w:numPr>
        <w:ilvl w:val="1"/>
        <w:numId w:val="6"/>
      </w:numPr>
      <w:spacing w:after="120" w:line="252" w:lineRule="auto"/>
    </w:pPr>
  </w:style>
  <w:style w:type="paragraph" w:styleId="ListNumber3">
    <w:name w:val="List Number 3"/>
    <w:basedOn w:val="Normal"/>
    <w:uiPriority w:val="99"/>
    <w:unhideWhenUsed/>
    <w:qFormat/>
    <w:rsid w:val="0048459E"/>
    <w:pPr>
      <w:numPr>
        <w:ilvl w:val="2"/>
        <w:numId w:val="6"/>
      </w:numPr>
      <w:spacing w:after="120" w:line="252" w:lineRule="auto"/>
      <w:ind w:left="680" w:hanging="170"/>
    </w:pPr>
  </w:style>
  <w:style w:type="paragraph" w:customStyle="1" w:styleId="Bulletparagraph">
    <w:name w:val="Bullet paragraph"/>
    <w:basedOn w:val="NoSpacing"/>
    <w:link w:val="BulletparagraphChar"/>
    <w:qFormat/>
    <w:rsid w:val="0048459E"/>
    <w:pPr>
      <w:spacing w:before="240"/>
    </w:pPr>
  </w:style>
  <w:style w:type="character" w:customStyle="1" w:styleId="BulletparagraphChar">
    <w:name w:val="Bullet paragraph Char"/>
    <w:basedOn w:val="NoSpacingChar"/>
    <w:link w:val="Bulletparagraph"/>
    <w:rsid w:val="0048459E"/>
    <w:rPr>
      <w:color w:val="434343" w:themeColor="text1"/>
      <w:spacing w:val="6"/>
      <w:sz w:val="23"/>
    </w:rPr>
  </w:style>
  <w:style w:type="paragraph" w:customStyle="1" w:styleId="TableText">
    <w:name w:val="Table Text"/>
    <w:basedOn w:val="NoSpacing"/>
    <w:link w:val="TableTextChar"/>
    <w:qFormat/>
    <w:rsid w:val="0048459E"/>
    <w:pPr>
      <w:spacing w:line="240" w:lineRule="auto"/>
    </w:pPr>
    <w:rPr>
      <w:sz w:val="19"/>
    </w:rPr>
  </w:style>
  <w:style w:type="paragraph" w:customStyle="1" w:styleId="TableHeading">
    <w:name w:val="Table Heading"/>
    <w:basedOn w:val="TableText"/>
    <w:link w:val="TableHeadingChar"/>
    <w:qFormat/>
    <w:rsid w:val="0048459E"/>
    <w:pPr>
      <w:spacing w:before="20" w:line="192" w:lineRule="auto"/>
    </w:pPr>
    <w:rPr>
      <w:rFonts w:asciiTheme="majorHAnsi" w:hAnsiTheme="majorHAnsi"/>
      <w:b/>
      <w:color w:val="FFFFFF" w:themeColor="background1"/>
    </w:rPr>
  </w:style>
  <w:style w:type="character" w:customStyle="1" w:styleId="TableTextChar">
    <w:name w:val="Table Text Char"/>
    <w:basedOn w:val="NoSpacingChar"/>
    <w:link w:val="TableText"/>
    <w:rsid w:val="0048459E"/>
    <w:rPr>
      <w:color w:val="434343" w:themeColor="text1"/>
      <w:spacing w:val="6"/>
      <w:sz w:val="19"/>
    </w:rPr>
  </w:style>
  <w:style w:type="paragraph" w:customStyle="1" w:styleId="TableTotal">
    <w:name w:val="Table Total"/>
    <w:basedOn w:val="TableHeading"/>
    <w:link w:val="TableTotalChar"/>
    <w:qFormat/>
    <w:rsid w:val="0048459E"/>
    <w:pPr>
      <w:spacing w:after="10"/>
    </w:pPr>
  </w:style>
  <w:style w:type="character" w:customStyle="1" w:styleId="TableHeadingChar">
    <w:name w:val="Table Heading Char"/>
    <w:basedOn w:val="TableTextChar"/>
    <w:link w:val="TableHeading"/>
    <w:rsid w:val="0048459E"/>
    <w:rPr>
      <w:rFonts w:asciiTheme="majorHAnsi" w:hAnsiTheme="majorHAnsi"/>
      <w:b/>
      <w:color w:val="FFFFFF" w:themeColor="background1"/>
      <w:spacing w:val="6"/>
      <w:sz w:val="19"/>
    </w:rPr>
  </w:style>
  <w:style w:type="character" w:customStyle="1" w:styleId="TableTotalChar">
    <w:name w:val="Table Total Char"/>
    <w:basedOn w:val="TableHeadingChar"/>
    <w:link w:val="TableTotal"/>
    <w:rsid w:val="0048459E"/>
    <w:rPr>
      <w:rFonts w:asciiTheme="majorHAnsi" w:hAnsiTheme="majorHAnsi"/>
      <w:b/>
      <w:color w:val="FFFFFF" w:themeColor="background1"/>
      <w:spacing w:val="6"/>
      <w:sz w:val="19"/>
    </w:rPr>
  </w:style>
  <w:style w:type="paragraph" w:customStyle="1" w:styleId="BoxBullet">
    <w:name w:val="Box Bullet"/>
    <w:basedOn w:val="BoxText"/>
    <w:link w:val="BoxBulletChar"/>
    <w:qFormat/>
    <w:rsid w:val="0048459E"/>
    <w:pPr>
      <w:numPr>
        <w:numId w:val="5"/>
      </w:numPr>
      <w:spacing w:line="168" w:lineRule="auto"/>
    </w:pPr>
  </w:style>
  <w:style w:type="numbering" w:customStyle="1" w:styleId="Bullets">
    <w:name w:val="Bullets"/>
    <w:uiPriority w:val="99"/>
    <w:rsid w:val="0048459E"/>
    <w:pPr>
      <w:numPr>
        <w:numId w:val="1"/>
      </w:numPr>
    </w:pPr>
  </w:style>
  <w:style w:type="character" w:customStyle="1" w:styleId="BoxBulletChar">
    <w:name w:val="Box Bullet Char"/>
    <w:basedOn w:val="BoxTextChar"/>
    <w:link w:val="BoxBullet"/>
    <w:rsid w:val="0048459E"/>
    <w:rPr>
      <w:rFonts w:asciiTheme="majorHAnsi" w:hAnsiTheme="majorHAnsi"/>
      <w:b w:val="0"/>
      <w:color w:val="485865" w:themeColor="text2"/>
      <w:spacing w:val="6"/>
      <w:sz w:val="23"/>
    </w:rPr>
  </w:style>
  <w:style w:type="numbering" w:customStyle="1" w:styleId="Numbers">
    <w:name w:val="Numbers"/>
    <w:uiPriority w:val="99"/>
    <w:rsid w:val="0048459E"/>
    <w:pPr>
      <w:numPr>
        <w:numId w:val="3"/>
      </w:numPr>
    </w:pPr>
  </w:style>
  <w:style w:type="paragraph" w:customStyle="1" w:styleId="BoxBullet2">
    <w:name w:val="Box Bullet 2"/>
    <w:basedOn w:val="BoxBullet"/>
    <w:link w:val="BoxBullet2Char"/>
    <w:qFormat/>
    <w:rsid w:val="0048459E"/>
    <w:pPr>
      <w:numPr>
        <w:ilvl w:val="1"/>
      </w:numPr>
    </w:pPr>
  </w:style>
  <w:style w:type="numbering" w:customStyle="1" w:styleId="BoxBullets">
    <w:name w:val="Box Bullets"/>
    <w:uiPriority w:val="99"/>
    <w:rsid w:val="0048459E"/>
    <w:pPr>
      <w:numPr>
        <w:numId w:val="4"/>
      </w:numPr>
    </w:pPr>
  </w:style>
  <w:style w:type="character" w:customStyle="1" w:styleId="BoxBullet2Char">
    <w:name w:val="Box Bullet 2 Char"/>
    <w:basedOn w:val="BoxBulletChar"/>
    <w:link w:val="BoxBullet2"/>
    <w:rsid w:val="0048459E"/>
    <w:rPr>
      <w:rFonts w:asciiTheme="majorHAnsi" w:hAnsiTheme="majorHAnsi"/>
      <w:b w:val="0"/>
      <w:color w:val="485865" w:themeColor="text2"/>
      <w:spacing w:val="6"/>
      <w:sz w:val="23"/>
    </w:rPr>
  </w:style>
  <w:style w:type="table" w:customStyle="1" w:styleId="Box2">
    <w:name w:val="Box 2"/>
    <w:basedOn w:val="TableNormal"/>
    <w:uiPriority w:val="99"/>
    <w:rsid w:val="0048459E"/>
    <w:pPr>
      <w:spacing w:after="0" w:line="240" w:lineRule="auto"/>
    </w:pPr>
    <w:tblPr>
      <w:tblBorders>
        <w:top w:val="single" w:sz="4" w:space="0" w:color="485865" w:themeColor="text2"/>
        <w:left w:val="single" w:sz="4" w:space="0" w:color="485865" w:themeColor="text2"/>
        <w:bottom w:val="single" w:sz="4" w:space="0" w:color="485865" w:themeColor="text2"/>
        <w:right w:val="single" w:sz="4" w:space="0" w:color="485865" w:themeColor="text2"/>
      </w:tblBorders>
      <w:tblCellMar>
        <w:top w:w="284" w:type="dxa"/>
        <w:left w:w="284" w:type="dxa"/>
        <w:bottom w:w="57" w:type="dxa"/>
        <w:right w:w="284" w:type="dxa"/>
      </w:tblCellMar>
    </w:tblPr>
    <w:tcPr>
      <w:shd w:val="clear" w:color="auto" w:fill="auto"/>
    </w:tcPr>
  </w:style>
  <w:style w:type="table" w:customStyle="1" w:styleId="Box3">
    <w:name w:val="Box 3"/>
    <w:basedOn w:val="TableNormal"/>
    <w:uiPriority w:val="99"/>
    <w:rsid w:val="0048459E"/>
    <w:pPr>
      <w:spacing w:after="0" w:line="240" w:lineRule="auto"/>
    </w:pPr>
    <w:tblPr>
      <w:tblBorders>
        <w:top w:val="single" w:sz="4" w:space="0" w:color="485865" w:themeColor="text2"/>
        <w:left w:val="single" w:sz="4" w:space="0" w:color="485865" w:themeColor="text2"/>
        <w:bottom w:val="single" w:sz="4" w:space="0" w:color="485865" w:themeColor="text2"/>
        <w:right w:val="single" w:sz="4" w:space="0" w:color="485865" w:themeColor="text2"/>
      </w:tblBorders>
      <w:tblCellMar>
        <w:top w:w="284" w:type="dxa"/>
        <w:left w:w="284" w:type="dxa"/>
        <w:bottom w:w="57" w:type="dxa"/>
        <w:right w:w="284" w:type="dxa"/>
      </w:tblCellMar>
    </w:tblPr>
    <w:tcPr>
      <w:shd w:val="clear" w:color="auto" w:fill="71AFB9"/>
    </w:tcPr>
  </w:style>
  <w:style w:type="paragraph" w:customStyle="1" w:styleId="BoxHeading-White">
    <w:name w:val="Box Heading - White"/>
    <w:basedOn w:val="BoxHeading"/>
    <w:link w:val="BoxHeading-WhiteChar"/>
    <w:qFormat/>
    <w:rsid w:val="0048459E"/>
    <w:rPr>
      <w:color w:val="FFFFFF" w:themeColor="background1"/>
    </w:rPr>
  </w:style>
  <w:style w:type="paragraph" w:customStyle="1" w:styleId="BoxText-White">
    <w:name w:val="Box Text - White"/>
    <w:basedOn w:val="BoxText"/>
    <w:link w:val="BoxText-WhiteChar"/>
    <w:qFormat/>
    <w:rsid w:val="0048459E"/>
    <w:rPr>
      <w:color w:val="FFFFFF" w:themeColor="background1"/>
    </w:rPr>
  </w:style>
  <w:style w:type="character" w:customStyle="1" w:styleId="BoxHeading-WhiteChar">
    <w:name w:val="Box Heading - White Char"/>
    <w:basedOn w:val="BoxHeadingChar"/>
    <w:link w:val="BoxHeading-White"/>
    <w:rsid w:val="0048459E"/>
    <w:rPr>
      <w:rFonts w:asciiTheme="majorHAnsi" w:hAnsiTheme="majorHAnsi"/>
      <w:b/>
      <w:color w:val="FFFFFF" w:themeColor="background1"/>
      <w:spacing w:val="6"/>
      <w:sz w:val="23"/>
    </w:rPr>
  </w:style>
  <w:style w:type="paragraph" w:customStyle="1" w:styleId="BoxBullet-White">
    <w:name w:val="Box Bullet - White"/>
    <w:basedOn w:val="BoxBullet"/>
    <w:link w:val="BoxBullet-WhiteChar"/>
    <w:qFormat/>
    <w:rsid w:val="0048459E"/>
    <w:rPr>
      <w:color w:val="FFFFFF" w:themeColor="background1"/>
    </w:rPr>
  </w:style>
  <w:style w:type="character" w:customStyle="1" w:styleId="BoxText-WhiteChar">
    <w:name w:val="Box Text - White Char"/>
    <w:basedOn w:val="BoxTextChar"/>
    <w:link w:val="BoxText-White"/>
    <w:rsid w:val="0048459E"/>
    <w:rPr>
      <w:rFonts w:asciiTheme="majorHAnsi" w:hAnsiTheme="majorHAnsi"/>
      <w:b w:val="0"/>
      <w:color w:val="FFFFFF" w:themeColor="background1"/>
      <w:spacing w:val="6"/>
      <w:sz w:val="23"/>
    </w:rPr>
  </w:style>
  <w:style w:type="paragraph" w:customStyle="1" w:styleId="BoxBullet2-White">
    <w:name w:val="Box Bullet 2 - White"/>
    <w:basedOn w:val="BoxBullet2"/>
    <w:link w:val="BoxBullet2-WhiteChar"/>
    <w:qFormat/>
    <w:rsid w:val="0048459E"/>
    <w:rPr>
      <w:color w:val="FFFFFF" w:themeColor="background1"/>
    </w:rPr>
  </w:style>
  <w:style w:type="character" w:customStyle="1" w:styleId="BoxBullet-WhiteChar">
    <w:name w:val="Box Bullet - White Char"/>
    <w:basedOn w:val="BoxBulletChar"/>
    <w:link w:val="BoxBullet-White"/>
    <w:rsid w:val="0048459E"/>
    <w:rPr>
      <w:rFonts w:asciiTheme="majorHAnsi" w:hAnsiTheme="majorHAnsi"/>
      <w:b w:val="0"/>
      <w:color w:val="FFFFFF" w:themeColor="background1"/>
      <w:spacing w:val="6"/>
      <w:sz w:val="23"/>
    </w:rPr>
  </w:style>
  <w:style w:type="character" w:customStyle="1" w:styleId="BoxBullet2-WhiteChar">
    <w:name w:val="Box Bullet 2 - White Char"/>
    <w:basedOn w:val="BoxBullet2Char"/>
    <w:link w:val="BoxBullet2-White"/>
    <w:rsid w:val="0048459E"/>
    <w:rPr>
      <w:rFonts w:asciiTheme="majorHAnsi" w:hAnsiTheme="majorHAnsi"/>
      <w:b w:val="0"/>
      <w:color w:val="FFFFFF" w:themeColor="background1"/>
      <w:spacing w:val="6"/>
      <w:sz w:val="23"/>
    </w:rPr>
  </w:style>
  <w:style w:type="character" w:customStyle="1" w:styleId="Mention1">
    <w:name w:val="Mention1"/>
    <w:basedOn w:val="DefaultParagraphFont"/>
    <w:uiPriority w:val="99"/>
    <w:semiHidden/>
    <w:unhideWhenUsed/>
    <w:rsid w:val="0048459E"/>
    <w:rPr>
      <w:color w:val="2B579A"/>
      <w:shd w:val="clear" w:color="auto" w:fill="E6E6E6"/>
    </w:rPr>
  </w:style>
  <w:style w:type="paragraph" w:styleId="Caption">
    <w:name w:val="caption"/>
    <w:basedOn w:val="Normal"/>
    <w:next w:val="Normal"/>
    <w:uiPriority w:val="35"/>
    <w:unhideWhenUsed/>
    <w:qFormat/>
    <w:rsid w:val="0048459E"/>
    <w:pPr>
      <w:spacing w:before="180" w:after="120"/>
    </w:pPr>
    <w:rPr>
      <w:iCs/>
      <w:sz w:val="18"/>
      <w:szCs w:val="18"/>
    </w:rPr>
  </w:style>
  <w:style w:type="paragraph" w:customStyle="1" w:styleId="GraphicHeading">
    <w:name w:val="Graphic Heading"/>
    <w:link w:val="GraphicHeadingChar"/>
    <w:qFormat/>
    <w:rsid w:val="0048459E"/>
    <w:pPr>
      <w:spacing w:after="0" w:line="168" w:lineRule="auto"/>
      <w:jc w:val="center"/>
    </w:pPr>
    <w:rPr>
      <w:rFonts w:asciiTheme="majorHAnsi" w:hAnsiTheme="majorHAnsi" w:cstheme="majorHAnsi"/>
      <w:b/>
      <w:color w:val="FFFFFF" w:themeColor="background1"/>
      <w:sz w:val="48"/>
    </w:rPr>
  </w:style>
  <w:style w:type="paragraph" w:customStyle="1" w:styleId="GraphicText">
    <w:name w:val="Graphic Text"/>
    <w:link w:val="GraphicTextChar"/>
    <w:qFormat/>
    <w:rsid w:val="0048459E"/>
    <w:pPr>
      <w:spacing w:line="240" w:lineRule="auto"/>
      <w:jc w:val="center"/>
    </w:pPr>
    <w:rPr>
      <w:color w:val="FFFFFF" w:themeColor="background1"/>
    </w:rPr>
  </w:style>
  <w:style w:type="character" w:customStyle="1" w:styleId="GraphicHeadingChar">
    <w:name w:val="Graphic Heading Char"/>
    <w:link w:val="GraphicHeading"/>
    <w:rsid w:val="0048459E"/>
    <w:rPr>
      <w:rFonts w:asciiTheme="majorHAnsi" w:hAnsiTheme="majorHAnsi" w:cstheme="majorHAnsi"/>
      <w:b/>
      <w:color w:val="FFFFFF" w:themeColor="background1"/>
      <w:sz w:val="48"/>
    </w:rPr>
  </w:style>
  <w:style w:type="paragraph" w:customStyle="1" w:styleId="GraphicTitle">
    <w:name w:val="Graphic Title"/>
    <w:basedOn w:val="GraphicHeading"/>
    <w:link w:val="GraphicTitleChar"/>
    <w:qFormat/>
    <w:rsid w:val="0048459E"/>
    <w:rPr>
      <w:color w:val="65C5B4" w:themeColor="background2"/>
      <w:sz w:val="36"/>
    </w:rPr>
  </w:style>
  <w:style w:type="character" w:customStyle="1" w:styleId="GraphicTextChar">
    <w:name w:val="Graphic Text Char"/>
    <w:link w:val="GraphicText"/>
    <w:rsid w:val="0048459E"/>
    <w:rPr>
      <w:color w:val="FFFFFF" w:themeColor="background1"/>
    </w:rPr>
  </w:style>
  <w:style w:type="paragraph" w:customStyle="1" w:styleId="GraphicTitle2">
    <w:name w:val="Graphic Title 2"/>
    <w:basedOn w:val="GraphicTitle"/>
    <w:link w:val="GraphicTitle2Char"/>
    <w:qFormat/>
    <w:rsid w:val="0048459E"/>
    <w:rPr>
      <w:color w:val="B5582D" w:themeColor="accent2"/>
    </w:rPr>
  </w:style>
  <w:style w:type="character" w:customStyle="1" w:styleId="GraphicTitleChar">
    <w:name w:val="Graphic Title Char"/>
    <w:basedOn w:val="GraphicHeadingChar"/>
    <w:link w:val="GraphicTitle"/>
    <w:rsid w:val="0048459E"/>
    <w:rPr>
      <w:rFonts w:asciiTheme="majorHAnsi" w:hAnsiTheme="majorHAnsi" w:cstheme="majorHAnsi"/>
      <w:b/>
      <w:color w:val="65C5B4" w:themeColor="background2"/>
      <w:sz w:val="36"/>
    </w:rPr>
  </w:style>
  <w:style w:type="character" w:customStyle="1" w:styleId="GraphicTitle2Char">
    <w:name w:val="Graphic Title 2 Char"/>
    <w:basedOn w:val="GraphicTitleChar"/>
    <w:link w:val="GraphicTitle2"/>
    <w:rsid w:val="0048459E"/>
    <w:rPr>
      <w:rFonts w:asciiTheme="majorHAnsi" w:hAnsiTheme="majorHAnsi" w:cstheme="majorHAnsi"/>
      <w:b/>
      <w:color w:val="B5582D" w:themeColor="accent2"/>
      <w:sz w:val="36"/>
    </w:rPr>
  </w:style>
  <w:style w:type="paragraph" w:customStyle="1" w:styleId="BoxHeadingKeyline">
    <w:name w:val="Box Heading Keyline"/>
    <w:basedOn w:val="Normal"/>
    <w:link w:val="BoxHeadingKeylineChar"/>
    <w:qFormat/>
    <w:rsid w:val="0048459E"/>
    <w:pPr>
      <w:pBdr>
        <w:top w:val="single" w:sz="4" w:space="14" w:color="485865" w:themeColor="text2"/>
        <w:left w:val="single" w:sz="4" w:space="14" w:color="485865" w:themeColor="text2"/>
        <w:bottom w:val="single" w:sz="4" w:space="14" w:color="485865" w:themeColor="text2"/>
        <w:right w:val="single" w:sz="4" w:space="14" w:color="485865" w:themeColor="text2"/>
      </w:pBdr>
      <w:ind w:left="284" w:right="284"/>
    </w:pPr>
    <w:rPr>
      <w:b/>
      <w:color w:val="485865" w:themeColor="text2"/>
    </w:rPr>
  </w:style>
  <w:style w:type="paragraph" w:customStyle="1" w:styleId="BoxTypeKeyline">
    <w:name w:val="Box Type Keyline"/>
    <w:basedOn w:val="BoxHeadingKeyline"/>
    <w:link w:val="BoxTypeKeylineChar"/>
    <w:qFormat/>
    <w:rsid w:val="0048459E"/>
    <w:rPr>
      <w:b w:val="0"/>
    </w:rPr>
  </w:style>
  <w:style w:type="character" w:customStyle="1" w:styleId="BoxHeadingKeylineChar">
    <w:name w:val="Box Heading Keyline Char"/>
    <w:basedOn w:val="DefaultParagraphFont"/>
    <w:link w:val="BoxHeadingKeyline"/>
    <w:rsid w:val="0048459E"/>
    <w:rPr>
      <w:b/>
      <w:color w:val="485865" w:themeColor="text2"/>
      <w:sz w:val="23"/>
    </w:rPr>
  </w:style>
  <w:style w:type="paragraph" w:customStyle="1" w:styleId="BoxHeadingPale">
    <w:name w:val="Box Heading Pale"/>
    <w:basedOn w:val="BoxHeadingKeyline"/>
    <w:qFormat/>
    <w:rsid w:val="0048459E"/>
    <w:pPr>
      <w:pBdr>
        <w:top w:val="single" w:sz="8" w:space="14" w:color="D0EBE5"/>
        <w:left w:val="single" w:sz="8" w:space="14" w:color="D0EBE5"/>
        <w:bottom w:val="single" w:sz="8" w:space="14" w:color="D0EBE5"/>
        <w:right w:val="single" w:sz="8" w:space="14" w:color="D0EBE5"/>
      </w:pBdr>
      <w:shd w:val="clear" w:color="auto" w:fill="D0EBE5"/>
    </w:pPr>
  </w:style>
  <w:style w:type="character" w:customStyle="1" w:styleId="BoxTypeKeylineChar">
    <w:name w:val="Box Type Keyline Char"/>
    <w:basedOn w:val="BoxHeadingKeylineChar"/>
    <w:link w:val="BoxTypeKeyline"/>
    <w:rsid w:val="0048459E"/>
    <w:rPr>
      <w:b w:val="0"/>
      <w:color w:val="485865" w:themeColor="text2"/>
      <w:sz w:val="23"/>
    </w:rPr>
  </w:style>
  <w:style w:type="paragraph" w:customStyle="1" w:styleId="BoxTypePale">
    <w:name w:val="Box Type Pale"/>
    <w:basedOn w:val="BoxHeadingPale"/>
    <w:qFormat/>
    <w:rsid w:val="0048459E"/>
    <w:rPr>
      <w:b w:val="0"/>
    </w:rPr>
  </w:style>
  <w:style w:type="paragraph" w:customStyle="1" w:styleId="BoxHeadingDark">
    <w:name w:val="Box Heading Dark"/>
    <w:basedOn w:val="BoxHeadingPale"/>
    <w:qFormat/>
    <w:rsid w:val="0048459E"/>
    <w:pPr>
      <w:pBdr>
        <w:top w:val="single" w:sz="4" w:space="14" w:color="485865" w:themeColor="text2"/>
        <w:left w:val="single" w:sz="4" w:space="14" w:color="485865" w:themeColor="text2"/>
        <w:bottom w:val="single" w:sz="4" w:space="14" w:color="485865" w:themeColor="text2"/>
        <w:right w:val="single" w:sz="4" w:space="14" w:color="485865" w:themeColor="text2"/>
      </w:pBdr>
      <w:shd w:val="clear" w:color="auto" w:fill="71AFB9"/>
    </w:pPr>
    <w:rPr>
      <w:color w:val="FFFFFF" w:themeColor="background1"/>
    </w:rPr>
  </w:style>
  <w:style w:type="paragraph" w:customStyle="1" w:styleId="BoxTypeDark">
    <w:name w:val="Box Type Dark"/>
    <w:basedOn w:val="BoxHeadingDark"/>
    <w:qFormat/>
    <w:rsid w:val="0048459E"/>
  </w:style>
  <w:style w:type="paragraph" w:customStyle="1" w:styleId="Style1">
    <w:name w:val="Style1"/>
    <w:basedOn w:val="BoxTypeKeyline"/>
    <w:qFormat/>
    <w:rsid w:val="0048459E"/>
    <w:pPr>
      <w:numPr>
        <w:numId w:val="7"/>
      </w:numPr>
      <w:ind w:left="1003" w:hanging="357"/>
    </w:pPr>
  </w:style>
  <w:style w:type="paragraph" w:styleId="TableofFigures">
    <w:name w:val="table of figures"/>
    <w:basedOn w:val="Normal"/>
    <w:next w:val="Normal"/>
    <w:uiPriority w:val="99"/>
    <w:unhideWhenUsed/>
    <w:rsid w:val="0048459E"/>
    <w:pPr>
      <w:numPr>
        <w:numId w:val="8"/>
      </w:numPr>
      <w:ind w:left="1418" w:hanging="1418"/>
    </w:pPr>
    <w:rPr>
      <w:b/>
    </w:rPr>
  </w:style>
  <w:style w:type="paragraph" w:customStyle="1" w:styleId="Figuredescription">
    <w:name w:val="Figure description"/>
    <w:basedOn w:val="Heading6"/>
    <w:link w:val="FiguredescriptionChar"/>
    <w:qFormat/>
    <w:rsid w:val="00B83AA7"/>
    <w:pPr>
      <w:spacing w:after="200"/>
    </w:pPr>
    <w:rPr>
      <w:rFonts w:eastAsia="Calibri"/>
      <w:sz w:val="22"/>
    </w:rPr>
  </w:style>
  <w:style w:type="character" w:customStyle="1" w:styleId="FiguredescriptionChar">
    <w:name w:val="Figure description Char"/>
    <w:basedOn w:val="Heading6Char"/>
    <w:link w:val="Figuredescription"/>
    <w:rsid w:val="00B83AA7"/>
    <w:rPr>
      <w:rFonts w:asciiTheme="majorHAnsi" w:eastAsia="Calibri" w:hAnsiTheme="majorHAnsi" w:cstheme="majorBidi"/>
      <w:b/>
      <w:color w:val="434343" w:themeColor="text1"/>
      <w:sz w:val="20"/>
    </w:rPr>
  </w:style>
  <w:style w:type="character" w:styleId="Emphasis">
    <w:name w:val="Emphasis"/>
    <w:basedOn w:val="DefaultParagraphFont"/>
    <w:uiPriority w:val="20"/>
    <w:qFormat/>
    <w:rsid w:val="00CD1173"/>
    <w:rPr>
      <w:i/>
      <w:iCs/>
    </w:rPr>
  </w:style>
  <w:style w:type="paragraph" w:styleId="IntenseQuote">
    <w:name w:val="Intense Quote"/>
    <w:aliases w:val="Blue Quote"/>
    <w:basedOn w:val="Normal"/>
    <w:next w:val="Normal"/>
    <w:link w:val="IntenseQuoteChar"/>
    <w:uiPriority w:val="30"/>
    <w:qFormat/>
    <w:rsid w:val="00C125AC"/>
    <w:pPr>
      <w:pBdr>
        <w:top w:val="single" w:sz="4" w:space="10" w:color="007C89" w:themeColor="accent1"/>
        <w:bottom w:val="single" w:sz="4" w:space="10" w:color="007C89" w:themeColor="accent1"/>
      </w:pBdr>
      <w:spacing w:before="360" w:after="360"/>
      <w:ind w:left="864" w:right="864"/>
      <w:jc w:val="center"/>
    </w:pPr>
    <w:rPr>
      <w:b/>
      <w:i/>
      <w:iCs/>
      <w:color w:val="0070AD"/>
    </w:rPr>
  </w:style>
  <w:style w:type="character" w:customStyle="1" w:styleId="IntenseQuoteChar">
    <w:name w:val="Intense Quote Char"/>
    <w:aliases w:val="Blue Quote Char"/>
    <w:basedOn w:val="DefaultParagraphFont"/>
    <w:link w:val="IntenseQuote"/>
    <w:uiPriority w:val="30"/>
    <w:rsid w:val="00C125AC"/>
    <w:rPr>
      <w:b/>
      <w:i/>
      <w:iCs/>
      <w:color w:val="0070AD"/>
      <w:sz w:val="23"/>
    </w:rPr>
  </w:style>
  <w:style w:type="paragraph" w:customStyle="1" w:styleId="GreenQuote">
    <w:name w:val="Green Quote"/>
    <w:basedOn w:val="Quote"/>
    <w:link w:val="GreenQuoteChar"/>
    <w:qFormat/>
    <w:rsid w:val="006C09E8"/>
    <w:pPr>
      <w:pBdr>
        <w:top w:val="single" w:sz="4" w:space="12" w:color="3DA18F" w:themeColor="background2" w:themeShade="BF"/>
        <w:bottom w:val="single" w:sz="4" w:space="5" w:color="3DA18F" w:themeColor="background2" w:themeShade="BF"/>
      </w:pBdr>
      <w:spacing w:before="240"/>
    </w:pPr>
    <w:rPr>
      <w:i/>
      <w:color w:val="3DA18F" w:themeColor="background2" w:themeShade="BF"/>
    </w:rPr>
  </w:style>
  <w:style w:type="character" w:customStyle="1" w:styleId="GreenQuoteChar">
    <w:name w:val="Green Quote Char"/>
    <w:basedOn w:val="QuoteChar"/>
    <w:link w:val="GreenQuote"/>
    <w:rsid w:val="006C09E8"/>
    <w:rPr>
      <w:b/>
      <w:i/>
      <w:iCs/>
      <w:color w:val="3DA18F" w:themeColor="background2" w:themeShade="BF"/>
      <w:sz w:val="24"/>
    </w:rPr>
  </w:style>
  <w:style w:type="paragraph" w:customStyle="1" w:styleId="GreenQuoteattribution">
    <w:name w:val="Green Quote attribution"/>
    <w:basedOn w:val="GreenQuote"/>
    <w:link w:val="GreenQuoteattributionChar"/>
    <w:qFormat/>
    <w:rsid w:val="00796AFD"/>
    <w:rPr>
      <w:i w:val="0"/>
      <w:sz w:val="20"/>
    </w:rPr>
  </w:style>
  <w:style w:type="character" w:customStyle="1" w:styleId="GreenQuoteattributionChar">
    <w:name w:val="Green Quote attribution Char"/>
    <w:basedOn w:val="GreenQuoteChar"/>
    <w:link w:val="GreenQuoteattribution"/>
    <w:rsid w:val="00796AFD"/>
    <w:rPr>
      <w:b/>
      <w:i w:val="0"/>
      <w:iCs/>
      <w:color w:val="3DA18F" w:themeColor="background2" w:themeShade="BF"/>
      <w:sz w:val="20"/>
    </w:rPr>
  </w:style>
  <w:style w:type="paragraph" w:customStyle="1" w:styleId="BlueIntenseQuote">
    <w:name w:val="Blue Intense Quote"/>
    <w:basedOn w:val="GreenQuote"/>
    <w:link w:val="BlueIntenseQuoteChar"/>
    <w:qFormat/>
    <w:rsid w:val="00615AE1"/>
    <w:pPr>
      <w:pBdr>
        <w:top w:val="single" w:sz="4" w:space="12" w:color="0070AD"/>
        <w:bottom w:val="single" w:sz="4" w:space="5" w:color="0070AD"/>
      </w:pBdr>
    </w:pPr>
    <w:rPr>
      <w:color w:val="0070AD"/>
    </w:rPr>
  </w:style>
  <w:style w:type="character" w:customStyle="1" w:styleId="BlueIntenseQuoteChar">
    <w:name w:val="Blue Intense Quote Char"/>
    <w:basedOn w:val="GreenQuoteChar"/>
    <w:link w:val="BlueIntenseQuote"/>
    <w:rsid w:val="00615AE1"/>
    <w:rPr>
      <w:b/>
      <w:i/>
      <w:iCs/>
      <w:color w:val="0070AD"/>
      <w:sz w:val="24"/>
    </w:rPr>
  </w:style>
  <w:style w:type="character" w:styleId="PageNumber">
    <w:name w:val="page number"/>
    <w:basedOn w:val="DefaultParagraphFont"/>
    <w:uiPriority w:val="99"/>
    <w:semiHidden/>
    <w:unhideWhenUsed/>
    <w:rsid w:val="008756BB"/>
  </w:style>
  <w:style w:type="paragraph" w:customStyle="1" w:styleId="FigandTableHeader">
    <w:name w:val="Fig and Table Header"/>
    <w:basedOn w:val="Heading6"/>
    <w:link w:val="FigandTableHeaderChar"/>
    <w:qFormat/>
    <w:rsid w:val="009F3D9C"/>
    <w:pPr>
      <w:spacing w:after="240" w:line="240" w:lineRule="auto"/>
    </w:pPr>
    <w:rPr>
      <w:color w:val="434343" w:themeColor="text1"/>
    </w:rPr>
  </w:style>
  <w:style w:type="character" w:customStyle="1" w:styleId="FigandTableHeaderChar">
    <w:name w:val="Fig and Table Header Char"/>
    <w:basedOn w:val="Heading6Char"/>
    <w:link w:val="FigandTableHeader"/>
    <w:rsid w:val="009F3D9C"/>
    <w:rPr>
      <w:rFonts w:asciiTheme="majorHAnsi" w:eastAsiaTheme="majorEastAsia" w:hAnsiTheme="majorHAnsi" w:cstheme="majorBidi"/>
      <w:b/>
      <w:color w:val="434343" w:themeColor="text1"/>
      <w:sz w:val="20"/>
    </w:rPr>
  </w:style>
  <w:style w:type="paragraph" w:customStyle="1" w:styleId="Box1Text">
    <w:name w:val="Box 1 Text"/>
    <w:basedOn w:val="Normal"/>
    <w:qFormat/>
    <w:rsid w:val="00E63749"/>
    <w:pPr>
      <w:pBdr>
        <w:top w:val="single" w:sz="4" w:space="14" w:color="007C89" w:themeColor="accent1"/>
        <w:left w:val="single" w:sz="4" w:space="14" w:color="007C89" w:themeColor="accent1"/>
        <w:bottom w:val="single" w:sz="4" w:space="14" w:color="007C89" w:themeColor="accent1"/>
        <w:right w:val="single" w:sz="4" w:space="14" w:color="007C89" w:themeColor="accent1"/>
      </w:pBdr>
      <w:shd w:val="clear" w:color="auto" w:fill="FFFFFF" w:themeFill="background1"/>
      <w:suppressAutoHyphens/>
      <w:spacing w:before="180" w:after="80" w:line="240" w:lineRule="atLeast"/>
      <w:ind w:left="284" w:right="284"/>
    </w:pPr>
    <w:rPr>
      <w:color w:val="485865" w:themeColor="text2"/>
      <w:sz w:val="20"/>
    </w:rPr>
  </w:style>
  <w:style w:type="paragraph" w:styleId="Subtitle">
    <w:name w:val="Subtitle"/>
    <w:aliases w:val="Heading 2 grey"/>
    <w:next w:val="Normal"/>
    <w:link w:val="SubtitleChar"/>
    <w:uiPriority w:val="11"/>
    <w:qFormat/>
    <w:rsid w:val="00E63749"/>
    <w:pPr>
      <w:spacing w:after="0" w:line="240" w:lineRule="auto"/>
    </w:pPr>
    <w:rPr>
      <w:rFonts w:ascii="Gill Sans MT Condensed" w:eastAsia="Montserrat" w:hAnsi="Gill Sans MT Condensed"/>
      <w:caps/>
      <w:color w:val="FFFFFF" w:themeColor="background1"/>
      <w:sz w:val="40"/>
      <w:szCs w:val="30"/>
      <w:lang w:val="en-GB"/>
    </w:rPr>
  </w:style>
  <w:style w:type="character" w:customStyle="1" w:styleId="SubtitleChar">
    <w:name w:val="Subtitle Char"/>
    <w:aliases w:val="Heading 2 grey Char"/>
    <w:basedOn w:val="DefaultParagraphFont"/>
    <w:link w:val="Subtitle"/>
    <w:uiPriority w:val="11"/>
    <w:rsid w:val="00E63749"/>
    <w:rPr>
      <w:rFonts w:ascii="Gill Sans MT Condensed" w:eastAsia="Montserrat" w:hAnsi="Gill Sans MT Condensed"/>
      <w:caps/>
      <w:color w:val="FFFFFF" w:themeColor="background1"/>
      <w:sz w:val="40"/>
      <w:szCs w:val="30"/>
      <w:lang w:val="en-GB"/>
    </w:rPr>
  </w:style>
  <w:style w:type="paragraph" w:customStyle="1" w:styleId="Secondarytitle">
    <w:name w:val="Secondary title"/>
    <w:qFormat/>
    <w:rsid w:val="00E63749"/>
    <w:pPr>
      <w:spacing w:after="0" w:line="240" w:lineRule="auto"/>
    </w:pPr>
    <w:rPr>
      <w:rFonts w:ascii="Gill Sans MT Condensed" w:eastAsia="Montserrat" w:hAnsi="Gill Sans MT Condensed" w:cs="Times New Roman"/>
      <w:caps/>
      <w:color w:val="FFFFFF" w:themeColor="background1"/>
      <w:sz w:val="40"/>
      <w:szCs w:val="30"/>
    </w:rPr>
  </w:style>
  <w:style w:type="paragraph" w:customStyle="1" w:styleId="Acronyms">
    <w:name w:val="Acronyms"/>
    <w:basedOn w:val="Normal"/>
    <w:qFormat/>
    <w:rsid w:val="000D0D13"/>
  </w:style>
  <w:style w:type="paragraph" w:styleId="TOC4">
    <w:name w:val="toc 4"/>
    <w:basedOn w:val="Normal"/>
    <w:next w:val="Normal"/>
    <w:autoRedefine/>
    <w:uiPriority w:val="39"/>
    <w:unhideWhenUsed/>
    <w:rsid w:val="00C9364E"/>
    <w:pPr>
      <w:ind w:left="660"/>
    </w:pPr>
  </w:style>
  <w:style w:type="paragraph" w:styleId="TOC5">
    <w:name w:val="toc 5"/>
    <w:basedOn w:val="Normal"/>
    <w:next w:val="Normal"/>
    <w:autoRedefine/>
    <w:uiPriority w:val="39"/>
    <w:unhideWhenUsed/>
    <w:rsid w:val="00C9364E"/>
    <w:pPr>
      <w:ind w:left="880"/>
    </w:pPr>
  </w:style>
  <w:style w:type="paragraph" w:styleId="TOC6">
    <w:name w:val="toc 6"/>
    <w:basedOn w:val="Normal"/>
    <w:next w:val="Normal"/>
    <w:autoRedefine/>
    <w:uiPriority w:val="39"/>
    <w:unhideWhenUsed/>
    <w:rsid w:val="00C9364E"/>
    <w:pPr>
      <w:ind w:left="1100"/>
    </w:pPr>
  </w:style>
  <w:style w:type="paragraph" w:styleId="TOC7">
    <w:name w:val="toc 7"/>
    <w:basedOn w:val="Normal"/>
    <w:next w:val="Normal"/>
    <w:autoRedefine/>
    <w:uiPriority w:val="39"/>
    <w:unhideWhenUsed/>
    <w:rsid w:val="00C9364E"/>
    <w:pPr>
      <w:ind w:left="1320"/>
    </w:pPr>
  </w:style>
  <w:style w:type="paragraph" w:styleId="TOC8">
    <w:name w:val="toc 8"/>
    <w:basedOn w:val="Normal"/>
    <w:next w:val="Normal"/>
    <w:autoRedefine/>
    <w:uiPriority w:val="39"/>
    <w:unhideWhenUsed/>
    <w:rsid w:val="00C9364E"/>
    <w:pPr>
      <w:ind w:left="1540"/>
    </w:pPr>
  </w:style>
  <w:style w:type="paragraph" w:styleId="TOC9">
    <w:name w:val="toc 9"/>
    <w:basedOn w:val="Normal"/>
    <w:next w:val="Normal"/>
    <w:autoRedefine/>
    <w:uiPriority w:val="39"/>
    <w:unhideWhenUsed/>
    <w:rsid w:val="00C9364E"/>
    <w:pPr>
      <w:ind w:left="1760"/>
    </w:pPr>
  </w:style>
  <w:style w:type="paragraph" w:customStyle="1" w:styleId="NumberedList1">
    <w:name w:val="Numbered List 1"/>
    <w:basedOn w:val="Normal"/>
    <w:qFormat/>
    <w:rsid w:val="00E84DC4"/>
    <w:pPr>
      <w:numPr>
        <w:numId w:val="10"/>
      </w:numPr>
      <w:suppressAutoHyphens/>
      <w:spacing w:after="60" w:line="260" w:lineRule="atLeast"/>
    </w:pPr>
    <w:rPr>
      <w:color w:val="485865" w:themeColor="text2"/>
    </w:rPr>
  </w:style>
  <w:style w:type="paragraph" w:customStyle="1" w:styleId="NumberedList2">
    <w:name w:val="Numbered List 2"/>
    <w:basedOn w:val="NumberedList1"/>
    <w:qFormat/>
    <w:rsid w:val="00E84DC4"/>
    <w:pPr>
      <w:numPr>
        <w:ilvl w:val="1"/>
      </w:numPr>
    </w:pPr>
  </w:style>
  <w:style w:type="paragraph" w:customStyle="1" w:styleId="NumberedList3">
    <w:name w:val="Numbered List 3"/>
    <w:basedOn w:val="NumberedList2"/>
    <w:qFormat/>
    <w:rsid w:val="00E84DC4"/>
    <w:pPr>
      <w:numPr>
        <w:ilvl w:val="2"/>
      </w:numPr>
    </w:pPr>
  </w:style>
  <w:style w:type="numbering" w:customStyle="1" w:styleId="Numberedlist">
    <w:name w:val="Numbered list"/>
    <w:uiPriority w:val="99"/>
    <w:rsid w:val="00E84DC4"/>
    <w:pPr>
      <w:numPr>
        <w:numId w:val="10"/>
      </w:numPr>
    </w:pPr>
  </w:style>
  <w:style w:type="paragraph" w:customStyle="1" w:styleId="TableHeaderRow">
    <w:name w:val="Table Header Row"/>
    <w:basedOn w:val="Normal"/>
    <w:qFormat/>
    <w:rsid w:val="00E84DC4"/>
    <w:pPr>
      <w:framePr w:hSpace="180" w:wrap="around" w:vAnchor="page" w:hAnchor="margin" w:y="5061"/>
      <w:suppressAutoHyphens/>
      <w:spacing w:before="60" w:after="60" w:line="260" w:lineRule="atLeast"/>
    </w:pPr>
    <w:rPr>
      <w:rFonts w:ascii="Calibri" w:hAnsi="Calibri"/>
      <w:b/>
      <w:color w:val="485865" w:themeColor="text2"/>
      <w:szCs w:val="21"/>
    </w:rPr>
  </w:style>
  <w:style w:type="character" w:customStyle="1" w:styleId="UnresolvedMention1">
    <w:name w:val="Unresolved Mention1"/>
    <w:basedOn w:val="DefaultParagraphFont"/>
    <w:uiPriority w:val="99"/>
    <w:semiHidden/>
    <w:unhideWhenUsed/>
    <w:rsid w:val="00F72143"/>
    <w:rPr>
      <w:color w:val="808080"/>
      <w:shd w:val="clear" w:color="auto" w:fill="E6E6E6"/>
    </w:rPr>
  </w:style>
  <w:style w:type="paragraph" w:customStyle="1" w:styleId="Box1Heading">
    <w:name w:val="Box 1 Heading"/>
    <w:basedOn w:val="Box1Text"/>
    <w:qFormat/>
    <w:rsid w:val="00DD6D61"/>
    <w:pPr>
      <w:keepNext/>
      <w:spacing w:line="300" w:lineRule="atLeast"/>
    </w:pPr>
    <w:rPr>
      <w:b/>
      <w:color w:val="495965"/>
      <w:sz w:val="26"/>
    </w:rPr>
  </w:style>
  <w:style w:type="paragraph" w:customStyle="1" w:styleId="Box1Bullet">
    <w:name w:val="Box 1 Bullet"/>
    <w:basedOn w:val="Box1Text"/>
    <w:qFormat/>
    <w:rsid w:val="00DD6D61"/>
    <w:pPr>
      <w:numPr>
        <w:numId w:val="11"/>
      </w:numPr>
      <w:ind w:left="454" w:hanging="170"/>
    </w:pPr>
    <w:rPr>
      <w:color w:val="495965"/>
    </w:rPr>
  </w:style>
  <w:style w:type="character" w:styleId="FollowedHyperlink">
    <w:name w:val="FollowedHyperlink"/>
    <w:basedOn w:val="DefaultParagraphFont"/>
    <w:uiPriority w:val="99"/>
    <w:semiHidden/>
    <w:unhideWhenUsed/>
    <w:rsid w:val="005E11EA"/>
    <w:rPr>
      <w:color w:val="434343" w:themeColor="followedHyperlink"/>
      <w:u w:val="single"/>
    </w:rPr>
  </w:style>
  <w:style w:type="paragraph" w:styleId="Index5">
    <w:name w:val="index 5"/>
    <w:basedOn w:val="Normal"/>
    <w:next w:val="Normal"/>
    <w:autoRedefine/>
    <w:uiPriority w:val="99"/>
    <w:semiHidden/>
    <w:unhideWhenUsed/>
    <w:rsid w:val="002C716A"/>
    <w:pPr>
      <w:ind w:left="1100" w:hanging="220"/>
    </w:pPr>
  </w:style>
  <w:style w:type="character" w:customStyle="1" w:styleId="UnresolvedMention2">
    <w:name w:val="Unresolved Mention2"/>
    <w:basedOn w:val="DefaultParagraphFont"/>
    <w:uiPriority w:val="99"/>
    <w:semiHidden/>
    <w:unhideWhenUsed/>
    <w:rsid w:val="00714718"/>
    <w:rPr>
      <w:color w:val="808080"/>
      <w:shd w:val="clear" w:color="auto" w:fill="E6E6E6"/>
    </w:rPr>
  </w:style>
  <w:style w:type="character" w:customStyle="1" w:styleId="UnresolvedMention3">
    <w:name w:val="Unresolved Mention3"/>
    <w:basedOn w:val="DefaultParagraphFont"/>
    <w:uiPriority w:val="99"/>
    <w:semiHidden/>
    <w:unhideWhenUsed/>
    <w:rsid w:val="00B07AA8"/>
    <w:rPr>
      <w:color w:val="808080"/>
      <w:shd w:val="clear" w:color="auto" w:fill="E6E6E6"/>
    </w:rPr>
  </w:style>
  <w:style w:type="table" w:customStyle="1" w:styleId="TableGrid2">
    <w:name w:val="Table Grid2"/>
    <w:basedOn w:val="TableNormal"/>
    <w:next w:val="TableGrid"/>
    <w:uiPriority w:val="39"/>
    <w:rsid w:val="005F471C"/>
    <w:pPr>
      <w:spacing w:after="0" w:line="240" w:lineRule="auto"/>
    </w:pPr>
    <w:rPr>
      <w:color w:val="434343" w:themeColor="text1"/>
    </w:rPr>
    <w:tblPr>
      <w:tblBorders>
        <w:bottom w:val="single" w:sz="2" w:space="0" w:color="485865" w:themeColor="text2"/>
        <w:insideH w:val="single" w:sz="2" w:space="0" w:color="485865" w:themeColor="text2"/>
      </w:tblBorders>
      <w:tblCellMar>
        <w:top w:w="85" w:type="dxa"/>
        <w:left w:w="113" w:type="dxa"/>
        <w:bottom w:w="57" w:type="dxa"/>
        <w:right w:w="57" w:type="dxa"/>
      </w:tblCellMar>
    </w:tblPr>
    <w:tblStylePr w:type="firstRow">
      <w:pPr>
        <w:jc w:val="left"/>
      </w:pPr>
      <w:rPr>
        <w:b w:val="0"/>
        <w:color w:val="485865" w:themeColor="text2"/>
      </w:rPr>
      <w:tblPr/>
      <w:tcPr>
        <w:tcBorders>
          <w:top w:val="nil"/>
          <w:left w:val="nil"/>
          <w:bottom w:val="single" w:sz="12" w:space="0" w:color="FFFFFF" w:themeColor="background1"/>
          <w:right w:val="nil"/>
          <w:insideH w:val="nil"/>
          <w:insideV w:val="nil"/>
          <w:tl2br w:val="nil"/>
          <w:tr2bl w:val="nil"/>
        </w:tcBorders>
        <w:shd w:val="clear" w:color="auto" w:fill="007C89"/>
      </w:tcPr>
    </w:tblStylePr>
    <w:tblStylePr w:type="lastRow">
      <w:rPr>
        <w:b w:val="0"/>
        <w:color w:val="FFFFFF" w:themeColor="background1"/>
      </w:rPr>
      <w:tblPr/>
      <w:tcPr>
        <w:shd w:val="clear" w:color="auto" w:fill="485865" w:themeFill="text2"/>
      </w:tcPr>
    </w:tblStylePr>
    <w:tblStylePr w:type="firstCol">
      <w:tblPr/>
      <w:tcPr>
        <w:shd w:val="clear" w:color="auto" w:fill="D8DBDA" w:themeFill="accent5"/>
      </w:tcPr>
    </w:tblStylePr>
  </w:style>
  <w:style w:type="character" w:customStyle="1" w:styleId="UnresolvedMention4">
    <w:name w:val="Unresolved Mention4"/>
    <w:basedOn w:val="DefaultParagraphFont"/>
    <w:uiPriority w:val="99"/>
    <w:semiHidden/>
    <w:unhideWhenUsed/>
    <w:rsid w:val="00585B77"/>
    <w:rPr>
      <w:color w:val="808080"/>
      <w:shd w:val="clear" w:color="auto" w:fill="E6E6E6"/>
    </w:rPr>
  </w:style>
  <w:style w:type="character" w:customStyle="1" w:styleId="UnresolvedMention5">
    <w:name w:val="Unresolved Mention5"/>
    <w:basedOn w:val="DefaultParagraphFont"/>
    <w:uiPriority w:val="99"/>
    <w:semiHidden/>
    <w:unhideWhenUsed/>
    <w:rsid w:val="00E20B7A"/>
    <w:rPr>
      <w:color w:val="808080"/>
      <w:shd w:val="clear" w:color="auto" w:fill="E6E6E6"/>
    </w:rPr>
  </w:style>
  <w:style w:type="table" w:customStyle="1" w:styleId="TableGrid11">
    <w:name w:val="Table Grid11"/>
    <w:basedOn w:val="TableNormal"/>
    <w:next w:val="TableGrid"/>
    <w:uiPriority w:val="39"/>
    <w:rsid w:val="008D0F1E"/>
    <w:pPr>
      <w:spacing w:after="0" w:line="240" w:lineRule="auto"/>
    </w:pPr>
    <w:rPr>
      <w:color w:val="434343"/>
    </w:rPr>
    <w:tblPr>
      <w:tblBorders>
        <w:bottom w:val="single" w:sz="2" w:space="0" w:color="485865"/>
        <w:insideH w:val="single" w:sz="2" w:space="0" w:color="485865"/>
      </w:tblBorders>
      <w:tblCellMar>
        <w:top w:w="85" w:type="dxa"/>
        <w:left w:w="113" w:type="dxa"/>
        <w:bottom w:w="57" w:type="dxa"/>
        <w:right w:w="57" w:type="dxa"/>
      </w:tblCellMar>
    </w:tblPr>
    <w:tblStylePr w:type="firstRow">
      <w:pPr>
        <w:jc w:val="left"/>
      </w:pPr>
      <w:rPr>
        <w:b w:val="0"/>
        <w:color w:val="485865"/>
      </w:rPr>
      <w:tblPr/>
      <w:tcPr>
        <w:tcBorders>
          <w:top w:val="nil"/>
          <w:left w:val="nil"/>
          <w:bottom w:val="single" w:sz="12" w:space="0" w:color="FFFFFF"/>
          <w:right w:val="nil"/>
          <w:insideH w:val="nil"/>
          <w:insideV w:val="nil"/>
          <w:tl2br w:val="nil"/>
          <w:tr2bl w:val="nil"/>
        </w:tcBorders>
        <w:shd w:val="clear" w:color="auto" w:fill="007C89"/>
      </w:tcPr>
    </w:tblStylePr>
    <w:tblStylePr w:type="lastRow">
      <w:rPr>
        <w:b w:val="0"/>
        <w:color w:val="FFFFFF"/>
      </w:rPr>
      <w:tblPr/>
      <w:tcPr>
        <w:shd w:val="clear" w:color="auto" w:fill="485865"/>
      </w:tcPr>
    </w:tblStylePr>
    <w:tblStylePr w:type="firstCol">
      <w:tblPr/>
      <w:tcPr>
        <w:shd w:val="clear" w:color="auto" w:fill="D8DBDA"/>
      </w:tcPr>
    </w:tblStylePr>
  </w:style>
  <w:style w:type="character" w:customStyle="1" w:styleId="UnresolvedMention6">
    <w:name w:val="Unresolved Mention6"/>
    <w:basedOn w:val="DefaultParagraphFont"/>
    <w:uiPriority w:val="99"/>
    <w:semiHidden/>
    <w:unhideWhenUsed/>
    <w:rsid w:val="00506F11"/>
    <w:rPr>
      <w:color w:val="605E5C"/>
      <w:shd w:val="clear" w:color="auto" w:fill="E1DFDD"/>
    </w:rPr>
  </w:style>
  <w:style w:type="character" w:customStyle="1" w:styleId="UnresolvedMention7">
    <w:name w:val="Unresolved Mention7"/>
    <w:basedOn w:val="DefaultParagraphFont"/>
    <w:uiPriority w:val="99"/>
    <w:semiHidden/>
    <w:unhideWhenUsed/>
    <w:rsid w:val="005B428D"/>
    <w:rPr>
      <w:color w:val="605E5C"/>
      <w:shd w:val="clear" w:color="auto" w:fill="E1DFDD"/>
    </w:rPr>
  </w:style>
  <w:style w:type="character" w:customStyle="1" w:styleId="italic">
    <w:name w:val="italic"/>
    <w:basedOn w:val="DefaultParagraphFont"/>
    <w:rsid w:val="00827D2D"/>
  </w:style>
  <w:style w:type="character" w:customStyle="1" w:styleId="UnresolvedMention">
    <w:name w:val="Unresolved Mention"/>
    <w:basedOn w:val="DefaultParagraphFont"/>
    <w:uiPriority w:val="99"/>
    <w:semiHidden/>
    <w:unhideWhenUsed/>
    <w:rsid w:val="00000AA1"/>
    <w:rPr>
      <w:color w:val="605E5C"/>
      <w:shd w:val="clear" w:color="auto" w:fill="E1DFDD"/>
    </w:rPr>
  </w:style>
  <w:style w:type="paragraph" w:customStyle="1" w:styleId="Heading1Numbered">
    <w:name w:val="Heading 1 Numbered"/>
    <w:basedOn w:val="Heading1"/>
    <w:next w:val="Normal"/>
    <w:qFormat/>
    <w:rsid w:val="00643E4F"/>
    <w:pPr>
      <w:numPr>
        <w:numId w:val="36"/>
      </w:numPr>
      <w:suppressAutoHyphens/>
      <w:spacing w:after="180" w:line="380" w:lineRule="exact"/>
      <w:contextualSpacing/>
    </w:pPr>
    <w:rPr>
      <w:bCs/>
      <w:color w:val="485865" w:themeColor="text2"/>
      <w:spacing w:val="0"/>
      <w:szCs w:val="28"/>
    </w:rPr>
  </w:style>
  <w:style w:type="paragraph" w:customStyle="1" w:styleId="Heading2Numbered">
    <w:name w:val="Heading 2 Numbered"/>
    <w:basedOn w:val="Heading2"/>
    <w:next w:val="Normal"/>
    <w:qFormat/>
    <w:rsid w:val="00643E4F"/>
    <w:pPr>
      <w:numPr>
        <w:ilvl w:val="1"/>
        <w:numId w:val="36"/>
      </w:numPr>
      <w:suppressAutoHyphens/>
      <w:spacing w:before="480" w:after="60" w:line="380" w:lineRule="exact"/>
      <w:contextualSpacing/>
    </w:pPr>
    <w:rPr>
      <w:bCs/>
      <w:caps/>
      <w:color w:val="485865" w:themeColor="text2"/>
      <w:spacing w:val="0"/>
    </w:rPr>
  </w:style>
  <w:style w:type="paragraph" w:customStyle="1" w:styleId="Heading3Numbered">
    <w:name w:val="Heading 3 Numbered"/>
    <w:basedOn w:val="Heading3"/>
    <w:next w:val="Normal"/>
    <w:qFormat/>
    <w:rsid w:val="00643E4F"/>
    <w:pPr>
      <w:numPr>
        <w:ilvl w:val="2"/>
        <w:numId w:val="36"/>
      </w:numPr>
      <w:suppressAutoHyphens/>
      <w:spacing w:before="300" w:after="60" w:line="360" w:lineRule="atLeast"/>
      <w:contextualSpacing/>
    </w:pPr>
    <w:rPr>
      <w:bCs/>
      <w:sz w:val="30"/>
    </w:rPr>
  </w:style>
  <w:style w:type="numbering" w:customStyle="1" w:styleId="HeadingsList">
    <w:name w:val="Headings List"/>
    <w:uiPriority w:val="99"/>
    <w:rsid w:val="00643E4F"/>
    <w:pPr>
      <w:numPr>
        <w:numId w:val="36"/>
      </w:numPr>
    </w:pPr>
  </w:style>
  <w:style w:type="character" w:customStyle="1" w:styleId="ColourAccent1">
    <w:name w:val="Colour Accent 1"/>
    <w:basedOn w:val="DefaultParagraphFont"/>
    <w:uiPriority w:val="1"/>
    <w:qFormat/>
    <w:locked/>
    <w:rsid w:val="00643E4F"/>
    <w:rPr>
      <w:color w:val="007C89" w:themeColor="accent1"/>
    </w:rPr>
  </w:style>
  <w:style w:type="table" w:customStyle="1" w:styleId="PlainTable21">
    <w:name w:val="Plain Table 21"/>
    <w:basedOn w:val="TableNormal"/>
    <w:uiPriority w:val="42"/>
    <w:locked/>
    <w:rsid w:val="00394279"/>
    <w:pPr>
      <w:spacing w:after="0" w:line="240" w:lineRule="auto"/>
    </w:pPr>
    <w:tblPr>
      <w:tblStyleRowBandSize w:val="1"/>
      <w:tblStyleColBandSize w:val="1"/>
      <w:tblBorders>
        <w:top w:val="single" w:sz="4" w:space="0" w:color="A0A0A0" w:themeColor="text1" w:themeTint="80"/>
        <w:bottom w:val="single" w:sz="4" w:space="0" w:color="A0A0A0" w:themeColor="text1" w:themeTint="80"/>
      </w:tblBorders>
    </w:tblPr>
    <w:tblStylePr w:type="firstRow">
      <w:rPr>
        <w:b w:val="0"/>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paragraph" w:customStyle="1" w:styleId="p1">
    <w:name w:val="p1"/>
    <w:basedOn w:val="Normal"/>
    <w:rsid w:val="000C0D25"/>
    <w:pPr>
      <w:spacing w:before="63" w:after="21" w:line="195" w:lineRule="atLeast"/>
    </w:pPr>
    <w:rPr>
      <w:rFonts w:ascii="Ubuntu Light" w:hAnsi="Ubuntu Light" w:cs="Times New Roman"/>
      <w:sz w:val="14"/>
      <w:szCs w:val="14"/>
      <w:lang w:eastAsia="en-GB"/>
    </w:rPr>
  </w:style>
  <w:style w:type="paragraph" w:customStyle="1" w:styleId="p2">
    <w:name w:val="p2"/>
    <w:basedOn w:val="Normal"/>
    <w:rsid w:val="000C0D25"/>
    <w:pPr>
      <w:spacing w:before="63" w:after="21" w:line="195" w:lineRule="atLeast"/>
    </w:pPr>
    <w:rPr>
      <w:rFonts w:ascii="Ubuntu Light" w:hAnsi="Ubuntu Light" w:cs="Times New Roman"/>
      <w:sz w:val="14"/>
      <w:szCs w:val="14"/>
      <w:lang w:eastAsia="en-GB"/>
    </w:rPr>
  </w:style>
  <w:style w:type="character" w:customStyle="1" w:styleId="s1">
    <w:name w:val="s1"/>
    <w:basedOn w:val="DefaultParagraphFont"/>
    <w:rsid w:val="000C0D25"/>
    <w:rPr>
      <w:spacing w:val="-2"/>
    </w:rPr>
  </w:style>
  <w:style w:type="character" w:customStyle="1" w:styleId="s2">
    <w:name w:val="s2"/>
    <w:basedOn w:val="DefaultParagraphFont"/>
    <w:rsid w:val="000C0D25"/>
    <w:rPr>
      <w:spacing w:val="-3"/>
    </w:rPr>
  </w:style>
  <w:style w:type="character" w:customStyle="1" w:styleId="apple-converted-space">
    <w:name w:val="apple-converted-space"/>
    <w:basedOn w:val="DefaultParagraphFont"/>
    <w:rsid w:val="000C0D25"/>
  </w:style>
  <w:style w:type="paragraph" w:customStyle="1" w:styleId="p3">
    <w:name w:val="p3"/>
    <w:basedOn w:val="Normal"/>
    <w:rsid w:val="000C0D25"/>
    <w:pPr>
      <w:spacing w:before="63" w:after="21" w:line="195" w:lineRule="atLeast"/>
    </w:pPr>
    <w:rPr>
      <w:rFonts w:ascii="Ubuntu" w:hAnsi="Ubuntu" w:cs="Times New Roman"/>
      <w:color w:val="FFFFFF"/>
      <w:sz w:val="14"/>
      <w:szCs w:val="14"/>
      <w:lang w:eastAsia="en-GB"/>
    </w:rPr>
  </w:style>
  <w:style w:type="paragraph" w:customStyle="1" w:styleId="p4">
    <w:name w:val="p4"/>
    <w:basedOn w:val="Normal"/>
    <w:rsid w:val="000C0D25"/>
    <w:pPr>
      <w:spacing w:after="21" w:line="195" w:lineRule="atLeast"/>
    </w:pPr>
    <w:rPr>
      <w:rFonts w:ascii="Ubuntu Light" w:hAnsi="Ubuntu Light" w:cs="Times New Roman"/>
      <w:sz w:val="14"/>
      <w:szCs w:val="14"/>
      <w:lang w:eastAsia="en-GB"/>
    </w:rPr>
  </w:style>
  <w:style w:type="paragraph" w:customStyle="1" w:styleId="p5">
    <w:name w:val="p5"/>
    <w:basedOn w:val="Normal"/>
    <w:rsid w:val="000C0D25"/>
    <w:pPr>
      <w:spacing w:before="63" w:after="21" w:line="195" w:lineRule="atLeast"/>
    </w:pPr>
    <w:rPr>
      <w:rFonts w:ascii="Ubuntu Light" w:hAnsi="Ubuntu Light" w:cs="Times New Roman"/>
      <w:sz w:val="14"/>
      <w:szCs w:val="14"/>
      <w:lang w:eastAsia="en-GB"/>
    </w:rPr>
  </w:style>
  <w:style w:type="paragraph" w:customStyle="1" w:styleId="p6">
    <w:name w:val="p6"/>
    <w:basedOn w:val="Normal"/>
    <w:rsid w:val="000C0D25"/>
    <w:pPr>
      <w:spacing w:before="63" w:after="21" w:line="195" w:lineRule="atLeast"/>
    </w:pPr>
    <w:rPr>
      <w:rFonts w:ascii="Ubuntu Light" w:hAnsi="Ubuntu Light" w:cs="Times New Roman"/>
      <w:sz w:val="14"/>
      <w:szCs w:val="14"/>
      <w:lang w:eastAsia="en-GB"/>
    </w:rPr>
  </w:style>
  <w:style w:type="paragraph" w:customStyle="1" w:styleId="p7">
    <w:name w:val="p7"/>
    <w:basedOn w:val="Normal"/>
    <w:rsid w:val="000C0D25"/>
    <w:pPr>
      <w:spacing w:before="44" w:line="195" w:lineRule="atLeast"/>
      <w:ind w:left="213" w:hanging="213"/>
    </w:pPr>
    <w:rPr>
      <w:rFonts w:ascii="Ubuntu Light" w:hAnsi="Ubuntu Light" w:cs="Times New Roman"/>
      <w:sz w:val="14"/>
      <w:szCs w:val="14"/>
      <w:lang w:eastAsia="en-GB"/>
    </w:rPr>
  </w:style>
  <w:style w:type="paragraph" w:customStyle="1" w:styleId="p8">
    <w:name w:val="p8"/>
    <w:basedOn w:val="Normal"/>
    <w:rsid w:val="000C0D25"/>
    <w:pPr>
      <w:spacing w:before="63" w:after="21" w:line="195" w:lineRule="atLeast"/>
      <w:ind w:left="213" w:hanging="213"/>
    </w:pPr>
    <w:rPr>
      <w:rFonts w:ascii="Ubuntu Light" w:hAnsi="Ubuntu Light" w:cs="Times New Roman"/>
      <w:sz w:val="14"/>
      <w:szCs w:val="14"/>
      <w:lang w:eastAsia="en-GB"/>
    </w:rPr>
  </w:style>
  <w:style w:type="paragraph" w:customStyle="1" w:styleId="p9">
    <w:name w:val="p9"/>
    <w:basedOn w:val="Normal"/>
    <w:rsid w:val="000C0D25"/>
    <w:pPr>
      <w:spacing w:before="63" w:after="21" w:line="180" w:lineRule="atLeast"/>
    </w:pPr>
    <w:rPr>
      <w:rFonts w:ascii="Ubuntu Light" w:hAnsi="Ubuntu Light" w:cs="Times New Roman"/>
      <w:sz w:val="14"/>
      <w:szCs w:val="14"/>
      <w:lang w:eastAsia="en-GB"/>
    </w:rPr>
  </w:style>
  <w:style w:type="paragraph" w:customStyle="1" w:styleId="p10">
    <w:name w:val="p10"/>
    <w:basedOn w:val="Normal"/>
    <w:rsid w:val="000C0D25"/>
    <w:pPr>
      <w:spacing w:before="63" w:after="21" w:line="195" w:lineRule="atLeast"/>
    </w:pPr>
    <w:rPr>
      <w:rFonts w:ascii="Ubuntu Light" w:hAnsi="Ubuntu Light" w:cs="Times New Roman"/>
      <w:sz w:val="15"/>
      <w:szCs w:val="15"/>
      <w:lang w:eastAsia="en-GB"/>
    </w:rPr>
  </w:style>
  <w:style w:type="character" w:customStyle="1" w:styleId="s3">
    <w:name w:val="s3"/>
    <w:basedOn w:val="DefaultParagraphFont"/>
    <w:rsid w:val="000C0D25"/>
    <w:rPr>
      <w:spacing w:val="-5"/>
    </w:rPr>
  </w:style>
  <w:style w:type="character" w:customStyle="1" w:styleId="s4">
    <w:name w:val="s4"/>
    <w:basedOn w:val="DefaultParagraphFont"/>
    <w:rsid w:val="000C0D25"/>
    <w:rPr>
      <w:rFonts w:ascii="Ubuntu" w:hAnsi="Ubuntu" w:hint="default"/>
      <w:position w:val="3074"/>
      <w:sz w:val="12"/>
      <w:szCs w:val="12"/>
    </w:rPr>
  </w:style>
  <w:style w:type="paragraph" w:customStyle="1" w:styleId="Tablehead">
    <w:name w:val="Table head"/>
    <w:basedOn w:val="Caption"/>
    <w:qFormat/>
    <w:rsid w:val="00CB151B"/>
    <w:pPr>
      <w:keepNext/>
    </w:pPr>
    <w:rPr>
      <w:b/>
      <w:iCs w:val="0"/>
      <w:color w:val="296C60" w:themeColor="background2" w:themeShade="80"/>
      <w:sz w:val="22"/>
      <w:szCs w:val="23"/>
    </w:rPr>
  </w:style>
  <w:style w:type="paragraph" w:customStyle="1" w:styleId="Pa14">
    <w:name w:val="Pa14"/>
    <w:basedOn w:val="Default"/>
    <w:next w:val="Default"/>
    <w:uiPriority w:val="99"/>
    <w:rsid w:val="0023126F"/>
    <w:pPr>
      <w:spacing w:line="241" w:lineRule="atLeast"/>
    </w:pPr>
    <w:rPr>
      <w:rFonts w:ascii="Dosis" w:hAnsi="Dosis" w:cstheme="minorBidi"/>
      <w:color w:val="auto"/>
    </w:rPr>
  </w:style>
  <w:style w:type="paragraph" w:customStyle="1" w:styleId="Pa15">
    <w:name w:val="Pa15"/>
    <w:basedOn w:val="Default"/>
    <w:next w:val="Default"/>
    <w:uiPriority w:val="99"/>
    <w:rsid w:val="0023126F"/>
    <w:pPr>
      <w:spacing w:line="181" w:lineRule="atLeast"/>
    </w:pPr>
    <w:rPr>
      <w:rFonts w:ascii="Dosis" w:hAnsi="Dosi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314">
      <w:bodyDiv w:val="1"/>
      <w:marLeft w:val="0"/>
      <w:marRight w:val="0"/>
      <w:marTop w:val="0"/>
      <w:marBottom w:val="0"/>
      <w:divBdr>
        <w:top w:val="none" w:sz="0" w:space="0" w:color="auto"/>
        <w:left w:val="none" w:sz="0" w:space="0" w:color="auto"/>
        <w:bottom w:val="none" w:sz="0" w:space="0" w:color="auto"/>
        <w:right w:val="none" w:sz="0" w:space="0" w:color="auto"/>
      </w:divBdr>
    </w:div>
    <w:div w:id="63142058">
      <w:bodyDiv w:val="1"/>
      <w:marLeft w:val="0"/>
      <w:marRight w:val="0"/>
      <w:marTop w:val="0"/>
      <w:marBottom w:val="0"/>
      <w:divBdr>
        <w:top w:val="none" w:sz="0" w:space="0" w:color="auto"/>
        <w:left w:val="none" w:sz="0" w:space="0" w:color="auto"/>
        <w:bottom w:val="none" w:sz="0" w:space="0" w:color="auto"/>
        <w:right w:val="none" w:sz="0" w:space="0" w:color="auto"/>
      </w:divBdr>
    </w:div>
    <w:div w:id="310715031">
      <w:bodyDiv w:val="1"/>
      <w:marLeft w:val="0"/>
      <w:marRight w:val="0"/>
      <w:marTop w:val="0"/>
      <w:marBottom w:val="0"/>
      <w:divBdr>
        <w:top w:val="none" w:sz="0" w:space="0" w:color="auto"/>
        <w:left w:val="none" w:sz="0" w:space="0" w:color="auto"/>
        <w:bottom w:val="none" w:sz="0" w:space="0" w:color="auto"/>
        <w:right w:val="none" w:sz="0" w:space="0" w:color="auto"/>
      </w:divBdr>
    </w:div>
    <w:div w:id="367529193">
      <w:bodyDiv w:val="1"/>
      <w:marLeft w:val="0"/>
      <w:marRight w:val="0"/>
      <w:marTop w:val="0"/>
      <w:marBottom w:val="0"/>
      <w:divBdr>
        <w:top w:val="none" w:sz="0" w:space="0" w:color="auto"/>
        <w:left w:val="none" w:sz="0" w:space="0" w:color="auto"/>
        <w:bottom w:val="none" w:sz="0" w:space="0" w:color="auto"/>
        <w:right w:val="none" w:sz="0" w:space="0" w:color="auto"/>
      </w:divBdr>
    </w:div>
    <w:div w:id="428544349">
      <w:bodyDiv w:val="1"/>
      <w:marLeft w:val="0"/>
      <w:marRight w:val="0"/>
      <w:marTop w:val="0"/>
      <w:marBottom w:val="0"/>
      <w:divBdr>
        <w:top w:val="none" w:sz="0" w:space="0" w:color="auto"/>
        <w:left w:val="none" w:sz="0" w:space="0" w:color="auto"/>
        <w:bottom w:val="none" w:sz="0" w:space="0" w:color="auto"/>
        <w:right w:val="none" w:sz="0" w:space="0" w:color="auto"/>
      </w:divBdr>
    </w:div>
    <w:div w:id="428818094">
      <w:bodyDiv w:val="1"/>
      <w:marLeft w:val="0"/>
      <w:marRight w:val="0"/>
      <w:marTop w:val="0"/>
      <w:marBottom w:val="0"/>
      <w:divBdr>
        <w:top w:val="none" w:sz="0" w:space="0" w:color="auto"/>
        <w:left w:val="none" w:sz="0" w:space="0" w:color="auto"/>
        <w:bottom w:val="none" w:sz="0" w:space="0" w:color="auto"/>
        <w:right w:val="none" w:sz="0" w:space="0" w:color="auto"/>
      </w:divBdr>
    </w:div>
    <w:div w:id="473639932">
      <w:bodyDiv w:val="1"/>
      <w:marLeft w:val="0"/>
      <w:marRight w:val="0"/>
      <w:marTop w:val="0"/>
      <w:marBottom w:val="0"/>
      <w:divBdr>
        <w:top w:val="none" w:sz="0" w:space="0" w:color="auto"/>
        <w:left w:val="none" w:sz="0" w:space="0" w:color="auto"/>
        <w:bottom w:val="none" w:sz="0" w:space="0" w:color="auto"/>
        <w:right w:val="none" w:sz="0" w:space="0" w:color="auto"/>
      </w:divBdr>
    </w:div>
    <w:div w:id="623804254">
      <w:bodyDiv w:val="1"/>
      <w:marLeft w:val="0"/>
      <w:marRight w:val="0"/>
      <w:marTop w:val="0"/>
      <w:marBottom w:val="0"/>
      <w:divBdr>
        <w:top w:val="none" w:sz="0" w:space="0" w:color="auto"/>
        <w:left w:val="none" w:sz="0" w:space="0" w:color="auto"/>
        <w:bottom w:val="none" w:sz="0" w:space="0" w:color="auto"/>
        <w:right w:val="none" w:sz="0" w:space="0" w:color="auto"/>
      </w:divBdr>
    </w:div>
    <w:div w:id="707334455">
      <w:bodyDiv w:val="1"/>
      <w:marLeft w:val="0"/>
      <w:marRight w:val="0"/>
      <w:marTop w:val="0"/>
      <w:marBottom w:val="0"/>
      <w:divBdr>
        <w:top w:val="none" w:sz="0" w:space="0" w:color="auto"/>
        <w:left w:val="none" w:sz="0" w:space="0" w:color="auto"/>
        <w:bottom w:val="none" w:sz="0" w:space="0" w:color="auto"/>
        <w:right w:val="none" w:sz="0" w:space="0" w:color="auto"/>
      </w:divBdr>
    </w:div>
    <w:div w:id="755171395">
      <w:bodyDiv w:val="1"/>
      <w:marLeft w:val="0"/>
      <w:marRight w:val="0"/>
      <w:marTop w:val="0"/>
      <w:marBottom w:val="0"/>
      <w:divBdr>
        <w:top w:val="none" w:sz="0" w:space="0" w:color="auto"/>
        <w:left w:val="none" w:sz="0" w:space="0" w:color="auto"/>
        <w:bottom w:val="none" w:sz="0" w:space="0" w:color="auto"/>
        <w:right w:val="none" w:sz="0" w:space="0" w:color="auto"/>
      </w:divBdr>
    </w:div>
    <w:div w:id="774596109">
      <w:bodyDiv w:val="1"/>
      <w:marLeft w:val="0"/>
      <w:marRight w:val="0"/>
      <w:marTop w:val="0"/>
      <w:marBottom w:val="0"/>
      <w:divBdr>
        <w:top w:val="none" w:sz="0" w:space="0" w:color="auto"/>
        <w:left w:val="none" w:sz="0" w:space="0" w:color="auto"/>
        <w:bottom w:val="none" w:sz="0" w:space="0" w:color="auto"/>
        <w:right w:val="none" w:sz="0" w:space="0" w:color="auto"/>
      </w:divBdr>
    </w:div>
    <w:div w:id="798570793">
      <w:bodyDiv w:val="1"/>
      <w:marLeft w:val="0"/>
      <w:marRight w:val="0"/>
      <w:marTop w:val="0"/>
      <w:marBottom w:val="0"/>
      <w:divBdr>
        <w:top w:val="none" w:sz="0" w:space="0" w:color="auto"/>
        <w:left w:val="none" w:sz="0" w:space="0" w:color="auto"/>
        <w:bottom w:val="none" w:sz="0" w:space="0" w:color="auto"/>
        <w:right w:val="none" w:sz="0" w:space="0" w:color="auto"/>
      </w:divBdr>
    </w:div>
    <w:div w:id="861360956">
      <w:bodyDiv w:val="1"/>
      <w:marLeft w:val="0"/>
      <w:marRight w:val="0"/>
      <w:marTop w:val="0"/>
      <w:marBottom w:val="0"/>
      <w:divBdr>
        <w:top w:val="none" w:sz="0" w:space="0" w:color="auto"/>
        <w:left w:val="none" w:sz="0" w:space="0" w:color="auto"/>
        <w:bottom w:val="none" w:sz="0" w:space="0" w:color="auto"/>
        <w:right w:val="none" w:sz="0" w:space="0" w:color="auto"/>
      </w:divBdr>
    </w:div>
    <w:div w:id="878474494">
      <w:bodyDiv w:val="1"/>
      <w:marLeft w:val="0"/>
      <w:marRight w:val="0"/>
      <w:marTop w:val="0"/>
      <w:marBottom w:val="0"/>
      <w:divBdr>
        <w:top w:val="none" w:sz="0" w:space="0" w:color="auto"/>
        <w:left w:val="none" w:sz="0" w:space="0" w:color="auto"/>
        <w:bottom w:val="none" w:sz="0" w:space="0" w:color="auto"/>
        <w:right w:val="none" w:sz="0" w:space="0" w:color="auto"/>
      </w:divBdr>
    </w:div>
    <w:div w:id="934435037">
      <w:bodyDiv w:val="1"/>
      <w:marLeft w:val="0"/>
      <w:marRight w:val="0"/>
      <w:marTop w:val="0"/>
      <w:marBottom w:val="0"/>
      <w:divBdr>
        <w:top w:val="none" w:sz="0" w:space="0" w:color="auto"/>
        <w:left w:val="none" w:sz="0" w:space="0" w:color="auto"/>
        <w:bottom w:val="none" w:sz="0" w:space="0" w:color="auto"/>
        <w:right w:val="none" w:sz="0" w:space="0" w:color="auto"/>
      </w:divBdr>
    </w:div>
    <w:div w:id="1000735973">
      <w:bodyDiv w:val="1"/>
      <w:marLeft w:val="0"/>
      <w:marRight w:val="0"/>
      <w:marTop w:val="0"/>
      <w:marBottom w:val="0"/>
      <w:divBdr>
        <w:top w:val="none" w:sz="0" w:space="0" w:color="auto"/>
        <w:left w:val="none" w:sz="0" w:space="0" w:color="auto"/>
        <w:bottom w:val="none" w:sz="0" w:space="0" w:color="auto"/>
        <w:right w:val="none" w:sz="0" w:space="0" w:color="auto"/>
      </w:divBdr>
    </w:div>
    <w:div w:id="1044868951">
      <w:bodyDiv w:val="1"/>
      <w:marLeft w:val="0"/>
      <w:marRight w:val="0"/>
      <w:marTop w:val="0"/>
      <w:marBottom w:val="0"/>
      <w:divBdr>
        <w:top w:val="none" w:sz="0" w:space="0" w:color="auto"/>
        <w:left w:val="none" w:sz="0" w:space="0" w:color="auto"/>
        <w:bottom w:val="none" w:sz="0" w:space="0" w:color="auto"/>
        <w:right w:val="none" w:sz="0" w:space="0" w:color="auto"/>
      </w:divBdr>
    </w:div>
    <w:div w:id="1088237927">
      <w:bodyDiv w:val="1"/>
      <w:marLeft w:val="0"/>
      <w:marRight w:val="0"/>
      <w:marTop w:val="0"/>
      <w:marBottom w:val="0"/>
      <w:divBdr>
        <w:top w:val="none" w:sz="0" w:space="0" w:color="auto"/>
        <w:left w:val="none" w:sz="0" w:space="0" w:color="auto"/>
        <w:bottom w:val="none" w:sz="0" w:space="0" w:color="auto"/>
        <w:right w:val="none" w:sz="0" w:space="0" w:color="auto"/>
      </w:divBdr>
    </w:div>
    <w:div w:id="1135101475">
      <w:bodyDiv w:val="1"/>
      <w:marLeft w:val="0"/>
      <w:marRight w:val="0"/>
      <w:marTop w:val="0"/>
      <w:marBottom w:val="0"/>
      <w:divBdr>
        <w:top w:val="none" w:sz="0" w:space="0" w:color="auto"/>
        <w:left w:val="none" w:sz="0" w:space="0" w:color="auto"/>
        <w:bottom w:val="none" w:sz="0" w:space="0" w:color="auto"/>
        <w:right w:val="none" w:sz="0" w:space="0" w:color="auto"/>
      </w:divBdr>
    </w:div>
    <w:div w:id="1137529450">
      <w:bodyDiv w:val="1"/>
      <w:marLeft w:val="0"/>
      <w:marRight w:val="0"/>
      <w:marTop w:val="0"/>
      <w:marBottom w:val="0"/>
      <w:divBdr>
        <w:top w:val="none" w:sz="0" w:space="0" w:color="auto"/>
        <w:left w:val="none" w:sz="0" w:space="0" w:color="auto"/>
        <w:bottom w:val="none" w:sz="0" w:space="0" w:color="auto"/>
        <w:right w:val="none" w:sz="0" w:space="0" w:color="auto"/>
      </w:divBdr>
    </w:div>
    <w:div w:id="1186746505">
      <w:bodyDiv w:val="1"/>
      <w:marLeft w:val="0"/>
      <w:marRight w:val="0"/>
      <w:marTop w:val="0"/>
      <w:marBottom w:val="0"/>
      <w:divBdr>
        <w:top w:val="none" w:sz="0" w:space="0" w:color="auto"/>
        <w:left w:val="none" w:sz="0" w:space="0" w:color="auto"/>
        <w:bottom w:val="none" w:sz="0" w:space="0" w:color="auto"/>
        <w:right w:val="none" w:sz="0" w:space="0" w:color="auto"/>
      </w:divBdr>
    </w:div>
    <w:div w:id="1188904578">
      <w:bodyDiv w:val="1"/>
      <w:marLeft w:val="0"/>
      <w:marRight w:val="0"/>
      <w:marTop w:val="0"/>
      <w:marBottom w:val="0"/>
      <w:divBdr>
        <w:top w:val="none" w:sz="0" w:space="0" w:color="auto"/>
        <w:left w:val="none" w:sz="0" w:space="0" w:color="auto"/>
        <w:bottom w:val="none" w:sz="0" w:space="0" w:color="auto"/>
        <w:right w:val="none" w:sz="0" w:space="0" w:color="auto"/>
      </w:divBdr>
    </w:div>
    <w:div w:id="1272276116">
      <w:bodyDiv w:val="1"/>
      <w:marLeft w:val="0"/>
      <w:marRight w:val="0"/>
      <w:marTop w:val="0"/>
      <w:marBottom w:val="0"/>
      <w:divBdr>
        <w:top w:val="none" w:sz="0" w:space="0" w:color="auto"/>
        <w:left w:val="none" w:sz="0" w:space="0" w:color="auto"/>
        <w:bottom w:val="none" w:sz="0" w:space="0" w:color="auto"/>
        <w:right w:val="none" w:sz="0" w:space="0" w:color="auto"/>
      </w:divBdr>
    </w:div>
    <w:div w:id="1376588955">
      <w:bodyDiv w:val="1"/>
      <w:marLeft w:val="0"/>
      <w:marRight w:val="0"/>
      <w:marTop w:val="0"/>
      <w:marBottom w:val="0"/>
      <w:divBdr>
        <w:top w:val="none" w:sz="0" w:space="0" w:color="auto"/>
        <w:left w:val="none" w:sz="0" w:space="0" w:color="auto"/>
        <w:bottom w:val="none" w:sz="0" w:space="0" w:color="auto"/>
        <w:right w:val="none" w:sz="0" w:space="0" w:color="auto"/>
      </w:divBdr>
    </w:div>
    <w:div w:id="1395004567">
      <w:bodyDiv w:val="1"/>
      <w:marLeft w:val="0"/>
      <w:marRight w:val="0"/>
      <w:marTop w:val="0"/>
      <w:marBottom w:val="0"/>
      <w:divBdr>
        <w:top w:val="none" w:sz="0" w:space="0" w:color="auto"/>
        <w:left w:val="none" w:sz="0" w:space="0" w:color="auto"/>
        <w:bottom w:val="none" w:sz="0" w:space="0" w:color="auto"/>
        <w:right w:val="none" w:sz="0" w:space="0" w:color="auto"/>
      </w:divBdr>
    </w:div>
    <w:div w:id="1404597212">
      <w:bodyDiv w:val="1"/>
      <w:marLeft w:val="0"/>
      <w:marRight w:val="0"/>
      <w:marTop w:val="0"/>
      <w:marBottom w:val="0"/>
      <w:divBdr>
        <w:top w:val="none" w:sz="0" w:space="0" w:color="auto"/>
        <w:left w:val="none" w:sz="0" w:space="0" w:color="auto"/>
        <w:bottom w:val="none" w:sz="0" w:space="0" w:color="auto"/>
        <w:right w:val="none" w:sz="0" w:space="0" w:color="auto"/>
      </w:divBdr>
    </w:div>
    <w:div w:id="1410694269">
      <w:bodyDiv w:val="1"/>
      <w:marLeft w:val="0"/>
      <w:marRight w:val="0"/>
      <w:marTop w:val="0"/>
      <w:marBottom w:val="0"/>
      <w:divBdr>
        <w:top w:val="none" w:sz="0" w:space="0" w:color="auto"/>
        <w:left w:val="none" w:sz="0" w:space="0" w:color="auto"/>
        <w:bottom w:val="none" w:sz="0" w:space="0" w:color="auto"/>
        <w:right w:val="none" w:sz="0" w:space="0" w:color="auto"/>
      </w:divBdr>
    </w:div>
    <w:div w:id="1545874421">
      <w:bodyDiv w:val="1"/>
      <w:marLeft w:val="0"/>
      <w:marRight w:val="0"/>
      <w:marTop w:val="0"/>
      <w:marBottom w:val="0"/>
      <w:divBdr>
        <w:top w:val="none" w:sz="0" w:space="0" w:color="auto"/>
        <w:left w:val="none" w:sz="0" w:space="0" w:color="auto"/>
        <w:bottom w:val="none" w:sz="0" w:space="0" w:color="auto"/>
        <w:right w:val="none" w:sz="0" w:space="0" w:color="auto"/>
      </w:divBdr>
    </w:div>
    <w:div w:id="1548449892">
      <w:bodyDiv w:val="1"/>
      <w:marLeft w:val="0"/>
      <w:marRight w:val="0"/>
      <w:marTop w:val="0"/>
      <w:marBottom w:val="0"/>
      <w:divBdr>
        <w:top w:val="none" w:sz="0" w:space="0" w:color="auto"/>
        <w:left w:val="none" w:sz="0" w:space="0" w:color="auto"/>
        <w:bottom w:val="none" w:sz="0" w:space="0" w:color="auto"/>
        <w:right w:val="none" w:sz="0" w:space="0" w:color="auto"/>
      </w:divBdr>
    </w:div>
    <w:div w:id="1551455039">
      <w:bodyDiv w:val="1"/>
      <w:marLeft w:val="0"/>
      <w:marRight w:val="0"/>
      <w:marTop w:val="0"/>
      <w:marBottom w:val="0"/>
      <w:divBdr>
        <w:top w:val="none" w:sz="0" w:space="0" w:color="auto"/>
        <w:left w:val="none" w:sz="0" w:space="0" w:color="auto"/>
        <w:bottom w:val="none" w:sz="0" w:space="0" w:color="auto"/>
        <w:right w:val="none" w:sz="0" w:space="0" w:color="auto"/>
      </w:divBdr>
    </w:div>
    <w:div w:id="1559392620">
      <w:bodyDiv w:val="1"/>
      <w:marLeft w:val="0"/>
      <w:marRight w:val="0"/>
      <w:marTop w:val="0"/>
      <w:marBottom w:val="0"/>
      <w:divBdr>
        <w:top w:val="none" w:sz="0" w:space="0" w:color="auto"/>
        <w:left w:val="none" w:sz="0" w:space="0" w:color="auto"/>
        <w:bottom w:val="none" w:sz="0" w:space="0" w:color="auto"/>
        <w:right w:val="none" w:sz="0" w:space="0" w:color="auto"/>
      </w:divBdr>
    </w:div>
    <w:div w:id="1621296913">
      <w:bodyDiv w:val="1"/>
      <w:marLeft w:val="0"/>
      <w:marRight w:val="0"/>
      <w:marTop w:val="0"/>
      <w:marBottom w:val="0"/>
      <w:divBdr>
        <w:top w:val="none" w:sz="0" w:space="0" w:color="auto"/>
        <w:left w:val="none" w:sz="0" w:space="0" w:color="auto"/>
        <w:bottom w:val="none" w:sz="0" w:space="0" w:color="auto"/>
        <w:right w:val="none" w:sz="0" w:space="0" w:color="auto"/>
      </w:divBdr>
    </w:div>
    <w:div w:id="1918786650">
      <w:bodyDiv w:val="1"/>
      <w:marLeft w:val="0"/>
      <w:marRight w:val="0"/>
      <w:marTop w:val="0"/>
      <w:marBottom w:val="0"/>
      <w:divBdr>
        <w:top w:val="none" w:sz="0" w:space="0" w:color="auto"/>
        <w:left w:val="none" w:sz="0" w:space="0" w:color="auto"/>
        <w:bottom w:val="none" w:sz="0" w:space="0" w:color="auto"/>
        <w:right w:val="none" w:sz="0" w:space="0" w:color="auto"/>
      </w:divBdr>
    </w:div>
    <w:div w:id="1935434226">
      <w:bodyDiv w:val="1"/>
      <w:marLeft w:val="0"/>
      <w:marRight w:val="0"/>
      <w:marTop w:val="0"/>
      <w:marBottom w:val="0"/>
      <w:divBdr>
        <w:top w:val="none" w:sz="0" w:space="0" w:color="auto"/>
        <w:left w:val="none" w:sz="0" w:space="0" w:color="auto"/>
        <w:bottom w:val="none" w:sz="0" w:space="0" w:color="auto"/>
        <w:right w:val="none" w:sz="0" w:space="0" w:color="auto"/>
      </w:divBdr>
    </w:div>
    <w:div w:id="1972323235">
      <w:bodyDiv w:val="1"/>
      <w:marLeft w:val="0"/>
      <w:marRight w:val="0"/>
      <w:marTop w:val="0"/>
      <w:marBottom w:val="0"/>
      <w:divBdr>
        <w:top w:val="none" w:sz="0" w:space="0" w:color="auto"/>
        <w:left w:val="none" w:sz="0" w:space="0" w:color="auto"/>
        <w:bottom w:val="none" w:sz="0" w:space="0" w:color="auto"/>
        <w:right w:val="none" w:sz="0" w:space="0" w:color="auto"/>
      </w:divBdr>
    </w:div>
    <w:div w:id="2031176205">
      <w:bodyDiv w:val="1"/>
      <w:marLeft w:val="0"/>
      <w:marRight w:val="0"/>
      <w:marTop w:val="0"/>
      <w:marBottom w:val="0"/>
      <w:divBdr>
        <w:top w:val="none" w:sz="0" w:space="0" w:color="auto"/>
        <w:left w:val="none" w:sz="0" w:space="0" w:color="auto"/>
        <w:bottom w:val="none" w:sz="0" w:space="0" w:color="auto"/>
        <w:right w:val="none" w:sz="0" w:space="0" w:color="auto"/>
      </w:divBdr>
    </w:div>
    <w:div w:id="2044089228">
      <w:bodyDiv w:val="1"/>
      <w:marLeft w:val="0"/>
      <w:marRight w:val="0"/>
      <w:marTop w:val="0"/>
      <w:marBottom w:val="0"/>
      <w:divBdr>
        <w:top w:val="none" w:sz="0" w:space="0" w:color="auto"/>
        <w:left w:val="none" w:sz="0" w:space="0" w:color="auto"/>
        <w:bottom w:val="none" w:sz="0" w:space="0" w:color="auto"/>
        <w:right w:val="none" w:sz="0" w:space="0" w:color="auto"/>
      </w:divBdr>
    </w:div>
    <w:div w:id="21127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odi.org/sites/odi.org.uk/files/odi-assets/publications-opinion-files/9374.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https://stats.oecd.org/index.aspx?DataSetCode=RE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hyperlink" Target="http://mea.gov.in/aseanindia/20-years.htm" TargetMode="External"/><Relationship Id="rId38" Type="http://schemas.openxmlformats.org/officeDocument/2006/relationships/hyperlink" Target="http://dfat.gov.au/trade/resources/Documents/indo.pdf"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gov.uk/government/uploads/system/uploads/attachment_data/file/670103/FCO-Prosperity-Report-2016-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eas.europa.eu/archives/delegations/vietnam/documents/eu_vietnam/dev_finance_en.pdf" TargetMode="External"/><Relationship Id="rId32" Type="http://schemas.openxmlformats.org/officeDocument/2006/relationships/hyperlink" Target="https://dfat.gov.au/about-us/publications/trade-investment/australias-trade-in-goods-and-services/Pages/australias-trade-in-goods-and-services-2016.aspx" TargetMode="External"/><Relationship Id="rId37" Type="http://schemas.openxmlformats.org/officeDocument/2006/relationships/hyperlink" Target="https://www.lowyinstitute.org/publications/julie-bishop-address-lowy-institut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yperlink" Target="http://www.worldbank.org/en/country/mic/overview" TargetMode="External"/><Relationship Id="rId28" Type="http://schemas.openxmlformats.org/officeDocument/2006/relationships/hyperlink" Target="https://icai.independent.giv.uk/wp-content/uploads/Rapid-Review-of-the-Prosperity-Fund.pdf" TargetMode="External"/><Relationship Id="rId36" Type="http://schemas.openxmlformats.org/officeDocument/2006/relationships/hyperlink" Target="http://databank.worldbank.org/data/home.aspx"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cgdev.org/commitment-development-index-20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icai.independent.gov.uk/wp-content/uploads/ICAI-Review-When-aid-relationships-change-DFIDs-approach-to-managing-exit-and-transition-in-its-development-partnerships-1.pdf" TargetMode="External"/><Relationship Id="rId30" Type="http://schemas.openxmlformats.org/officeDocument/2006/relationships/hyperlink" Target="https://www.gov.uk/government/uploads/system/uploads/attachment_data/file/67635/comparing-DFIs.pdf" TargetMode="External"/><Relationship Id="rId35" Type="http://schemas.openxmlformats.org/officeDocument/2006/relationships/hyperlink" Target="http://www.worldbank.org/en/country/vietnam/overview" TargetMode="Externa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data.worldbank.org/indicator/NY.GDP.MKTP.KD.ZG?locations=VN" TargetMode="External"/><Relationship Id="rId18" Type="http://schemas.openxmlformats.org/officeDocument/2006/relationships/hyperlink" Target="https://www.economist.com/news/asia/21715010-and-why-it-worries-cambodias-neighbours-why-cambodia-has-cosied-up-china" TargetMode="External"/><Relationship Id="rId26" Type="http://schemas.openxmlformats.org/officeDocument/2006/relationships/hyperlink" Target="http://www.worldbank.org/en/country/vietnam/overview" TargetMode="External"/><Relationship Id="rId39" Type="http://schemas.openxmlformats.org/officeDocument/2006/relationships/hyperlink" Target="http://dfat.gov.au/about-us/publications/Documents/aipeducationdesign.pdf" TargetMode="External"/><Relationship Id="rId21" Type="http://schemas.openxmlformats.org/officeDocument/2006/relationships/hyperlink" Target="https://www.fpwhitepaper.gov.au/file/2651/download?token=Q5CYuX29" TargetMode="External"/><Relationship Id="rId34" Type="http://schemas.openxmlformats.org/officeDocument/2006/relationships/hyperlink" Target="http://siteresources.worldbank.org/INTINDONESIA/Resources/Publication/280016-1235115695188/5847179-1243851359474/6164739-1260876505486/section.C.en.pdf" TargetMode="External"/><Relationship Id="rId42" Type="http://schemas.openxmlformats.org/officeDocument/2006/relationships/hyperlink" Target="http://dfat.gov.au/about-us/business-opportunities/tenders/Documents/emiif-draft-design-for-likely-procurement-october-2017.pdf" TargetMode="External"/><Relationship Id="rId47" Type="http://schemas.openxmlformats.org/officeDocument/2006/relationships/hyperlink" Target="http://www.worldbank.org/en/news/opinion/2017/07/27/indonesia-future-depends-on-its-investments-now" TargetMode="External"/><Relationship Id="rId50" Type="http://schemas.openxmlformats.org/officeDocument/2006/relationships/hyperlink" Target="https://openknowledge.worldbank.org/bitstream/handle/10986/23724/9781464808241.pdf?sequence=12&amp;isAllowed=y" TargetMode="External"/><Relationship Id="rId55" Type="http://schemas.openxmlformats.org/officeDocument/2006/relationships/hyperlink" Target="https://openknowledge.worldbank.org/bitstream/handle/10986/23724/9781464808241.pdf?sequence=12&amp;isAllowed=y" TargetMode="External"/><Relationship Id="rId63" Type="http://schemas.openxmlformats.org/officeDocument/2006/relationships/hyperlink" Target="http://dfat.gov.au/about-us/business-opportunities/tenders/Documents/evaluating-aipeg-summary-report.pdf" TargetMode="External"/><Relationship Id="rId68" Type="http://schemas.openxmlformats.org/officeDocument/2006/relationships/hyperlink" Target="http://dfat.gov.au/aid/how-we-measure-performance/ode/Documents/investing-in-roads-einrip-completion-evaluation-report.pdf" TargetMode="External"/><Relationship Id="rId7" Type="http://schemas.openxmlformats.org/officeDocument/2006/relationships/hyperlink" Target="https://www.fpwhitepaper.gov.au/file/2651/download?token=Q5CYuX29" TargetMode="External"/><Relationship Id="rId2" Type="http://schemas.openxmlformats.org/officeDocument/2006/relationships/hyperlink" Target="https://www.fpwhitepaper.gov.au/file/2651/download?token=Q5CYuX29" TargetMode="External"/><Relationship Id="rId16" Type="http://schemas.openxmlformats.org/officeDocument/2006/relationships/hyperlink" Target="http://aiddata.org/publications/aid-china-and-growth-evidence-from-a-new-global-development-finance-dataset" TargetMode="External"/><Relationship Id="rId29" Type="http://schemas.openxmlformats.org/officeDocument/2006/relationships/hyperlink" Target="https://polisci.mit.edu/files/ps/imce/faculty/documents/SchneiderandDoner2017.pdf" TargetMode="External"/><Relationship Id="rId1" Type="http://schemas.openxmlformats.org/officeDocument/2006/relationships/hyperlink" Target="http://www.worldbank.org/content/dam/Worldbank/document/China-2030-complete.pdf" TargetMode="External"/><Relationship Id="rId6" Type="http://schemas.openxmlformats.org/officeDocument/2006/relationships/hyperlink" Target="http://dfat.gov.au/about-us/publications/Documents/australian-aid-development-policy.pdf" TargetMode="External"/><Relationship Id="rId11" Type="http://schemas.openxmlformats.org/officeDocument/2006/relationships/hyperlink" Target="https://stats.oecd.org/Index.aspx?DataSetCode=REV" TargetMode="External"/><Relationship Id="rId24" Type="http://schemas.openxmlformats.org/officeDocument/2006/relationships/hyperlink" Target="http://pubdocs.worldbank.org/en/16261460705088179/Indonesias-Rising-Divide-English.pdf" TargetMode="External"/><Relationship Id="rId32" Type="http://schemas.openxmlformats.org/officeDocument/2006/relationships/hyperlink" Target="https://openknowledge.worldbank.org/bitstream/handle/10986/27265/9781464810732.pdf?sequence=2&amp;isAllowed=y" TargetMode="External"/><Relationship Id="rId37" Type="http://schemas.openxmlformats.org/officeDocument/2006/relationships/hyperlink" Target="https://icai.independent.gov.uk/wp-content/uploads/ICAI-Review-When-aid-relationships-change-DFIDs-approach-to-managing-exit-and-transition-in-its-development-partnerships-1.pdf" TargetMode="External"/><Relationship Id="rId40" Type="http://schemas.openxmlformats.org/officeDocument/2006/relationships/hyperlink" Target="https://www.devex.com/news/australian-aid-s-innovative-approach-to-education-in-indonesia-91524" TargetMode="External"/><Relationship Id="rId45" Type="http://schemas.openxmlformats.org/officeDocument/2006/relationships/hyperlink" Target="https://www.pwc.com/id/en/cpi/asset/indonesian-infrastructure-stable-foundations-for-growth.pdf" TargetMode="External"/><Relationship Id="rId53" Type="http://schemas.openxmlformats.org/officeDocument/2006/relationships/hyperlink" Target="https://www.fpwhitepaper.gov.au/file/2651/download?token=Q5CYuX29" TargetMode="External"/><Relationship Id="rId58" Type="http://schemas.openxmlformats.org/officeDocument/2006/relationships/hyperlink" Target="https://www.cgdev.org/commitment-development-index-2017" TargetMode="External"/><Relationship Id="rId66" Type="http://schemas.openxmlformats.org/officeDocument/2006/relationships/hyperlink" Target="https://poseidon01.ssrn.com/delivery.php?ID=914102031001106103104099115087110099023003054016005000096098102096106062123119120012027077096104123077042093007100095120107119025112000074116127066016066101071022064113090030074020118095006&amp;EXT=pdf" TargetMode="External"/><Relationship Id="rId5" Type="http://schemas.openxmlformats.org/officeDocument/2006/relationships/hyperlink" Target="http://dfat.gov.au/news/speeches/Pages/2016-australasian-aid-conference.aspx" TargetMode="External"/><Relationship Id="rId15" Type="http://schemas.openxmlformats.org/officeDocument/2006/relationships/hyperlink" Target="https://data.oecd.org/oda/net-oda.htm" TargetMode="External"/><Relationship Id="rId23" Type="http://schemas.openxmlformats.org/officeDocument/2006/relationships/hyperlink" Target="https://polisci.mit.edu/files/ps/imce/faculty/documents/SchneiderandDoner2017.pdf" TargetMode="External"/><Relationship Id="rId28" Type="http://schemas.openxmlformats.org/officeDocument/2006/relationships/hyperlink" Target="https://openknowledge.worldbank.org/bitstream/handle/10986/28878/9781464811456.pdf" TargetMode="External"/><Relationship Id="rId36" Type="http://schemas.openxmlformats.org/officeDocument/2006/relationships/hyperlink" Target="http://siteresources.worldbank.org/DEVCOMMINT/Documentation/23775499/DC2018_0005ForwardLookupdate_329.pdf" TargetMode="External"/><Relationship Id="rId49" Type="http://schemas.openxmlformats.org/officeDocument/2006/relationships/hyperlink" Target="http://documents.worldbank.org/curated/en/908691513140456658/pdf/122037-12-12-2017-18-19-0-VietnamTakingStockDecENGfinal.pdf" TargetMode="External"/><Relationship Id="rId57" Type="http://schemas.openxmlformats.org/officeDocument/2006/relationships/hyperlink" Target="https://read.oecd-ilibrary.org/development/oecd-development-co-operation-peer-reviews-australia-2018_9789264293366-en" TargetMode="External"/><Relationship Id="rId61" Type="http://schemas.openxmlformats.org/officeDocument/2006/relationships/hyperlink" Target="https://file.scirp.org/pdf/ME20100300005_81183836.pdf" TargetMode="External"/><Relationship Id="rId10" Type="http://schemas.openxmlformats.org/officeDocument/2006/relationships/hyperlink" Target="https://data.worldbank.org/indicator/NY.GDP.MKTP.KD.ZG?locations=VN" TargetMode="External"/><Relationship Id="rId19" Type="http://schemas.openxmlformats.org/officeDocument/2006/relationships/hyperlink" Target="http://www.eastasiaforum.org/2017/12/02/why-does-indonesia-seem-to-prefer-foreign-aid-from-china/" TargetMode="External"/><Relationship Id="rId31" Type="http://schemas.openxmlformats.org/officeDocument/2006/relationships/hyperlink" Target="https://data.worldbank.org/indicator/GC.TAX.TOTL.GD.ZS" TargetMode="External"/><Relationship Id="rId44" Type="http://schemas.openxmlformats.org/officeDocument/2006/relationships/hyperlink" Target="http://www.worldbank.org/en/news/feature/2017/01/31/indonesia-basing-infrastructure-investment-on-more-solid-ground" TargetMode="External"/><Relationship Id="rId52" Type="http://schemas.openxmlformats.org/officeDocument/2006/relationships/hyperlink" Target="https://www.eastwestcenter.org/system/tdf/private/api119.pdf?file=1&amp;type=node&amp;id=35319" TargetMode="External"/><Relationship Id="rId60" Type="http://schemas.openxmlformats.org/officeDocument/2006/relationships/hyperlink" Target="http://dfat.gov.au/about-us/publications/Documents/indonesia-appr-2016-17.pdf" TargetMode="External"/><Relationship Id="rId65" Type="http://schemas.openxmlformats.org/officeDocument/2006/relationships/hyperlink" Target="http://dfat.gov.au/aid/how-we-measure-performance/ode/Documents/assessment-of-the-indonesia-country-program-strategy-2003-2006-sept-2007.PDF" TargetMode="External"/><Relationship Id="rId4" Type="http://schemas.openxmlformats.org/officeDocument/2006/relationships/hyperlink" Target="http://dfat.gov.au/about-us/publications/Documents/australian-aid-development-policy.pdf" TargetMode="External"/><Relationship Id="rId9" Type="http://schemas.openxmlformats.org/officeDocument/2006/relationships/hyperlink" Target="https://ec.europa.eu/europeaid/sites/devco/files/erd5-full-report_en.pdf" TargetMode="External"/><Relationship Id="rId14" Type="http://schemas.openxmlformats.org/officeDocument/2006/relationships/hyperlink" Target="https://data.worldbank.org/indicator/NY.GDP.MKTP.KD.ZG?locations=VN" TargetMode="External"/><Relationship Id="rId22" Type="http://schemas.openxmlformats.org/officeDocument/2006/relationships/hyperlink" Target="http://www.nber.org/papers/w18673.pdf" TargetMode="External"/><Relationship Id="rId27" Type="http://schemas.openxmlformats.org/officeDocument/2006/relationships/hyperlink" Target="http://www.mitpressjournals.org/doi/pdf/10.1162/ADEV_a_00077" TargetMode="External"/><Relationship Id="rId30" Type="http://schemas.openxmlformats.org/officeDocument/2006/relationships/hyperlink" Target="https://www.odi.org/sites/odi.org.uk/files/odi-assets/publications-opinion-files/9374.pdf" TargetMode="External"/><Relationship Id="rId35" Type="http://schemas.openxmlformats.org/officeDocument/2006/relationships/hyperlink" Target="http://www.worldbank.org/en/news/speech/2015/11/30/transformational-indonesian-economy-challenging-times" TargetMode="External"/><Relationship Id="rId43" Type="http://schemas.openxmlformats.org/officeDocument/2006/relationships/hyperlink" Target="http://dfat.gov.au/about-us/publications/Documents/australian-aid-development-policy.pdf" TargetMode="External"/><Relationship Id="rId48" Type="http://schemas.openxmlformats.org/officeDocument/2006/relationships/hyperlink" Target="http://eeas.europa.eu/archives/delegations/vietnam/documents/eu_vietnam/dev_finance_en.pdf" TargetMode="External"/><Relationship Id="rId56" Type="http://schemas.openxmlformats.org/officeDocument/2006/relationships/hyperlink" Target="http://dfat.gov.au/about-us/publications/Documents/strategy-for-australias-aid-for-trade-investments.pdf" TargetMode="External"/><Relationship Id="rId64" Type="http://schemas.openxmlformats.org/officeDocument/2006/relationships/hyperlink" Target="http://dfat.gov.au/about-us/publications/Pages/australia-indonesia-government-partnerships-fund-phase-ii-2010-15-design-document.aspx" TargetMode="External"/><Relationship Id="rId8" Type="http://schemas.openxmlformats.org/officeDocument/2006/relationships/hyperlink" Target="http://www.oecd-ilibrary.org/docserver/download/4317041e.pdf?expires=1515082216&amp;id=id&amp;accname=guest&amp;checksum=1B0DF23652478DA6E440456A1F0F3DF5" TargetMode="External"/><Relationship Id="rId51" Type="http://schemas.openxmlformats.org/officeDocument/2006/relationships/hyperlink" Target="http://www.chinhphu.vn/portal/page/portal/English/strategies/strategiesdetails?categoryId=30&amp;articleId=10052090" TargetMode="External"/><Relationship Id="rId3" Type="http://schemas.openxmlformats.org/officeDocument/2006/relationships/hyperlink" Target="https://data.worldbank.org/country/thailand" TargetMode="External"/><Relationship Id="rId12" Type="http://schemas.openxmlformats.org/officeDocument/2006/relationships/hyperlink" Target="http://eeas.europa.eu/archives/delegations/vietnam/documents/eu_vietnam/dev_finance_en.pdf" TargetMode="External"/><Relationship Id="rId17" Type="http://schemas.openxmlformats.org/officeDocument/2006/relationships/hyperlink" Target="http://www.keepeek.com/Digital-Asset-Management/oecd/development/geographical-distribution-of-financial-flows-to-developing-countries-2017_fin_flows_dev-2017-en-fr" TargetMode="External"/><Relationship Id="rId25" Type="http://schemas.openxmlformats.org/officeDocument/2006/relationships/hyperlink" Target="https://www.oxfam.org/sites/www.oxfam.org/files/file_attachments/bp-vietnam-inequality-120117-en.pdf" TargetMode="External"/><Relationship Id="rId33" Type="http://schemas.openxmlformats.org/officeDocument/2006/relationships/hyperlink" Target="http://www.imf.org/external/pubs/ft/fandd/2006/09/basics.htm" TargetMode="External"/><Relationship Id="rId38" Type="http://schemas.openxmlformats.org/officeDocument/2006/relationships/hyperlink" Target="https://www.gov.uk/government/uploads/system/uploads/attachment_data/file/478834/ODA_strategy_final_web_0905.pdf" TargetMode="External"/><Relationship Id="rId46" Type="http://schemas.openxmlformats.org/officeDocument/2006/relationships/hyperlink" Target="http://documents.worldbank.org/curated/en/545461490728497382/pdf/03-08-2017-Project-Paper-P154779-revised-03082017.pdf" TargetMode="External"/><Relationship Id="rId59" Type="http://schemas.openxmlformats.org/officeDocument/2006/relationships/hyperlink" Target="http://dfat.gov.au/aid/how-we-measure-performance/ode/Documents/gearing-up-for-trade-report.PDF" TargetMode="External"/><Relationship Id="rId67" Type="http://schemas.openxmlformats.org/officeDocument/2006/relationships/hyperlink" Target="http://dfat.gov.au/aid/how-we-measure-performance/ode/Documents/banking-our-aid-aus-non-core-funding-to-adb-and-wb.pdf" TargetMode="External"/><Relationship Id="rId20" Type="http://schemas.openxmlformats.org/officeDocument/2006/relationships/hyperlink" Target="http://www.mea.gov.in/aseanindia/20-years.htm" TargetMode="External"/><Relationship Id="rId41" Type="http://schemas.openxmlformats.org/officeDocument/2006/relationships/hyperlink" Target="https://openknowledge.worldbank.org/bitstream/handle/10986/23724/9781464808241.pdf?sequence=12&amp;isAllowed=y" TargetMode="External"/><Relationship Id="rId54" Type="http://schemas.openxmlformats.org/officeDocument/2006/relationships/hyperlink" Target="http://dfat.gov.au/about-us/publications/trade-investment/australias-trade-in-goods-and-services/Pages/australias-trade-in-goods-and-services-2016.aspx" TargetMode="External"/><Relationship Id="rId62" Type="http://schemas.openxmlformats.org/officeDocument/2006/relationships/hyperlink" Target="http://dfat.gov.au/about-us/publications/Documents/indonesia-appr-2016-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DE">
      <a:dk1>
        <a:srgbClr val="434343"/>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FFFFFF"/>
      </a:accent6>
      <a:hlink>
        <a:srgbClr val="434343"/>
      </a:hlink>
      <a:folHlink>
        <a:srgbClr val="43434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708F-372B-44A6-86D6-4DDC75B090A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B1BAFD-E685-473E-95EC-27AC6D3A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A8D04-5AD9-4485-A806-C89548BA26EC}">
  <ds:schemaRefs>
    <ds:schemaRef ds:uri="http://schemas.microsoft.com/sharepoint/v3/contenttype/forms"/>
  </ds:schemaRefs>
</ds:datastoreItem>
</file>

<file path=customXml/itemProps4.xml><?xml version="1.0" encoding="utf-8"?>
<ds:datastoreItem xmlns:ds="http://schemas.openxmlformats.org/officeDocument/2006/customXml" ds:itemID="{526AE13D-F936-4C37-8002-C286C2E5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28917</Words>
  <Characters>164827</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2018-10-19T02:23:00Z</dcterms:created>
  <dcterms:modified xsi:type="dcterms:W3CDTF">2018-10-29T05:41:00Z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81853375-1623-4b1f-9f2e-a03c2a2ab051</vt:lpwstr>
  </property>
  <property fmtid="{D5CDD505-2E9C-101B-9397-08002B2CF9AE}" pid="3" name="ContentTypeId">
    <vt:lpwstr>0x0101001FFC9E269FC55F4080F839D1719F85D6</vt:lpwstr>
  </property>
  <property fmtid="{D5CDD505-2E9C-101B-9397-08002B2CF9AE}" pid="4" name="Order">
    <vt:r8>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hptrimdataset">
    <vt:lpwstr>CH</vt:lpwstr>
  </property>
  <property fmtid="{D5CDD505-2E9C-101B-9397-08002B2CF9AE}" pid="11" name="hptrimfileref">
    <vt:lpwstr>16/16626</vt:lpwstr>
  </property>
  <property fmtid="{D5CDD505-2E9C-101B-9397-08002B2CF9AE}" pid="12" name="hptrimrecordref">
    <vt:lpwstr/>
  </property>
  <property fmtid="{D5CDD505-2E9C-101B-9397-08002B2CF9AE}" pid="13" name="SEC">
    <vt:lpwstr>UNCLASSIFIED</vt:lpwstr>
  </property>
  <property fmtid="{D5CDD505-2E9C-101B-9397-08002B2CF9AE}" pid="14" name="DLM">
    <vt:lpwstr>No DLM</vt:lpwstr>
  </property>
</Properties>
</file>