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4AE6" w14:textId="5B0B674C" w:rsidR="00A32858" w:rsidRDefault="00FD4E00" w:rsidP="00BA1502">
      <w:pPr>
        <w:pStyle w:val="Title"/>
      </w:pPr>
      <w:bookmarkStart w:id="0" w:name="_Toc413078488"/>
      <w:r w:rsidRPr="002B204A">
        <w:t xml:space="preserve">INOVASI Phase 3 - </w:t>
      </w:r>
      <w:r w:rsidR="00A32858" w:rsidRPr="002B204A">
        <w:t xml:space="preserve">Investment Design </w:t>
      </w:r>
      <w:bookmarkEnd w:id="0"/>
      <w:r w:rsidR="00853FB9" w:rsidRPr="002B204A">
        <w:t>Update</w:t>
      </w:r>
    </w:p>
    <w:p w14:paraId="361FD302" w14:textId="77777777" w:rsidR="00C215D2" w:rsidRDefault="00C215D2" w:rsidP="00BC4EE1">
      <w:pPr>
        <w:tabs>
          <w:tab w:val="left" w:pos="284"/>
        </w:tabs>
        <w:spacing w:after="120" w:line="281" w:lineRule="auto"/>
        <w:ind w:hanging="2"/>
        <w:rPr>
          <w:rFonts w:asciiTheme="majorHAnsi" w:hAnsiTheme="majorHAnsi" w:cstheme="majorHAnsi"/>
          <w:b/>
          <w:bCs/>
          <w:sz w:val="22"/>
          <w:szCs w:val="22"/>
        </w:rPr>
      </w:pPr>
    </w:p>
    <w:p w14:paraId="77DFF6B0" w14:textId="4F285408" w:rsidR="007978ED" w:rsidRPr="00BC4EE1" w:rsidRDefault="007978ED" w:rsidP="00BC4EE1">
      <w:pPr>
        <w:tabs>
          <w:tab w:val="left" w:pos="284"/>
        </w:tabs>
        <w:spacing w:after="120" w:line="281" w:lineRule="auto"/>
        <w:ind w:hanging="2"/>
        <w:rPr>
          <w:rFonts w:asciiTheme="majorHAnsi" w:hAnsiTheme="majorHAnsi" w:cstheme="majorHAnsi"/>
          <w:sz w:val="22"/>
          <w:szCs w:val="22"/>
        </w:rPr>
      </w:pPr>
      <w:r w:rsidRPr="00BC4EE1">
        <w:rPr>
          <w:rFonts w:asciiTheme="majorHAnsi" w:hAnsiTheme="majorHAnsi" w:cstheme="majorHAnsi"/>
          <w:b/>
          <w:bCs/>
          <w:sz w:val="22"/>
          <w:szCs w:val="22"/>
        </w:rPr>
        <w:t>Investment Design Title:</w:t>
      </w:r>
      <w:r w:rsidRPr="00BC4EE1">
        <w:rPr>
          <w:rFonts w:asciiTheme="majorHAnsi" w:hAnsiTheme="majorHAnsi" w:cstheme="majorHAnsi"/>
          <w:sz w:val="22"/>
          <w:szCs w:val="22"/>
        </w:rPr>
        <w:t xml:space="preserve"> Australia-Indonesia Partnership Program for Education Quality Improvement (INOVASI Phase 3)</w:t>
      </w:r>
    </w:p>
    <w:p w14:paraId="6607B2D3" w14:textId="592CA5A6" w:rsidR="007978ED" w:rsidRPr="00BC4EE1" w:rsidRDefault="007978ED" w:rsidP="00BC4EE1">
      <w:pPr>
        <w:tabs>
          <w:tab w:val="left" w:pos="284"/>
        </w:tabs>
        <w:spacing w:after="120" w:line="281" w:lineRule="auto"/>
        <w:ind w:hanging="2"/>
        <w:rPr>
          <w:rFonts w:asciiTheme="majorHAnsi" w:hAnsiTheme="majorHAnsi" w:cstheme="majorHAnsi"/>
          <w:sz w:val="22"/>
          <w:szCs w:val="22"/>
        </w:rPr>
      </w:pPr>
      <w:r w:rsidRPr="00BC4EE1">
        <w:rPr>
          <w:rFonts w:asciiTheme="majorHAnsi" w:hAnsiTheme="majorHAnsi" w:cstheme="majorHAnsi"/>
          <w:b/>
          <w:bCs/>
          <w:sz w:val="22"/>
          <w:szCs w:val="22"/>
        </w:rPr>
        <w:t>Start date:</w:t>
      </w:r>
      <w:r w:rsidRPr="00BC4EE1">
        <w:rPr>
          <w:rFonts w:asciiTheme="majorHAnsi" w:hAnsiTheme="majorHAnsi" w:cstheme="majorHAnsi"/>
          <w:sz w:val="22"/>
          <w:szCs w:val="22"/>
        </w:rPr>
        <w:t xml:space="preserve"> 01 January 2024</w:t>
      </w:r>
    </w:p>
    <w:p w14:paraId="50643047" w14:textId="77777777" w:rsidR="007978ED" w:rsidRPr="00BC4EE1" w:rsidRDefault="007978ED" w:rsidP="00BC4EE1">
      <w:pPr>
        <w:tabs>
          <w:tab w:val="left" w:pos="284"/>
        </w:tabs>
        <w:spacing w:after="120" w:line="281" w:lineRule="auto"/>
        <w:ind w:hanging="2"/>
        <w:rPr>
          <w:rFonts w:asciiTheme="majorHAnsi" w:hAnsiTheme="majorHAnsi" w:cstheme="majorHAnsi"/>
          <w:sz w:val="22"/>
          <w:szCs w:val="22"/>
        </w:rPr>
      </w:pPr>
      <w:r w:rsidRPr="00BC4EE1">
        <w:rPr>
          <w:rFonts w:asciiTheme="majorHAnsi" w:hAnsiTheme="majorHAnsi" w:cstheme="majorHAnsi"/>
          <w:b/>
          <w:bCs/>
          <w:sz w:val="22"/>
          <w:szCs w:val="22"/>
        </w:rPr>
        <w:t>End date:</w:t>
      </w:r>
      <w:r w:rsidRPr="00BC4EE1">
        <w:rPr>
          <w:rFonts w:asciiTheme="majorHAnsi" w:hAnsiTheme="majorHAnsi" w:cstheme="majorHAnsi"/>
          <w:sz w:val="22"/>
          <w:szCs w:val="22"/>
        </w:rPr>
        <w:t xml:space="preserve"> 31 December 2027 (with optional four years extension to 31 December 2031, exercisable by DFAT)</w:t>
      </w:r>
    </w:p>
    <w:p w14:paraId="5B6ED606" w14:textId="2E9CF5A7" w:rsidR="007978ED" w:rsidRPr="00BC4EE1" w:rsidRDefault="007978ED" w:rsidP="00BC4EE1">
      <w:pPr>
        <w:tabs>
          <w:tab w:val="left" w:pos="284"/>
        </w:tabs>
        <w:spacing w:after="120" w:line="281" w:lineRule="auto"/>
        <w:ind w:hanging="2"/>
        <w:rPr>
          <w:rFonts w:asciiTheme="majorHAnsi" w:hAnsiTheme="majorHAnsi" w:cstheme="majorHAnsi"/>
          <w:sz w:val="22"/>
          <w:szCs w:val="22"/>
        </w:rPr>
      </w:pPr>
      <w:r w:rsidRPr="00BC4EE1">
        <w:rPr>
          <w:rFonts w:asciiTheme="majorHAnsi" w:hAnsiTheme="majorHAnsi" w:cstheme="majorHAnsi"/>
          <w:b/>
          <w:bCs/>
          <w:sz w:val="22"/>
          <w:szCs w:val="22"/>
        </w:rPr>
        <w:t>Total DFAT funding:</w:t>
      </w:r>
      <w:r w:rsidRPr="00BC4EE1">
        <w:rPr>
          <w:rFonts w:asciiTheme="majorHAnsi" w:hAnsiTheme="majorHAnsi" w:cstheme="majorHAnsi"/>
          <w:sz w:val="22"/>
          <w:szCs w:val="22"/>
        </w:rPr>
        <w:t xml:space="preserve"> AUD 55m (AUD13.75 million/year) until December 2027, plus AUD 55M (if DFAT exercises its option to extend) from January 2028 to December 2031 – overall investment value AUD110 million</w:t>
      </w:r>
    </w:p>
    <w:p w14:paraId="4F2404B0" w14:textId="77777777" w:rsidR="00BC4EE1" w:rsidRPr="007978ED" w:rsidRDefault="00BC4EE1" w:rsidP="007978ED"/>
    <w:p w14:paraId="3173F1B9" w14:textId="15A7A634" w:rsidR="00B75BB1" w:rsidRPr="00046211" w:rsidRDefault="00B75BB1" w:rsidP="008D1844">
      <w:pPr>
        <w:pStyle w:val="Heading1"/>
        <w:numPr>
          <w:ilvl w:val="0"/>
          <w:numId w:val="59"/>
        </w:numPr>
        <w:rPr>
          <w:sz w:val="28"/>
          <w:u w:val="single"/>
        </w:rPr>
      </w:pPr>
      <w:bookmarkStart w:id="1" w:name="_Hlk140659141"/>
      <w:r w:rsidRPr="00046211">
        <w:rPr>
          <w:sz w:val="28"/>
          <w:u w:val="single"/>
        </w:rPr>
        <w:t>Executive Summary</w:t>
      </w:r>
    </w:p>
    <w:p w14:paraId="63577111" w14:textId="0C7F78EA" w:rsidR="0026204C" w:rsidRPr="007436F2" w:rsidRDefault="0026204C" w:rsidP="00CA0D93">
      <w:pPr>
        <w:tabs>
          <w:tab w:val="left" w:pos="284"/>
        </w:tabs>
        <w:spacing w:after="120" w:line="281" w:lineRule="auto"/>
        <w:ind w:hanging="2"/>
        <w:rPr>
          <w:rFonts w:asciiTheme="majorHAnsi" w:hAnsiTheme="majorHAnsi" w:cstheme="majorHAnsi"/>
          <w:sz w:val="22"/>
          <w:szCs w:val="22"/>
        </w:rPr>
      </w:pPr>
      <w:r w:rsidRPr="007436F2">
        <w:rPr>
          <w:rFonts w:asciiTheme="majorHAnsi" w:hAnsiTheme="majorHAnsi" w:cstheme="majorHAnsi"/>
          <w:sz w:val="22"/>
          <w:szCs w:val="22"/>
        </w:rPr>
        <w:t>Indonesia’s Vision 2045, launched by President Joko Widodo in May 2019, sets the goal for Indonesia</w:t>
      </w:r>
      <w:r>
        <w:rPr>
          <w:rFonts w:asciiTheme="majorHAnsi" w:hAnsiTheme="majorHAnsi" w:cstheme="majorHAnsi"/>
          <w:sz w:val="22"/>
          <w:szCs w:val="22"/>
        </w:rPr>
        <w:t xml:space="preserve"> to</w:t>
      </w:r>
      <w:r w:rsidRPr="007436F2">
        <w:rPr>
          <w:rFonts w:asciiTheme="majorHAnsi" w:hAnsiTheme="majorHAnsi" w:cstheme="majorHAnsi"/>
          <w:sz w:val="22"/>
          <w:szCs w:val="22"/>
        </w:rPr>
        <w:t xml:space="preserve"> transition from a</w:t>
      </w:r>
      <w:r>
        <w:rPr>
          <w:rFonts w:asciiTheme="majorHAnsi" w:hAnsiTheme="majorHAnsi" w:cstheme="majorHAnsi"/>
          <w:sz w:val="22"/>
          <w:szCs w:val="22"/>
        </w:rPr>
        <w:t xml:space="preserve"> </w:t>
      </w:r>
      <w:r w:rsidRPr="004759D0">
        <w:rPr>
          <w:rFonts w:asciiTheme="majorHAnsi" w:hAnsiTheme="majorHAnsi" w:cstheme="majorHAnsi"/>
          <w:sz w:val="22"/>
          <w:szCs w:val="22"/>
        </w:rPr>
        <w:t xml:space="preserve">resource-based economy towards an advanced service, </w:t>
      </w:r>
      <w:r w:rsidR="00106172" w:rsidRPr="004759D0">
        <w:rPr>
          <w:rFonts w:asciiTheme="majorHAnsi" w:hAnsiTheme="majorHAnsi" w:cstheme="majorHAnsi"/>
          <w:sz w:val="22"/>
          <w:szCs w:val="22"/>
        </w:rPr>
        <w:t>technology,</w:t>
      </w:r>
      <w:r w:rsidRPr="004759D0">
        <w:rPr>
          <w:rFonts w:asciiTheme="majorHAnsi" w:hAnsiTheme="majorHAnsi" w:cstheme="majorHAnsi"/>
          <w:sz w:val="22"/>
          <w:szCs w:val="22"/>
        </w:rPr>
        <w:t xml:space="preserve"> and knowledge-based economy</w:t>
      </w:r>
      <w:r>
        <w:rPr>
          <w:rFonts w:asciiTheme="majorHAnsi" w:hAnsiTheme="majorHAnsi" w:cstheme="majorHAnsi"/>
          <w:sz w:val="22"/>
          <w:szCs w:val="22"/>
        </w:rPr>
        <w:t xml:space="preserve"> </w:t>
      </w:r>
      <w:r w:rsidRPr="007436F2">
        <w:rPr>
          <w:rFonts w:asciiTheme="majorHAnsi" w:hAnsiTheme="majorHAnsi" w:cstheme="majorHAnsi"/>
          <w:sz w:val="22"/>
          <w:szCs w:val="22"/>
        </w:rPr>
        <w:t>by the centenary of its independence (2045)</w:t>
      </w:r>
      <w:r w:rsidRPr="004759D0">
        <w:rPr>
          <w:rFonts w:asciiTheme="majorHAnsi" w:hAnsiTheme="majorHAnsi" w:cstheme="majorHAnsi"/>
          <w:sz w:val="22"/>
          <w:szCs w:val="22"/>
        </w:rPr>
        <w:t>.</w:t>
      </w:r>
      <w:r w:rsidRPr="00B07E76">
        <w:rPr>
          <w:rFonts w:asciiTheme="majorHAnsi" w:hAnsiTheme="majorHAnsi" w:cstheme="majorHAnsi"/>
          <w:sz w:val="22"/>
          <w:szCs w:val="22"/>
        </w:rPr>
        <w:t xml:space="preserve"> </w:t>
      </w:r>
      <w:r w:rsidRPr="007436F2">
        <w:rPr>
          <w:rFonts w:asciiTheme="majorHAnsi" w:hAnsiTheme="majorHAnsi" w:cstheme="majorHAnsi"/>
          <w:sz w:val="22"/>
          <w:szCs w:val="22"/>
        </w:rPr>
        <w:t xml:space="preserve">Both strategic national development plans covering President Widodo’s terms of office have emphasised the urgency of Indonesia’s human resource development to fully benefit from its integration in the ASEAN Economic Community. They have set out the role </w:t>
      </w:r>
      <w:r>
        <w:rPr>
          <w:rFonts w:asciiTheme="majorHAnsi" w:hAnsiTheme="majorHAnsi" w:cstheme="majorHAnsi"/>
          <w:sz w:val="22"/>
          <w:szCs w:val="22"/>
        </w:rPr>
        <w:t xml:space="preserve">of </w:t>
      </w:r>
      <w:r w:rsidRPr="007436F2">
        <w:rPr>
          <w:rFonts w:asciiTheme="majorHAnsi" w:hAnsiTheme="majorHAnsi" w:cstheme="majorHAnsi"/>
          <w:sz w:val="22"/>
          <w:szCs w:val="22"/>
        </w:rPr>
        <w:t xml:space="preserve">the education sector </w:t>
      </w:r>
      <w:r>
        <w:rPr>
          <w:rFonts w:asciiTheme="majorHAnsi" w:hAnsiTheme="majorHAnsi" w:cstheme="majorHAnsi"/>
          <w:sz w:val="22"/>
          <w:szCs w:val="22"/>
        </w:rPr>
        <w:t xml:space="preserve">as an investment in </w:t>
      </w:r>
      <w:r w:rsidRPr="007436F2">
        <w:rPr>
          <w:rFonts w:asciiTheme="majorHAnsi" w:hAnsiTheme="majorHAnsi" w:cstheme="majorHAnsi"/>
          <w:sz w:val="22"/>
          <w:szCs w:val="22"/>
        </w:rPr>
        <w:t xml:space="preserve">the country’s future.  </w:t>
      </w:r>
    </w:p>
    <w:p w14:paraId="2C99909D" w14:textId="0225135C" w:rsidR="0026204C" w:rsidRDefault="0026204C" w:rsidP="00CA0D93">
      <w:pPr>
        <w:tabs>
          <w:tab w:val="left" w:pos="284"/>
        </w:tabs>
        <w:spacing w:after="120" w:line="281" w:lineRule="auto"/>
        <w:ind w:hanging="2"/>
        <w:rPr>
          <w:rFonts w:asciiTheme="majorHAnsi" w:hAnsiTheme="majorHAnsi" w:cstheme="majorHAnsi"/>
          <w:sz w:val="22"/>
          <w:szCs w:val="22"/>
        </w:rPr>
      </w:pPr>
      <w:r w:rsidRPr="007436F2">
        <w:rPr>
          <w:rFonts w:asciiTheme="majorHAnsi" w:hAnsiTheme="majorHAnsi" w:cstheme="majorHAnsi"/>
          <w:sz w:val="22"/>
          <w:szCs w:val="22"/>
        </w:rPr>
        <w:t>Fac</w:t>
      </w:r>
      <w:r>
        <w:rPr>
          <w:rFonts w:asciiTheme="majorHAnsi" w:hAnsiTheme="majorHAnsi" w:cstheme="majorHAnsi"/>
          <w:sz w:val="22"/>
          <w:szCs w:val="22"/>
        </w:rPr>
        <w:t xml:space="preserve">ed with </w:t>
      </w:r>
      <w:r w:rsidRPr="007436F2">
        <w:rPr>
          <w:rFonts w:asciiTheme="majorHAnsi" w:hAnsiTheme="majorHAnsi" w:cstheme="majorHAnsi"/>
          <w:sz w:val="22"/>
          <w:szCs w:val="22"/>
        </w:rPr>
        <w:t xml:space="preserve">low student performance </w:t>
      </w:r>
      <w:r w:rsidR="00CB78C6" w:rsidRPr="007436F2">
        <w:rPr>
          <w:rFonts w:asciiTheme="majorHAnsi" w:hAnsiTheme="majorHAnsi" w:cstheme="majorHAnsi"/>
          <w:sz w:val="22"/>
          <w:szCs w:val="22"/>
        </w:rPr>
        <w:t xml:space="preserve">level </w:t>
      </w:r>
      <w:r>
        <w:rPr>
          <w:rFonts w:asciiTheme="majorHAnsi" w:hAnsiTheme="majorHAnsi" w:cstheme="majorHAnsi"/>
          <w:sz w:val="22"/>
          <w:szCs w:val="22"/>
        </w:rPr>
        <w:t xml:space="preserve">that </w:t>
      </w:r>
      <w:r w:rsidRPr="007436F2">
        <w:rPr>
          <w:rFonts w:asciiTheme="majorHAnsi" w:hAnsiTheme="majorHAnsi" w:cstheme="majorHAnsi"/>
          <w:sz w:val="22"/>
          <w:szCs w:val="22"/>
        </w:rPr>
        <w:t>is emblematic of a learning crisis, the Government of Indonesia (</w:t>
      </w:r>
      <w:proofErr w:type="spellStart"/>
      <w:r w:rsidRPr="007436F2">
        <w:rPr>
          <w:rFonts w:asciiTheme="majorHAnsi" w:hAnsiTheme="majorHAnsi" w:cstheme="majorHAnsi"/>
          <w:sz w:val="22"/>
          <w:szCs w:val="22"/>
        </w:rPr>
        <w:t>GoI</w:t>
      </w:r>
      <w:proofErr w:type="spellEnd"/>
      <w:r w:rsidRPr="007436F2">
        <w:rPr>
          <w:rFonts w:asciiTheme="majorHAnsi" w:hAnsiTheme="majorHAnsi" w:cstheme="majorHAnsi"/>
          <w:sz w:val="22"/>
          <w:szCs w:val="22"/>
        </w:rPr>
        <w:t>) has started an ambitious program of education reforms</w:t>
      </w:r>
      <w:r>
        <w:rPr>
          <w:rFonts w:asciiTheme="majorHAnsi" w:hAnsiTheme="majorHAnsi" w:cstheme="majorHAnsi"/>
          <w:sz w:val="22"/>
          <w:szCs w:val="22"/>
        </w:rPr>
        <w:t xml:space="preserve">. </w:t>
      </w:r>
      <w:r w:rsidRPr="007436F2">
        <w:rPr>
          <w:rFonts w:asciiTheme="majorHAnsi" w:hAnsiTheme="majorHAnsi" w:cstheme="majorHAnsi"/>
          <w:sz w:val="22"/>
          <w:szCs w:val="22"/>
        </w:rPr>
        <w:t xml:space="preserve">Over the past eight years, successive education ministers have </w:t>
      </w:r>
      <w:r>
        <w:rPr>
          <w:rFonts w:asciiTheme="majorHAnsi" w:hAnsiTheme="majorHAnsi" w:cstheme="majorHAnsi"/>
          <w:sz w:val="22"/>
          <w:szCs w:val="22"/>
        </w:rPr>
        <w:t xml:space="preserve">set </w:t>
      </w:r>
      <w:r w:rsidR="0037672E">
        <w:rPr>
          <w:rFonts w:asciiTheme="majorHAnsi" w:hAnsiTheme="majorHAnsi" w:cstheme="majorHAnsi"/>
          <w:sz w:val="22"/>
          <w:szCs w:val="22"/>
        </w:rPr>
        <w:t xml:space="preserve">out </w:t>
      </w:r>
      <w:r>
        <w:rPr>
          <w:rFonts w:asciiTheme="majorHAnsi" w:hAnsiTheme="majorHAnsi" w:cstheme="majorHAnsi"/>
          <w:sz w:val="22"/>
          <w:szCs w:val="22"/>
        </w:rPr>
        <w:t>to</w:t>
      </w:r>
      <w:r w:rsidRPr="007436F2">
        <w:rPr>
          <w:rFonts w:asciiTheme="majorHAnsi" w:hAnsiTheme="majorHAnsi" w:cstheme="majorHAnsi"/>
          <w:sz w:val="22"/>
          <w:szCs w:val="22"/>
        </w:rPr>
        <w:t xml:space="preserve"> modernis</w:t>
      </w:r>
      <w:r>
        <w:rPr>
          <w:rFonts w:asciiTheme="majorHAnsi" w:hAnsiTheme="majorHAnsi" w:cstheme="majorHAnsi"/>
          <w:sz w:val="22"/>
          <w:szCs w:val="22"/>
        </w:rPr>
        <w:t xml:space="preserve">e </w:t>
      </w:r>
      <w:r w:rsidRPr="007436F2">
        <w:rPr>
          <w:rFonts w:asciiTheme="majorHAnsi" w:hAnsiTheme="majorHAnsi" w:cstheme="majorHAnsi"/>
          <w:sz w:val="22"/>
          <w:szCs w:val="22"/>
        </w:rPr>
        <w:t xml:space="preserve">the education system through </w:t>
      </w:r>
      <w:r>
        <w:rPr>
          <w:rFonts w:asciiTheme="majorHAnsi" w:hAnsiTheme="majorHAnsi" w:cstheme="majorHAnsi"/>
          <w:sz w:val="22"/>
          <w:szCs w:val="22"/>
        </w:rPr>
        <w:t>reforming</w:t>
      </w:r>
      <w:r w:rsidRPr="007436F2">
        <w:rPr>
          <w:rFonts w:asciiTheme="majorHAnsi" w:hAnsiTheme="majorHAnsi" w:cstheme="majorHAnsi"/>
          <w:sz w:val="22"/>
          <w:szCs w:val="22"/>
        </w:rPr>
        <w:t xml:space="preserve"> the national curriculum and teaching and assessment approaches, to produce citizens with strong foundational skills, open </w:t>
      </w:r>
      <w:r w:rsidR="00106172" w:rsidRPr="007436F2">
        <w:rPr>
          <w:rFonts w:asciiTheme="majorHAnsi" w:hAnsiTheme="majorHAnsi" w:cstheme="majorHAnsi"/>
          <w:sz w:val="22"/>
          <w:szCs w:val="22"/>
        </w:rPr>
        <w:t>minds,</w:t>
      </w:r>
      <w:r w:rsidRPr="007436F2">
        <w:rPr>
          <w:rFonts w:asciiTheme="majorHAnsi" w:hAnsiTheme="majorHAnsi" w:cstheme="majorHAnsi"/>
          <w:sz w:val="22"/>
          <w:szCs w:val="22"/>
        </w:rPr>
        <w:t xml:space="preserve"> and inclusive values</w:t>
      </w:r>
      <w:r>
        <w:rPr>
          <w:rFonts w:asciiTheme="majorHAnsi" w:hAnsiTheme="majorHAnsi" w:cstheme="majorHAnsi"/>
          <w:sz w:val="22"/>
          <w:szCs w:val="22"/>
        </w:rPr>
        <w:t xml:space="preserve">. </w:t>
      </w:r>
      <w:r w:rsidRPr="007436F2">
        <w:rPr>
          <w:rFonts w:asciiTheme="majorHAnsi" w:hAnsiTheme="majorHAnsi" w:cstheme="majorHAnsi"/>
          <w:sz w:val="22"/>
          <w:szCs w:val="22"/>
        </w:rPr>
        <w:t xml:space="preserve">An explicit political intent behind these ambitious reforms is the concept of </w:t>
      </w:r>
      <w:r w:rsidRPr="0082276A">
        <w:rPr>
          <w:rFonts w:asciiTheme="majorHAnsi" w:hAnsiTheme="majorHAnsi" w:cstheme="majorHAnsi"/>
          <w:i/>
          <w:iCs/>
          <w:sz w:val="22"/>
          <w:szCs w:val="22"/>
        </w:rPr>
        <w:t xml:space="preserve">Merdeka </w:t>
      </w:r>
      <w:proofErr w:type="spellStart"/>
      <w:r w:rsidRPr="0082276A">
        <w:rPr>
          <w:rFonts w:asciiTheme="majorHAnsi" w:hAnsiTheme="majorHAnsi" w:cstheme="majorHAnsi"/>
          <w:i/>
          <w:iCs/>
          <w:sz w:val="22"/>
          <w:szCs w:val="22"/>
        </w:rPr>
        <w:t>Belajar</w:t>
      </w:r>
      <w:proofErr w:type="spellEnd"/>
      <w:r w:rsidRPr="007436F2">
        <w:rPr>
          <w:rFonts w:asciiTheme="majorHAnsi" w:hAnsiTheme="majorHAnsi" w:cstheme="majorHAnsi"/>
          <w:sz w:val="22"/>
          <w:szCs w:val="22"/>
        </w:rPr>
        <w:t xml:space="preserve"> (emancipated learning)</w:t>
      </w:r>
      <w:r>
        <w:rPr>
          <w:rFonts w:asciiTheme="majorHAnsi" w:hAnsiTheme="majorHAnsi" w:cstheme="majorHAnsi"/>
          <w:sz w:val="22"/>
          <w:szCs w:val="22"/>
        </w:rPr>
        <w:t xml:space="preserve"> and </w:t>
      </w:r>
      <w:r w:rsidRPr="007436F2">
        <w:rPr>
          <w:rFonts w:asciiTheme="majorHAnsi" w:hAnsiTheme="majorHAnsi" w:cstheme="majorHAnsi"/>
          <w:sz w:val="22"/>
          <w:szCs w:val="22"/>
        </w:rPr>
        <w:t>the deliberate embrace of Indonesia’s sociological diversit</w:t>
      </w:r>
      <w:r>
        <w:rPr>
          <w:rFonts w:asciiTheme="majorHAnsi" w:hAnsiTheme="majorHAnsi" w:cstheme="majorHAnsi"/>
          <w:sz w:val="22"/>
          <w:szCs w:val="22"/>
        </w:rPr>
        <w:t>y</w:t>
      </w:r>
      <w:r w:rsidRPr="007436F2">
        <w:rPr>
          <w:rFonts w:asciiTheme="majorHAnsi" w:hAnsiTheme="majorHAnsi" w:cstheme="majorHAnsi"/>
          <w:sz w:val="22"/>
          <w:szCs w:val="22"/>
        </w:rPr>
        <w:t>.</w:t>
      </w:r>
    </w:p>
    <w:p w14:paraId="1A4D9F0B" w14:textId="4EADD648" w:rsidR="0026204C" w:rsidRPr="0082276A" w:rsidRDefault="0026204C" w:rsidP="00CA0D93">
      <w:pPr>
        <w:tabs>
          <w:tab w:val="left" w:pos="284"/>
        </w:tabs>
        <w:spacing w:after="120" w:line="281" w:lineRule="auto"/>
        <w:ind w:hanging="2"/>
        <w:rPr>
          <w:rFonts w:asciiTheme="majorHAnsi" w:hAnsiTheme="majorHAnsi" w:cstheme="majorHAnsi"/>
          <w:sz w:val="22"/>
          <w:szCs w:val="22"/>
        </w:rPr>
      </w:pPr>
      <w:r w:rsidRPr="007436F2">
        <w:rPr>
          <w:rFonts w:asciiTheme="majorHAnsi" w:hAnsiTheme="majorHAnsi" w:cstheme="majorHAnsi"/>
          <w:sz w:val="22"/>
          <w:szCs w:val="22"/>
        </w:rPr>
        <w:t xml:space="preserve">Australia is a long-term supporter of the Indonesian basic education sector, with continuous investments supporting education quality improvements </w:t>
      </w:r>
      <w:r>
        <w:rPr>
          <w:rFonts w:asciiTheme="majorHAnsi" w:hAnsiTheme="majorHAnsi" w:cstheme="majorHAnsi"/>
          <w:sz w:val="22"/>
          <w:szCs w:val="22"/>
        </w:rPr>
        <w:t>for the past two decades. T</w:t>
      </w:r>
      <w:r w:rsidRPr="007436F2">
        <w:rPr>
          <w:rFonts w:asciiTheme="majorHAnsi" w:hAnsiTheme="majorHAnsi" w:cstheme="majorHAnsi"/>
          <w:sz w:val="22"/>
          <w:szCs w:val="22"/>
        </w:rPr>
        <w:t xml:space="preserve">he </w:t>
      </w:r>
      <w:r>
        <w:rPr>
          <w:rFonts w:asciiTheme="majorHAnsi" w:hAnsiTheme="majorHAnsi" w:cstheme="majorHAnsi"/>
          <w:sz w:val="22"/>
          <w:szCs w:val="22"/>
        </w:rPr>
        <w:t>DFAT-funded I</w:t>
      </w:r>
      <w:r w:rsidRPr="007436F2">
        <w:rPr>
          <w:rFonts w:asciiTheme="majorHAnsi" w:hAnsiTheme="majorHAnsi" w:cstheme="majorHAnsi"/>
          <w:sz w:val="22"/>
          <w:szCs w:val="22"/>
        </w:rPr>
        <w:t xml:space="preserve">nnovation for Indonesia’s School Children </w:t>
      </w:r>
      <w:r>
        <w:rPr>
          <w:rFonts w:asciiTheme="majorHAnsi" w:hAnsiTheme="majorHAnsi" w:cstheme="majorHAnsi"/>
          <w:sz w:val="22"/>
          <w:szCs w:val="22"/>
        </w:rPr>
        <w:t xml:space="preserve">- </w:t>
      </w:r>
      <w:r w:rsidRPr="007436F2">
        <w:rPr>
          <w:rFonts w:asciiTheme="majorHAnsi" w:hAnsiTheme="majorHAnsi" w:cstheme="majorHAnsi"/>
          <w:sz w:val="22"/>
          <w:szCs w:val="22"/>
        </w:rPr>
        <w:t xml:space="preserve">or INOVASI </w:t>
      </w:r>
      <w:r>
        <w:rPr>
          <w:rFonts w:asciiTheme="majorHAnsi" w:hAnsiTheme="majorHAnsi" w:cstheme="majorHAnsi"/>
          <w:sz w:val="22"/>
          <w:szCs w:val="22"/>
        </w:rPr>
        <w:t xml:space="preserve">- </w:t>
      </w:r>
      <w:r w:rsidRPr="007436F2">
        <w:rPr>
          <w:rFonts w:asciiTheme="majorHAnsi" w:hAnsiTheme="majorHAnsi" w:cstheme="majorHAnsi"/>
          <w:sz w:val="22"/>
          <w:szCs w:val="22"/>
        </w:rPr>
        <w:t>program started</w:t>
      </w:r>
      <w:r w:rsidRPr="0082276A">
        <w:rPr>
          <w:rFonts w:asciiTheme="majorHAnsi" w:hAnsiTheme="majorHAnsi" w:cstheme="majorHAnsi"/>
          <w:sz w:val="22"/>
          <w:szCs w:val="22"/>
        </w:rPr>
        <w:t xml:space="preserve"> </w:t>
      </w:r>
      <w:r>
        <w:rPr>
          <w:rFonts w:asciiTheme="majorHAnsi" w:hAnsiTheme="majorHAnsi" w:cstheme="majorHAnsi"/>
          <w:sz w:val="22"/>
          <w:szCs w:val="22"/>
        </w:rPr>
        <w:t>i</w:t>
      </w:r>
      <w:r w:rsidRPr="007436F2">
        <w:rPr>
          <w:rFonts w:asciiTheme="majorHAnsi" w:hAnsiTheme="majorHAnsi" w:cstheme="majorHAnsi"/>
          <w:sz w:val="22"/>
          <w:szCs w:val="22"/>
        </w:rPr>
        <w:t xml:space="preserve">n </w:t>
      </w:r>
      <w:r w:rsidR="0037672E" w:rsidRPr="007436F2">
        <w:rPr>
          <w:rFonts w:asciiTheme="majorHAnsi" w:hAnsiTheme="majorHAnsi" w:cstheme="majorHAnsi"/>
          <w:sz w:val="22"/>
          <w:szCs w:val="22"/>
        </w:rPr>
        <w:t>201</w:t>
      </w:r>
      <w:r w:rsidR="0037672E">
        <w:rPr>
          <w:rFonts w:asciiTheme="majorHAnsi" w:hAnsiTheme="majorHAnsi" w:cstheme="majorHAnsi"/>
          <w:sz w:val="22"/>
          <w:szCs w:val="22"/>
        </w:rPr>
        <w:t>6</w:t>
      </w:r>
      <w:r w:rsidRPr="007436F2">
        <w:rPr>
          <w:rFonts w:asciiTheme="majorHAnsi" w:hAnsiTheme="majorHAnsi" w:cstheme="majorHAnsi"/>
          <w:sz w:val="22"/>
          <w:szCs w:val="22"/>
        </w:rPr>
        <w:t xml:space="preserve">, with </w:t>
      </w:r>
      <w:r>
        <w:rPr>
          <w:rFonts w:asciiTheme="majorHAnsi" w:hAnsiTheme="majorHAnsi" w:cstheme="majorHAnsi"/>
          <w:sz w:val="22"/>
          <w:szCs w:val="22"/>
        </w:rPr>
        <w:t xml:space="preserve">a </w:t>
      </w:r>
      <w:r w:rsidRPr="007436F2">
        <w:rPr>
          <w:rFonts w:asciiTheme="majorHAnsi" w:hAnsiTheme="majorHAnsi" w:cstheme="majorHAnsi"/>
          <w:sz w:val="22"/>
          <w:szCs w:val="22"/>
        </w:rPr>
        <w:t xml:space="preserve">focus on supporting </w:t>
      </w:r>
      <w:r>
        <w:rPr>
          <w:rFonts w:asciiTheme="majorHAnsi" w:hAnsiTheme="majorHAnsi" w:cstheme="majorHAnsi"/>
          <w:sz w:val="22"/>
          <w:szCs w:val="22"/>
        </w:rPr>
        <w:t>literacy and numeracy foundational skills in</w:t>
      </w:r>
      <w:r w:rsidRPr="007436F2">
        <w:rPr>
          <w:rFonts w:asciiTheme="majorHAnsi" w:hAnsiTheme="majorHAnsi" w:cstheme="majorHAnsi"/>
          <w:sz w:val="22"/>
          <w:szCs w:val="22"/>
        </w:rPr>
        <w:t xml:space="preserve"> </w:t>
      </w:r>
      <w:r>
        <w:rPr>
          <w:rFonts w:asciiTheme="majorHAnsi" w:hAnsiTheme="majorHAnsi" w:cstheme="majorHAnsi"/>
          <w:sz w:val="22"/>
          <w:szCs w:val="22"/>
        </w:rPr>
        <w:t xml:space="preserve">early grades </w:t>
      </w:r>
      <w:r w:rsidRPr="007436F2">
        <w:rPr>
          <w:rFonts w:asciiTheme="majorHAnsi" w:hAnsiTheme="majorHAnsi" w:cstheme="majorHAnsi"/>
          <w:sz w:val="22"/>
          <w:szCs w:val="22"/>
        </w:rPr>
        <w:t>classroom</w:t>
      </w:r>
      <w:r>
        <w:rPr>
          <w:rFonts w:asciiTheme="majorHAnsi" w:hAnsiTheme="majorHAnsi" w:cstheme="majorHAnsi"/>
          <w:sz w:val="22"/>
          <w:szCs w:val="22"/>
        </w:rPr>
        <w:t>s. The</w:t>
      </w:r>
      <w:r w:rsidRPr="007436F2">
        <w:rPr>
          <w:rFonts w:asciiTheme="majorHAnsi" w:hAnsiTheme="majorHAnsi" w:cstheme="majorHAnsi"/>
          <w:sz w:val="22"/>
          <w:szCs w:val="22"/>
        </w:rPr>
        <w:t xml:space="preserve"> mandate </w:t>
      </w:r>
      <w:r>
        <w:rPr>
          <w:rFonts w:asciiTheme="majorHAnsi" w:hAnsiTheme="majorHAnsi" w:cstheme="majorHAnsi"/>
          <w:sz w:val="22"/>
          <w:szCs w:val="22"/>
        </w:rPr>
        <w:t xml:space="preserve">of the program is </w:t>
      </w:r>
      <w:r w:rsidRPr="007436F2">
        <w:rPr>
          <w:rFonts w:asciiTheme="majorHAnsi" w:hAnsiTheme="majorHAnsi" w:cstheme="majorHAnsi"/>
          <w:sz w:val="22"/>
          <w:szCs w:val="22"/>
        </w:rPr>
        <w:t xml:space="preserve">to explore local problems and </w:t>
      </w:r>
      <w:proofErr w:type="gramStart"/>
      <w:r w:rsidRPr="007436F2">
        <w:rPr>
          <w:rFonts w:asciiTheme="majorHAnsi" w:hAnsiTheme="majorHAnsi" w:cstheme="majorHAnsi"/>
          <w:sz w:val="22"/>
          <w:szCs w:val="22"/>
        </w:rPr>
        <w:t>solutions</w:t>
      </w:r>
      <w:r w:rsidR="00204235">
        <w:rPr>
          <w:rFonts w:asciiTheme="majorHAnsi" w:hAnsiTheme="majorHAnsi" w:cstheme="majorHAnsi"/>
          <w:sz w:val="22"/>
          <w:szCs w:val="22"/>
        </w:rPr>
        <w:t>,</w:t>
      </w:r>
      <w:r w:rsidRPr="007436F2">
        <w:rPr>
          <w:rFonts w:asciiTheme="majorHAnsi" w:hAnsiTheme="majorHAnsi" w:cstheme="majorHAnsi"/>
          <w:sz w:val="22"/>
          <w:szCs w:val="22"/>
        </w:rPr>
        <w:t xml:space="preserve"> and</w:t>
      </w:r>
      <w:proofErr w:type="gramEnd"/>
      <w:r w:rsidRPr="007436F2">
        <w:rPr>
          <w:rFonts w:asciiTheme="majorHAnsi" w:hAnsiTheme="majorHAnsi" w:cstheme="majorHAnsi"/>
          <w:sz w:val="22"/>
          <w:szCs w:val="22"/>
        </w:rPr>
        <w:t xml:space="preserve"> generate evidence </w:t>
      </w:r>
      <w:r w:rsidRPr="0082276A">
        <w:rPr>
          <w:rFonts w:asciiTheme="majorHAnsi" w:hAnsiTheme="majorHAnsi" w:cstheme="majorHAnsi"/>
          <w:sz w:val="22"/>
          <w:szCs w:val="22"/>
        </w:rPr>
        <w:t>to inform government policy development and practices</w:t>
      </w:r>
      <w:r w:rsidRPr="007436F2">
        <w:rPr>
          <w:rFonts w:asciiTheme="majorHAnsi" w:hAnsiTheme="majorHAnsi" w:cstheme="majorHAnsi"/>
          <w:sz w:val="22"/>
          <w:szCs w:val="22"/>
        </w:rPr>
        <w:t>.</w:t>
      </w:r>
      <w:r>
        <w:rPr>
          <w:rFonts w:asciiTheme="majorHAnsi" w:hAnsiTheme="majorHAnsi" w:cstheme="majorHAnsi"/>
          <w:sz w:val="22"/>
          <w:szCs w:val="22"/>
        </w:rPr>
        <w:t xml:space="preserve"> With the second phase of INOVASI </w:t>
      </w:r>
      <w:proofErr w:type="gramStart"/>
      <w:r>
        <w:rPr>
          <w:rFonts w:asciiTheme="majorHAnsi" w:hAnsiTheme="majorHAnsi" w:cstheme="majorHAnsi"/>
          <w:sz w:val="22"/>
          <w:szCs w:val="22"/>
        </w:rPr>
        <w:t>drawing to an end</w:t>
      </w:r>
      <w:proofErr w:type="gramEnd"/>
      <w:r>
        <w:rPr>
          <w:rFonts w:asciiTheme="majorHAnsi" w:hAnsiTheme="majorHAnsi" w:cstheme="majorHAnsi"/>
          <w:sz w:val="22"/>
          <w:szCs w:val="22"/>
        </w:rPr>
        <w:t xml:space="preserve"> in 2023, </w:t>
      </w:r>
      <w:r w:rsidRPr="0082276A">
        <w:rPr>
          <w:rFonts w:asciiTheme="majorHAnsi" w:hAnsiTheme="majorHAnsi" w:cstheme="majorHAnsi"/>
          <w:sz w:val="22"/>
          <w:szCs w:val="22"/>
        </w:rPr>
        <w:t xml:space="preserve">an Independent Strategic Review (ISR) endorsed the program’s relevance and its contributions to education systems development at national and sub-national levels. </w:t>
      </w:r>
      <w:r w:rsidRPr="007436F2">
        <w:rPr>
          <w:rFonts w:asciiTheme="majorHAnsi" w:hAnsiTheme="majorHAnsi" w:cstheme="majorHAnsi"/>
          <w:sz w:val="22"/>
          <w:szCs w:val="22"/>
        </w:rPr>
        <w:t xml:space="preserve">It recommended that Australia </w:t>
      </w:r>
      <w:r w:rsidR="002269CC">
        <w:rPr>
          <w:rFonts w:asciiTheme="majorHAnsi" w:hAnsiTheme="majorHAnsi" w:cstheme="majorHAnsi"/>
          <w:sz w:val="22"/>
          <w:szCs w:val="22"/>
        </w:rPr>
        <w:t>further</w:t>
      </w:r>
      <w:r w:rsidRPr="007436F2">
        <w:rPr>
          <w:rFonts w:asciiTheme="majorHAnsi" w:hAnsiTheme="majorHAnsi" w:cstheme="majorHAnsi"/>
          <w:sz w:val="22"/>
          <w:szCs w:val="22"/>
        </w:rPr>
        <w:t xml:space="preserve"> support</w:t>
      </w:r>
      <w:r w:rsidR="002269CC">
        <w:rPr>
          <w:rFonts w:asciiTheme="majorHAnsi" w:hAnsiTheme="majorHAnsi" w:cstheme="majorHAnsi"/>
          <w:sz w:val="22"/>
          <w:szCs w:val="22"/>
        </w:rPr>
        <w:t>s</w:t>
      </w:r>
      <w:r w:rsidRPr="007436F2">
        <w:rPr>
          <w:rFonts w:asciiTheme="majorHAnsi" w:hAnsiTheme="majorHAnsi" w:cstheme="majorHAnsi"/>
          <w:sz w:val="22"/>
          <w:szCs w:val="22"/>
        </w:rPr>
        <w:t xml:space="preserve"> the </w:t>
      </w:r>
      <w:r w:rsidRPr="0082276A">
        <w:rPr>
          <w:rFonts w:asciiTheme="majorHAnsi" w:hAnsiTheme="majorHAnsi" w:cstheme="majorHAnsi"/>
          <w:sz w:val="22"/>
          <w:szCs w:val="22"/>
        </w:rPr>
        <w:t xml:space="preserve">current reforms </w:t>
      </w:r>
      <w:r>
        <w:rPr>
          <w:rFonts w:asciiTheme="majorHAnsi" w:hAnsiTheme="majorHAnsi" w:cstheme="majorHAnsi"/>
          <w:sz w:val="22"/>
          <w:szCs w:val="22"/>
        </w:rPr>
        <w:t>to</w:t>
      </w:r>
      <w:r w:rsidRPr="0082276A">
        <w:rPr>
          <w:rFonts w:asciiTheme="majorHAnsi" w:hAnsiTheme="majorHAnsi" w:cstheme="majorHAnsi"/>
          <w:sz w:val="22"/>
          <w:szCs w:val="22"/>
        </w:rPr>
        <w:t xml:space="preserve"> ensure the next generation of children can realise improved learning outcomes that are inclusive and more equitable, promoting a prosperous </w:t>
      </w:r>
      <w:r w:rsidR="002269CC">
        <w:rPr>
          <w:rFonts w:asciiTheme="majorHAnsi" w:hAnsiTheme="majorHAnsi" w:cstheme="majorHAnsi"/>
          <w:sz w:val="22"/>
          <w:szCs w:val="22"/>
        </w:rPr>
        <w:t xml:space="preserve">Indonesian </w:t>
      </w:r>
      <w:r w:rsidRPr="0082276A">
        <w:rPr>
          <w:rFonts w:asciiTheme="majorHAnsi" w:hAnsiTheme="majorHAnsi" w:cstheme="majorHAnsi"/>
          <w:sz w:val="22"/>
          <w:szCs w:val="22"/>
        </w:rPr>
        <w:t xml:space="preserve">society over the long-term. </w:t>
      </w:r>
    </w:p>
    <w:p w14:paraId="2EDB31D4" w14:textId="11CB9AD4" w:rsidR="0026204C" w:rsidRDefault="0026204C" w:rsidP="00CA0D93">
      <w:pPr>
        <w:tabs>
          <w:tab w:val="left" w:pos="284"/>
        </w:tabs>
        <w:spacing w:after="120" w:line="281" w:lineRule="auto"/>
        <w:ind w:hanging="2"/>
        <w:rPr>
          <w:rFonts w:asciiTheme="majorHAnsi" w:hAnsiTheme="majorHAnsi" w:cstheme="majorHAnsi"/>
          <w:sz w:val="22"/>
          <w:szCs w:val="22"/>
        </w:rPr>
      </w:pPr>
      <w:r w:rsidRPr="007436F2">
        <w:rPr>
          <w:rFonts w:asciiTheme="majorHAnsi" w:hAnsiTheme="majorHAnsi" w:cstheme="majorHAnsi"/>
          <w:sz w:val="22"/>
          <w:szCs w:val="22"/>
        </w:rPr>
        <w:t xml:space="preserve">Australia will continue to support the Indonesia education sector through a third phase of the INOVASI program (INOVASI Phase 3), valued at AUD 110 million over </w:t>
      </w:r>
      <w:r>
        <w:rPr>
          <w:rFonts w:asciiTheme="majorHAnsi" w:hAnsiTheme="majorHAnsi" w:cstheme="majorHAnsi"/>
          <w:sz w:val="22"/>
          <w:szCs w:val="22"/>
        </w:rPr>
        <w:t>eight years (</w:t>
      </w:r>
      <w:r w:rsidRPr="007436F2">
        <w:rPr>
          <w:rFonts w:asciiTheme="majorHAnsi" w:hAnsiTheme="majorHAnsi" w:cstheme="majorHAnsi"/>
          <w:sz w:val="22"/>
          <w:szCs w:val="22"/>
        </w:rPr>
        <w:t>202</w:t>
      </w:r>
      <w:r>
        <w:rPr>
          <w:rFonts w:asciiTheme="majorHAnsi" w:hAnsiTheme="majorHAnsi" w:cstheme="majorHAnsi"/>
          <w:sz w:val="22"/>
          <w:szCs w:val="22"/>
        </w:rPr>
        <w:t>4</w:t>
      </w:r>
      <w:r w:rsidRPr="007436F2">
        <w:rPr>
          <w:rFonts w:asciiTheme="majorHAnsi" w:hAnsiTheme="majorHAnsi" w:cstheme="majorHAnsi"/>
          <w:sz w:val="22"/>
          <w:szCs w:val="22"/>
        </w:rPr>
        <w:t>-2031</w:t>
      </w:r>
      <w:r>
        <w:rPr>
          <w:rFonts w:asciiTheme="majorHAnsi" w:hAnsiTheme="majorHAnsi" w:cstheme="majorHAnsi"/>
          <w:sz w:val="22"/>
          <w:szCs w:val="22"/>
        </w:rPr>
        <w:t>) and split into two four years sub-phases.</w:t>
      </w:r>
      <w:r w:rsidRPr="007436F2">
        <w:rPr>
          <w:rFonts w:asciiTheme="majorHAnsi" w:hAnsiTheme="majorHAnsi" w:cstheme="majorHAnsi"/>
          <w:sz w:val="22"/>
          <w:szCs w:val="22"/>
        </w:rPr>
        <w:t xml:space="preserve"> </w:t>
      </w:r>
      <w:r w:rsidRPr="0082276A">
        <w:rPr>
          <w:rFonts w:asciiTheme="majorHAnsi" w:hAnsiTheme="majorHAnsi" w:cstheme="majorHAnsi"/>
          <w:sz w:val="22"/>
          <w:szCs w:val="22"/>
        </w:rPr>
        <w:t xml:space="preserve">The current Design Update </w:t>
      </w:r>
      <w:r>
        <w:rPr>
          <w:rFonts w:asciiTheme="majorHAnsi" w:hAnsiTheme="majorHAnsi" w:cstheme="majorHAnsi"/>
          <w:sz w:val="22"/>
          <w:szCs w:val="22"/>
        </w:rPr>
        <w:t xml:space="preserve">(which covers the first four years of Phase 3) </w:t>
      </w:r>
      <w:r w:rsidRPr="0082276A">
        <w:rPr>
          <w:rFonts w:asciiTheme="majorHAnsi" w:hAnsiTheme="majorHAnsi" w:cstheme="majorHAnsi"/>
          <w:sz w:val="22"/>
          <w:szCs w:val="22"/>
        </w:rPr>
        <w:t xml:space="preserve">builds upon the existing program’s approach and lessons </w:t>
      </w:r>
      <w:r w:rsidR="00AF07E8" w:rsidRPr="0082276A">
        <w:rPr>
          <w:rFonts w:asciiTheme="majorHAnsi" w:hAnsiTheme="majorHAnsi" w:cstheme="majorHAnsi"/>
          <w:sz w:val="22"/>
          <w:szCs w:val="22"/>
        </w:rPr>
        <w:t>learned and</w:t>
      </w:r>
      <w:r w:rsidRPr="0082276A">
        <w:rPr>
          <w:rFonts w:asciiTheme="majorHAnsi" w:hAnsiTheme="majorHAnsi" w:cstheme="majorHAnsi"/>
          <w:sz w:val="22"/>
          <w:szCs w:val="22"/>
        </w:rPr>
        <w:t xml:space="preserve"> incorporates updates to guide the next phase. It </w:t>
      </w:r>
      <w:r w:rsidRPr="0082276A">
        <w:rPr>
          <w:rFonts w:asciiTheme="majorHAnsi" w:hAnsiTheme="majorHAnsi" w:cstheme="majorHAnsi"/>
          <w:sz w:val="22"/>
          <w:szCs w:val="22"/>
        </w:rPr>
        <w:lastRenderedPageBreak/>
        <w:t xml:space="preserve">presents a program that reflects changes in the operating context and priorities of both countries, and that encourage an evolution - rather than revolution - of </w:t>
      </w:r>
      <w:r w:rsidR="0037672E">
        <w:rPr>
          <w:rFonts w:asciiTheme="majorHAnsi" w:hAnsiTheme="majorHAnsi" w:cstheme="majorHAnsi"/>
          <w:sz w:val="22"/>
          <w:szCs w:val="22"/>
        </w:rPr>
        <w:t>INOVASI’s</w:t>
      </w:r>
      <w:r w:rsidR="0037672E" w:rsidRPr="00B4389B">
        <w:rPr>
          <w:rFonts w:asciiTheme="majorHAnsi" w:hAnsiTheme="majorHAnsi" w:cstheme="majorHAnsi"/>
          <w:sz w:val="22"/>
          <w:szCs w:val="22"/>
        </w:rPr>
        <w:t xml:space="preserve"> </w:t>
      </w:r>
      <w:r>
        <w:rPr>
          <w:rFonts w:asciiTheme="majorHAnsi" w:hAnsiTheme="majorHAnsi" w:cstheme="majorHAnsi"/>
          <w:sz w:val="22"/>
          <w:szCs w:val="22"/>
        </w:rPr>
        <w:t>directions. T</w:t>
      </w:r>
      <w:r w:rsidRPr="007436F2">
        <w:rPr>
          <w:rFonts w:asciiTheme="majorHAnsi" w:hAnsiTheme="majorHAnsi" w:cstheme="majorHAnsi"/>
          <w:sz w:val="22"/>
          <w:szCs w:val="22"/>
        </w:rPr>
        <w:t xml:space="preserve">he new investment will </w:t>
      </w:r>
      <w:r>
        <w:rPr>
          <w:rFonts w:asciiTheme="majorHAnsi" w:hAnsiTheme="majorHAnsi" w:cstheme="majorHAnsi"/>
          <w:sz w:val="22"/>
          <w:szCs w:val="22"/>
        </w:rPr>
        <w:t>take the</w:t>
      </w:r>
      <w:r w:rsidRPr="007436F2">
        <w:rPr>
          <w:rFonts w:asciiTheme="majorHAnsi" w:hAnsiTheme="majorHAnsi" w:cstheme="majorHAnsi"/>
          <w:sz w:val="22"/>
          <w:szCs w:val="22"/>
        </w:rPr>
        <w:t xml:space="preserve"> focus on the development of foundational skills </w:t>
      </w:r>
      <w:r>
        <w:rPr>
          <w:rFonts w:asciiTheme="majorHAnsi" w:hAnsiTheme="majorHAnsi" w:cstheme="majorHAnsi"/>
          <w:sz w:val="22"/>
          <w:szCs w:val="22"/>
        </w:rPr>
        <w:t xml:space="preserve">through to the end of the primary </w:t>
      </w:r>
      <w:proofErr w:type="gramStart"/>
      <w:r>
        <w:rPr>
          <w:rFonts w:asciiTheme="majorHAnsi" w:hAnsiTheme="majorHAnsi" w:cstheme="majorHAnsi"/>
          <w:sz w:val="22"/>
          <w:szCs w:val="22"/>
        </w:rPr>
        <w:t>grades, and</w:t>
      </w:r>
      <w:proofErr w:type="gramEnd"/>
      <w:r>
        <w:rPr>
          <w:rFonts w:asciiTheme="majorHAnsi" w:hAnsiTheme="majorHAnsi" w:cstheme="majorHAnsi"/>
          <w:sz w:val="22"/>
          <w:szCs w:val="22"/>
        </w:rPr>
        <w:t xml:space="preserve"> will</w:t>
      </w:r>
      <w:r w:rsidRPr="007436F2">
        <w:rPr>
          <w:rFonts w:asciiTheme="majorHAnsi" w:hAnsiTheme="majorHAnsi" w:cstheme="majorHAnsi"/>
          <w:sz w:val="22"/>
          <w:szCs w:val="22"/>
        </w:rPr>
        <w:t xml:space="preserve"> </w:t>
      </w:r>
      <w:r>
        <w:rPr>
          <w:rFonts w:asciiTheme="majorHAnsi" w:hAnsiTheme="majorHAnsi" w:cstheme="majorHAnsi"/>
          <w:sz w:val="22"/>
          <w:szCs w:val="22"/>
        </w:rPr>
        <w:t xml:space="preserve">engage with </w:t>
      </w:r>
      <w:r w:rsidRPr="007436F2">
        <w:rPr>
          <w:rFonts w:asciiTheme="majorHAnsi" w:hAnsiTheme="majorHAnsi" w:cstheme="majorHAnsi"/>
          <w:sz w:val="22"/>
          <w:szCs w:val="22"/>
        </w:rPr>
        <w:t>priority issues of Australia’s upcoming development policy.</w:t>
      </w:r>
      <w:r>
        <w:rPr>
          <w:rFonts w:asciiTheme="majorHAnsi" w:hAnsiTheme="majorHAnsi" w:cstheme="majorHAnsi"/>
          <w:sz w:val="22"/>
          <w:szCs w:val="22"/>
        </w:rPr>
        <w:t xml:space="preserve"> I</w:t>
      </w:r>
      <w:r w:rsidRPr="007436F2">
        <w:rPr>
          <w:rFonts w:asciiTheme="majorHAnsi" w:hAnsiTheme="majorHAnsi" w:cstheme="majorHAnsi"/>
          <w:sz w:val="22"/>
          <w:szCs w:val="22"/>
        </w:rPr>
        <w:t xml:space="preserve">t will </w:t>
      </w:r>
      <w:r>
        <w:rPr>
          <w:rFonts w:asciiTheme="majorHAnsi" w:hAnsiTheme="majorHAnsi" w:cstheme="majorHAnsi"/>
          <w:sz w:val="22"/>
          <w:szCs w:val="22"/>
        </w:rPr>
        <w:t>focus on the challenge of policy implementation and the gaps that exist between national policies and practices at district and school levels</w:t>
      </w:r>
      <w:r w:rsidR="002F0680">
        <w:rPr>
          <w:rFonts w:asciiTheme="majorHAnsi" w:hAnsiTheme="majorHAnsi" w:cstheme="majorHAnsi"/>
          <w:sz w:val="22"/>
          <w:szCs w:val="22"/>
        </w:rPr>
        <w:t xml:space="preserve">. </w:t>
      </w:r>
      <w:r w:rsidR="008604A1">
        <w:rPr>
          <w:rFonts w:asciiTheme="majorHAnsi" w:hAnsiTheme="majorHAnsi" w:cstheme="majorHAnsi"/>
          <w:sz w:val="22"/>
          <w:szCs w:val="22"/>
        </w:rPr>
        <w:t xml:space="preserve">It will use the well attested-success of INOVASI’s </w:t>
      </w:r>
      <w:r w:rsidR="00A76F94">
        <w:rPr>
          <w:rFonts w:asciiTheme="majorHAnsi" w:hAnsiTheme="majorHAnsi" w:cstheme="majorHAnsi"/>
          <w:sz w:val="22"/>
          <w:szCs w:val="22"/>
        </w:rPr>
        <w:t xml:space="preserve">local </w:t>
      </w:r>
      <w:r w:rsidR="008604A1">
        <w:rPr>
          <w:rFonts w:asciiTheme="majorHAnsi" w:hAnsiTheme="majorHAnsi" w:cstheme="majorHAnsi"/>
          <w:sz w:val="22"/>
          <w:szCs w:val="22"/>
        </w:rPr>
        <w:t xml:space="preserve">problem-based approach to </w:t>
      </w:r>
      <w:r w:rsidR="00C45188">
        <w:rPr>
          <w:rFonts w:asciiTheme="majorHAnsi" w:hAnsiTheme="majorHAnsi" w:cstheme="majorHAnsi"/>
          <w:sz w:val="22"/>
          <w:szCs w:val="22"/>
        </w:rPr>
        <w:t>continuously support</w:t>
      </w:r>
      <w:r w:rsidR="00696C51">
        <w:rPr>
          <w:rFonts w:asciiTheme="majorHAnsi" w:hAnsiTheme="majorHAnsi" w:cstheme="majorHAnsi"/>
          <w:sz w:val="22"/>
          <w:szCs w:val="22"/>
        </w:rPr>
        <w:t xml:space="preserve"> </w:t>
      </w:r>
      <w:r w:rsidR="00C45188">
        <w:rPr>
          <w:rFonts w:asciiTheme="majorHAnsi" w:hAnsiTheme="majorHAnsi" w:cstheme="majorHAnsi"/>
          <w:sz w:val="22"/>
          <w:szCs w:val="22"/>
        </w:rPr>
        <w:t xml:space="preserve">policy development for </w:t>
      </w:r>
      <w:r w:rsidR="00696C51">
        <w:rPr>
          <w:rFonts w:asciiTheme="majorHAnsi" w:hAnsiTheme="majorHAnsi" w:cstheme="majorHAnsi"/>
          <w:sz w:val="22"/>
          <w:szCs w:val="22"/>
        </w:rPr>
        <w:t xml:space="preserve">effective fit between policy and </w:t>
      </w:r>
      <w:r w:rsidR="00617FAA">
        <w:rPr>
          <w:rFonts w:asciiTheme="majorHAnsi" w:hAnsiTheme="majorHAnsi" w:cstheme="majorHAnsi"/>
          <w:sz w:val="22"/>
          <w:szCs w:val="22"/>
        </w:rPr>
        <w:t xml:space="preserve">implementation </w:t>
      </w:r>
      <w:r w:rsidR="00696C51">
        <w:rPr>
          <w:rFonts w:asciiTheme="majorHAnsi" w:hAnsiTheme="majorHAnsi" w:cstheme="majorHAnsi"/>
          <w:sz w:val="22"/>
          <w:szCs w:val="22"/>
        </w:rPr>
        <w:t>context.</w:t>
      </w:r>
      <w:r>
        <w:rPr>
          <w:rFonts w:asciiTheme="majorHAnsi" w:hAnsiTheme="majorHAnsi" w:cstheme="majorHAnsi"/>
          <w:sz w:val="22"/>
          <w:szCs w:val="22"/>
        </w:rPr>
        <w:t xml:space="preserve"> </w:t>
      </w:r>
      <w:r w:rsidR="00696C51">
        <w:rPr>
          <w:rFonts w:asciiTheme="majorHAnsi" w:hAnsiTheme="majorHAnsi" w:cstheme="majorHAnsi"/>
          <w:sz w:val="22"/>
          <w:szCs w:val="22"/>
        </w:rPr>
        <w:t xml:space="preserve">It will </w:t>
      </w:r>
      <w:r w:rsidR="002F0680">
        <w:rPr>
          <w:rFonts w:asciiTheme="majorHAnsi" w:hAnsiTheme="majorHAnsi" w:cstheme="majorHAnsi"/>
          <w:sz w:val="22"/>
          <w:szCs w:val="22"/>
        </w:rPr>
        <w:t>have an</w:t>
      </w:r>
      <w:r w:rsidR="00696C51">
        <w:rPr>
          <w:rFonts w:asciiTheme="majorHAnsi" w:hAnsiTheme="majorHAnsi" w:cstheme="majorHAnsi"/>
          <w:sz w:val="22"/>
          <w:szCs w:val="22"/>
        </w:rPr>
        <w:t xml:space="preserve"> increased </w:t>
      </w:r>
      <w:r w:rsidR="008604A1">
        <w:rPr>
          <w:rFonts w:asciiTheme="majorHAnsi" w:hAnsiTheme="majorHAnsi" w:cstheme="majorHAnsi"/>
          <w:sz w:val="22"/>
          <w:szCs w:val="22"/>
        </w:rPr>
        <w:t xml:space="preserve">policy </w:t>
      </w:r>
      <w:r w:rsidR="002F0680">
        <w:rPr>
          <w:rFonts w:asciiTheme="majorHAnsi" w:hAnsiTheme="majorHAnsi" w:cstheme="majorHAnsi"/>
          <w:sz w:val="22"/>
          <w:szCs w:val="22"/>
        </w:rPr>
        <w:t>emphasis on</w:t>
      </w:r>
      <w:r>
        <w:rPr>
          <w:rFonts w:asciiTheme="majorHAnsi" w:hAnsiTheme="majorHAnsi" w:cstheme="majorHAnsi"/>
          <w:sz w:val="22"/>
          <w:szCs w:val="22"/>
        </w:rPr>
        <w:t xml:space="preserve"> gender equality</w:t>
      </w:r>
      <w:r w:rsidR="002F0680">
        <w:rPr>
          <w:rFonts w:asciiTheme="majorHAnsi" w:hAnsiTheme="majorHAnsi" w:cstheme="majorHAnsi"/>
          <w:sz w:val="22"/>
          <w:szCs w:val="22"/>
        </w:rPr>
        <w:t xml:space="preserve"> and </w:t>
      </w:r>
      <w:r>
        <w:rPr>
          <w:rFonts w:asciiTheme="majorHAnsi" w:hAnsiTheme="majorHAnsi" w:cstheme="majorHAnsi"/>
          <w:sz w:val="22"/>
          <w:szCs w:val="22"/>
        </w:rPr>
        <w:t xml:space="preserve">effective inclusion of children with a </w:t>
      </w:r>
      <w:proofErr w:type="gramStart"/>
      <w:r>
        <w:rPr>
          <w:rFonts w:asciiTheme="majorHAnsi" w:hAnsiTheme="majorHAnsi" w:cstheme="majorHAnsi"/>
          <w:sz w:val="22"/>
          <w:szCs w:val="22"/>
        </w:rPr>
        <w:t>disability</w:t>
      </w:r>
      <w:r w:rsidR="00A76F94">
        <w:rPr>
          <w:rFonts w:asciiTheme="majorHAnsi" w:hAnsiTheme="majorHAnsi" w:cstheme="majorHAnsi"/>
          <w:sz w:val="22"/>
          <w:szCs w:val="22"/>
        </w:rPr>
        <w:t>,</w:t>
      </w:r>
      <w:r w:rsidR="002F0680">
        <w:rPr>
          <w:rFonts w:asciiTheme="majorHAnsi" w:hAnsiTheme="majorHAnsi" w:cstheme="majorHAnsi"/>
          <w:sz w:val="22"/>
          <w:szCs w:val="22"/>
        </w:rPr>
        <w:t xml:space="preserve"> </w:t>
      </w:r>
      <w:r>
        <w:rPr>
          <w:rFonts w:asciiTheme="majorHAnsi" w:hAnsiTheme="majorHAnsi" w:cstheme="majorHAnsi"/>
          <w:sz w:val="22"/>
          <w:szCs w:val="22"/>
        </w:rPr>
        <w:t>and</w:t>
      </w:r>
      <w:proofErr w:type="gramEnd"/>
      <w:r>
        <w:rPr>
          <w:rFonts w:asciiTheme="majorHAnsi" w:hAnsiTheme="majorHAnsi" w:cstheme="majorHAnsi"/>
          <w:sz w:val="22"/>
          <w:szCs w:val="22"/>
        </w:rPr>
        <w:t xml:space="preserve"> </w:t>
      </w:r>
      <w:r w:rsidR="008604A1">
        <w:rPr>
          <w:rFonts w:asciiTheme="majorHAnsi" w:hAnsiTheme="majorHAnsi" w:cstheme="majorHAnsi"/>
          <w:sz w:val="22"/>
          <w:szCs w:val="22"/>
        </w:rPr>
        <w:t xml:space="preserve">will </w:t>
      </w:r>
      <w:r w:rsidR="002F0680">
        <w:rPr>
          <w:rFonts w:asciiTheme="majorHAnsi" w:hAnsiTheme="majorHAnsi" w:cstheme="majorHAnsi"/>
          <w:sz w:val="22"/>
          <w:szCs w:val="22"/>
        </w:rPr>
        <w:t>introduce response</w:t>
      </w:r>
      <w:r w:rsidR="00A76F94">
        <w:rPr>
          <w:rFonts w:asciiTheme="majorHAnsi" w:hAnsiTheme="majorHAnsi" w:cstheme="majorHAnsi"/>
          <w:sz w:val="22"/>
          <w:szCs w:val="22"/>
        </w:rPr>
        <w:t>s</w:t>
      </w:r>
      <w:r w:rsidR="002F0680">
        <w:rPr>
          <w:rFonts w:asciiTheme="majorHAnsi" w:hAnsiTheme="majorHAnsi" w:cstheme="majorHAnsi"/>
          <w:sz w:val="22"/>
          <w:szCs w:val="22"/>
        </w:rPr>
        <w:t xml:space="preserve"> to </w:t>
      </w:r>
      <w:r w:rsidR="00A76F94">
        <w:rPr>
          <w:rFonts w:asciiTheme="majorHAnsi" w:hAnsiTheme="majorHAnsi" w:cstheme="majorHAnsi"/>
          <w:sz w:val="22"/>
          <w:szCs w:val="22"/>
        </w:rPr>
        <w:t xml:space="preserve">the </w:t>
      </w:r>
      <w:r>
        <w:rPr>
          <w:rFonts w:asciiTheme="majorHAnsi" w:hAnsiTheme="majorHAnsi" w:cstheme="majorHAnsi"/>
          <w:sz w:val="22"/>
          <w:szCs w:val="22"/>
        </w:rPr>
        <w:t>climate change</w:t>
      </w:r>
      <w:r w:rsidR="00A76F94">
        <w:rPr>
          <w:rFonts w:asciiTheme="majorHAnsi" w:hAnsiTheme="majorHAnsi" w:cstheme="majorHAnsi"/>
          <w:sz w:val="22"/>
          <w:szCs w:val="22"/>
        </w:rPr>
        <w:t xml:space="preserve"> challenge in education</w:t>
      </w:r>
      <w:r>
        <w:rPr>
          <w:rFonts w:asciiTheme="majorHAnsi" w:hAnsiTheme="majorHAnsi" w:cstheme="majorHAnsi"/>
          <w:sz w:val="22"/>
          <w:szCs w:val="22"/>
        </w:rPr>
        <w:t xml:space="preserve">. It will play a catalytic role, investigating innovative practices and supporting district governments to extend the </w:t>
      </w:r>
      <w:proofErr w:type="spellStart"/>
      <w:r w:rsidR="00A76F94">
        <w:rPr>
          <w:rFonts w:asciiTheme="majorHAnsi" w:hAnsiTheme="majorHAnsi" w:cstheme="majorHAnsi"/>
          <w:sz w:val="22"/>
          <w:szCs w:val="22"/>
        </w:rPr>
        <w:t>GoI’s</w:t>
      </w:r>
      <w:proofErr w:type="spellEnd"/>
      <w:r w:rsidR="00A76F94">
        <w:rPr>
          <w:rFonts w:asciiTheme="majorHAnsi" w:hAnsiTheme="majorHAnsi" w:cstheme="majorHAnsi"/>
          <w:sz w:val="22"/>
          <w:szCs w:val="22"/>
        </w:rPr>
        <w:t xml:space="preserve"> </w:t>
      </w:r>
      <w:r>
        <w:rPr>
          <w:rFonts w:asciiTheme="majorHAnsi" w:hAnsiTheme="majorHAnsi" w:cstheme="majorHAnsi"/>
          <w:sz w:val="22"/>
          <w:szCs w:val="22"/>
        </w:rPr>
        <w:t xml:space="preserve">idea of learning ecosystems </w:t>
      </w:r>
      <w:r w:rsidR="00696C51">
        <w:rPr>
          <w:rFonts w:asciiTheme="majorHAnsi" w:hAnsiTheme="majorHAnsi" w:cstheme="majorHAnsi"/>
          <w:sz w:val="22"/>
          <w:szCs w:val="22"/>
        </w:rPr>
        <w:t xml:space="preserve">to </w:t>
      </w:r>
      <w:r>
        <w:rPr>
          <w:rFonts w:asciiTheme="majorHAnsi" w:hAnsiTheme="majorHAnsi" w:cstheme="majorHAnsi"/>
          <w:sz w:val="22"/>
          <w:szCs w:val="22"/>
        </w:rPr>
        <w:t>district level (‘district ecosystems’)</w:t>
      </w:r>
      <w:r w:rsidR="00A76F94">
        <w:rPr>
          <w:rFonts w:asciiTheme="majorHAnsi" w:hAnsiTheme="majorHAnsi" w:cstheme="majorHAnsi"/>
          <w:sz w:val="22"/>
          <w:szCs w:val="22"/>
        </w:rPr>
        <w:t>,</w:t>
      </w:r>
      <w:r w:rsidR="00696C51">
        <w:rPr>
          <w:rFonts w:asciiTheme="majorHAnsi" w:hAnsiTheme="majorHAnsi" w:cstheme="majorHAnsi"/>
          <w:sz w:val="22"/>
          <w:szCs w:val="22"/>
        </w:rPr>
        <w:t xml:space="preserve"> to strengthen local </w:t>
      </w:r>
      <w:r w:rsidR="00617FAA">
        <w:rPr>
          <w:rFonts w:asciiTheme="majorHAnsi" w:hAnsiTheme="majorHAnsi" w:cstheme="majorHAnsi"/>
          <w:sz w:val="22"/>
          <w:szCs w:val="22"/>
        </w:rPr>
        <w:t>systems for improving and sustaining inclusive education outcomes</w:t>
      </w:r>
      <w:r>
        <w:rPr>
          <w:rFonts w:asciiTheme="majorHAnsi" w:hAnsiTheme="majorHAnsi" w:cstheme="majorHAnsi"/>
          <w:sz w:val="22"/>
          <w:szCs w:val="22"/>
        </w:rPr>
        <w:t xml:space="preserve">. The program </w:t>
      </w:r>
      <w:r w:rsidRPr="0076015C">
        <w:rPr>
          <w:rFonts w:asciiTheme="majorHAnsi" w:hAnsiTheme="majorHAnsi" w:cstheme="majorHAnsi"/>
          <w:sz w:val="22"/>
          <w:szCs w:val="22"/>
        </w:rPr>
        <w:t>will operate as a learning</w:t>
      </w:r>
      <w:r>
        <w:rPr>
          <w:rFonts w:asciiTheme="majorHAnsi" w:hAnsiTheme="majorHAnsi" w:cstheme="majorHAnsi"/>
          <w:sz w:val="22"/>
          <w:szCs w:val="22"/>
        </w:rPr>
        <w:t xml:space="preserve"> platform,</w:t>
      </w:r>
      <w:r w:rsidRPr="002076D3">
        <w:rPr>
          <w:rFonts w:asciiTheme="majorHAnsi" w:hAnsiTheme="majorHAnsi" w:cstheme="majorHAnsi"/>
          <w:sz w:val="22"/>
          <w:szCs w:val="22"/>
        </w:rPr>
        <w:t xml:space="preserve"> </w:t>
      </w:r>
      <w:r>
        <w:rPr>
          <w:rFonts w:asciiTheme="majorHAnsi" w:hAnsiTheme="majorHAnsi" w:cstheme="majorHAnsi"/>
          <w:sz w:val="22"/>
          <w:szCs w:val="22"/>
        </w:rPr>
        <w:t>generating and communicating evidence of effective policy implementation approaches</w:t>
      </w:r>
      <w:r w:rsidR="002269CC">
        <w:rPr>
          <w:rFonts w:asciiTheme="majorHAnsi" w:hAnsiTheme="majorHAnsi" w:cstheme="majorHAnsi"/>
          <w:sz w:val="22"/>
          <w:szCs w:val="22"/>
        </w:rPr>
        <w:t>,</w:t>
      </w:r>
      <w:r>
        <w:rPr>
          <w:rFonts w:asciiTheme="majorHAnsi" w:hAnsiTheme="majorHAnsi" w:cstheme="majorHAnsi"/>
          <w:sz w:val="22"/>
          <w:szCs w:val="22"/>
        </w:rPr>
        <w:t xml:space="preserve"> to </w:t>
      </w:r>
      <w:r w:rsidR="002269CC">
        <w:rPr>
          <w:rFonts w:asciiTheme="majorHAnsi" w:hAnsiTheme="majorHAnsi" w:cstheme="majorHAnsi"/>
          <w:sz w:val="22"/>
          <w:szCs w:val="22"/>
        </w:rPr>
        <w:t>convince</w:t>
      </w:r>
      <w:r>
        <w:rPr>
          <w:rFonts w:asciiTheme="majorHAnsi" w:hAnsiTheme="majorHAnsi" w:cstheme="majorHAnsi"/>
          <w:sz w:val="22"/>
          <w:szCs w:val="22"/>
        </w:rPr>
        <w:t xml:space="preserve"> </w:t>
      </w:r>
      <w:proofErr w:type="spellStart"/>
      <w:r w:rsidR="002269CC">
        <w:rPr>
          <w:rFonts w:asciiTheme="majorHAnsi" w:hAnsiTheme="majorHAnsi" w:cstheme="majorHAnsi"/>
          <w:sz w:val="22"/>
          <w:szCs w:val="22"/>
        </w:rPr>
        <w:t>GoI</w:t>
      </w:r>
      <w:proofErr w:type="spellEnd"/>
      <w:r w:rsidR="002269CC">
        <w:rPr>
          <w:rFonts w:asciiTheme="majorHAnsi" w:hAnsiTheme="majorHAnsi" w:cstheme="majorHAnsi"/>
          <w:sz w:val="22"/>
          <w:szCs w:val="22"/>
        </w:rPr>
        <w:t xml:space="preserve"> to</w:t>
      </w:r>
      <w:r>
        <w:rPr>
          <w:rFonts w:asciiTheme="majorHAnsi" w:hAnsiTheme="majorHAnsi" w:cstheme="majorHAnsi"/>
          <w:sz w:val="22"/>
          <w:szCs w:val="22"/>
        </w:rPr>
        <w:t xml:space="preserve"> scale</w:t>
      </w:r>
      <w:r w:rsidR="002269CC">
        <w:rPr>
          <w:rFonts w:asciiTheme="majorHAnsi" w:hAnsiTheme="majorHAnsi" w:cstheme="majorHAnsi"/>
          <w:sz w:val="22"/>
          <w:szCs w:val="22"/>
        </w:rPr>
        <w:t xml:space="preserve"> up</w:t>
      </w:r>
      <w:r>
        <w:rPr>
          <w:rFonts w:asciiTheme="majorHAnsi" w:hAnsiTheme="majorHAnsi" w:cstheme="majorHAnsi"/>
          <w:sz w:val="22"/>
          <w:szCs w:val="22"/>
        </w:rPr>
        <w:t xml:space="preserve"> thes</w:t>
      </w:r>
      <w:r w:rsidR="002269CC">
        <w:rPr>
          <w:rFonts w:asciiTheme="majorHAnsi" w:hAnsiTheme="majorHAnsi" w:cstheme="majorHAnsi"/>
          <w:sz w:val="22"/>
          <w:szCs w:val="22"/>
        </w:rPr>
        <w:t>e approaches</w:t>
      </w:r>
      <w:r>
        <w:rPr>
          <w:rFonts w:asciiTheme="majorHAnsi" w:hAnsiTheme="majorHAnsi" w:cstheme="majorHAnsi"/>
          <w:sz w:val="22"/>
          <w:szCs w:val="22"/>
        </w:rPr>
        <w:t>. It will</w:t>
      </w:r>
      <w:r w:rsidRPr="007436F2">
        <w:rPr>
          <w:rFonts w:asciiTheme="majorHAnsi" w:hAnsiTheme="majorHAnsi" w:cstheme="majorHAnsi"/>
          <w:sz w:val="22"/>
          <w:szCs w:val="22"/>
        </w:rPr>
        <w:t xml:space="preserve"> be </w:t>
      </w:r>
      <w:r>
        <w:rPr>
          <w:rFonts w:asciiTheme="majorHAnsi" w:hAnsiTheme="majorHAnsi" w:cstheme="majorHAnsi"/>
          <w:sz w:val="22"/>
          <w:szCs w:val="22"/>
        </w:rPr>
        <w:t xml:space="preserve">flexible and </w:t>
      </w:r>
      <w:r w:rsidRPr="007436F2">
        <w:rPr>
          <w:rFonts w:asciiTheme="majorHAnsi" w:hAnsiTheme="majorHAnsi" w:cstheme="majorHAnsi"/>
          <w:sz w:val="22"/>
          <w:szCs w:val="22"/>
        </w:rPr>
        <w:t>adaptive</w:t>
      </w:r>
      <w:r>
        <w:rPr>
          <w:rFonts w:asciiTheme="majorHAnsi" w:hAnsiTheme="majorHAnsi" w:cstheme="majorHAnsi"/>
          <w:sz w:val="22"/>
          <w:szCs w:val="22"/>
        </w:rPr>
        <w:t xml:space="preserve">ly managed </w:t>
      </w:r>
      <w:r w:rsidRPr="007436F2">
        <w:rPr>
          <w:rFonts w:asciiTheme="majorHAnsi" w:hAnsiTheme="majorHAnsi" w:cstheme="majorHAnsi"/>
          <w:sz w:val="22"/>
          <w:szCs w:val="22"/>
        </w:rPr>
        <w:t xml:space="preserve">to sustain INOVASI’s previous achievements and support </w:t>
      </w:r>
      <w:r w:rsidR="00A031ED">
        <w:rPr>
          <w:rFonts w:asciiTheme="majorHAnsi" w:hAnsiTheme="majorHAnsi" w:cstheme="majorHAnsi"/>
          <w:sz w:val="22"/>
          <w:szCs w:val="22"/>
        </w:rPr>
        <w:t xml:space="preserve">Indonesia’s education </w:t>
      </w:r>
      <w:r w:rsidRPr="007436F2">
        <w:rPr>
          <w:rFonts w:asciiTheme="majorHAnsi" w:hAnsiTheme="majorHAnsi" w:cstheme="majorHAnsi"/>
          <w:sz w:val="22"/>
          <w:szCs w:val="22"/>
        </w:rPr>
        <w:t>reform initiatives</w:t>
      </w:r>
      <w:r w:rsidRPr="00A72EED">
        <w:rPr>
          <w:rFonts w:asciiTheme="majorHAnsi" w:hAnsiTheme="majorHAnsi" w:cstheme="majorHAnsi"/>
          <w:sz w:val="22"/>
          <w:szCs w:val="22"/>
        </w:rPr>
        <w:t>.</w:t>
      </w:r>
      <w:r w:rsidRPr="007436F2">
        <w:rPr>
          <w:rFonts w:asciiTheme="majorHAnsi" w:hAnsiTheme="majorHAnsi" w:cstheme="majorHAnsi"/>
          <w:sz w:val="22"/>
          <w:szCs w:val="22"/>
        </w:rPr>
        <w:t xml:space="preserve"> </w:t>
      </w:r>
    </w:p>
    <w:p w14:paraId="2A135AC6" w14:textId="0D9BCCEB" w:rsidR="0026204C" w:rsidRDefault="0026204C" w:rsidP="00CA0D93">
      <w:pPr>
        <w:tabs>
          <w:tab w:val="left" w:pos="284"/>
        </w:tabs>
        <w:spacing w:after="120" w:line="281" w:lineRule="auto"/>
        <w:ind w:hanging="2"/>
        <w:rPr>
          <w:rFonts w:asciiTheme="majorHAnsi" w:hAnsiTheme="majorHAnsi" w:cstheme="majorHAnsi"/>
          <w:sz w:val="22"/>
          <w:szCs w:val="22"/>
        </w:rPr>
      </w:pPr>
      <w:r w:rsidRPr="0082276A">
        <w:rPr>
          <w:rFonts w:asciiTheme="majorHAnsi" w:hAnsiTheme="majorHAnsi" w:cstheme="majorHAnsi"/>
          <w:sz w:val="22"/>
          <w:szCs w:val="22"/>
        </w:rPr>
        <w:t>As articulated in the program logic (see Section D), the INOVASI Phase 3 goal is:</w:t>
      </w:r>
      <w:r w:rsidRPr="00655D7B">
        <w:rPr>
          <w:rFonts w:asciiTheme="majorHAnsi" w:hAnsiTheme="majorHAnsi" w:cstheme="majorHAnsi"/>
          <w:sz w:val="22"/>
          <w:szCs w:val="22"/>
        </w:rPr>
        <w:t xml:space="preserve"> ‘Improved learning and achievement of foundational skills for all Indonesian primary students.’</w:t>
      </w:r>
      <w:r>
        <w:rPr>
          <w:rFonts w:asciiTheme="majorHAnsi" w:hAnsiTheme="majorHAnsi" w:cstheme="majorHAnsi"/>
          <w:sz w:val="22"/>
          <w:szCs w:val="22"/>
        </w:rPr>
        <w:t xml:space="preserve"> </w:t>
      </w:r>
      <w:r w:rsidRPr="00655D7B">
        <w:rPr>
          <w:rFonts w:asciiTheme="majorHAnsi" w:hAnsiTheme="majorHAnsi" w:cstheme="majorHAnsi"/>
          <w:sz w:val="22"/>
          <w:szCs w:val="22"/>
        </w:rPr>
        <w:t xml:space="preserve">This goal continues </w:t>
      </w:r>
      <w:r>
        <w:rPr>
          <w:rFonts w:asciiTheme="majorHAnsi" w:hAnsiTheme="majorHAnsi" w:cstheme="majorHAnsi"/>
          <w:sz w:val="22"/>
          <w:szCs w:val="22"/>
        </w:rPr>
        <w:t>the inclusive scoping of foundational skills improvement.</w:t>
      </w:r>
      <w:r w:rsidRPr="00655D7B">
        <w:rPr>
          <w:rFonts w:asciiTheme="majorHAnsi" w:hAnsiTheme="majorHAnsi" w:cstheme="majorHAnsi"/>
          <w:sz w:val="22"/>
          <w:szCs w:val="22"/>
        </w:rPr>
        <w:t xml:space="preserve"> Th</w:t>
      </w:r>
      <w:r>
        <w:rPr>
          <w:rFonts w:asciiTheme="majorHAnsi" w:hAnsiTheme="majorHAnsi" w:cstheme="majorHAnsi"/>
          <w:sz w:val="22"/>
          <w:szCs w:val="22"/>
        </w:rPr>
        <w:t xml:space="preserve">e program objective </w:t>
      </w:r>
      <w:r w:rsidRPr="00655D7B">
        <w:rPr>
          <w:rFonts w:asciiTheme="majorHAnsi" w:hAnsiTheme="majorHAnsi" w:cstheme="majorHAnsi"/>
          <w:sz w:val="22"/>
          <w:szCs w:val="22"/>
        </w:rPr>
        <w:t xml:space="preserve">is: ‘Australia supports Government of Indonesia to implement inclusive primary education policies and practices for foundational skills nationwide.’ </w:t>
      </w:r>
      <w:r>
        <w:rPr>
          <w:rFonts w:asciiTheme="majorHAnsi" w:hAnsiTheme="majorHAnsi" w:cstheme="majorHAnsi"/>
          <w:sz w:val="22"/>
          <w:szCs w:val="22"/>
        </w:rPr>
        <w:t>It</w:t>
      </w:r>
      <w:r w:rsidRPr="00655D7B">
        <w:rPr>
          <w:rFonts w:asciiTheme="majorHAnsi" w:hAnsiTheme="majorHAnsi" w:cstheme="majorHAnsi"/>
          <w:sz w:val="22"/>
          <w:szCs w:val="22"/>
        </w:rPr>
        <w:t xml:space="preserve"> positions INOVASI Phase 3 as a vehicle to support the nationwide implementation of inclusive education policies and practices, most recently articulated by the </w:t>
      </w:r>
      <w:r w:rsidRPr="00A71D89">
        <w:rPr>
          <w:rFonts w:asciiTheme="majorHAnsi" w:hAnsiTheme="majorHAnsi" w:cstheme="majorHAnsi"/>
          <w:i/>
          <w:iCs/>
          <w:sz w:val="22"/>
          <w:szCs w:val="22"/>
        </w:rPr>
        <w:t xml:space="preserve">Merdeka </w:t>
      </w:r>
      <w:proofErr w:type="spellStart"/>
      <w:r w:rsidRPr="00A71D89">
        <w:rPr>
          <w:rFonts w:asciiTheme="majorHAnsi" w:hAnsiTheme="majorHAnsi" w:cstheme="majorHAnsi"/>
          <w:i/>
          <w:iCs/>
          <w:sz w:val="22"/>
          <w:szCs w:val="22"/>
        </w:rPr>
        <w:t>Belajar</w:t>
      </w:r>
      <w:proofErr w:type="spellEnd"/>
      <w:r w:rsidRPr="0082276A">
        <w:rPr>
          <w:rFonts w:asciiTheme="majorHAnsi" w:hAnsiTheme="majorHAnsi" w:cstheme="majorHAnsi"/>
          <w:sz w:val="22"/>
          <w:szCs w:val="22"/>
        </w:rPr>
        <w:t xml:space="preserve"> </w:t>
      </w:r>
      <w:r w:rsidRPr="00655D7B">
        <w:rPr>
          <w:rFonts w:asciiTheme="majorHAnsi" w:hAnsiTheme="majorHAnsi" w:cstheme="majorHAnsi"/>
          <w:sz w:val="22"/>
          <w:szCs w:val="22"/>
        </w:rPr>
        <w:t xml:space="preserve">reform agenda. </w:t>
      </w:r>
      <w:r>
        <w:rPr>
          <w:rFonts w:asciiTheme="majorHAnsi" w:hAnsiTheme="majorHAnsi" w:cstheme="majorHAnsi"/>
          <w:sz w:val="22"/>
          <w:szCs w:val="22"/>
        </w:rPr>
        <w:t>Both goal and purpose</w:t>
      </w:r>
      <w:r w:rsidRPr="00655D7B">
        <w:rPr>
          <w:rFonts w:asciiTheme="majorHAnsi" w:hAnsiTheme="majorHAnsi" w:cstheme="majorHAnsi"/>
          <w:sz w:val="22"/>
          <w:szCs w:val="22"/>
        </w:rPr>
        <w:t xml:space="preserve"> recognise that the nationwide scale up of reforms is a responsibility </w:t>
      </w:r>
      <w:r>
        <w:rPr>
          <w:rFonts w:asciiTheme="majorHAnsi" w:hAnsiTheme="majorHAnsi" w:cstheme="majorHAnsi"/>
          <w:sz w:val="22"/>
          <w:szCs w:val="22"/>
        </w:rPr>
        <w:t>of the</w:t>
      </w:r>
      <w:r w:rsidRPr="00655D7B">
        <w:rPr>
          <w:rFonts w:asciiTheme="majorHAnsi" w:hAnsiTheme="majorHAnsi" w:cstheme="majorHAnsi"/>
          <w:sz w:val="22"/>
          <w:szCs w:val="22"/>
        </w:rPr>
        <w:t xml:space="preserve"> </w:t>
      </w:r>
      <w:proofErr w:type="spellStart"/>
      <w:r w:rsidRPr="00655D7B">
        <w:rPr>
          <w:rFonts w:asciiTheme="majorHAnsi" w:hAnsiTheme="majorHAnsi" w:cstheme="majorHAnsi"/>
          <w:sz w:val="22"/>
          <w:szCs w:val="22"/>
        </w:rPr>
        <w:t>GoI</w:t>
      </w:r>
      <w:proofErr w:type="spellEnd"/>
      <w:r w:rsidRPr="00655D7B">
        <w:rPr>
          <w:rFonts w:asciiTheme="majorHAnsi" w:hAnsiTheme="majorHAnsi" w:cstheme="majorHAnsi"/>
          <w:sz w:val="22"/>
          <w:szCs w:val="22"/>
        </w:rPr>
        <w:t>, that sits outside the program’s accountability.</w:t>
      </w:r>
      <w:r>
        <w:rPr>
          <w:rFonts w:asciiTheme="majorHAnsi" w:hAnsiTheme="majorHAnsi" w:cstheme="majorHAnsi"/>
          <w:sz w:val="22"/>
          <w:szCs w:val="22"/>
        </w:rPr>
        <w:t xml:space="preserve"> </w:t>
      </w:r>
      <w:r w:rsidRPr="0082276A">
        <w:rPr>
          <w:rFonts w:asciiTheme="majorHAnsi" w:hAnsiTheme="majorHAnsi" w:cstheme="majorHAnsi"/>
          <w:sz w:val="22"/>
          <w:szCs w:val="22"/>
        </w:rPr>
        <w:t>To pursue th</w:t>
      </w:r>
      <w:r>
        <w:rPr>
          <w:rFonts w:asciiTheme="majorHAnsi" w:hAnsiTheme="majorHAnsi" w:cstheme="majorHAnsi"/>
          <w:sz w:val="22"/>
          <w:szCs w:val="22"/>
        </w:rPr>
        <w:t xml:space="preserve">e goal, </w:t>
      </w:r>
      <w:r w:rsidRPr="0082276A">
        <w:rPr>
          <w:rFonts w:asciiTheme="majorHAnsi" w:hAnsiTheme="majorHAnsi" w:cstheme="majorHAnsi"/>
          <w:sz w:val="22"/>
          <w:szCs w:val="22"/>
        </w:rPr>
        <w:t xml:space="preserve">two program outcomes are identified at the 2031 horizon, one targeting education policies and the other targeting education practices. Both outcomes </w:t>
      </w:r>
      <w:r w:rsidRPr="00EF774E">
        <w:rPr>
          <w:rFonts w:asciiTheme="majorHAnsi" w:hAnsiTheme="majorHAnsi" w:cstheme="majorHAnsi"/>
          <w:sz w:val="22"/>
          <w:szCs w:val="22"/>
        </w:rPr>
        <w:t xml:space="preserve">recognise the specific learning needs of students with disabilities and require relevant policies, </w:t>
      </w:r>
      <w:proofErr w:type="gramStart"/>
      <w:r w:rsidRPr="00EF774E">
        <w:rPr>
          <w:rFonts w:asciiTheme="majorHAnsi" w:hAnsiTheme="majorHAnsi" w:cstheme="majorHAnsi"/>
          <w:sz w:val="22"/>
          <w:szCs w:val="22"/>
        </w:rPr>
        <w:t>systems</w:t>
      </w:r>
      <w:proofErr w:type="gramEnd"/>
      <w:r w:rsidRPr="00EF774E">
        <w:rPr>
          <w:rFonts w:asciiTheme="majorHAnsi" w:hAnsiTheme="majorHAnsi" w:cstheme="majorHAnsi"/>
          <w:sz w:val="22"/>
          <w:szCs w:val="22"/>
        </w:rPr>
        <w:t xml:space="preserve"> and practices to accommodate these needs</w:t>
      </w:r>
      <w:r>
        <w:rPr>
          <w:rFonts w:asciiTheme="majorHAnsi" w:hAnsiTheme="majorHAnsi" w:cstheme="majorHAnsi"/>
          <w:sz w:val="22"/>
          <w:szCs w:val="22"/>
        </w:rPr>
        <w:t xml:space="preserve"> – t</w:t>
      </w:r>
      <w:r w:rsidRPr="00EF774E">
        <w:rPr>
          <w:rFonts w:asciiTheme="majorHAnsi" w:hAnsiTheme="majorHAnsi" w:cstheme="majorHAnsi"/>
          <w:sz w:val="22"/>
          <w:szCs w:val="22"/>
        </w:rPr>
        <w:t>he</w:t>
      </w:r>
      <w:r>
        <w:rPr>
          <w:rFonts w:asciiTheme="majorHAnsi" w:hAnsiTheme="majorHAnsi" w:cstheme="majorHAnsi"/>
          <w:sz w:val="22"/>
          <w:szCs w:val="22"/>
        </w:rPr>
        <w:t>y suggest the</w:t>
      </w:r>
      <w:r w:rsidRPr="00EF774E">
        <w:rPr>
          <w:rFonts w:asciiTheme="majorHAnsi" w:hAnsiTheme="majorHAnsi" w:cstheme="majorHAnsi"/>
          <w:sz w:val="22"/>
          <w:szCs w:val="22"/>
        </w:rPr>
        <w:t xml:space="preserve"> success of the program will require a convincing demonstration that these needs are met.</w:t>
      </w:r>
    </w:p>
    <w:p w14:paraId="3604DC32" w14:textId="4AFB81A8" w:rsidR="00FD4E00" w:rsidRDefault="0026204C" w:rsidP="00CA0D93">
      <w:pPr>
        <w:tabs>
          <w:tab w:val="left" w:pos="284"/>
        </w:tabs>
        <w:spacing w:after="120" w:line="281" w:lineRule="auto"/>
        <w:ind w:hanging="2"/>
        <w:rPr>
          <w:rFonts w:asciiTheme="majorHAnsi" w:hAnsiTheme="majorHAnsi" w:cstheme="majorHAnsi"/>
          <w:sz w:val="22"/>
          <w:szCs w:val="22"/>
        </w:rPr>
      </w:pPr>
      <w:r w:rsidRPr="00EF774E">
        <w:rPr>
          <w:rFonts w:asciiTheme="majorHAnsi" w:hAnsiTheme="majorHAnsi" w:cstheme="majorHAnsi"/>
          <w:sz w:val="22"/>
          <w:szCs w:val="22"/>
        </w:rPr>
        <w:t xml:space="preserve">INOVASI Phase 3 will develop and implement activities </w:t>
      </w:r>
      <w:r>
        <w:rPr>
          <w:rFonts w:asciiTheme="majorHAnsi" w:hAnsiTheme="majorHAnsi" w:cstheme="majorHAnsi"/>
          <w:sz w:val="22"/>
          <w:szCs w:val="22"/>
        </w:rPr>
        <w:t xml:space="preserve">at national and subnational level under five </w:t>
      </w:r>
      <w:r w:rsidRPr="00EF774E">
        <w:rPr>
          <w:rFonts w:asciiTheme="majorHAnsi" w:hAnsiTheme="majorHAnsi" w:cstheme="majorHAnsi"/>
          <w:sz w:val="22"/>
          <w:szCs w:val="22"/>
        </w:rPr>
        <w:t>implementation streams or ‘</w:t>
      </w:r>
      <w:proofErr w:type="gramStart"/>
      <w:r w:rsidRPr="00EF774E">
        <w:rPr>
          <w:rFonts w:asciiTheme="majorHAnsi" w:hAnsiTheme="majorHAnsi" w:cstheme="majorHAnsi"/>
          <w:sz w:val="22"/>
          <w:szCs w:val="22"/>
        </w:rPr>
        <w:t>strategies’</w:t>
      </w:r>
      <w:proofErr w:type="gramEnd"/>
      <w:r w:rsidRPr="00EF774E">
        <w:rPr>
          <w:rFonts w:asciiTheme="majorHAnsi" w:hAnsiTheme="majorHAnsi" w:cstheme="majorHAnsi"/>
          <w:sz w:val="22"/>
          <w:szCs w:val="22"/>
        </w:rPr>
        <w:t xml:space="preserve">. The main program strategy is the brokering, activation and strengthening of ecosystems of education stakeholders in 25 target districts </w:t>
      </w:r>
      <w:r>
        <w:rPr>
          <w:rFonts w:asciiTheme="majorHAnsi" w:hAnsiTheme="majorHAnsi" w:cstheme="majorHAnsi"/>
          <w:sz w:val="22"/>
          <w:szCs w:val="22"/>
        </w:rPr>
        <w:t xml:space="preserve">(TBD) across the provinces of </w:t>
      </w:r>
      <w:r w:rsidRPr="00663380">
        <w:rPr>
          <w:rFonts w:asciiTheme="majorHAnsi" w:hAnsiTheme="majorHAnsi" w:cstheme="majorHAnsi"/>
          <w:sz w:val="22"/>
          <w:szCs w:val="22"/>
        </w:rPr>
        <w:t>East Nusa Tenggara (NTT), West Nusa Tenggara (NTB), North Kalimantan (</w:t>
      </w:r>
      <w:proofErr w:type="spellStart"/>
      <w:r w:rsidRPr="00663380">
        <w:rPr>
          <w:rFonts w:asciiTheme="majorHAnsi" w:hAnsiTheme="majorHAnsi" w:cstheme="majorHAnsi"/>
          <w:sz w:val="22"/>
          <w:szCs w:val="22"/>
        </w:rPr>
        <w:t>Kaltara</w:t>
      </w:r>
      <w:proofErr w:type="spellEnd"/>
      <w:r w:rsidRPr="00663380">
        <w:rPr>
          <w:rFonts w:asciiTheme="majorHAnsi" w:hAnsiTheme="majorHAnsi" w:cstheme="majorHAnsi"/>
          <w:sz w:val="22"/>
          <w:szCs w:val="22"/>
        </w:rPr>
        <w:t xml:space="preserve">), Maluku, East </w:t>
      </w:r>
      <w:proofErr w:type="gramStart"/>
      <w:r w:rsidRPr="00663380">
        <w:rPr>
          <w:rFonts w:asciiTheme="majorHAnsi" w:hAnsiTheme="majorHAnsi" w:cstheme="majorHAnsi"/>
          <w:sz w:val="22"/>
          <w:szCs w:val="22"/>
        </w:rPr>
        <w:t>Java</w:t>
      </w:r>
      <w:proofErr w:type="gramEnd"/>
      <w:r w:rsidRPr="00663380">
        <w:rPr>
          <w:rFonts w:asciiTheme="majorHAnsi" w:hAnsiTheme="majorHAnsi" w:cstheme="majorHAnsi"/>
          <w:sz w:val="22"/>
          <w:szCs w:val="22"/>
        </w:rPr>
        <w:t xml:space="preserve"> and West Java</w:t>
      </w:r>
      <w:r>
        <w:rPr>
          <w:rFonts w:asciiTheme="majorHAnsi" w:hAnsiTheme="majorHAnsi" w:cstheme="majorHAnsi"/>
          <w:sz w:val="22"/>
          <w:szCs w:val="22"/>
        </w:rPr>
        <w:t xml:space="preserve"> (see Section D)</w:t>
      </w:r>
      <w:r w:rsidRPr="00EF774E">
        <w:rPr>
          <w:rFonts w:asciiTheme="majorHAnsi" w:hAnsiTheme="majorHAnsi" w:cstheme="majorHAnsi"/>
          <w:sz w:val="22"/>
          <w:szCs w:val="22"/>
        </w:rPr>
        <w:t xml:space="preserve">. </w:t>
      </w:r>
      <w:r w:rsidRPr="0082276A">
        <w:rPr>
          <w:rFonts w:asciiTheme="majorHAnsi" w:hAnsiTheme="majorHAnsi" w:cstheme="majorHAnsi"/>
          <w:sz w:val="22"/>
          <w:szCs w:val="22"/>
        </w:rPr>
        <w:t xml:space="preserve">At its core, the program can be envisaged as a vehicle to trial, test, learn from and improve </w:t>
      </w:r>
      <w:r>
        <w:rPr>
          <w:rFonts w:asciiTheme="majorHAnsi" w:hAnsiTheme="majorHAnsi" w:cstheme="majorHAnsi"/>
          <w:sz w:val="22"/>
          <w:szCs w:val="22"/>
        </w:rPr>
        <w:t xml:space="preserve">collective and </w:t>
      </w:r>
      <w:r w:rsidRPr="0082276A">
        <w:rPr>
          <w:rFonts w:asciiTheme="majorHAnsi" w:hAnsiTheme="majorHAnsi" w:cstheme="majorHAnsi"/>
          <w:sz w:val="22"/>
          <w:szCs w:val="22"/>
        </w:rPr>
        <w:t xml:space="preserve">localised ecosystemic approaches for implementing relevant education policies and </w:t>
      </w:r>
      <w:r>
        <w:rPr>
          <w:rFonts w:asciiTheme="majorHAnsi" w:hAnsiTheme="majorHAnsi" w:cstheme="majorHAnsi"/>
          <w:sz w:val="22"/>
          <w:szCs w:val="22"/>
        </w:rPr>
        <w:t>reform</w:t>
      </w:r>
      <w:r w:rsidRPr="0082276A">
        <w:rPr>
          <w:rFonts w:asciiTheme="majorHAnsi" w:hAnsiTheme="majorHAnsi" w:cstheme="majorHAnsi"/>
          <w:sz w:val="22"/>
          <w:szCs w:val="22"/>
        </w:rPr>
        <w:t xml:space="preserve">s. </w:t>
      </w:r>
      <w:r>
        <w:rPr>
          <w:rFonts w:asciiTheme="majorHAnsi" w:hAnsiTheme="majorHAnsi" w:cstheme="majorHAnsi"/>
          <w:sz w:val="22"/>
          <w:szCs w:val="22"/>
        </w:rPr>
        <w:t xml:space="preserve">Besides supporting these district ecosystems, </w:t>
      </w:r>
      <w:r w:rsidRPr="00EF774E">
        <w:rPr>
          <w:rFonts w:asciiTheme="majorHAnsi" w:hAnsiTheme="majorHAnsi" w:cstheme="majorHAnsi"/>
          <w:sz w:val="22"/>
          <w:szCs w:val="22"/>
        </w:rPr>
        <w:t xml:space="preserve">the program </w:t>
      </w:r>
      <w:r>
        <w:rPr>
          <w:rFonts w:asciiTheme="majorHAnsi" w:hAnsiTheme="majorHAnsi" w:cstheme="majorHAnsi"/>
          <w:sz w:val="22"/>
          <w:szCs w:val="22"/>
        </w:rPr>
        <w:t xml:space="preserve">will </w:t>
      </w:r>
      <w:r w:rsidRPr="00EF774E">
        <w:rPr>
          <w:rFonts w:asciiTheme="majorHAnsi" w:hAnsiTheme="majorHAnsi" w:cstheme="majorHAnsi"/>
          <w:sz w:val="22"/>
          <w:szCs w:val="22"/>
        </w:rPr>
        <w:t>retain flexibility to provide support beyond target</w:t>
      </w:r>
      <w:r w:rsidR="0004168F">
        <w:rPr>
          <w:rFonts w:asciiTheme="majorHAnsi" w:hAnsiTheme="majorHAnsi" w:cstheme="majorHAnsi"/>
          <w:sz w:val="22"/>
          <w:szCs w:val="22"/>
        </w:rPr>
        <w:t>ed</w:t>
      </w:r>
      <w:r w:rsidRPr="00EF774E">
        <w:rPr>
          <w:rFonts w:asciiTheme="majorHAnsi" w:hAnsiTheme="majorHAnsi" w:cstheme="majorHAnsi"/>
          <w:sz w:val="22"/>
          <w:szCs w:val="22"/>
        </w:rPr>
        <w:t xml:space="preserve"> districts</w:t>
      </w:r>
      <w:r>
        <w:rPr>
          <w:rFonts w:asciiTheme="majorHAnsi" w:hAnsiTheme="majorHAnsi" w:cstheme="majorHAnsi"/>
          <w:sz w:val="22"/>
          <w:szCs w:val="22"/>
        </w:rPr>
        <w:t>,</w:t>
      </w:r>
      <w:r w:rsidRPr="002A2B27">
        <w:rPr>
          <w:rFonts w:asciiTheme="majorHAnsi" w:hAnsiTheme="majorHAnsi" w:cstheme="majorHAnsi"/>
          <w:sz w:val="22"/>
          <w:szCs w:val="22"/>
        </w:rPr>
        <w:t xml:space="preserve"> th</w:t>
      </w:r>
      <w:r>
        <w:rPr>
          <w:rFonts w:asciiTheme="majorHAnsi" w:hAnsiTheme="majorHAnsi" w:cstheme="majorHAnsi"/>
          <w:sz w:val="22"/>
          <w:szCs w:val="22"/>
        </w:rPr>
        <w:t>r</w:t>
      </w:r>
      <w:r w:rsidRPr="002A2B27">
        <w:rPr>
          <w:rFonts w:asciiTheme="majorHAnsi" w:hAnsiTheme="majorHAnsi" w:cstheme="majorHAnsi"/>
          <w:sz w:val="22"/>
          <w:szCs w:val="22"/>
        </w:rPr>
        <w:t xml:space="preserve">ough </w:t>
      </w:r>
      <w:r w:rsidRPr="00EF774E">
        <w:rPr>
          <w:rFonts w:asciiTheme="majorHAnsi" w:hAnsiTheme="majorHAnsi" w:cstheme="majorHAnsi"/>
          <w:sz w:val="22"/>
          <w:szCs w:val="22"/>
        </w:rPr>
        <w:t xml:space="preserve">four </w:t>
      </w:r>
      <w:r>
        <w:rPr>
          <w:rFonts w:asciiTheme="majorHAnsi" w:hAnsiTheme="majorHAnsi" w:cstheme="majorHAnsi"/>
          <w:sz w:val="22"/>
          <w:szCs w:val="22"/>
        </w:rPr>
        <w:t xml:space="preserve">other </w:t>
      </w:r>
      <w:r w:rsidRPr="00EF774E">
        <w:rPr>
          <w:rFonts w:asciiTheme="majorHAnsi" w:hAnsiTheme="majorHAnsi" w:cstheme="majorHAnsi"/>
          <w:sz w:val="22"/>
          <w:szCs w:val="22"/>
        </w:rPr>
        <w:t>strategies</w:t>
      </w:r>
      <w:r>
        <w:rPr>
          <w:rFonts w:asciiTheme="majorHAnsi" w:hAnsiTheme="majorHAnsi" w:cstheme="majorHAnsi"/>
          <w:sz w:val="22"/>
          <w:szCs w:val="22"/>
        </w:rPr>
        <w:t>.</w:t>
      </w:r>
    </w:p>
    <w:bookmarkEnd w:id="1"/>
    <w:p w14:paraId="3E639BC1" w14:textId="6DE56C0C" w:rsidR="0026204C" w:rsidRDefault="0026204C" w:rsidP="00CA0D93">
      <w:pPr>
        <w:tabs>
          <w:tab w:val="left" w:pos="284"/>
        </w:tabs>
        <w:spacing w:after="120" w:line="281" w:lineRule="auto"/>
        <w:ind w:hanging="2"/>
        <w:rPr>
          <w:rFonts w:asciiTheme="majorHAnsi" w:hAnsiTheme="majorHAnsi" w:cstheme="majorHAnsi"/>
          <w:sz w:val="22"/>
          <w:szCs w:val="22"/>
        </w:rPr>
      </w:pPr>
      <w:r>
        <w:rPr>
          <w:rFonts w:asciiTheme="majorHAnsi" w:hAnsiTheme="majorHAnsi" w:cstheme="majorHAnsi"/>
          <w:sz w:val="22"/>
          <w:szCs w:val="22"/>
        </w:rPr>
        <w:t>Importantly, t</w:t>
      </w:r>
      <w:r w:rsidRPr="00EF774E">
        <w:rPr>
          <w:rFonts w:asciiTheme="majorHAnsi" w:hAnsiTheme="majorHAnsi" w:cstheme="majorHAnsi"/>
          <w:sz w:val="22"/>
          <w:szCs w:val="22"/>
        </w:rPr>
        <w:t xml:space="preserve">he success of INOVASI’s support is not only contingent </w:t>
      </w:r>
      <w:r>
        <w:rPr>
          <w:rFonts w:asciiTheme="majorHAnsi" w:hAnsiTheme="majorHAnsi" w:cstheme="majorHAnsi"/>
          <w:sz w:val="22"/>
          <w:szCs w:val="22"/>
        </w:rPr>
        <w:t xml:space="preserve">on program’s </w:t>
      </w:r>
      <w:r w:rsidRPr="00EF774E">
        <w:rPr>
          <w:rFonts w:asciiTheme="majorHAnsi" w:hAnsiTheme="majorHAnsi" w:cstheme="majorHAnsi"/>
          <w:sz w:val="22"/>
          <w:szCs w:val="22"/>
        </w:rPr>
        <w:t>achievements</w:t>
      </w:r>
      <w:r>
        <w:rPr>
          <w:rFonts w:asciiTheme="majorHAnsi" w:hAnsiTheme="majorHAnsi" w:cstheme="majorHAnsi"/>
          <w:sz w:val="22"/>
          <w:szCs w:val="22"/>
        </w:rPr>
        <w:t>,</w:t>
      </w:r>
      <w:r w:rsidRPr="00EF774E">
        <w:rPr>
          <w:rFonts w:asciiTheme="majorHAnsi" w:hAnsiTheme="majorHAnsi" w:cstheme="majorHAnsi"/>
          <w:sz w:val="22"/>
          <w:szCs w:val="22"/>
        </w:rPr>
        <w:t xml:space="preserve"> but also tethered to </w:t>
      </w:r>
      <w:r>
        <w:rPr>
          <w:rFonts w:asciiTheme="majorHAnsi" w:hAnsiTheme="majorHAnsi" w:cstheme="majorHAnsi"/>
          <w:sz w:val="22"/>
          <w:szCs w:val="22"/>
        </w:rPr>
        <w:t xml:space="preserve">its </w:t>
      </w:r>
      <w:r w:rsidRPr="00EF774E">
        <w:rPr>
          <w:rFonts w:asciiTheme="majorHAnsi" w:hAnsiTheme="majorHAnsi" w:cstheme="majorHAnsi"/>
          <w:sz w:val="22"/>
          <w:szCs w:val="22"/>
        </w:rPr>
        <w:t xml:space="preserve">ability to investigate, </w:t>
      </w:r>
      <w:proofErr w:type="gramStart"/>
      <w:r w:rsidRPr="00EF774E">
        <w:rPr>
          <w:rFonts w:asciiTheme="majorHAnsi" w:hAnsiTheme="majorHAnsi" w:cstheme="majorHAnsi"/>
          <w:sz w:val="22"/>
          <w:szCs w:val="22"/>
        </w:rPr>
        <w:t>learn</w:t>
      </w:r>
      <w:proofErr w:type="gramEnd"/>
      <w:r w:rsidRPr="00EF774E">
        <w:rPr>
          <w:rFonts w:asciiTheme="majorHAnsi" w:hAnsiTheme="majorHAnsi" w:cstheme="majorHAnsi"/>
          <w:sz w:val="22"/>
          <w:szCs w:val="22"/>
        </w:rPr>
        <w:t xml:space="preserve"> and disseminate lessons on the viability and effectiveness of </w:t>
      </w:r>
      <w:r>
        <w:rPr>
          <w:rFonts w:asciiTheme="majorHAnsi" w:hAnsiTheme="majorHAnsi" w:cstheme="majorHAnsi"/>
          <w:sz w:val="22"/>
          <w:szCs w:val="22"/>
        </w:rPr>
        <w:t>its</w:t>
      </w:r>
      <w:r w:rsidRPr="00EF774E">
        <w:rPr>
          <w:rFonts w:asciiTheme="majorHAnsi" w:hAnsiTheme="majorHAnsi" w:cstheme="majorHAnsi"/>
          <w:sz w:val="22"/>
          <w:szCs w:val="22"/>
        </w:rPr>
        <w:t xml:space="preserve"> ecosystemic approach</w:t>
      </w:r>
      <w:r>
        <w:rPr>
          <w:rFonts w:asciiTheme="majorHAnsi" w:hAnsiTheme="majorHAnsi" w:cstheme="majorHAnsi"/>
          <w:sz w:val="22"/>
          <w:szCs w:val="22"/>
        </w:rPr>
        <w:t xml:space="preserve"> (and other strategies) </w:t>
      </w:r>
      <w:r w:rsidR="0004168F">
        <w:rPr>
          <w:rFonts w:asciiTheme="majorHAnsi" w:hAnsiTheme="majorHAnsi" w:cstheme="majorHAnsi"/>
          <w:sz w:val="22"/>
          <w:szCs w:val="22"/>
        </w:rPr>
        <w:t>and</w:t>
      </w:r>
      <w:r>
        <w:rPr>
          <w:rFonts w:asciiTheme="majorHAnsi" w:hAnsiTheme="majorHAnsi" w:cstheme="majorHAnsi"/>
          <w:sz w:val="22"/>
          <w:szCs w:val="22"/>
        </w:rPr>
        <w:t xml:space="preserve"> convince </w:t>
      </w:r>
      <w:proofErr w:type="spellStart"/>
      <w:r w:rsidR="0004168F">
        <w:rPr>
          <w:rFonts w:asciiTheme="majorHAnsi" w:hAnsiTheme="majorHAnsi" w:cstheme="majorHAnsi"/>
          <w:sz w:val="22"/>
          <w:szCs w:val="22"/>
        </w:rPr>
        <w:t>GoI</w:t>
      </w:r>
      <w:proofErr w:type="spellEnd"/>
      <w:r w:rsidR="0004168F">
        <w:rPr>
          <w:rFonts w:asciiTheme="majorHAnsi" w:hAnsiTheme="majorHAnsi" w:cstheme="majorHAnsi"/>
          <w:sz w:val="22"/>
          <w:szCs w:val="22"/>
        </w:rPr>
        <w:t xml:space="preserve"> </w:t>
      </w:r>
      <w:r>
        <w:rPr>
          <w:rFonts w:asciiTheme="majorHAnsi" w:hAnsiTheme="majorHAnsi" w:cstheme="majorHAnsi"/>
          <w:sz w:val="22"/>
          <w:szCs w:val="22"/>
        </w:rPr>
        <w:t xml:space="preserve">of the worth of scaling it up. </w:t>
      </w:r>
      <w:r w:rsidRPr="0082276A">
        <w:rPr>
          <w:rFonts w:asciiTheme="majorHAnsi" w:hAnsiTheme="majorHAnsi" w:cstheme="majorHAnsi"/>
          <w:sz w:val="22"/>
          <w:szCs w:val="22"/>
        </w:rPr>
        <w:t xml:space="preserve">This requires a strategic </w:t>
      </w:r>
      <w:r w:rsidR="00CB78C6">
        <w:rPr>
          <w:rFonts w:asciiTheme="majorHAnsi" w:hAnsiTheme="majorHAnsi" w:cstheme="majorHAnsi"/>
          <w:sz w:val="22"/>
          <w:szCs w:val="22"/>
        </w:rPr>
        <w:t>Monitoring, Evaluation, Research and Learning (</w:t>
      </w:r>
      <w:r w:rsidRPr="0082276A">
        <w:rPr>
          <w:rFonts w:asciiTheme="majorHAnsi" w:hAnsiTheme="majorHAnsi" w:cstheme="majorHAnsi"/>
          <w:sz w:val="22"/>
          <w:szCs w:val="22"/>
        </w:rPr>
        <w:t>MERL</w:t>
      </w:r>
      <w:r w:rsidR="00CB78C6">
        <w:rPr>
          <w:rFonts w:asciiTheme="majorHAnsi" w:hAnsiTheme="majorHAnsi" w:cstheme="majorHAnsi"/>
          <w:sz w:val="22"/>
          <w:szCs w:val="22"/>
        </w:rPr>
        <w:t>)</w:t>
      </w:r>
      <w:r w:rsidRPr="0082276A">
        <w:rPr>
          <w:rFonts w:asciiTheme="majorHAnsi" w:hAnsiTheme="majorHAnsi" w:cstheme="majorHAnsi"/>
          <w:sz w:val="22"/>
          <w:szCs w:val="22"/>
        </w:rPr>
        <w:t xml:space="preserve"> approach, that mixes rigor and creativity to capture and understand local</w:t>
      </w:r>
      <w:r w:rsidR="009E04A4">
        <w:rPr>
          <w:rFonts w:asciiTheme="majorHAnsi" w:hAnsiTheme="majorHAnsi" w:cstheme="majorHAnsi"/>
          <w:sz w:val="22"/>
          <w:szCs w:val="22"/>
        </w:rPr>
        <w:t>ised</w:t>
      </w:r>
      <w:r w:rsidRPr="0082276A">
        <w:rPr>
          <w:rFonts w:asciiTheme="majorHAnsi" w:hAnsiTheme="majorHAnsi" w:cstheme="majorHAnsi"/>
          <w:sz w:val="22"/>
          <w:szCs w:val="22"/>
        </w:rPr>
        <w:t xml:space="preserve"> systemic changes. Such </w:t>
      </w:r>
      <w:r w:rsidR="00274ACF">
        <w:rPr>
          <w:rFonts w:asciiTheme="majorHAnsi" w:hAnsiTheme="majorHAnsi" w:cstheme="majorHAnsi"/>
          <w:sz w:val="22"/>
          <w:szCs w:val="22"/>
        </w:rPr>
        <w:t xml:space="preserve">an </w:t>
      </w:r>
      <w:r w:rsidRPr="0082276A">
        <w:rPr>
          <w:rFonts w:asciiTheme="majorHAnsi" w:hAnsiTheme="majorHAnsi" w:cstheme="majorHAnsi"/>
          <w:sz w:val="22"/>
          <w:szCs w:val="22"/>
        </w:rPr>
        <w:t>approach needs to distinguish program from partners</w:t>
      </w:r>
      <w:r w:rsidR="00274ACF">
        <w:rPr>
          <w:rFonts w:asciiTheme="majorHAnsi" w:hAnsiTheme="majorHAnsi" w:cstheme="majorHAnsi"/>
          <w:sz w:val="22"/>
          <w:szCs w:val="22"/>
        </w:rPr>
        <w:t>’</w:t>
      </w:r>
      <w:r w:rsidRPr="0082276A">
        <w:rPr>
          <w:rFonts w:asciiTheme="majorHAnsi" w:hAnsiTheme="majorHAnsi" w:cstheme="majorHAnsi"/>
          <w:sz w:val="22"/>
          <w:szCs w:val="22"/>
        </w:rPr>
        <w:t xml:space="preserve"> MERL needs, and </w:t>
      </w:r>
      <w:r>
        <w:rPr>
          <w:rFonts w:asciiTheme="majorHAnsi" w:hAnsiTheme="majorHAnsi" w:cstheme="majorHAnsi"/>
          <w:sz w:val="22"/>
          <w:szCs w:val="22"/>
        </w:rPr>
        <w:t xml:space="preserve">to </w:t>
      </w:r>
      <w:r w:rsidRPr="0082276A">
        <w:rPr>
          <w:rFonts w:asciiTheme="majorHAnsi" w:hAnsiTheme="majorHAnsi" w:cstheme="majorHAnsi"/>
          <w:sz w:val="22"/>
          <w:szCs w:val="22"/>
        </w:rPr>
        <w:t>include mechanisms</w:t>
      </w:r>
      <w:r>
        <w:rPr>
          <w:rFonts w:asciiTheme="majorHAnsi" w:hAnsiTheme="majorHAnsi" w:cstheme="majorHAnsi"/>
          <w:sz w:val="22"/>
          <w:szCs w:val="22"/>
        </w:rPr>
        <w:t xml:space="preserve"> for</w:t>
      </w:r>
      <w:r w:rsidRPr="0082276A">
        <w:rPr>
          <w:rFonts w:asciiTheme="majorHAnsi" w:hAnsiTheme="majorHAnsi" w:cstheme="majorHAnsi"/>
          <w:sz w:val="22"/>
          <w:szCs w:val="22"/>
        </w:rPr>
        <w:t xml:space="preserve"> strategic learning</w:t>
      </w:r>
      <w:r>
        <w:rPr>
          <w:rFonts w:asciiTheme="majorHAnsi" w:hAnsiTheme="majorHAnsi" w:cstheme="majorHAnsi"/>
          <w:sz w:val="22"/>
          <w:szCs w:val="22"/>
        </w:rPr>
        <w:t xml:space="preserve"> and communication</w:t>
      </w:r>
      <w:r w:rsidRPr="0082276A">
        <w:rPr>
          <w:rFonts w:asciiTheme="majorHAnsi" w:hAnsiTheme="majorHAnsi" w:cstheme="majorHAnsi"/>
          <w:sz w:val="22"/>
          <w:szCs w:val="22"/>
        </w:rPr>
        <w:t xml:space="preserve">. Besides a </w:t>
      </w:r>
      <w:r w:rsidRPr="0082276A">
        <w:rPr>
          <w:rFonts w:asciiTheme="majorHAnsi" w:hAnsiTheme="majorHAnsi" w:cstheme="majorHAnsi"/>
          <w:sz w:val="22"/>
          <w:szCs w:val="22"/>
        </w:rPr>
        <w:lastRenderedPageBreak/>
        <w:t>strong MERL system, the program will also equip itself with well-resourced GEDSI and climate change strategies, reflecting the prominence of these two priorities for the program at large.</w:t>
      </w:r>
    </w:p>
    <w:p w14:paraId="6D1C0128" w14:textId="020E75A0" w:rsidR="004F0FF1" w:rsidRDefault="0026204C" w:rsidP="00CA0D93">
      <w:pPr>
        <w:tabs>
          <w:tab w:val="left" w:pos="284"/>
        </w:tabs>
        <w:spacing w:after="120" w:line="281" w:lineRule="auto"/>
        <w:ind w:hanging="2"/>
        <w:rPr>
          <w:rFonts w:asciiTheme="majorHAnsi" w:hAnsiTheme="majorHAnsi" w:cstheme="majorHAnsi"/>
          <w:sz w:val="22"/>
          <w:szCs w:val="22"/>
        </w:rPr>
      </w:pPr>
      <w:r w:rsidRPr="0082276A">
        <w:rPr>
          <w:rFonts w:asciiTheme="majorHAnsi" w:hAnsiTheme="majorHAnsi" w:cstheme="majorHAnsi"/>
          <w:sz w:val="22"/>
          <w:szCs w:val="22"/>
        </w:rPr>
        <w:t xml:space="preserve">The program governance arrangements will remain </w:t>
      </w:r>
      <w:proofErr w:type="gramStart"/>
      <w:r w:rsidRPr="0082276A">
        <w:rPr>
          <w:rFonts w:asciiTheme="majorHAnsi" w:hAnsiTheme="majorHAnsi" w:cstheme="majorHAnsi"/>
          <w:sz w:val="22"/>
          <w:szCs w:val="22"/>
        </w:rPr>
        <w:t>similar to</w:t>
      </w:r>
      <w:proofErr w:type="gramEnd"/>
      <w:r w:rsidRPr="0082276A">
        <w:rPr>
          <w:rFonts w:asciiTheme="majorHAnsi" w:hAnsiTheme="majorHAnsi" w:cstheme="majorHAnsi"/>
          <w:sz w:val="22"/>
          <w:szCs w:val="22"/>
        </w:rPr>
        <w:t xml:space="preserve"> the previous phase, ensuring strategic discussions are held and lessons are shared</w:t>
      </w:r>
      <w:r>
        <w:rPr>
          <w:rFonts w:asciiTheme="majorHAnsi" w:hAnsiTheme="majorHAnsi" w:cstheme="majorHAnsi"/>
          <w:sz w:val="22"/>
          <w:szCs w:val="22"/>
        </w:rPr>
        <w:t xml:space="preserve"> six-monthly</w:t>
      </w:r>
      <w:r w:rsidRPr="0082276A">
        <w:rPr>
          <w:rFonts w:asciiTheme="majorHAnsi" w:hAnsiTheme="majorHAnsi" w:cstheme="majorHAnsi"/>
          <w:sz w:val="22"/>
          <w:szCs w:val="22"/>
        </w:rPr>
        <w:t xml:space="preserve">, with a view to adapting and improving program implementation. The program will be governed by a National Steering Committee (NSC) chaired by </w:t>
      </w:r>
      <w:proofErr w:type="spellStart"/>
      <w:r w:rsidRPr="0082276A">
        <w:rPr>
          <w:rFonts w:asciiTheme="majorHAnsi" w:hAnsiTheme="majorHAnsi" w:cstheme="majorHAnsi"/>
          <w:sz w:val="22"/>
          <w:szCs w:val="22"/>
        </w:rPr>
        <w:t>MoECRT</w:t>
      </w:r>
      <w:proofErr w:type="spellEnd"/>
      <w:r w:rsidRPr="0082276A">
        <w:rPr>
          <w:rFonts w:asciiTheme="majorHAnsi" w:hAnsiTheme="majorHAnsi" w:cstheme="majorHAnsi"/>
          <w:sz w:val="22"/>
          <w:szCs w:val="22"/>
        </w:rPr>
        <w:t xml:space="preserve"> and </w:t>
      </w:r>
      <w:proofErr w:type="spellStart"/>
      <w:r w:rsidRPr="0082276A">
        <w:rPr>
          <w:rFonts w:asciiTheme="majorHAnsi" w:hAnsiTheme="majorHAnsi" w:cstheme="majorHAnsi"/>
          <w:sz w:val="22"/>
          <w:szCs w:val="22"/>
        </w:rPr>
        <w:t>MoRA</w:t>
      </w:r>
      <w:proofErr w:type="spellEnd"/>
      <w:r w:rsidRPr="0082276A">
        <w:rPr>
          <w:rFonts w:asciiTheme="majorHAnsi" w:hAnsiTheme="majorHAnsi" w:cstheme="majorHAnsi"/>
          <w:sz w:val="22"/>
          <w:szCs w:val="22"/>
        </w:rPr>
        <w:t xml:space="preserve"> that will provide guidance on the program’s broad directions and risks</w:t>
      </w:r>
      <w:r w:rsidR="009E04A4">
        <w:rPr>
          <w:rFonts w:asciiTheme="majorHAnsi" w:hAnsiTheme="majorHAnsi" w:cstheme="majorHAnsi"/>
          <w:sz w:val="22"/>
          <w:szCs w:val="22"/>
        </w:rPr>
        <w:t>,</w:t>
      </w:r>
      <w:r w:rsidR="00274ACF" w:rsidRPr="0082276A">
        <w:rPr>
          <w:rFonts w:asciiTheme="majorHAnsi" w:hAnsiTheme="majorHAnsi" w:cstheme="majorHAnsi"/>
          <w:sz w:val="22"/>
          <w:szCs w:val="22"/>
        </w:rPr>
        <w:t xml:space="preserve"> </w:t>
      </w:r>
      <w:r w:rsidRPr="0082276A">
        <w:rPr>
          <w:rFonts w:asciiTheme="majorHAnsi" w:hAnsiTheme="majorHAnsi" w:cstheme="majorHAnsi"/>
          <w:sz w:val="22"/>
          <w:szCs w:val="22"/>
        </w:rPr>
        <w:t xml:space="preserve">and six Provincial Steering Committees (PSC) that will act as accountability, risk management and decision-making bodies for program implementation in targeted provinces. Within the Embassy, Post’s Basic Education Team (BEU) team will continue to maintain oversight of program implementation, drawing on the </w:t>
      </w:r>
      <w:r w:rsidR="009E04A4">
        <w:rPr>
          <w:rFonts w:asciiTheme="majorHAnsi" w:hAnsiTheme="majorHAnsi" w:cstheme="majorHAnsi"/>
          <w:sz w:val="22"/>
          <w:szCs w:val="22"/>
        </w:rPr>
        <w:t>i</w:t>
      </w:r>
      <w:r w:rsidRPr="00A934CA">
        <w:rPr>
          <w:rFonts w:asciiTheme="majorHAnsi" w:hAnsiTheme="majorHAnsi" w:cstheme="majorHAnsi"/>
          <w:sz w:val="22"/>
          <w:szCs w:val="22"/>
        </w:rPr>
        <w:t xml:space="preserve">ndependent </w:t>
      </w:r>
      <w:r w:rsidR="009E04A4">
        <w:rPr>
          <w:rFonts w:asciiTheme="majorHAnsi" w:hAnsiTheme="majorHAnsi" w:cstheme="majorHAnsi"/>
          <w:sz w:val="22"/>
          <w:szCs w:val="22"/>
        </w:rPr>
        <w:t>s</w:t>
      </w:r>
      <w:r w:rsidRPr="00A934CA">
        <w:rPr>
          <w:rFonts w:asciiTheme="majorHAnsi" w:hAnsiTheme="majorHAnsi" w:cstheme="majorHAnsi"/>
          <w:sz w:val="22"/>
          <w:szCs w:val="22"/>
        </w:rPr>
        <w:t xml:space="preserve">trategic </w:t>
      </w:r>
      <w:r w:rsidR="009E04A4">
        <w:rPr>
          <w:rFonts w:asciiTheme="majorHAnsi" w:hAnsiTheme="majorHAnsi" w:cstheme="majorHAnsi"/>
          <w:sz w:val="22"/>
          <w:szCs w:val="22"/>
        </w:rPr>
        <w:t>a</w:t>
      </w:r>
      <w:r w:rsidRPr="00A934CA">
        <w:rPr>
          <w:rFonts w:asciiTheme="majorHAnsi" w:hAnsiTheme="majorHAnsi" w:cstheme="majorHAnsi"/>
          <w:sz w:val="22"/>
          <w:szCs w:val="22"/>
        </w:rPr>
        <w:t xml:space="preserve">dvisory </w:t>
      </w:r>
      <w:r w:rsidR="009E04A4">
        <w:rPr>
          <w:rFonts w:asciiTheme="majorHAnsi" w:hAnsiTheme="majorHAnsi" w:cstheme="majorHAnsi"/>
          <w:sz w:val="22"/>
          <w:szCs w:val="22"/>
        </w:rPr>
        <w:t>support</w:t>
      </w:r>
      <w:r w:rsidRPr="00A934CA">
        <w:rPr>
          <w:rFonts w:asciiTheme="majorHAnsi" w:hAnsiTheme="majorHAnsi" w:cstheme="majorHAnsi"/>
          <w:sz w:val="22"/>
          <w:szCs w:val="22"/>
        </w:rPr>
        <w:t xml:space="preserve"> </w:t>
      </w:r>
      <w:r w:rsidR="009E04A4">
        <w:rPr>
          <w:rFonts w:asciiTheme="majorHAnsi" w:hAnsiTheme="majorHAnsi" w:cstheme="majorHAnsi"/>
          <w:sz w:val="22"/>
          <w:szCs w:val="22"/>
        </w:rPr>
        <w:t>if necessary</w:t>
      </w:r>
      <w:r>
        <w:rPr>
          <w:rFonts w:asciiTheme="majorHAnsi" w:hAnsiTheme="majorHAnsi" w:cstheme="majorHAnsi"/>
          <w:sz w:val="22"/>
          <w:szCs w:val="22"/>
        </w:rPr>
        <w:t xml:space="preserve">. </w:t>
      </w:r>
      <w:r w:rsidRPr="0082276A">
        <w:rPr>
          <w:rFonts w:asciiTheme="majorHAnsi" w:hAnsiTheme="majorHAnsi" w:cstheme="majorHAnsi"/>
          <w:sz w:val="22"/>
          <w:szCs w:val="22"/>
        </w:rPr>
        <w:t>Effective coordination and collaboration with other DFAT-funded programs in Indonesia (</w:t>
      </w:r>
      <w:r w:rsidR="009E04A4">
        <w:rPr>
          <w:rFonts w:asciiTheme="majorHAnsi" w:hAnsiTheme="majorHAnsi" w:cstheme="majorHAnsi"/>
          <w:sz w:val="22"/>
          <w:szCs w:val="22"/>
        </w:rPr>
        <w:t>e.g.</w:t>
      </w:r>
      <w:r w:rsidRPr="0082276A">
        <w:rPr>
          <w:rFonts w:asciiTheme="majorHAnsi" w:hAnsiTheme="majorHAnsi" w:cstheme="majorHAnsi"/>
          <w:sz w:val="22"/>
          <w:szCs w:val="22"/>
        </w:rPr>
        <w:t xml:space="preserve"> SKALA, INKLUSI, KONEKSI</w:t>
      </w:r>
      <w:r w:rsidR="00274ACF">
        <w:rPr>
          <w:rFonts w:asciiTheme="majorHAnsi" w:hAnsiTheme="majorHAnsi" w:cstheme="majorHAnsi"/>
          <w:sz w:val="22"/>
          <w:szCs w:val="22"/>
        </w:rPr>
        <w:t>, UNICEF in Papua</w:t>
      </w:r>
      <w:r w:rsidRPr="0082276A">
        <w:rPr>
          <w:rFonts w:asciiTheme="majorHAnsi" w:hAnsiTheme="majorHAnsi" w:cstheme="majorHAnsi"/>
          <w:sz w:val="22"/>
          <w:szCs w:val="22"/>
        </w:rPr>
        <w:t xml:space="preserve">) and a broad range of program stakeholders will underpin program success. Following on from previous phases, the </w:t>
      </w:r>
      <w:r w:rsidR="00CB78C6">
        <w:rPr>
          <w:rFonts w:asciiTheme="majorHAnsi" w:hAnsiTheme="majorHAnsi" w:cstheme="majorHAnsi"/>
          <w:sz w:val="22"/>
          <w:szCs w:val="22"/>
        </w:rPr>
        <w:t>implementation</w:t>
      </w:r>
      <w:r w:rsidRPr="0082276A">
        <w:rPr>
          <w:rFonts w:asciiTheme="majorHAnsi" w:hAnsiTheme="majorHAnsi" w:cstheme="majorHAnsi"/>
          <w:sz w:val="22"/>
          <w:szCs w:val="22"/>
        </w:rPr>
        <w:t xml:space="preserve"> </w:t>
      </w:r>
      <w:r w:rsidR="002269CC">
        <w:rPr>
          <w:rFonts w:asciiTheme="majorHAnsi" w:hAnsiTheme="majorHAnsi" w:cstheme="majorHAnsi"/>
          <w:sz w:val="22"/>
          <w:szCs w:val="22"/>
        </w:rPr>
        <w:t xml:space="preserve">team </w:t>
      </w:r>
      <w:r w:rsidRPr="0082276A">
        <w:rPr>
          <w:rFonts w:asciiTheme="majorHAnsi" w:hAnsiTheme="majorHAnsi" w:cstheme="majorHAnsi"/>
          <w:sz w:val="22"/>
          <w:szCs w:val="22"/>
        </w:rPr>
        <w:t xml:space="preserve">will be </w:t>
      </w:r>
      <w:r w:rsidR="009E04A4" w:rsidRPr="0082276A">
        <w:rPr>
          <w:rFonts w:asciiTheme="majorHAnsi" w:hAnsiTheme="majorHAnsi" w:cstheme="majorHAnsi"/>
          <w:sz w:val="22"/>
          <w:szCs w:val="22"/>
        </w:rPr>
        <w:t>contracted</w:t>
      </w:r>
      <w:r w:rsidR="009E04A4">
        <w:rPr>
          <w:rFonts w:asciiTheme="majorHAnsi" w:hAnsiTheme="majorHAnsi" w:cstheme="majorHAnsi"/>
          <w:sz w:val="22"/>
          <w:szCs w:val="22"/>
        </w:rPr>
        <w:t xml:space="preserve"> and </w:t>
      </w:r>
      <w:r w:rsidR="00CB78C6">
        <w:rPr>
          <w:rFonts w:asciiTheme="majorHAnsi" w:hAnsiTheme="majorHAnsi" w:cstheme="majorHAnsi"/>
          <w:sz w:val="22"/>
          <w:szCs w:val="22"/>
        </w:rPr>
        <w:t xml:space="preserve">managed </w:t>
      </w:r>
      <w:r w:rsidR="009E04A4">
        <w:rPr>
          <w:rFonts w:asciiTheme="majorHAnsi" w:hAnsiTheme="majorHAnsi" w:cstheme="majorHAnsi"/>
          <w:sz w:val="22"/>
          <w:szCs w:val="22"/>
        </w:rPr>
        <w:t>by</w:t>
      </w:r>
      <w:r w:rsidRPr="0082276A">
        <w:rPr>
          <w:rFonts w:asciiTheme="majorHAnsi" w:hAnsiTheme="majorHAnsi" w:cstheme="majorHAnsi"/>
          <w:sz w:val="22"/>
          <w:szCs w:val="22"/>
        </w:rPr>
        <w:t xml:space="preserve"> a suitable Managing Contractor (MC), selected through a competitive and open tender process. </w:t>
      </w:r>
    </w:p>
    <w:p w14:paraId="4DAB8418" w14:textId="77777777" w:rsidR="00396F64" w:rsidRPr="0026204C" w:rsidRDefault="00396F64" w:rsidP="00CA0D93">
      <w:pPr>
        <w:tabs>
          <w:tab w:val="left" w:pos="284"/>
        </w:tabs>
        <w:spacing w:after="120" w:line="281" w:lineRule="auto"/>
        <w:ind w:hanging="2"/>
        <w:rPr>
          <w:rFonts w:asciiTheme="majorHAnsi" w:hAnsiTheme="majorHAnsi" w:cstheme="majorHAnsi"/>
          <w:sz w:val="22"/>
          <w:szCs w:val="22"/>
        </w:rPr>
      </w:pPr>
    </w:p>
    <w:p w14:paraId="431040B5" w14:textId="77777777" w:rsidR="00396F64" w:rsidRPr="00046211" w:rsidRDefault="00A32858" w:rsidP="008D1844">
      <w:pPr>
        <w:pStyle w:val="Heading1"/>
        <w:numPr>
          <w:ilvl w:val="0"/>
          <w:numId w:val="59"/>
        </w:numPr>
        <w:rPr>
          <w:sz w:val="28"/>
          <w:szCs w:val="20"/>
          <w:u w:val="single"/>
        </w:rPr>
      </w:pPr>
      <w:r w:rsidRPr="00046211">
        <w:rPr>
          <w:sz w:val="28"/>
          <w:szCs w:val="20"/>
          <w:u w:val="single"/>
        </w:rPr>
        <w:t>Development Context and Situational Analysis</w:t>
      </w:r>
      <w:r w:rsidR="00716657" w:rsidRPr="00046211">
        <w:rPr>
          <w:sz w:val="28"/>
          <w:szCs w:val="20"/>
          <w:u w:val="single"/>
        </w:rPr>
        <w:t xml:space="preserve"> (What problem are we addressing?)</w:t>
      </w:r>
    </w:p>
    <w:p w14:paraId="6936EC76" w14:textId="73758D93" w:rsidR="007436F2" w:rsidRPr="00FD5BE4" w:rsidRDefault="00FD5BE4" w:rsidP="00FD5BE4">
      <w:pPr>
        <w:pStyle w:val="Heading2"/>
        <w:rPr>
          <w:b/>
          <w:bCs/>
          <w:sz w:val="14"/>
          <w:szCs w:val="8"/>
        </w:rPr>
      </w:pPr>
      <w:r w:rsidRPr="00FD5BE4">
        <w:rPr>
          <w:b/>
          <w:bCs/>
          <w:caps w:val="0"/>
          <w:sz w:val="22"/>
          <w:szCs w:val="16"/>
        </w:rPr>
        <w:t xml:space="preserve">Indonesia Development Context </w:t>
      </w:r>
    </w:p>
    <w:p w14:paraId="7B1A5C28" w14:textId="483A0457" w:rsidR="007436F2" w:rsidRPr="00974377" w:rsidRDefault="007436F2" w:rsidP="00E279B6">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 xml:space="preserve">Indonesia’s recent presidency of the G20 is a testament </w:t>
      </w:r>
      <w:r w:rsidR="00D06C95">
        <w:rPr>
          <w:rFonts w:asciiTheme="majorHAnsi" w:hAnsiTheme="majorHAnsi" w:cstheme="majorHAnsi"/>
          <w:sz w:val="22"/>
          <w:szCs w:val="22"/>
        </w:rPr>
        <w:t>to</w:t>
      </w:r>
      <w:r w:rsidRPr="00974377">
        <w:rPr>
          <w:rFonts w:asciiTheme="majorHAnsi" w:hAnsiTheme="majorHAnsi" w:cstheme="majorHAnsi"/>
          <w:sz w:val="22"/>
          <w:szCs w:val="22"/>
        </w:rPr>
        <w:t xml:space="preserve"> the remarkable transformation of Indonesia’s place in the world since the beginning of Reformasi in 1998</w:t>
      </w:r>
      <w:r w:rsidRPr="00974377">
        <w:rPr>
          <w:rStyle w:val="FootnoteReference"/>
          <w:rFonts w:asciiTheme="majorHAnsi" w:hAnsiTheme="majorHAnsi" w:cstheme="majorHAnsi"/>
          <w:sz w:val="22"/>
          <w:szCs w:val="22"/>
        </w:rPr>
        <w:footnoteReference w:id="2"/>
      </w:r>
      <w:r w:rsidRPr="00974377">
        <w:rPr>
          <w:rFonts w:asciiTheme="majorHAnsi" w:hAnsiTheme="majorHAnsi" w:cstheme="majorHAnsi"/>
          <w:sz w:val="22"/>
          <w:szCs w:val="22"/>
        </w:rPr>
        <w:t xml:space="preserve">. Indonesia is now a middle power country, with one of the world’s fastest-growing economies and its third-largest democracy. As witnessed in the Bali Declaration summarising the outcome of the G20 summit (November 2022), Indonesia is and intends to continue playing an important role in global diplomacy at time of high global tensions. This requires a clear vision, a strategy to realise it, and the capacity to implement it.  </w:t>
      </w:r>
    </w:p>
    <w:p w14:paraId="1922F312" w14:textId="77777777" w:rsidR="007844EF" w:rsidRDefault="007436F2" w:rsidP="007844EF">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Indonesia’s Vision 2045, launched by President Joko Widodo in May 2019, sets the goal for Indonesia to become a high income developed country</w:t>
      </w:r>
      <w:r w:rsidRPr="00974377">
        <w:rPr>
          <w:rFonts w:asciiTheme="majorHAnsi" w:hAnsiTheme="majorHAnsi" w:cstheme="majorHAnsi"/>
          <w:sz w:val="22"/>
          <w:szCs w:val="22"/>
          <w:vertAlign w:val="superscript"/>
        </w:rPr>
        <w:footnoteReference w:id="3"/>
      </w:r>
      <w:r w:rsidRPr="00974377">
        <w:rPr>
          <w:rFonts w:asciiTheme="majorHAnsi" w:hAnsiTheme="majorHAnsi" w:cstheme="majorHAnsi"/>
          <w:sz w:val="22"/>
          <w:szCs w:val="22"/>
        </w:rPr>
        <w:t xml:space="preserve"> by the centenary of its independence (2045), transitioning from a</w:t>
      </w:r>
      <w:r w:rsidR="004759D0" w:rsidRPr="00974377">
        <w:rPr>
          <w:rFonts w:asciiTheme="majorHAnsi" w:hAnsiTheme="majorHAnsi" w:cstheme="majorHAnsi"/>
          <w:sz w:val="22"/>
          <w:szCs w:val="22"/>
        </w:rPr>
        <w:t xml:space="preserve"> resource-based economy towards an advanced service, </w:t>
      </w:r>
      <w:r w:rsidR="00106172" w:rsidRPr="00974377">
        <w:rPr>
          <w:rFonts w:asciiTheme="majorHAnsi" w:hAnsiTheme="majorHAnsi" w:cstheme="majorHAnsi"/>
          <w:sz w:val="22"/>
          <w:szCs w:val="22"/>
        </w:rPr>
        <w:t>technology,</w:t>
      </w:r>
      <w:r w:rsidR="004759D0" w:rsidRPr="00974377">
        <w:rPr>
          <w:rFonts w:asciiTheme="majorHAnsi" w:hAnsiTheme="majorHAnsi" w:cstheme="majorHAnsi"/>
          <w:sz w:val="22"/>
          <w:szCs w:val="22"/>
        </w:rPr>
        <w:t xml:space="preserve"> and knowledge-based economy. To achieve this goal</w:t>
      </w:r>
      <w:r w:rsidRPr="00974377">
        <w:rPr>
          <w:rFonts w:asciiTheme="majorHAnsi" w:hAnsiTheme="majorHAnsi" w:cstheme="majorHAnsi"/>
          <w:sz w:val="22"/>
          <w:szCs w:val="22"/>
        </w:rPr>
        <w:t xml:space="preserve">, four pillars are prioritised: </w:t>
      </w:r>
      <w:proofErr w:type="spellStart"/>
      <w:r w:rsidRPr="00974377">
        <w:rPr>
          <w:rFonts w:asciiTheme="majorHAnsi" w:hAnsiTheme="majorHAnsi" w:cstheme="majorHAnsi"/>
          <w:sz w:val="22"/>
          <w:szCs w:val="22"/>
        </w:rPr>
        <w:t>i</w:t>
      </w:r>
      <w:proofErr w:type="spellEnd"/>
      <w:r w:rsidRPr="00974377">
        <w:rPr>
          <w:rFonts w:asciiTheme="majorHAnsi" w:hAnsiTheme="majorHAnsi" w:cstheme="majorHAnsi"/>
          <w:sz w:val="22"/>
          <w:szCs w:val="22"/>
        </w:rPr>
        <w:t>) human development and the mastery of science and technology</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ii) sustainable economic development</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iii) equitable development</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and iv) national resilience and governance. Both strategic national development plans covering President Widodo’s terms of office have emphasised the urgency of Indonesia’s human resource development to fully benefit from its integration in the ASEAN Economic Community. They have set out the role of the education sector as an investment in the country’s future. </w:t>
      </w:r>
    </w:p>
    <w:p w14:paraId="05C31037" w14:textId="743F1B03" w:rsidR="007436F2" w:rsidRPr="00FD5BE4" w:rsidRDefault="00FD5BE4" w:rsidP="00E378AD">
      <w:pPr>
        <w:pStyle w:val="Heading2"/>
        <w:rPr>
          <w:b/>
          <w:bCs/>
          <w:sz w:val="22"/>
          <w:szCs w:val="16"/>
        </w:rPr>
      </w:pPr>
      <w:r w:rsidRPr="00FD5BE4">
        <w:rPr>
          <w:b/>
          <w:bCs/>
          <w:caps w:val="0"/>
          <w:sz w:val="22"/>
          <w:szCs w:val="16"/>
        </w:rPr>
        <w:lastRenderedPageBreak/>
        <w:t>Indonesia Education Sector</w:t>
      </w:r>
    </w:p>
    <w:p w14:paraId="5B7CFDF3" w14:textId="6E9C4907" w:rsidR="009A6254" w:rsidRDefault="007436F2" w:rsidP="00E279B6">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As recognised by the current Minister for Education, the low level of student performance  in international and national assessments is emblematic of a learning crisis.</w:t>
      </w:r>
      <w:r w:rsidRPr="00974377">
        <w:rPr>
          <w:rFonts w:asciiTheme="majorHAnsi" w:hAnsiTheme="majorHAnsi" w:cs="Calibri (Headings)"/>
          <w:sz w:val="22"/>
          <w:szCs w:val="22"/>
          <w:vertAlign w:val="superscript"/>
        </w:rPr>
        <w:footnoteReference w:id="4"/>
      </w:r>
      <w:r w:rsidRPr="00974377">
        <w:rPr>
          <w:rFonts w:asciiTheme="majorHAnsi" w:hAnsiTheme="majorHAnsi" w:cstheme="majorHAnsi"/>
          <w:sz w:val="22"/>
          <w:szCs w:val="22"/>
        </w:rPr>
        <w:t xml:space="preserve"> Although Indonesia has been concerned for two decades with education quality improvement and in spite of teacher qualification reforms and a tripling of expenditure since 2010, Indonesian students have ranked close to the bottom of PISA assessments in reading, mathematics and science for over two decades.</w:t>
      </w:r>
      <w:r w:rsidRPr="00974377">
        <w:rPr>
          <w:rFonts w:asciiTheme="majorHAnsi" w:hAnsiTheme="majorHAnsi" w:cs="Calibri (Headings)"/>
          <w:sz w:val="22"/>
          <w:szCs w:val="22"/>
          <w:vertAlign w:val="superscript"/>
        </w:rPr>
        <w:footnoteReference w:id="5"/>
      </w:r>
      <w:r w:rsidRPr="00974377">
        <w:rPr>
          <w:rFonts w:asciiTheme="majorHAnsi" w:hAnsiTheme="majorHAnsi" w:cstheme="majorHAnsi"/>
          <w:sz w:val="22"/>
          <w:szCs w:val="22"/>
        </w:rPr>
        <w:t xml:space="preserve"> A large-scale learning assessment (18,370 students) funded by DFAT and conducted by ACER in 202</w:t>
      </w:r>
      <w:r w:rsidR="00351DDE" w:rsidRPr="00974377">
        <w:rPr>
          <w:rFonts w:asciiTheme="majorHAnsi" w:hAnsiTheme="majorHAnsi" w:cstheme="majorHAnsi"/>
          <w:sz w:val="22"/>
          <w:szCs w:val="22"/>
        </w:rPr>
        <w:t>1</w:t>
      </w:r>
      <w:r w:rsidRPr="00974377">
        <w:rPr>
          <w:rFonts w:asciiTheme="majorHAnsi" w:hAnsiTheme="majorHAnsi" w:cstheme="majorHAnsi"/>
          <w:sz w:val="22"/>
          <w:szCs w:val="22"/>
        </w:rPr>
        <w:t xml:space="preserve"> found that </w:t>
      </w:r>
      <w:r w:rsidR="00CB78C6">
        <w:rPr>
          <w:rFonts w:asciiTheme="majorHAnsi" w:hAnsiTheme="majorHAnsi" w:cstheme="majorHAnsi"/>
          <w:sz w:val="22"/>
          <w:szCs w:val="22"/>
        </w:rPr>
        <w:t xml:space="preserve">approximately </w:t>
      </w:r>
      <w:r w:rsidR="007D54CF">
        <w:rPr>
          <w:rFonts w:asciiTheme="majorHAnsi" w:hAnsiTheme="majorHAnsi" w:cstheme="majorHAnsi"/>
          <w:sz w:val="22"/>
          <w:szCs w:val="22"/>
        </w:rPr>
        <w:t>one in two</w:t>
      </w:r>
      <w:r w:rsidRPr="00974377">
        <w:rPr>
          <w:rFonts w:asciiTheme="majorHAnsi" w:hAnsiTheme="majorHAnsi" w:cstheme="majorHAnsi"/>
          <w:sz w:val="22"/>
          <w:szCs w:val="22"/>
        </w:rPr>
        <w:t xml:space="preserve"> </w:t>
      </w:r>
      <w:r w:rsidR="009A6254" w:rsidRPr="00974377">
        <w:rPr>
          <w:rFonts w:asciiTheme="majorHAnsi" w:hAnsiTheme="majorHAnsi" w:cstheme="majorHAnsi"/>
          <w:sz w:val="22"/>
          <w:szCs w:val="22"/>
        </w:rPr>
        <w:t xml:space="preserve">Grade 3 </w:t>
      </w:r>
      <w:r w:rsidRPr="00974377">
        <w:rPr>
          <w:rFonts w:asciiTheme="majorHAnsi" w:hAnsiTheme="majorHAnsi" w:cstheme="majorHAnsi"/>
          <w:sz w:val="22"/>
          <w:szCs w:val="22"/>
        </w:rPr>
        <w:t xml:space="preserve">students had not met the Sustainable Development Goals (SDG) </w:t>
      </w:r>
      <w:r w:rsidR="005C2EAE">
        <w:rPr>
          <w:rFonts w:asciiTheme="majorHAnsi" w:hAnsiTheme="majorHAnsi" w:cstheme="majorHAnsi"/>
          <w:sz w:val="22"/>
          <w:szCs w:val="22"/>
        </w:rPr>
        <w:t>M</w:t>
      </w:r>
      <w:r w:rsidRPr="00974377">
        <w:rPr>
          <w:rFonts w:asciiTheme="majorHAnsi" w:hAnsiTheme="majorHAnsi" w:cstheme="majorHAnsi"/>
          <w:sz w:val="22"/>
          <w:szCs w:val="22"/>
        </w:rPr>
        <w:t xml:space="preserve">inimum </w:t>
      </w:r>
      <w:r w:rsidR="005C2EAE">
        <w:rPr>
          <w:rFonts w:asciiTheme="majorHAnsi" w:hAnsiTheme="majorHAnsi" w:cstheme="majorHAnsi"/>
          <w:sz w:val="22"/>
          <w:szCs w:val="22"/>
        </w:rPr>
        <w:t>P</w:t>
      </w:r>
      <w:r w:rsidRPr="00974377">
        <w:rPr>
          <w:rFonts w:asciiTheme="majorHAnsi" w:hAnsiTheme="majorHAnsi" w:cstheme="majorHAnsi"/>
          <w:sz w:val="22"/>
          <w:szCs w:val="22"/>
        </w:rPr>
        <w:t xml:space="preserve">roficiency </w:t>
      </w:r>
      <w:r w:rsidR="005C2EAE">
        <w:rPr>
          <w:rFonts w:asciiTheme="majorHAnsi" w:hAnsiTheme="majorHAnsi" w:cstheme="majorHAnsi"/>
          <w:sz w:val="22"/>
          <w:szCs w:val="22"/>
        </w:rPr>
        <w:t>L</w:t>
      </w:r>
      <w:r w:rsidRPr="00974377">
        <w:rPr>
          <w:rFonts w:asciiTheme="majorHAnsi" w:hAnsiTheme="majorHAnsi" w:cstheme="majorHAnsi"/>
          <w:sz w:val="22"/>
          <w:szCs w:val="22"/>
        </w:rPr>
        <w:t xml:space="preserve">evel (MPL) for early primary reading, and </w:t>
      </w:r>
      <w:r w:rsidR="007D54CF">
        <w:rPr>
          <w:rFonts w:asciiTheme="majorHAnsi" w:hAnsiTheme="majorHAnsi" w:cstheme="majorHAnsi"/>
          <w:sz w:val="22"/>
          <w:szCs w:val="22"/>
        </w:rPr>
        <w:t>2 in 3 students</w:t>
      </w:r>
      <w:r w:rsidRPr="00974377">
        <w:rPr>
          <w:rFonts w:asciiTheme="majorHAnsi" w:hAnsiTheme="majorHAnsi" w:cstheme="majorHAnsi"/>
          <w:sz w:val="22"/>
          <w:szCs w:val="22"/>
        </w:rPr>
        <w:t xml:space="preserve"> had not met the MPL for numeracy.</w:t>
      </w:r>
      <w:r w:rsidR="007D54CF">
        <w:rPr>
          <w:rStyle w:val="FootnoteReference"/>
          <w:rFonts w:asciiTheme="majorHAnsi" w:hAnsiTheme="majorHAnsi" w:cstheme="majorHAnsi"/>
          <w:sz w:val="22"/>
          <w:szCs w:val="22"/>
        </w:rPr>
        <w:footnoteReference w:id="6"/>
      </w:r>
      <w:r w:rsidR="009E04A4">
        <w:rPr>
          <w:rFonts w:asciiTheme="majorHAnsi" w:hAnsiTheme="majorHAnsi" w:cstheme="majorHAnsi"/>
          <w:sz w:val="22"/>
          <w:szCs w:val="22"/>
        </w:rPr>
        <w:t xml:space="preserve"> </w:t>
      </w:r>
      <w:r w:rsidRPr="00974377">
        <w:rPr>
          <w:rFonts w:asciiTheme="majorHAnsi" w:hAnsiTheme="majorHAnsi" w:cstheme="majorHAnsi"/>
          <w:sz w:val="22"/>
          <w:szCs w:val="22"/>
        </w:rPr>
        <w:t>The COVID-19 pandemic has worsened this situation</w:t>
      </w:r>
      <w:r w:rsidR="00CB78C6">
        <w:rPr>
          <w:rFonts w:asciiTheme="majorHAnsi" w:hAnsiTheme="majorHAnsi" w:cstheme="majorHAnsi"/>
          <w:sz w:val="22"/>
          <w:szCs w:val="22"/>
        </w:rPr>
        <w:t>:</w:t>
      </w:r>
      <w:r w:rsidR="00BE6667">
        <w:rPr>
          <w:rFonts w:asciiTheme="majorHAnsi" w:hAnsiTheme="majorHAnsi" w:cstheme="majorHAnsi"/>
          <w:sz w:val="22"/>
          <w:szCs w:val="22"/>
        </w:rPr>
        <w:t xml:space="preserve"> </w:t>
      </w:r>
      <w:r w:rsidRPr="00974377">
        <w:rPr>
          <w:rFonts w:asciiTheme="majorHAnsi" w:hAnsiTheme="majorHAnsi" w:cstheme="majorHAnsi"/>
          <w:sz w:val="22"/>
          <w:szCs w:val="22"/>
        </w:rPr>
        <w:t xml:space="preserve">learning levels of </w:t>
      </w:r>
      <w:r w:rsidR="007129D2">
        <w:rPr>
          <w:rFonts w:asciiTheme="majorHAnsi" w:hAnsiTheme="majorHAnsi" w:cstheme="majorHAnsi"/>
          <w:sz w:val="22"/>
          <w:szCs w:val="22"/>
        </w:rPr>
        <w:t>s</w:t>
      </w:r>
      <w:r w:rsidRPr="00974377">
        <w:rPr>
          <w:rFonts w:asciiTheme="majorHAnsi" w:hAnsiTheme="majorHAnsi" w:cstheme="majorHAnsi"/>
          <w:sz w:val="22"/>
          <w:szCs w:val="22"/>
        </w:rPr>
        <w:t xml:space="preserve">tudents </w:t>
      </w:r>
      <w:r w:rsidR="007129D2">
        <w:rPr>
          <w:rFonts w:asciiTheme="majorHAnsi" w:hAnsiTheme="majorHAnsi" w:cstheme="majorHAnsi"/>
          <w:sz w:val="22"/>
          <w:szCs w:val="22"/>
        </w:rPr>
        <w:t xml:space="preserve">starting Grade 2 in </w:t>
      </w:r>
      <w:r w:rsidRPr="00974377">
        <w:rPr>
          <w:rFonts w:asciiTheme="majorHAnsi" w:hAnsiTheme="majorHAnsi" w:cstheme="majorHAnsi"/>
          <w:sz w:val="22"/>
          <w:szCs w:val="22"/>
        </w:rPr>
        <w:t xml:space="preserve">school year </w:t>
      </w:r>
      <w:r w:rsidR="00A27189">
        <w:rPr>
          <w:rFonts w:asciiTheme="majorHAnsi" w:hAnsiTheme="majorHAnsi" w:cstheme="majorHAnsi"/>
          <w:sz w:val="22"/>
          <w:szCs w:val="22"/>
        </w:rPr>
        <w:t xml:space="preserve">(SY) </w:t>
      </w:r>
      <w:r w:rsidRPr="00974377">
        <w:rPr>
          <w:rFonts w:asciiTheme="majorHAnsi" w:hAnsiTheme="majorHAnsi" w:cstheme="majorHAnsi"/>
          <w:sz w:val="22"/>
          <w:szCs w:val="22"/>
        </w:rPr>
        <w:t>2020</w:t>
      </w:r>
      <w:r w:rsidR="00CB78C6">
        <w:rPr>
          <w:rFonts w:asciiTheme="majorHAnsi" w:hAnsiTheme="majorHAnsi" w:cstheme="majorHAnsi"/>
          <w:sz w:val="22"/>
          <w:szCs w:val="22"/>
        </w:rPr>
        <w:t>-</w:t>
      </w:r>
      <w:r w:rsidRPr="00974377">
        <w:rPr>
          <w:rFonts w:asciiTheme="majorHAnsi" w:hAnsiTheme="majorHAnsi" w:cstheme="majorHAnsi"/>
          <w:sz w:val="22"/>
          <w:szCs w:val="22"/>
        </w:rPr>
        <w:t xml:space="preserve">21 were </w:t>
      </w:r>
      <w:r w:rsidR="007129D2">
        <w:rPr>
          <w:rFonts w:asciiTheme="majorHAnsi" w:hAnsiTheme="majorHAnsi" w:cstheme="majorHAnsi"/>
          <w:sz w:val="22"/>
          <w:szCs w:val="22"/>
        </w:rPr>
        <w:t>6 months behind students starting Grade 2 in SY 2019</w:t>
      </w:r>
      <w:r w:rsidR="00CB78C6">
        <w:rPr>
          <w:rFonts w:asciiTheme="majorHAnsi" w:hAnsiTheme="majorHAnsi" w:cstheme="majorHAnsi"/>
          <w:sz w:val="22"/>
          <w:szCs w:val="22"/>
        </w:rPr>
        <w:t>-</w:t>
      </w:r>
      <w:r w:rsidR="007129D2">
        <w:rPr>
          <w:rFonts w:asciiTheme="majorHAnsi" w:hAnsiTheme="majorHAnsi" w:cstheme="majorHAnsi"/>
          <w:sz w:val="22"/>
          <w:szCs w:val="22"/>
        </w:rPr>
        <w:t>20</w:t>
      </w:r>
      <w:r w:rsidR="00BE6667">
        <w:rPr>
          <w:rFonts w:asciiTheme="majorHAnsi" w:hAnsiTheme="majorHAnsi" w:cstheme="majorHAnsi"/>
          <w:sz w:val="22"/>
          <w:szCs w:val="22"/>
        </w:rPr>
        <w:t>.</w:t>
      </w:r>
      <w:r w:rsidR="00BE6667">
        <w:rPr>
          <w:rStyle w:val="FootnoteReference"/>
          <w:rFonts w:asciiTheme="majorHAnsi" w:hAnsiTheme="majorHAnsi" w:cstheme="majorHAnsi"/>
          <w:sz w:val="22"/>
          <w:szCs w:val="22"/>
        </w:rPr>
        <w:footnoteReference w:id="7"/>
      </w:r>
      <w:r w:rsidR="00BE6667" w:rsidRPr="00BE6667">
        <w:rPr>
          <w:rFonts w:asciiTheme="majorHAnsi" w:hAnsiTheme="majorHAnsi" w:cstheme="majorHAnsi"/>
          <w:sz w:val="22"/>
          <w:szCs w:val="22"/>
        </w:rPr>
        <w:t xml:space="preserve"> </w:t>
      </w:r>
      <w:r w:rsidR="00BE6667">
        <w:rPr>
          <w:rFonts w:asciiTheme="majorHAnsi" w:hAnsiTheme="majorHAnsi" w:cstheme="majorHAnsi"/>
          <w:sz w:val="22"/>
          <w:szCs w:val="22"/>
        </w:rPr>
        <w:t xml:space="preserve"> Without remediation</w:t>
      </w:r>
      <w:r w:rsidR="009A6254">
        <w:rPr>
          <w:rFonts w:asciiTheme="majorHAnsi" w:hAnsiTheme="majorHAnsi" w:cstheme="majorHAnsi"/>
          <w:sz w:val="22"/>
          <w:szCs w:val="22"/>
        </w:rPr>
        <w:t>,</w:t>
      </w:r>
      <w:r w:rsidR="00BE6667">
        <w:rPr>
          <w:rFonts w:asciiTheme="majorHAnsi" w:hAnsiTheme="majorHAnsi" w:cstheme="majorHAnsi"/>
          <w:sz w:val="22"/>
          <w:szCs w:val="22"/>
        </w:rPr>
        <w:t xml:space="preserve"> this </w:t>
      </w:r>
      <w:r w:rsidR="00BE6667" w:rsidRPr="00974377">
        <w:rPr>
          <w:rFonts w:asciiTheme="majorHAnsi" w:hAnsiTheme="majorHAnsi" w:cstheme="majorHAnsi"/>
          <w:sz w:val="22"/>
          <w:szCs w:val="22"/>
        </w:rPr>
        <w:t xml:space="preserve">loss </w:t>
      </w:r>
      <w:r w:rsidR="00BE6667">
        <w:rPr>
          <w:rFonts w:asciiTheme="majorHAnsi" w:hAnsiTheme="majorHAnsi" w:cstheme="majorHAnsi"/>
          <w:sz w:val="22"/>
          <w:szCs w:val="22"/>
        </w:rPr>
        <w:t>will compound</w:t>
      </w:r>
      <w:r w:rsidR="00BE6667" w:rsidRPr="00974377">
        <w:rPr>
          <w:rFonts w:asciiTheme="majorHAnsi" w:hAnsiTheme="majorHAnsi" w:cstheme="majorHAnsi"/>
          <w:sz w:val="22"/>
          <w:szCs w:val="22"/>
        </w:rPr>
        <w:t xml:space="preserve"> at each grade level</w:t>
      </w:r>
      <w:r w:rsidR="00CB78C6">
        <w:rPr>
          <w:rFonts w:asciiTheme="majorHAnsi" w:hAnsiTheme="majorHAnsi" w:cstheme="majorHAnsi"/>
          <w:sz w:val="22"/>
          <w:szCs w:val="22"/>
        </w:rPr>
        <w:t>.</w:t>
      </w:r>
      <w:r w:rsidR="00BE6667" w:rsidRPr="00974377">
        <w:rPr>
          <w:rFonts w:asciiTheme="majorHAnsi" w:hAnsiTheme="majorHAnsi" w:cstheme="majorHAnsi"/>
          <w:sz w:val="22"/>
          <w:szCs w:val="22"/>
        </w:rPr>
        <w:t xml:space="preserve"> </w:t>
      </w:r>
    </w:p>
    <w:p w14:paraId="2751C6C7" w14:textId="7A139ED3" w:rsidR="007436F2" w:rsidRDefault="007436F2" w:rsidP="00E279B6">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 xml:space="preserve">In addition, national and international tests reveal large disparities in student performance. </w:t>
      </w:r>
      <w:r w:rsidR="003100E6">
        <w:rPr>
          <w:rFonts w:asciiTheme="majorHAnsi" w:hAnsiTheme="majorHAnsi" w:cstheme="majorHAnsi"/>
          <w:sz w:val="22"/>
          <w:szCs w:val="22"/>
        </w:rPr>
        <w:t xml:space="preserve">INOVASI’s Learning Gap study on intersectional disadvantage using data and further analysis from the </w:t>
      </w:r>
      <w:r w:rsidRPr="00974377">
        <w:rPr>
          <w:rFonts w:asciiTheme="majorHAnsi" w:hAnsiTheme="majorHAnsi" w:cstheme="majorHAnsi"/>
          <w:sz w:val="22"/>
          <w:szCs w:val="22"/>
        </w:rPr>
        <w:t>ACER study</w:t>
      </w:r>
      <w:r w:rsidR="003100E6">
        <w:rPr>
          <w:rFonts w:asciiTheme="majorHAnsi" w:hAnsiTheme="majorHAnsi" w:cstheme="majorHAnsi"/>
          <w:sz w:val="22"/>
          <w:szCs w:val="22"/>
        </w:rPr>
        <w:t>,</w:t>
      </w:r>
      <w:r w:rsidRPr="00974377">
        <w:rPr>
          <w:rFonts w:asciiTheme="majorHAnsi" w:hAnsiTheme="majorHAnsi" w:cstheme="majorHAnsi"/>
          <w:sz w:val="22"/>
          <w:szCs w:val="22"/>
        </w:rPr>
        <w:t xml:space="preserve"> showed rural and remote students (31% in Grade 2 and 26% in Grade 3) performing significantly worse than urban students (respectively 15% and 14%).</w:t>
      </w:r>
      <w:r w:rsidRPr="00974377">
        <w:rPr>
          <w:rStyle w:val="FootnoteReference"/>
          <w:rFonts w:asciiTheme="majorHAnsi" w:hAnsiTheme="majorHAnsi" w:cstheme="majorHAnsi"/>
          <w:sz w:val="22"/>
          <w:szCs w:val="22"/>
        </w:rPr>
        <w:footnoteReference w:id="8"/>
      </w:r>
      <w:r w:rsidRPr="00974377">
        <w:rPr>
          <w:rFonts w:asciiTheme="majorHAnsi" w:hAnsiTheme="majorHAnsi" w:cstheme="majorHAnsi"/>
          <w:sz w:val="22"/>
          <w:szCs w:val="22"/>
        </w:rPr>
        <w:t xml:space="preserve"> It also showed statistically significant correlations of learning loss during the pandemic with conditions of disadvantage such as children with a disability, children from low socio-economic backgrounds, in remote locations, speaking mother tongue at home, and with low maternal levels of education. Overall girls were more affected than boys, but gender-based effects differed by location. The impact of school closure on early grade learning is likely to be particularly severe, with school starters in 2020-21 not </w:t>
      </w:r>
      <w:r w:rsidR="00351DDE" w:rsidRPr="00974377">
        <w:rPr>
          <w:rFonts w:asciiTheme="majorHAnsi" w:hAnsiTheme="majorHAnsi" w:cstheme="majorHAnsi"/>
          <w:sz w:val="22"/>
          <w:szCs w:val="22"/>
        </w:rPr>
        <w:t xml:space="preserve">being </w:t>
      </w:r>
      <w:r w:rsidRPr="00974377">
        <w:rPr>
          <w:rFonts w:asciiTheme="majorHAnsi" w:hAnsiTheme="majorHAnsi" w:cstheme="majorHAnsi"/>
          <w:sz w:val="22"/>
          <w:szCs w:val="22"/>
        </w:rPr>
        <w:t>able to follow distance instruction and many now entering Grade 3 without</w:t>
      </w:r>
      <w:r w:rsidR="009E04A4">
        <w:rPr>
          <w:rFonts w:asciiTheme="majorHAnsi" w:hAnsiTheme="majorHAnsi" w:cstheme="majorHAnsi"/>
          <w:sz w:val="22"/>
          <w:szCs w:val="22"/>
        </w:rPr>
        <w:t xml:space="preserve"> </w:t>
      </w:r>
      <w:r w:rsidRPr="00974377">
        <w:rPr>
          <w:rFonts w:asciiTheme="majorHAnsi" w:hAnsiTheme="majorHAnsi" w:cstheme="majorHAnsi"/>
          <w:sz w:val="22"/>
          <w:szCs w:val="22"/>
        </w:rPr>
        <w:t>reading</w:t>
      </w:r>
      <w:r w:rsidR="00351DDE" w:rsidRPr="00974377">
        <w:rPr>
          <w:rFonts w:asciiTheme="majorHAnsi" w:hAnsiTheme="majorHAnsi" w:cstheme="majorHAnsi"/>
          <w:sz w:val="22"/>
          <w:szCs w:val="22"/>
        </w:rPr>
        <w:t xml:space="preserve"> skills</w:t>
      </w:r>
      <w:r w:rsidRPr="00974377">
        <w:rPr>
          <w:rFonts w:asciiTheme="majorHAnsi" w:hAnsiTheme="majorHAnsi" w:cstheme="majorHAnsi"/>
          <w:sz w:val="22"/>
          <w:szCs w:val="22"/>
        </w:rPr>
        <w:t xml:space="preserve">. </w:t>
      </w:r>
    </w:p>
    <w:p w14:paraId="07438DFF" w14:textId="0BEE7357" w:rsidR="007436F2" w:rsidRPr="00974377" w:rsidRDefault="007436F2" w:rsidP="00E279B6">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Facing this challenging situation, the Government of Indonesia (</w:t>
      </w:r>
      <w:proofErr w:type="spellStart"/>
      <w:r w:rsidRPr="00974377">
        <w:rPr>
          <w:rFonts w:asciiTheme="majorHAnsi" w:hAnsiTheme="majorHAnsi" w:cstheme="majorHAnsi"/>
          <w:sz w:val="22"/>
          <w:szCs w:val="22"/>
        </w:rPr>
        <w:t>GoI</w:t>
      </w:r>
      <w:proofErr w:type="spellEnd"/>
      <w:r w:rsidRPr="00974377">
        <w:rPr>
          <w:rFonts w:asciiTheme="majorHAnsi" w:hAnsiTheme="majorHAnsi" w:cstheme="majorHAnsi"/>
          <w:sz w:val="22"/>
          <w:szCs w:val="22"/>
        </w:rPr>
        <w:t xml:space="preserve">) has </w:t>
      </w:r>
      <w:r w:rsidR="009A6254">
        <w:rPr>
          <w:rFonts w:asciiTheme="majorHAnsi" w:hAnsiTheme="majorHAnsi" w:cstheme="majorHAnsi"/>
          <w:sz w:val="22"/>
          <w:szCs w:val="22"/>
        </w:rPr>
        <w:t>pursu</w:t>
      </w:r>
      <w:r w:rsidRPr="00974377">
        <w:rPr>
          <w:rFonts w:asciiTheme="majorHAnsi" w:hAnsiTheme="majorHAnsi" w:cstheme="majorHAnsi"/>
          <w:sz w:val="22"/>
          <w:szCs w:val="22"/>
        </w:rPr>
        <w:t>ed an</w:t>
      </w:r>
      <w:r w:rsidR="009A6254">
        <w:rPr>
          <w:rFonts w:asciiTheme="majorHAnsi" w:hAnsiTheme="majorHAnsi" w:cstheme="majorHAnsi"/>
          <w:sz w:val="22"/>
          <w:szCs w:val="22"/>
        </w:rPr>
        <w:t xml:space="preserve"> </w:t>
      </w:r>
      <w:r w:rsidRPr="00974377">
        <w:rPr>
          <w:rFonts w:asciiTheme="majorHAnsi" w:hAnsiTheme="majorHAnsi" w:cstheme="majorHAnsi"/>
          <w:sz w:val="22"/>
          <w:szCs w:val="22"/>
        </w:rPr>
        <w:t>ambitiou</w:t>
      </w:r>
      <w:r w:rsidR="009A6254">
        <w:rPr>
          <w:rFonts w:asciiTheme="majorHAnsi" w:hAnsiTheme="majorHAnsi" w:cstheme="majorHAnsi"/>
          <w:sz w:val="22"/>
          <w:szCs w:val="22"/>
        </w:rPr>
        <w:t xml:space="preserve">s agenda </w:t>
      </w:r>
      <w:r w:rsidRPr="00974377">
        <w:rPr>
          <w:rFonts w:asciiTheme="majorHAnsi" w:hAnsiTheme="majorHAnsi" w:cstheme="majorHAnsi"/>
          <w:sz w:val="22"/>
          <w:szCs w:val="22"/>
        </w:rPr>
        <w:t>of education reforms. Since he came into power in 2014, President Wido</w:t>
      </w:r>
      <w:r w:rsidR="00B9218C">
        <w:rPr>
          <w:rFonts w:asciiTheme="majorHAnsi" w:hAnsiTheme="majorHAnsi" w:cstheme="majorHAnsi"/>
          <w:sz w:val="22"/>
          <w:szCs w:val="22"/>
        </w:rPr>
        <w:t>d</w:t>
      </w:r>
      <w:r w:rsidRPr="00974377">
        <w:rPr>
          <w:rFonts w:asciiTheme="majorHAnsi" w:hAnsiTheme="majorHAnsi" w:cstheme="majorHAnsi"/>
          <w:sz w:val="22"/>
          <w:szCs w:val="22"/>
        </w:rPr>
        <w:t>o has indeed pushed for the modernisation of the education system, mostly driven by two imperatives:</w:t>
      </w:r>
    </w:p>
    <w:p w14:paraId="45AB30F9" w14:textId="045E3DF5" w:rsidR="007436F2" w:rsidRPr="00974377" w:rsidRDefault="007436F2" w:rsidP="008D1844">
      <w:pPr>
        <w:pStyle w:val="ListParagraph"/>
        <w:numPr>
          <w:ilvl w:val="0"/>
          <w:numId w:val="19"/>
        </w:numPr>
        <w:tabs>
          <w:tab w:val="left" w:pos="284"/>
        </w:tabs>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Enabling Indonesians to compete in the context of economic globalisation, knowledge-based futures, and rapid change</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and </w:t>
      </w:r>
    </w:p>
    <w:p w14:paraId="5382A948" w14:textId="77777777" w:rsidR="007436F2" w:rsidRPr="00974377" w:rsidRDefault="007436F2" w:rsidP="008D1844">
      <w:pPr>
        <w:pStyle w:val="ListParagraph"/>
        <w:numPr>
          <w:ilvl w:val="0"/>
          <w:numId w:val="19"/>
        </w:numPr>
        <w:tabs>
          <w:tab w:val="left" w:pos="284"/>
        </w:tabs>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Strengthening the cohesiveness of Indonesian society by building up national identity and local Indonesian cultures. </w:t>
      </w:r>
    </w:p>
    <w:p w14:paraId="0E7DC414" w14:textId="18F9D49E" w:rsidR="00883618" w:rsidRPr="00974377" w:rsidRDefault="007436F2" w:rsidP="00E279B6">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Over the past eight years, successive education ministers have taken forward this agenda through reform</w:t>
      </w:r>
      <w:r w:rsidR="00556329">
        <w:rPr>
          <w:rFonts w:asciiTheme="majorHAnsi" w:hAnsiTheme="majorHAnsi" w:cstheme="majorHAnsi"/>
          <w:sz w:val="22"/>
          <w:szCs w:val="22"/>
        </w:rPr>
        <w:t>s</w:t>
      </w:r>
      <w:r w:rsidRPr="00974377">
        <w:rPr>
          <w:rFonts w:asciiTheme="majorHAnsi" w:hAnsiTheme="majorHAnsi" w:cstheme="majorHAnsi"/>
          <w:sz w:val="22"/>
          <w:szCs w:val="22"/>
        </w:rPr>
        <w:t xml:space="preserve"> of the national curriculum and teaching and assessment approaches, to produce citizens with strong </w:t>
      </w:r>
      <w:r w:rsidRPr="00974377">
        <w:rPr>
          <w:rFonts w:asciiTheme="majorHAnsi" w:hAnsiTheme="majorHAnsi" w:cstheme="majorHAnsi"/>
          <w:sz w:val="22"/>
          <w:szCs w:val="22"/>
        </w:rPr>
        <w:lastRenderedPageBreak/>
        <w:t xml:space="preserve">foundational skills, open </w:t>
      </w:r>
      <w:r w:rsidR="00B64601" w:rsidRPr="00974377">
        <w:rPr>
          <w:rFonts w:asciiTheme="majorHAnsi" w:hAnsiTheme="majorHAnsi" w:cstheme="majorHAnsi"/>
          <w:sz w:val="22"/>
          <w:szCs w:val="22"/>
        </w:rPr>
        <w:t>minds,</w:t>
      </w:r>
      <w:r w:rsidRPr="00974377">
        <w:rPr>
          <w:rFonts w:asciiTheme="majorHAnsi" w:hAnsiTheme="majorHAnsi" w:cstheme="majorHAnsi"/>
          <w:sz w:val="22"/>
          <w:szCs w:val="22"/>
        </w:rPr>
        <w:t xml:space="preserve"> and inclusive values.</w:t>
      </w:r>
      <w:r w:rsidR="009E51AF" w:rsidRPr="00974377">
        <w:rPr>
          <w:rFonts w:asciiTheme="majorHAnsi" w:hAnsiTheme="majorHAnsi" w:cstheme="majorHAnsi"/>
          <w:sz w:val="22"/>
          <w:szCs w:val="22"/>
        </w:rPr>
        <w:t xml:space="preserve"> In this agenda</w:t>
      </w:r>
      <w:r w:rsidR="009A6254">
        <w:rPr>
          <w:rFonts w:asciiTheme="majorHAnsi" w:hAnsiTheme="majorHAnsi" w:cstheme="majorHAnsi"/>
          <w:sz w:val="22"/>
          <w:szCs w:val="22"/>
        </w:rPr>
        <w:t>,</w:t>
      </w:r>
      <w:r w:rsidR="009E51AF" w:rsidRPr="00974377">
        <w:rPr>
          <w:rFonts w:asciiTheme="majorHAnsi" w:hAnsiTheme="majorHAnsi" w:cstheme="majorHAnsi"/>
          <w:sz w:val="22"/>
          <w:szCs w:val="22"/>
        </w:rPr>
        <w:t xml:space="preserve"> foundational skills </w:t>
      </w:r>
      <w:r w:rsidR="0033012B" w:rsidRPr="00974377">
        <w:rPr>
          <w:rFonts w:asciiTheme="majorHAnsi" w:hAnsiTheme="majorHAnsi" w:cstheme="majorHAnsi"/>
          <w:sz w:val="22"/>
          <w:szCs w:val="22"/>
        </w:rPr>
        <w:t>refer</w:t>
      </w:r>
      <w:r w:rsidR="009E51AF" w:rsidRPr="00974377">
        <w:rPr>
          <w:rFonts w:asciiTheme="majorHAnsi" w:hAnsiTheme="majorHAnsi" w:cstheme="majorHAnsi"/>
          <w:sz w:val="22"/>
          <w:szCs w:val="22"/>
        </w:rPr>
        <w:t xml:space="preserve"> to basic skills in literacy and mathematics</w:t>
      </w:r>
      <w:r w:rsidR="00A44983" w:rsidRPr="00974377">
        <w:rPr>
          <w:rFonts w:asciiTheme="majorHAnsi" w:hAnsiTheme="majorHAnsi" w:cstheme="majorHAnsi"/>
          <w:sz w:val="22"/>
          <w:szCs w:val="22"/>
        </w:rPr>
        <w:t>,</w:t>
      </w:r>
      <w:r w:rsidR="00883618" w:rsidRPr="00974377">
        <w:rPr>
          <w:rFonts w:asciiTheme="majorHAnsi" w:hAnsiTheme="majorHAnsi" w:cstheme="majorHAnsi"/>
          <w:sz w:val="22"/>
          <w:szCs w:val="22"/>
        </w:rPr>
        <w:t xml:space="preserve"> and </w:t>
      </w:r>
      <w:r w:rsidR="00310961" w:rsidRPr="00974377">
        <w:rPr>
          <w:rFonts w:asciiTheme="majorHAnsi" w:hAnsiTheme="majorHAnsi" w:cstheme="majorHAnsi"/>
          <w:sz w:val="22"/>
          <w:szCs w:val="22"/>
        </w:rPr>
        <w:t>character-based</w:t>
      </w:r>
      <w:r w:rsidR="00883618" w:rsidRPr="00974377">
        <w:rPr>
          <w:rFonts w:asciiTheme="majorHAnsi" w:hAnsiTheme="majorHAnsi" w:cstheme="majorHAnsi"/>
          <w:sz w:val="22"/>
          <w:szCs w:val="22"/>
        </w:rPr>
        <w:t xml:space="preserve"> skills </w:t>
      </w:r>
      <w:r w:rsidR="00310961" w:rsidRPr="00974377">
        <w:rPr>
          <w:rFonts w:asciiTheme="majorHAnsi" w:hAnsiTheme="majorHAnsi" w:cstheme="majorHAnsi"/>
          <w:sz w:val="22"/>
          <w:szCs w:val="22"/>
        </w:rPr>
        <w:t>acquired</w:t>
      </w:r>
      <w:r w:rsidR="00883618" w:rsidRPr="00974377">
        <w:rPr>
          <w:rFonts w:asciiTheme="majorHAnsi" w:hAnsiTheme="majorHAnsi" w:cstheme="majorHAnsi"/>
          <w:sz w:val="22"/>
          <w:szCs w:val="22"/>
        </w:rPr>
        <w:t xml:space="preserve"> through character education.</w:t>
      </w:r>
      <w:r w:rsidR="00883618" w:rsidRPr="00974377">
        <w:rPr>
          <w:rStyle w:val="FootnoteReference"/>
          <w:rFonts w:asciiTheme="majorHAnsi" w:hAnsiTheme="majorHAnsi" w:cstheme="majorHAnsi"/>
          <w:sz w:val="22"/>
          <w:szCs w:val="22"/>
        </w:rPr>
        <w:footnoteReference w:id="9"/>
      </w:r>
    </w:p>
    <w:p w14:paraId="56A50D6A" w14:textId="714126ED" w:rsidR="007436F2" w:rsidRPr="00974377" w:rsidRDefault="007436F2" w:rsidP="00E279B6">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 xml:space="preserve">In 2021, the current Minister </w:t>
      </w:r>
      <w:proofErr w:type="spellStart"/>
      <w:r w:rsidRPr="00974377">
        <w:rPr>
          <w:rFonts w:asciiTheme="majorHAnsi" w:hAnsiTheme="majorHAnsi" w:cstheme="majorHAnsi"/>
          <w:sz w:val="22"/>
          <w:szCs w:val="22"/>
        </w:rPr>
        <w:t>Nadiem</w:t>
      </w:r>
      <w:proofErr w:type="spellEnd"/>
      <w:r w:rsidRPr="00974377">
        <w:rPr>
          <w:rFonts w:asciiTheme="majorHAnsi" w:hAnsiTheme="majorHAnsi" w:cstheme="majorHAnsi"/>
          <w:sz w:val="22"/>
          <w:szCs w:val="22"/>
        </w:rPr>
        <w:t xml:space="preserve"> </w:t>
      </w:r>
      <w:proofErr w:type="spellStart"/>
      <w:r w:rsidRPr="00974377">
        <w:rPr>
          <w:rFonts w:asciiTheme="majorHAnsi" w:hAnsiTheme="majorHAnsi" w:cstheme="majorHAnsi"/>
          <w:sz w:val="22"/>
          <w:szCs w:val="22"/>
        </w:rPr>
        <w:t>Makarim</w:t>
      </w:r>
      <w:proofErr w:type="spellEnd"/>
      <w:r w:rsidRPr="00974377">
        <w:rPr>
          <w:rFonts w:asciiTheme="majorHAnsi" w:hAnsiTheme="majorHAnsi" w:cstheme="majorHAnsi"/>
          <w:sz w:val="22"/>
          <w:szCs w:val="22"/>
        </w:rPr>
        <w:t xml:space="preserve"> unfolded a teaching and learning agenda aimed at maximising the opportunity for every child to learn, and ensuring the needs of each individual child are met by teachers and </w:t>
      </w:r>
      <w:r w:rsidR="004759D0" w:rsidRPr="00974377">
        <w:rPr>
          <w:rFonts w:asciiTheme="majorHAnsi" w:hAnsiTheme="majorHAnsi" w:cstheme="majorHAnsi"/>
          <w:sz w:val="22"/>
          <w:szCs w:val="22"/>
        </w:rPr>
        <w:t>education units</w:t>
      </w:r>
      <w:r w:rsidRPr="00974377">
        <w:rPr>
          <w:rFonts w:asciiTheme="majorHAnsi" w:hAnsiTheme="majorHAnsi" w:cstheme="majorHAnsi"/>
          <w:sz w:val="22"/>
          <w:szCs w:val="22"/>
        </w:rPr>
        <w:t xml:space="preserve">. At the core of this agenda is the concept of </w:t>
      </w:r>
      <w:r w:rsidRPr="00431ECE">
        <w:rPr>
          <w:rFonts w:asciiTheme="majorHAnsi" w:hAnsiTheme="majorHAnsi" w:cstheme="majorHAnsi"/>
          <w:i/>
          <w:iCs/>
          <w:sz w:val="22"/>
          <w:szCs w:val="22"/>
        </w:rPr>
        <w:t xml:space="preserve">Merdeka </w:t>
      </w:r>
      <w:proofErr w:type="spellStart"/>
      <w:r w:rsidRPr="00431ECE">
        <w:rPr>
          <w:rFonts w:asciiTheme="majorHAnsi" w:hAnsiTheme="majorHAnsi" w:cstheme="majorHAnsi"/>
          <w:i/>
          <w:iCs/>
          <w:sz w:val="22"/>
          <w:szCs w:val="22"/>
        </w:rPr>
        <w:t>Belajar</w:t>
      </w:r>
      <w:proofErr w:type="spellEnd"/>
      <w:r w:rsidRPr="00974377">
        <w:rPr>
          <w:rFonts w:asciiTheme="majorHAnsi" w:hAnsiTheme="majorHAnsi" w:cstheme="majorHAnsi"/>
          <w:sz w:val="22"/>
          <w:szCs w:val="22"/>
        </w:rPr>
        <w:t xml:space="preserve"> (emancipated learning), a new education paradigm with three key features:</w:t>
      </w:r>
    </w:p>
    <w:p w14:paraId="150088AE" w14:textId="77777777" w:rsidR="007436F2" w:rsidRPr="00974377" w:rsidRDefault="007436F2" w:rsidP="008D1844">
      <w:pPr>
        <w:pStyle w:val="ListParagraph"/>
        <w:numPr>
          <w:ilvl w:val="0"/>
          <w:numId w:val="20"/>
        </w:numPr>
        <w:tabs>
          <w:tab w:val="left" w:pos="284"/>
        </w:tabs>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A reform of the curriculum (</w:t>
      </w:r>
      <w:proofErr w:type="spellStart"/>
      <w:r w:rsidRPr="00974377">
        <w:rPr>
          <w:rFonts w:asciiTheme="majorHAnsi" w:hAnsiTheme="majorHAnsi" w:cstheme="majorHAnsi"/>
          <w:i/>
          <w:iCs/>
          <w:sz w:val="22"/>
          <w:szCs w:val="22"/>
        </w:rPr>
        <w:t>Kurikulum</w:t>
      </w:r>
      <w:proofErr w:type="spellEnd"/>
      <w:r w:rsidRPr="00974377">
        <w:rPr>
          <w:rFonts w:asciiTheme="majorHAnsi" w:hAnsiTheme="majorHAnsi" w:cstheme="majorHAnsi"/>
          <w:i/>
          <w:iCs/>
          <w:sz w:val="22"/>
          <w:szCs w:val="22"/>
        </w:rPr>
        <w:t xml:space="preserve"> Merdeka</w:t>
      </w:r>
      <w:r w:rsidRPr="00974377">
        <w:rPr>
          <w:rFonts w:asciiTheme="majorHAnsi" w:hAnsiTheme="majorHAnsi" w:cstheme="majorHAnsi"/>
          <w:sz w:val="22"/>
          <w:szCs w:val="22"/>
        </w:rPr>
        <w:t xml:space="preserve">) that sets minimal proficiency outcomes in foundational skills and requires schools to build their own curriculum on this basis, aligned with the circumstances and needs of their local context and community. </w:t>
      </w:r>
    </w:p>
    <w:p w14:paraId="508847A3" w14:textId="77777777" w:rsidR="007436F2" w:rsidRPr="00974377" w:rsidRDefault="007436F2" w:rsidP="008D1844">
      <w:pPr>
        <w:pStyle w:val="ListParagraph"/>
        <w:numPr>
          <w:ilvl w:val="0"/>
          <w:numId w:val="20"/>
        </w:numPr>
        <w:tabs>
          <w:tab w:val="left" w:pos="284"/>
        </w:tabs>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A reform of pedagogies towards more inclusive and tailored teaching practices, including diagnostic assessment and differentiated teaching to the point of need. </w:t>
      </w:r>
    </w:p>
    <w:p w14:paraId="17311C8C" w14:textId="4F362BA8" w:rsidR="007436F2" w:rsidRPr="00974377" w:rsidRDefault="007436F2" w:rsidP="008D1844">
      <w:pPr>
        <w:pStyle w:val="ListParagraph"/>
        <w:numPr>
          <w:ilvl w:val="0"/>
          <w:numId w:val="20"/>
        </w:numPr>
        <w:tabs>
          <w:tab w:val="left" w:pos="284"/>
        </w:tabs>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A focus on literacy and numeracy as a key aspect of both curriculum and pedagogical reforms, building these skills right through to senior secondary.</w:t>
      </w:r>
      <w:r w:rsidRPr="00974377">
        <w:rPr>
          <w:rStyle w:val="FootnoteReference"/>
          <w:rFonts w:asciiTheme="majorHAnsi" w:hAnsiTheme="majorHAnsi" w:cstheme="majorHAnsi"/>
          <w:sz w:val="22"/>
          <w:szCs w:val="22"/>
        </w:rPr>
        <w:footnoteReference w:id="10"/>
      </w:r>
      <w:r w:rsidRPr="00974377">
        <w:rPr>
          <w:rFonts w:asciiTheme="majorHAnsi" w:hAnsiTheme="majorHAnsi" w:cstheme="majorHAnsi"/>
          <w:sz w:val="22"/>
          <w:szCs w:val="22"/>
        </w:rPr>
        <w:t xml:space="preserve"> </w:t>
      </w:r>
    </w:p>
    <w:p w14:paraId="5220E2A7" w14:textId="07A89691" w:rsidR="007436F2" w:rsidRPr="00974377" w:rsidRDefault="007436F2" w:rsidP="00E279B6">
      <w:pPr>
        <w:tabs>
          <w:tab w:val="left" w:pos="284"/>
        </w:tabs>
        <w:spacing w:after="120" w:line="281" w:lineRule="auto"/>
        <w:ind w:hanging="2"/>
        <w:rPr>
          <w:rFonts w:asciiTheme="majorHAnsi" w:hAnsiTheme="majorHAnsi" w:cstheme="majorHAnsi"/>
          <w:sz w:val="22"/>
          <w:szCs w:val="22"/>
        </w:rPr>
      </w:pPr>
      <w:r w:rsidRPr="00876D73">
        <w:rPr>
          <w:rFonts w:asciiTheme="majorHAnsi" w:hAnsiTheme="majorHAnsi" w:cstheme="majorHAnsi"/>
          <w:sz w:val="22"/>
          <w:szCs w:val="22"/>
        </w:rPr>
        <w:t>An explicit political intent behind these ambitious reforms is the deliberate embrace and inclusion of Indonesia’s sociological diversity.</w:t>
      </w:r>
      <w:r w:rsidRPr="00974377">
        <w:rPr>
          <w:rFonts w:asciiTheme="majorHAnsi" w:hAnsiTheme="majorHAnsi" w:cstheme="majorHAnsi"/>
          <w:sz w:val="22"/>
          <w:szCs w:val="22"/>
        </w:rPr>
        <w:t xml:space="preserve"> The values of the new curriculum align closely with the national values of Pancasila, translated in the curriculum as the values of </w:t>
      </w:r>
      <w:r w:rsidR="00655D7B" w:rsidRPr="00974377">
        <w:rPr>
          <w:rFonts w:asciiTheme="majorHAnsi" w:hAnsiTheme="majorHAnsi" w:cstheme="majorHAnsi"/>
          <w:sz w:val="22"/>
          <w:szCs w:val="22"/>
        </w:rPr>
        <w:t>‘</w:t>
      </w:r>
      <w:r w:rsidRPr="00974377">
        <w:rPr>
          <w:rFonts w:asciiTheme="majorHAnsi" w:hAnsiTheme="majorHAnsi" w:cstheme="majorHAnsi"/>
          <w:sz w:val="22"/>
          <w:szCs w:val="22"/>
        </w:rPr>
        <w:t>mutual respect, non-discrimination, equity of provision, especially for students in disadvantaged areas (</w:t>
      </w:r>
      <w:proofErr w:type="spellStart"/>
      <w:r w:rsidR="00AD669A" w:rsidRPr="003505A0">
        <w:rPr>
          <w:rFonts w:asciiTheme="majorHAnsi" w:hAnsiTheme="majorHAnsi" w:cstheme="majorHAnsi"/>
          <w:i/>
          <w:iCs/>
          <w:sz w:val="22"/>
          <w:szCs w:val="22"/>
        </w:rPr>
        <w:t>ter</w:t>
      </w:r>
      <w:r w:rsidR="003505A0" w:rsidRPr="003505A0">
        <w:rPr>
          <w:rFonts w:asciiTheme="majorHAnsi" w:hAnsiTheme="majorHAnsi" w:cstheme="majorHAnsi"/>
          <w:i/>
          <w:iCs/>
          <w:sz w:val="22"/>
          <w:szCs w:val="22"/>
        </w:rPr>
        <w:t>tinggal</w:t>
      </w:r>
      <w:proofErr w:type="spellEnd"/>
      <w:r w:rsidR="003505A0" w:rsidRPr="003505A0">
        <w:rPr>
          <w:rFonts w:asciiTheme="majorHAnsi" w:hAnsiTheme="majorHAnsi" w:cstheme="majorHAnsi"/>
          <w:i/>
          <w:iCs/>
          <w:sz w:val="22"/>
          <w:szCs w:val="22"/>
        </w:rPr>
        <w:t xml:space="preserve">, </w:t>
      </w:r>
      <w:proofErr w:type="spellStart"/>
      <w:r w:rsidR="003505A0" w:rsidRPr="003505A0">
        <w:rPr>
          <w:rFonts w:asciiTheme="majorHAnsi" w:hAnsiTheme="majorHAnsi" w:cstheme="majorHAnsi"/>
          <w:i/>
          <w:iCs/>
          <w:sz w:val="22"/>
          <w:szCs w:val="22"/>
        </w:rPr>
        <w:t>terdepan</w:t>
      </w:r>
      <w:proofErr w:type="spellEnd"/>
      <w:r w:rsidR="003505A0" w:rsidRPr="003505A0">
        <w:rPr>
          <w:rFonts w:asciiTheme="majorHAnsi" w:hAnsiTheme="majorHAnsi" w:cstheme="majorHAnsi"/>
          <w:i/>
          <w:iCs/>
          <w:sz w:val="22"/>
          <w:szCs w:val="22"/>
        </w:rPr>
        <w:t>,</w:t>
      </w:r>
      <w:r w:rsidR="003505A0">
        <w:rPr>
          <w:rFonts w:asciiTheme="majorHAnsi" w:hAnsiTheme="majorHAnsi" w:cstheme="majorHAnsi"/>
          <w:sz w:val="22"/>
          <w:szCs w:val="22"/>
        </w:rPr>
        <w:t xml:space="preserve"> </w:t>
      </w:r>
      <w:proofErr w:type="spellStart"/>
      <w:r w:rsidR="003505A0" w:rsidRPr="003505A0">
        <w:rPr>
          <w:rFonts w:asciiTheme="majorHAnsi" w:hAnsiTheme="majorHAnsi" w:cstheme="majorHAnsi"/>
          <w:i/>
          <w:iCs/>
          <w:sz w:val="22"/>
          <w:szCs w:val="22"/>
        </w:rPr>
        <w:t>terluar</w:t>
      </w:r>
      <w:proofErr w:type="spellEnd"/>
      <w:r w:rsidR="003505A0">
        <w:rPr>
          <w:rFonts w:asciiTheme="majorHAnsi" w:hAnsiTheme="majorHAnsi" w:cstheme="majorHAnsi"/>
          <w:sz w:val="22"/>
          <w:szCs w:val="22"/>
        </w:rPr>
        <w:t xml:space="preserve"> or</w:t>
      </w:r>
      <w:r w:rsidRPr="004D5A3A">
        <w:rPr>
          <w:rFonts w:asciiTheme="majorHAnsi" w:hAnsiTheme="majorHAnsi" w:cstheme="majorHAnsi"/>
          <w:sz w:val="22"/>
          <w:szCs w:val="22"/>
        </w:rPr>
        <w:t xml:space="preserve"> </w:t>
      </w:r>
      <w:r w:rsidRPr="004D5A3A">
        <w:rPr>
          <w:rFonts w:asciiTheme="majorHAnsi" w:hAnsiTheme="majorHAnsi" w:cstheme="majorHAnsi"/>
          <w:i/>
          <w:iCs/>
          <w:sz w:val="22"/>
          <w:szCs w:val="22"/>
        </w:rPr>
        <w:t>3T</w:t>
      </w:r>
      <w:r w:rsidR="004D5A3A" w:rsidRPr="004D5A3A">
        <w:rPr>
          <w:rFonts w:asciiTheme="majorHAnsi" w:hAnsiTheme="majorHAnsi" w:cstheme="majorHAnsi"/>
          <w:sz w:val="22"/>
          <w:szCs w:val="22"/>
        </w:rPr>
        <w:t xml:space="preserve"> area</w:t>
      </w:r>
      <w:r w:rsidR="003022E3">
        <w:rPr>
          <w:rStyle w:val="FootnoteReference"/>
          <w:rFonts w:asciiTheme="majorHAnsi" w:hAnsiTheme="majorHAnsi" w:cstheme="majorHAnsi"/>
          <w:sz w:val="22"/>
          <w:szCs w:val="22"/>
        </w:rPr>
        <w:footnoteReference w:id="11"/>
      </w:r>
      <w:r w:rsidRPr="00974377">
        <w:rPr>
          <w:rFonts w:asciiTheme="majorHAnsi" w:hAnsiTheme="majorHAnsi" w:cstheme="majorHAnsi"/>
          <w:sz w:val="22"/>
          <w:szCs w:val="22"/>
        </w:rPr>
        <w:t>) and the removal of obstacles that limit the participation and the achievement of all.</w:t>
      </w:r>
      <w:r w:rsidR="00655D7B" w:rsidRPr="00974377">
        <w:rPr>
          <w:rFonts w:asciiTheme="majorHAnsi" w:hAnsiTheme="majorHAnsi" w:cstheme="majorHAnsi"/>
          <w:sz w:val="22"/>
          <w:szCs w:val="22"/>
        </w:rPr>
        <w:t>’</w:t>
      </w:r>
      <w:r w:rsidRPr="00974377">
        <w:rPr>
          <w:rFonts w:asciiTheme="majorHAnsi" w:hAnsiTheme="majorHAnsi" w:cstheme="majorHAnsi"/>
          <w:sz w:val="22"/>
          <w:szCs w:val="22"/>
          <w:vertAlign w:val="superscript"/>
        </w:rPr>
        <w:footnoteReference w:id="12"/>
      </w:r>
      <w:r w:rsidRPr="00974377">
        <w:rPr>
          <w:rFonts w:asciiTheme="majorHAnsi" w:hAnsiTheme="majorHAnsi" w:cstheme="majorHAnsi"/>
          <w:sz w:val="22"/>
          <w:szCs w:val="22"/>
        </w:rPr>
        <w:t xml:space="preserve"> In addition, the successive Widodo administrations have showed strong support for children with disabilities, including with Law No. 8/2016 </w:t>
      </w:r>
      <w:r w:rsidR="00556329">
        <w:rPr>
          <w:rFonts w:asciiTheme="majorHAnsi" w:hAnsiTheme="majorHAnsi" w:cstheme="majorHAnsi"/>
          <w:sz w:val="22"/>
          <w:szCs w:val="22"/>
        </w:rPr>
        <w:t xml:space="preserve">that </w:t>
      </w:r>
      <w:r w:rsidRPr="00974377">
        <w:rPr>
          <w:rFonts w:asciiTheme="majorHAnsi" w:hAnsiTheme="majorHAnsi" w:cstheme="majorHAnsi"/>
          <w:sz w:val="22"/>
          <w:szCs w:val="22"/>
        </w:rPr>
        <w:t>stat</w:t>
      </w:r>
      <w:r w:rsidR="00556329">
        <w:rPr>
          <w:rFonts w:asciiTheme="majorHAnsi" w:hAnsiTheme="majorHAnsi" w:cstheme="majorHAnsi"/>
          <w:sz w:val="22"/>
          <w:szCs w:val="22"/>
        </w:rPr>
        <w:t>es</w:t>
      </w:r>
      <w:r w:rsidRPr="00974377">
        <w:rPr>
          <w:rFonts w:asciiTheme="majorHAnsi" w:hAnsiTheme="majorHAnsi" w:cstheme="majorHAnsi"/>
          <w:sz w:val="22"/>
          <w:szCs w:val="22"/>
        </w:rPr>
        <w:t xml:space="preserve"> the right of people with disabilities to receive quality education in any type of educational unit, and Regulation No.13</w:t>
      </w:r>
      <w:r w:rsidR="00C5717E">
        <w:rPr>
          <w:rFonts w:asciiTheme="majorHAnsi" w:hAnsiTheme="majorHAnsi" w:cstheme="majorHAnsi"/>
          <w:sz w:val="22"/>
          <w:szCs w:val="22"/>
        </w:rPr>
        <w:t>/</w:t>
      </w:r>
      <w:r w:rsidRPr="00974377">
        <w:rPr>
          <w:rFonts w:asciiTheme="majorHAnsi" w:hAnsiTheme="majorHAnsi" w:cstheme="majorHAnsi"/>
          <w:sz w:val="22"/>
          <w:szCs w:val="22"/>
        </w:rPr>
        <w:t>2020 on Reasonable Accommodation</w:t>
      </w:r>
      <w:r w:rsidR="00556329">
        <w:rPr>
          <w:rFonts w:asciiTheme="majorHAnsi" w:hAnsiTheme="majorHAnsi" w:cstheme="majorHAnsi"/>
          <w:sz w:val="22"/>
          <w:szCs w:val="22"/>
        </w:rPr>
        <w:t xml:space="preserve"> that</w:t>
      </w:r>
      <w:r w:rsidRPr="00974377">
        <w:rPr>
          <w:rFonts w:asciiTheme="majorHAnsi" w:hAnsiTheme="majorHAnsi" w:cstheme="majorHAnsi"/>
          <w:sz w:val="22"/>
          <w:szCs w:val="22"/>
        </w:rPr>
        <w:t xml:space="preserve"> requir</w:t>
      </w:r>
      <w:r w:rsidR="00556329">
        <w:rPr>
          <w:rFonts w:asciiTheme="majorHAnsi" w:hAnsiTheme="majorHAnsi" w:cstheme="majorHAnsi"/>
          <w:sz w:val="22"/>
          <w:szCs w:val="22"/>
        </w:rPr>
        <w:t>es</w:t>
      </w:r>
      <w:r w:rsidRPr="00974377">
        <w:rPr>
          <w:rFonts w:asciiTheme="majorHAnsi" w:hAnsiTheme="majorHAnsi" w:cstheme="majorHAnsi"/>
          <w:sz w:val="22"/>
          <w:szCs w:val="22"/>
        </w:rPr>
        <w:t xml:space="preserve"> all education units to prepare for meeting reasonable requirements. These development</w:t>
      </w:r>
      <w:r w:rsidR="006F3F74" w:rsidRPr="00974377">
        <w:rPr>
          <w:rFonts w:asciiTheme="majorHAnsi" w:hAnsiTheme="majorHAnsi" w:cstheme="majorHAnsi"/>
          <w:sz w:val="22"/>
          <w:szCs w:val="22"/>
        </w:rPr>
        <w:t>s</w:t>
      </w:r>
      <w:r w:rsidRPr="00974377">
        <w:rPr>
          <w:rFonts w:asciiTheme="majorHAnsi" w:hAnsiTheme="majorHAnsi" w:cstheme="majorHAnsi"/>
          <w:sz w:val="22"/>
          <w:szCs w:val="22"/>
        </w:rPr>
        <w:t xml:space="preserve"> have been welcome</w:t>
      </w:r>
      <w:r w:rsidR="000D71B8" w:rsidRPr="00974377">
        <w:rPr>
          <w:rFonts w:asciiTheme="majorHAnsi" w:hAnsiTheme="majorHAnsi" w:cstheme="majorHAnsi"/>
          <w:sz w:val="22"/>
          <w:szCs w:val="22"/>
        </w:rPr>
        <w:t>d</w:t>
      </w:r>
      <w:r w:rsidRPr="00974377">
        <w:rPr>
          <w:rFonts w:asciiTheme="majorHAnsi" w:hAnsiTheme="majorHAnsi" w:cstheme="majorHAnsi"/>
          <w:sz w:val="22"/>
          <w:szCs w:val="22"/>
        </w:rPr>
        <w:t xml:space="preserve"> by Australia.</w:t>
      </w:r>
    </w:p>
    <w:p w14:paraId="4A7C8AF1" w14:textId="1518D31F" w:rsidR="007436F2" w:rsidRPr="00FD5BE4" w:rsidRDefault="00FD5BE4" w:rsidP="00FD5BE4">
      <w:pPr>
        <w:pStyle w:val="Heading2"/>
        <w:rPr>
          <w:b/>
          <w:bCs/>
          <w:sz w:val="22"/>
          <w:szCs w:val="16"/>
        </w:rPr>
      </w:pPr>
      <w:r>
        <w:rPr>
          <w:b/>
          <w:bCs/>
          <w:caps w:val="0"/>
          <w:sz w:val="22"/>
          <w:szCs w:val="16"/>
        </w:rPr>
        <w:t>A</w:t>
      </w:r>
      <w:r w:rsidRPr="00FD5BE4">
        <w:rPr>
          <w:b/>
          <w:bCs/>
          <w:caps w:val="0"/>
          <w:sz w:val="22"/>
          <w:szCs w:val="16"/>
        </w:rPr>
        <w:t xml:space="preserve">ustralia’s Support </w:t>
      </w:r>
      <w:r>
        <w:rPr>
          <w:b/>
          <w:bCs/>
          <w:caps w:val="0"/>
          <w:sz w:val="22"/>
          <w:szCs w:val="16"/>
        </w:rPr>
        <w:t>t</w:t>
      </w:r>
      <w:r w:rsidRPr="00FD5BE4">
        <w:rPr>
          <w:b/>
          <w:bCs/>
          <w:caps w:val="0"/>
          <w:sz w:val="22"/>
          <w:szCs w:val="16"/>
        </w:rPr>
        <w:t xml:space="preserve">o </w:t>
      </w:r>
      <w:r>
        <w:rPr>
          <w:b/>
          <w:bCs/>
          <w:caps w:val="0"/>
          <w:sz w:val="22"/>
          <w:szCs w:val="16"/>
        </w:rPr>
        <w:t>t</w:t>
      </w:r>
      <w:r w:rsidRPr="00FD5BE4">
        <w:rPr>
          <w:b/>
          <w:bCs/>
          <w:caps w:val="0"/>
          <w:sz w:val="22"/>
          <w:szCs w:val="16"/>
        </w:rPr>
        <w:t>he Indonesian Education Sector</w:t>
      </w:r>
    </w:p>
    <w:p w14:paraId="13FE8CA6" w14:textId="670FFF7D" w:rsidR="009A6254" w:rsidRDefault="007436F2" w:rsidP="00E279B6">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 xml:space="preserve">Australia is a long-term supporter of the Indonesian basic education sector, with continuous investments supporting education quality improvements since the initial years of Reformasi. In 2014, coinciding with the first administration of President Widodo, Australia </w:t>
      </w:r>
      <w:r w:rsidR="00556329">
        <w:rPr>
          <w:rFonts w:asciiTheme="majorHAnsi" w:hAnsiTheme="majorHAnsi" w:cstheme="majorHAnsi"/>
          <w:sz w:val="22"/>
          <w:szCs w:val="22"/>
        </w:rPr>
        <w:t xml:space="preserve">started </w:t>
      </w:r>
      <w:r w:rsidR="00C5717E" w:rsidRPr="00974377">
        <w:rPr>
          <w:rFonts w:asciiTheme="majorHAnsi" w:hAnsiTheme="majorHAnsi" w:cstheme="majorHAnsi"/>
          <w:sz w:val="22"/>
          <w:szCs w:val="22"/>
        </w:rPr>
        <w:t>focus</w:t>
      </w:r>
      <w:r w:rsidR="00C5717E">
        <w:rPr>
          <w:rFonts w:asciiTheme="majorHAnsi" w:hAnsiTheme="majorHAnsi" w:cstheme="majorHAnsi"/>
          <w:sz w:val="22"/>
          <w:szCs w:val="22"/>
        </w:rPr>
        <w:t>ing</w:t>
      </w:r>
      <w:r w:rsidR="00C5717E" w:rsidRPr="00974377">
        <w:rPr>
          <w:rFonts w:asciiTheme="majorHAnsi" w:hAnsiTheme="majorHAnsi" w:cstheme="majorHAnsi"/>
          <w:sz w:val="22"/>
          <w:szCs w:val="22"/>
        </w:rPr>
        <w:t xml:space="preserve"> </w:t>
      </w:r>
      <w:r w:rsidRPr="00974377">
        <w:rPr>
          <w:rFonts w:asciiTheme="majorHAnsi" w:hAnsiTheme="majorHAnsi" w:cstheme="majorHAnsi"/>
          <w:sz w:val="22"/>
          <w:szCs w:val="22"/>
        </w:rPr>
        <w:t>its approach on supporting primary teaching and learning improvement at the classroom level. The Innovation for Indonesia’s School Children or INOVASI program started</w:t>
      </w:r>
      <w:r w:rsidR="00C5717E">
        <w:rPr>
          <w:rFonts w:asciiTheme="majorHAnsi" w:hAnsiTheme="majorHAnsi" w:cstheme="majorHAnsi"/>
          <w:sz w:val="22"/>
          <w:szCs w:val="22"/>
        </w:rPr>
        <w:t xml:space="preserve"> in 2016</w:t>
      </w:r>
      <w:r w:rsidRPr="00974377">
        <w:rPr>
          <w:rFonts w:asciiTheme="majorHAnsi" w:hAnsiTheme="majorHAnsi" w:cstheme="majorHAnsi"/>
          <w:sz w:val="22"/>
          <w:szCs w:val="22"/>
        </w:rPr>
        <w:t>, with the mandate to explore local problems and solutions and generate evidence of what worked</w:t>
      </w:r>
      <w:r w:rsidR="00221415">
        <w:rPr>
          <w:rFonts w:asciiTheme="majorHAnsi" w:hAnsiTheme="majorHAnsi" w:cstheme="majorHAnsi"/>
          <w:sz w:val="22"/>
          <w:szCs w:val="22"/>
        </w:rPr>
        <w:t>,</w:t>
      </w:r>
      <w:r w:rsidRPr="00974377">
        <w:rPr>
          <w:rFonts w:asciiTheme="majorHAnsi" w:hAnsiTheme="majorHAnsi"/>
          <w:sz w:val="22"/>
          <w:szCs w:val="22"/>
        </w:rPr>
        <w:t xml:space="preserve"> </w:t>
      </w:r>
      <w:r w:rsidR="00C5717E">
        <w:rPr>
          <w:rFonts w:asciiTheme="majorHAnsi" w:hAnsiTheme="majorHAnsi"/>
          <w:sz w:val="22"/>
          <w:szCs w:val="22"/>
        </w:rPr>
        <w:t>with</w:t>
      </w:r>
      <w:r w:rsidR="00C5717E" w:rsidRPr="00974377">
        <w:rPr>
          <w:rFonts w:asciiTheme="majorHAnsi" w:hAnsiTheme="majorHAnsi"/>
          <w:sz w:val="22"/>
          <w:szCs w:val="22"/>
        </w:rPr>
        <w:t xml:space="preserve"> </w:t>
      </w:r>
      <w:r w:rsidRPr="00974377">
        <w:rPr>
          <w:rFonts w:asciiTheme="majorHAnsi" w:hAnsiTheme="majorHAnsi"/>
          <w:sz w:val="22"/>
          <w:szCs w:val="22"/>
        </w:rPr>
        <w:t>the aim of informing government policy development and practices</w:t>
      </w:r>
      <w:r w:rsidRPr="00974377">
        <w:rPr>
          <w:rFonts w:asciiTheme="majorHAnsi" w:hAnsiTheme="majorHAnsi" w:cstheme="majorHAnsi"/>
          <w:sz w:val="22"/>
          <w:szCs w:val="22"/>
        </w:rPr>
        <w:t xml:space="preserve">. A year after INOVASI, the Technical Assistance for Education Systems Strengthening or TASS program commenced, supporting national policy initiatives in curriculum, teacher quality and equitable schooling, and </w:t>
      </w:r>
      <w:r w:rsidRPr="00974377">
        <w:rPr>
          <w:rFonts w:asciiTheme="majorHAnsi" w:hAnsiTheme="majorHAnsi"/>
          <w:sz w:val="22"/>
          <w:szCs w:val="22"/>
        </w:rPr>
        <w:t xml:space="preserve">working simultaneously and in parallel to INOVASI to improve systemic drivers of learning </w:t>
      </w:r>
      <w:r w:rsidRPr="00974377">
        <w:rPr>
          <w:rFonts w:asciiTheme="majorHAnsi" w:hAnsiTheme="majorHAnsi"/>
          <w:sz w:val="22"/>
          <w:szCs w:val="22"/>
        </w:rPr>
        <w:lastRenderedPageBreak/>
        <w:t>improvement</w:t>
      </w:r>
      <w:r w:rsidRPr="00974377">
        <w:rPr>
          <w:rFonts w:asciiTheme="majorHAnsi" w:hAnsiTheme="majorHAnsi" w:cstheme="majorHAnsi"/>
          <w:sz w:val="22"/>
          <w:szCs w:val="22"/>
        </w:rPr>
        <w:t xml:space="preserve"> </w:t>
      </w:r>
      <w:r w:rsidRPr="00974377">
        <w:rPr>
          <w:rFonts w:asciiTheme="majorHAnsi" w:hAnsiTheme="majorHAnsi"/>
          <w:sz w:val="22"/>
          <w:szCs w:val="22"/>
        </w:rPr>
        <w:t>at the central level</w:t>
      </w:r>
      <w:r w:rsidRPr="00974377">
        <w:rPr>
          <w:rFonts w:asciiTheme="majorHAnsi" w:hAnsiTheme="majorHAnsi" w:cstheme="majorHAnsi"/>
          <w:sz w:val="22"/>
          <w:szCs w:val="22"/>
        </w:rPr>
        <w:t xml:space="preserve">. A 2019 Strategic Review that covered both programs found they had both performed beyond </w:t>
      </w:r>
      <w:proofErr w:type="gramStart"/>
      <w:r w:rsidRPr="00974377">
        <w:rPr>
          <w:rFonts w:asciiTheme="majorHAnsi" w:hAnsiTheme="majorHAnsi" w:cstheme="majorHAnsi"/>
          <w:sz w:val="22"/>
          <w:szCs w:val="22"/>
        </w:rPr>
        <w:t>expectations, and</w:t>
      </w:r>
      <w:proofErr w:type="gramEnd"/>
      <w:r w:rsidRPr="00974377">
        <w:rPr>
          <w:rFonts w:asciiTheme="majorHAnsi" w:hAnsiTheme="majorHAnsi" w:cstheme="majorHAnsi"/>
          <w:sz w:val="22"/>
          <w:szCs w:val="22"/>
        </w:rPr>
        <w:t xml:space="preserve"> recommended their integration into one single program to maximise the cross-fertilisation of their approach.</w:t>
      </w:r>
      <w:r w:rsidRPr="00974377">
        <w:rPr>
          <w:rFonts w:asciiTheme="majorHAnsi" w:hAnsiTheme="majorHAnsi" w:cs="Calibri (Headings)"/>
          <w:sz w:val="22"/>
          <w:szCs w:val="22"/>
          <w:vertAlign w:val="superscript"/>
        </w:rPr>
        <w:footnoteReference w:id="13"/>
      </w:r>
    </w:p>
    <w:p w14:paraId="2561F5AE" w14:textId="00D961CF" w:rsidR="007436F2" w:rsidRPr="00974377" w:rsidRDefault="00204235" w:rsidP="00E279B6">
      <w:pPr>
        <w:tabs>
          <w:tab w:val="left" w:pos="284"/>
        </w:tabs>
        <w:spacing w:after="120" w:line="281" w:lineRule="auto"/>
        <w:ind w:hanging="2"/>
        <w:rPr>
          <w:rFonts w:asciiTheme="majorHAnsi" w:eastAsiaTheme="minorHAnsi" w:hAnsiTheme="majorHAnsi" w:cstheme="minorBidi"/>
          <w:color w:val="495965" w:themeColor="text2"/>
          <w:sz w:val="22"/>
          <w:szCs w:val="22"/>
          <w:lang w:eastAsia="en-US"/>
        </w:rPr>
      </w:pPr>
      <w:r>
        <w:rPr>
          <w:rFonts w:asciiTheme="majorHAnsi" w:hAnsiTheme="majorHAnsi" w:cstheme="majorHAnsi"/>
          <w:sz w:val="22"/>
          <w:szCs w:val="22"/>
        </w:rPr>
        <w:t>I</w:t>
      </w:r>
      <w:r w:rsidR="007436F2" w:rsidRPr="00974377">
        <w:rPr>
          <w:rFonts w:asciiTheme="majorHAnsi" w:hAnsiTheme="majorHAnsi" w:cstheme="majorHAnsi"/>
          <w:sz w:val="22"/>
          <w:szCs w:val="22"/>
        </w:rPr>
        <w:t xml:space="preserve">NOVASI Phase 2 commenced in mid-2020 </w:t>
      </w:r>
      <w:r w:rsidR="004128B1">
        <w:rPr>
          <w:rFonts w:asciiTheme="majorHAnsi" w:hAnsiTheme="majorHAnsi" w:cstheme="majorHAnsi"/>
          <w:sz w:val="22"/>
          <w:szCs w:val="22"/>
        </w:rPr>
        <w:t xml:space="preserve">and has supported </w:t>
      </w:r>
      <w:r w:rsidR="007436F2" w:rsidRPr="00974377">
        <w:rPr>
          <w:rFonts w:asciiTheme="majorHAnsi" w:hAnsiTheme="majorHAnsi"/>
          <w:sz w:val="22"/>
          <w:szCs w:val="22"/>
        </w:rPr>
        <w:t>both national policies and solutions at local level</w:t>
      </w:r>
      <w:r w:rsidR="00C5717E">
        <w:rPr>
          <w:rFonts w:asciiTheme="majorHAnsi" w:hAnsiTheme="majorHAnsi"/>
          <w:sz w:val="22"/>
          <w:szCs w:val="22"/>
        </w:rPr>
        <w:t xml:space="preserve">. </w:t>
      </w:r>
      <w:r w:rsidR="004128B1">
        <w:rPr>
          <w:rFonts w:asciiTheme="majorHAnsi" w:hAnsiTheme="majorHAnsi"/>
          <w:sz w:val="22"/>
          <w:szCs w:val="22"/>
        </w:rPr>
        <w:t>I</w:t>
      </w:r>
      <w:r w:rsidR="004128B1" w:rsidRPr="00974377">
        <w:rPr>
          <w:rFonts w:asciiTheme="majorHAnsi" w:hAnsiTheme="majorHAnsi"/>
          <w:sz w:val="22"/>
          <w:szCs w:val="22"/>
        </w:rPr>
        <w:t xml:space="preserve">ts design integrated the TASS program </w:t>
      </w:r>
      <w:r w:rsidR="004128B1">
        <w:rPr>
          <w:rFonts w:asciiTheme="majorHAnsi" w:hAnsiTheme="majorHAnsi"/>
          <w:sz w:val="22"/>
          <w:szCs w:val="22"/>
        </w:rPr>
        <w:t>and</w:t>
      </w:r>
      <w:r w:rsidR="00C5717E">
        <w:rPr>
          <w:rFonts w:asciiTheme="majorHAnsi" w:hAnsiTheme="majorHAnsi"/>
          <w:sz w:val="22"/>
          <w:szCs w:val="22"/>
        </w:rPr>
        <w:t xml:space="preserve"> combined </w:t>
      </w:r>
      <w:r w:rsidR="007436F2" w:rsidRPr="00974377">
        <w:rPr>
          <w:rFonts w:asciiTheme="majorHAnsi" w:hAnsiTheme="majorHAnsi"/>
          <w:sz w:val="22"/>
          <w:szCs w:val="22"/>
        </w:rPr>
        <w:t>the Problem Driven Iterative Adaption (PDIA)</w:t>
      </w:r>
      <w:r w:rsidR="007436F2" w:rsidRPr="00974377">
        <w:rPr>
          <w:rFonts w:asciiTheme="majorHAnsi" w:hAnsiTheme="majorHAnsi"/>
          <w:sz w:val="22"/>
          <w:szCs w:val="22"/>
          <w:vertAlign w:val="superscript"/>
        </w:rPr>
        <w:footnoteReference w:id="14"/>
      </w:r>
      <w:r w:rsidR="007436F2" w:rsidRPr="00974377">
        <w:rPr>
          <w:rFonts w:asciiTheme="majorHAnsi" w:hAnsiTheme="majorHAnsi"/>
          <w:sz w:val="22"/>
          <w:szCs w:val="22"/>
        </w:rPr>
        <w:t xml:space="preserve"> </w:t>
      </w:r>
      <w:r w:rsidR="000D71B8" w:rsidRPr="00974377">
        <w:rPr>
          <w:rFonts w:asciiTheme="majorHAnsi" w:hAnsiTheme="majorHAnsi"/>
          <w:sz w:val="22"/>
          <w:szCs w:val="22"/>
        </w:rPr>
        <w:t xml:space="preserve">of INOVASI </w:t>
      </w:r>
      <w:r w:rsidR="007436F2" w:rsidRPr="00974377">
        <w:rPr>
          <w:rFonts w:asciiTheme="majorHAnsi" w:hAnsiTheme="majorHAnsi"/>
          <w:sz w:val="22"/>
          <w:szCs w:val="22"/>
        </w:rPr>
        <w:t xml:space="preserve">and the Thinking and Working Politically </w:t>
      </w:r>
      <w:r w:rsidR="004128B1">
        <w:rPr>
          <w:rFonts w:asciiTheme="majorHAnsi" w:hAnsiTheme="majorHAnsi"/>
          <w:sz w:val="22"/>
          <w:szCs w:val="22"/>
        </w:rPr>
        <w:t xml:space="preserve">(TWP) </w:t>
      </w:r>
      <w:r w:rsidR="007436F2" w:rsidRPr="00974377">
        <w:rPr>
          <w:rFonts w:asciiTheme="majorHAnsi" w:hAnsiTheme="majorHAnsi"/>
          <w:sz w:val="22"/>
          <w:szCs w:val="22"/>
        </w:rPr>
        <w:t xml:space="preserve">approach of TASS.  It </w:t>
      </w:r>
      <w:r w:rsidR="007436F2" w:rsidRPr="00974377">
        <w:rPr>
          <w:rFonts w:asciiTheme="majorHAnsi" w:hAnsiTheme="majorHAnsi" w:cstheme="majorHAnsi"/>
          <w:sz w:val="22"/>
          <w:szCs w:val="22"/>
        </w:rPr>
        <w:t xml:space="preserve">had initially three strategies </w:t>
      </w:r>
      <w:r w:rsidR="000D71B8" w:rsidRPr="00974377">
        <w:rPr>
          <w:rFonts w:asciiTheme="majorHAnsi" w:hAnsiTheme="majorHAnsi" w:cstheme="majorHAnsi"/>
          <w:sz w:val="22"/>
          <w:szCs w:val="22"/>
        </w:rPr>
        <w:t xml:space="preserve">for </w:t>
      </w:r>
      <w:r w:rsidR="007436F2" w:rsidRPr="00974377">
        <w:rPr>
          <w:rFonts w:asciiTheme="majorHAnsi" w:hAnsiTheme="majorHAnsi" w:cstheme="majorHAnsi"/>
          <w:sz w:val="22"/>
          <w:szCs w:val="22"/>
        </w:rPr>
        <w:t>work</w:t>
      </w:r>
      <w:r w:rsidR="000D71B8" w:rsidRPr="00974377">
        <w:rPr>
          <w:rFonts w:asciiTheme="majorHAnsi" w:hAnsiTheme="majorHAnsi" w:cstheme="majorHAnsi"/>
          <w:sz w:val="22"/>
          <w:szCs w:val="22"/>
        </w:rPr>
        <w:t>ing</w:t>
      </w:r>
      <w:r w:rsidR="007436F2" w:rsidRPr="00974377">
        <w:rPr>
          <w:rFonts w:asciiTheme="majorHAnsi" w:hAnsiTheme="majorHAnsi" w:cstheme="majorHAnsi"/>
          <w:sz w:val="22"/>
          <w:szCs w:val="22"/>
        </w:rPr>
        <w:t xml:space="preserve"> as a ‘broker, catalyst, collaborator, evaluator and communicator’: 1) coalition building to support locally-led reform</w:t>
      </w:r>
      <w:r w:rsidR="00221415">
        <w:rPr>
          <w:rFonts w:asciiTheme="majorHAnsi" w:hAnsiTheme="majorHAnsi" w:cstheme="majorHAnsi"/>
          <w:sz w:val="22"/>
          <w:szCs w:val="22"/>
        </w:rPr>
        <w:t>,</w:t>
      </w:r>
      <w:r w:rsidR="007436F2" w:rsidRPr="00974377">
        <w:rPr>
          <w:rFonts w:asciiTheme="majorHAnsi" w:hAnsiTheme="majorHAnsi" w:cstheme="majorHAnsi"/>
          <w:sz w:val="22"/>
          <w:szCs w:val="22"/>
        </w:rPr>
        <w:t xml:space="preserve"> 2) leveraging local resources for wider impact and support of scale-out</w:t>
      </w:r>
      <w:r w:rsidR="00221415">
        <w:rPr>
          <w:rFonts w:asciiTheme="majorHAnsi" w:hAnsiTheme="majorHAnsi" w:cstheme="majorHAnsi"/>
          <w:sz w:val="22"/>
          <w:szCs w:val="22"/>
        </w:rPr>
        <w:t>,</w:t>
      </w:r>
      <w:r w:rsidR="007436F2" w:rsidRPr="00974377">
        <w:rPr>
          <w:rFonts w:asciiTheme="majorHAnsi" w:hAnsiTheme="majorHAnsi" w:cstheme="majorHAnsi"/>
          <w:sz w:val="22"/>
          <w:szCs w:val="22"/>
        </w:rPr>
        <w:t xml:space="preserve"> and 3) connecting </w:t>
      </w:r>
      <w:proofErr w:type="spellStart"/>
      <w:r w:rsidR="007436F2" w:rsidRPr="00974377">
        <w:rPr>
          <w:rFonts w:asciiTheme="majorHAnsi" w:hAnsiTheme="majorHAnsi" w:cstheme="majorHAnsi"/>
          <w:sz w:val="22"/>
          <w:szCs w:val="22"/>
        </w:rPr>
        <w:t>GoI</w:t>
      </w:r>
      <w:proofErr w:type="spellEnd"/>
      <w:r w:rsidR="007436F2" w:rsidRPr="00974377">
        <w:rPr>
          <w:rFonts w:asciiTheme="majorHAnsi" w:hAnsiTheme="majorHAnsi" w:cstheme="majorHAnsi"/>
          <w:sz w:val="22"/>
          <w:szCs w:val="22"/>
        </w:rPr>
        <w:t xml:space="preserve"> and service providers for sustainability.</w:t>
      </w:r>
      <w:r w:rsidR="007436F2" w:rsidRPr="00974377">
        <w:rPr>
          <w:rFonts w:asciiTheme="majorHAnsi" w:hAnsiTheme="majorHAnsi" w:cs="Calibri (Headings)"/>
          <w:sz w:val="22"/>
          <w:szCs w:val="22"/>
          <w:vertAlign w:val="superscript"/>
        </w:rPr>
        <w:footnoteReference w:id="15"/>
      </w:r>
      <w:r w:rsidR="007436F2" w:rsidRPr="00974377">
        <w:rPr>
          <w:rFonts w:asciiTheme="majorHAnsi" w:hAnsiTheme="majorHAnsi" w:cstheme="majorHAnsi"/>
          <w:sz w:val="22"/>
          <w:szCs w:val="22"/>
        </w:rPr>
        <w:t xml:space="preserve"> The program has </w:t>
      </w:r>
      <w:r w:rsidR="007436F2" w:rsidRPr="00974377">
        <w:rPr>
          <w:rFonts w:asciiTheme="majorHAnsi" w:hAnsiTheme="majorHAnsi"/>
          <w:sz w:val="22"/>
          <w:szCs w:val="22"/>
        </w:rPr>
        <w:t>worked closely with Indonesia’s Ministry of Education, Culture, Research and Technology (</w:t>
      </w:r>
      <w:proofErr w:type="spellStart"/>
      <w:r w:rsidR="007436F2" w:rsidRPr="00974377">
        <w:rPr>
          <w:rFonts w:asciiTheme="majorHAnsi" w:hAnsiTheme="majorHAnsi"/>
          <w:sz w:val="22"/>
          <w:szCs w:val="22"/>
        </w:rPr>
        <w:t>MoECRT</w:t>
      </w:r>
      <w:proofErr w:type="spellEnd"/>
      <w:r w:rsidR="007436F2" w:rsidRPr="00974377">
        <w:rPr>
          <w:rFonts w:asciiTheme="majorHAnsi" w:hAnsiTheme="majorHAnsi"/>
          <w:sz w:val="22"/>
          <w:szCs w:val="22"/>
        </w:rPr>
        <w:t>), Ministry of Religious Affairs (</w:t>
      </w:r>
      <w:proofErr w:type="spellStart"/>
      <w:r w:rsidR="007436F2" w:rsidRPr="00974377">
        <w:rPr>
          <w:rFonts w:asciiTheme="majorHAnsi" w:hAnsiTheme="majorHAnsi"/>
          <w:sz w:val="22"/>
          <w:szCs w:val="22"/>
        </w:rPr>
        <w:t>MoRA</w:t>
      </w:r>
      <w:proofErr w:type="spellEnd"/>
      <w:r w:rsidR="007436F2" w:rsidRPr="00974377">
        <w:rPr>
          <w:rFonts w:asciiTheme="majorHAnsi" w:hAnsiTheme="majorHAnsi"/>
          <w:sz w:val="22"/>
          <w:szCs w:val="22"/>
        </w:rPr>
        <w:t xml:space="preserve">), and the Ministry for National Planning (BAPPENAS), as well as partners at the regional level in twenty-four districts across </w:t>
      </w:r>
      <w:r w:rsidR="000D71B8" w:rsidRPr="00974377">
        <w:rPr>
          <w:rFonts w:asciiTheme="majorHAnsi" w:hAnsiTheme="majorHAnsi"/>
          <w:sz w:val="22"/>
          <w:szCs w:val="22"/>
        </w:rPr>
        <w:t xml:space="preserve">the </w:t>
      </w:r>
      <w:r w:rsidR="007436F2" w:rsidRPr="00974377">
        <w:rPr>
          <w:rFonts w:asciiTheme="majorHAnsi" w:hAnsiTheme="majorHAnsi"/>
          <w:sz w:val="22"/>
          <w:szCs w:val="22"/>
        </w:rPr>
        <w:t xml:space="preserve">four provinces of West Nusa Tenggara, East Nusa Tenggara, North Kalimantan and East Java. </w:t>
      </w:r>
      <w:bookmarkStart w:id="2" w:name="OLE_LINK125"/>
      <w:bookmarkStart w:id="3" w:name="OLE_LINK126"/>
      <w:r w:rsidR="007436F2" w:rsidRPr="00974377">
        <w:rPr>
          <w:rFonts w:asciiTheme="majorHAnsi" w:hAnsiTheme="majorHAnsi"/>
          <w:sz w:val="22"/>
          <w:szCs w:val="22"/>
        </w:rPr>
        <w:t>Together, partners collaborate</w:t>
      </w:r>
      <w:r w:rsidR="00C5717E">
        <w:rPr>
          <w:rFonts w:asciiTheme="majorHAnsi" w:hAnsiTheme="majorHAnsi"/>
          <w:sz w:val="22"/>
          <w:szCs w:val="22"/>
        </w:rPr>
        <w:t>d</w:t>
      </w:r>
      <w:r w:rsidR="007436F2" w:rsidRPr="00974377">
        <w:rPr>
          <w:rFonts w:asciiTheme="majorHAnsi" w:hAnsiTheme="majorHAnsi"/>
          <w:sz w:val="22"/>
          <w:szCs w:val="22"/>
        </w:rPr>
        <w:t xml:space="preserve"> </w:t>
      </w:r>
      <w:bookmarkEnd w:id="2"/>
      <w:bookmarkEnd w:id="3"/>
      <w:r w:rsidR="007436F2" w:rsidRPr="00974377">
        <w:rPr>
          <w:rFonts w:asciiTheme="majorHAnsi" w:hAnsiTheme="majorHAnsi"/>
          <w:sz w:val="22"/>
          <w:szCs w:val="22"/>
        </w:rPr>
        <w:t xml:space="preserve">to identify and understand systemic problems that impact on teaching and learning in Indonesia’s classrooms, with INOVASI supporting local solutions to these problems. With the launch in 2021 by the central government of the </w:t>
      </w:r>
      <w:r w:rsidR="007436F2" w:rsidRPr="00974377">
        <w:rPr>
          <w:rFonts w:asciiTheme="majorHAnsi" w:hAnsiTheme="majorHAnsi" w:cstheme="majorHAnsi"/>
          <w:i/>
          <w:iCs/>
          <w:sz w:val="22"/>
          <w:szCs w:val="22"/>
        </w:rPr>
        <w:t xml:space="preserve">Merdeka </w:t>
      </w:r>
      <w:proofErr w:type="spellStart"/>
      <w:r w:rsidR="007436F2" w:rsidRPr="00974377">
        <w:rPr>
          <w:rFonts w:asciiTheme="majorHAnsi" w:hAnsiTheme="majorHAnsi" w:cstheme="majorHAnsi"/>
          <w:i/>
          <w:iCs/>
          <w:sz w:val="22"/>
          <w:szCs w:val="22"/>
        </w:rPr>
        <w:t>Belajar</w:t>
      </w:r>
      <w:proofErr w:type="spellEnd"/>
      <w:r w:rsidR="007436F2" w:rsidRPr="00974377">
        <w:rPr>
          <w:rFonts w:asciiTheme="majorHAnsi" w:hAnsiTheme="majorHAnsi" w:cstheme="majorHAnsi"/>
          <w:sz w:val="22"/>
          <w:szCs w:val="22"/>
        </w:rPr>
        <w:t xml:space="preserve"> reforms</w:t>
      </w:r>
      <w:r w:rsidR="007436F2" w:rsidRPr="00974377">
        <w:rPr>
          <w:rFonts w:asciiTheme="majorHAnsi" w:hAnsiTheme="majorHAnsi"/>
          <w:sz w:val="22"/>
          <w:szCs w:val="22"/>
        </w:rPr>
        <w:t xml:space="preserve"> to improve outcomes in literacy, </w:t>
      </w:r>
      <w:proofErr w:type="gramStart"/>
      <w:r w:rsidR="007436F2" w:rsidRPr="00974377">
        <w:rPr>
          <w:rFonts w:asciiTheme="majorHAnsi" w:hAnsiTheme="majorHAnsi"/>
          <w:sz w:val="22"/>
          <w:szCs w:val="22"/>
        </w:rPr>
        <w:t>numeracy</w:t>
      </w:r>
      <w:proofErr w:type="gramEnd"/>
      <w:r w:rsidR="007436F2" w:rsidRPr="00974377">
        <w:rPr>
          <w:rFonts w:asciiTheme="majorHAnsi" w:hAnsiTheme="majorHAnsi"/>
          <w:sz w:val="22"/>
          <w:szCs w:val="22"/>
        </w:rPr>
        <w:t xml:space="preserve"> and character education, INOVASI pivoted to support </w:t>
      </w:r>
      <w:r w:rsidR="00893D9E" w:rsidRPr="00974377">
        <w:rPr>
          <w:rFonts w:asciiTheme="majorHAnsi" w:hAnsiTheme="majorHAnsi"/>
          <w:sz w:val="22"/>
          <w:szCs w:val="22"/>
        </w:rPr>
        <w:t>the reforms</w:t>
      </w:r>
      <w:r w:rsidR="00556329">
        <w:rPr>
          <w:rFonts w:asciiTheme="majorHAnsi" w:hAnsiTheme="majorHAnsi"/>
          <w:sz w:val="22"/>
          <w:szCs w:val="22"/>
        </w:rPr>
        <w:t>.</w:t>
      </w:r>
      <w:r w:rsidR="00893D9E" w:rsidRPr="00974377">
        <w:rPr>
          <w:rFonts w:asciiTheme="majorHAnsi" w:hAnsiTheme="majorHAnsi"/>
          <w:sz w:val="22"/>
          <w:szCs w:val="22"/>
        </w:rPr>
        <w:t xml:space="preserve"> </w:t>
      </w:r>
      <w:r w:rsidR="00C5717E">
        <w:rPr>
          <w:rFonts w:asciiTheme="majorHAnsi" w:hAnsiTheme="majorHAnsi"/>
          <w:sz w:val="22"/>
          <w:szCs w:val="22"/>
        </w:rPr>
        <w:t>A</w:t>
      </w:r>
      <w:r w:rsidR="00893D9E" w:rsidRPr="00974377">
        <w:rPr>
          <w:rFonts w:asciiTheme="majorHAnsi" w:hAnsiTheme="majorHAnsi"/>
          <w:sz w:val="22"/>
          <w:szCs w:val="22"/>
        </w:rPr>
        <w:t>t the same time</w:t>
      </w:r>
      <w:r w:rsidR="00556329">
        <w:rPr>
          <w:rFonts w:asciiTheme="majorHAnsi" w:hAnsiTheme="majorHAnsi"/>
          <w:sz w:val="22"/>
          <w:szCs w:val="22"/>
        </w:rPr>
        <w:t>,</w:t>
      </w:r>
      <w:r w:rsidR="00893D9E" w:rsidRPr="00974377">
        <w:rPr>
          <w:rFonts w:asciiTheme="majorHAnsi" w:hAnsiTheme="majorHAnsi"/>
          <w:sz w:val="22"/>
          <w:szCs w:val="22"/>
        </w:rPr>
        <w:t xml:space="preserve"> </w:t>
      </w:r>
      <w:r w:rsidR="00C5717E">
        <w:rPr>
          <w:rFonts w:asciiTheme="majorHAnsi" w:hAnsiTheme="majorHAnsi"/>
          <w:sz w:val="22"/>
          <w:szCs w:val="22"/>
        </w:rPr>
        <w:t xml:space="preserve">it supported </w:t>
      </w:r>
      <w:proofErr w:type="spellStart"/>
      <w:r w:rsidR="00893D9E" w:rsidRPr="00974377">
        <w:rPr>
          <w:rFonts w:asciiTheme="majorHAnsi" w:hAnsiTheme="majorHAnsi"/>
          <w:sz w:val="22"/>
          <w:szCs w:val="22"/>
        </w:rPr>
        <w:t>MoECRT</w:t>
      </w:r>
      <w:proofErr w:type="spellEnd"/>
      <w:r w:rsidR="00893D9E" w:rsidRPr="00974377">
        <w:rPr>
          <w:rFonts w:asciiTheme="majorHAnsi" w:hAnsiTheme="majorHAnsi"/>
          <w:sz w:val="22"/>
          <w:szCs w:val="22"/>
        </w:rPr>
        <w:t xml:space="preserve"> </w:t>
      </w:r>
      <w:r w:rsidR="007436F2" w:rsidRPr="00974377">
        <w:rPr>
          <w:rFonts w:asciiTheme="majorHAnsi" w:hAnsiTheme="majorHAnsi"/>
          <w:sz w:val="22"/>
          <w:szCs w:val="22"/>
        </w:rPr>
        <w:t>response to the COVID</w:t>
      </w:r>
      <w:r w:rsidR="00DE6855">
        <w:rPr>
          <w:rFonts w:asciiTheme="majorHAnsi" w:hAnsiTheme="majorHAnsi"/>
          <w:sz w:val="22"/>
          <w:szCs w:val="22"/>
        </w:rPr>
        <w:t>-</w:t>
      </w:r>
      <w:r w:rsidR="007436F2" w:rsidRPr="00974377">
        <w:rPr>
          <w:rFonts w:asciiTheme="majorHAnsi" w:hAnsiTheme="majorHAnsi"/>
          <w:sz w:val="22"/>
          <w:szCs w:val="22"/>
        </w:rPr>
        <w:t xml:space="preserve">19 pandemic impacts, </w:t>
      </w:r>
      <w:r w:rsidR="00C5717E">
        <w:rPr>
          <w:rFonts w:asciiTheme="majorHAnsi" w:hAnsiTheme="majorHAnsi"/>
          <w:sz w:val="22"/>
          <w:szCs w:val="22"/>
        </w:rPr>
        <w:t xml:space="preserve">and its use of </w:t>
      </w:r>
      <w:r w:rsidR="00DE6855">
        <w:rPr>
          <w:rFonts w:asciiTheme="majorHAnsi" w:hAnsiTheme="majorHAnsi"/>
          <w:sz w:val="22"/>
          <w:szCs w:val="22"/>
        </w:rPr>
        <w:t xml:space="preserve">the new curriculum </w:t>
      </w:r>
      <w:r w:rsidR="00EC1345">
        <w:rPr>
          <w:rFonts w:asciiTheme="majorHAnsi" w:hAnsiTheme="majorHAnsi"/>
          <w:sz w:val="22"/>
          <w:szCs w:val="22"/>
        </w:rPr>
        <w:t xml:space="preserve">prototype </w:t>
      </w:r>
      <w:r w:rsidR="007436F2" w:rsidRPr="00974377">
        <w:rPr>
          <w:rFonts w:asciiTheme="majorHAnsi" w:hAnsiTheme="majorHAnsi"/>
          <w:sz w:val="22"/>
          <w:szCs w:val="22"/>
        </w:rPr>
        <w:t xml:space="preserve">to ‘build back better’ after the pandemic. INOVASI’s approach </w:t>
      </w:r>
      <w:r w:rsidR="00EC1345">
        <w:rPr>
          <w:rFonts w:asciiTheme="majorHAnsi" w:hAnsiTheme="majorHAnsi"/>
          <w:sz w:val="22"/>
          <w:szCs w:val="22"/>
        </w:rPr>
        <w:t>has</w:t>
      </w:r>
      <w:r w:rsidR="007436F2" w:rsidRPr="00974377">
        <w:rPr>
          <w:rFonts w:asciiTheme="majorHAnsi" w:hAnsiTheme="majorHAnsi"/>
          <w:sz w:val="22"/>
          <w:szCs w:val="22"/>
        </w:rPr>
        <w:t xml:space="preserve"> been effective in delivering on its objectives. An Independent Strategic Review (ISR) in 2022 found that the program </w:t>
      </w:r>
      <w:r w:rsidR="00EC1345">
        <w:rPr>
          <w:rFonts w:asciiTheme="majorHAnsi" w:hAnsiTheme="majorHAnsi"/>
          <w:sz w:val="22"/>
          <w:szCs w:val="22"/>
        </w:rPr>
        <w:t>i</w:t>
      </w:r>
      <w:r w:rsidR="007436F2" w:rsidRPr="00974377">
        <w:rPr>
          <w:rFonts w:asciiTheme="majorHAnsi" w:hAnsiTheme="majorHAnsi"/>
          <w:sz w:val="22"/>
          <w:szCs w:val="22"/>
        </w:rPr>
        <w:t>s highly relevant</w:t>
      </w:r>
      <w:r w:rsidR="00EC1345">
        <w:rPr>
          <w:rFonts w:asciiTheme="majorHAnsi" w:hAnsiTheme="majorHAnsi"/>
          <w:sz w:val="22"/>
          <w:szCs w:val="22"/>
        </w:rPr>
        <w:t>,</w:t>
      </w:r>
      <w:r w:rsidR="007436F2" w:rsidRPr="00974377">
        <w:rPr>
          <w:rFonts w:asciiTheme="majorHAnsi" w:hAnsiTheme="majorHAnsi"/>
          <w:sz w:val="22"/>
          <w:szCs w:val="22"/>
        </w:rPr>
        <w:t xml:space="preserve"> </w:t>
      </w:r>
      <w:r w:rsidR="00EC1345">
        <w:rPr>
          <w:rFonts w:asciiTheme="majorHAnsi" w:hAnsiTheme="majorHAnsi"/>
          <w:sz w:val="22"/>
          <w:szCs w:val="22"/>
        </w:rPr>
        <w:t>with multiple</w:t>
      </w:r>
      <w:r w:rsidR="007436F2" w:rsidRPr="00974377">
        <w:rPr>
          <w:rFonts w:asciiTheme="majorHAnsi" w:hAnsiTheme="majorHAnsi"/>
          <w:sz w:val="22"/>
          <w:szCs w:val="22"/>
        </w:rPr>
        <w:t xml:space="preserve"> contributions to education systems development at national and sub-national levels. </w:t>
      </w:r>
      <w:r w:rsidR="007436F2" w:rsidRPr="00974377">
        <w:rPr>
          <w:rFonts w:asciiTheme="majorHAnsi" w:hAnsiTheme="majorHAnsi" w:cstheme="majorHAnsi"/>
          <w:sz w:val="22"/>
          <w:szCs w:val="22"/>
        </w:rPr>
        <w:t xml:space="preserve">It further recommended that Australia continues to support the </w:t>
      </w:r>
      <w:r w:rsidR="007436F2" w:rsidRPr="00974377">
        <w:rPr>
          <w:rFonts w:asciiTheme="majorHAnsi" w:hAnsiTheme="majorHAnsi"/>
          <w:sz w:val="22"/>
          <w:szCs w:val="22"/>
        </w:rPr>
        <w:t xml:space="preserve">current reforms </w:t>
      </w:r>
      <w:r w:rsidR="00556329">
        <w:rPr>
          <w:rFonts w:asciiTheme="majorHAnsi" w:hAnsiTheme="majorHAnsi"/>
          <w:sz w:val="22"/>
          <w:szCs w:val="22"/>
        </w:rPr>
        <w:t>to</w:t>
      </w:r>
      <w:r w:rsidR="007436F2" w:rsidRPr="00974377">
        <w:rPr>
          <w:rFonts w:asciiTheme="majorHAnsi" w:hAnsiTheme="majorHAnsi"/>
          <w:sz w:val="22"/>
          <w:szCs w:val="22"/>
        </w:rPr>
        <w:t xml:space="preserve"> ensure the next generation of </w:t>
      </w:r>
      <w:r w:rsidR="00E04693">
        <w:rPr>
          <w:rFonts w:asciiTheme="majorHAnsi" w:hAnsiTheme="majorHAnsi"/>
          <w:sz w:val="22"/>
          <w:szCs w:val="22"/>
        </w:rPr>
        <w:t xml:space="preserve">Indonesian </w:t>
      </w:r>
      <w:r w:rsidR="007436F2" w:rsidRPr="00974377">
        <w:rPr>
          <w:rFonts w:asciiTheme="majorHAnsi" w:hAnsiTheme="majorHAnsi"/>
          <w:sz w:val="22"/>
          <w:szCs w:val="22"/>
        </w:rPr>
        <w:t xml:space="preserve">children can realise improved learning outcomes that are inclusive and more equitable, promoting a prosperous society over the long-term. </w:t>
      </w:r>
    </w:p>
    <w:p w14:paraId="3A1AEB21" w14:textId="4B7C6553" w:rsidR="007436F2" w:rsidRPr="000407AE" w:rsidRDefault="007436F2" w:rsidP="000407AE">
      <w:pPr>
        <w:pStyle w:val="Heading2"/>
        <w:rPr>
          <w:b/>
          <w:bCs/>
          <w:sz w:val="22"/>
          <w:szCs w:val="22"/>
        </w:rPr>
      </w:pPr>
      <w:r w:rsidRPr="000407AE">
        <w:rPr>
          <w:b/>
          <w:bCs/>
          <w:sz w:val="22"/>
          <w:szCs w:val="22"/>
        </w:rPr>
        <w:t xml:space="preserve">INOVASI </w:t>
      </w:r>
      <w:r w:rsidR="00086616">
        <w:rPr>
          <w:b/>
          <w:bCs/>
          <w:caps w:val="0"/>
          <w:sz w:val="22"/>
          <w:szCs w:val="22"/>
        </w:rPr>
        <w:t>Phase</w:t>
      </w:r>
      <w:r w:rsidRPr="000407AE">
        <w:rPr>
          <w:b/>
          <w:bCs/>
          <w:sz w:val="22"/>
          <w:szCs w:val="22"/>
        </w:rPr>
        <w:t xml:space="preserve"> 3</w:t>
      </w:r>
    </w:p>
    <w:p w14:paraId="569CCBF0" w14:textId="35782BE8" w:rsidR="00C214C3" w:rsidRDefault="007436F2" w:rsidP="007E7849">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 xml:space="preserve">Building on the experience of Phase 1 and 2, Australia will continue to support the Indonesia education sector through a third phase of the INOVASI program (INOVASI Phase 3), valued at AUD 110 million over two 4-year sub-phases: Phase 3.1 (AUD 55 million) from 2024-2027, and Phase 3.2 (AUD 55 million) from 2028-2031. Based on </w:t>
      </w:r>
      <w:proofErr w:type="spellStart"/>
      <w:r w:rsidRPr="00974377">
        <w:rPr>
          <w:rFonts w:asciiTheme="majorHAnsi" w:hAnsiTheme="majorHAnsi" w:cstheme="majorHAnsi"/>
          <w:sz w:val="22"/>
          <w:szCs w:val="22"/>
        </w:rPr>
        <w:t>GoI</w:t>
      </w:r>
      <w:r w:rsidR="004261CE" w:rsidRPr="00974377">
        <w:rPr>
          <w:rFonts w:asciiTheme="majorHAnsi" w:hAnsiTheme="majorHAnsi" w:cstheme="majorHAnsi"/>
          <w:sz w:val="22"/>
          <w:szCs w:val="22"/>
        </w:rPr>
        <w:t>’s</w:t>
      </w:r>
      <w:proofErr w:type="spellEnd"/>
      <w:r w:rsidRPr="00974377">
        <w:rPr>
          <w:rFonts w:asciiTheme="majorHAnsi" w:hAnsiTheme="majorHAnsi" w:cstheme="majorHAnsi"/>
          <w:sz w:val="22"/>
          <w:szCs w:val="22"/>
        </w:rPr>
        <w:t xml:space="preserve"> priorities expressed by </w:t>
      </w:r>
      <w:proofErr w:type="spellStart"/>
      <w:r w:rsidRPr="00974377">
        <w:rPr>
          <w:rFonts w:asciiTheme="majorHAnsi" w:hAnsiTheme="majorHAnsi" w:cstheme="majorHAnsi"/>
          <w:sz w:val="22"/>
          <w:szCs w:val="22"/>
        </w:rPr>
        <w:t>MoECRT</w:t>
      </w:r>
      <w:proofErr w:type="spellEnd"/>
      <w:r w:rsidRPr="00974377">
        <w:rPr>
          <w:rFonts w:asciiTheme="majorHAnsi" w:hAnsiTheme="majorHAnsi" w:cstheme="majorHAnsi"/>
          <w:sz w:val="22"/>
          <w:szCs w:val="22"/>
        </w:rPr>
        <w:t xml:space="preserve"> and </w:t>
      </w:r>
      <w:proofErr w:type="spellStart"/>
      <w:r w:rsidRPr="00974377">
        <w:rPr>
          <w:rFonts w:asciiTheme="majorHAnsi" w:hAnsiTheme="majorHAnsi" w:cstheme="majorHAnsi"/>
          <w:sz w:val="22"/>
          <w:szCs w:val="22"/>
        </w:rPr>
        <w:t>MoRA</w:t>
      </w:r>
      <w:proofErr w:type="spellEnd"/>
      <w:r w:rsidRPr="00974377">
        <w:rPr>
          <w:rFonts w:asciiTheme="majorHAnsi" w:hAnsiTheme="majorHAnsi" w:cstheme="majorHAnsi"/>
          <w:sz w:val="22"/>
          <w:szCs w:val="22"/>
        </w:rPr>
        <w:t xml:space="preserve"> senior officials, the new investment will continue to focus on the development of foundational skills in Indonesia, while taking into consideration priority issues of Australia’s upcoming development policy. </w:t>
      </w:r>
      <w:proofErr w:type="gramStart"/>
      <w:r w:rsidR="00893D9E" w:rsidRPr="00974377">
        <w:rPr>
          <w:rFonts w:asciiTheme="majorHAnsi" w:hAnsiTheme="majorHAnsi" w:cstheme="majorHAnsi"/>
          <w:sz w:val="22"/>
          <w:szCs w:val="22"/>
        </w:rPr>
        <w:t>On the basis of</w:t>
      </w:r>
      <w:proofErr w:type="gramEnd"/>
      <w:r w:rsidR="00893D9E" w:rsidRPr="00974377">
        <w:rPr>
          <w:rFonts w:asciiTheme="majorHAnsi" w:hAnsiTheme="majorHAnsi" w:cstheme="majorHAnsi"/>
          <w:sz w:val="22"/>
          <w:szCs w:val="22"/>
        </w:rPr>
        <w:t xml:space="preserve"> </w:t>
      </w:r>
      <w:r w:rsidRPr="00974377">
        <w:rPr>
          <w:rFonts w:asciiTheme="majorHAnsi" w:hAnsiTheme="majorHAnsi" w:cstheme="majorHAnsi"/>
          <w:sz w:val="22"/>
          <w:szCs w:val="22"/>
        </w:rPr>
        <w:t xml:space="preserve">the </w:t>
      </w:r>
      <w:r w:rsidR="008B0E9C" w:rsidRPr="00974377">
        <w:rPr>
          <w:rFonts w:asciiTheme="majorHAnsi" w:hAnsiTheme="majorHAnsi" w:cstheme="majorHAnsi"/>
          <w:sz w:val="22"/>
          <w:szCs w:val="22"/>
        </w:rPr>
        <w:t xml:space="preserve">current </w:t>
      </w:r>
      <w:r w:rsidR="004261CE" w:rsidRPr="00974377">
        <w:rPr>
          <w:rFonts w:asciiTheme="majorHAnsi" w:hAnsiTheme="majorHAnsi" w:cstheme="majorHAnsi"/>
          <w:sz w:val="22"/>
          <w:szCs w:val="22"/>
        </w:rPr>
        <w:t xml:space="preserve">reform </w:t>
      </w:r>
      <w:r w:rsidR="008B0E9C" w:rsidRPr="00974377">
        <w:rPr>
          <w:rFonts w:asciiTheme="majorHAnsi" w:hAnsiTheme="majorHAnsi" w:cstheme="majorHAnsi"/>
          <w:sz w:val="22"/>
          <w:szCs w:val="22"/>
        </w:rPr>
        <w:t>framework in place, i</w:t>
      </w:r>
      <w:r w:rsidRPr="00974377">
        <w:rPr>
          <w:rFonts w:asciiTheme="majorHAnsi" w:hAnsiTheme="majorHAnsi" w:cstheme="majorHAnsi"/>
          <w:sz w:val="22"/>
          <w:szCs w:val="22"/>
        </w:rPr>
        <w:t xml:space="preserve">t will </w:t>
      </w:r>
      <w:r w:rsidR="008B0E9C" w:rsidRPr="00974377">
        <w:rPr>
          <w:rFonts w:asciiTheme="majorHAnsi" w:hAnsiTheme="majorHAnsi" w:cstheme="majorHAnsi"/>
          <w:sz w:val="22"/>
          <w:szCs w:val="22"/>
        </w:rPr>
        <w:t xml:space="preserve">focus on the challenge of policy implementation and the gaps that exist between </w:t>
      </w:r>
      <w:r w:rsidR="00893D9E" w:rsidRPr="00974377">
        <w:rPr>
          <w:rFonts w:asciiTheme="majorHAnsi" w:hAnsiTheme="majorHAnsi" w:cstheme="majorHAnsi"/>
          <w:sz w:val="22"/>
          <w:szCs w:val="22"/>
        </w:rPr>
        <w:t xml:space="preserve">national </w:t>
      </w:r>
      <w:r w:rsidR="008B0E9C" w:rsidRPr="00974377">
        <w:rPr>
          <w:rFonts w:asciiTheme="majorHAnsi" w:hAnsiTheme="majorHAnsi" w:cstheme="majorHAnsi"/>
          <w:sz w:val="22"/>
          <w:szCs w:val="22"/>
        </w:rPr>
        <w:t>policies and practices at district and school level</w:t>
      </w:r>
      <w:r w:rsidR="008604A1">
        <w:rPr>
          <w:rFonts w:asciiTheme="majorHAnsi" w:hAnsiTheme="majorHAnsi" w:cstheme="majorHAnsi"/>
          <w:sz w:val="22"/>
          <w:szCs w:val="22"/>
        </w:rPr>
        <w:t>.</w:t>
      </w:r>
      <w:r w:rsidR="008F5D3F">
        <w:rPr>
          <w:rFonts w:asciiTheme="majorHAnsi" w:hAnsiTheme="majorHAnsi" w:cstheme="majorHAnsi"/>
          <w:sz w:val="22"/>
          <w:szCs w:val="22"/>
        </w:rPr>
        <w:t xml:space="preserve"> </w:t>
      </w:r>
      <w:r w:rsidR="008604A1">
        <w:rPr>
          <w:rFonts w:asciiTheme="majorHAnsi" w:hAnsiTheme="majorHAnsi" w:cstheme="majorHAnsi"/>
          <w:sz w:val="22"/>
          <w:szCs w:val="22"/>
        </w:rPr>
        <w:t xml:space="preserve">It will use the well attested-success of INOVASI’s </w:t>
      </w:r>
      <w:r w:rsidR="00A76F94">
        <w:rPr>
          <w:rFonts w:asciiTheme="majorHAnsi" w:hAnsiTheme="majorHAnsi" w:cstheme="majorHAnsi"/>
          <w:sz w:val="22"/>
          <w:szCs w:val="22"/>
        </w:rPr>
        <w:t xml:space="preserve">local </w:t>
      </w:r>
      <w:r w:rsidR="008604A1">
        <w:rPr>
          <w:rFonts w:asciiTheme="majorHAnsi" w:hAnsiTheme="majorHAnsi" w:cstheme="majorHAnsi"/>
          <w:sz w:val="22"/>
          <w:szCs w:val="22"/>
        </w:rPr>
        <w:t xml:space="preserve">problem-based approach to continuously support policy development </w:t>
      </w:r>
      <w:r w:rsidR="00A76F94">
        <w:rPr>
          <w:rFonts w:asciiTheme="majorHAnsi" w:hAnsiTheme="majorHAnsi" w:cstheme="majorHAnsi"/>
          <w:sz w:val="22"/>
          <w:szCs w:val="22"/>
        </w:rPr>
        <w:t xml:space="preserve">and promote </w:t>
      </w:r>
      <w:r w:rsidR="008604A1">
        <w:rPr>
          <w:rFonts w:asciiTheme="majorHAnsi" w:hAnsiTheme="majorHAnsi" w:cstheme="majorHAnsi"/>
          <w:sz w:val="22"/>
          <w:szCs w:val="22"/>
        </w:rPr>
        <w:t xml:space="preserve">policy implementation </w:t>
      </w:r>
      <w:r w:rsidR="00A76F94">
        <w:rPr>
          <w:rFonts w:asciiTheme="majorHAnsi" w:hAnsiTheme="majorHAnsi" w:cstheme="majorHAnsi"/>
          <w:sz w:val="22"/>
          <w:szCs w:val="22"/>
        </w:rPr>
        <w:t xml:space="preserve">approaches fit to </w:t>
      </w:r>
      <w:r w:rsidR="008604A1">
        <w:rPr>
          <w:rFonts w:asciiTheme="majorHAnsi" w:hAnsiTheme="majorHAnsi" w:cstheme="majorHAnsi"/>
          <w:sz w:val="22"/>
          <w:szCs w:val="22"/>
        </w:rPr>
        <w:t>context</w:t>
      </w:r>
      <w:r w:rsidR="007414F6">
        <w:rPr>
          <w:rFonts w:asciiTheme="majorHAnsi" w:hAnsiTheme="majorHAnsi" w:cstheme="majorHAnsi"/>
          <w:sz w:val="22"/>
          <w:szCs w:val="22"/>
        </w:rPr>
        <w:t>s</w:t>
      </w:r>
      <w:r w:rsidR="008604A1">
        <w:rPr>
          <w:rFonts w:asciiTheme="majorHAnsi" w:hAnsiTheme="majorHAnsi" w:cstheme="majorHAnsi"/>
          <w:sz w:val="22"/>
          <w:szCs w:val="22"/>
        </w:rPr>
        <w:t xml:space="preserve">. It will have an increased emphasis on gender equality and effective inclusion of children with a </w:t>
      </w:r>
      <w:proofErr w:type="gramStart"/>
      <w:r w:rsidR="008604A1">
        <w:rPr>
          <w:rFonts w:asciiTheme="majorHAnsi" w:hAnsiTheme="majorHAnsi" w:cstheme="majorHAnsi"/>
          <w:sz w:val="22"/>
          <w:szCs w:val="22"/>
        </w:rPr>
        <w:t>disability</w:t>
      </w:r>
      <w:r w:rsidR="00A76F94">
        <w:rPr>
          <w:rFonts w:asciiTheme="majorHAnsi" w:hAnsiTheme="majorHAnsi" w:cstheme="majorHAnsi"/>
          <w:sz w:val="22"/>
          <w:szCs w:val="22"/>
        </w:rPr>
        <w:t>,</w:t>
      </w:r>
      <w:r w:rsidR="008464FD">
        <w:rPr>
          <w:rFonts w:asciiTheme="majorHAnsi" w:hAnsiTheme="majorHAnsi" w:cstheme="majorHAnsi"/>
          <w:sz w:val="22"/>
          <w:szCs w:val="22"/>
        </w:rPr>
        <w:t xml:space="preserve"> </w:t>
      </w:r>
      <w:r w:rsidR="008604A1">
        <w:rPr>
          <w:rFonts w:asciiTheme="majorHAnsi" w:hAnsiTheme="majorHAnsi" w:cstheme="majorHAnsi"/>
          <w:sz w:val="22"/>
          <w:szCs w:val="22"/>
        </w:rPr>
        <w:t>and</w:t>
      </w:r>
      <w:proofErr w:type="gramEnd"/>
      <w:r w:rsidR="008604A1">
        <w:rPr>
          <w:rFonts w:asciiTheme="majorHAnsi" w:hAnsiTheme="majorHAnsi" w:cstheme="majorHAnsi"/>
          <w:sz w:val="22"/>
          <w:szCs w:val="22"/>
        </w:rPr>
        <w:t xml:space="preserve"> will introduce </w:t>
      </w:r>
      <w:r w:rsidR="00A76F94">
        <w:rPr>
          <w:rFonts w:asciiTheme="majorHAnsi" w:hAnsiTheme="majorHAnsi" w:cstheme="majorHAnsi"/>
          <w:sz w:val="22"/>
          <w:szCs w:val="22"/>
        </w:rPr>
        <w:t xml:space="preserve">responses to the climate change </w:t>
      </w:r>
      <w:r w:rsidR="00A76F94">
        <w:rPr>
          <w:rFonts w:asciiTheme="majorHAnsi" w:hAnsiTheme="majorHAnsi" w:cstheme="majorHAnsi"/>
          <w:sz w:val="22"/>
          <w:szCs w:val="22"/>
        </w:rPr>
        <w:lastRenderedPageBreak/>
        <w:t>challenge in education</w:t>
      </w:r>
      <w:r w:rsidR="008604A1">
        <w:rPr>
          <w:rFonts w:asciiTheme="majorHAnsi" w:hAnsiTheme="majorHAnsi" w:cstheme="majorHAnsi"/>
          <w:sz w:val="22"/>
          <w:szCs w:val="22"/>
        </w:rPr>
        <w:t xml:space="preserve">. </w:t>
      </w:r>
      <w:r w:rsidR="008B0E9C" w:rsidRPr="00974377">
        <w:rPr>
          <w:rFonts w:asciiTheme="majorHAnsi" w:hAnsiTheme="majorHAnsi" w:cstheme="majorHAnsi"/>
          <w:sz w:val="22"/>
          <w:szCs w:val="22"/>
        </w:rPr>
        <w:t>Continuing the approach of Phase 2, it will play a catalytic role, investigating innovative practices, understanding drivers of success and failures, generating strong evidence</w:t>
      </w:r>
      <w:r w:rsidR="004261CE" w:rsidRPr="00974377">
        <w:rPr>
          <w:rFonts w:asciiTheme="majorHAnsi" w:hAnsiTheme="majorHAnsi" w:cstheme="majorHAnsi"/>
          <w:sz w:val="22"/>
          <w:szCs w:val="22"/>
        </w:rPr>
        <w:t>,</w:t>
      </w:r>
      <w:r w:rsidR="008B0E9C" w:rsidRPr="00974377">
        <w:rPr>
          <w:rFonts w:asciiTheme="majorHAnsi" w:hAnsiTheme="majorHAnsi" w:cstheme="majorHAnsi"/>
          <w:sz w:val="22"/>
          <w:szCs w:val="22"/>
        </w:rPr>
        <w:t xml:space="preserve"> and demonstrating proofs of concept to convince </w:t>
      </w:r>
      <w:proofErr w:type="spellStart"/>
      <w:r w:rsidR="008B0E9C" w:rsidRPr="00974377">
        <w:rPr>
          <w:rFonts w:asciiTheme="majorHAnsi" w:hAnsiTheme="majorHAnsi" w:cstheme="majorHAnsi"/>
          <w:sz w:val="22"/>
          <w:szCs w:val="22"/>
        </w:rPr>
        <w:t>GoI</w:t>
      </w:r>
      <w:proofErr w:type="spellEnd"/>
      <w:r w:rsidR="008B0E9C" w:rsidRPr="00974377">
        <w:rPr>
          <w:rFonts w:asciiTheme="majorHAnsi" w:hAnsiTheme="majorHAnsi" w:cstheme="majorHAnsi"/>
          <w:sz w:val="22"/>
          <w:szCs w:val="22"/>
        </w:rPr>
        <w:t xml:space="preserve"> of the worth of scaling-up </w:t>
      </w:r>
      <w:r w:rsidR="002B5D41" w:rsidRPr="00974377">
        <w:rPr>
          <w:rFonts w:asciiTheme="majorHAnsi" w:hAnsiTheme="majorHAnsi" w:cstheme="majorHAnsi"/>
          <w:sz w:val="22"/>
          <w:szCs w:val="22"/>
        </w:rPr>
        <w:t>what works.</w:t>
      </w:r>
      <w:r w:rsidR="008B0E9C" w:rsidRPr="00974377">
        <w:rPr>
          <w:rFonts w:asciiTheme="majorHAnsi" w:hAnsiTheme="majorHAnsi" w:cstheme="majorHAnsi"/>
          <w:sz w:val="22"/>
          <w:szCs w:val="22"/>
        </w:rPr>
        <w:t xml:space="preserve"> Above all, it will</w:t>
      </w:r>
      <w:r w:rsidRPr="00974377">
        <w:rPr>
          <w:rFonts w:asciiTheme="majorHAnsi" w:hAnsiTheme="majorHAnsi" w:cstheme="majorHAnsi"/>
          <w:sz w:val="22"/>
          <w:szCs w:val="22"/>
        </w:rPr>
        <w:t xml:space="preserve"> be sufficiently </w:t>
      </w:r>
      <w:r w:rsidR="008B0E9C" w:rsidRPr="00974377">
        <w:rPr>
          <w:rFonts w:asciiTheme="majorHAnsi" w:hAnsiTheme="majorHAnsi" w:cstheme="majorHAnsi"/>
          <w:sz w:val="22"/>
          <w:szCs w:val="22"/>
        </w:rPr>
        <w:t xml:space="preserve">flexible and managed </w:t>
      </w:r>
      <w:r w:rsidRPr="00974377">
        <w:rPr>
          <w:rFonts w:asciiTheme="majorHAnsi" w:hAnsiTheme="majorHAnsi" w:cstheme="majorHAnsi"/>
          <w:sz w:val="22"/>
          <w:szCs w:val="22"/>
        </w:rPr>
        <w:t>adaptive</w:t>
      </w:r>
      <w:r w:rsidR="008B0E9C" w:rsidRPr="00974377">
        <w:rPr>
          <w:rFonts w:asciiTheme="majorHAnsi" w:hAnsiTheme="majorHAnsi" w:cstheme="majorHAnsi"/>
          <w:sz w:val="22"/>
          <w:szCs w:val="22"/>
        </w:rPr>
        <w:t>ly</w:t>
      </w:r>
      <w:r w:rsidRPr="00974377">
        <w:rPr>
          <w:rFonts w:asciiTheme="majorHAnsi" w:hAnsiTheme="majorHAnsi" w:cstheme="majorHAnsi"/>
          <w:sz w:val="22"/>
          <w:szCs w:val="22"/>
        </w:rPr>
        <w:t xml:space="preserve"> to sustain </w:t>
      </w:r>
      <w:r w:rsidR="002B5D41" w:rsidRPr="00974377">
        <w:rPr>
          <w:rFonts w:asciiTheme="majorHAnsi" w:hAnsiTheme="majorHAnsi" w:cstheme="majorHAnsi"/>
          <w:sz w:val="22"/>
          <w:szCs w:val="22"/>
        </w:rPr>
        <w:t xml:space="preserve">INOVASI’s </w:t>
      </w:r>
      <w:r w:rsidR="000B2B18" w:rsidRPr="00974377">
        <w:rPr>
          <w:rFonts w:asciiTheme="majorHAnsi" w:hAnsiTheme="majorHAnsi" w:cstheme="majorHAnsi"/>
          <w:sz w:val="22"/>
          <w:szCs w:val="22"/>
        </w:rPr>
        <w:t>previous achievements</w:t>
      </w:r>
      <w:r w:rsidRPr="00974377">
        <w:rPr>
          <w:rFonts w:asciiTheme="majorHAnsi" w:hAnsiTheme="majorHAnsi" w:cstheme="majorHAnsi"/>
          <w:sz w:val="22"/>
          <w:szCs w:val="22"/>
        </w:rPr>
        <w:t xml:space="preserve"> and support </w:t>
      </w:r>
      <w:r w:rsidR="008B0E9C" w:rsidRPr="00974377">
        <w:rPr>
          <w:rFonts w:asciiTheme="majorHAnsi" w:hAnsiTheme="majorHAnsi" w:cstheme="majorHAnsi"/>
          <w:sz w:val="22"/>
          <w:szCs w:val="22"/>
        </w:rPr>
        <w:t xml:space="preserve">new </w:t>
      </w:r>
      <w:r w:rsidRPr="00974377">
        <w:rPr>
          <w:rFonts w:asciiTheme="majorHAnsi" w:hAnsiTheme="majorHAnsi" w:cstheme="majorHAnsi"/>
          <w:sz w:val="22"/>
          <w:szCs w:val="22"/>
        </w:rPr>
        <w:t>reform initiatives coming on</w:t>
      </w:r>
      <w:r w:rsidR="008B0E9C" w:rsidRPr="00974377">
        <w:rPr>
          <w:rFonts w:asciiTheme="majorHAnsi" w:hAnsiTheme="majorHAnsi" w:cstheme="majorHAnsi"/>
          <w:sz w:val="22"/>
          <w:szCs w:val="22"/>
        </w:rPr>
        <w:t>-</w:t>
      </w:r>
      <w:r w:rsidRPr="00974377">
        <w:rPr>
          <w:rFonts w:asciiTheme="majorHAnsi" w:hAnsiTheme="majorHAnsi" w:cstheme="majorHAnsi"/>
          <w:sz w:val="22"/>
          <w:szCs w:val="22"/>
        </w:rPr>
        <w:t xml:space="preserve">stream, particularly </w:t>
      </w:r>
      <w:proofErr w:type="gramStart"/>
      <w:r w:rsidRPr="00974377">
        <w:rPr>
          <w:rFonts w:asciiTheme="majorHAnsi" w:hAnsiTheme="majorHAnsi" w:cstheme="majorHAnsi"/>
          <w:sz w:val="22"/>
          <w:szCs w:val="22"/>
        </w:rPr>
        <w:t>in light of</w:t>
      </w:r>
      <w:proofErr w:type="gramEnd"/>
      <w:r w:rsidRPr="00974377">
        <w:rPr>
          <w:rFonts w:asciiTheme="majorHAnsi" w:hAnsiTheme="majorHAnsi" w:cstheme="majorHAnsi"/>
          <w:sz w:val="22"/>
          <w:szCs w:val="22"/>
        </w:rPr>
        <w:t xml:space="preserve"> </w:t>
      </w:r>
      <w:r w:rsidR="002B5D41" w:rsidRPr="00974377">
        <w:rPr>
          <w:rFonts w:asciiTheme="majorHAnsi" w:hAnsiTheme="majorHAnsi" w:cstheme="majorHAnsi"/>
          <w:sz w:val="22"/>
          <w:szCs w:val="22"/>
        </w:rPr>
        <w:t xml:space="preserve">the change of administration in 2024 and </w:t>
      </w:r>
      <w:r w:rsidRPr="00974377">
        <w:rPr>
          <w:rFonts w:asciiTheme="majorHAnsi" w:hAnsiTheme="majorHAnsi" w:cstheme="majorHAnsi"/>
          <w:sz w:val="22"/>
          <w:szCs w:val="22"/>
        </w:rPr>
        <w:t>upcoming Indonesian elections at every level of government</w:t>
      </w:r>
      <w:r w:rsidR="002B5D41" w:rsidRPr="00974377">
        <w:rPr>
          <w:rFonts w:asciiTheme="majorHAnsi" w:hAnsiTheme="majorHAnsi" w:cstheme="majorHAnsi"/>
          <w:sz w:val="22"/>
          <w:szCs w:val="22"/>
        </w:rPr>
        <w:t>.</w:t>
      </w:r>
      <w:r w:rsidRPr="00974377">
        <w:rPr>
          <w:rFonts w:asciiTheme="majorHAnsi" w:hAnsiTheme="majorHAnsi" w:cstheme="majorHAnsi"/>
          <w:sz w:val="22"/>
          <w:szCs w:val="22"/>
        </w:rPr>
        <w:t xml:space="preserve"> </w:t>
      </w:r>
    </w:p>
    <w:p w14:paraId="52B73948" w14:textId="77777777" w:rsidR="007E7849" w:rsidRPr="009A6254" w:rsidRDefault="007E7849" w:rsidP="007E7849">
      <w:pPr>
        <w:tabs>
          <w:tab w:val="left" w:pos="284"/>
        </w:tabs>
        <w:spacing w:after="120" w:line="281" w:lineRule="auto"/>
        <w:ind w:hanging="2"/>
        <w:rPr>
          <w:rFonts w:asciiTheme="majorHAnsi" w:hAnsiTheme="majorHAnsi" w:cstheme="majorHAnsi"/>
          <w:sz w:val="22"/>
          <w:szCs w:val="22"/>
        </w:rPr>
      </w:pPr>
    </w:p>
    <w:p w14:paraId="76684E89" w14:textId="07FB50C3" w:rsidR="00BC7D69" w:rsidRPr="00394BE6" w:rsidRDefault="00A32858" w:rsidP="008D1844">
      <w:pPr>
        <w:pStyle w:val="Heading1"/>
        <w:numPr>
          <w:ilvl w:val="0"/>
          <w:numId w:val="59"/>
        </w:numPr>
        <w:rPr>
          <w:sz w:val="28"/>
          <w:szCs w:val="16"/>
          <w:u w:val="single"/>
        </w:rPr>
      </w:pPr>
      <w:r w:rsidRPr="00394BE6">
        <w:rPr>
          <w:sz w:val="28"/>
          <w:szCs w:val="20"/>
          <w:u w:val="single"/>
        </w:rPr>
        <w:t>Strategic Intent and Rationale (Why?)</w:t>
      </w:r>
    </w:p>
    <w:p w14:paraId="1A99E10C" w14:textId="310BE24C" w:rsidR="00BC7D69" w:rsidRPr="004A23B1" w:rsidRDefault="004A23B1" w:rsidP="004A23B1">
      <w:pPr>
        <w:pStyle w:val="Heading2"/>
        <w:rPr>
          <w:b/>
          <w:bCs/>
          <w:sz w:val="22"/>
          <w:szCs w:val="22"/>
        </w:rPr>
      </w:pPr>
      <w:r w:rsidRPr="004A23B1">
        <w:rPr>
          <w:b/>
          <w:bCs/>
          <w:caps w:val="0"/>
          <w:sz w:val="22"/>
          <w:szCs w:val="22"/>
        </w:rPr>
        <w:t xml:space="preserve">Alignment </w:t>
      </w:r>
      <w:r>
        <w:rPr>
          <w:b/>
          <w:bCs/>
          <w:caps w:val="0"/>
          <w:sz w:val="22"/>
          <w:szCs w:val="22"/>
        </w:rPr>
        <w:t>w</w:t>
      </w:r>
      <w:r w:rsidRPr="004A23B1">
        <w:rPr>
          <w:b/>
          <w:bCs/>
          <w:caps w:val="0"/>
          <w:sz w:val="22"/>
          <w:szCs w:val="22"/>
        </w:rPr>
        <w:t>ith D</w:t>
      </w:r>
      <w:r>
        <w:rPr>
          <w:b/>
          <w:bCs/>
          <w:caps w:val="0"/>
          <w:sz w:val="22"/>
          <w:szCs w:val="22"/>
        </w:rPr>
        <w:t>FAT</w:t>
      </w:r>
      <w:r w:rsidRPr="004A23B1">
        <w:rPr>
          <w:b/>
          <w:bCs/>
          <w:caps w:val="0"/>
          <w:sz w:val="22"/>
          <w:szCs w:val="22"/>
        </w:rPr>
        <w:t xml:space="preserve"> Policies Objectives</w:t>
      </w:r>
    </w:p>
    <w:p w14:paraId="1C5B45D4" w14:textId="77777777" w:rsidR="00BC7D69" w:rsidRPr="00974377" w:rsidRDefault="00BC7D69" w:rsidP="00A7183E">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 xml:space="preserve">Australia and Indonesia are close neighbours, </w:t>
      </w:r>
      <w:proofErr w:type="gramStart"/>
      <w:r w:rsidRPr="00974377">
        <w:rPr>
          <w:rFonts w:asciiTheme="majorHAnsi" w:hAnsiTheme="majorHAnsi" w:cstheme="majorHAnsi"/>
          <w:sz w:val="22"/>
          <w:szCs w:val="22"/>
        </w:rPr>
        <w:t>partners</w:t>
      </w:r>
      <w:proofErr w:type="gramEnd"/>
      <w:r w:rsidRPr="00974377">
        <w:rPr>
          <w:rFonts w:asciiTheme="majorHAnsi" w:hAnsiTheme="majorHAnsi" w:cstheme="majorHAnsi"/>
          <w:sz w:val="22"/>
          <w:szCs w:val="22"/>
        </w:rPr>
        <w:t xml:space="preserve"> and friends, with a commitment to working together to build a stable, prosperous and resilient region. Australia aspires to be a strategic partner, supporting Indonesia to build its human capital to fully benefit from its integration in the ASEAN economic community and to respond to the social and economic development priorities stated in its Vision 2045. </w:t>
      </w:r>
    </w:p>
    <w:p w14:paraId="74929FE4" w14:textId="5CCFD40D" w:rsidR="00BC7D69" w:rsidRPr="00974377" w:rsidRDefault="00BC7D69" w:rsidP="00A7183E">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The 2018 Australia-Indonesia Comprehensive Strategic Partnership (CSP) has cemented the longstanding relationship between both countries as equal and strategic partners</w:t>
      </w:r>
      <w:r w:rsidR="00785C52">
        <w:rPr>
          <w:rFonts w:asciiTheme="majorHAnsi" w:hAnsiTheme="majorHAnsi" w:cstheme="majorHAnsi"/>
          <w:sz w:val="22"/>
          <w:szCs w:val="22"/>
        </w:rPr>
        <w:t>,</w:t>
      </w:r>
      <w:r w:rsidRPr="00974377">
        <w:rPr>
          <w:rFonts w:asciiTheme="majorHAnsi" w:hAnsiTheme="majorHAnsi" w:cstheme="majorHAnsi"/>
          <w:sz w:val="22"/>
          <w:szCs w:val="22"/>
        </w:rPr>
        <w:t xml:space="preserve"> with shared interests in prosperity and security in the Indo-Pacific region</w:t>
      </w:r>
      <w:r w:rsidR="00A44983" w:rsidRPr="00974377">
        <w:rPr>
          <w:rStyle w:val="FootnoteReference"/>
          <w:rFonts w:asciiTheme="majorHAnsi" w:hAnsiTheme="majorHAnsi" w:cstheme="majorHAnsi"/>
          <w:sz w:val="22"/>
          <w:szCs w:val="22"/>
        </w:rPr>
        <w:footnoteReference w:id="16"/>
      </w:r>
      <w:r w:rsidRPr="00974377">
        <w:rPr>
          <w:rFonts w:asciiTheme="majorHAnsi" w:hAnsiTheme="majorHAnsi" w:cstheme="majorHAnsi"/>
          <w:sz w:val="22"/>
          <w:szCs w:val="22"/>
        </w:rPr>
        <w:t xml:space="preserve">. The </w:t>
      </w:r>
      <w:r w:rsidR="00A72EED" w:rsidRPr="00A72EED">
        <w:rPr>
          <w:rFonts w:asciiTheme="majorHAnsi" w:hAnsiTheme="majorHAnsi" w:cstheme="majorHAnsi"/>
          <w:sz w:val="22"/>
          <w:szCs w:val="22"/>
        </w:rPr>
        <w:t>CSP</w:t>
      </w:r>
      <w:r w:rsidR="00A72EED" w:rsidRPr="00974377">
        <w:rPr>
          <w:rFonts w:asciiTheme="majorHAnsi" w:hAnsiTheme="majorHAnsi" w:cstheme="majorHAnsi"/>
          <w:sz w:val="22"/>
          <w:szCs w:val="22"/>
        </w:rPr>
        <w:t xml:space="preserve"> </w:t>
      </w:r>
      <w:r w:rsidRPr="00974377">
        <w:rPr>
          <w:rFonts w:asciiTheme="majorHAnsi" w:hAnsiTheme="majorHAnsi" w:cstheme="majorHAnsi"/>
          <w:sz w:val="22"/>
          <w:szCs w:val="22"/>
        </w:rPr>
        <w:t>Plan of Action stresses priorities</w:t>
      </w:r>
      <w:r w:rsidR="00B4389B" w:rsidRPr="00974377">
        <w:rPr>
          <w:rFonts w:asciiTheme="majorHAnsi" w:hAnsiTheme="majorHAnsi" w:cstheme="majorHAnsi"/>
          <w:sz w:val="22"/>
          <w:szCs w:val="22"/>
        </w:rPr>
        <w:t xml:space="preserve"> that</w:t>
      </w:r>
      <w:r w:rsidRPr="00974377">
        <w:rPr>
          <w:rFonts w:asciiTheme="majorHAnsi" w:hAnsiTheme="majorHAnsi" w:cstheme="majorHAnsi"/>
          <w:sz w:val="22"/>
          <w:szCs w:val="22"/>
        </w:rPr>
        <w:t xml:space="preserve"> </w:t>
      </w:r>
      <w:r w:rsidR="002B5D41" w:rsidRPr="00974377">
        <w:rPr>
          <w:rFonts w:asciiTheme="majorHAnsi" w:hAnsiTheme="majorHAnsi" w:cstheme="majorHAnsi"/>
          <w:sz w:val="22"/>
          <w:szCs w:val="22"/>
        </w:rPr>
        <w:t xml:space="preserve">are </w:t>
      </w:r>
      <w:r w:rsidRPr="00974377">
        <w:rPr>
          <w:rFonts w:asciiTheme="majorHAnsi" w:hAnsiTheme="majorHAnsi" w:cstheme="majorHAnsi"/>
          <w:sz w:val="22"/>
          <w:szCs w:val="22"/>
        </w:rPr>
        <w:t>relevant to INOVASI</w:t>
      </w:r>
      <w:r w:rsidR="002B5D41" w:rsidRPr="00974377">
        <w:rPr>
          <w:rFonts w:asciiTheme="majorHAnsi" w:hAnsiTheme="majorHAnsi" w:cstheme="majorHAnsi"/>
          <w:sz w:val="22"/>
          <w:szCs w:val="22"/>
        </w:rPr>
        <w:t>’s</w:t>
      </w:r>
      <w:r w:rsidRPr="00974377">
        <w:rPr>
          <w:rFonts w:asciiTheme="majorHAnsi" w:hAnsiTheme="majorHAnsi" w:cstheme="majorHAnsi"/>
          <w:sz w:val="22"/>
          <w:szCs w:val="22"/>
        </w:rPr>
        <w:t xml:space="preserve"> Phase 3 intent: human resources development, women’s leadership and economic and social empowerment, disability-inclusive development, and the use </w:t>
      </w:r>
      <w:r w:rsidR="002B5D41" w:rsidRPr="00974377">
        <w:rPr>
          <w:rFonts w:asciiTheme="majorHAnsi" w:hAnsiTheme="majorHAnsi" w:cstheme="majorHAnsi"/>
          <w:sz w:val="22"/>
          <w:szCs w:val="22"/>
        </w:rPr>
        <w:t xml:space="preserve">of </w:t>
      </w:r>
      <w:r w:rsidRPr="00974377">
        <w:rPr>
          <w:rFonts w:asciiTheme="majorHAnsi" w:hAnsiTheme="majorHAnsi" w:cstheme="majorHAnsi"/>
          <w:sz w:val="22"/>
          <w:szCs w:val="22"/>
        </w:rPr>
        <w:t xml:space="preserve">evidence-based policies to accelerate poverty reduction and tackle inequality in Indonesia. </w:t>
      </w:r>
    </w:p>
    <w:p w14:paraId="380CF1C7" w14:textId="209E3186" w:rsidR="00BC7D69" w:rsidRPr="00974377" w:rsidRDefault="00BC7D69" w:rsidP="00A7183E">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The COVID-19 pandemic has also shaped Australia’s development partnership with Indonesia. As Indonesia’s largest bilateral partner in social protection and its only bilateral partner in basic education, Australia is in a unique position to support Indonesia</w:t>
      </w:r>
      <w:r w:rsidR="00DE6855">
        <w:rPr>
          <w:rFonts w:asciiTheme="majorHAnsi" w:hAnsiTheme="majorHAnsi" w:cstheme="majorHAnsi"/>
          <w:sz w:val="22"/>
          <w:szCs w:val="22"/>
        </w:rPr>
        <w:t>’s</w:t>
      </w:r>
      <w:r w:rsidRPr="00974377">
        <w:rPr>
          <w:rFonts w:asciiTheme="majorHAnsi" w:hAnsiTheme="majorHAnsi" w:cstheme="majorHAnsi"/>
          <w:sz w:val="22"/>
          <w:szCs w:val="22"/>
        </w:rPr>
        <w:t xml:space="preserve"> post-pandemic recovery. The most recent Australian country strategy in Indonesia - the Indonesia COVID-19 Development Response Plan</w:t>
      </w:r>
      <w:r w:rsidR="00A44983" w:rsidRPr="00974377">
        <w:rPr>
          <w:rStyle w:val="FootnoteReference"/>
          <w:rFonts w:asciiTheme="majorHAnsi" w:hAnsiTheme="majorHAnsi" w:cstheme="majorHAnsi"/>
          <w:sz w:val="22"/>
          <w:szCs w:val="22"/>
        </w:rPr>
        <w:footnoteReference w:id="17"/>
      </w:r>
      <w:r w:rsidRPr="00974377">
        <w:rPr>
          <w:rFonts w:asciiTheme="majorHAnsi" w:hAnsiTheme="majorHAnsi" w:cstheme="majorHAnsi"/>
          <w:sz w:val="22"/>
          <w:szCs w:val="22"/>
        </w:rPr>
        <w:t xml:space="preserve"> - includes a focus on inclusive recovery of losses in education, particularly for the most vulnerable, </w:t>
      </w:r>
      <w:r w:rsidR="002B5D41" w:rsidRPr="00974377">
        <w:rPr>
          <w:rFonts w:asciiTheme="majorHAnsi" w:hAnsiTheme="majorHAnsi" w:cstheme="majorHAnsi"/>
          <w:sz w:val="22"/>
          <w:szCs w:val="22"/>
        </w:rPr>
        <w:t>that is</w:t>
      </w:r>
      <w:r w:rsidRPr="00974377">
        <w:rPr>
          <w:rFonts w:asciiTheme="majorHAnsi" w:hAnsiTheme="majorHAnsi" w:cstheme="majorHAnsi"/>
          <w:sz w:val="22"/>
          <w:szCs w:val="22"/>
        </w:rPr>
        <w:t xml:space="preserve"> children with a disability and girls </w:t>
      </w:r>
      <w:r w:rsidR="002B5D41" w:rsidRPr="00974377">
        <w:rPr>
          <w:rFonts w:asciiTheme="majorHAnsi" w:hAnsiTheme="majorHAnsi" w:cstheme="majorHAnsi"/>
          <w:sz w:val="22"/>
          <w:szCs w:val="22"/>
        </w:rPr>
        <w:t>whose continuing education is at risk</w:t>
      </w:r>
      <w:r w:rsidRPr="00974377">
        <w:rPr>
          <w:rFonts w:asciiTheme="majorHAnsi" w:hAnsiTheme="majorHAnsi" w:cstheme="majorHAnsi"/>
          <w:sz w:val="22"/>
          <w:szCs w:val="22"/>
        </w:rPr>
        <w:t>. These are priorities that will be pursued through INOVASI Phase 3.</w:t>
      </w:r>
    </w:p>
    <w:p w14:paraId="2D72E78F" w14:textId="2DC6E07A" w:rsidR="00BC7D69" w:rsidRPr="00974377" w:rsidRDefault="00B4389B" w:rsidP="00A7183E">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Looking forward</w:t>
      </w:r>
      <w:r w:rsidR="00BC7D69" w:rsidRPr="00974377">
        <w:rPr>
          <w:rFonts w:asciiTheme="majorHAnsi" w:hAnsiTheme="majorHAnsi" w:cstheme="majorHAnsi"/>
          <w:sz w:val="22"/>
          <w:szCs w:val="22"/>
        </w:rPr>
        <w:t xml:space="preserve">, Australia will shortly release a new </w:t>
      </w:r>
      <w:r w:rsidRPr="00974377">
        <w:rPr>
          <w:rFonts w:asciiTheme="majorHAnsi" w:hAnsiTheme="majorHAnsi" w:cstheme="majorHAnsi"/>
          <w:sz w:val="22"/>
          <w:szCs w:val="22"/>
        </w:rPr>
        <w:t xml:space="preserve">global </w:t>
      </w:r>
      <w:r w:rsidR="00BC7D69" w:rsidRPr="00974377">
        <w:rPr>
          <w:rFonts w:asciiTheme="majorHAnsi" w:hAnsiTheme="majorHAnsi" w:cstheme="majorHAnsi"/>
          <w:sz w:val="22"/>
          <w:szCs w:val="22"/>
        </w:rPr>
        <w:t xml:space="preserve">development policy which will reflect the priorities of the new government elected in May 2022. Early signs indicate Australia’s development priorities for the Indo-Pacific region will </w:t>
      </w:r>
      <w:r w:rsidR="00A44983" w:rsidRPr="00974377">
        <w:rPr>
          <w:rFonts w:asciiTheme="majorHAnsi" w:hAnsiTheme="majorHAnsi" w:cstheme="majorHAnsi"/>
          <w:sz w:val="22"/>
          <w:szCs w:val="22"/>
        </w:rPr>
        <w:t xml:space="preserve">continue to include </w:t>
      </w:r>
      <w:r w:rsidR="00BC7D69" w:rsidRPr="00974377">
        <w:rPr>
          <w:rFonts w:asciiTheme="majorHAnsi" w:hAnsiTheme="majorHAnsi" w:cstheme="majorHAnsi"/>
          <w:sz w:val="22"/>
          <w:szCs w:val="22"/>
        </w:rPr>
        <w:t xml:space="preserve">the prioritisation of </w:t>
      </w:r>
      <w:hyperlink r:id="rId11" w:tgtFrame="_blank" w:history="1">
        <w:r w:rsidR="00BC7D69" w:rsidRPr="00974377">
          <w:rPr>
            <w:rFonts w:asciiTheme="majorHAnsi" w:hAnsiTheme="majorHAnsi" w:cstheme="majorHAnsi"/>
            <w:sz w:val="22"/>
            <w:szCs w:val="22"/>
          </w:rPr>
          <w:t>growth, social development, better governance and stronger institutions</w:t>
        </w:r>
      </w:hyperlink>
      <w:r w:rsidR="00BC7D69" w:rsidRPr="00974377">
        <w:rPr>
          <w:rFonts w:asciiTheme="majorHAnsi" w:hAnsiTheme="majorHAnsi" w:cstheme="majorHAnsi"/>
          <w:sz w:val="22"/>
          <w:szCs w:val="22"/>
          <w:vertAlign w:val="superscript"/>
        </w:rPr>
        <w:footnoteReference w:id="18"/>
      </w:r>
      <w:r w:rsidR="00BC7D69" w:rsidRPr="00974377">
        <w:rPr>
          <w:rFonts w:asciiTheme="majorHAnsi" w:hAnsiTheme="majorHAnsi" w:cstheme="majorHAnsi"/>
          <w:sz w:val="22"/>
          <w:szCs w:val="22"/>
        </w:rPr>
        <w:t xml:space="preserve">. The themes of climate change, gender equality and first nations will all likely feature as distinctive areas of engagement, along with the principle of </w:t>
      </w:r>
      <w:r w:rsidR="00081639" w:rsidRPr="00974377">
        <w:rPr>
          <w:rFonts w:asciiTheme="majorHAnsi" w:hAnsiTheme="majorHAnsi" w:cstheme="majorHAnsi"/>
          <w:sz w:val="22"/>
          <w:szCs w:val="22"/>
        </w:rPr>
        <w:t>locally led</w:t>
      </w:r>
      <w:r w:rsidR="00BC7D69" w:rsidRPr="00974377">
        <w:rPr>
          <w:rFonts w:asciiTheme="majorHAnsi" w:hAnsiTheme="majorHAnsi" w:cstheme="majorHAnsi"/>
          <w:sz w:val="22"/>
          <w:szCs w:val="22"/>
        </w:rPr>
        <w:t xml:space="preserve"> development. </w:t>
      </w:r>
    </w:p>
    <w:p w14:paraId="2C2A35C9" w14:textId="202FA023" w:rsidR="00BC7D69" w:rsidRPr="00284BF1" w:rsidRDefault="00284BF1" w:rsidP="00284BF1">
      <w:pPr>
        <w:pStyle w:val="Heading2"/>
        <w:rPr>
          <w:b/>
          <w:bCs/>
          <w:sz w:val="22"/>
          <w:szCs w:val="22"/>
        </w:rPr>
      </w:pPr>
      <w:r w:rsidRPr="00284BF1">
        <w:rPr>
          <w:b/>
          <w:bCs/>
          <w:caps w:val="0"/>
          <w:sz w:val="22"/>
          <w:szCs w:val="22"/>
        </w:rPr>
        <w:lastRenderedPageBreak/>
        <w:t xml:space="preserve">Rationale </w:t>
      </w:r>
      <w:r>
        <w:rPr>
          <w:b/>
          <w:bCs/>
          <w:caps w:val="0"/>
          <w:sz w:val="22"/>
          <w:szCs w:val="22"/>
        </w:rPr>
        <w:t>f</w:t>
      </w:r>
      <w:r w:rsidRPr="00284BF1">
        <w:rPr>
          <w:b/>
          <w:bCs/>
          <w:caps w:val="0"/>
          <w:sz w:val="22"/>
          <w:szCs w:val="22"/>
        </w:rPr>
        <w:t>or Australia’s Engagement</w:t>
      </w:r>
    </w:p>
    <w:p w14:paraId="6A5E3BE1" w14:textId="19557B2C" w:rsidR="00BC7D69" w:rsidRPr="00974377" w:rsidRDefault="00BC7D69" w:rsidP="00A7183E">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 xml:space="preserve">Australia will </w:t>
      </w:r>
      <w:r w:rsidR="00B4389B" w:rsidRPr="00974377">
        <w:rPr>
          <w:rFonts w:asciiTheme="majorHAnsi" w:hAnsiTheme="majorHAnsi" w:cstheme="majorHAnsi"/>
          <w:sz w:val="22"/>
          <w:szCs w:val="22"/>
        </w:rPr>
        <w:t>remain engaged in the development of</w:t>
      </w:r>
      <w:r w:rsidRPr="00974377">
        <w:rPr>
          <w:rFonts w:asciiTheme="majorHAnsi" w:hAnsiTheme="majorHAnsi" w:cstheme="majorHAnsi"/>
          <w:sz w:val="22"/>
          <w:szCs w:val="22"/>
        </w:rPr>
        <w:t xml:space="preserve"> Indonesia’s education sector through INOVASI Phase </w:t>
      </w:r>
      <w:r w:rsidR="00B4389B" w:rsidRPr="00974377">
        <w:rPr>
          <w:rFonts w:asciiTheme="majorHAnsi" w:hAnsiTheme="majorHAnsi" w:cstheme="majorHAnsi"/>
          <w:sz w:val="22"/>
          <w:szCs w:val="22"/>
        </w:rPr>
        <w:t>3</w:t>
      </w:r>
      <w:r w:rsidRPr="00974377">
        <w:rPr>
          <w:rFonts w:asciiTheme="majorHAnsi" w:hAnsiTheme="majorHAnsi" w:cstheme="majorHAnsi"/>
          <w:sz w:val="22"/>
          <w:szCs w:val="22"/>
        </w:rPr>
        <w:t xml:space="preserve">, focusing on </w:t>
      </w:r>
      <w:r w:rsidR="00B4389B" w:rsidRPr="00974377">
        <w:rPr>
          <w:rFonts w:asciiTheme="majorHAnsi" w:hAnsiTheme="majorHAnsi" w:cstheme="majorHAnsi"/>
          <w:sz w:val="22"/>
          <w:szCs w:val="22"/>
        </w:rPr>
        <w:t xml:space="preserve">supporting </w:t>
      </w:r>
      <w:proofErr w:type="spellStart"/>
      <w:r w:rsidRPr="00974377">
        <w:rPr>
          <w:rFonts w:asciiTheme="majorHAnsi" w:hAnsiTheme="majorHAnsi" w:cstheme="majorHAnsi"/>
          <w:sz w:val="22"/>
          <w:szCs w:val="22"/>
        </w:rPr>
        <w:t>GoI</w:t>
      </w:r>
      <w:proofErr w:type="spellEnd"/>
      <w:r w:rsidR="00B4389B" w:rsidRPr="00974377">
        <w:rPr>
          <w:rFonts w:asciiTheme="majorHAnsi" w:hAnsiTheme="majorHAnsi" w:cstheme="majorHAnsi"/>
          <w:sz w:val="22"/>
          <w:szCs w:val="22"/>
        </w:rPr>
        <w:t xml:space="preserve"> to further develop and implement its bold </w:t>
      </w:r>
      <w:r w:rsidRPr="00974377">
        <w:rPr>
          <w:rFonts w:asciiTheme="majorHAnsi" w:hAnsiTheme="majorHAnsi" w:cstheme="majorHAnsi"/>
          <w:sz w:val="22"/>
          <w:szCs w:val="22"/>
        </w:rPr>
        <w:t xml:space="preserve">inclusive education agenda </w:t>
      </w:r>
      <w:r w:rsidR="00B4389B" w:rsidRPr="00974377">
        <w:rPr>
          <w:rFonts w:asciiTheme="majorHAnsi" w:hAnsiTheme="majorHAnsi" w:cstheme="majorHAnsi"/>
          <w:sz w:val="22"/>
          <w:szCs w:val="22"/>
        </w:rPr>
        <w:t>in the primary education sub-sector.</w:t>
      </w:r>
    </w:p>
    <w:p w14:paraId="031891A9" w14:textId="4B27013D" w:rsidR="00BC7D69" w:rsidRPr="00974377" w:rsidRDefault="0067394A" w:rsidP="00A7183E">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As per its current trademark, the program will continue</w:t>
      </w:r>
      <w:r>
        <w:rPr>
          <w:rFonts w:asciiTheme="majorHAnsi" w:hAnsiTheme="majorHAnsi" w:cstheme="majorHAnsi"/>
          <w:sz w:val="22"/>
          <w:szCs w:val="22"/>
        </w:rPr>
        <w:t xml:space="preserve"> to </w:t>
      </w:r>
      <w:r w:rsidRPr="00974377">
        <w:rPr>
          <w:rFonts w:asciiTheme="majorHAnsi" w:hAnsiTheme="majorHAnsi" w:cstheme="majorHAnsi"/>
          <w:sz w:val="22"/>
          <w:szCs w:val="22"/>
        </w:rPr>
        <w:t>respond strategically to requests for policy support at national level</w:t>
      </w:r>
      <w:r>
        <w:rPr>
          <w:rFonts w:asciiTheme="majorHAnsi" w:hAnsiTheme="majorHAnsi" w:cstheme="majorHAnsi"/>
          <w:sz w:val="22"/>
          <w:szCs w:val="22"/>
        </w:rPr>
        <w:t>. It will continue</w:t>
      </w:r>
      <w:r w:rsidRPr="00974377">
        <w:rPr>
          <w:rFonts w:asciiTheme="majorHAnsi" w:hAnsiTheme="majorHAnsi" w:cstheme="majorHAnsi"/>
          <w:sz w:val="22"/>
          <w:szCs w:val="22"/>
        </w:rPr>
        <w:t xml:space="preserve"> to</w:t>
      </w:r>
      <w:r w:rsidR="00F02AC0">
        <w:rPr>
          <w:rFonts w:asciiTheme="majorHAnsi" w:hAnsiTheme="majorHAnsi" w:cstheme="majorHAnsi"/>
          <w:sz w:val="22"/>
          <w:szCs w:val="22"/>
        </w:rPr>
        <w:t xml:space="preserve"> partner with stakeholders</w:t>
      </w:r>
      <w:r w:rsidR="007414F6">
        <w:rPr>
          <w:rFonts w:asciiTheme="majorHAnsi" w:hAnsiTheme="majorHAnsi" w:cstheme="majorHAnsi"/>
          <w:sz w:val="22"/>
          <w:szCs w:val="22"/>
        </w:rPr>
        <w:t xml:space="preserve"> </w:t>
      </w:r>
      <w:r w:rsidR="00F02AC0">
        <w:rPr>
          <w:rFonts w:asciiTheme="majorHAnsi" w:hAnsiTheme="majorHAnsi" w:cstheme="majorHAnsi"/>
          <w:sz w:val="22"/>
          <w:szCs w:val="22"/>
        </w:rPr>
        <w:t xml:space="preserve">in </w:t>
      </w:r>
      <w:r w:rsidRPr="00974377">
        <w:rPr>
          <w:rFonts w:asciiTheme="majorHAnsi" w:hAnsiTheme="majorHAnsi" w:cstheme="majorHAnsi"/>
          <w:sz w:val="22"/>
          <w:szCs w:val="22"/>
        </w:rPr>
        <w:t>test</w:t>
      </w:r>
      <w:r w:rsidR="00F02AC0">
        <w:rPr>
          <w:rFonts w:asciiTheme="majorHAnsi" w:hAnsiTheme="majorHAnsi" w:cstheme="majorHAnsi"/>
          <w:sz w:val="22"/>
          <w:szCs w:val="22"/>
        </w:rPr>
        <w:t>ing</w:t>
      </w:r>
      <w:r w:rsidRPr="00974377">
        <w:rPr>
          <w:rFonts w:asciiTheme="majorHAnsi" w:hAnsiTheme="majorHAnsi" w:cstheme="majorHAnsi"/>
          <w:sz w:val="22"/>
          <w:szCs w:val="22"/>
        </w:rPr>
        <w:t>, pilot</w:t>
      </w:r>
      <w:r w:rsidR="00F02AC0">
        <w:rPr>
          <w:rFonts w:asciiTheme="majorHAnsi" w:hAnsiTheme="majorHAnsi" w:cstheme="majorHAnsi"/>
          <w:sz w:val="22"/>
          <w:szCs w:val="22"/>
        </w:rPr>
        <w:t>ing</w:t>
      </w:r>
      <w:r w:rsidR="00933A89">
        <w:rPr>
          <w:rFonts w:asciiTheme="majorHAnsi" w:hAnsiTheme="majorHAnsi" w:cstheme="majorHAnsi"/>
          <w:sz w:val="22"/>
          <w:szCs w:val="22"/>
        </w:rPr>
        <w:t>,</w:t>
      </w:r>
      <w:r w:rsidR="00F02AC0">
        <w:rPr>
          <w:rFonts w:asciiTheme="majorHAnsi" w:hAnsiTheme="majorHAnsi" w:cstheme="majorHAnsi"/>
          <w:sz w:val="22"/>
          <w:szCs w:val="22"/>
        </w:rPr>
        <w:t xml:space="preserve"> and learning from</w:t>
      </w:r>
      <w:r w:rsidR="00862165">
        <w:rPr>
          <w:rFonts w:asciiTheme="majorHAnsi" w:hAnsiTheme="majorHAnsi" w:cstheme="majorHAnsi"/>
          <w:sz w:val="22"/>
          <w:szCs w:val="22"/>
        </w:rPr>
        <w:t xml:space="preserve"> </w:t>
      </w:r>
      <w:r w:rsidRPr="00974377">
        <w:rPr>
          <w:rFonts w:asciiTheme="majorHAnsi" w:hAnsiTheme="majorHAnsi" w:cstheme="majorHAnsi"/>
          <w:sz w:val="22"/>
          <w:szCs w:val="22"/>
        </w:rPr>
        <w:t xml:space="preserve">approaches and initiatives that </w:t>
      </w:r>
      <w:proofErr w:type="spellStart"/>
      <w:r w:rsidRPr="00974377">
        <w:rPr>
          <w:rFonts w:asciiTheme="majorHAnsi" w:hAnsiTheme="majorHAnsi" w:cstheme="majorHAnsi"/>
          <w:sz w:val="22"/>
          <w:szCs w:val="22"/>
        </w:rPr>
        <w:t>GoI</w:t>
      </w:r>
      <w:proofErr w:type="spellEnd"/>
      <w:r w:rsidRPr="00974377">
        <w:rPr>
          <w:rFonts w:asciiTheme="majorHAnsi" w:hAnsiTheme="majorHAnsi" w:cstheme="majorHAnsi"/>
          <w:sz w:val="22"/>
          <w:szCs w:val="22"/>
        </w:rPr>
        <w:t xml:space="preserve"> can scale out and up for greater impacts nationwide. </w:t>
      </w:r>
      <w:r>
        <w:rPr>
          <w:rFonts w:asciiTheme="majorHAnsi" w:hAnsiTheme="majorHAnsi" w:cstheme="majorHAnsi"/>
          <w:sz w:val="22"/>
          <w:szCs w:val="22"/>
        </w:rPr>
        <w:t xml:space="preserve">A </w:t>
      </w:r>
      <w:r w:rsidR="00F02AC0">
        <w:rPr>
          <w:rFonts w:asciiTheme="majorHAnsi" w:hAnsiTheme="majorHAnsi" w:cstheme="majorHAnsi"/>
          <w:sz w:val="22"/>
          <w:szCs w:val="22"/>
        </w:rPr>
        <w:t xml:space="preserve">pivotal </w:t>
      </w:r>
      <w:r>
        <w:rPr>
          <w:rFonts w:asciiTheme="majorHAnsi" w:hAnsiTheme="majorHAnsi" w:cstheme="majorHAnsi"/>
          <w:sz w:val="22"/>
          <w:szCs w:val="22"/>
        </w:rPr>
        <w:t xml:space="preserve">new element </w:t>
      </w:r>
      <w:r w:rsidR="00F02AC0">
        <w:rPr>
          <w:rFonts w:asciiTheme="majorHAnsi" w:hAnsiTheme="majorHAnsi" w:cstheme="majorHAnsi"/>
          <w:sz w:val="22"/>
          <w:szCs w:val="22"/>
        </w:rPr>
        <w:t>will be its approach to maximising impact:</w:t>
      </w:r>
      <w:r>
        <w:rPr>
          <w:rFonts w:asciiTheme="majorHAnsi" w:hAnsiTheme="majorHAnsi" w:cstheme="majorHAnsi"/>
          <w:sz w:val="22"/>
          <w:szCs w:val="22"/>
        </w:rPr>
        <w:t xml:space="preserve"> its</w:t>
      </w:r>
      <w:r w:rsidR="00BC7D69" w:rsidRPr="00974377">
        <w:rPr>
          <w:rFonts w:asciiTheme="majorHAnsi" w:hAnsiTheme="majorHAnsi" w:cstheme="majorHAnsi"/>
          <w:sz w:val="22"/>
          <w:szCs w:val="22"/>
        </w:rPr>
        <w:t xml:space="preserve"> testing models </w:t>
      </w:r>
      <w:r w:rsidR="00F02AC0">
        <w:rPr>
          <w:rFonts w:asciiTheme="majorHAnsi" w:hAnsiTheme="majorHAnsi" w:cstheme="majorHAnsi"/>
          <w:sz w:val="22"/>
          <w:szCs w:val="22"/>
        </w:rPr>
        <w:t>of</w:t>
      </w:r>
      <w:r w:rsidR="00BC7D69" w:rsidRPr="00974377">
        <w:rPr>
          <w:rFonts w:asciiTheme="majorHAnsi" w:hAnsiTheme="majorHAnsi" w:cstheme="majorHAnsi"/>
          <w:sz w:val="22"/>
          <w:szCs w:val="22"/>
        </w:rPr>
        <w:t xml:space="preserve"> district education ecosystems capable of </w:t>
      </w:r>
      <w:r w:rsidR="00F02AC0">
        <w:rPr>
          <w:rFonts w:asciiTheme="majorHAnsi" w:hAnsiTheme="majorHAnsi" w:cstheme="majorHAnsi"/>
          <w:sz w:val="22"/>
          <w:szCs w:val="22"/>
        </w:rPr>
        <w:t xml:space="preserve">leveraging </w:t>
      </w:r>
      <w:r w:rsidR="00F02AC0" w:rsidRPr="00974377">
        <w:rPr>
          <w:rFonts w:asciiTheme="majorHAnsi" w:hAnsiTheme="majorHAnsi" w:cstheme="majorHAnsi"/>
          <w:sz w:val="22"/>
          <w:szCs w:val="22"/>
        </w:rPr>
        <w:t xml:space="preserve">local education stakeholder resources </w:t>
      </w:r>
      <w:r w:rsidR="00F02AC0">
        <w:rPr>
          <w:rFonts w:asciiTheme="majorHAnsi" w:hAnsiTheme="majorHAnsi" w:cstheme="majorHAnsi"/>
          <w:sz w:val="22"/>
          <w:szCs w:val="22"/>
        </w:rPr>
        <w:t xml:space="preserve">for </w:t>
      </w:r>
      <w:r w:rsidR="00BC7D69" w:rsidRPr="00974377">
        <w:rPr>
          <w:rFonts w:asciiTheme="majorHAnsi" w:hAnsiTheme="majorHAnsi" w:cstheme="majorHAnsi"/>
          <w:sz w:val="22"/>
          <w:szCs w:val="22"/>
        </w:rPr>
        <w:t xml:space="preserve">implementing </w:t>
      </w:r>
      <w:r>
        <w:rPr>
          <w:rFonts w:asciiTheme="majorHAnsi" w:hAnsiTheme="majorHAnsi" w:cstheme="majorHAnsi"/>
          <w:sz w:val="22"/>
          <w:szCs w:val="22"/>
        </w:rPr>
        <w:t xml:space="preserve">and sustaining </w:t>
      </w:r>
      <w:r w:rsidR="00BC7D69" w:rsidRPr="00974377">
        <w:rPr>
          <w:rFonts w:asciiTheme="majorHAnsi" w:hAnsiTheme="majorHAnsi" w:cstheme="majorHAnsi"/>
          <w:sz w:val="22"/>
          <w:szCs w:val="22"/>
        </w:rPr>
        <w:t xml:space="preserve">education reforms. Crucially, </w:t>
      </w:r>
      <w:r w:rsidR="00F02AC0">
        <w:rPr>
          <w:rFonts w:asciiTheme="majorHAnsi" w:hAnsiTheme="majorHAnsi" w:cstheme="majorHAnsi"/>
          <w:sz w:val="22"/>
          <w:szCs w:val="22"/>
        </w:rPr>
        <w:t>the program</w:t>
      </w:r>
      <w:r w:rsidR="00F02AC0" w:rsidRPr="00974377">
        <w:rPr>
          <w:rFonts w:asciiTheme="majorHAnsi" w:hAnsiTheme="majorHAnsi" w:cstheme="majorHAnsi"/>
          <w:sz w:val="22"/>
          <w:szCs w:val="22"/>
        </w:rPr>
        <w:t xml:space="preserve"> </w:t>
      </w:r>
      <w:r w:rsidR="00BC7D69" w:rsidRPr="00974377">
        <w:rPr>
          <w:rFonts w:asciiTheme="majorHAnsi" w:hAnsiTheme="majorHAnsi" w:cstheme="majorHAnsi"/>
          <w:sz w:val="22"/>
          <w:szCs w:val="22"/>
        </w:rPr>
        <w:t xml:space="preserve">will include </w:t>
      </w:r>
      <w:r w:rsidR="00B4389B" w:rsidRPr="00974377">
        <w:rPr>
          <w:rFonts w:asciiTheme="majorHAnsi" w:hAnsiTheme="majorHAnsi" w:cstheme="majorHAnsi"/>
          <w:sz w:val="22"/>
          <w:szCs w:val="22"/>
        </w:rPr>
        <w:t xml:space="preserve">a </w:t>
      </w:r>
      <w:r w:rsidR="00BC7D69" w:rsidRPr="00974377">
        <w:rPr>
          <w:rFonts w:asciiTheme="majorHAnsi" w:hAnsiTheme="majorHAnsi" w:cstheme="majorHAnsi"/>
          <w:sz w:val="22"/>
          <w:szCs w:val="22"/>
        </w:rPr>
        <w:t xml:space="preserve">capacity to investigate smartly and promptly, to analyse and understand underlying factors of success and failures, to generate convincing evidence and lessons on effective approaches and initiatives, and to effectively disseminate and share these insights with stakeholders for uptake and scale up. Put simply, equipped with </w:t>
      </w:r>
      <w:r w:rsidR="00B4389B" w:rsidRPr="00974377">
        <w:rPr>
          <w:rFonts w:asciiTheme="majorHAnsi" w:hAnsiTheme="majorHAnsi" w:cstheme="majorHAnsi"/>
          <w:sz w:val="22"/>
          <w:szCs w:val="22"/>
        </w:rPr>
        <w:t xml:space="preserve">operational </w:t>
      </w:r>
      <w:r w:rsidR="00BC7D69" w:rsidRPr="00974377">
        <w:rPr>
          <w:rFonts w:asciiTheme="majorHAnsi" w:hAnsiTheme="majorHAnsi" w:cstheme="majorHAnsi"/>
          <w:sz w:val="22"/>
          <w:szCs w:val="22"/>
        </w:rPr>
        <w:t xml:space="preserve">flexibility, strong MEL </w:t>
      </w:r>
      <w:r w:rsidR="00F82E20" w:rsidRPr="00974377">
        <w:rPr>
          <w:rFonts w:asciiTheme="majorHAnsi" w:hAnsiTheme="majorHAnsi" w:cstheme="majorHAnsi"/>
          <w:sz w:val="22"/>
          <w:szCs w:val="22"/>
        </w:rPr>
        <w:t xml:space="preserve">capacity </w:t>
      </w:r>
      <w:r w:rsidR="00BC7D69" w:rsidRPr="00974377">
        <w:rPr>
          <w:rFonts w:asciiTheme="majorHAnsi" w:hAnsiTheme="majorHAnsi" w:cstheme="majorHAnsi"/>
          <w:sz w:val="22"/>
          <w:szCs w:val="22"/>
        </w:rPr>
        <w:t>and strategic communication capabilities, the program will operate as a catalytic learning laboratory to test and disseminate effective models for policy and reform implementation</w:t>
      </w:r>
      <w:r w:rsidR="00B4389B" w:rsidRPr="00974377">
        <w:rPr>
          <w:rFonts w:asciiTheme="majorHAnsi" w:hAnsiTheme="majorHAnsi" w:cstheme="majorHAnsi"/>
          <w:sz w:val="22"/>
          <w:szCs w:val="22"/>
        </w:rPr>
        <w:t xml:space="preserve"> in the primary education subsector</w:t>
      </w:r>
      <w:r w:rsidR="00BC7D69" w:rsidRPr="00974377">
        <w:rPr>
          <w:rFonts w:asciiTheme="majorHAnsi" w:hAnsiTheme="majorHAnsi" w:cstheme="majorHAnsi"/>
          <w:sz w:val="22"/>
          <w:szCs w:val="22"/>
        </w:rPr>
        <w:t>.</w:t>
      </w:r>
    </w:p>
    <w:p w14:paraId="6098B25F" w14:textId="7B17D23D" w:rsidR="00BC7D69" w:rsidRPr="00284BF1" w:rsidRDefault="00BC0C75" w:rsidP="00284BF1">
      <w:pPr>
        <w:pStyle w:val="Heading2"/>
        <w:rPr>
          <w:b/>
          <w:bCs/>
          <w:sz w:val="22"/>
          <w:szCs w:val="22"/>
        </w:rPr>
      </w:pPr>
      <w:r w:rsidRPr="00284BF1">
        <w:rPr>
          <w:b/>
          <w:bCs/>
          <w:caps w:val="0"/>
          <w:sz w:val="22"/>
          <w:szCs w:val="22"/>
        </w:rPr>
        <w:t>Key Lessons</w:t>
      </w:r>
    </w:p>
    <w:p w14:paraId="5CFFC645" w14:textId="77777777" w:rsidR="00BC7D69" w:rsidRPr="00974377" w:rsidRDefault="00BC7D69" w:rsidP="00A7183E">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The 2022 ISR offers insights into lessons learned from the implementation of the current INOVASI phase. They are broadly consistent with the feedback received during the Design Update consultation process, and can be summarised as following:</w:t>
      </w:r>
    </w:p>
    <w:p w14:paraId="4DD205DA" w14:textId="23DD4A74" w:rsidR="005F6DCE" w:rsidRPr="00974377" w:rsidRDefault="006109FE" w:rsidP="008D1844">
      <w:pPr>
        <w:pStyle w:val="ListParagraph"/>
        <w:numPr>
          <w:ilvl w:val="0"/>
          <w:numId w:val="46"/>
        </w:numPr>
        <w:tabs>
          <w:tab w:val="left" w:pos="284"/>
        </w:tabs>
        <w:spacing w:after="120" w:line="281" w:lineRule="auto"/>
        <w:ind w:left="567" w:hanging="283"/>
        <w:contextualSpacing w:val="0"/>
        <w:rPr>
          <w:rFonts w:asciiTheme="majorHAnsi" w:hAnsiTheme="majorHAnsi" w:cstheme="majorHAnsi"/>
          <w:sz w:val="22"/>
          <w:szCs w:val="22"/>
        </w:rPr>
      </w:pPr>
      <w:r w:rsidRPr="00974377">
        <w:rPr>
          <w:rFonts w:asciiTheme="majorHAnsi" w:hAnsiTheme="majorHAnsi" w:cstheme="majorHAnsi"/>
          <w:sz w:val="22"/>
          <w:szCs w:val="22"/>
        </w:rPr>
        <w:t xml:space="preserve">The </w:t>
      </w:r>
      <w:r w:rsidRPr="00974377">
        <w:rPr>
          <w:rFonts w:asciiTheme="majorHAnsi" w:hAnsiTheme="majorHAnsi" w:cstheme="majorHAnsi"/>
          <w:i/>
          <w:iCs/>
          <w:sz w:val="22"/>
          <w:szCs w:val="22"/>
        </w:rPr>
        <w:t xml:space="preserve">Merdeka </w:t>
      </w:r>
      <w:proofErr w:type="spellStart"/>
      <w:r w:rsidRPr="00974377">
        <w:rPr>
          <w:rFonts w:asciiTheme="majorHAnsi" w:hAnsiTheme="majorHAnsi" w:cstheme="majorHAnsi"/>
          <w:i/>
          <w:iCs/>
          <w:sz w:val="22"/>
          <w:szCs w:val="22"/>
        </w:rPr>
        <w:t>Belajar</w:t>
      </w:r>
      <w:proofErr w:type="spellEnd"/>
      <w:r w:rsidRPr="00974377">
        <w:rPr>
          <w:rFonts w:asciiTheme="majorHAnsi" w:hAnsiTheme="majorHAnsi" w:cstheme="majorHAnsi"/>
          <w:sz w:val="22"/>
          <w:szCs w:val="22"/>
        </w:rPr>
        <w:t xml:space="preserve"> reforms have the potential to transform education outcomes inclusively</w:t>
      </w:r>
      <w:r w:rsidR="004B4DDF" w:rsidRPr="00974377">
        <w:rPr>
          <w:rFonts w:asciiTheme="majorHAnsi" w:hAnsiTheme="majorHAnsi" w:cstheme="majorHAnsi"/>
          <w:sz w:val="22"/>
          <w:szCs w:val="22"/>
        </w:rPr>
        <w:t xml:space="preserve">. The policy framework has come a long way, partially with INOVASI support. </w:t>
      </w:r>
      <w:r w:rsidR="005F6DCE" w:rsidRPr="00A72EED">
        <w:rPr>
          <w:rFonts w:asciiTheme="majorHAnsi" w:hAnsiTheme="majorHAnsi" w:cstheme="majorHAnsi"/>
          <w:sz w:val="22"/>
          <w:szCs w:val="22"/>
        </w:rPr>
        <w:t>There remain gap</w:t>
      </w:r>
      <w:r w:rsidR="00862165" w:rsidRPr="00A72EED">
        <w:rPr>
          <w:rFonts w:asciiTheme="majorHAnsi" w:hAnsiTheme="majorHAnsi" w:cstheme="majorHAnsi"/>
          <w:sz w:val="22"/>
          <w:szCs w:val="22"/>
        </w:rPr>
        <w:t>s</w:t>
      </w:r>
      <w:r w:rsidR="005F6DCE" w:rsidRPr="00A72EED">
        <w:rPr>
          <w:rFonts w:asciiTheme="majorHAnsi" w:hAnsiTheme="majorHAnsi" w:cstheme="majorHAnsi"/>
          <w:sz w:val="22"/>
          <w:szCs w:val="22"/>
        </w:rPr>
        <w:t xml:space="preserve"> </w:t>
      </w:r>
      <w:r w:rsidR="00862165" w:rsidRPr="00A72EED">
        <w:rPr>
          <w:rFonts w:asciiTheme="majorHAnsi" w:hAnsiTheme="majorHAnsi" w:cstheme="majorHAnsi"/>
          <w:sz w:val="22"/>
          <w:szCs w:val="22"/>
        </w:rPr>
        <w:t xml:space="preserve">in and </w:t>
      </w:r>
      <w:r w:rsidR="005F6DCE" w:rsidRPr="00A72EED">
        <w:rPr>
          <w:rFonts w:asciiTheme="majorHAnsi" w:hAnsiTheme="majorHAnsi" w:cstheme="majorHAnsi"/>
          <w:sz w:val="22"/>
          <w:szCs w:val="22"/>
        </w:rPr>
        <w:t>between policies</w:t>
      </w:r>
      <w:r w:rsidR="00862165" w:rsidRPr="00A72EED">
        <w:rPr>
          <w:rFonts w:asciiTheme="majorHAnsi" w:hAnsiTheme="majorHAnsi" w:cstheme="majorHAnsi"/>
          <w:sz w:val="22"/>
          <w:szCs w:val="22"/>
        </w:rPr>
        <w:t>,</w:t>
      </w:r>
      <w:r w:rsidR="005F6DCE" w:rsidRPr="00A72EED">
        <w:rPr>
          <w:rFonts w:asciiTheme="majorHAnsi" w:hAnsiTheme="majorHAnsi" w:cstheme="majorHAnsi"/>
          <w:sz w:val="22"/>
          <w:szCs w:val="22"/>
        </w:rPr>
        <w:t xml:space="preserve"> </w:t>
      </w:r>
      <w:proofErr w:type="gramStart"/>
      <w:r w:rsidR="00862165" w:rsidRPr="00A72EED">
        <w:rPr>
          <w:rFonts w:asciiTheme="majorHAnsi" w:hAnsiTheme="majorHAnsi" w:cstheme="majorHAnsi"/>
          <w:sz w:val="22"/>
          <w:szCs w:val="22"/>
        </w:rPr>
        <w:t>systems</w:t>
      </w:r>
      <w:proofErr w:type="gramEnd"/>
      <w:r w:rsidR="00862165" w:rsidRPr="00A72EED">
        <w:rPr>
          <w:rFonts w:asciiTheme="majorHAnsi" w:hAnsiTheme="majorHAnsi" w:cstheme="majorHAnsi"/>
          <w:sz w:val="22"/>
          <w:szCs w:val="22"/>
        </w:rPr>
        <w:t xml:space="preserve"> </w:t>
      </w:r>
      <w:r w:rsidR="005F6DCE" w:rsidRPr="00A72EED">
        <w:rPr>
          <w:rFonts w:asciiTheme="majorHAnsi" w:hAnsiTheme="majorHAnsi" w:cstheme="majorHAnsi"/>
          <w:sz w:val="22"/>
          <w:szCs w:val="22"/>
        </w:rPr>
        <w:t xml:space="preserve">and practices, pointing at </w:t>
      </w:r>
      <w:r w:rsidR="00E70155" w:rsidRPr="00A72EED">
        <w:rPr>
          <w:rFonts w:asciiTheme="majorHAnsi" w:hAnsiTheme="majorHAnsi" w:cstheme="majorHAnsi"/>
          <w:sz w:val="22"/>
          <w:szCs w:val="22"/>
        </w:rPr>
        <w:t xml:space="preserve">both policy shortcomings and </w:t>
      </w:r>
      <w:r w:rsidR="005F6DCE" w:rsidRPr="00A72EED">
        <w:rPr>
          <w:rFonts w:asciiTheme="majorHAnsi" w:hAnsiTheme="majorHAnsi" w:cstheme="majorHAnsi"/>
          <w:sz w:val="22"/>
          <w:szCs w:val="22"/>
        </w:rPr>
        <w:t xml:space="preserve">deficiencies in the implementation processes. These are partially due to the innovative nature of the new policies, </w:t>
      </w:r>
      <w:r w:rsidR="00E70155" w:rsidRPr="00A72EED">
        <w:rPr>
          <w:rFonts w:asciiTheme="majorHAnsi" w:hAnsiTheme="majorHAnsi" w:cstheme="majorHAnsi"/>
          <w:sz w:val="22"/>
          <w:szCs w:val="22"/>
        </w:rPr>
        <w:t xml:space="preserve">the speed of their development, </w:t>
      </w:r>
      <w:r w:rsidR="005F6DCE" w:rsidRPr="00A72EED">
        <w:rPr>
          <w:rFonts w:asciiTheme="majorHAnsi" w:hAnsiTheme="majorHAnsi" w:cstheme="majorHAnsi"/>
          <w:sz w:val="22"/>
          <w:szCs w:val="22"/>
        </w:rPr>
        <w:t>the complex structural constraints that weigh on the governance of the education system, and sub-optimal capacities at sub-national and school level.</w:t>
      </w:r>
      <w:r w:rsidR="005F6DCE" w:rsidRPr="00974377">
        <w:rPr>
          <w:rFonts w:asciiTheme="majorHAnsi" w:hAnsiTheme="majorHAnsi" w:cstheme="majorHAnsi"/>
          <w:sz w:val="22"/>
          <w:szCs w:val="22"/>
        </w:rPr>
        <w:t xml:space="preserve"> These limitations affect </w:t>
      </w:r>
      <w:r w:rsidR="006D0B15" w:rsidRPr="00974377">
        <w:rPr>
          <w:rFonts w:asciiTheme="majorHAnsi" w:hAnsiTheme="majorHAnsi" w:cstheme="majorHAnsi"/>
          <w:sz w:val="22"/>
          <w:szCs w:val="22"/>
        </w:rPr>
        <w:t>districts</w:t>
      </w:r>
      <w:r w:rsidR="005F6DCE" w:rsidRPr="00974377">
        <w:rPr>
          <w:rFonts w:asciiTheme="majorHAnsi" w:hAnsiTheme="majorHAnsi" w:cstheme="majorHAnsi"/>
          <w:sz w:val="22"/>
          <w:szCs w:val="22"/>
        </w:rPr>
        <w:t xml:space="preserve"> differentl</w:t>
      </w:r>
      <w:r w:rsidR="006D0B15" w:rsidRPr="00974377">
        <w:rPr>
          <w:rFonts w:asciiTheme="majorHAnsi" w:hAnsiTheme="majorHAnsi" w:cstheme="majorHAnsi"/>
          <w:sz w:val="22"/>
          <w:szCs w:val="22"/>
        </w:rPr>
        <w:t>y</w:t>
      </w:r>
      <w:r w:rsidR="0004285F">
        <w:rPr>
          <w:rFonts w:asciiTheme="majorHAnsi" w:hAnsiTheme="majorHAnsi" w:cstheme="majorHAnsi"/>
          <w:sz w:val="22"/>
          <w:szCs w:val="22"/>
        </w:rPr>
        <w:t>,</w:t>
      </w:r>
      <w:r w:rsidR="00862165">
        <w:rPr>
          <w:rFonts w:asciiTheme="majorHAnsi" w:hAnsiTheme="majorHAnsi" w:cstheme="majorHAnsi"/>
          <w:sz w:val="22"/>
          <w:szCs w:val="22"/>
        </w:rPr>
        <w:t xml:space="preserve"> but common to all </w:t>
      </w:r>
      <w:r w:rsidR="00DC0F1C">
        <w:rPr>
          <w:rFonts w:asciiTheme="majorHAnsi" w:hAnsiTheme="majorHAnsi" w:cstheme="majorHAnsi"/>
          <w:sz w:val="22"/>
          <w:szCs w:val="22"/>
        </w:rPr>
        <w:t xml:space="preserve">situations </w:t>
      </w:r>
      <w:r w:rsidR="00862165">
        <w:rPr>
          <w:rFonts w:asciiTheme="majorHAnsi" w:hAnsiTheme="majorHAnsi" w:cstheme="majorHAnsi"/>
          <w:sz w:val="22"/>
          <w:szCs w:val="22"/>
        </w:rPr>
        <w:t>is the</w:t>
      </w:r>
      <w:r w:rsidR="00DC0F1C">
        <w:rPr>
          <w:rFonts w:asciiTheme="majorHAnsi" w:hAnsiTheme="majorHAnsi" w:cstheme="majorHAnsi"/>
          <w:sz w:val="22"/>
          <w:szCs w:val="22"/>
        </w:rPr>
        <w:t xml:space="preserve"> dependence of implementation success on capacity at the district level.</w:t>
      </w:r>
      <w:r w:rsidR="00862165">
        <w:rPr>
          <w:rFonts w:asciiTheme="majorHAnsi" w:hAnsiTheme="majorHAnsi" w:cstheme="majorHAnsi"/>
          <w:sz w:val="22"/>
          <w:szCs w:val="22"/>
        </w:rPr>
        <w:t xml:space="preserve"> </w:t>
      </w:r>
    </w:p>
    <w:p w14:paraId="4AA11521" w14:textId="2484EA45" w:rsidR="006109FE" w:rsidRPr="00974377" w:rsidRDefault="004B4DDF" w:rsidP="008D1844">
      <w:pPr>
        <w:pStyle w:val="ListParagraph"/>
        <w:numPr>
          <w:ilvl w:val="0"/>
          <w:numId w:val="46"/>
        </w:numPr>
        <w:tabs>
          <w:tab w:val="left" w:pos="284"/>
        </w:tabs>
        <w:spacing w:after="120" w:line="281" w:lineRule="auto"/>
        <w:ind w:left="567" w:hanging="283"/>
        <w:contextualSpacing w:val="0"/>
        <w:rPr>
          <w:rFonts w:asciiTheme="majorHAnsi" w:hAnsiTheme="majorHAnsi" w:cstheme="majorHAnsi"/>
          <w:sz w:val="22"/>
          <w:szCs w:val="22"/>
        </w:rPr>
      </w:pPr>
      <w:r w:rsidRPr="00974377">
        <w:rPr>
          <w:rFonts w:asciiTheme="majorHAnsi" w:hAnsiTheme="majorHAnsi" w:cstheme="majorHAnsi"/>
          <w:sz w:val="22"/>
          <w:szCs w:val="22"/>
        </w:rPr>
        <w:t xml:space="preserve">The priority of </w:t>
      </w:r>
      <w:r w:rsidR="006109FE" w:rsidRPr="00974377">
        <w:rPr>
          <w:rFonts w:asciiTheme="majorHAnsi" w:hAnsiTheme="majorHAnsi" w:cstheme="majorHAnsi"/>
          <w:sz w:val="22"/>
          <w:szCs w:val="22"/>
        </w:rPr>
        <w:t>f</w:t>
      </w:r>
      <w:r w:rsidR="00BC7D69" w:rsidRPr="00974377">
        <w:rPr>
          <w:rFonts w:asciiTheme="majorHAnsi" w:hAnsiTheme="majorHAnsi" w:cstheme="majorHAnsi"/>
          <w:sz w:val="22"/>
          <w:szCs w:val="22"/>
        </w:rPr>
        <w:t>oundational skills development</w:t>
      </w:r>
      <w:r w:rsidR="006109FE" w:rsidRPr="00974377">
        <w:rPr>
          <w:rFonts w:asciiTheme="majorHAnsi" w:hAnsiTheme="majorHAnsi" w:cstheme="majorHAnsi"/>
          <w:sz w:val="22"/>
          <w:szCs w:val="22"/>
        </w:rPr>
        <w:t xml:space="preserve"> </w:t>
      </w:r>
      <w:r w:rsidR="00E70155" w:rsidRPr="00974377">
        <w:rPr>
          <w:rFonts w:asciiTheme="majorHAnsi" w:hAnsiTheme="majorHAnsi" w:cstheme="majorHAnsi"/>
          <w:sz w:val="22"/>
          <w:szCs w:val="22"/>
        </w:rPr>
        <w:t xml:space="preserve">in literacy and numeracy </w:t>
      </w:r>
      <w:r w:rsidR="00BC7D69" w:rsidRPr="00974377">
        <w:rPr>
          <w:rFonts w:asciiTheme="majorHAnsi" w:hAnsiTheme="majorHAnsi" w:cstheme="majorHAnsi"/>
          <w:sz w:val="22"/>
          <w:szCs w:val="22"/>
        </w:rPr>
        <w:t>is critical for Indonesia’s human capital development, particularly given COVID-</w:t>
      </w:r>
      <w:r w:rsidR="0012391F">
        <w:rPr>
          <w:rFonts w:asciiTheme="majorHAnsi" w:hAnsiTheme="majorHAnsi" w:cstheme="majorHAnsi"/>
          <w:sz w:val="22"/>
          <w:szCs w:val="22"/>
        </w:rPr>
        <w:t xml:space="preserve">19 </w:t>
      </w:r>
      <w:r w:rsidR="00BC7D69" w:rsidRPr="00974377">
        <w:rPr>
          <w:rFonts w:asciiTheme="majorHAnsi" w:hAnsiTheme="majorHAnsi" w:cstheme="majorHAnsi"/>
          <w:sz w:val="22"/>
          <w:szCs w:val="22"/>
        </w:rPr>
        <w:t>related learning loss</w:t>
      </w:r>
      <w:r w:rsidRPr="00974377">
        <w:rPr>
          <w:rFonts w:asciiTheme="majorHAnsi" w:hAnsiTheme="majorHAnsi" w:cstheme="majorHAnsi"/>
          <w:sz w:val="22"/>
          <w:szCs w:val="22"/>
        </w:rPr>
        <w:t xml:space="preserve">: </w:t>
      </w:r>
      <w:r w:rsidR="006109FE" w:rsidRPr="00974377">
        <w:rPr>
          <w:rFonts w:asciiTheme="majorHAnsi" w:hAnsiTheme="majorHAnsi" w:cstheme="majorHAnsi"/>
          <w:sz w:val="22"/>
          <w:szCs w:val="22"/>
        </w:rPr>
        <w:t xml:space="preserve">these skills </w:t>
      </w:r>
      <w:r w:rsidRPr="00974377">
        <w:rPr>
          <w:rFonts w:asciiTheme="majorHAnsi" w:hAnsiTheme="majorHAnsi" w:cstheme="majorHAnsi"/>
          <w:sz w:val="22"/>
          <w:szCs w:val="22"/>
        </w:rPr>
        <w:t xml:space="preserve">are </w:t>
      </w:r>
      <w:r w:rsidR="006109FE" w:rsidRPr="00974377">
        <w:rPr>
          <w:rFonts w:asciiTheme="majorHAnsi" w:hAnsiTheme="majorHAnsi" w:cstheme="majorHAnsi"/>
          <w:sz w:val="22"/>
          <w:szCs w:val="22"/>
        </w:rPr>
        <w:t xml:space="preserve">the foundations of success in all subsequent learning and life. </w:t>
      </w:r>
      <w:r w:rsidRPr="00974377">
        <w:rPr>
          <w:rFonts w:asciiTheme="majorHAnsi" w:hAnsiTheme="majorHAnsi" w:cstheme="majorHAnsi"/>
          <w:sz w:val="22"/>
          <w:szCs w:val="22"/>
        </w:rPr>
        <w:t>By extension, g</w:t>
      </w:r>
      <w:r w:rsidR="006109FE" w:rsidRPr="00974377">
        <w:rPr>
          <w:rFonts w:asciiTheme="majorHAnsi" w:hAnsiTheme="majorHAnsi" w:cstheme="majorHAnsi"/>
          <w:sz w:val="22"/>
          <w:szCs w:val="22"/>
        </w:rPr>
        <w:t>iven children starting Grade 1 in 2024 will come of age in the centenary year of Indonesia’s independence, they are the foundations upon which the country will achieve its Vision 2045.</w:t>
      </w:r>
      <w:r w:rsidR="006109FE" w:rsidRPr="00974377">
        <w:rPr>
          <w:vertAlign w:val="superscript"/>
        </w:rPr>
        <w:footnoteReference w:id="19"/>
      </w:r>
      <w:r w:rsidR="006109FE" w:rsidRPr="00974377">
        <w:rPr>
          <w:rFonts w:asciiTheme="majorHAnsi" w:hAnsiTheme="majorHAnsi" w:cstheme="majorHAnsi"/>
          <w:sz w:val="22"/>
          <w:szCs w:val="22"/>
        </w:rPr>
        <w:t xml:space="preserve"> </w:t>
      </w:r>
      <w:r w:rsidRPr="00974377">
        <w:rPr>
          <w:rFonts w:asciiTheme="majorHAnsi" w:hAnsiTheme="majorHAnsi" w:cstheme="majorHAnsi"/>
          <w:sz w:val="22"/>
          <w:szCs w:val="22"/>
        </w:rPr>
        <w:t>To realise the reform</w:t>
      </w:r>
      <w:r w:rsidR="009D4DA7" w:rsidRPr="00974377">
        <w:rPr>
          <w:rFonts w:asciiTheme="majorHAnsi" w:hAnsiTheme="majorHAnsi" w:cstheme="majorHAnsi"/>
          <w:sz w:val="22"/>
          <w:szCs w:val="22"/>
        </w:rPr>
        <w:t>’</w:t>
      </w:r>
      <w:r w:rsidRPr="00974377">
        <w:rPr>
          <w:rFonts w:asciiTheme="majorHAnsi" w:hAnsiTheme="majorHAnsi" w:cstheme="majorHAnsi"/>
          <w:sz w:val="22"/>
          <w:szCs w:val="22"/>
        </w:rPr>
        <w:t xml:space="preserve">s potential, the gap between policy and practice needs to be </w:t>
      </w:r>
      <w:r w:rsidR="00431ECE">
        <w:rPr>
          <w:rFonts w:asciiTheme="majorHAnsi" w:hAnsiTheme="majorHAnsi" w:cstheme="majorHAnsi"/>
          <w:sz w:val="22"/>
          <w:szCs w:val="22"/>
        </w:rPr>
        <w:t>shorten</w:t>
      </w:r>
      <w:r w:rsidRPr="00974377">
        <w:rPr>
          <w:rFonts w:asciiTheme="majorHAnsi" w:hAnsiTheme="majorHAnsi" w:cstheme="majorHAnsi"/>
          <w:sz w:val="22"/>
          <w:szCs w:val="22"/>
        </w:rPr>
        <w:t>ed. The temptation to apply a one size/model fits all to policy implementation should be resisted.</w:t>
      </w:r>
    </w:p>
    <w:p w14:paraId="721FC37F" w14:textId="45CFEF84" w:rsidR="00F82E20" w:rsidRPr="00974377" w:rsidRDefault="00F82E20" w:rsidP="008D1844">
      <w:pPr>
        <w:pStyle w:val="ListParagraph"/>
        <w:numPr>
          <w:ilvl w:val="0"/>
          <w:numId w:val="46"/>
        </w:numPr>
        <w:tabs>
          <w:tab w:val="left" w:pos="284"/>
        </w:tabs>
        <w:spacing w:after="120" w:line="281" w:lineRule="auto"/>
        <w:ind w:left="567" w:hanging="283"/>
        <w:contextualSpacing w:val="0"/>
        <w:rPr>
          <w:rFonts w:asciiTheme="majorHAnsi" w:hAnsiTheme="majorHAnsi" w:cstheme="majorHAnsi"/>
          <w:sz w:val="22"/>
          <w:szCs w:val="22"/>
        </w:rPr>
      </w:pPr>
      <w:r w:rsidRPr="00974377">
        <w:rPr>
          <w:rFonts w:asciiTheme="majorHAnsi" w:hAnsiTheme="majorHAnsi" w:cstheme="majorHAnsi"/>
          <w:sz w:val="22"/>
          <w:szCs w:val="22"/>
        </w:rPr>
        <w:lastRenderedPageBreak/>
        <w:t>Australia’s support</w:t>
      </w:r>
      <w:r w:rsidR="00BC7D69" w:rsidRPr="00974377">
        <w:rPr>
          <w:rFonts w:asciiTheme="majorHAnsi" w:hAnsiTheme="majorHAnsi" w:cstheme="majorHAnsi"/>
          <w:sz w:val="22"/>
          <w:szCs w:val="22"/>
        </w:rPr>
        <w:t xml:space="preserve"> </w:t>
      </w:r>
      <w:r w:rsidR="006109FE" w:rsidRPr="00974377">
        <w:rPr>
          <w:rFonts w:asciiTheme="majorHAnsi" w:hAnsiTheme="majorHAnsi" w:cstheme="majorHAnsi"/>
          <w:sz w:val="22"/>
          <w:szCs w:val="22"/>
        </w:rPr>
        <w:t xml:space="preserve">to foundational skills development </w:t>
      </w:r>
      <w:r w:rsidR="00BC7D69" w:rsidRPr="00974377">
        <w:rPr>
          <w:rFonts w:asciiTheme="majorHAnsi" w:hAnsiTheme="majorHAnsi" w:cstheme="majorHAnsi"/>
          <w:sz w:val="22"/>
          <w:szCs w:val="22"/>
        </w:rPr>
        <w:t xml:space="preserve">remains relevant to current </w:t>
      </w:r>
      <w:proofErr w:type="spellStart"/>
      <w:r w:rsidR="00BC7D69" w:rsidRPr="00974377">
        <w:rPr>
          <w:rFonts w:asciiTheme="majorHAnsi" w:hAnsiTheme="majorHAnsi" w:cstheme="majorHAnsi"/>
          <w:sz w:val="22"/>
          <w:szCs w:val="22"/>
        </w:rPr>
        <w:t>GoI</w:t>
      </w:r>
      <w:proofErr w:type="spellEnd"/>
      <w:r w:rsidR="00BC7D69" w:rsidRPr="00974377">
        <w:rPr>
          <w:rFonts w:asciiTheme="majorHAnsi" w:hAnsiTheme="majorHAnsi" w:cstheme="majorHAnsi"/>
          <w:sz w:val="22"/>
          <w:szCs w:val="22"/>
        </w:rPr>
        <w:t xml:space="preserve"> education priorities and is </w:t>
      </w:r>
      <w:r w:rsidRPr="00974377">
        <w:rPr>
          <w:rFonts w:asciiTheme="majorHAnsi" w:hAnsiTheme="majorHAnsi" w:cstheme="majorHAnsi"/>
          <w:sz w:val="22"/>
          <w:szCs w:val="22"/>
        </w:rPr>
        <w:t xml:space="preserve">well </w:t>
      </w:r>
      <w:r w:rsidR="00BC7D69" w:rsidRPr="00974377">
        <w:rPr>
          <w:rFonts w:asciiTheme="majorHAnsi" w:hAnsiTheme="majorHAnsi" w:cstheme="majorHAnsi"/>
          <w:sz w:val="22"/>
          <w:szCs w:val="22"/>
        </w:rPr>
        <w:t xml:space="preserve">aligned with Australia’s objectives under the CSP. Australia is well positioned to continue supporting foundational education which would </w:t>
      </w:r>
      <w:r w:rsidRPr="00974377">
        <w:rPr>
          <w:rFonts w:asciiTheme="majorHAnsi" w:hAnsiTheme="majorHAnsi" w:cstheme="majorHAnsi"/>
          <w:sz w:val="22"/>
          <w:szCs w:val="22"/>
        </w:rPr>
        <w:t>represent</w:t>
      </w:r>
      <w:r w:rsidR="00BC7D69" w:rsidRPr="00974377">
        <w:rPr>
          <w:rFonts w:asciiTheme="majorHAnsi" w:hAnsiTheme="majorHAnsi" w:cstheme="majorHAnsi"/>
          <w:sz w:val="22"/>
          <w:szCs w:val="22"/>
        </w:rPr>
        <w:t xml:space="preserve"> ‘</w:t>
      </w:r>
      <w:r w:rsidR="00BC7D69" w:rsidRPr="0025048E">
        <w:rPr>
          <w:rFonts w:asciiTheme="majorHAnsi" w:hAnsiTheme="majorHAnsi" w:cstheme="majorHAnsi"/>
          <w:i/>
          <w:iCs/>
          <w:sz w:val="22"/>
          <w:szCs w:val="22"/>
        </w:rPr>
        <w:t>a strategic point of engagement with any new administration in Indonesia</w:t>
      </w:r>
      <w:r w:rsidR="00BC7D69" w:rsidRPr="00974377">
        <w:rPr>
          <w:rFonts w:asciiTheme="majorHAnsi" w:hAnsiTheme="majorHAnsi" w:cstheme="majorHAnsi"/>
          <w:sz w:val="22"/>
          <w:szCs w:val="22"/>
        </w:rPr>
        <w:t>’</w:t>
      </w:r>
      <w:r w:rsidR="0004285F">
        <w:rPr>
          <w:rFonts w:asciiTheme="majorHAnsi" w:hAnsiTheme="majorHAnsi" w:cstheme="majorHAnsi"/>
          <w:sz w:val="22"/>
          <w:szCs w:val="22"/>
        </w:rPr>
        <w:t xml:space="preserve"> (ISR, </w:t>
      </w:r>
      <w:proofErr w:type="spellStart"/>
      <w:r w:rsidR="0004285F">
        <w:rPr>
          <w:rFonts w:asciiTheme="majorHAnsi" w:hAnsiTheme="majorHAnsi" w:cstheme="majorHAnsi"/>
          <w:sz w:val="22"/>
          <w:szCs w:val="22"/>
        </w:rPr>
        <w:t>p</w:t>
      </w:r>
      <w:r w:rsidR="0033012B">
        <w:rPr>
          <w:rFonts w:asciiTheme="majorHAnsi" w:hAnsiTheme="majorHAnsi" w:cstheme="majorHAnsi"/>
          <w:sz w:val="22"/>
          <w:szCs w:val="22"/>
        </w:rPr>
        <w:t>.</w:t>
      </w:r>
      <w:r w:rsidR="0004285F">
        <w:rPr>
          <w:rFonts w:asciiTheme="majorHAnsi" w:hAnsiTheme="majorHAnsi" w:cstheme="majorHAnsi"/>
          <w:sz w:val="22"/>
          <w:szCs w:val="22"/>
        </w:rPr>
        <w:t>iv</w:t>
      </w:r>
      <w:proofErr w:type="spellEnd"/>
      <w:r w:rsidR="0004285F">
        <w:rPr>
          <w:rFonts w:asciiTheme="majorHAnsi" w:hAnsiTheme="majorHAnsi" w:cstheme="majorHAnsi"/>
          <w:sz w:val="22"/>
          <w:szCs w:val="22"/>
        </w:rPr>
        <w:t>)</w:t>
      </w:r>
      <w:r w:rsidR="00BC7D69" w:rsidRPr="00974377">
        <w:rPr>
          <w:rFonts w:asciiTheme="majorHAnsi" w:hAnsiTheme="majorHAnsi" w:cstheme="majorHAnsi"/>
          <w:sz w:val="22"/>
          <w:szCs w:val="22"/>
        </w:rPr>
        <w:t xml:space="preserve">. </w:t>
      </w:r>
      <w:r w:rsidRPr="00974377">
        <w:rPr>
          <w:rFonts w:asciiTheme="majorHAnsi" w:hAnsiTheme="majorHAnsi" w:cstheme="majorHAnsi"/>
          <w:sz w:val="22"/>
          <w:szCs w:val="22"/>
        </w:rPr>
        <w:t xml:space="preserve"> </w:t>
      </w:r>
    </w:p>
    <w:p w14:paraId="5B663B27" w14:textId="02F12BDF" w:rsidR="00BC7D69" w:rsidRPr="00974377" w:rsidRDefault="00BC7D69" w:rsidP="008D1844">
      <w:pPr>
        <w:pStyle w:val="ListParagraph"/>
        <w:numPr>
          <w:ilvl w:val="0"/>
          <w:numId w:val="46"/>
        </w:numPr>
        <w:tabs>
          <w:tab w:val="left" w:pos="284"/>
        </w:tabs>
        <w:spacing w:after="120" w:line="281" w:lineRule="auto"/>
        <w:ind w:left="567" w:hanging="283"/>
        <w:contextualSpacing w:val="0"/>
        <w:rPr>
          <w:rFonts w:asciiTheme="majorHAnsi" w:hAnsiTheme="majorHAnsi" w:cstheme="majorHAnsi"/>
          <w:sz w:val="22"/>
          <w:szCs w:val="22"/>
        </w:rPr>
      </w:pPr>
      <w:r w:rsidRPr="00974377">
        <w:rPr>
          <w:rFonts w:asciiTheme="majorHAnsi" w:hAnsiTheme="majorHAnsi" w:cstheme="majorHAnsi"/>
          <w:sz w:val="22"/>
          <w:szCs w:val="22"/>
        </w:rPr>
        <w:t>There is an opportunity</w:t>
      </w:r>
      <w:r w:rsidRPr="00974377">
        <w:rPr>
          <w:vertAlign w:val="superscript"/>
        </w:rPr>
        <w:footnoteReference w:id="20"/>
      </w:r>
      <w:r w:rsidRPr="00974377">
        <w:rPr>
          <w:rFonts w:asciiTheme="majorHAnsi" w:hAnsiTheme="majorHAnsi" w:cstheme="majorHAnsi"/>
          <w:sz w:val="22"/>
          <w:szCs w:val="22"/>
        </w:rPr>
        <w:t xml:space="preserve"> to expand th</w:t>
      </w:r>
      <w:r w:rsidR="00F82E20" w:rsidRPr="00974377">
        <w:rPr>
          <w:rFonts w:asciiTheme="majorHAnsi" w:hAnsiTheme="majorHAnsi" w:cstheme="majorHAnsi"/>
          <w:sz w:val="22"/>
          <w:szCs w:val="22"/>
        </w:rPr>
        <w:t xml:space="preserve">is support </w:t>
      </w:r>
      <w:r w:rsidRPr="00974377">
        <w:rPr>
          <w:rFonts w:asciiTheme="majorHAnsi" w:hAnsiTheme="majorHAnsi" w:cstheme="majorHAnsi"/>
          <w:sz w:val="22"/>
          <w:szCs w:val="22"/>
        </w:rPr>
        <w:t xml:space="preserve">to early childhood education (ECE) – this is justified by the strong and well documented relationship </w:t>
      </w:r>
      <w:r w:rsidR="00F82E20" w:rsidRPr="00974377">
        <w:rPr>
          <w:rFonts w:asciiTheme="majorHAnsi" w:hAnsiTheme="majorHAnsi" w:cstheme="majorHAnsi"/>
          <w:sz w:val="22"/>
          <w:szCs w:val="22"/>
        </w:rPr>
        <w:t xml:space="preserve">between a successful transition year </w:t>
      </w:r>
      <w:r w:rsidR="009D4DA7" w:rsidRPr="00974377">
        <w:rPr>
          <w:rFonts w:asciiTheme="majorHAnsi" w:hAnsiTheme="majorHAnsi" w:cstheme="majorHAnsi"/>
          <w:sz w:val="22"/>
          <w:szCs w:val="22"/>
        </w:rPr>
        <w:t xml:space="preserve">to Grade 1 and </w:t>
      </w:r>
      <w:r w:rsidRPr="00974377">
        <w:rPr>
          <w:rFonts w:asciiTheme="majorHAnsi" w:hAnsiTheme="majorHAnsi" w:cstheme="majorHAnsi"/>
          <w:sz w:val="22"/>
          <w:szCs w:val="22"/>
        </w:rPr>
        <w:t>the attainment of foundation skills</w:t>
      </w:r>
      <w:r w:rsidR="00F82E20" w:rsidRPr="00974377">
        <w:rPr>
          <w:rFonts w:asciiTheme="majorHAnsi" w:hAnsiTheme="majorHAnsi" w:cstheme="majorHAnsi"/>
          <w:sz w:val="22"/>
          <w:szCs w:val="22"/>
        </w:rPr>
        <w:t xml:space="preserve"> in primary school</w:t>
      </w:r>
      <w:r w:rsidRPr="00974377">
        <w:rPr>
          <w:rFonts w:asciiTheme="majorHAnsi" w:hAnsiTheme="majorHAnsi" w:cstheme="majorHAnsi"/>
          <w:sz w:val="22"/>
          <w:szCs w:val="22"/>
        </w:rPr>
        <w:t xml:space="preserve">. </w:t>
      </w:r>
      <w:r w:rsidR="00DC0F1C">
        <w:rPr>
          <w:rFonts w:asciiTheme="majorHAnsi" w:hAnsiTheme="majorHAnsi" w:cstheme="majorHAnsi"/>
          <w:sz w:val="22"/>
          <w:szCs w:val="22"/>
        </w:rPr>
        <w:t>Appropriate</w:t>
      </w:r>
      <w:r w:rsidR="0004285F">
        <w:rPr>
          <w:rFonts w:asciiTheme="majorHAnsi" w:hAnsiTheme="majorHAnsi" w:cstheme="majorHAnsi"/>
          <w:sz w:val="22"/>
          <w:szCs w:val="22"/>
        </w:rPr>
        <w:t xml:space="preserve"> </w:t>
      </w:r>
      <w:r w:rsidR="00DC0F1C">
        <w:rPr>
          <w:rFonts w:asciiTheme="majorHAnsi" w:hAnsiTheme="majorHAnsi" w:cstheme="majorHAnsi"/>
          <w:sz w:val="22"/>
          <w:szCs w:val="22"/>
        </w:rPr>
        <w:t xml:space="preserve">ECE programs also have the potential to </w:t>
      </w:r>
      <w:r w:rsidR="0004285F">
        <w:rPr>
          <w:rFonts w:asciiTheme="majorHAnsi" w:hAnsiTheme="majorHAnsi" w:cstheme="majorHAnsi"/>
          <w:sz w:val="22"/>
          <w:szCs w:val="22"/>
        </w:rPr>
        <w:t xml:space="preserve">significantly </w:t>
      </w:r>
      <w:r w:rsidR="00DC0F1C">
        <w:rPr>
          <w:rFonts w:asciiTheme="majorHAnsi" w:hAnsiTheme="majorHAnsi" w:cstheme="majorHAnsi"/>
          <w:sz w:val="22"/>
          <w:szCs w:val="22"/>
        </w:rPr>
        <w:t xml:space="preserve">mitigate </w:t>
      </w:r>
      <w:r w:rsidR="00311015">
        <w:rPr>
          <w:rFonts w:asciiTheme="majorHAnsi" w:hAnsiTheme="majorHAnsi" w:cstheme="majorHAnsi"/>
          <w:sz w:val="22"/>
          <w:szCs w:val="22"/>
        </w:rPr>
        <w:t xml:space="preserve">barriers to learning </w:t>
      </w:r>
      <w:r w:rsidR="0004285F">
        <w:rPr>
          <w:rFonts w:asciiTheme="majorHAnsi" w:hAnsiTheme="majorHAnsi" w:cstheme="majorHAnsi"/>
          <w:sz w:val="22"/>
          <w:szCs w:val="22"/>
        </w:rPr>
        <w:t>for</w:t>
      </w:r>
      <w:r w:rsidR="00311015">
        <w:rPr>
          <w:rFonts w:asciiTheme="majorHAnsi" w:hAnsiTheme="majorHAnsi" w:cstheme="majorHAnsi"/>
          <w:sz w:val="22"/>
          <w:szCs w:val="22"/>
        </w:rPr>
        <w:t xml:space="preserve"> vulnerable groups, through the difference that early assessment can make for the learning of children with a disability </w:t>
      </w:r>
      <w:r w:rsidR="0025048E">
        <w:rPr>
          <w:rFonts w:asciiTheme="majorHAnsi" w:hAnsiTheme="majorHAnsi" w:cstheme="majorHAnsi"/>
          <w:sz w:val="22"/>
          <w:szCs w:val="22"/>
        </w:rPr>
        <w:t>and/</w:t>
      </w:r>
      <w:r w:rsidR="00311015">
        <w:rPr>
          <w:rFonts w:asciiTheme="majorHAnsi" w:hAnsiTheme="majorHAnsi" w:cstheme="majorHAnsi"/>
          <w:sz w:val="22"/>
          <w:szCs w:val="22"/>
        </w:rPr>
        <w:t xml:space="preserve">or the barrier of school </w:t>
      </w:r>
      <w:r w:rsidR="0025048E">
        <w:rPr>
          <w:rFonts w:asciiTheme="majorHAnsi" w:hAnsiTheme="majorHAnsi" w:cstheme="majorHAnsi"/>
          <w:sz w:val="22"/>
          <w:szCs w:val="22"/>
        </w:rPr>
        <w:t xml:space="preserve">language </w:t>
      </w:r>
      <w:r w:rsidR="00311015">
        <w:rPr>
          <w:rFonts w:asciiTheme="majorHAnsi" w:hAnsiTheme="majorHAnsi" w:cstheme="majorHAnsi"/>
          <w:sz w:val="22"/>
          <w:szCs w:val="22"/>
        </w:rPr>
        <w:t>for mother</w:t>
      </w:r>
      <w:r w:rsidR="0004285F">
        <w:rPr>
          <w:rFonts w:asciiTheme="majorHAnsi" w:hAnsiTheme="majorHAnsi" w:cstheme="majorHAnsi"/>
          <w:sz w:val="22"/>
          <w:szCs w:val="22"/>
        </w:rPr>
        <w:t>-</w:t>
      </w:r>
      <w:r w:rsidR="00311015">
        <w:rPr>
          <w:rFonts w:asciiTheme="majorHAnsi" w:hAnsiTheme="majorHAnsi" w:cstheme="majorHAnsi"/>
          <w:sz w:val="22"/>
          <w:szCs w:val="22"/>
        </w:rPr>
        <w:t>tongue speakers.</w:t>
      </w:r>
    </w:p>
    <w:p w14:paraId="7BF82B32" w14:textId="4408406A" w:rsidR="00BC7D69" w:rsidRPr="00974377" w:rsidRDefault="00BC7D69" w:rsidP="008D1844">
      <w:pPr>
        <w:pStyle w:val="ListParagraph"/>
        <w:numPr>
          <w:ilvl w:val="0"/>
          <w:numId w:val="46"/>
        </w:numPr>
        <w:tabs>
          <w:tab w:val="left" w:pos="284"/>
        </w:tabs>
        <w:spacing w:after="120" w:line="281" w:lineRule="auto"/>
        <w:ind w:left="567" w:hanging="283"/>
        <w:contextualSpacing w:val="0"/>
        <w:rPr>
          <w:rFonts w:asciiTheme="majorHAnsi" w:hAnsiTheme="majorHAnsi" w:cstheme="majorHAnsi"/>
          <w:sz w:val="22"/>
          <w:szCs w:val="22"/>
        </w:rPr>
      </w:pPr>
      <w:r w:rsidRPr="00974377">
        <w:rPr>
          <w:rFonts w:asciiTheme="majorHAnsi" w:hAnsiTheme="majorHAnsi" w:cstheme="majorHAnsi"/>
          <w:sz w:val="22"/>
          <w:szCs w:val="22"/>
        </w:rPr>
        <w:t xml:space="preserve">As </w:t>
      </w:r>
      <w:r w:rsidR="00F82E20" w:rsidRPr="00974377">
        <w:rPr>
          <w:rFonts w:asciiTheme="majorHAnsi" w:hAnsiTheme="majorHAnsi" w:cstheme="majorHAnsi"/>
          <w:sz w:val="22"/>
          <w:szCs w:val="22"/>
        </w:rPr>
        <w:t xml:space="preserve">a </w:t>
      </w:r>
      <w:r w:rsidRPr="00974377">
        <w:rPr>
          <w:rFonts w:asciiTheme="majorHAnsi" w:hAnsiTheme="majorHAnsi" w:cstheme="majorHAnsi"/>
          <w:sz w:val="22"/>
          <w:szCs w:val="22"/>
        </w:rPr>
        <w:t>program operating in a dynamic environment, INOVASI success is multifactored</w:t>
      </w:r>
      <w:r w:rsidR="009D4DA7" w:rsidRPr="00974377">
        <w:rPr>
          <w:rFonts w:asciiTheme="majorHAnsi" w:hAnsiTheme="majorHAnsi" w:cstheme="majorHAnsi"/>
          <w:sz w:val="22"/>
          <w:szCs w:val="22"/>
        </w:rPr>
        <w:t>.</w:t>
      </w:r>
      <w:r w:rsidRPr="00974377">
        <w:rPr>
          <w:rFonts w:asciiTheme="majorHAnsi" w:hAnsiTheme="majorHAnsi" w:cstheme="majorHAnsi"/>
          <w:sz w:val="22"/>
          <w:szCs w:val="22"/>
        </w:rPr>
        <w:t xml:space="preserve"> </w:t>
      </w:r>
      <w:r w:rsidR="009D4DA7" w:rsidRPr="00974377">
        <w:rPr>
          <w:rFonts w:asciiTheme="majorHAnsi" w:hAnsiTheme="majorHAnsi" w:cstheme="majorHAnsi"/>
          <w:sz w:val="22"/>
          <w:szCs w:val="22"/>
        </w:rPr>
        <w:t xml:space="preserve">It </w:t>
      </w:r>
      <w:r w:rsidR="00311015">
        <w:rPr>
          <w:rFonts w:asciiTheme="majorHAnsi" w:hAnsiTheme="majorHAnsi" w:cstheme="majorHAnsi"/>
          <w:sz w:val="22"/>
          <w:szCs w:val="22"/>
        </w:rPr>
        <w:t>has been influenced by</w:t>
      </w:r>
      <w:r w:rsidRPr="00974377">
        <w:rPr>
          <w:rFonts w:asciiTheme="majorHAnsi" w:hAnsiTheme="majorHAnsi" w:cstheme="majorHAnsi"/>
          <w:sz w:val="22"/>
          <w:szCs w:val="22"/>
        </w:rPr>
        <w:t xml:space="preserve"> the flexible and adaptive management of the program, </w:t>
      </w:r>
      <w:r w:rsidR="00DC0F1C">
        <w:rPr>
          <w:rFonts w:asciiTheme="majorHAnsi" w:hAnsiTheme="majorHAnsi" w:cstheme="majorHAnsi"/>
          <w:sz w:val="22"/>
          <w:szCs w:val="22"/>
        </w:rPr>
        <w:t>its collaborative</w:t>
      </w:r>
      <w:r w:rsidR="00311015">
        <w:rPr>
          <w:rFonts w:asciiTheme="majorHAnsi" w:hAnsiTheme="majorHAnsi" w:cstheme="majorHAnsi"/>
          <w:sz w:val="22"/>
          <w:szCs w:val="22"/>
        </w:rPr>
        <w:t>,</w:t>
      </w:r>
      <w:r w:rsidR="00DC0F1C">
        <w:rPr>
          <w:rFonts w:asciiTheme="majorHAnsi" w:hAnsiTheme="majorHAnsi" w:cstheme="majorHAnsi"/>
          <w:sz w:val="22"/>
          <w:szCs w:val="22"/>
        </w:rPr>
        <w:t xml:space="preserve"> problem-based approach to policy engagement, </w:t>
      </w:r>
      <w:r w:rsidRPr="00974377">
        <w:rPr>
          <w:rFonts w:asciiTheme="majorHAnsi" w:hAnsiTheme="majorHAnsi" w:cstheme="majorHAnsi"/>
          <w:sz w:val="22"/>
          <w:szCs w:val="22"/>
        </w:rPr>
        <w:t xml:space="preserve">the underlying close relationship between </w:t>
      </w:r>
      <w:r w:rsidR="00F82E20" w:rsidRPr="00974377">
        <w:rPr>
          <w:rFonts w:asciiTheme="majorHAnsi" w:hAnsiTheme="majorHAnsi" w:cstheme="majorHAnsi"/>
          <w:sz w:val="22"/>
          <w:szCs w:val="22"/>
        </w:rPr>
        <w:t>Post</w:t>
      </w:r>
      <w:r w:rsidRPr="00974377">
        <w:rPr>
          <w:rFonts w:asciiTheme="majorHAnsi" w:hAnsiTheme="majorHAnsi" w:cstheme="majorHAnsi"/>
          <w:sz w:val="22"/>
          <w:szCs w:val="22"/>
        </w:rPr>
        <w:t xml:space="preserve"> and implementation teams, and the program’s ability to respond effectively to contextual opportunities such as the emergence of </w:t>
      </w:r>
      <w:proofErr w:type="spellStart"/>
      <w:r w:rsidRPr="00974377">
        <w:rPr>
          <w:rFonts w:asciiTheme="majorHAnsi" w:hAnsiTheme="majorHAnsi" w:cstheme="majorHAnsi"/>
          <w:sz w:val="22"/>
          <w:szCs w:val="22"/>
        </w:rPr>
        <w:t>GoI’s</w:t>
      </w:r>
      <w:proofErr w:type="spellEnd"/>
      <w:r w:rsidRPr="00974377">
        <w:rPr>
          <w:rFonts w:asciiTheme="majorHAnsi" w:hAnsiTheme="majorHAnsi" w:cstheme="majorHAnsi"/>
          <w:sz w:val="22"/>
          <w:szCs w:val="22"/>
        </w:rPr>
        <w:t xml:space="preserve"> reform agenda or the disruption caused by </w:t>
      </w:r>
      <w:r w:rsidR="00F82E20" w:rsidRPr="00974377">
        <w:rPr>
          <w:rFonts w:asciiTheme="majorHAnsi" w:hAnsiTheme="majorHAnsi" w:cstheme="majorHAnsi"/>
          <w:sz w:val="22"/>
          <w:szCs w:val="22"/>
        </w:rPr>
        <w:t xml:space="preserve">the </w:t>
      </w:r>
      <w:r w:rsidRPr="00974377">
        <w:rPr>
          <w:rFonts w:asciiTheme="majorHAnsi" w:hAnsiTheme="majorHAnsi" w:cstheme="majorHAnsi"/>
          <w:sz w:val="22"/>
          <w:szCs w:val="22"/>
        </w:rPr>
        <w:t xml:space="preserve">COVID-19 pandemic. </w:t>
      </w:r>
    </w:p>
    <w:p w14:paraId="7A9E09CF" w14:textId="47201A22" w:rsidR="00BC7D69" w:rsidRPr="00974377" w:rsidRDefault="00BC7D69" w:rsidP="008D1844">
      <w:pPr>
        <w:pStyle w:val="ListParagraph"/>
        <w:numPr>
          <w:ilvl w:val="0"/>
          <w:numId w:val="47"/>
        </w:numPr>
        <w:tabs>
          <w:tab w:val="left" w:pos="284"/>
        </w:tabs>
        <w:spacing w:after="120" w:line="281" w:lineRule="auto"/>
        <w:ind w:left="567" w:hanging="283"/>
        <w:contextualSpacing w:val="0"/>
        <w:rPr>
          <w:rFonts w:asciiTheme="majorHAnsi" w:hAnsiTheme="majorHAnsi" w:cstheme="majorHAnsi"/>
          <w:sz w:val="22"/>
          <w:szCs w:val="22"/>
        </w:rPr>
      </w:pPr>
      <w:r w:rsidRPr="00974377">
        <w:rPr>
          <w:rFonts w:asciiTheme="majorHAnsi" w:hAnsiTheme="majorHAnsi" w:cstheme="majorHAnsi"/>
          <w:sz w:val="22"/>
          <w:szCs w:val="22"/>
        </w:rPr>
        <w:t xml:space="preserve">While the assessment of impact on foundational learning outcomes </w:t>
      </w:r>
      <w:r w:rsidR="009D4DA7" w:rsidRPr="00974377">
        <w:rPr>
          <w:rFonts w:asciiTheme="majorHAnsi" w:hAnsiTheme="majorHAnsi" w:cstheme="majorHAnsi"/>
          <w:sz w:val="22"/>
          <w:szCs w:val="22"/>
        </w:rPr>
        <w:t xml:space="preserve">is still in process, </w:t>
      </w:r>
      <w:r w:rsidRPr="00974377">
        <w:rPr>
          <w:rFonts w:asciiTheme="majorHAnsi" w:hAnsiTheme="majorHAnsi" w:cstheme="majorHAnsi"/>
          <w:sz w:val="22"/>
          <w:szCs w:val="22"/>
        </w:rPr>
        <w:t xml:space="preserve">the multi-pronged approach to strengthen inclusive education policies and practices has generated a high degree of ownership and traction </w:t>
      </w:r>
      <w:r w:rsidR="009D4DA7" w:rsidRPr="00974377">
        <w:rPr>
          <w:rFonts w:asciiTheme="majorHAnsi" w:hAnsiTheme="majorHAnsi" w:cstheme="majorHAnsi"/>
          <w:sz w:val="22"/>
          <w:szCs w:val="22"/>
        </w:rPr>
        <w:t xml:space="preserve">for </w:t>
      </w:r>
      <w:r w:rsidRPr="00974377">
        <w:rPr>
          <w:rFonts w:asciiTheme="majorHAnsi" w:hAnsiTheme="majorHAnsi" w:cstheme="majorHAnsi"/>
          <w:sz w:val="22"/>
          <w:szCs w:val="22"/>
        </w:rPr>
        <w:t xml:space="preserve">the program at both national and district levels. </w:t>
      </w:r>
      <w:r w:rsidR="00311015">
        <w:rPr>
          <w:rFonts w:asciiTheme="majorHAnsi" w:hAnsiTheme="majorHAnsi" w:cstheme="majorHAnsi"/>
          <w:sz w:val="22"/>
          <w:szCs w:val="22"/>
        </w:rPr>
        <w:t>A</w:t>
      </w:r>
      <w:r w:rsidR="00311015" w:rsidRPr="00974377">
        <w:rPr>
          <w:rFonts w:asciiTheme="majorHAnsi" w:hAnsiTheme="majorHAnsi" w:cstheme="majorHAnsi"/>
          <w:sz w:val="22"/>
          <w:szCs w:val="22"/>
        </w:rPr>
        <w:t>t subnational level</w:t>
      </w:r>
      <w:r w:rsidR="00311015">
        <w:rPr>
          <w:rFonts w:asciiTheme="majorHAnsi" w:hAnsiTheme="majorHAnsi" w:cstheme="majorHAnsi"/>
          <w:sz w:val="22"/>
          <w:szCs w:val="22"/>
        </w:rPr>
        <w:t>, t</w:t>
      </w:r>
      <w:r w:rsidR="00311015" w:rsidRPr="00974377">
        <w:rPr>
          <w:rFonts w:asciiTheme="majorHAnsi" w:hAnsiTheme="majorHAnsi" w:cstheme="majorHAnsi"/>
          <w:sz w:val="22"/>
          <w:szCs w:val="22"/>
        </w:rPr>
        <w:t xml:space="preserve">his </w:t>
      </w:r>
      <w:r w:rsidRPr="00974377">
        <w:rPr>
          <w:rFonts w:asciiTheme="majorHAnsi" w:hAnsiTheme="majorHAnsi" w:cstheme="majorHAnsi"/>
          <w:sz w:val="22"/>
          <w:szCs w:val="22"/>
        </w:rPr>
        <w:t>is facilitated by INOVASI’s work on building support coalitions and mobilis</w:t>
      </w:r>
      <w:r w:rsidR="00F82E20" w:rsidRPr="00974377">
        <w:rPr>
          <w:rFonts w:asciiTheme="majorHAnsi" w:hAnsiTheme="majorHAnsi" w:cstheme="majorHAnsi"/>
          <w:sz w:val="22"/>
          <w:szCs w:val="22"/>
        </w:rPr>
        <w:t>ing</w:t>
      </w:r>
      <w:r w:rsidRPr="00974377">
        <w:rPr>
          <w:rFonts w:asciiTheme="majorHAnsi" w:hAnsiTheme="majorHAnsi" w:cstheme="majorHAnsi"/>
          <w:sz w:val="22"/>
          <w:szCs w:val="22"/>
        </w:rPr>
        <w:t xml:space="preserve"> </w:t>
      </w:r>
      <w:r w:rsidR="0012391F">
        <w:rPr>
          <w:rFonts w:asciiTheme="majorHAnsi" w:hAnsiTheme="majorHAnsi" w:cstheme="majorHAnsi"/>
          <w:sz w:val="22"/>
          <w:szCs w:val="22"/>
        </w:rPr>
        <w:t>en</w:t>
      </w:r>
      <w:r w:rsidR="00D7221C">
        <w:rPr>
          <w:rFonts w:asciiTheme="majorHAnsi" w:hAnsiTheme="majorHAnsi" w:cstheme="majorHAnsi"/>
          <w:sz w:val="22"/>
          <w:szCs w:val="22"/>
        </w:rPr>
        <w:t>gagement in reform</w:t>
      </w:r>
      <w:r w:rsidR="0025048E">
        <w:rPr>
          <w:rFonts w:asciiTheme="majorHAnsi" w:hAnsiTheme="majorHAnsi" w:cstheme="majorHAnsi"/>
          <w:sz w:val="22"/>
          <w:szCs w:val="22"/>
        </w:rPr>
        <w:t>,</w:t>
      </w:r>
      <w:r w:rsidRPr="00974377">
        <w:rPr>
          <w:rFonts w:asciiTheme="majorHAnsi" w:hAnsiTheme="majorHAnsi" w:cstheme="majorHAnsi"/>
          <w:sz w:val="22"/>
          <w:szCs w:val="22"/>
        </w:rPr>
        <w:t xml:space="preserve"> </w:t>
      </w:r>
      <w:r w:rsidR="00311015">
        <w:rPr>
          <w:rFonts w:asciiTheme="majorHAnsi" w:hAnsiTheme="majorHAnsi" w:cstheme="majorHAnsi"/>
          <w:sz w:val="22"/>
          <w:szCs w:val="22"/>
        </w:rPr>
        <w:t>notably</w:t>
      </w:r>
      <w:r w:rsidR="0012391F">
        <w:rPr>
          <w:rFonts w:asciiTheme="majorHAnsi" w:hAnsiTheme="majorHAnsi" w:cstheme="majorHAnsi"/>
          <w:sz w:val="22"/>
          <w:szCs w:val="22"/>
        </w:rPr>
        <w:t xml:space="preserve"> with </w:t>
      </w:r>
      <w:r w:rsidR="00311015">
        <w:rPr>
          <w:rFonts w:asciiTheme="majorHAnsi" w:hAnsiTheme="majorHAnsi" w:cstheme="majorHAnsi"/>
          <w:sz w:val="22"/>
          <w:szCs w:val="22"/>
        </w:rPr>
        <w:t xml:space="preserve">private sector providers of madrasah education and </w:t>
      </w:r>
      <w:r w:rsidR="0012391F">
        <w:rPr>
          <w:rFonts w:asciiTheme="majorHAnsi" w:hAnsiTheme="majorHAnsi" w:cstheme="majorHAnsi"/>
          <w:sz w:val="22"/>
          <w:szCs w:val="22"/>
        </w:rPr>
        <w:t>reformist</w:t>
      </w:r>
      <w:r w:rsidR="00311015">
        <w:rPr>
          <w:rFonts w:asciiTheme="majorHAnsi" w:hAnsiTheme="majorHAnsi" w:cstheme="majorHAnsi"/>
          <w:sz w:val="22"/>
          <w:szCs w:val="22"/>
        </w:rPr>
        <w:t xml:space="preserve"> </w:t>
      </w:r>
      <w:r w:rsidR="0004285F">
        <w:rPr>
          <w:rFonts w:asciiTheme="majorHAnsi" w:hAnsiTheme="majorHAnsi" w:cstheme="majorHAnsi"/>
          <w:sz w:val="22"/>
          <w:szCs w:val="22"/>
        </w:rPr>
        <w:t>t</w:t>
      </w:r>
      <w:r w:rsidR="0012391F">
        <w:rPr>
          <w:rFonts w:asciiTheme="majorHAnsi" w:hAnsiTheme="majorHAnsi" w:cstheme="majorHAnsi"/>
          <w:sz w:val="22"/>
          <w:szCs w:val="22"/>
        </w:rPr>
        <w:t xml:space="preserve">eacher </w:t>
      </w:r>
      <w:r w:rsidR="00D06E92">
        <w:rPr>
          <w:rFonts w:asciiTheme="majorHAnsi" w:hAnsiTheme="majorHAnsi" w:cstheme="majorHAnsi"/>
          <w:sz w:val="22"/>
          <w:szCs w:val="22"/>
        </w:rPr>
        <w:t xml:space="preserve">training </w:t>
      </w:r>
      <w:r w:rsidR="009F5E25">
        <w:rPr>
          <w:rFonts w:asciiTheme="majorHAnsi" w:hAnsiTheme="majorHAnsi" w:cstheme="majorHAnsi"/>
          <w:sz w:val="22"/>
          <w:szCs w:val="22"/>
        </w:rPr>
        <w:t>institutions</w:t>
      </w:r>
      <w:r w:rsidR="00311015">
        <w:rPr>
          <w:rFonts w:asciiTheme="majorHAnsi" w:hAnsiTheme="majorHAnsi" w:cstheme="majorHAnsi"/>
          <w:sz w:val="22"/>
          <w:szCs w:val="22"/>
        </w:rPr>
        <w:t xml:space="preserve"> </w:t>
      </w:r>
      <w:r w:rsidR="00D7221C">
        <w:rPr>
          <w:rFonts w:asciiTheme="majorHAnsi" w:hAnsiTheme="majorHAnsi" w:cstheme="majorHAnsi"/>
          <w:sz w:val="22"/>
          <w:szCs w:val="22"/>
        </w:rPr>
        <w:t>in partner provinces</w:t>
      </w:r>
      <w:r w:rsidRPr="00974377">
        <w:rPr>
          <w:rFonts w:asciiTheme="majorHAnsi" w:hAnsiTheme="majorHAnsi" w:cstheme="majorHAnsi"/>
          <w:sz w:val="22"/>
          <w:szCs w:val="22"/>
        </w:rPr>
        <w:t>.</w:t>
      </w:r>
    </w:p>
    <w:p w14:paraId="1BEB32BA" w14:textId="0943AFD6" w:rsidR="00BC7D69" w:rsidRPr="00974377" w:rsidRDefault="00BC7D69" w:rsidP="008D1844">
      <w:pPr>
        <w:pStyle w:val="ListParagraph"/>
        <w:numPr>
          <w:ilvl w:val="0"/>
          <w:numId w:val="46"/>
        </w:numPr>
        <w:tabs>
          <w:tab w:val="left" w:pos="284"/>
        </w:tabs>
        <w:spacing w:after="120" w:line="281" w:lineRule="auto"/>
        <w:ind w:left="567" w:hanging="283"/>
        <w:contextualSpacing w:val="0"/>
        <w:rPr>
          <w:rFonts w:asciiTheme="majorHAnsi" w:hAnsiTheme="majorHAnsi" w:cstheme="majorHAnsi"/>
          <w:sz w:val="22"/>
          <w:szCs w:val="22"/>
        </w:rPr>
      </w:pPr>
      <w:r w:rsidRPr="00974377">
        <w:rPr>
          <w:rFonts w:asciiTheme="majorHAnsi" w:hAnsiTheme="majorHAnsi" w:cstheme="majorHAnsi"/>
          <w:sz w:val="22"/>
          <w:szCs w:val="22"/>
        </w:rPr>
        <w:t xml:space="preserve">The program impact relies </w:t>
      </w:r>
      <w:r w:rsidR="00B4389B" w:rsidRPr="00974377">
        <w:rPr>
          <w:rFonts w:asciiTheme="majorHAnsi" w:hAnsiTheme="majorHAnsi" w:cstheme="majorHAnsi"/>
          <w:sz w:val="22"/>
          <w:szCs w:val="22"/>
        </w:rPr>
        <w:t xml:space="preserve">in part </w:t>
      </w:r>
      <w:r w:rsidRPr="00974377">
        <w:rPr>
          <w:rFonts w:asciiTheme="majorHAnsi" w:hAnsiTheme="majorHAnsi" w:cstheme="majorHAnsi"/>
          <w:sz w:val="22"/>
          <w:szCs w:val="22"/>
        </w:rPr>
        <w:t>on convinc</w:t>
      </w:r>
      <w:r w:rsidR="004128B1">
        <w:rPr>
          <w:rFonts w:asciiTheme="majorHAnsi" w:hAnsiTheme="majorHAnsi" w:cstheme="majorHAnsi"/>
          <w:sz w:val="22"/>
          <w:szCs w:val="22"/>
        </w:rPr>
        <w:t>ing</w:t>
      </w:r>
      <w:r w:rsidRPr="00974377">
        <w:rPr>
          <w:rFonts w:asciiTheme="majorHAnsi" w:hAnsiTheme="majorHAnsi" w:cstheme="majorHAnsi"/>
          <w:sz w:val="22"/>
          <w:szCs w:val="22"/>
        </w:rPr>
        <w:t xml:space="preserve"> </w:t>
      </w:r>
      <w:proofErr w:type="spellStart"/>
      <w:r w:rsidR="004128B1">
        <w:rPr>
          <w:rFonts w:asciiTheme="majorHAnsi" w:hAnsiTheme="majorHAnsi" w:cstheme="majorHAnsi"/>
          <w:sz w:val="22"/>
          <w:szCs w:val="22"/>
        </w:rPr>
        <w:t>GoI</w:t>
      </w:r>
      <w:proofErr w:type="spellEnd"/>
      <w:r w:rsidR="00C20FE3" w:rsidRPr="00974377">
        <w:rPr>
          <w:rFonts w:asciiTheme="majorHAnsi" w:hAnsiTheme="majorHAnsi" w:cstheme="majorHAnsi"/>
          <w:sz w:val="22"/>
          <w:szCs w:val="22"/>
        </w:rPr>
        <w:t xml:space="preserve"> of the value of its</w:t>
      </w:r>
      <w:r w:rsidR="00B4389B" w:rsidRPr="00974377">
        <w:rPr>
          <w:rFonts w:asciiTheme="majorHAnsi" w:hAnsiTheme="majorHAnsi" w:cstheme="majorHAnsi"/>
          <w:sz w:val="22"/>
          <w:szCs w:val="22"/>
        </w:rPr>
        <w:t xml:space="preserve"> </w:t>
      </w:r>
      <w:r w:rsidRPr="00974377">
        <w:rPr>
          <w:rFonts w:asciiTheme="majorHAnsi" w:hAnsiTheme="majorHAnsi" w:cstheme="majorHAnsi"/>
          <w:sz w:val="22"/>
          <w:szCs w:val="22"/>
        </w:rPr>
        <w:t xml:space="preserve">delivery model and </w:t>
      </w:r>
      <w:r w:rsidR="004128B1">
        <w:rPr>
          <w:rFonts w:asciiTheme="majorHAnsi" w:hAnsiTheme="majorHAnsi" w:cstheme="majorHAnsi"/>
          <w:sz w:val="22"/>
          <w:szCs w:val="22"/>
        </w:rPr>
        <w:t>approache</w:t>
      </w:r>
      <w:r w:rsidRPr="00974377">
        <w:rPr>
          <w:rFonts w:asciiTheme="majorHAnsi" w:hAnsiTheme="majorHAnsi" w:cstheme="majorHAnsi"/>
          <w:sz w:val="22"/>
          <w:szCs w:val="22"/>
        </w:rPr>
        <w:t xml:space="preserve">s. Its ability to document, assess and understand the occurrence and drivers of achievements is essential to its success. The strength of its lessons is </w:t>
      </w:r>
      <w:r w:rsidR="00B4389B" w:rsidRPr="00974377">
        <w:rPr>
          <w:rFonts w:asciiTheme="majorHAnsi" w:hAnsiTheme="majorHAnsi" w:cstheme="majorHAnsi"/>
          <w:sz w:val="22"/>
          <w:szCs w:val="22"/>
        </w:rPr>
        <w:t xml:space="preserve">therefore </w:t>
      </w:r>
      <w:r w:rsidRPr="00974377">
        <w:rPr>
          <w:rFonts w:asciiTheme="majorHAnsi" w:hAnsiTheme="majorHAnsi" w:cstheme="majorHAnsi"/>
          <w:sz w:val="22"/>
          <w:szCs w:val="22"/>
        </w:rPr>
        <w:t>as important as its performance claims</w:t>
      </w:r>
      <w:r w:rsidR="00B4389B" w:rsidRPr="00974377">
        <w:rPr>
          <w:rFonts w:asciiTheme="majorHAnsi" w:hAnsiTheme="majorHAnsi" w:cstheme="majorHAnsi"/>
          <w:sz w:val="22"/>
          <w:szCs w:val="22"/>
        </w:rPr>
        <w:t>,</w:t>
      </w:r>
      <w:r w:rsidRPr="00974377">
        <w:rPr>
          <w:rFonts w:asciiTheme="majorHAnsi" w:hAnsiTheme="majorHAnsi" w:cstheme="majorHAnsi"/>
          <w:sz w:val="22"/>
          <w:szCs w:val="22"/>
        </w:rPr>
        <w:t xml:space="preserve"> both of which would be reinforced by </w:t>
      </w:r>
      <w:r w:rsidR="00B4389B" w:rsidRPr="00974377">
        <w:rPr>
          <w:rFonts w:asciiTheme="majorHAnsi" w:hAnsiTheme="majorHAnsi" w:cstheme="majorHAnsi"/>
          <w:sz w:val="22"/>
          <w:szCs w:val="22"/>
        </w:rPr>
        <w:t xml:space="preserve">credible </w:t>
      </w:r>
      <w:r w:rsidRPr="00974377">
        <w:rPr>
          <w:rFonts w:asciiTheme="majorHAnsi" w:hAnsiTheme="majorHAnsi" w:cstheme="majorHAnsi"/>
          <w:sz w:val="22"/>
          <w:szCs w:val="22"/>
        </w:rPr>
        <w:t>evidence of changes in learning outcomes.</w:t>
      </w:r>
    </w:p>
    <w:p w14:paraId="7B3B7869" w14:textId="359766BD" w:rsidR="006109FE" w:rsidRPr="00974377" w:rsidRDefault="00916251" w:rsidP="008D1844">
      <w:pPr>
        <w:pStyle w:val="ListParagraph"/>
        <w:numPr>
          <w:ilvl w:val="0"/>
          <w:numId w:val="46"/>
        </w:numPr>
        <w:tabs>
          <w:tab w:val="left" w:pos="284"/>
        </w:tabs>
        <w:spacing w:after="120" w:line="281" w:lineRule="auto"/>
        <w:ind w:left="567" w:hanging="283"/>
        <w:contextualSpacing w:val="0"/>
        <w:rPr>
          <w:rFonts w:asciiTheme="majorHAnsi" w:hAnsiTheme="majorHAnsi" w:cstheme="majorHAnsi"/>
          <w:sz w:val="22"/>
          <w:szCs w:val="22"/>
        </w:rPr>
      </w:pPr>
      <w:r w:rsidRPr="00974377">
        <w:rPr>
          <w:rFonts w:asciiTheme="majorHAnsi" w:hAnsiTheme="majorHAnsi" w:cstheme="majorHAnsi"/>
          <w:sz w:val="22"/>
          <w:szCs w:val="22"/>
        </w:rPr>
        <w:t xml:space="preserve">While ‘inclusive education’ is readily accepted and promoted by </w:t>
      </w:r>
      <w:proofErr w:type="spellStart"/>
      <w:r w:rsidRPr="00974377">
        <w:rPr>
          <w:rFonts w:asciiTheme="majorHAnsi" w:hAnsiTheme="majorHAnsi" w:cstheme="majorHAnsi"/>
          <w:sz w:val="22"/>
          <w:szCs w:val="22"/>
        </w:rPr>
        <w:t>GoI</w:t>
      </w:r>
      <w:proofErr w:type="spellEnd"/>
      <w:r w:rsidRPr="00974377">
        <w:rPr>
          <w:rFonts w:asciiTheme="majorHAnsi" w:hAnsiTheme="majorHAnsi" w:cstheme="majorHAnsi"/>
          <w:sz w:val="22"/>
          <w:szCs w:val="22"/>
        </w:rPr>
        <w:t xml:space="preserve"> stakeholders, the tendency is to consider inequality and exclusion in terms of povert</w:t>
      </w:r>
      <w:r>
        <w:rPr>
          <w:rFonts w:asciiTheme="majorHAnsi" w:hAnsiTheme="majorHAnsi" w:cstheme="majorHAnsi"/>
          <w:sz w:val="22"/>
          <w:szCs w:val="22"/>
        </w:rPr>
        <w:t>y,</w:t>
      </w:r>
      <w:r w:rsidRPr="00974377">
        <w:rPr>
          <w:rFonts w:asciiTheme="majorHAnsi" w:hAnsiTheme="majorHAnsi" w:cstheme="majorHAnsi"/>
          <w:sz w:val="22"/>
          <w:szCs w:val="22"/>
        </w:rPr>
        <w:t xml:space="preserve"> and to focus on people with disability. </w:t>
      </w:r>
      <w:r w:rsidR="006109FE" w:rsidRPr="00974377">
        <w:rPr>
          <w:rFonts w:asciiTheme="majorHAnsi" w:hAnsiTheme="majorHAnsi" w:cstheme="majorHAnsi"/>
          <w:sz w:val="22"/>
          <w:szCs w:val="22"/>
        </w:rPr>
        <w:t>The multi-dimensionality of exclusion through factors such as gender, poverty, disability, language, religion, knowledge system</w:t>
      </w:r>
      <w:r w:rsidR="00C20FE3" w:rsidRPr="00974377">
        <w:rPr>
          <w:rFonts w:asciiTheme="majorHAnsi" w:hAnsiTheme="majorHAnsi" w:cstheme="majorHAnsi"/>
          <w:sz w:val="22"/>
          <w:szCs w:val="22"/>
        </w:rPr>
        <w:t>s</w:t>
      </w:r>
      <w:r w:rsidR="006109FE" w:rsidRPr="00974377">
        <w:rPr>
          <w:rFonts w:asciiTheme="majorHAnsi" w:hAnsiTheme="majorHAnsi" w:cstheme="majorHAnsi"/>
          <w:sz w:val="22"/>
          <w:szCs w:val="22"/>
        </w:rPr>
        <w:t>, location, and the compounding effect of these factors (</w:t>
      </w:r>
      <w:r w:rsidR="00C20FE3" w:rsidRPr="00974377">
        <w:rPr>
          <w:rFonts w:asciiTheme="majorHAnsi" w:hAnsiTheme="majorHAnsi" w:cstheme="majorHAnsi"/>
          <w:sz w:val="22"/>
          <w:szCs w:val="22"/>
        </w:rPr>
        <w:t>that is</w:t>
      </w:r>
      <w:r w:rsidR="008464B3" w:rsidRPr="00974377">
        <w:rPr>
          <w:rFonts w:asciiTheme="majorHAnsi" w:hAnsiTheme="majorHAnsi" w:cstheme="majorHAnsi"/>
          <w:sz w:val="22"/>
          <w:szCs w:val="22"/>
        </w:rPr>
        <w:t xml:space="preserve">, </w:t>
      </w:r>
      <w:r w:rsidR="006109FE" w:rsidRPr="00974377">
        <w:rPr>
          <w:rFonts w:asciiTheme="majorHAnsi" w:hAnsiTheme="majorHAnsi" w:cstheme="majorHAnsi"/>
          <w:sz w:val="22"/>
          <w:szCs w:val="22"/>
        </w:rPr>
        <w:t>the intersectionality of exclusion) appears less consistently understood and/or conceptually applied.</w:t>
      </w:r>
    </w:p>
    <w:p w14:paraId="5E712D2A" w14:textId="04FBF813" w:rsidR="00BC7D69" w:rsidRDefault="00BC7D69" w:rsidP="008D1844">
      <w:pPr>
        <w:pStyle w:val="ListParagraph"/>
        <w:numPr>
          <w:ilvl w:val="0"/>
          <w:numId w:val="46"/>
        </w:numPr>
        <w:tabs>
          <w:tab w:val="left" w:pos="284"/>
        </w:tabs>
        <w:spacing w:after="120" w:line="281" w:lineRule="auto"/>
        <w:ind w:left="567" w:hanging="283"/>
        <w:contextualSpacing w:val="0"/>
        <w:rPr>
          <w:rFonts w:asciiTheme="majorHAnsi" w:hAnsiTheme="majorHAnsi" w:cstheme="majorHAnsi"/>
          <w:sz w:val="22"/>
          <w:szCs w:val="22"/>
        </w:rPr>
      </w:pPr>
      <w:r w:rsidRPr="00974377">
        <w:rPr>
          <w:rFonts w:asciiTheme="majorHAnsi" w:hAnsiTheme="majorHAnsi" w:cstheme="majorHAnsi"/>
          <w:sz w:val="22"/>
          <w:szCs w:val="22"/>
        </w:rPr>
        <w:t>INOVASI has strengthened education policies and practices from a GEDSI perspective, though more convincingly with regards to disability inclusio</w:t>
      </w:r>
      <w:r w:rsidR="00B4389B" w:rsidRPr="00974377">
        <w:rPr>
          <w:rFonts w:asciiTheme="majorHAnsi" w:hAnsiTheme="majorHAnsi" w:cstheme="majorHAnsi"/>
          <w:sz w:val="22"/>
          <w:szCs w:val="22"/>
        </w:rPr>
        <w:t>n</w:t>
      </w:r>
      <w:r w:rsidRPr="00974377">
        <w:rPr>
          <w:rFonts w:asciiTheme="majorHAnsi" w:hAnsiTheme="majorHAnsi" w:cstheme="majorHAnsi"/>
          <w:sz w:val="22"/>
          <w:szCs w:val="22"/>
        </w:rPr>
        <w:t xml:space="preserve"> than gender equality and social inclusion. As noted by the ISR</w:t>
      </w:r>
      <w:r w:rsidR="00DC0BD3">
        <w:rPr>
          <w:rFonts w:asciiTheme="majorHAnsi" w:hAnsiTheme="majorHAnsi" w:cstheme="majorHAnsi"/>
          <w:sz w:val="22"/>
          <w:szCs w:val="22"/>
        </w:rPr>
        <w:t>,</w:t>
      </w:r>
      <w:r w:rsidR="00C20FE3" w:rsidRPr="00974377">
        <w:rPr>
          <w:rFonts w:asciiTheme="majorHAnsi" w:hAnsiTheme="majorHAnsi" w:cstheme="majorHAnsi"/>
          <w:sz w:val="22"/>
          <w:szCs w:val="22"/>
        </w:rPr>
        <w:t xml:space="preserve"> in relation to all aspects of inclusion</w:t>
      </w:r>
      <w:r w:rsidR="00DC0BD3">
        <w:rPr>
          <w:rFonts w:asciiTheme="majorHAnsi" w:hAnsiTheme="majorHAnsi" w:cstheme="majorHAnsi"/>
          <w:sz w:val="22"/>
          <w:szCs w:val="22"/>
        </w:rPr>
        <w:t xml:space="preserve"> </w:t>
      </w:r>
      <w:r w:rsidRPr="00974377">
        <w:rPr>
          <w:rFonts w:asciiTheme="majorHAnsi" w:hAnsiTheme="majorHAnsi" w:cstheme="majorHAnsi"/>
          <w:sz w:val="22"/>
          <w:szCs w:val="22"/>
        </w:rPr>
        <w:t xml:space="preserve">‘there remains a considerable gap between concepts, norms and standards and the practical know-how and tools needed by teachers and principals to implement change’. This deserves more support and INOVASI is strategically positioned to improve the development and implementation of inclusive education policies. </w:t>
      </w:r>
    </w:p>
    <w:p w14:paraId="5F0E426A" w14:textId="099374A2" w:rsidR="00EC1345" w:rsidRDefault="0004285F" w:rsidP="00A7183E">
      <w:pPr>
        <w:tabs>
          <w:tab w:val="left" w:pos="284"/>
        </w:tabs>
        <w:spacing w:after="120" w:line="281" w:lineRule="auto"/>
        <w:ind w:hanging="2"/>
        <w:rPr>
          <w:rFonts w:asciiTheme="majorHAnsi" w:hAnsiTheme="majorHAnsi" w:cstheme="majorHAnsi"/>
          <w:sz w:val="22"/>
          <w:szCs w:val="22"/>
        </w:rPr>
      </w:pPr>
      <w:r w:rsidRPr="004E1187">
        <w:rPr>
          <w:rFonts w:asciiTheme="majorHAnsi" w:hAnsiTheme="majorHAnsi" w:cstheme="majorHAnsi"/>
          <w:sz w:val="22"/>
          <w:szCs w:val="22"/>
        </w:rPr>
        <w:lastRenderedPageBreak/>
        <w:t>In addition, other studies and programs offer valuable insights for the future INOVASI</w:t>
      </w:r>
      <w:r w:rsidR="004E1187" w:rsidRPr="004E1187">
        <w:rPr>
          <w:rFonts w:asciiTheme="majorHAnsi" w:hAnsiTheme="majorHAnsi" w:cstheme="majorHAnsi"/>
          <w:sz w:val="22"/>
          <w:szCs w:val="22"/>
        </w:rPr>
        <w:t xml:space="preserve"> program</w:t>
      </w:r>
      <w:r w:rsidR="0050094A" w:rsidRPr="004E1187">
        <w:rPr>
          <w:rFonts w:asciiTheme="majorHAnsi" w:hAnsiTheme="majorHAnsi" w:cstheme="majorHAnsi"/>
          <w:sz w:val="22"/>
          <w:szCs w:val="22"/>
        </w:rPr>
        <w:t>.</w:t>
      </w:r>
      <w:r w:rsidR="0050094A" w:rsidRPr="0050094A">
        <w:rPr>
          <w:rFonts w:asciiTheme="majorHAnsi" w:hAnsiTheme="majorHAnsi" w:cstheme="majorHAnsi"/>
          <w:sz w:val="22"/>
          <w:szCs w:val="22"/>
        </w:rPr>
        <w:t xml:space="preserve"> </w:t>
      </w:r>
      <w:r w:rsidR="00204235">
        <w:rPr>
          <w:rFonts w:asciiTheme="majorHAnsi" w:hAnsiTheme="majorHAnsi" w:cstheme="majorHAnsi"/>
          <w:sz w:val="22"/>
          <w:szCs w:val="22"/>
        </w:rPr>
        <w:t>Based on</w:t>
      </w:r>
      <w:r w:rsidR="004E1187">
        <w:rPr>
          <w:rFonts w:asciiTheme="majorHAnsi" w:hAnsiTheme="majorHAnsi" w:cstheme="majorHAnsi"/>
          <w:sz w:val="22"/>
          <w:szCs w:val="22"/>
        </w:rPr>
        <w:t xml:space="preserve"> experience of distance learning during the COVID-19 pandemic,</w:t>
      </w:r>
      <w:r w:rsidR="0050094A">
        <w:rPr>
          <w:rFonts w:asciiTheme="majorHAnsi" w:hAnsiTheme="majorHAnsi" w:cstheme="majorHAnsi"/>
          <w:sz w:val="22"/>
          <w:szCs w:val="22"/>
        </w:rPr>
        <w:t xml:space="preserve"> lessons about the technological future of education provision</w:t>
      </w:r>
      <w:r w:rsidR="00204235">
        <w:rPr>
          <w:rFonts w:asciiTheme="majorHAnsi" w:hAnsiTheme="majorHAnsi" w:cstheme="majorHAnsi"/>
          <w:sz w:val="22"/>
          <w:szCs w:val="22"/>
        </w:rPr>
        <w:t xml:space="preserve"> can be drawn; o</w:t>
      </w:r>
      <w:r w:rsidR="004E1187">
        <w:rPr>
          <w:rFonts w:asciiTheme="majorHAnsi" w:hAnsiTheme="majorHAnsi" w:cstheme="majorHAnsi"/>
          <w:sz w:val="22"/>
          <w:szCs w:val="22"/>
        </w:rPr>
        <w:t>ne of the</w:t>
      </w:r>
      <w:r w:rsidR="00176B04">
        <w:rPr>
          <w:rFonts w:asciiTheme="majorHAnsi" w:hAnsiTheme="majorHAnsi" w:cstheme="majorHAnsi"/>
          <w:sz w:val="22"/>
          <w:szCs w:val="22"/>
        </w:rPr>
        <w:t xml:space="preserve"> most</w:t>
      </w:r>
      <w:r w:rsidR="0050094A">
        <w:rPr>
          <w:rFonts w:asciiTheme="majorHAnsi" w:hAnsiTheme="majorHAnsi" w:cstheme="majorHAnsi"/>
          <w:sz w:val="22"/>
          <w:szCs w:val="22"/>
        </w:rPr>
        <w:t xml:space="preserve"> compelling </w:t>
      </w:r>
      <w:r w:rsidR="00204235">
        <w:rPr>
          <w:rFonts w:asciiTheme="majorHAnsi" w:hAnsiTheme="majorHAnsi" w:cstheme="majorHAnsi"/>
          <w:sz w:val="22"/>
          <w:szCs w:val="22"/>
        </w:rPr>
        <w:t>being</w:t>
      </w:r>
      <w:r w:rsidR="0050094A">
        <w:rPr>
          <w:rFonts w:asciiTheme="majorHAnsi" w:hAnsiTheme="majorHAnsi" w:cstheme="majorHAnsi"/>
          <w:sz w:val="22"/>
          <w:szCs w:val="22"/>
        </w:rPr>
        <w:t xml:space="preserve"> the </w:t>
      </w:r>
      <w:r w:rsidR="008F60A6">
        <w:rPr>
          <w:rFonts w:asciiTheme="majorHAnsi" w:hAnsiTheme="majorHAnsi" w:cstheme="majorHAnsi"/>
          <w:sz w:val="22"/>
          <w:szCs w:val="22"/>
        </w:rPr>
        <w:t xml:space="preserve">starkness of the </w:t>
      </w:r>
      <w:r w:rsidR="0050094A">
        <w:rPr>
          <w:rFonts w:asciiTheme="majorHAnsi" w:hAnsiTheme="majorHAnsi" w:cstheme="majorHAnsi"/>
          <w:sz w:val="22"/>
          <w:szCs w:val="22"/>
        </w:rPr>
        <w:t>digital divide</w:t>
      </w:r>
      <w:r w:rsidR="008F60A6">
        <w:rPr>
          <w:rFonts w:asciiTheme="majorHAnsi" w:hAnsiTheme="majorHAnsi" w:cstheme="majorHAnsi"/>
          <w:sz w:val="22"/>
          <w:szCs w:val="22"/>
        </w:rPr>
        <w:t xml:space="preserve">. While </w:t>
      </w:r>
      <w:r w:rsidR="008F60A6" w:rsidRPr="00ED4E6E">
        <w:rPr>
          <w:rFonts w:asciiTheme="majorHAnsi" w:hAnsiTheme="majorHAnsi" w:cstheme="majorHAnsi"/>
          <w:sz w:val="22"/>
          <w:szCs w:val="22"/>
        </w:rPr>
        <w:t>93% of the population areas like Java</w:t>
      </w:r>
      <w:r w:rsidR="008F60A6">
        <w:rPr>
          <w:rFonts w:asciiTheme="majorHAnsi" w:hAnsiTheme="majorHAnsi" w:cstheme="majorHAnsi"/>
          <w:sz w:val="22"/>
          <w:szCs w:val="22"/>
        </w:rPr>
        <w:t xml:space="preserve"> have </w:t>
      </w:r>
      <w:r w:rsidR="0042127B">
        <w:rPr>
          <w:rFonts w:asciiTheme="majorHAnsi" w:hAnsiTheme="majorHAnsi" w:cstheme="majorHAnsi"/>
          <w:sz w:val="22"/>
          <w:szCs w:val="22"/>
        </w:rPr>
        <w:t>Internet</w:t>
      </w:r>
      <w:r w:rsidR="008F60A6">
        <w:rPr>
          <w:rFonts w:asciiTheme="majorHAnsi" w:hAnsiTheme="majorHAnsi" w:cstheme="majorHAnsi"/>
          <w:sz w:val="22"/>
          <w:szCs w:val="22"/>
        </w:rPr>
        <w:t xml:space="preserve"> access, this is the case for only around 21% in </w:t>
      </w:r>
      <w:r w:rsidR="002F6256">
        <w:rPr>
          <w:rFonts w:asciiTheme="majorHAnsi" w:hAnsiTheme="majorHAnsi" w:cstheme="majorHAnsi"/>
          <w:sz w:val="22"/>
          <w:szCs w:val="22"/>
        </w:rPr>
        <w:t>low-income</w:t>
      </w:r>
      <w:r w:rsidR="008F60A6">
        <w:rPr>
          <w:rFonts w:asciiTheme="majorHAnsi" w:hAnsiTheme="majorHAnsi" w:cstheme="majorHAnsi"/>
          <w:sz w:val="22"/>
          <w:szCs w:val="22"/>
        </w:rPr>
        <w:t xml:space="preserve"> areas. A </w:t>
      </w:r>
      <w:proofErr w:type="spellStart"/>
      <w:r w:rsidR="008F60A6">
        <w:rPr>
          <w:rFonts w:asciiTheme="majorHAnsi" w:hAnsiTheme="majorHAnsi" w:cstheme="majorHAnsi"/>
          <w:sz w:val="22"/>
          <w:szCs w:val="22"/>
        </w:rPr>
        <w:t>M</w:t>
      </w:r>
      <w:r w:rsidR="004E1187">
        <w:rPr>
          <w:rFonts w:asciiTheme="majorHAnsi" w:hAnsiTheme="majorHAnsi" w:cstheme="majorHAnsi"/>
          <w:sz w:val="22"/>
          <w:szCs w:val="22"/>
        </w:rPr>
        <w:t>oECRT</w:t>
      </w:r>
      <w:proofErr w:type="spellEnd"/>
      <w:r w:rsidR="008F60A6">
        <w:rPr>
          <w:rFonts w:asciiTheme="majorHAnsi" w:hAnsiTheme="majorHAnsi" w:cstheme="majorHAnsi"/>
          <w:sz w:val="22"/>
          <w:szCs w:val="22"/>
        </w:rPr>
        <w:t xml:space="preserve"> survey in 2020 found that 48,000 schools in 3T areas had bad connectivity. </w:t>
      </w:r>
      <w:r w:rsidR="006929AA">
        <w:rPr>
          <w:rFonts w:asciiTheme="majorHAnsi" w:hAnsiTheme="majorHAnsi" w:cstheme="majorHAnsi"/>
          <w:sz w:val="22"/>
          <w:szCs w:val="22"/>
        </w:rPr>
        <w:t xml:space="preserve">A </w:t>
      </w:r>
      <w:r w:rsidR="004E1187">
        <w:rPr>
          <w:rFonts w:asciiTheme="majorHAnsi" w:hAnsiTheme="majorHAnsi" w:cstheme="majorHAnsi"/>
          <w:sz w:val="22"/>
          <w:szCs w:val="22"/>
        </w:rPr>
        <w:t xml:space="preserve">seemingly </w:t>
      </w:r>
      <w:r w:rsidR="006929AA">
        <w:rPr>
          <w:rFonts w:asciiTheme="majorHAnsi" w:hAnsiTheme="majorHAnsi" w:cstheme="majorHAnsi"/>
          <w:sz w:val="22"/>
          <w:szCs w:val="22"/>
        </w:rPr>
        <w:t>intractable aspect of the problem is that</w:t>
      </w:r>
      <w:r w:rsidR="004E1187">
        <w:rPr>
          <w:rFonts w:asciiTheme="majorHAnsi" w:hAnsiTheme="majorHAnsi" w:cstheme="majorHAnsi"/>
          <w:sz w:val="22"/>
          <w:szCs w:val="22"/>
        </w:rPr>
        <w:t>,</w:t>
      </w:r>
      <w:r w:rsidR="006929AA">
        <w:rPr>
          <w:rFonts w:asciiTheme="majorHAnsi" w:hAnsiTheme="majorHAnsi" w:cstheme="majorHAnsi"/>
          <w:sz w:val="22"/>
          <w:szCs w:val="22"/>
        </w:rPr>
        <w:t xml:space="preserve"> </w:t>
      </w:r>
      <w:proofErr w:type="gramStart"/>
      <w:r w:rsidR="006929AA">
        <w:rPr>
          <w:rFonts w:asciiTheme="majorHAnsi" w:hAnsiTheme="majorHAnsi" w:cstheme="majorHAnsi"/>
          <w:sz w:val="22"/>
          <w:szCs w:val="22"/>
        </w:rPr>
        <w:t>in spite of</w:t>
      </w:r>
      <w:proofErr w:type="gramEnd"/>
      <w:r w:rsidR="006929AA">
        <w:rPr>
          <w:rFonts w:asciiTheme="majorHAnsi" w:hAnsiTheme="majorHAnsi" w:cstheme="majorHAnsi"/>
          <w:sz w:val="22"/>
          <w:szCs w:val="22"/>
        </w:rPr>
        <w:t xml:space="preserve"> government investment in infrastructure such as the </w:t>
      </w:r>
      <w:r w:rsidR="006929AA" w:rsidRPr="00204235">
        <w:rPr>
          <w:rFonts w:asciiTheme="majorHAnsi" w:hAnsiTheme="majorHAnsi" w:cstheme="majorHAnsi"/>
          <w:i/>
          <w:iCs/>
          <w:sz w:val="22"/>
          <w:szCs w:val="22"/>
        </w:rPr>
        <w:t>Palapa Ring</w:t>
      </w:r>
      <w:r w:rsidR="006929AA">
        <w:rPr>
          <w:rFonts w:asciiTheme="majorHAnsi" w:hAnsiTheme="majorHAnsi" w:cstheme="majorHAnsi"/>
          <w:sz w:val="22"/>
          <w:szCs w:val="22"/>
        </w:rPr>
        <w:t>, areas of high poverty and low population density offer too low a return for network providers’ investment.</w:t>
      </w:r>
      <w:r w:rsidR="004A3EB6" w:rsidRPr="004E1187">
        <w:rPr>
          <w:vertAlign w:val="superscript"/>
        </w:rPr>
        <w:footnoteReference w:id="21"/>
      </w:r>
      <w:r w:rsidR="006929AA">
        <w:rPr>
          <w:rFonts w:asciiTheme="majorHAnsi" w:hAnsiTheme="majorHAnsi" w:cstheme="majorHAnsi"/>
          <w:sz w:val="22"/>
          <w:szCs w:val="22"/>
        </w:rPr>
        <w:t xml:space="preserve"> </w:t>
      </w:r>
    </w:p>
    <w:p w14:paraId="7C37C8E7" w14:textId="6F45AD17" w:rsidR="0050094A" w:rsidRPr="004E1187" w:rsidRDefault="004E1187" w:rsidP="00A7183E">
      <w:pPr>
        <w:tabs>
          <w:tab w:val="left" w:pos="284"/>
        </w:tabs>
        <w:spacing w:after="120" w:line="281" w:lineRule="auto"/>
        <w:ind w:hanging="2"/>
        <w:rPr>
          <w:rFonts w:asciiTheme="majorHAnsi" w:hAnsiTheme="majorHAnsi" w:cstheme="majorHAnsi"/>
          <w:sz w:val="22"/>
          <w:szCs w:val="22"/>
        </w:rPr>
      </w:pPr>
      <w:r>
        <w:rPr>
          <w:rFonts w:asciiTheme="majorHAnsi" w:hAnsiTheme="majorHAnsi" w:cstheme="majorHAnsi"/>
          <w:sz w:val="22"/>
          <w:szCs w:val="22"/>
        </w:rPr>
        <w:t xml:space="preserve">The </w:t>
      </w:r>
      <w:r w:rsidR="008F60A6">
        <w:rPr>
          <w:rFonts w:asciiTheme="majorHAnsi" w:hAnsiTheme="majorHAnsi" w:cstheme="majorHAnsi"/>
          <w:sz w:val="22"/>
          <w:szCs w:val="22"/>
        </w:rPr>
        <w:t>C</w:t>
      </w:r>
      <w:r w:rsidR="00BB4232">
        <w:rPr>
          <w:rFonts w:asciiTheme="majorHAnsi" w:hAnsiTheme="majorHAnsi" w:cstheme="majorHAnsi"/>
          <w:sz w:val="22"/>
          <w:szCs w:val="22"/>
        </w:rPr>
        <w:t xml:space="preserve">OVID-19 </w:t>
      </w:r>
      <w:r>
        <w:rPr>
          <w:rFonts w:asciiTheme="majorHAnsi" w:hAnsiTheme="majorHAnsi" w:cstheme="majorHAnsi"/>
          <w:sz w:val="22"/>
          <w:szCs w:val="22"/>
        </w:rPr>
        <w:t xml:space="preserve">pandemic </w:t>
      </w:r>
      <w:r w:rsidR="008F60A6">
        <w:rPr>
          <w:rFonts w:asciiTheme="majorHAnsi" w:hAnsiTheme="majorHAnsi" w:cstheme="majorHAnsi"/>
          <w:sz w:val="22"/>
          <w:szCs w:val="22"/>
        </w:rPr>
        <w:t>was the accelerator</w:t>
      </w:r>
      <w:r w:rsidR="00BB4232">
        <w:rPr>
          <w:rFonts w:asciiTheme="majorHAnsi" w:hAnsiTheme="majorHAnsi" w:cstheme="majorHAnsi"/>
          <w:sz w:val="22"/>
          <w:szCs w:val="22"/>
        </w:rPr>
        <w:t>,</w:t>
      </w:r>
      <w:r w:rsidR="008F60A6">
        <w:rPr>
          <w:rFonts w:asciiTheme="majorHAnsi" w:hAnsiTheme="majorHAnsi" w:cstheme="majorHAnsi"/>
          <w:sz w:val="22"/>
          <w:szCs w:val="22"/>
        </w:rPr>
        <w:t xml:space="preserve"> </w:t>
      </w:r>
      <w:r>
        <w:rPr>
          <w:rFonts w:asciiTheme="majorHAnsi" w:hAnsiTheme="majorHAnsi" w:cstheme="majorHAnsi"/>
          <w:sz w:val="22"/>
          <w:szCs w:val="22"/>
        </w:rPr>
        <w:t xml:space="preserve">but </w:t>
      </w:r>
      <w:r w:rsidR="008F60A6">
        <w:rPr>
          <w:rFonts w:asciiTheme="majorHAnsi" w:hAnsiTheme="majorHAnsi" w:cstheme="majorHAnsi"/>
          <w:sz w:val="22"/>
          <w:szCs w:val="22"/>
        </w:rPr>
        <w:t xml:space="preserve">not the trigger for the increasing dependence </w:t>
      </w:r>
      <w:r w:rsidR="004A3EB6">
        <w:rPr>
          <w:rFonts w:asciiTheme="majorHAnsi" w:hAnsiTheme="majorHAnsi" w:cstheme="majorHAnsi"/>
          <w:sz w:val="22"/>
          <w:szCs w:val="22"/>
        </w:rPr>
        <w:t xml:space="preserve">of service provision </w:t>
      </w:r>
      <w:r w:rsidR="008F60A6">
        <w:rPr>
          <w:rFonts w:asciiTheme="majorHAnsi" w:hAnsiTheme="majorHAnsi" w:cstheme="majorHAnsi"/>
          <w:sz w:val="22"/>
          <w:szCs w:val="22"/>
        </w:rPr>
        <w:t>on technology</w:t>
      </w:r>
      <w:r w:rsidR="004A3EB6">
        <w:rPr>
          <w:rFonts w:asciiTheme="majorHAnsi" w:hAnsiTheme="majorHAnsi" w:cstheme="majorHAnsi"/>
          <w:sz w:val="22"/>
          <w:szCs w:val="22"/>
        </w:rPr>
        <w:t>,</w:t>
      </w:r>
      <w:r w:rsidR="008F60A6">
        <w:rPr>
          <w:rFonts w:asciiTheme="majorHAnsi" w:hAnsiTheme="majorHAnsi" w:cstheme="majorHAnsi"/>
          <w:sz w:val="22"/>
          <w:szCs w:val="22"/>
        </w:rPr>
        <w:t xml:space="preserve"> </w:t>
      </w:r>
      <w:r w:rsidR="00204235">
        <w:rPr>
          <w:rFonts w:asciiTheme="majorHAnsi" w:hAnsiTheme="majorHAnsi" w:cstheme="majorHAnsi"/>
          <w:sz w:val="22"/>
          <w:szCs w:val="22"/>
        </w:rPr>
        <w:t xml:space="preserve">in </w:t>
      </w:r>
      <w:r w:rsidR="008F60A6">
        <w:rPr>
          <w:rFonts w:asciiTheme="majorHAnsi" w:hAnsiTheme="majorHAnsi" w:cstheme="majorHAnsi"/>
          <w:sz w:val="22"/>
          <w:szCs w:val="22"/>
        </w:rPr>
        <w:t xml:space="preserve">which </w:t>
      </w:r>
      <w:proofErr w:type="spellStart"/>
      <w:r w:rsidR="008F60A6">
        <w:rPr>
          <w:rFonts w:asciiTheme="majorHAnsi" w:hAnsiTheme="majorHAnsi" w:cstheme="majorHAnsi"/>
          <w:sz w:val="22"/>
          <w:szCs w:val="22"/>
        </w:rPr>
        <w:t>M</w:t>
      </w:r>
      <w:r w:rsidR="00204235">
        <w:rPr>
          <w:rFonts w:asciiTheme="majorHAnsi" w:hAnsiTheme="majorHAnsi" w:cstheme="majorHAnsi"/>
          <w:sz w:val="22"/>
          <w:szCs w:val="22"/>
        </w:rPr>
        <w:t>oECRT</w:t>
      </w:r>
      <w:proofErr w:type="spellEnd"/>
      <w:r w:rsidR="008F60A6">
        <w:rPr>
          <w:rFonts w:asciiTheme="majorHAnsi" w:hAnsiTheme="majorHAnsi" w:cstheme="majorHAnsi"/>
          <w:sz w:val="22"/>
          <w:szCs w:val="22"/>
        </w:rPr>
        <w:t xml:space="preserve"> started investing two decades ago. </w:t>
      </w:r>
      <w:r>
        <w:rPr>
          <w:rFonts w:asciiTheme="majorHAnsi" w:hAnsiTheme="majorHAnsi" w:cstheme="majorHAnsi"/>
          <w:sz w:val="22"/>
          <w:szCs w:val="22"/>
        </w:rPr>
        <w:t>I</w:t>
      </w:r>
      <w:r w:rsidR="0050094A">
        <w:rPr>
          <w:rFonts w:asciiTheme="majorHAnsi" w:hAnsiTheme="majorHAnsi" w:cstheme="majorHAnsi"/>
          <w:sz w:val="22"/>
          <w:szCs w:val="22"/>
        </w:rPr>
        <w:t>n the context of the country’s ambitions to become a knowledge-based economy</w:t>
      </w:r>
      <w:r w:rsidR="006929AA">
        <w:rPr>
          <w:rFonts w:asciiTheme="majorHAnsi" w:hAnsiTheme="majorHAnsi" w:cstheme="majorHAnsi"/>
          <w:sz w:val="22"/>
          <w:szCs w:val="22"/>
        </w:rPr>
        <w:t>,</w:t>
      </w:r>
      <w:r w:rsidR="0050094A">
        <w:rPr>
          <w:rFonts w:asciiTheme="majorHAnsi" w:hAnsiTheme="majorHAnsi" w:cstheme="majorHAnsi"/>
          <w:sz w:val="22"/>
          <w:szCs w:val="22"/>
        </w:rPr>
        <w:t xml:space="preserve"> </w:t>
      </w:r>
      <w:r w:rsidR="008F60A6">
        <w:rPr>
          <w:rFonts w:asciiTheme="majorHAnsi" w:hAnsiTheme="majorHAnsi" w:cstheme="majorHAnsi"/>
          <w:sz w:val="22"/>
          <w:szCs w:val="22"/>
        </w:rPr>
        <w:t xml:space="preserve">digital service delivery </w:t>
      </w:r>
      <w:r w:rsidR="0050094A">
        <w:rPr>
          <w:rFonts w:asciiTheme="majorHAnsi" w:hAnsiTheme="majorHAnsi" w:cstheme="majorHAnsi"/>
          <w:sz w:val="22"/>
          <w:szCs w:val="22"/>
        </w:rPr>
        <w:t xml:space="preserve">is likely to expand </w:t>
      </w:r>
      <w:r w:rsidR="008F60A6">
        <w:rPr>
          <w:rFonts w:asciiTheme="majorHAnsi" w:hAnsiTheme="majorHAnsi" w:cstheme="majorHAnsi"/>
          <w:sz w:val="22"/>
          <w:szCs w:val="22"/>
        </w:rPr>
        <w:t>fast</w:t>
      </w:r>
      <w:r w:rsidR="00BB4232">
        <w:rPr>
          <w:rFonts w:asciiTheme="majorHAnsi" w:hAnsiTheme="majorHAnsi" w:cstheme="majorHAnsi"/>
          <w:sz w:val="22"/>
          <w:szCs w:val="22"/>
        </w:rPr>
        <w:t xml:space="preserve"> into the learning space</w:t>
      </w:r>
      <w:r w:rsidR="006929AA">
        <w:rPr>
          <w:rFonts w:asciiTheme="majorHAnsi" w:hAnsiTheme="majorHAnsi" w:cstheme="majorHAnsi"/>
          <w:sz w:val="22"/>
          <w:szCs w:val="22"/>
        </w:rPr>
        <w:t>,</w:t>
      </w:r>
      <w:r w:rsidR="00BB4232">
        <w:rPr>
          <w:rFonts w:asciiTheme="majorHAnsi" w:hAnsiTheme="majorHAnsi" w:cstheme="majorHAnsi"/>
          <w:sz w:val="22"/>
          <w:szCs w:val="22"/>
        </w:rPr>
        <w:t xml:space="preserve"> where blended learning is already promoted</w:t>
      </w:r>
      <w:r w:rsidR="008F60A6">
        <w:rPr>
          <w:rFonts w:asciiTheme="majorHAnsi" w:hAnsiTheme="majorHAnsi" w:cstheme="majorHAnsi"/>
          <w:sz w:val="22"/>
          <w:szCs w:val="22"/>
        </w:rPr>
        <w:t xml:space="preserve">. </w:t>
      </w:r>
      <w:r w:rsidR="00204235">
        <w:rPr>
          <w:rFonts w:asciiTheme="majorHAnsi" w:hAnsiTheme="majorHAnsi" w:cstheme="majorHAnsi"/>
          <w:sz w:val="22"/>
          <w:szCs w:val="22"/>
        </w:rPr>
        <w:t>Already, a</w:t>
      </w:r>
      <w:r w:rsidR="008F60A6">
        <w:rPr>
          <w:rFonts w:asciiTheme="majorHAnsi" w:hAnsiTheme="majorHAnsi" w:cstheme="majorHAnsi"/>
          <w:sz w:val="22"/>
          <w:szCs w:val="22"/>
        </w:rPr>
        <w:t>l</w:t>
      </w:r>
      <w:r w:rsidR="00BB4232">
        <w:rPr>
          <w:rFonts w:asciiTheme="majorHAnsi" w:hAnsiTheme="majorHAnsi" w:cstheme="majorHAnsi"/>
          <w:sz w:val="22"/>
          <w:szCs w:val="22"/>
        </w:rPr>
        <w:t>l</w:t>
      </w:r>
      <w:r w:rsidR="008F60A6">
        <w:rPr>
          <w:rFonts w:asciiTheme="majorHAnsi" w:hAnsiTheme="majorHAnsi" w:cstheme="majorHAnsi"/>
          <w:sz w:val="22"/>
          <w:szCs w:val="22"/>
        </w:rPr>
        <w:t xml:space="preserve"> </w:t>
      </w:r>
      <w:r w:rsidR="0050094A">
        <w:rPr>
          <w:rFonts w:asciiTheme="majorHAnsi" w:hAnsiTheme="majorHAnsi" w:cstheme="majorHAnsi"/>
          <w:sz w:val="22"/>
          <w:szCs w:val="22"/>
        </w:rPr>
        <w:t>teacher guidance</w:t>
      </w:r>
      <w:r w:rsidR="008F60A6">
        <w:rPr>
          <w:rFonts w:asciiTheme="majorHAnsi" w:hAnsiTheme="majorHAnsi" w:cstheme="majorHAnsi"/>
          <w:sz w:val="22"/>
          <w:szCs w:val="22"/>
        </w:rPr>
        <w:t xml:space="preserve"> and</w:t>
      </w:r>
      <w:r w:rsidR="0050094A">
        <w:rPr>
          <w:rFonts w:asciiTheme="majorHAnsi" w:hAnsiTheme="majorHAnsi" w:cstheme="majorHAnsi"/>
          <w:sz w:val="22"/>
          <w:szCs w:val="22"/>
        </w:rPr>
        <w:t xml:space="preserve"> resources</w:t>
      </w:r>
      <w:r w:rsidR="008F60A6">
        <w:rPr>
          <w:rFonts w:asciiTheme="majorHAnsi" w:hAnsiTheme="majorHAnsi" w:cstheme="majorHAnsi"/>
          <w:sz w:val="22"/>
          <w:szCs w:val="22"/>
        </w:rPr>
        <w:t xml:space="preserve"> for implementation of the </w:t>
      </w:r>
      <w:r w:rsidR="008F60A6" w:rsidRPr="004E1187">
        <w:rPr>
          <w:rFonts w:asciiTheme="majorHAnsi" w:hAnsiTheme="majorHAnsi" w:cstheme="majorHAnsi"/>
          <w:i/>
          <w:iCs/>
          <w:sz w:val="22"/>
          <w:szCs w:val="22"/>
        </w:rPr>
        <w:t xml:space="preserve">Merdeka </w:t>
      </w:r>
      <w:proofErr w:type="spellStart"/>
      <w:r w:rsidR="008F60A6" w:rsidRPr="004E1187">
        <w:rPr>
          <w:rFonts w:asciiTheme="majorHAnsi" w:hAnsiTheme="majorHAnsi" w:cstheme="majorHAnsi"/>
          <w:i/>
          <w:iCs/>
          <w:sz w:val="22"/>
          <w:szCs w:val="22"/>
        </w:rPr>
        <w:t>Belajar</w:t>
      </w:r>
      <w:proofErr w:type="spellEnd"/>
      <w:r w:rsidR="008F60A6">
        <w:rPr>
          <w:rFonts w:asciiTheme="majorHAnsi" w:hAnsiTheme="majorHAnsi" w:cstheme="majorHAnsi"/>
          <w:sz w:val="22"/>
          <w:szCs w:val="22"/>
        </w:rPr>
        <w:t xml:space="preserve"> </w:t>
      </w:r>
      <w:r w:rsidR="00BB4232">
        <w:rPr>
          <w:rFonts w:asciiTheme="majorHAnsi" w:hAnsiTheme="majorHAnsi" w:cstheme="majorHAnsi"/>
          <w:sz w:val="22"/>
          <w:szCs w:val="22"/>
        </w:rPr>
        <w:t xml:space="preserve">are </w:t>
      </w:r>
      <w:r w:rsidR="008F60A6">
        <w:rPr>
          <w:rFonts w:asciiTheme="majorHAnsi" w:hAnsiTheme="majorHAnsi" w:cstheme="majorHAnsi"/>
          <w:sz w:val="22"/>
          <w:szCs w:val="22"/>
        </w:rPr>
        <w:t>online</w:t>
      </w:r>
      <w:r w:rsidR="0050094A">
        <w:rPr>
          <w:rFonts w:asciiTheme="majorHAnsi" w:hAnsiTheme="majorHAnsi" w:cstheme="majorHAnsi"/>
          <w:sz w:val="22"/>
          <w:szCs w:val="22"/>
        </w:rPr>
        <w:t xml:space="preserve">, </w:t>
      </w:r>
      <w:r w:rsidR="008F60A6">
        <w:rPr>
          <w:rFonts w:asciiTheme="majorHAnsi" w:hAnsiTheme="majorHAnsi" w:cstheme="majorHAnsi"/>
          <w:sz w:val="22"/>
          <w:szCs w:val="22"/>
        </w:rPr>
        <w:t xml:space="preserve">as are </w:t>
      </w:r>
      <w:r w:rsidR="0050094A">
        <w:rPr>
          <w:rFonts w:asciiTheme="majorHAnsi" w:hAnsiTheme="majorHAnsi" w:cstheme="majorHAnsi"/>
          <w:sz w:val="22"/>
          <w:szCs w:val="22"/>
        </w:rPr>
        <w:t xml:space="preserve">school records management, </w:t>
      </w:r>
      <w:r>
        <w:rPr>
          <w:rFonts w:asciiTheme="majorHAnsi" w:hAnsiTheme="majorHAnsi" w:cstheme="majorHAnsi"/>
          <w:sz w:val="22"/>
          <w:szCs w:val="22"/>
        </w:rPr>
        <w:t xml:space="preserve">and </w:t>
      </w:r>
      <w:r w:rsidR="0050094A">
        <w:rPr>
          <w:rFonts w:asciiTheme="majorHAnsi" w:hAnsiTheme="majorHAnsi" w:cstheme="majorHAnsi"/>
          <w:sz w:val="22"/>
          <w:szCs w:val="22"/>
        </w:rPr>
        <w:t xml:space="preserve">professional and career development resources. </w:t>
      </w:r>
      <w:r w:rsidR="00176B04">
        <w:rPr>
          <w:rFonts w:asciiTheme="majorHAnsi" w:hAnsiTheme="majorHAnsi" w:cstheme="majorHAnsi"/>
          <w:sz w:val="22"/>
          <w:szCs w:val="22"/>
        </w:rPr>
        <w:t>Carrying</w:t>
      </w:r>
      <w:r w:rsidR="0050094A">
        <w:rPr>
          <w:rFonts w:asciiTheme="majorHAnsi" w:hAnsiTheme="majorHAnsi" w:cstheme="majorHAnsi"/>
          <w:sz w:val="22"/>
          <w:szCs w:val="22"/>
        </w:rPr>
        <w:t xml:space="preserve"> </w:t>
      </w:r>
      <w:r w:rsidR="00176B04">
        <w:rPr>
          <w:rFonts w:asciiTheme="majorHAnsi" w:hAnsiTheme="majorHAnsi" w:cstheme="majorHAnsi"/>
          <w:sz w:val="22"/>
          <w:szCs w:val="22"/>
        </w:rPr>
        <w:t>high potential</w:t>
      </w:r>
      <w:r w:rsidR="0050094A">
        <w:rPr>
          <w:rFonts w:asciiTheme="majorHAnsi" w:hAnsiTheme="majorHAnsi" w:cstheme="majorHAnsi"/>
          <w:sz w:val="22"/>
          <w:szCs w:val="22"/>
        </w:rPr>
        <w:t xml:space="preserve"> impact for literacy improvement, thousands of e</w:t>
      </w:r>
      <w:r w:rsidR="00176B04">
        <w:rPr>
          <w:rFonts w:asciiTheme="majorHAnsi" w:hAnsiTheme="majorHAnsi" w:cstheme="majorHAnsi"/>
          <w:sz w:val="22"/>
          <w:szCs w:val="22"/>
        </w:rPr>
        <w:t>-</w:t>
      </w:r>
      <w:r w:rsidR="0050094A">
        <w:rPr>
          <w:rFonts w:asciiTheme="majorHAnsi" w:hAnsiTheme="majorHAnsi" w:cstheme="majorHAnsi"/>
          <w:sz w:val="22"/>
          <w:szCs w:val="22"/>
        </w:rPr>
        <w:t xml:space="preserve">books are also </w:t>
      </w:r>
      <w:r w:rsidR="0042127B">
        <w:rPr>
          <w:rFonts w:asciiTheme="majorHAnsi" w:hAnsiTheme="majorHAnsi" w:cstheme="majorHAnsi"/>
          <w:sz w:val="22"/>
          <w:szCs w:val="22"/>
        </w:rPr>
        <w:t>provided</w:t>
      </w:r>
      <w:r w:rsidR="0050094A">
        <w:rPr>
          <w:rFonts w:asciiTheme="majorHAnsi" w:hAnsiTheme="majorHAnsi" w:cstheme="majorHAnsi"/>
          <w:sz w:val="22"/>
          <w:szCs w:val="22"/>
        </w:rPr>
        <w:t xml:space="preserve"> </w:t>
      </w:r>
      <w:r w:rsidR="00176B04">
        <w:rPr>
          <w:rFonts w:asciiTheme="majorHAnsi" w:hAnsiTheme="majorHAnsi" w:cstheme="majorHAnsi"/>
          <w:sz w:val="22"/>
          <w:szCs w:val="22"/>
        </w:rPr>
        <w:t xml:space="preserve">- </w:t>
      </w:r>
      <w:r w:rsidR="0050094A">
        <w:rPr>
          <w:rFonts w:asciiTheme="majorHAnsi" w:hAnsiTheme="majorHAnsi" w:cstheme="majorHAnsi"/>
          <w:sz w:val="22"/>
          <w:szCs w:val="22"/>
        </w:rPr>
        <w:t>free</w:t>
      </w:r>
      <w:r w:rsidR="00176B04">
        <w:rPr>
          <w:rFonts w:asciiTheme="majorHAnsi" w:hAnsiTheme="majorHAnsi" w:cstheme="majorHAnsi"/>
          <w:sz w:val="22"/>
          <w:szCs w:val="22"/>
        </w:rPr>
        <w:t xml:space="preserve"> of charge - </w:t>
      </w:r>
      <w:r w:rsidR="0050094A">
        <w:rPr>
          <w:rFonts w:asciiTheme="majorHAnsi" w:hAnsiTheme="majorHAnsi" w:cstheme="majorHAnsi"/>
          <w:sz w:val="22"/>
          <w:szCs w:val="22"/>
        </w:rPr>
        <w:t xml:space="preserve">by government and service providers. </w:t>
      </w:r>
      <w:r w:rsidR="00BB4232">
        <w:rPr>
          <w:rFonts w:asciiTheme="majorHAnsi" w:hAnsiTheme="majorHAnsi" w:cstheme="majorHAnsi"/>
          <w:sz w:val="22"/>
          <w:szCs w:val="22"/>
        </w:rPr>
        <w:t xml:space="preserve">Digitalisation also offers the prospect of more accurate and timely data collection from schools than either </w:t>
      </w:r>
      <w:proofErr w:type="spellStart"/>
      <w:r w:rsidR="00BB4232">
        <w:rPr>
          <w:rFonts w:asciiTheme="majorHAnsi" w:hAnsiTheme="majorHAnsi" w:cstheme="majorHAnsi"/>
          <w:sz w:val="22"/>
          <w:szCs w:val="22"/>
        </w:rPr>
        <w:t>Dapodik</w:t>
      </w:r>
      <w:proofErr w:type="spellEnd"/>
      <w:r w:rsidR="00BB4232">
        <w:rPr>
          <w:rFonts w:asciiTheme="majorHAnsi" w:hAnsiTheme="majorHAnsi" w:cstheme="majorHAnsi"/>
          <w:sz w:val="22"/>
          <w:szCs w:val="22"/>
        </w:rPr>
        <w:t xml:space="preserve"> or </w:t>
      </w:r>
      <w:proofErr w:type="spellStart"/>
      <w:r w:rsidR="00BB4232">
        <w:rPr>
          <w:rFonts w:asciiTheme="majorHAnsi" w:hAnsiTheme="majorHAnsi" w:cstheme="majorHAnsi"/>
          <w:sz w:val="22"/>
          <w:szCs w:val="22"/>
        </w:rPr>
        <w:t>MoRA’s</w:t>
      </w:r>
      <w:proofErr w:type="spellEnd"/>
      <w:r w:rsidR="00BB4232">
        <w:rPr>
          <w:rFonts w:asciiTheme="majorHAnsi" w:hAnsiTheme="majorHAnsi" w:cstheme="majorHAnsi"/>
          <w:sz w:val="22"/>
          <w:szCs w:val="22"/>
        </w:rPr>
        <w:t xml:space="preserve"> EMIS provide</w:t>
      </w:r>
      <w:r w:rsidR="007A6B60">
        <w:rPr>
          <w:rFonts w:asciiTheme="majorHAnsi" w:hAnsiTheme="majorHAnsi" w:cstheme="majorHAnsi"/>
          <w:sz w:val="22"/>
          <w:szCs w:val="22"/>
        </w:rPr>
        <w:t>, and data harmonisation across ministries for more efficient and planning.</w:t>
      </w:r>
      <w:r w:rsidR="007A6B60" w:rsidRPr="00176B04">
        <w:rPr>
          <w:vertAlign w:val="superscript"/>
        </w:rPr>
        <w:footnoteReference w:id="22"/>
      </w:r>
      <w:r w:rsidR="007A6B60">
        <w:rPr>
          <w:rFonts w:asciiTheme="majorHAnsi" w:hAnsiTheme="majorHAnsi" w:cstheme="majorHAnsi"/>
          <w:sz w:val="22"/>
          <w:szCs w:val="22"/>
        </w:rPr>
        <w:t xml:space="preserve"> </w:t>
      </w:r>
    </w:p>
    <w:p w14:paraId="013A935D" w14:textId="78EE1F73" w:rsidR="00BB4232" w:rsidRPr="004E1187" w:rsidRDefault="00BB4232" w:rsidP="00A7183E">
      <w:pPr>
        <w:tabs>
          <w:tab w:val="left" w:pos="284"/>
        </w:tabs>
        <w:spacing w:after="120" w:line="281" w:lineRule="auto"/>
        <w:ind w:hanging="2"/>
        <w:rPr>
          <w:rFonts w:asciiTheme="majorHAnsi" w:hAnsiTheme="majorHAnsi" w:cstheme="majorHAnsi"/>
          <w:sz w:val="22"/>
          <w:szCs w:val="22"/>
        </w:rPr>
      </w:pPr>
      <w:r>
        <w:rPr>
          <w:rFonts w:asciiTheme="majorHAnsi" w:hAnsiTheme="majorHAnsi" w:cstheme="majorHAnsi"/>
          <w:sz w:val="22"/>
          <w:szCs w:val="22"/>
        </w:rPr>
        <w:t xml:space="preserve">The </w:t>
      </w:r>
      <w:r w:rsidR="00176B04">
        <w:rPr>
          <w:rFonts w:asciiTheme="majorHAnsi" w:hAnsiTheme="majorHAnsi" w:cstheme="majorHAnsi"/>
          <w:sz w:val="22"/>
          <w:szCs w:val="22"/>
        </w:rPr>
        <w:t xml:space="preserve">new </w:t>
      </w:r>
      <w:r>
        <w:rPr>
          <w:rFonts w:asciiTheme="majorHAnsi" w:hAnsiTheme="majorHAnsi" w:cstheme="majorHAnsi"/>
          <w:sz w:val="22"/>
          <w:szCs w:val="22"/>
        </w:rPr>
        <w:t xml:space="preserve">program needs to </w:t>
      </w:r>
      <w:r w:rsidR="007A6B60">
        <w:rPr>
          <w:rFonts w:asciiTheme="majorHAnsi" w:hAnsiTheme="majorHAnsi" w:cstheme="majorHAnsi"/>
          <w:sz w:val="22"/>
          <w:szCs w:val="22"/>
        </w:rPr>
        <w:t xml:space="preserve">consider carefully how to </w:t>
      </w:r>
      <w:r w:rsidR="00176B04">
        <w:rPr>
          <w:rFonts w:asciiTheme="majorHAnsi" w:hAnsiTheme="majorHAnsi" w:cstheme="majorHAnsi"/>
          <w:sz w:val="22"/>
          <w:szCs w:val="22"/>
        </w:rPr>
        <w:t>pursue its objectives in</w:t>
      </w:r>
      <w:r w:rsidR="007A6B60">
        <w:rPr>
          <w:rFonts w:asciiTheme="majorHAnsi" w:hAnsiTheme="majorHAnsi" w:cstheme="majorHAnsi"/>
          <w:sz w:val="22"/>
          <w:szCs w:val="22"/>
        </w:rPr>
        <w:t xml:space="preserve"> this new </w:t>
      </w:r>
      <w:r w:rsidR="00176B04">
        <w:rPr>
          <w:rFonts w:asciiTheme="majorHAnsi" w:hAnsiTheme="majorHAnsi" w:cstheme="majorHAnsi"/>
          <w:sz w:val="22"/>
          <w:szCs w:val="22"/>
        </w:rPr>
        <w:t xml:space="preserve">digitalisation </w:t>
      </w:r>
      <w:r w:rsidR="007A6B60">
        <w:rPr>
          <w:rFonts w:asciiTheme="majorHAnsi" w:hAnsiTheme="majorHAnsi" w:cstheme="majorHAnsi"/>
          <w:sz w:val="22"/>
          <w:szCs w:val="22"/>
        </w:rPr>
        <w:t>context</w:t>
      </w:r>
      <w:r w:rsidR="0042127B">
        <w:rPr>
          <w:rFonts w:asciiTheme="majorHAnsi" w:hAnsiTheme="majorHAnsi" w:cstheme="majorHAnsi"/>
          <w:sz w:val="22"/>
          <w:szCs w:val="22"/>
        </w:rPr>
        <w:t>,</w:t>
      </w:r>
      <w:r w:rsidR="00176B04">
        <w:rPr>
          <w:rFonts w:asciiTheme="majorHAnsi" w:hAnsiTheme="majorHAnsi" w:cstheme="majorHAnsi"/>
          <w:sz w:val="22"/>
          <w:szCs w:val="22"/>
        </w:rPr>
        <w:t xml:space="preserve"> given </w:t>
      </w:r>
      <w:r w:rsidR="006929AA">
        <w:rPr>
          <w:rFonts w:asciiTheme="majorHAnsi" w:hAnsiTheme="majorHAnsi" w:cstheme="majorHAnsi"/>
          <w:sz w:val="22"/>
          <w:szCs w:val="22"/>
        </w:rPr>
        <w:t>its timeframe</w:t>
      </w:r>
      <w:r w:rsidR="007A6B60">
        <w:rPr>
          <w:rFonts w:asciiTheme="majorHAnsi" w:hAnsiTheme="majorHAnsi" w:cstheme="majorHAnsi"/>
          <w:sz w:val="22"/>
          <w:szCs w:val="22"/>
        </w:rPr>
        <w:t xml:space="preserve">. The World Bank </w:t>
      </w:r>
      <w:r w:rsidR="00176B04">
        <w:rPr>
          <w:rFonts w:asciiTheme="majorHAnsi" w:hAnsiTheme="majorHAnsi" w:cstheme="majorHAnsi"/>
          <w:sz w:val="22"/>
          <w:szCs w:val="22"/>
        </w:rPr>
        <w:t xml:space="preserve">has </w:t>
      </w:r>
      <w:r w:rsidR="007A6B60">
        <w:rPr>
          <w:rFonts w:asciiTheme="majorHAnsi" w:hAnsiTheme="majorHAnsi" w:cstheme="majorHAnsi"/>
          <w:sz w:val="22"/>
          <w:szCs w:val="22"/>
        </w:rPr>
        <w:t>developed model</w:t>
      </w:r>
      <w:r w:rsidR="00176B04">
        <w:rPr>
          <w:rFonts w:asciiTheme="majorHAnsi" w:hAnsiTheme="majorHAnsi" w:cstheme="majorHAnsi"/>
          <w:sz w:val="22"/>
          <w:szCs w:val="22"/>
        </w:rPr>
        <w:t>s</w:t>
      </w:r>
      <w:r w:rsidR="007A6B60">
        <w:rPr>
          <w:rFonts w:asciiTheme="majorHAnsi" w:hAnsiTheme="majorHAnsi" w:cstheme="majorHAnsi"/>
          <w:sz w:val="22"/>
          <w:szCs w:val="22"/>
        </w:rPr>
        <w:t xml:space="preserve"> of distance learning during </w:t>
      </w:r>
      <w:r w:rsidR="00176B04">
        <w:rPr>
          <w:rFonts w:asciiTheme="majorHAnsi" w:hAnsiTheme="majorHAnsi" w:cstheme="majorHAnsi"/>
          <w:sz w:val="22"/>
          <w:szCs w:val="22"/>
        </w:rPr>
        <w:t>the pandemic, the effectiveness of which largely differ</w:t>
      </w:r>
      <w:r w:rsidR="0042127B">
        <w:rPr>
          <w:rFonts w:asciiTheme="majorHAnsi" w:hAnsiTheme="majorHAnsi" w:cstheme="majorHAnsi"/>
          <w:sz w:val="22"/>
          <w:szCs w:val="22"/>
        </w:rPr>
        <w:t>s</w:t>
      </w:r>
      <w:r w:rsidR="00176B04">
        <w:rPr>
          <w:rFonts w:asciiTheme="majorHAnsi" w:hAnsiTheme="majorHAnsi" w:cstheme="majorHAnsi"/>
          <w:sz w:val="22"/>
          <w:szCs w:val="22"/>
        </w:rPr>
        <w:t xml:space="preserve"> </w:t>
      </w:r>
      <w:r w:rsidR="007A6B60">
        <w:rPr>
          <w:rFonts w:asciiTheme="majorHAnsi" w:hAnsiTheme="majorHAnsi" w:cstheme="majorHAnsi"/>
          <w:sz w:val="22"/>
          <w:szCs w:val="22"/>
        </w:rPr>
        <w:t xml:space="preserve">between </w:t>
      </w:r>
      <w:r w:rsidR="0042127B">
        <w:rPr>
          <w:rFonts w:asciiTheme="majorHAnsi" w:hAnsiTheme="majorHAnsi" w:cstheme="majorHAnsi"/>
          <w:sz w:val="22"/>
          <w:szCs w:val="22"/>
        </w:rPr>
        <w:t>modalities,</w:t>
      </w:r>
      <w:r w:rsidR="00176B04">
        <w:rPr>
          <w:rFonts w:asciiTheme="majorHAnsi" w:hAnsiTheme="majorHAnsi" w:cstheme="majorHAnsi"/>
          <w:sz w:val="22"/>
          <w:szCs w:val="22"/>
        </w:rPr>
        <w:t xml:space="preserve"> </w:t>
      </w:r>
      <w:r w:rsidR="007A6B60">
        <w:rPr>
          <w:rFonts w:asciiTheme="majorHAnsi" w:hAnsiTheme="majorHAnsi" w:cstheme="majorHAnsi"/>
          <w:sz w:val="22"/>
          <w:szCs w:val="22"/>
        </w:rPr>
        <w:t xml:space="preserve">but all </w:t>
      </w:r>
      <w:r w:rsidR="00176B04">
        <w:rPr>
          <w:rFonts w:asciiTheme="majorHAnsi" w:hAnsiTheme="majorHAnsi" w:cstheme="majorHAnsi"/>
          <w:sz w:val="22"/>
          <w:szCs w:val="22"/>
        </w:rPr>
        <w:t>are deemed</w:t>
      </w:r>
      <w:r w:rsidR="007A6B60">
        <w:rPr>
          <w:rFonts w:asciiTheme="majorHAnsi" w:hAnsiTheme="majorHAnsi" w:cstheme="majorHAnsi"/>
          <w:sz w:val="22"/>
          <w:szCs w:val="22"/>
        </w:rPr>
        <w:t xml:space="preserve"> less effective than face to face learning</w:t>
      </w:r>
      <w:r w:rsidR="00A95187">
        <w:rPr>
          <w:rFonts w:asciiTheme="majorHAnsi" w:hAnsiTheme="majorHAnsi" w:cstheme="majorHAnsi"/>
          <w:sz w:val="22"/>
          <w:szCs w:val="22"/>
        </w:rPr>
        <w:t xml:space="preserve">. </w:t>
      </w:r>
      <w:r w:rsidR="00176B04">
        <w:rPr>
          <w:rFonts w:asciiTheme="majorHAnsi" w:hAnsiTheme="majorHAnsi" w:cstheme="majorHAnsi"/>
          <w:sz w:val="22"/>
          <w:szCs w:val="22"/>
        </w:rPr>
        <w:t>R</w:t>
      </w:r>
      <w:r w:rsidR="00A95187">
        <w:rPr>
          <w:rFonts w:asciiTheme="majorHAnsi" w:hAnsiTheme="majorHAnsi" w:cstheme="majorHAnsi"/>
          <w:sz w:val="22"/>
          <w:szCs w:val="22"/>
        </w:rPr>
        <w:t>esponse</w:t>
      </w:r>
      <w:r w:rsidR="00176B04">
        <w:rPr>
          <w:rFonts w:asciiTheme="majorHAnsi" w:hAnsiTheme="majorHAnsi" w:cstheme="majorHAnsi"/>
          <w:sz w:val="22"/>
          <w:szCs w:val="22"/>
        </w:rPr>
        <w:t>s</w:t>
      </w:r>
      <w:r w:rsidR="00A95187">
        <w:rPr>
          <w:rFonts w:asciiTheme="majorHAnsi" w:hAnsiTheme="majorHAnsi" w:cstheme="majorHAnsi"/>
          <w:sz w:val="22"/>
          <w:szCs w:val="22"/>
        </w:rPr>
        <w:t xml:space="preserve"> to digitalisation ha</w:t>
      </w:r>
      <w:r w:rsidR="00176B04">
        <w:rPr>
          <w:rFonts w:asciiTheme="majorHAnsi" w:hAnsiTheme="majorHAnsi" w:cstheme="majorHAnsi"/>
          <w:sz w:val="22"/>
          <w:szCs w:val="22"/>
        </w:rPr>
        <w:t>ve</w:t>
      </w:r>
      <w:r w:rsidR="00A95187">
        <w:rPr>
          <w:rFonts w:asciiTheme="majorHAnsi" w:hAnsiTheme="majorHAnsi" w:cstheme="majorHAnsi"/>
          <w:sz w:val="22"/>
          <w:szCs w:val="22"/>
        </w:rPr>
        <w:t xml:space="preserve"> stressed the need </w:t>
      </w:r>
      <w:r w:rsidR="004A3EB6">
        <w:rPr>
          <w:rFonts w:asciiTheme="majorHAnsi" w:hAnsiTheme="majorHAnsi" w:cstheme="majorHAnsi"/>
          <w:sz w:val="22"/>
          <w:szCs w:val="22"/>
        </w:rPr>
        <w:t>f</w:t>
      </w:r>
      <w:r w:rsidR="00A95187">
        <w:rPr>
          <w:rFonts w:asciiTheme="majorHAnsi" w:hAnsiTheme="majorHAnsi" w:cstheme="majorHAnsi"/>
          <w:sz w:val="22"/>
          <w:szCs w:val="22"/>
        </w:rPr>
        <w:t xml:space="preserve">or quality control over content </w:t>
      </w:r>
      <w:r w:rsidR="006929AA">
        <w:rPr>
          <w:rFonts w:asciiTheme="majorHAnsi" w:hAnsiTheme="majorHAnsi" w:cstheme="majorHAnsi"/>
          <w:sz w:val="22"/>
          <w:szCs w:val="22"/>
        </w:rPr>
        <w:t>f</w:t>
      </w:r>
      <w:r w:rsidR="00A95187">
        <w:rPr>
          <w:rFonts w:asciiTheme="majorHAnsi" w:hAnsiTheme="majorHAnsi" w:cstheme="majorHAnsi"/>
          <w:sz w:val="22"/>
          <w:szCs w:val="22"/>
        </w:rPr>
        <w:t>rom private companies</w:t>
      </w:r>
      <w:r w:rsidR="0042127B">
        <w:rPr>
          <w:rFonts w:asciiTheme="majorHAnsi" w:hAnsiTheme="majorHAnsi" w:cstheme="majorHAnsi"/>
          <w:sz w:val="22"/>
          <w:szCs w:val="22"/>
        </w:rPr>
        <w:t>,</w:t>
      </w:r>
      <w:r w:rsidR="00A95187">
        <w:rPr>
          <w:rFonts w:asciiTheme="majorHAnsi" w:hAnsiTheme="majorHAnsi" w:cstheme="majorHAnsi"/>
          <w:sz w:val="22"/>
          <w:szCs w:val="22"/>
        </w:rPr>
        <w:t xml:space="preserve"> for student learning. </w:t>
      </w:r>
      <w:r w:rsidR="006929AA">
        <w:rPr>
          <w:rFonts w:asciiTheme="majorHAnsi" w:hAnsiTheme="majorHAnsi" w:cstheme="majorHAnsi"/>
          <w:sz w:val="22"/>
          <w:szCs w:val="22"/>
        </w:rPr>
        <w:t xml:space="preserve">Yet teacher usage of digital platforms remains low, in part because </w:t>
      </w:r>
      <w:r w:rsidR="00176B04">
        <w:rPr>
          <w:rFonts w:asciiTheme="majorHAnsi" w:hAnsiTheme="majorHAnsi" w:cstheme="majorHAnsi"/>
          <w:sz w:val="22"/>
          <w:szCs w:val="22"/>
        </w:rPr>
        <w:t xml:space="preserve">the </w:t>
      </w:r>
      <w:r w:rsidR="006929AA">
        <w:rPr>
          <w:rFonts w:asciiTheme="majorHAnsi" w:hAnsiTheme="majorHAnsi" w:cstheme="majorHAnsi"/>
          <w:sz w:val="22"/>
          <w:szCs w:val="22"/>
        </w:rPr>
        <w:t>l</w:t>
      </w:r>
      <w:r w:rsidR="00176B04">
        <w:rPr>
          <w:rFonts w:asciiTheme="majorHAnsi" w:hAnsiTheme="majorHAnsi" w:cstheme="majorHAnsi"/>
          <w:sz w:val="22"/>
          <w:szCs w:val="22"/>
        </w:rPr>
        <w:t>imited</w:t>
      </w:r>
      <w:r w:rsidR="006929AA">
        <w:rPr>
          <w:rFonts w:asciiTheme="majorHAnsi" w:hAnsiTheme="majorHAnsi" w:cstheme="majorHAnsi"/>
          <w:sz w:val="22"/>
          <w:szCs w:val="22"/>
        </w:rPr>
        <w:t xml:space="preserve"> availability of fixed bandwidth and </w:t>
      </w:r>
      <w:r w:rsidR="00176B04">
        <w:rPr>
          <w:rFonts w:asciiTheme="majorHAnsi" w:hAnsiTheme="majorHAnsi" w:cstheme="majorHAnsi"/>
          <w:sz w:val="22"/>
          <w:szCs w:val="22"/>
        </w:rPr>
        <w:t xml:space="preserve">the slow </w:t>
      </w:r>
      <w:r w:rsidR="006929AA">
        <w:rPr>
          <w:rFonts w:asciiTheme="majorHAnsi" w:hAnsiTheme="majorHAnsi" w:cstheme="majorHAnsi"/>
          <w:sz w:val="22"/>
          <w:szCs w:val="22"/>
        </w:rPr>
        <w:t xml:space="preserve">mobile </w:t>
      </w:r>
      <w:r w:rsidR="0042127B">
        <w:rPr>
          <w:rFonts w:asciiTheme="majorHAnsi" w:hAnsiTheme="majorHAnsi" w:cstheme="majorHAnsi"/>
          <w:sz w:val="22"/>
          <w:szCs w:val="22"/>
        </w:rPr>
        <w:t>Internet</w:t>
      </w:r>
      <w:r w:rsidR="006929AA">
        <w:rPr>
          <w:rFonts w:asciiTheme="majorHAnsi" w:hAnsiTheme="majorHAnsi" w:cstheme="majorHAnsi"/>
          <w:sz w:val="22"/>
          <w:szCs w:val="22"/>
        </w:rPr>
        <w:t xml:space="preserve"> speed </w:t>
      </w:r>
      <w:r w:rsidR="00176B04">
        <w:rPr>
          <w:rFonts w:asciiTheme="majorHAnsi" w:hAnsiTheme="majorHAnsi" w:cstheme="majorHAnsi"/>
          <w:sz w:val="22"/>
          <w:szCs w:val="22"/>
        </w:rPr>
        <w:t xml:space="preserve">that hinders </w:t>
      </w:r>
      <w:r w:rsidR="006929AA">
        <w:rPr>
          <w:rFonts w:asciiTheme="majorHAnsi" w:hAnsiTheme="majorHAnsi" w:cstheme="majorHAnsi"/>
          <w:sz w:val="22"/>
          <w:szCs w:val="22"/>
        </w:rPr>
        <w:t>substantial downloads and interaction.</w:t>
      </w:r>
      <w:r w:rsidR="006929AA" w:rsidRPr="004E1187">
        <w:rPr>
          <w:rFonts w:asciiTheme="majorHAnsi" w:hAnsiTheme="majorHAnsi" w:cstheme="majorHAnsi"/>
          <w:sz w:val="22"/>
          <w:szCs w:val="22"/>
        </w:rPr>
        <w:t xml:space="preserve"> </w:t>
      </w:r>
      <w:r w:rsidR="00176B04">
        <w:rPr>
          <w:rFonts w:asciiTheme="majorHAnsi" w:hAnsiTheme="majorHAnsi" w:cstheme="majorHAnsi"/>
          <w:sz w:val="22"/>
          <w:szCs w:val="22"/>
        </w:rPr>
        <w:t>A</w:t>
      </w:r>
      <w:r w:rsidR="006929AA">
        <w:rPr>
          <w:rFonts w:asciiTheme="majorHAnsi" w:hAnsiTheme="majorHAnsi" w:cstheme="majorHAnsi"/>
          <w:sz w:val="22"/>
          <w:szCs w:val="22"/>
        </w:rPr>
        <w:t xml:space="preserve">lthough Indonesian youth are heavy users of social media, </w:t>
      </w:r>
      <w:r w:rsidR="00176B04">
        <w:rPr>
          <w:rFonts w:asciiTheme="majorHAnsi" w:hAnsiTheme="majorHAnsi" w:cstheme="majorHAnsi"/>
          <w:sz w:val="22"/>
          <w:szCs w:val="22"/>
        </w:rPr>
        <w:t xml:space="preserve">a recent </w:t>
      </w:r>
      <w:r w:rsidR="006929AA">
        <w:rPr>
          <w:rFonts w:asciiTheme="majorHAnsi" w:hAnsiTheme="majorHAnsi" w:cstheme="majorHAnsi"/>
          <w:sz w:val="22"/>
          <w:szCs w:val="22"/>
        </w:rPr>
        <w:t>UNICEF stud</w:t>
      </w:r>
      <w:r w:rsidR="00176B04">
        <w:rPr>
          <w:rFonts w:asciiTheme="majorHAnsi" w:hAnsiTheme="majorHAnsi" w:cstheme="majorHAnsi"/>
          <w:sz w:val="22"/>
          <w:szCs w:val="22"/>
        </w:rPr>
        <w:t>y</w:t>
      </w:r>
      <w:r w:rsidR="006929AA">
        <w:rPr>
          <w:rFonts w:asciiTheme="majorHAnsi" w:hAnsiTheme="majorHAnsi" w:cstheme="majorHAnsi"/>
          <w:sz w:val="22"/>
          <w:szCs w:val="22"/>
        </w:rPr>
        <w:t xml:space="preserve"> show</w:t>
      </w:r>
      <w:r w:rsidR="00176B04">
        <w:rPr>
          <w:rFonts w:asciiTheme="majorHAnsi" w:hAnsiTheme="majorHAnsi" w:cstheme="majorHAnsi"/>
          <w:sz w:val="22"/>
          <w:szCs w:val="22"/>
        </w:rPr>
        <w:t>s</w:t>
      </w:r>
      <w:r w:rsidR="006929AA">
        <w:rPr>
          <w:rFonts w:asciiTheme="majorHAnsi" w:hAnsiTheme="majorHAnsi" w:cstheme="majorHAnsi"/>
          <w:sz w:val="22"/>
          <w:szCs w:val="22"/>
        </w:rPr>
        <w:t xml:space="preserve"> </w:t>
      </w:r>
      <w:r w:rsidR="006929AA" w:rsidRPr="00DE0342">
        <w:rPr>
          <w:rFonts w:asciiTheme="majorHAnsi" w:hAnsiTheme="majorHAnsi" w:cstheme="majorHAnsi"/>
          <w:sz w:val="22"/>
          <w:szCs w:val="22"/>
        </w:rPr>
        <w:t>that only 19 per cent of Indonesia’s workforce in 2020 applied digital skills</w:t>
      </w:r>
      <w:r w:rsidR="0042127B">
        <w:rPr>
          <w:rFonts w:asciiTheme="majorHAnsi" w:hAnsiTheme="majorHAnsi" w:cstheme="majorHAnsi"/>
          <w:sz w:val="22"/>
          <w:szCs w:val="22"/>
        </w:rPr>
        <w:t>,</w:t>
      </w:r>
      <w:r w:rsidR="006929AA" w:rsidRPr="00DE0342">
        <w:rPr>
          <w:rFonts w:asciiTheme="majorHAnsi" w:hAnsiTheme="majorHAnsi" w:cstheme="majorHAnsi"/>
          <w:sz w:val="22"/>
          <w:szCs w:val="22"/>
        </w:rPr>
        <w:t xml:space="preserve"> and </w:t>
      </w:r>
      <w:r w:rsidR="0042127B">
        <w:rPr>
          <w:rFonts w:asciiTheme="majorHAnsi" w:hAnsiTheme="majorHAnsi" w:cstheme="majorHAnsi"/>
          <w:sz w:val="22"/>
          <w:szCs w:val="22"/>
        </w:rPr>
        <w:t xml:space="preserve">only </w:t>
      </w:r>
      <w:r w:rsidR="006929AA" w:rsidRPr="00DE0342">
        <w:rPr>
          <w:rFonts w:asciiTheme="majorHAnsi" w:hAnsiTheme="majorHAnsi" w:cstheme="majorHAnsi"/>
          <w:sz w:val="22"/>
          <w:szCs w:val="22"/>
        </w:rPr>
        <w:t>6 per cent had advanced digital skills.</w:t>
      </w:r>
      <w:r w:rsidR="006929AA" w:rsidRPr="004E1187">
        <w:rPr>
          <w:rFonts w:asciiTheme="majorHAnsi" w:hAnsiTheme="majorHAnsi" w:cstheme="majorHAnsi"/>
          <w:sz w:val="22"/>
          <w:szCs w:val="22"/>
        </w:rPr>
        <w:t xml:space="preserve"> </w:t>
      </w:r>
      <w:r w:rsidR="006929AA" w:rsidRPr="00176B04">
        <w:rPr>
          <w:rFonts w:asciiTheme="majorHAnsi" w:hAnsiTheme="majorHAnsi" w:cstheme="majorHAnsi"/>
          <w:sz w:val="22"/>
          <w:szCs w:val="22"/>
          <w:vertAlign w:val="superscript"/>
        </w:rPr>
        <w:footnoteReference w:id="23"/>
      </w:r>
      <w:r w:rsidR="006929AA">
        <w:rPr>
          <w:rFonts w:asciiTheme="majorHAnsi" w:hAnsiTheme="majorHAnsi" w:cstheme="majorHAnsi"/>
          <w:sz w:val="22"/>
          <w:szCs w:val="22"/>
        </w:rPr>
        <w:t xml:space="preserve">  </w:t>
      </w:r>
      <w:r w:rsidR="00257984">
        <w:rPr>
          <w:rFonts w:asciiTheme="majorHAnsi" w:hAnsiTheme="majorHAnsi" w:cstheme="majorHAnsi"/>
          <w:sz w:val="22"/>
          <w:szCs w:val="22"/>
        </w:rPr>
        <w:t>G</w:t>
      </w:r>
      <w:r w:rsidR="00A95187">
        <w:rPr>
          <w:rFonts w:asciiTheme="majorHAnsi" w:hAnsiTheme="majorHAnsi" w:cstheme="majorHAnsi"/>
          <w:sz w:val="22"/>
          <w:szCs w:val="22"/>
        </w:rPr>
        <w:t xml:space="preserve">iven the size of the digital divide and </w:t>
      </w:r>
      <w:r w:rsidR="00257984">
        <w:rPr>
          <w:rFonts w:asciiTheme="majorHAnsi" w:hAnsiTheme="majorHAnsi" w:cstheme="majorHAnsi"/>
          <w:sz w:val="22"/>
          <w:szCs w:val="22"/>
        </w:rPr>
        <w:t>skill levels of teachers and students,</w:t>
      </w:r>
      <w:r w:rsidR="00A95187">
        <w:rPr>
          <w:rFonts w:asciiTheme="majorHAnsi" w:hAnsiTheme="majorHAnsi" w:cstheme="majorHAnsi"/>
          <w:sz w:val="22"/>
          <w:szCs w:val="22"/>
        </w:rPr>
        <w:t xml:space="preserve"> UNICEF’</w:t>
      </w:r>
      <w:r w:rsidR="00257984">
        <w:rPr>
          <w:rFonts w:asciiTheme="majorHAnsi" w:hAnsiTheme="majorHAnsi" w:cstheme="majorHAnsi"/>
          <w:sz w:val="22"/>
          <w:szCs w:val="22"/>
        </w:rPr>
        <w:t>s focus</w:t>
      </w:r>
      <w:r w:rsidR="00A95187">
        <w:rPr>
          <w:rFonts w:asciiTheme="majorHAnsi" w:hAnsiTheme="majorHAnsi" w:cstheme="majorHAnsi"/>
          <w:sz w:val="22"/>
          <w:szCs w:val="22"/>
        </w:rPr>
        <w:t xml:space="preserve"> is on the</w:t>
      </w:r>
      <w:r w:rsidR="004A3EB6">
        <w:rPr>
          <w:rFonts w:asciiTheme="majorHAnsi" w:hAnsiTheme="majorHAnsi" w:cstheme="majorHAnsi"/>
          <w:sz w:val="22"/>
          <w:szCs w:val="22"/>
        </w:rPr>
        <w:t xml:space="preserve"> more fundamental</w:t>
      </w:r>
      <w:r w:rsidR="00257984">
        <w:rPr>
          <w:rFonts w:asciiTheme="majorHAnsi" w:hAnsiTheme="majorHAnsi" w:cstheme="majorHAnsi"/>
          <w:sz w:val="22"/>
          <w:szCs w:val="22"/>
        </w:rPr>
        <w:t xml:space="preserve"> </w:t>
      </w:r>
      <w:r w:rsidR="00A95187">
        <w:rPr>
          <w:rFonts w:asciiTheme="majorHAnsi" w:hAnsiTheme="majorHAnsi" w:cstheme="majorHAnsi"/>
          <w:sz w:val="22"/>
          <w:szCs w:val="22"/>
        </w:rPr>
        <w:t xml:space="preserve">issue of access to connectivity, and basic teacher training in navigating platforms. </w:t>
      </w:r>
      <w:r w:rsidR="0042127B">
        <w:rPr>
          <w:rFonts w:asciiTheme="majorHAnsi" w:hAnsiTheme="majorHAnsi" w:cstheme="majorHAnsi"/>
          <w:sz w:val="22"/>
          <w:szCs w:val="22"/>
        </w:rPr>
        <w:t>A</w:t>
      </w:r>
      <w:r w:rsidR="006363C3">
        <w:rPr>
          <w:rFonts w:asciiTheme="majorHAnsi" w:hAnsiTheme="majorHAnsi" w:cstheme="majorHAnsi"/>
          <w:sz w:val="22"/>
          <w:szCs w:val="22"/>
        </w:rPr>
        <w:t xml:space="preserve"> key </w:t>
      </w:r>
      <w:r w:rsidR="0042127B">
        <w:rPr>
          <w:rFonts w:asciiTheme="majorHAnsi" w:hAnsiTheme="majorHAnsi" w:cstheme="majorHAnsi"/>
          <w:sz w:val="22"/>
          <w:szCs w:val="22"/>
        </w:rPr>
        <w:t>lesson calls for partnership</w:t>
      </w:r>
      <w:r w:rsidR="00257984">
        <w:rPr>
          <w:rFonts w:asciiTheme="majorHAnsi" w:hAnsiTheme="majorHAnsi" w:cstheme="majorHAnsi"/>
          <w:sz w:val="22"/>
          <w:szCs w:val="22"/>
        </w:rPr>
        <w:t xml:space="preserve"> between </w:t>
      </w:r>
      <w:r w:rsidR="00A95187">
        <w:rPr>
          <w:rFonts w:asciiTheme="majorHAnsi" w:hAnsiTheme="majorHAnsi" w:cstheme="majorHAnsi"/>
          <w:sz w:val="22"/>
          <w:szCs w:val="22"/>
        </w:rPr>
        <w:t xml:space="preserve">government and </w:t>
      </w:r>
      <w:r w:rsidR="00257984">
        <w:rPr>
          <w:rFonts w:asciiTheme="majorHAnsi" w:hAnsiTheme="majorHAnsi" w:cstheme="majorHAnsi"/>
          <w:sz w:val="22"/>
          <w:szCs w:val="22"/>
        </w:rPr>
        <w:t xml:space="preserve">the private sector </w:t>
      </w:r>
      <w:r w:rsidR="00A95187">
        <w:rPr>
          <w:rFonts w:asciiTheme="majorHAnsi" w:hAnsiTheme="majorHAnsi" w:cstheme="majorHAnsi"/>
          <w:sz w:val="22"/>
          <w:szCs w:val="22"/>
        </w:rPr>
        <w:t xml:space="preserve">to </w:t>
      </w:r>
      <w:r w:rsidR="00257984">
        <w:rPr>
          <w:rFonts w:asciiTheme="majorHAnsi" w:hAnsiTheme="majorHAnsi" w:cstheme="majorHAnsi"/>
          <w:sz w:val="22"/>
          <w:szCs w:val="22"/>
        </w:rPr>
        <w:t xml:space="preserve">increase access to the </w:t>
      </w:r>
      <w:r w:rsidR="0042127B">
        <w:rPr>
          <w:rFonts w:asciiTheme="majorHAnsi" w:hAnsiTheme="majorHAnsi" w:cstheme="majorHAnsi"/>
          <w:sz w:val="22"/>
          <w:szCs w:val="22"/>
        </w:rPr>
        <w:t>Internet</w:t>
      </w:r>
      <w:r w:rsidR="00750FF9">
        <w:rPr>
          <w:rFonts w:asciiTheme="majorHAnsi" w:hAnsiTheme="majorHAnsi" w:cstheme="majorHAnsi"/>
          <w:sz w:val="22"/>
          <w:szCs w:val="22"/>
        </w:rPr>
        <w:t xml:space="preserve">. </w:t>
      </w:r>
      <w:r w:rsidR="0042127B">
        <w:rPr>
          <w:rFonts w:asciiTheme="majorHAnsi" w:hAnsiTheme="majorHAnsi" w:cstheme="majorHAnsi"/>
          <w:sz w:val="22"/>
          <w:szCs w:val="22"/>
        </w:rPr>
        <w:t>Such initiative</w:t>
      </w:r>
      <w:r w:rsidR="00750FF9" w:rsidRPr="004E1187">
        <w:rPr>
          <w:rFonts w:asciiTheme="majorHAnsi" w:hAnsiTheme="majorHAnsi" w:cstheme="majorHAnsi"/>
          <w:sz w:val="22"/>
          <w:szCs w:val="22"/>
        </w:rPr>
        <w:t>s</w:t>
      </w:r>
      <w:r w:rsidR="00257984" w:rsidRPr="004E1187">
        <w:rPr>
          <w:rFonts w:asciiTheme="majorHAnsi" w:hAnsiTheme="majorHAnsi" w:cstheme="majorHAnsi"/>
          <w:sz w:val="22"/>
          <w:szCs w:val="22"/>
        </w:rPr>
        <w:t xml:space="preserve"> </w:t>
      </w:r>
      <w:r w:rsidR="0042127B">
        <w:rPr>
          <w:rFonts w:asciiTheme="majorHAnsi" w:hAnsiTheme="majorHAnsi" w:cstheme="majorHAnsi"/>
          <w:sz w:val="22"/>
          <w:szCs w:val="22"/>
        </w:rPr>
        <w:t>would for instance necessitate</w:t>
      </w:r>
      <w:r w:rsidR="00750FF9" w:rsidRPr="004E1187">
        <w:rPr>
          <w:rFonts w:asciiTheme="majorHAnsi" w:hAnsiTheme="majorHAnsi" w:cstheme="majorHAnsi"/>
          <w:sz w:val="22"/>
          <w:szCs w:val="22"/>
        </w:rPr>
        <w:t xml:space="preserve"> </w:t>
      </w:r>
      <w:r w:rsidR="00257984" w:rsidRPr="004E1187">
        <w:rPr>
          <w:rFonts w:asciiTheme="majorHAnsi" w:hAnsiTheme="majorHAnsi" w:cstheme="majorHAnsi"/>
          <w:sz w:val="22"/>
          <w:szCs w:val="22"/>
        </w:rPr>
        <w:t>telecommunication providers</w:t>
      </w:r>
      <w:r w:rsidR="006363C3">
        <w:rPr>
          <w:rFonts w:asciiTheme="majorHAnsi" w:hAnsiTheme="majorHAnsi" w:cstheme="majorHAnsi"/>
          <w:sz w:val="22"/>
          <w:szCs w:val="22"/>
        </w:rPr>
        <w:t xml:space="preserve"> to</w:t>
      </w:r>
      <w:r w:rsidR="00257984" w:rsidRPr="004E1187">
        <w:rPr>
          <w:rFonts w:asciiTheme="majorHAnsi" w:hAnsiTheme="majorHAnsi" w:cstheme="majorHAnsi"/>
          <w:sz w:val="22"/>
          <w:szCs w:val="22"/>
        </w:rPr>
        <w:t xml:space="preserve"> equip schools in underserved, rural and remote areas, with Internet, digital facilities and skill development programmes for teachers</w:t>
      </w:r>
      <w:r w:rsidR="0042127B">
        <w:rPr>
          <w:rFonts w:asciiTheme="majorHAnsi" w:hAnsiTheme="majorHAnsi" w:cstheme="majorHAnsi"/>
          <w:sz w:val="22"/>
          <w:szCs w:val="22"/>
        </w:rPr>
        <w:t>, and</w:t>
      </w:r>
      <w:r w:rsidR="00A041B2">
        <w:rPr>
          <w:rFonts w:asciiTheme="majorHAnsi" w:hAnsiTheme="majorHAnsi" w:cstheme="majorHAnsi"/>
          <w:sz w:val="22"/>
          <w:szCs w:val="22"/>
        </w:rPr>
        <w:t xml:space="preserve"> </w:t>
      </w:r>
      <w:r w:rsidR="0042127B">
        <w:rPr>
          <w:rFonts w:asciiTheme="majorHAnsi" w:hAnsiTheme="majorHAnsi" w:cstheme="majorHAnsi"/>
          <w:sz w:val="22"/>
          <w:szCs w:val="22"/>
        </w:rPr>
        <w:t>the</w:t>
      </w:r>
      <w:r w:rsidR="00A041B2">
        <w:rPr>
          <w:rFonts w:asciiTheme="majorHAnsi" w:hAnsiTheme="majorHAnsi" w:cstheme="majorHAnsi"/>
          <w:sz w:val="22"/>
          <w:szCs w:val="22"/>
        </w:rPr>
        <w:t xml:space="preserve"> </w:t>
      </w:r>
      <w:r w:rsidR="00750FF9" w:rsidRPr="004E1187">
        <w:rPr>
          <w:rFonts w:asciiTheme="majorHAnsi" w:hAnsiTheme="majorHAnsi" w:cstheme="majorHAnsi"/>
          <w:sz w:val="22"/>
          <w:szCs w:val="22"/>
        </w:rPr>
        <w:t>government</w:t>
      </w:r>
      <w:r w:rsidR="006363C3">
        <w:rPr>
          <w:rFonts w:asciiTheme="majorHAnsi" w:hAnsiTheme="majorHAnsi" w:cstheme="majorHAnsi"/>
          <w:sz w:val="22"/>
          <w:szCs w:val="22"/>
        </w:rPr>
        <w:t xml:space="preserve"> to</w:t>
      </w:r>
      <w:r w:rsidR="0042127B">
        <w:rPr>
          <w:rFonts w:asciiTheme="majorHAnsi" w:hAnsiTheme="majorHAnsi" w:cstheme="majorHAnsi"/>
          <w:sz w:val="22"/>
          <w:szCs w:val="22"/>
        </w:rPr>
        <w:t xml:space="preserve"> </w:t>
      </w:r>
      <w:r w:rsidR="00750FF9" w:rsidRPr="004E1187">
        <w:rPr>
          <w:rFonts w:asciiTheme="majorHAnsi" w:hAnsiTheme="majorHAnsi" w:cstheme="majorHAnsi"/>
          <w:sz w:val="22"/>
          <w:szCs w:val="22"/>
        </w:rPr>
        <w:t>guarantee minimum mobile data uptake</w:t>
      </w:r>
      <w:r w:rsidR="0042127B">
        <w:rPr>
          <w:rFonts w:asciiTheme="majorHAnsi" w:hAnsiTheme="majorHAnsi" w:cstheme="majorHAnsi"/>
          <w:sz w:val="22"/>
          <w:szCs w:val="22"/>
        </w:rPr>
        <w:t xml:space="preserve"> </w:t>
      </w:r>
      <w:r w:rsidR="00A041B2">
        <w:rPr>
          <w:rFonts w:asciiTheme="majorHAnsi" w:hAnsiTheme="majorHAnsi" w:cstheme="majorHAnsi"/>
          <w:sz w:val="22"/>
          <w:szCs w:val="22"/>
        </w:rPr>
        <w:t xml:space="preserve">and </w:t>
      </w:r>
      <w:r w:rsidR="00750FF9" w:rsidRPr="004E1187">
        <w:rPr>
          <w:rFonts w:asciiTheme="majorHAnsi" w:hAnsiTheme="majorHAnsi" w:cstheme="majorHAnsi"/>
          <w:sz w:val="22"/>
          <w:szCs w:val="22"/>
        </w:rPr>
        <w:t>bulk lease agreements for equipment and teacher training</w:t>
      </w:r>
      <w:r w:rsidR="004A3EB6" w:rsidRPr="004E1187">
        <w:rPr>
          <w:rFonts w:asciiTheme="majorHAnsi" w:hAnsiTheme="majorHAnsi" w:cstheme="majorHAnsi"/>
          <w:sz w:val="22"/>
          <w:szCs w:val="22"/>
        </w:rPr>
        <w:t>.</w:t>
      </w:r>
      <w:r w:rsidR="00750FF9" w:rsidRPr="004E1187">
        <w:rPr>
          <w:rFonts w:asciiTheme="majorHAnsi" w:hAnsiTheme="majorHAnsi" w:cstheme="majorHAnsi"/>
          <w:sz w:val="22"/>
          <w:szCs w:val="22"/>
        </w:rPr>
        <w:t xml:space="preserve"> </w:t>
      </w:r>
    </w:p>
    <w:p w14:paraId="36DE916E" w14:textId="4FC2EB24" w:rsidR="00BC7D69" w:rsidRPr="00BC0C75" w:rsidRDefault="00BC0C75" w:rsidP="00BC0C75">
      <w:pPr>
        <w:pStyle w:val="Heading2"/>
        <w:rPr>
          <w:b/>
          <w:bCs/>
          <w:sz w:val="22"/>
          <w:szCs w:val="22"/>
        </w:rPr>
      </w:pPr>
      <w:r w:rsidRPr="00BC0C75">
        <w:rPr>
          <w:b/>
          <w:bCs/>
          <w:caps w:val="0"/>
          <w:sz w:val="22"/>
          <w:szCs w:val="22"/>
        </w:rPr>
        <w:lastRenderedPageBreak/>
        <w:t xml:space="preserve">Key Updates </w:t>
      </w:r>
    </w:p>
    <w:p w14:paraId="137DF564" w14:textId="6A905CBA" w:rsidR="00BC7D69" w:rsidRPr="009E04A4" w:rsidRDefault="00BC7D69" w:rsidP="00A7183E">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 xml:space="preserve">Based on the lessons above, this Design Update introduces changes that drive an evolution - rather than revolution - of the INOVASI program model. Together, these changes incrementally </w:t>
      </w:r>
      <w:r w:rsidRPr="009E04A4">
        <w:rPr>
          <w:rFonts w:asciiTheme="majorHAnsi" w:hAnsiTheme="majorHAnsi" w:cstheme="majorHAnsi"/>
          <w:sz w:val="22"/>
          <w:szCs w:val="22"/>
        </w:rPr>
        <w:t xml:space="preserve">transition the program’s intent from the co-existence of two approaches - the national systemic approach from TASS with the local solutions approach from INOVASI - to a merging of these approaches into one: the development of local systemic solutions. The changes suggested </w:t>
      </w:r>
      <w:r w:rsidR="00A95EC7" w:rsidRPr="009E04A4">
        <w:rPr>
          <w:rFonts w:asciiTheme="majorHAnsi" w:hAnsiTheme="majorHAnsi" w:cstheme="majorHAnsi"/>
          <w:sz w:val="22"/>
          <w:szCs w:val="22"/>
        </w:rPr>
        <w:t>respond to the ISR recommendations (</w:t>
      </w:r>
      <w:r w:rsidR="004128B1">
        <w:rPr>
          <w:rFonts w:asciiTheme="majorHAnsi" w:hAnsiTheme="majorHAnsi" w:cstheme="majorHAnsi"/>
          <w:sz w:val="22"/>
          <w:szCs w:val="22"/>
        </w:rPr>
        <w:t>s</w:t>
      </w:r>
      <w:r w:rsidR="00A95EC7" w:rsidRPr="009E04A4">
        <w:rPr>
          <w:rFonts w:asciiTheme="majorHAnsi" w:hAnsiTheme="majorHAnsi" w:cstheme="majorHAnsi"/>
          <w:sz w:val="22"/>
          <w:szCs w:val="22"/>
        </w:rPr>
        <w:t xml:space="preserve">ee Annex </w:t>
      </w:r>
      <w:r w:rsidR="00387461">
        <w:rPr>
          <w:rFonts w:asciiTheme="majorHAnsi" w:hAnsiTheme="majorHAnsi" w:cstheme="majorHAnsi"/>
          <w:sz w:val="22"/>
          <w:szCs w:val="22"/>
        </w:rPr>
        <w:t>4</w:t>
      </w:r>
      <w:r w:rsidR="00A95EC7" w:rsidRPr="009E04A4">
        <w:rPr>
          <w:rFonts w:asciiTheme="majorHAnsi" w:hAnsiTheme="majorHAnsi" w:cstheme="majorHAnsi"/>
          <w:sz w:val="22"/>
          <w:szCs w:val="22"/>
        </w:rPr>
        <w:t xml:space="preserve">) and </w:t>
      </w:r>
      <w:r w:rsidRPr="009E04A4">
        <w:rPr>
          <w:rFonts w:asciiTheme="majorHAnsi" w:hAnsiTheme="majorHAnsi" w:cstheme="majorHAnsi"/>
          <w:sz w:val="22"/>
          <w:szCs w:val="22"/>
        </w:rPr>
        <w:t>can be summarised into five key updates</w:t>
      </w:r>
      <w:r w:rsidR="00F82E20" w:rsidRPr="009E04A4">
        <w:rPr>
          <w:rFonts w:asciiTheme="majorHAnsi" w:hAnsiTheme="majorHAnsi" w:cstheme="majorHAnsi"/>
          <w:sz w:val="22"/>
          <w:szCs w:val="22"/>
        </w:rPr>
        <w:t xml:space="preserve"> (and </w:t>
      </w:r>
      <w:r w:rsidR="00F82E20" w:rsidRPr="009E04A4">
        <w:rPr>
          <w:rFonts w:asciiTheme="majorHAnsi" w:hAnsiTheme="majorHAnsi" w:cstheme="majorHAnsi"/>
          <w:i/>
          <w:iCs/>
          <w:sz w:val="22"/>
          <w:szCs w:val="22"/>
        </w:rPr>
        <w:t>key words</w:t>
      </w:r>
      <w:r w:rsidR="00F82E20" w:rsidRPr="009E04A4">
        <w:rPr>
          <w:rFonts w:asciiTheme="majorHAnsi" w:hAnsiTheme="majorHAnsi" w:cstheme="majorHAnsi"/>
          <w:sz w:val="22"/>
          <w:szCs w:val="22"/>
        </w:rPr>
        <w:t>)</w:t>
      </w:r>
      <w:r w:rsidRPr="009E04A4">
        <w:rPr>
          <w:rFonts w:asciiTheme="majorHAnsi" w:hAnsiTheme="majorHAnsi" w:cstheme="majorHAnsi"/>
          <w:sz w:val="22"/>
          <w:szCs w:val="22"/>
        </w:rPr>
        <w:t>, as following:</w:t>
      </w:r>
    </w:p>
    <w:p w14:paraId="623BBB4B" w14:textId="75F4CA0A" w:rsidR="00BC7D69" w:rsidRPr="009E04A4" w:rsidRDefault="00BC7D69" w:rsidP="008D1844">
      <w:pPr>
        <w:pStyle w:val="ListParagraph"/>
        <w:numPr>
          <w:ilvl w:val="0"/>
          <w:numId w:val="22"/>
        </w:numPr>
        <w:tabs>
          <w:tab w:val="left" w:pos="142"/>
        </w:tabs>
        <w:spacing w:before="120" w:after="120" w:line="281" w:lineRule="auto"/>
        <w:contextualSpacing w:val="0"/>
        <w:rPr>
          <w:rFonts w:asciiTheme="majorHAnsi" w:hAnsiTheme="majorHAnsi" w:cstheme="majorHAnsi"/>
          <w:sz w:val="22"/>
          <w:szCs w:val="22"/>
        </w:rPr>
      </w:pPr>
      <w:r w:rsidRPr="009E04A4">
        <w:rPr>
          <w:rFonts w:asciiTheme="majorHAnsi" w:hAnsiTheme="majorHAnsi" w:cstheme="majorHAnsi"/>
          <w:i/>
          <w:iCs/>
          <w:sz w:val="22"/>
          <w:szCs w:val="22"/>
        </w:rPr>
        <w:t>Foundational skills.</w:t>
      </w:r>
      <w:r w:rsidRPr="009E04A4">
        <w:rPr>
          <w:rFonts w:asciiTheme="majorHAnsi" w:hAnsiTheme="majorHAnsi" w:cstheme="majorHAnsi"/>
          <w:sz w:val="22"/>
          <w:szCs w:val="22"/>
        </w:rPr>
        <w:t xml:space="preserve"> INOVASI’s support for evidence-based teaching of early grades literacy has resonated nationally through </w:t>
      </w:r>
      <w:proofErr w:type="spellStart"/>
      <w:r w:rsidRPr="009E04A4">
        <w:rPr>
          <w:rFonts w:asciiTheme="majorHAnsi" w:hAnsiTheme="majorHAnsi" w:cstheme="majorHAnsi"/>
          <w:sz w:val="22"/>
          <w:szCs w:val="22"/>
        </w:rPr>
        <w:t>MoECRT’s</w:t>
      </w:r>
      <w:proofErr w:type="spellEnd"/>
      <w:r w:rsidRPr="009E04A4">
        <w:rPr>
          <w:rFonts w:asciiTheme="majorHAnsi" w:hAnsiTheme="majorHAnsi" w:cstheme="majorHAnsi"/>
          <w:sz w:val="22"/>
          <w:szCs w:val="22"/>
        </w:rPr>
        <w:t xml:space="preserve"> guidance for teachers and has had strong take up by local governments in INOVASI’s partner districts. Building on these achievements and based on Indonesia’s education priorities, the new program will focus on the development of strong foundational skills for primary school and madrasah students in literacy, </w:t>
      </w:r>
      <w:r w:rsidR="007E6EF6" w:rsidRPr="009E04A4">
        <w:rPr>
          <w:rFonts w:asciiTheme="majorHAnsi" w:hAnsiTheme="majorHAnsi" w:cstheme="majorHAnsi"/>
          <w:sz w:val="22"/>
          <w:szCs w:val="22"/>
        </w:rPr>
        <w:t>numeracy,</w:t>
      </w:r>
      <w:r w:rsidRPr="009E04A4">
        <w:rPr>
          <w:rFonts w:asciiTheme="majorHAnsi" w:hAnsiTheme="majorHAnsi" w:cstheme="majorHAnsi"/>
          <w:sz w:val="22"/>
          <w:szCs w:val="22"/>
        </w:rPr>
        <w:t xml:space="preserve"> and character education. While support to literacy learning will continue, the program will include a</w:t>
      </w:r>
      <w:r w:rsidR="00D7221C" w:rsidRPr="009E04A4">
        <w:rPr>
          <w:rFonts w:asciiTheme="majorHAnsi" w:hAnsiTheme="majorHAnsi" w:cstheme="majorHAnsi"/>
          <w:sz w:val="22"/>
          <w:szCs w:val="22"/>
        </w:rPr>
        <w:t xml:space="preserve">n increased </w:t>
      </w:r>
      <w:r w:rsidRPr="009E04A4">
        <w:rPr>
          <w:rFonts w:asciiTheme="majorHAnsi" w:hAnsiTheme="majorHAnsi" w:cstheme="majorHAnsi"/>
          <w:sz w:val="22"/>
          <w:szCs w:val="22"/>
        </w:rPr>
        <w:t xml:space="preserve">focus on numeracy and </w:t>
      </w:r>
      <w:r w:rsidR="00445624" w:rsidRPr="009E04A4">
        <w:rPr>
          <w:rFonts w:asciiTheme="majorHAnsi" w:hAnsiTheme="majorHAnsi" w:cstheme="majorHAnsi"/>
          <w:sz w:val="22"/>
          <w:szCs w:val="22"/>
        </w:rPr>
        <w:t>character-building</w:t>
      </w:r>
      <w:r w:rsidRPr="009E04A4">
        <w:rPr>
          <w:rFonts w:asciiTheme="majorHAnsi" w:hAnsiTheme="majorHAnsi" w:cstheme="majorHAnsi"/>
          <w:sz w:val="22"/>
          <w:szCs w:val="22"/>
        </w:rPr>
        <w:t xml:space="preserve"> improvements. </w:t>
      </w:r>
    </w:p>
    <w:p w14:paraId="288D0E67" w14:textId="078B9339" w:rsidR="00BC7D69" w:rsidRPr="009E04A4" w:rsidRDefault="00BC7D69" w:rsidP="008D1844">
      <w:pPr>
        <w:pStyle w:val="ListParagraph"/>
        <w:numPr>
          <w:ilvl w:val="0"/>
          <w:numId w:val="22"/>
        </w:numPr>
        <w:tabs>
          <w:tab w:val="left" w:pos="142"/>
        </w:tabs>
        <w:spacing w:before="120" w:after="120" w:line="281" w:lineRule="auto"/>
        <w:contextualSpacing w:val="0"/>
        <w:rPr>
          <w:rFonts w:asciiTheme="majorHAnsi" w:hAnsiTheme="majorHAnsi" w:cstheme="majorHAnsi"/>
          <w:sz w:val="22"/>
          <w:szCs w:val="22"/>
        </w:rPr>
      </w:pPr>
      <w:r w:rsidRPr="009E04A4">
        <w:rPr>
          <w:rFonts w:asciiTheme="majorHAnsi" w:hAnsiTheme="majorHAnsi" w:cstheme="majorHAnsi"/>
          <w:i/>
          <w:iCs/>
          <w:sz w:val="22"/>
          <w:szCs w:val="22"/>
        </w:rPr>
        <w:t>Primary education grades</w:t>
      </w:r>
      <w:r w:rsidRPr="009E04A4">
        <w:rPr>
          <w:rFonts w:asciiTheme="majorHAnsi" w:hAnsiTheme="majorHAnsi" w:cstheme="majorHAnsi"/>
          <w:sz w:val="22"/>
          <w:szCs w:val="22"/>
        </w:rPr>
        <w:t xml:space="preserve">. Responding to the ISR recommendation, the new program will extend </w:t>
      </w:r>
      <w:r w:rsidR="006C2EBE" w:rsidRPr="009E04A4">
        <w:rPr>
          <w:rFonts w:asciiTheme="majorHAnsi" w:hAnsiTheme="majorHAnsi" w:cstheme="majorHAnsi"/>
          <w:sz w:val="22"/>
          <w:szCs w:val="22"/>
        </w:rPr>
        <w:t>to the</w:t>
      </w:r>
      <w:r w:rsidR="00C20FE3" w:rsidRPr="009E04A4">
        <w:rPr>
          <w:rFonts w:asciiTheme="majorHAnsi" w:hAnsiTheme="majorHAnsi" w:cstheme="majorHAnsi"/>
          <w:sz w:val="22"/>
          <w:szCs w:val="22"/>
        </w:rPr>
        <w:t xml:space="preserve"> entire primary cycle for schools and madrasah </w:t>
      </w:r>
      <w:r w:rsidRPr="009E04A4">
        <w:rPr>
          <w:rFonts w:asciiTheme="majorHAnsi" w:hAnsiTheme="majorHAnsi" w:cstheme="majorHAnsi"/>
          <w:sz w:val="22"/>
          <w:szCs w:val="22"/>
        </w:rPr>
        <w:t xml:space="preserve">to strengthen </w:t>
      </w:r>
      <w:r w:rsidR="006C2EBE" w:rsidRPr="009E04A4">
        <w:rPr>
          <w:rFonts w:asciiTheme="majorHAnsi" w:hAnsiTheme="majorHAnsi" w:cstheme="majorHAnsi"/>
          <w:sz w:val="22"/>
          <w:szCs w:val="22"/>
        </w:rPr>
        <w:t xml:space="preserve">the coherence of school </w:t>
      </w:r>
      <w:r w:rsidRPr="009E04A4">
        <w:rPr>
          <w:rFonts w:asciiTheme="majorHAnsi" w:hAnsiTheme="majorHAnsi" w:cstheme="majorHAnsi"/>
          <w:sz w:val="22"/>
          <w:szCs w:val="22"/>
        </w:rPr>
        <w:t xml:space="preserve">curriculum </w:t>
      </w:r>
      <w:r w:rsidR="006C2EBE" w:rsidRPr="009E04A4">
        <w:rPr>
          <w:rFonts w:asciiTheme="majorHAnsi" w:hAnsiTheme="majorHAnsi" w:cstheme="majorHAnsi"/>
          <w:sz w:val="22"/>
          <w:szCs w:val="22"/>
        </w:rPr>
        <w:t>development</w:t>
      </w:r>
      <w:r w:rsidRPr="009E04A4">
        <w:rPr>
          <w:rFonts w:asciiTheme="majorHAnsi" w:hAnsiTheme="majorHAnsi" w:cstheme="majorHAnsi"/>
          <w:sz w:val="22"/>
          <w:szCs w:val="22"/>
        </w:rPr>
        <w:t xml:space="preserve"> and support </w:t>
      </w:r>
      <w:r w:rsidR="006C2EBE" w:rsidRPr="009E04A4">
        <w:rPr>
          <w:rFonts w:asciiTheme="majorHAnsi" w:hAnsiTheme="majorHAnsi" w:cstheme="majorHAnsi"/>
          <w:sz w:val="22"/>
          <w:szCs w:val="22"/>
        </w:rPr>
        <w:t xml:space="preserve">the school’s focus on students’ </w:t>
      </w:r>
      <w:r w:rsidRPr="009E04A4">
        <w:rPr>
          <w:rFonts w:asciiTheme="majorHAnsi" w:hAnsiTheme="majorHAnsi" w:cstheme="majorHAnsi"/>
          <w:sz w:val="22"/>
          <w:szCs w:val="22"/>
        </w:rPr>
        <w:t>learning progression. This means going forward</w:t>
      </w:r>
      <w:r w:rsidR="006C2EBE" w:rsidRPr="009E04A4">
        <w:rPr>
          <w:rFonts w:asciiTheme="majorHAnsi" w:hAnsiTheme="majorHAnsi" w:cstheme="majorHAnsi"/>
          <w:sz w:val="22"/>
          <w:szCs w:val="22"/>
        </w:rPr>
        <w:t>,</w:t>
      </w:r>
      <w:r w:rsidRPr="009E04A4">
        <w:rPr>
          <w:rFonts w:asciiTheme="majorHAnsi" w:hAnsiTheme="majorHAnsi" w:cstheme="majorHAnsi"/>
          <w:sz w:val="22"/>
          <w:szCs w:val="22"/>
        </w:rPr>
        <w:t xml:space="preserve"> INOVASI Phase 3 will increase its support from the current focus on early grades (grades 1-3) to cover all primary school years (grades 1-6). In addition, it will </w:t>
      </w:r>
      <w:r w:rsidR="006C2EBE" w:rsidRPr="009E04A4">
        <w:rPr>
          <w:rFonts w:asciiTheme="majorHAnsi" w:hAnsiTheme="majorHAnsi" w:cstheme="majorHAnsi"/>
          <w:sz w:val="22"/>
          <w:szCs w:val="22"/>
        </w:rPr>
        <w:t xml:space="preserve">support pilots for the </w:t>
      </w:r>
      <w:r w:rsidRPr="009E04A4">
        <w:rPr>
          <w:rFonts w:asciiTheme="majorHAnsi" w:hAnsiTheme="majorHAnsi" w:cstheme="majorHAnsi"/>
          <w:sz w:val="22"/>
          <w:szCs w:val="22"/>
        </w:rPr>
        <w:t>improvement of education services in the pre-school transition year (kindergarten), in an opportunistic manner, when and where feasible and relevant</w:t>
      </w:r>
      <w:r w:rsidR="006C2EBE" w:rsidRPr="009E04A4">
        <w:rPr>
          <w:rFonts w:asciiTheme="majorHAnsi" w:hAnsiTheme="majorHAnsi" w:cstheme="majorHAnsi"/>
          <w:sz w:val="22"/>
          <w:szCs w:val="22"/>
        </w:rPr>
        <w:t xml:space="preserve"> to district contexts</w:t>
      </w:r>
      <w:r w:rsidRPr="009E04A4">
        <w:rPr>
          <w:rFonts w:asciiTheme="majorHAnsi" w:hAnsiTheme="majorHAnsi" w:cstheme="majorHAnsi"/>
          <w:sz w:val="22"/>
          <w:szCs w:val="22"/>
        </w:rPr>
        <w:t>.</w:t>
      </w:r>
    </w:p>
    <w:p w14:paraId="12FE7C04" w14:textId="21A91040" w:rsidR="00BC7D69" w:rsidRPr="009E04A4" w:rsidRDefault="00BC7D69" w:rsidP="008D1844">
      <w:pPr>
        <w:pStyle w:val="ListParagraph"/>
        <w:numPr>
          <w:ilvl w:val="0"/>
          <w:numId w:val="22"/>
        </w:numPr>
        <w:tabs>
          <w:tab w:val="left" w:pos="142"/>
        </w:tabs>
        <w:spacing w:before="120" w:after="120" w:line="281" w:lineRule="auto"/>
        <w:contextualSpacing w:val="0"/>
        <w:rPr>
          <w:rFonts w:asciiTheme="majorHAnsi" w:hAnsiTheme="majorHAnsi" w:cstheme="majorHAnsi"/>
          <w:sz w:val="22"/>
          <w:szCs w:val="22"/>
        </w:rPr>
      </w:pPr>
      <w:r w:rsidRPr="009E04A4">
        <w:rPr>
          <w:rFonts w:asciiTheme="majorHAnsi" w:hAnsiTheme="majorHAnsi" w:cstheme="majorHAnsi"/>
          <w:i/>
          <w:iCs/>
          <w:sz w:val="22"/>
          <w:szCs w:val="22"/>
        </w:rPr>
        <w:t xml:space="preserve">Policy </w:t>
      </w:r>
      <w:r w:rsidR="0025048E">
        <w:rPr>
          <w:rFonts w:asciiTheme="majorHAnsi" w:hAnsiTheme="majorHAnsi" w:cstheme="majorHAnsi"/>
          <w:i/>
          <w:iCs/>
          <w:sz w:val="22"/>
          <w:szCs w:val="22"/>
        </w:rPr>
        <w:t>engagement</w:t>
      </w:r>
      <w:r w:rsidR="0025048E" w:rsidRPr="009E04A4">
        <w:rPr>
          <w:rFonts w:asciiTheme="majorHAnsi" w:hAnsiTheme="majorHAnsi" w:cstheme="majorHAnsi"/>
          <w:i/>
          <w:iCs/>
          <w:sz w:val="22"/>
          <w:szCs w:val="22"/>
        </w:rPr>
        <w:t xml:space="preserve"> </w:t>
      </w:r>
      <w:r w:rsidR="0025048E">
        <w:rPr>
          <w:rFonts w:asciiTheme="majorHAnsi" w:hAnsiTheme="majorHAnsi" w:cstheme="majorHAnsi"/>
          <w:i/>
          <w:iCs/>
          <w:sz w:val="22"/>
          <w:szCs w:val="22"/>
        </w:rPr>
        <w:t xml:space="preserve">and </w:t>
      </w:r>
      <w:r w:rsidRPr="009E04A4">
        <w:rPr>
          <w:rFonts w:asciiTheme="majorHAnsi" w:hAnsiTheme="majorHAnsi" w:cstheme="majorHAnsi"/>
          <w:i/>
          <w:iCs/>
          <w:sz w:val="22"/>
          <w:szCs w:val="22"/>
        </w:rPr>
        <w:t>implementation.</w:t>
      </w:r>
      <w:r w:rsidRPr="009E04A4">
        <w:rPr>
          <w:rFonts w:asciiTheme="majorHAnsi" w:hAnsiTheme="majorHAnsi" w:cstheme="majorHAnsi"/>
          <w:sz w:val="22"/>
          <w:szCs w:val="22"/>
        </w:rPr>
        <w:t xml:space="preserve"> The new program will support both </w:t>
      </w:r>
      <w:r w:rsidR="00AA7410" w:rsidRPr="009E04A4">
        <w:rPr>
          <w:rFonts w:asciiTheme="majorHAnsi" w:hAnsiTheme="majorHAnsi" w:cstheme="majorHAnsi"/>
          <w:sz w:val="22"/>
          <w:szCs w:val="22"/>
        </w:rPr>
        <w:t xml:space="preserve">policy implementation </w:t>
      </w:r>
      <w:r w:rsidR="00AA7410">
        <w:rPr>
          <w:rFonts w:asciiTheme="majorHAnsi" w:hAnsiTheme="majorHAnsi" w:cstheme="majorHAnsi"/>
          <w:sz w:val="22"/>
          <w:szCs w:val="22"/>
        </w:rPr>
        <w:t xml:space="preserve">and </w:t>
      </w:r>
      <w:r w:rsidRPr="009E04A4">
        <w:rPr>
          <w:rFonts w:asciiTheme="majorHAnsi" w:hAnsiTheme="majorHAnsi" w:cstheme="majorHAnsi"/>
          <w:sz w:val="22"/>
          <w:szCs w:val="22"/>
        </w:rPr>
        <w:t xml:space="preserve">policy development. </w:t>
      </w:r>
      <w:r w:rsidR="00EE35D6" w:rsidRPr="009E04A4">
        <w:rPr>
          <w:rFonts w:asciiTheme="majorHAnsi" w:hAnsiTheme="majorHAnsi" w:cstheme="majorHAnsi"/>
          <w:sz w:val="22"/>
          <w:szCs w:val="22"/>
        </w:rPr>
        <w:t>Th</w:t>
      </w:r>
      <w:r w:rsidR="00AA7410">
        <w:rPr>
          <w:rFonts w:asciiTheme="majorHAnsi" w:hAnsiTheme="majorHAnsi" w:cstheme="majorHAnsi"/>
          <w:sz w:val="22"/>
          <w:szCs w:val="22"/>
        </w:rPr>
        <w:t xml:space="preserve">ere will be </w:t>
      </w:r>
      <w:r w:rsidR="00EE35D6" w:rsidRPr="009E04A4">
        <w:rPr>
          <w:rFonts w:asciiTheme="majorHAnsi" w:hAnsiTheme="majorHAnsi" w:cstheme="majorHAnsi"/>
          <w:sz w:val="22"/>
          <w:szCs w:val="22"/>
        </w:rPr>
        <w:t xml:space="preserve">increased focus on and resourcing of efforts at subnational level, particularly district and community levels, </w:t>
      </w:r>
      <w:r w:rsidR="00BF5F48">
        <w:rPr>
          <w:rFonts w:asciiTheme="majorHAnsi" w:hAnsiTheme="majorHAnsi" w:cstheme="majorHAnsi"/>
          <w:sz w:val="22"/>
          <w:szCs w:val="22"/>
        </w:rPr>
        <w:t xml:space="preserve">to address </w:t>
      </w:r>
      <w:r w:rsidR="00BF5F48" w:rsidRPr="009E04A4">
        <w:rPr>
          <w:rFonts w:asciiTheme="majorHAnsi" w:hAnsiTheme="majorHAnsi" w:cstheme="majorHAnsi"/>
          <w:sz w:val="22"/>
          <w:szCs w:val="22"/>
        </w:rPr>
        <w:t>the critical gaps that remain between policy and practice</w:t>
      </w:r>
      <w:r w:rsidR="00221415">
        <w:rPr>
          <w:rFonts w:asciiTheme="majorHAnsi" w:hAnsiTheme="majorHAnsi" w:cstheme="majorHAnsi"/>
          <w:sz w:val="22"/>
          <w:szCs w:val="22"/>
        </w:rPr>
        <w:t>,</w:t>
      </w:r>
      <w:r w:rsidR="00BF5F48">
        <w:rPr>
          <w:rFonts w:asciiTheme="majorHAnsi" w:hAnsiTheme="majorHAnsi" w:cstheme="majorHAnsi"/>
          <w:sz w:val="22"/>
          <w:szCs w:val="22"/>
        </w:rPr>
        <w:t xml:space="preserve"> and </w:t>
      </w:r>
      <w:r w:rsidR="00EE35D6" w:rsidRPr="009E04A4">
        <w:rPr>
          <w:rFonts w:asciiTheme="majorHAnsi" w:hAnsiTheme="majorHAnsi" w:cstheme="majorHAnsi"/>
          <w:sz w:val="22"/>
          <w:szCs w:val="22"/>
        </w:rPr>
        <w:t xml:space="preserve">to help secure a consolidated understanding and </w:t>
      </w:r>
      <w:r w:rsidR="005938F4">
        <w:rPr>
          <w:rFonts w:asciiTheme="majorHAnsi" w:hAnsiTheme="majorHAnsi" w:cstheme="majorHAnsi"/>
          <w:sz w:val="22"/>
          <w:szCs w:val="22"/>
        </w:rPr>
        <w:t xml:space="preserve">coherent </w:t>
      </w:r>
      <w:r w:rsidR="00EE35D6" w:rsidRPr="009E04A4">
        <w:rPr>
          <w:rFonts w:asciiTheme="majorHAnsi" w:hAnsiTheme="majorHAnsi" w:cstheme="majorHAnsi"/>
          <w:sz w:val="22"/>
          <w:szCs w:val="22"/>
        </w:rPr>
        <w:t xml:space="preserve">delivery of relevant reforms. </w:t>
      </w:r>
      <w:r w:rsidR="005938F4">
        <w:rPr>
          <w:rFonts w:asciiTheme="majorHAnsi" w:hAnsiTheme="majorHAnsi" w:cstheme="majorHAnsi"/>
          <w:sz w:val="22"/>
          <w:szCs w:val="22"/>
        </w:rPr>
        <w:t xml:space="preserve">At the same time, the emphasis of </w:t>
      </w:r>
      <w:proofErr w:type="spellStart"/>
      <w:r w:rsidR="005938F4">
        <w:rPr>
          <w:rFonts w:asciiTheme="majorHAnsi" w:hAnsiTheme="majorHAnsi" w:cstheme="majorHAnsi"/>
          <w:sz w:val="22"/>
          <w:szCs w:val="22"/>
        </w:rPr>
        <w:t>G</w:t>
      </w:r>
      <w:r w:rsidR="0025048E">
        <w:rPr>
          <w:rFonts w:asciiTheme="majorHAnsi" w:hAnsiTheme="majorHAnsi" w:cstheme="majorHAnsi"/>
          <w:sz w:val="22"/>
          <w:szCs w:val="22"/>
        </w:rPr>
        <w:t>o</w:t>
      </w:r>
      <w:r w:rsidR="005938F4">
        <w:rPr>
          <w:rFonts w:asciiTheme="majorHAnsi" w:hAnsiTheme="majorHAnsi" w:cstheme="majorHAnsi"/>
          <w:sz w:val="22"/>
          <w:szCs w:val="22"/>
        </w:rPr>
        <w:t>I</w:t>
      </w:r>
      <w:proofErr w:type="spellEnd"/>
      <w:r w:rsidR="005938F4">
        <w:rPr>
          <w:rFonts w:asciiTheme="majorHAnsi" w:hAnsiTheme="majorHAnsi" w:cstheme="majorHAnsi"/>
          <w:sz w:val="22"/>
          <w:szCs w:val="22"/>
        </w:rPr>
        <w:t xml:space="preserve"> on curriculum reform as an iterative process of improvement </w:t>
      </w:r>
      <w:r w:rsidR="0025048E">
        <w:rPr>
          <w:rFonts w:asciiTheme="majorHAnsi" w:hAnsiTheme="majorHAnsi" w:cstheme="majorHAnsi"/>
          <w:sz w:val="22"/>
          <w:szCs w:val="22"/>
        </w:rPr>
        <w:t>requires</w:t>
      </w:r>
      <w:r w:rsidR="005938F4">
        <w:rPr>
          <w:rFonts w:asciiTheme="majorHAnsi" w:hAnsiTheme="majorHAnsi" w:cstheme="majorHAnsi"/>
          <w:sz w:val="22"/>
          <w:szCs w:val="22"/>
        </w:rPr>
        <w:t xml:space="preserve"> the program </w:t>
      </w:r>
      <w:r w:rsidR="0025048E">
        <w:rPr>
          <w:rFonts w:asciiTheme="majorHAnsi" w:hAnsiTheme="majorHAnsi" w:cstheme="majorHAnsi"/>
          <w:sz w:val="22"/>
          <w:szCs w:val="22"/>
        </w:rPr>
        <w:t xml:space="preserve">to continue </w:t>
      </w:r>
      <w:r w:rsidR="005938F4">
        <w:rPr>
          <w:rFonts w:asciiTheme="majorHAnsi" w:hAnsiTheme="majorHAnsi" w:cstheme="majorHAnsi"/>
          <w:sz w:val="22"/>
          <w:szCs w:val="22"/>
        </w:rPr>
        <w:t>monitor</w:t>
      </w:r>
      <w:r w:rsidR="0025048E">
        <w:rPr>
          <w:rFonts w:asciiTheme="majorHAnsi" w:hAnsiTheme="majorHAnsi" w:cstheme="majorHAnsi"/>
          <w:sz w:val="22"/>
          <w:szCs w:val="22"/>
        </w:rPr>
        <w:t>ing</w:t>
      </w:r>
      <w:r w:rsidR="005938F4">
        <w:rPr>
          <w:rFonts w:asciiTheme="majorHAnsi" w:hAnsiTheme="majorHAnsi" w:cstheme="majorHAnsi"/>
          <w:sz w:val="22"/>
          <w:szCs w:val="22"/>
        </w:rPr>
        <w:t xml:space="preserve"> implementation, feed</w:t>
      </w:r>
      <w:r w:rsidR="0025048E">
        <w:rPr>
          <w:rFonts w:asciiTheme="majorHAnsi" w:hAnsiTheme="majorHAnsi" w:cstheme="majorHAnsi"/>
          <w:sz w:val="22"/>
          <w:szCs w:val="22"/>
        </w:rPr>
        <w:t xml:space="preserve">ing </w:t>
      </w:r>
      <w:r w:rsidR="005938F4">
        <w:rPr>
          <w:rFonts w:asciiTheme="majorHAnsi" w:hAnsiTheme="majorHAnsi" w:cstheme="majorHAnsi"/>
          <w:sz w:val="22"/>
          <w:szCs w:val="22"/>
        </w:rPr>
        <w:t xml:space="preserve">back </w:t>
      </w:r>
      <w:r w:rsidR="005E00D3">
        <w:rPr>
          <w:rFonts w:asciiTheme="majorHAnsi" w:hAnsiTheme="majorHAnsi" w:cstheme="majorHAnsi"/>
          <w:sz w:val="22"/>
          <w:szCs w:val="22"/>
        </w:rPr>
        <w:t>lessons,</w:t>
      </w:r>
      <w:r w:rsidR="005938F4">
        <w:rPr>
          <w:rFonts w:asciiTheme="majorHAnsi" w:hAnsiTheme="majorHAnsi" w:cstheme="majorHAnsi"/>
          <w:sz w:val="22"/>
          <w:szCs w:val="22"/>
        </w:rPr>
        <w:t xml:space="preserve"> and engag</w:t>
      </w:r>
      <w:r w:rsidR="0025048E">
        <w:rPr>
          <w:rFonts w:asciiTheme="majorHAnsi" w:hAnsiTheme="majorHAnsi" w:cstheme="majorHAnsi"/>
          <w:sz w:val="22"/>
          <w:szCs w:val="22"/>
        </w:rPr>
        <w:t>ing</w:t>
      </w:r>
      <w:r w:rsidR="005938F4">
        <w:rPr>
          <w:rFonts w:asciiTheme="majorHAnsi" w:hAnsiTheme="majorHAnsi" w:cstheme="majorHAnsi"/>
          <w:sz w:val="22"/>
          <w:szCs w:val="22"/>
        </w:rPr>
        <w:t xml:space="preserve"> closely with the processes of policy adjustment/improvement. </w:t>
      </w:r>
      <w:proofErr w:type="gramStart"/>
      <w:r w:rsidR="00812CCD">
        <w:rPr>
          <w:rFonts w:asciiTheme="majorHAnsi" w:hAnsiTheme="majorHAnsi" w:cstheme="majorHAnsi"/>
          <w:sz w:val="22"/>
          <w:szCs w:val="22"/>
        </w:rPr>
        <w:t>I</w:t>
      </w:r>
      <w:r w:rsidR="00AA7410">
        <w:rPr>
          <w:rFonts w:asciiTheme="majorHAnsi" w:hAnsiTheme="majorHAnsi" w:cstheme="majorHAnsi"/>
          <w:sz w:val="22"/>
          <w:szCs w:val="22"/>
        </w:rPr>
        <w:t>n light of</w:t>
      </w:r>
      <w:proofErr w:type="gramEnd"/>
      <w:r w:rsidR="00AA7410">
        <w:rPr>
          <w:rFonts w:asciiTheme="majorHAnsi" w:hAnsiTheme="majorHAnsi" w:cstheme="majorHAnsi"/>
          <w:sz w:val="22"/>
          <w:szCs w:val="22"/>
        </w:rPr>
        <w:t xml:space="preserve"> the constraints on district funding for quality development</w:t>
      </w:r>
      <w:r w:rsidR="00812CCD">
        <w:rPr>
          <w:rFonts w:asciiTheme="majorHAnsi" w:hAnsiTheme="majorHAnsi" w:cstheme="majorHAnsi"/>
          <w:sz w:val="22"/>
          <w:szCs w:val="22"/>
        </w:rPr>
        <w:t xml:space="preserve"> and the r</w:t>
      </w:r>
      <w:r w:rsidR="00AA7410">
        <w:rPr>
          <w:rFonts w:asciiTheme="majorHAnsi" w:hAnsiTheme="majorHAnsi" w:cstheme="majorHAnsi"/>
          <w:sz w:val="22"/>
          <w:szCs w:val="22"/>
        </w:rPr>
        <w:t xml:space="preserve">ecent funding </w:t>
      </w:r>
      <w:r w:rsidR="00812CCD">
        <w:rPr>
          <w:rFonts w:asciiTheme="majorHAnsi" w:hAnsiTheme="majorHAnsi" w:cstheme="majorHAnsi"/>
          <w:sz w:val="22"/>
          <w:szCs w:val="22"/>
        </w:rPr>
        <w:t>reforms</w:t>
      </w:r>
      <w:r w:rsidR="00812CCD" w:rsidDel="00AC317D">
        <w:rPr>
          <w:rFonts w:asciiTheme="majorHAnsi" w:hAnsiTheme="majorHAnsi" w:cstheme="majorHAnsi"/>
          <w:sz w:val="22"/>
          <w:szCs w:val="22"/>
        </w:rPr>
        <w:t xml:space="preserve"> </w:t>
      </w:r>
      <w:r w:rsidR="00AC317D">
        <w:rPr>
          <w:rFonts w:asciiTheme="majorHAnsi" w:hAnsiTheme="majorHAnsi" w:cstheme="majorHAnsi"/>
          <w:sz w:val="22"/>
          <w:szCs w:val="22"/>
        </w:rPr>
        <w:t xml:space="preserve">of </w:t>
      </w:r>
      <w:r w:rsidR="00AA7410">
        <w:rPr>
          <w:rFonts w:asciiTheme="majorHAnsi" w:hAnsiTheme="majorHAnsi" w:cstheme="majorHAnsi"/>
          <w:sz w:val="22"/>
          <w:szCs w:val="22"/>
        </w:rPr>
        <w:t>districts to incentivise performance on education outcomes</w:t>
      </w:r>
      <w:r w:rsidR="00812CCD">
        <w:rPr>
          <w:rFonts w:asciiTheme="majorHAnsi" w:hAnsiTheme="majorHAnsi" w:cstheme="majorHAnsi"/>
          <w:sz w:val="22"/>
          <w:szCs w:val="22"/>
        </w:rPr>
        <w:t>, the program will</w:t>
      </w:r>
      <w:r w:rsidR="00AA7410">
        <w:rPr>
          <w:rFonts w:asciiTheme="majorHAnsi" w:hAnsiTheme="majorHAnsi" w:cstheme="majorHAnsi"/>
          <w:sz w:val="22"/>
          <w:szCs w:val="22"/>
        </w:rPr>
        <w:t xml:space="preserve"> </w:t>
      </w:r>
      <w:r w:rsidR="00BF5F48">
        <w:rPr>
          <w:rFonts w:asciiTheme="majorHAnsi" w:hAnsiTheme="majorHAnsi" w:cstheme="majorHAnsi"/>
          <w:sz w:val="22"/>
          <w:szCs w:val="22"/>
        </w:rPr>
        <w:t xml:space="preserve">also </w:t>
      </w:r>
      <w:r w:rsidR="00812CCD">
        <w:rPr>
          <w:rFonts w:asciiTheme="majorHAnsi" w:hAnsiTheme="majorHAnsi" w:cstheme="majorHAnsi"/>
          <w:sz w:val="22"/>
          <w:szCs w:val="22"/>
        </w:rPr>
        <w:t xml:space="preserve">seek </w:t>
      </w:r>
      <w:r w:rsidR="00AA7410">
        <w:rPr>
          <w:rFonts w:asciiTheme="majorHAnsi" w:hAnsiTheme="majorHAnsi" w:cstheme="majorHAnsi"/>
          <w:sz w:val="22"/>
          <w:szCs w:val="22"/>
        </w:rPr>
        <w:t>opportunity for</w:t>
      </w:r>
      <w:r w:rsidR="00BF5F48">
        <w:rPr>
          <w:rFonts w:asciiTheme="majorHAnsi" w:hAnsiTheme="majorHAnsi" w:cstheme="majorHAnsi"/>
          <w:sz w:val="22"/>
          <w:szCs w:val="22"/>
        </w:rPr>
        <w:t xml:space="preserve"> </w:t>
      </w:r>
      <w:r w:rsidR="00812CCD">
        <w:rPr>
          <w:rFonts w:asciiTheme="majorHAnsi" w:hAnsiTheme="majorHAnsi" w:cstheme="majorHAnsi"/>
          <w:sz w:val="22"/>
          <w:szCs w:val="22"/>
        </w:rPr>
        <w:t>supporting</w:t>
      </w:r>
      <w:r w:rsidR="00AA7410">
        <w:rPr>
          <w:rFonts w:asciiTheme="majorHAnsi" w:hAnsiTheme="majorHAnsi" w:cstheme="majorHAnsi"/>
          <w:sz w:val="22"/>
          <w:szCs w:val="22"/>
        </w:rPr>
        <w:t xml:space="preserve"> dialogue </w:t>
      </w:r>
      <w:r w:rsidR="00BF5F48">
        <w:rPr>
          <w:rFonts w:asciiTheme="majorHAnsi" w:hAnsiTheme="majorHAnsi" w:cstheme="majorHAnsi"/>
          <w:sz w:val="22"/>
          <w:szCs w:val="22"/>
        </w:rPr>
        <w:t xml:space="preserve">on fiscal policy as a program strategy to </w:t>
      </w:r>
      <w:r w:rsidR="00AA7410">
        <w:rPr>
          <w:rFonts w:asciiTheme="majorHAnsi" w:hAnsiTheme="majorHAnsi" w:cstheme="majorHAnsi"/>
          <w:sz w:val="22"/>
          <w:szCs w:val="22"/>
        </w:rPr>
        <w:t xml:space="preserve">help secure equitable and quality implementation of the reforms.  </w:t>
      </w:r>
      <w:r w:rsidR="003B170F">
        <w:rPr>
          <w:rFonts w:asciiTheme="majorHAnsi" w:hAnsiTheme="majorHAnsi" w:cstheme="majorHAnsi"/>
          <w:sz w:val="22"/>
          <w:szCs w:val="22"/>
        </w:rPr>
        <w:t xml:space="preserve"> </w:t>
      </w:r>
    </w:p>
    <w:p w14:paraId="3214279D" w14:textId="386558AB" w:rsidR="00E8715B" w:rsidRPr="009E04A4" w:rsidRDefault="00E8715B" w:rsidP="008D1844">
      <w:pPr>
        <w:pStyle w:val="ListParagraph"/>
        <w:numPr>
          <w:ilvl w:val="0"/>
          <w:numId w:val="22"/>
        </w:numPr>
        <w:tabs>
          <w:tab w:val="left" w:pos="142"/>
        </w:tabs>
        <w:spacing w:before="120" w:after="120" w:line="281" w:lineRule="auto"/>
        <w:contextualSpacing w:val="0"/>
        <w:rPr>
          <w:rFonts w:asciiTheme="majorHAnsi" w:hAnsiTheme="majorHAnsi" w:cstheme="majorHAnsi"/>
          <w:sz w:val="22"/>
          <w:szCs w:val="22"/>
        </w:rPr>
      </w:pPr>
      <w:r w:rsidRPr="009E04A4">
        <w:rPr>
          <w:rFonts w:asciiTheme="majorHAnsi" w:hAnsiTheme="majorHAnsi" w:cstheme="majorHAnsi"/>
          <w:i/>
          <w:iCs/>
          <w:sz w:val="22"/>
          <w:szCs w:val="22"/>
        </w:rPr>
        <w:t>Inclusive education.</w:t>
      </w:r>
      <w:r w:rsidRPr="009E04A4">
        <w:rPr>
          <w:rFonts w:asciiTheme="majorHAnsi" w:hAnsiTheme="majorHAnsi" w:cstheme="majorHAnsi"/>
          <w:sz w:val="22"/>
          <w:szCs w:val="22"/>
        </w:rPr>
        <w:t xml:space="preserve"> </w:t>
      </w:r>
      <w:r w:rsidR="008B0E75" w:rsidRPr="00812CCD">
        <w:rPr>
          <w:rFonts w:asciiTheme="majorHAnsi" w:hAnsiTheme="majorHAnsi" w:cstheme="majorHAnsi"/>
          <w:sz w:val="22"/>
          <w:szCs w:val="22"/>
        </w:rPr>
        <w:t xml:space="preserve">Inclusion is critical to the improvement of Indonesia’s education system. </w:t>
      </w:r>
      <w:r w:rsidRPr="00812CCD">
        <w:rPr>
          <w:rFonts w:asciiTheme="majorHAnsi" w:hAnsiTheme="majorHAnsi" w:cstheme="majorHAnsi"/>
          <w:sz w:val="22"/>
          <w:szCs w:val="22"/>
        </w:rPr>
        <w:t xml:space="preserve">INOVASI </w:t>
      </w:r>
      <w:r w:rsidR="00A95EC7" w:rsidRPr="00812CCD">
        <w:rPr>
          <w:rFonts w:asciiTheme="majorHAnsi" w:hAnsiTheme="majorHAnsi" w:cstheme="majorHAnsi"/>
          <w:sz w:val="22"/>
          <w:szCs w:val="22"/>
        </w:rPr>
        <w:t xml:space="preserve">Phase 3 </w:t>
      </w:r>
      <w:r w:rsidRPr="00812CCD">
        <w:rPr>
          <w:rFonts w:asciiTheme="majorHAnsi" w:hAnsiTheme="majorHAnsi" w:cstheme="majorHAnsi"/>
          <w:sz w:val="22"/>
          <w:szCs w:val="22"/>
        </w:rPr>
        <w:t xml:space="preserve">will </w:t>
      </w:r>
      <w:r w:rsidR="00812CCD" w:rsidRPr="00812CCD">
        <w:rPr>
          <w:rFonts w:asciiTheme="majorHAnsi" w:hAnsiTheme="majorHAnsi" w:cstheme="majorHAnsi"/>
          <w:sz w:val="22"/>
          <w:szCs w:val="22"/>
        </w:rPr>
        <w:t xml:space="preserve">elevate the program’s ambition for </w:t>
      </w:r>
      <w:r w:rsidRPr="00812CCD">
        <w:rPr>
          <w:rFonts w:asciiTheme="majorHAnsi" w:hAnsiTheme="majorHAnsi" w:cstheme="majorHAnsi"/>
          <w:sz w:val="22"/>
          <w:szCs w:val="22"/>
        </w:rPr>
        <w:t xml:space="preserve">inclusive education and raise the profile of </w:t>
      </w:r>
      <w:r w:rsidR="00D7221C" w:rsidRPr="00812CCD">
        <w:rPr>
          <w:rFonts w:asciiTheme="majorHAnsi" w:hAnsiTheme="majorHAnsi" w:cstheme="majorHAnsi"/>
          <w:sz w:val="22"/>
          <w:szCs w:val="22"/>
        </w:rPr>
        <w:t xml:space="preserve">gender and disability </w:t>
      </w:r>
      <w:proofErr w:type="gramStart"/>
      <w:r w:rsidRPr="00812CCD">
        <w:rPr>
          <w:rFonts w:asciiTheme="majorHAnsi" w:hAnsiTheme="majorHAnsi" w:cstheme="majorHAnsi"/>
          <w:sz w:val="22"/>
          <w:szCs w:val="22"/>
        </w:rPr>
        <w:t xml:space="preserve">issues </w:t>
      </w:r>
      <w:r w:rsidR="00D7221C" w:rsidRPr="00812CCD">
        <w:rPr>
          <w:rFonts w:asciiTheme="majorHAnsi" w:hAnsiTheme="majorHAnsi" w:cstheme="majorHAnsi"/>
          <w:sz w:val="22"/>
          <w:szCs w:val="22"/>
        </w:rPr>
        <w:t>in particular</w:t>
      </w:r>
      <w:proofErr w:type="gramEnd"/>
      <w:r w:rsidR="00D7221C" w:rsidRPr="00812CCD">
        <w:rPr>
          <w:rFonts w:asciiTheme="majorHAnsi" w:hAnsiTheme="majorHAnsi" w:cstheme="majorHAnsi"/>
          <w:sz w:val="22"/>
          <w:szCs w:val="22"/>
        </w:rPr>
        <w:t xml:space="preserve">. </w:t>
      </w:r>
      <w:r w:rsidR="00812CCD" w:rsidRPr="00812CCD">
        <w:rPr>
          <w:rFonts w:asciiTheme="majorHAnsi" w:hAnsiTheme="majorHAnsi" w:cstheme="majorHAnsi"/>
          <w:sz w:val="22"/>
          <w:szCs w:val="22"/>
        </w:rPr>
        <w:t>It will</w:t>
      </w:r>
      <w:r w:rsidR="00AC317D" w:rsidRPr="00812CCD">
        <w:rPr>
          <w:rFonts w:asciiTheme="majorHAnsi" w:eastAsia="Calibri Light" w:hAnsiTheme="majorHAnsi"/>
          <w:iCs/>
          <w:sz w:val="22"/>
          <w:szCs w:val="22"/>
        </w:rPr>
        <w:t xml:space="preserve"> explicitly address gender norms in the education ecosystem, recognising that achieving gender equality in and through education is linked to barriers and enablers at the household, community, school, and state level. This will require careful </w:t>
      </w:r>
      <w:r w:rsidR="00812CCD" w:rsidRPr="00812CCD">
        <w:rPr>
          <w:rFonts w:asciiTheme="majorHAnsi" w:eastAsia="Calibri Light" w:hAnsiTheme="majorHAnsi"/>
          <w:iCs/>
          <w:sz w:val="22"/>
          <w:szCs w:val="22"/>
        </w:rPr>
        <w:t>consideration of</w:t>
      </w:r>
      <w:r w:rsidR="00AC317D" w:rsidRPr="00812CCD">
        <w:rPr>
          <w:rFonts w:asciiTheme="majorHAnsi" w:eastAsia="Calibri Light" w:hAnsiTheme="majorHAnsi"/>
          <w:iCs/>
          <w:sz w:val="22"/>
          <w:szCs w:val="22"/>
        </w:rPr>
        <w:t xml:space="preserve"> the types of social behaviour change and community mobilisation interventions</w:t>
      </w:r>
      <w:r w:rsidR="00AC317D" w:rsidRPr="00812CCD">
        <w:rPr>
          <w:rFonts w:asciiTheme="majorHAnsi" w:hAnsiTheme="majorHAnsi" w:cstheme="majorHAnsi"/>
          <w:sz w:val="22"/>
          <w:szCs w:val="22"/>
        </w:rPr>
        <w:t xml:space="preserve">, partners organisations and </w:t>
      </w:r>
      <w:r w:rsidR="00AC317D" w:rsidRPr="00812CCD">
        <w:rPr>
          <w:rFonts w:asciiTheme="majorHAnsi" w:eastAsia="Calibri Light" w:hAnsiTheme="majorHAnsi"/>
          <w:iCs/>
          <w:sz w:val="22"/>
          <w:szCs w:val="22"/>
        </w:rPr>
        <w:t>outcome indicators to measure the totality of impact.</w:t>
      </w:r>
      <w:r w:rsidR="00C34E2F" w:rsidRPr="00812CCD">
        <w:rPr>
          <w:rFonts w:asciiTheme="majorHAnsi" w:eastAsia="Calibri Light" w:hAnsiTheme="majorHAnsi"/>
          <w:iCs/>
          <w:sz w:val="22"/>
          <w:szCs w:val="22"/>
        </w:rPr>
        <w:t xml:space="preserve"> </w:t>
      </w:r>
      <w:r w:rsidR="00812CCD" w:rsidRPr="00812CCD">
        <w:rPr>
          <w:rFonts w:asciiTheme="majorHAnsi" w:eastAsia="Calibri Light" w:hAnsiTheme="majorHAnsi"/>
          <w:iCs/>
          <w:sz w:val="22"/>
          <w:szCs w:val="22"/>
        </w:rPr>
        <w:t>The</w:t>
      </w:r>
      <w:r w:rsidR="00D17AFE" w:rsidRPr="00812CCD">
        <w:rPr>
          <w:rFonts w:asciiTheme="majorHAnsi" w:eastAsia="Calibri Light" w:hAnsiTheme="majorHAnsi"/>
          <w:iCs/>
          <w:sz w:val="22"/>
          <w:szCs w:val="22"/>
        </w:rPr>
        <w:t xml:space="preserve"> inclusion of children with disabilities </w:t>
      </w:r>
      <w:r w:rsidR="00812CCD" w:rsidRPr="00812CCD">
        <w:rPr>
          <w:rFonts w:asciiTheme="majorHAnsi" w:eastAsia="Calibri Light" w:hAnsiTheme="majorHAnsi"/>
          <w:iCs/>
          <w:sz w:val="22"/>
          <w:szCs w:val="22"/>
        </w:rPr>
        <w:t xml:space="preserve">will be explicitly elevated </w:t>
      </w:r>
      <w:r w:rsidR="00D17AFE" w:rsidRPr="00812CCD">
        <w:rPr>
          <w:rFonts w:asciiTheme="majorHAnsi" w:eastAsia="Calibri Light" w:hAnsiTheme="majorHAnsi"/>
          <w:iCs/>
          <w:sz w:val="22"/>
          <w:szCs w:val="22"/>
        </w:rPr>
        <w:t>to the highest level of program outcomes</w:t>
      </w:r>
      <w:r w:rsidR="006363C3">
        <w:rPr>
          <w:rFonts w:asciiTheme="majorHAnsi" w:eastAsia="Calibri Light" w:hAnsiTheme="majorHAnsi"/>
          <w:iCs/>
          <w:sz w:val="22"/>
          <w:szCs w:val="22"/>
        </w:rPr>
        <w:t>. I</w:t>
      </w:r>
      <w:r w:rsidR="00812CCD" w:rsidRPr="00812CCD">
        <w:rPr>
          <w:rFonts w:asciiTheme="majorHAnsi" w:eastAsia="Calibri Light" w:hAnsiTheme="majorHAnsi"/>
          <w:iCs/>
          <w:sz w:val="22"/>
          <w:szCs w:val="22"/>
        </w:rPr>
        <w:t>t</w:t>
      </w:r>
      <w:r w:rsidR="008B0E75" w:rsidRPr="00812CCD">
        <w:rPr>
          <w:rFonts w:asciiTheme="majorHAnsi" w:eastAsia="Calibri Light" w:hAnsiTheme="majorHAnsi"/>
          <w:iCs/>
          <w:sz w:val="22"/>
          <w:szCs w:val="22"/>
        </w:rPr>
        <w:t xml:space="preserve"> is </w:t>
      </w:r>
      <w:r w:rsidR="006363C3">
        <w:rPr>
          <w:rFonts w:asciiTheme="majorHAnsi" w:eastAsia="Calibri Light" w:hAnsiTheme="majorHAnsi"/>
          <w:iCs/>
          <w:sz w:val="22"/>
          <w:szCs w:val="22"/>
        </w:rPr>
        <w:t>linked</w:t>
      </w:r>
      <w:r w:rsidR="00812CCD" w:rsidRPr="00812CCD">
        <w:rPr>
          <w:rFonts w:asciiTheme="majorHAnsi" w:eastAsia="Calibri Light" w:hAnsiTheme="majorHAnsi"/>
          <w:iCs/>
          <w:sz w:val="22"/>
          <w:szCs w:val="22"/>
        </w:rPr>
        <w:t xml:space="preserve"> to the</w:t>
      </w:r>
      <w:r w:rsidR="00D17AFE" w:rsidRPr="00812CCD">
        <w:rPr>
          <w:rFonts w:asciiTheme="majorHAnsi" w:eastAsia="Calibri Light" w:hAnsiTheme="majorHAnsi"/>
          <w:iCs/>
          <w:sz w:val="22"/>
          <w:szCs w:val="22"/>
        </w:rPr>
        <w:t xml:space="preserve"> commitment to Indonesia’s Regulation 13/2020, which requires all education units to </w:t>
      </w:r>
      <w:r w:rsidR="008B0E75" w:rsidRPr="00812CCD">
        <w:rPr>
          <w:rFonts w:asciiTheme="majorHAnsi" w:eastAsia="Calibri Light" w:hAnsiTheme="majorHAnsi"/>
          <w:iCs/>
          <w:sz w:val="22"/>
          <w:szCs w:val="22"/>
        </w:rPr>
        <w:lastRenderedPageBreak/>
        <w:t xml:space="preserve">provide </w:t>
      </w:r>
      <w:r w:rsidR="00D17AFE" w:rsidRPr="00812CCD">
        <w:rPr>
          <w:rFonts w:asciiTheme="majorHAnsi" w:eastAsia="Calibri Light" w:hAnsiTheme="majorHAnsi"/>
          <w:iCs/>
          <w:sz w:val="22"/>
          <w:szCs w:val="22"/>
        </w:rPr>
        <w:t>for reasonable accommodation of persons with a disability</w:t>
      </w:r>
      <w:r w:rsidR="00812CCD" w:rsidRPr="00812CCD">
        <w:rPr>
          <w:rFonts w:asciiTheme="majorHAnsi" w:eastAsia="Calibri Light" w:hAnsiTheme="majorHAnsi"/>
          <w:iCs/>
          <w:sz w:val="22"/>
          <w:szCs w:val="22"/>
        </w:rPr>
        <w:t xml:space="preserve">, and </w:t>
      </w:r>
      <w:r w:rsidR="00D17AFE" w:rsidRPr="00812CCD">
        <w:rPr>
          <w:rFonts w:asciiTheme="majorHAnsi" w:eastAsia="Calibri Light" w:hAnsiTheme="majorHAnsi"/>
          <w:iCs/>
          <w:sz w:val="22"/>
          <w:szCs w:val="22"/>
        </w:rPr>
        <w:t xml:space="preserve">the </w:t>
      </w:r>
      <w:r w:rsidR="00812CCD" w:rsidRPr="00812CCD">
        <w:rPr>
          <w:rFonts w:asciiTheme="majorHAnsi" w:eastAsia="Calibri Light" w:hAnsiTheme="majorHAnsi"/>
          <w:iCs/>
          <w:sz w:val="22"/>
          <w:szCs w:val="22"/>
        </w:rPr>
        <w:t xml:space="preserve">nationwide </w:t>
      </w:r>
      <w:r w:rsidR="00D17AFE" w:rsidRPr="00812CCD">
        <w:rPr>
          <w:rFonts w:asciiTheme="majorHAnsi" w:eastAsia="Calibri Light" w:hAnsiTheme="majorHAnsi"/>
          <w:iCs/>
          <w:sz w:val="22"/>
          <w:szCs w:val="22"/>
        </w:rPr>
        <w:t>take</w:t>
      </w:r>
      <w:r w:rsidR="008B0E75" w:rsidRPr="00812CCD">
        <w:rPr>
          <w:rFonts w:asciiTheme="majorHAnsi" w:eastAsia="Calibri Light" w:hAnsiTheme="majorHAnsi"/>
          <w:iCs/>
          <w:sz w:val="22"/>
          <w:szCs w:val="22"/>
        </w:rPr>
        <w:t>-</w:t>
      </w:r>
      <w:r w:rsidR="00D17AFE" w:rsidRPr="00812CCD">
        <w:rPr>
          <w:rFonts w:asciiTheme="majorHAnsi" w:eastAsia="Calibri Light" w:hAnsiTheme="majorHAnsi"/>
          <w:iCs/>
          <w:sz w:val="22"/>
          <w:szCs w:val="22"/>
        </w:rPr>
        <w:t xml:space="preserve">up </w:t>
      </w:r>
      <w:r w:rsidR="008B0E75" w:rsidRPr="00812CCD">
        <w:rPr>
          <w:rFonts w:asciiTheme="majorHAnsi" w:eastAsia="Calibri Light" w:hAnsiTheme="majorHAnsi"/>
          <w:iCs/>
          <w:sz w:val="22"/>
          <w:szCs w:val="22"/>
        </w:rPr>
        <w:t>of tools for supporting</w:t>
      </w:r>
      <w:r w:rsidR="00D17AFE" w:rsidRPr="00812CCD">
        <w:rPr>
          <w:rFonts w:asciiTheme="majorHAnsi" w:eastAsia="Calibri Light" w:hAnsiTheme="majorHAnsi"/>
          <w:iCs/>
          <w:sz w:val="22"/>
          <w:szCs w:val="22"/>
        </w:rPr>
        <w:t xml:space="preserve"> </w:t>
      </w:r>
      <w:r w:rsidR="008B0E75" w:rsidRPr="00812CCD">
        <w:rPr>
          <w:rFonts w:asciiTheme="majorHAnsi" w:eastAsia="Calibri Light" w:hAnsiTheme="majorHAnsi"/>
          <w:iCs/>
          <w:sz w:val="22"/>
          <w:szCs w:val="22"/>
        </w:rPr>
        <w:t>the</w:t>
      </w:r>
      <w:r w:rsidR="00D17AFE" w:rsidRPr="00812CCD">
        <w:rPr>
          <w:rFonts w:asciiTheme="majorHAnsi" w:eastAsia="Calibri Light" w:hAnsiTheme="majorHAnsi"/>
          <w:iCs/>
          <w:sz w:val="22"/>
          <w:szCs w:val="22"/>
        </w:rPr>
        <w:t xml:space="preserve"> teaching and learning of children with disabil</w:t>
      </w:r>
      <w:r w:rsidR="008B0E75" w:rsidRPr="00812CCD">
        <w:rPr>
          <w:rFonts w:asciiTheme="majorHAnsi" w:eastAsia="Calibri Light" w:hAnsiTheme="majorHAnsi"/>
          <w:iCs/>
          <w:sz w:val="22"/>
          <w:szCs w:val="22"/>
        </w:rPr>
        <w:t>i</w:t>
      </w:r>
      <w:r w:rsidR="00D17AFE" w:rsidRPr="00812CCD">
        <w:rPr>
          <w:rFonts w:asciiTheme="majorHAnsi" w:eastAsia="Calibri Light" w:hAnsiTheme="majorHAnsi"/>
          <w:iCs/>
          <w:sz w:val="22"/>
          <w:szCs w:val="22"/>
        </w:rPr>
        <w:t>ti</w:t>
      </w:r>
      <w:r w:rsidR="008B0E75" w:rsidRPr="00812CCD">
        <w:rPr>
          <w:rFonts w:asciiTheme="majorHAnsi" w:eastAsia="Calibri Light" w:hAnsiTheme="majorHAnsi"/>
          <w:iCs/>
          <w:sz w:val="22"/>
          <w:szCs w:val="22"/>
        </w:rPr>
        <w:t>e</w:t>
      </w:r>
      <w:r w:rsidR="00D17AFE" w:rsidRPr="00812CCD">
        <w:rPr>
          <w:rFonts w:asciiTheme="majorHAnsi" w:eastAsia="Calibri Light" w:hAnsiTheme="majorHAnsi"/>
          <w:iCs/>
          <w:sz w:val="22"/>
          <w:szCs w:val="22"/>
        </w:rPr>
        <w:t xml:space="preserve">s </w:t>
      </w:r>
      <w:r w:rsidR="008B0E75" w:rsidRPr="00812CCD">
        <w:rPr>
          <w:rFonts w:asciiTheme="majorHAnsi" w:eastAsia="Calibri Light" w:hAnsiTheme="majorHAnsi"/>
          <w:iCs/>
          <w:sz w:val="22"/>
          <w:szCs w:val="22"/>
        </w:rPr>
        <w:t xml:space="preserve">developed </w:t>
      </w:r>
      <w:r w:rsidR="00812CCD" w:rsidRPr="00812CCD">
        <w:rPr>
          <w:rFonts w:asciiTheme="majorHAnsi" w:eastAsia="Calibri Light" w:hAnsiTheme="majorHAnsi"/>
          <w:iCs/>
          <w:sz w:val="22"/>
          <w:szCs w:val="22"/>
        </w:rPr>
        <w:t>under INOVASI Phase 2</w:t>
      </w:r>
      <w:r w:rsidR="00D17AFE" w:rsidRPr="00812CCD">
        <w:rPr>
          <w:rFonts w:asciiTheme="majorHAnsi" w:eastAsia="Calibri Light" w:hAnsiTheme="majorHAnsi"/>
          <w:iCs/>
          <w:sz w:val="22"/>
          <w:szCs w:val="22"/>
        </w:rPr>
        <w:t xml:space="preserve">. </w:t>
      </w:r>
      <w:r w:rsidR="00D17AFE" w:rsidRPr="00812CCD">
        <w:rPr>
          <w:rFonts w:asciiTheme="majorHAnsi" w:hAnsiTheme="majorHAnsi" w:cstheme="majorHAnsi"/>
          <w:sz w:val="22"/>
          <w:szCs w:val="22"/>
        </w:rPr>
        <w:t xml:space="preserve">The new phase </w:t>
      </w:r>
      <w:r w:rsidR="00D7221C" w:rsidRPr="00812CCD">
        <w:rPr>
          <w:rFonts w:asciiTheme="majorHAnsi" w:hAnsiTheme="majorHAnsi" w:cstheme="majorHAnsi"/>
          <w:sz w:val="22"/>
          <w:szCs w:val="22"/>
        </w:rPr>
        <w:t xml:space="preserve">will </w:t>
      </w:r>
      <w:r w:rsidR="00D17AFE" w:rsidRPr="00812CCD">
        <w:rPr>
          <w:rFonts w:asciiTheme="majorHAnsi" w:hAnsiTheme="majorHAnsi" w:cstheme="majorHAnsi"/>
          <w:sz w:val="22"/>
          <w:szCs w:val="22"/>
        </w:rPr>
        <w:t xml:space="preserve">also </w:t>
      </w:r>
      <w:r w:rsidR="00D7221C" w:rsidRPr="00812CCD">
        <w:rPr>
          <w:rFonts w:asciiTheme="majorHAnsi" w:hAnsiTheme="majorHAnsi" w:cstheme="majorHAnsi"/>
          <w:sz w:val="22"/>
          <w:szCs w:val="22"/>
        </w:rPr>
        <w:t xml:space="preserve">emphasise the </w:t>
      </w:r>
      <w:r w:rsidRPr="00812CCD">
        <w:rPr>
          <w:rFonts w:asciiTheme="majorHAnsi" w:hAnsiTheme="majorHAnsi" w:cstheme="majorHAnsi"/>
          <w:sz w:val="22"/>
          <w:szCs w:val="22"/>
        </w:rPr>
        <w:t xml:space="preserve">intersectionality </w:t>
      </w:r>
      <w:r w:rsidR="00D7221C" w:rsidRPr="00812CCD">
        <w:rPr>
          <w:rFonts w:asciiTheme="majorHAnsi" w:hAnsiTheme="majorHAnsi" w:cstheme="majorHAnsi"/>
          <w:sz w:val="22"/>
          <w:szCs w:val="22"/>
        </w:rPr>
        <w:t xml:space="preserve">of </w:t>
      </w:r>
      <w:r w:rsidR="00D17AFE" w:rsidRPr="00812CCD">
        <w:rPr>
          <w:rFonts w:asciiTheme="majorHAnsi" w:hAnsiTheme="majorHAnsi" w:cstheme="majorHAnsi"/>
          <w:sz w:val="22"/>
          <w:szCs w:val="22"/>
        </w:rPr>
        <w:t>gender and disability</w:t>
      </w:r>
      <w:r w:rsidR="00D7221C" w:rsidRPr="00812CCD">
        <w:rPr>
          <w:rFonts w:asciiTheme="majorHAnsi" w:hAnsiTheme="majorHAnsi" w:cstheme="majorHAnsi"/>
          <w:sz w:val="22"/>
          <w:szCs w:val="22"/>
        </w:rPr>
        <w:t xml:space="preserve"> with </w:t>
      </w:r>
      <w:r w:rsidR="00D17AFE" w:rsidRPr="00812CCD">
        <w:rPr>
          <w:rFonts w:asciiTheme="majorHAnsi" w:hAnsiTheme="majorHAnsi" w:cstheme="majorHAnsi"/>
          <w:sz w:val="22"/>
          <w:szCs w:val="22"/>
        </w:rPr>
        <w:t xml:space="preserve">socio-economic and </w:t>
      </w:r>
      <w:r w:rsidR="00812CCD" w:rsidRPr="00812CCD">
        <w:rPr>
          <w:rFonts w:asciiTheme="majorHAnsi" w:hAnsiTheme="majorHAnsi" w:cstheme="majorHAnsi"/>
          <w:sz w:val="22"/>
          <w:szCs w:val="22"/>
        </w:rPr>
        <w:t>geographic</w:t>
      </w:r>
      <w:r w:rsidR="00D17AFE" w:rsidRPr="00812CCD">
        <w:rPr>
          <w:rFonts w:asciiTheme="majorHAnsi" w:hAnsiTheme="majorHAnsi" w:cstheme="majorHAnsi"/>
          <w:sz w:val="22"/>
          <w:szCs w:val="22"/>
        </w:rPr>
        <w:t xml:space="preserve"> </w:t>
      </w:r>
      <w:r w:rsidR="00D7221C" w:rsidRPr="00812CCD">
        <w:rPr>
          <w:rFonts w:asciiTheme="majorHAnsi" w:hAnsiTheme="majorHAnsi" w:cstheme="majorHAnsi"/>
          <w:sz w:val="22"/>
          <w:szCs w:val="22"/>
        </w:rPr>
        <w:t>disadvantage to identify the most vulnerable students.</w:t>
      </w:r>
      <w:r w:rsidRPr="00812CCD">
        <w:rPr>
          <w:rFonts w:asciiTheme="majorHAnsi" w:hAnsiTheme="majorHAnsi" w:cstheme="majorHAnsi"/>
          <w:sz w:val="22"/>
          <w:szCs w:val="22"/>
        </w:rPr>
        <w:t xml:space="preserve"> To do so, it will apply a twin-track complementary approach: 1) mainstreaming GEDSI considerations through all its operations and activities, and 2) deploying targeted initiatives that respond to gaps in gender equality and </w:t>
      </w:r>
      <w:r w:rsidR="00D7221C" w:rsidRPr="00812CCD">
        <w:rPr>
          <w:rFonts w:asciiTheme="majorHAnsi" w:hAnsiTheme="majorHAnsi" w:cstheme="majorHAnsi"/>
          <w:sz w:val="22"/>
          <w:szCs w:val="22"/>
        </w:rPr>
        <w:t>expand</w:t>
      </w:r>
      <w:r w:rsidRPr="00812CCD">
        <w:rPr>
          <w:rFonts w:asciiTheme="majorHAnsi" w:hAnsiTheme="majorHAnsi" w:cstheme="majorHAnsi"/>
          <w:sz w:val="22"/>
          <w:szCs w:val="22"/>
        </w:rPr>
        <w:t xml:space="preserve"> inclusion of children with a disability, from </w:t>
      </w:r>
      <w:r w:rsidR="00D7221C" w:rsidRPr="00812CCD">
        <w:rPr>
          <w:rFonts w:asciiTheme="majorHAnsi" w:hAnsiTheme="majorHAnsi" w:cstheme="majorHAnsi"/>
          <w:sz w:val="22"/>
          <w:szCs w:val="22"/>
        </w:rPr>
        <w:t xml:space="preserve">both </w:t>
      </w:r>
      <w:r w:rsidRPr="00812CCD">
        <w:rPr>
          <w:rFonts w:asciiTheme="majorHAnsi" w:hAnsiTheme="majorHAnsi" w:cstheme="majorHAnsi"/>
          <w:sz w:val="22"/>
          <w:szCs w:val="22"/>
        </w:rPr>
        <w:t>participation and</w:t>
      </w:r>
      <w:r w:rsidRPr="009E04A4">
        <w:rPr>
          <w:rFonts w:asciiTheme="majorHAnsi" w:hAnsiTheme="majorHAnsi" w:cstheme="majorHAnsi"/>
          <w:sz w:val="22"/>
          <w:szCs w:val="22"/>
        </w:rPr>
        <w:t xml:space="preserve"> benefits standpoints. </w:t>
      </w:r>
    </w:p>
    <w:p w14:paraId="26694AC9" w14:textId="73FB6B59" w:rsidR="00AD6AE6" w:rsidRPr="00755725" w:rsidRDefault="00F82E20" w:rsidP="008D1844">
      <w:pPr>
        <w:pStyle w:val="ListParagraph"/>
        <w:numPr>
          <w:ilvl w:val="0"/>
          <w:numId w:val="22"/>
        </w:numPr>
        <w:tabs>
          <w:tab w:val="left" w:pos="142"/>
        </w:tabs>
        <w:spacing w:before="120" w:after="120" w:line="281" w:lineRule="auto"/>
        <w:contextualSpacing w:val="0"/>
        <w:rPr>
          <w:rFonts w:asciiTheme="minorHAnsi" w:hAnsiTheme="minorHAnsi" w:cstheme="majorHAnsi"/>
          <w:sz w:val="22"/>
          <w:szCs w:val="22"/>
        </w:rPr>
      </w:pPr>
      <w:r w:rsidRPr="009E04A4">
        <w:rPr>
          <w:rFonts w:asciiTheme="majorHAnsi" w:hAnsiTheme="majorHAnsi" w:cstheme="majorHAnsi"/>
          <w:i/>
          <w:iCs/>
          <w:sz w:val="22"/>
          <w:szCs w:val="22"/>
        </w:rPr>
        <w:t>District</w:t>
      </w:r>
      <w:r w:rsidR="00BC7D69" w:rsidRPr="009E04A4">
        <w:rPr>
          <w:rFonts w:asciiTheme="majorHAnsi" w:hAnsiTheme="majorHAnsi" w:cstheme="majorHAnsi"/>
          <w:i/>
          <w:iCs/>
          <w:sz w:val="22"/>
          <w:szCs w:val="22"/>
        </w:rPr>
        <w:t xml:space="preserve"> ecosystems.</w:t>
      </w:r>
      <w:r w:rsidR="00BC7D69" w:rsidRPr="009E04A4">
        <w:rPr>
          <w:rFonts w:asciiTheme="majorHAnsi" w:hAnsiTheme="majorHAnsi" w:cstheme="majorHAnsi"/>
          <w:sz w:val="22"/>
          <w:szCs w:val="22"/>
        </w:rPr>
        <w:t xml:space="preserve"> </w:t>
      </w:r>
      <w:r w:rsidR="008464B3" w:rsidRPr="009E04A4">
        <w:rPr>
          <w:rFonts w:asciiTheme="majorHAnsi" w:hAnsiTheme="majorHAnsi" w:cstheme="majorHAnsi"/>
          <w:sz w:val="22"/>
          <w:szCs w:val="22"/>
        </w:rPr>
        <w:t xml:space="preserve">The </w:t>
      </w:r>
      <w:r w:rsidR="00A95EC7" w:rsidRPr="009E04A4">
        <w:rPr>
          <w:rFonts w:asciiTheme="majorHAnsi" w:hAnsiTheme="majorHAnsi" w:cstheme="majorHAnsi"/>
          <w:sz w:val="22"/>
          <w:szCs w:val="22"/>
        </w:rPr>
        <w:t xml:space="preserve">new </w:t>
      </w:r>
      <w:r w:rsidR="008464B3" w:rsidRPr="009E04A4">
        <w:rPr>
          <w:rFonts w:asciiTheme="majorHAnsi" w:hAnsiTheme="majorHAnsi" w:cstheme="majorHAnsi"/>
          <w:sz w:val="22"/>
          <w:szCs w:val="22"/>
        </w:rPr>
        <w:t xml:space="preserve">program will merge </w:t>
      </w:r>
      <w:r w:rsidR="00BC7D69" w:rsidRPr="009E04A4">
        <w:rPr>
          <w:rFonts w:asciiTheme="majorHAnsi" w:hAnsiTheme="majorHAnsi" w:cstheme="majorHAnsi"/>
          <w:sz w:val="22"/>
          <w:szCs w:val="22"/>
        </w:rPr>
        <w:t xml:space="preserve">the systemic perspective that characterises policy development work </w:t>
      </w:r>
      <w:r w:rsidR="008464B3" w:rsidRPr="009E04A4">
        <w:rPr>
          <w:rFonts w:asciiTheme="majorHAnsi" w:hAnsiTheme="majorHAnsi" w:cstheme="majorHAnsi"/>
          <w:sz w:val="22"/>
          <w:szCs w:val="22"/>
        </w:rPr>
        <w:t xml:space="preserve">and </w:t>
      </w:r>
      <w:r w:rsidR="00AA2FA1" w:rsidRPr="009E04A4">
        <w:rPr>
          <w:rFonts w:asciiTheme="majorHAnsi" w:hAnsiTheme="majorHAnsi" w:cstheme="majorHAnsi"/>
          <w:sz w:val="22"/>
          <w:szCs w:val="22"/>
        </w:rPr>
        <w:t xml:space="preserve">its </w:t>
      </w:r>
      <w:r w:rsidR="004D77AA" w:rsidRPr="009E04A4">
        <w:rPr>
          <w:rFonts w:asciiTheme="majorHAnsi" w:hAnsiTheme="majorHAnsi" w:cstheme="majorHAnsi"/>
          <w:sz w:val="22"/>
          <w:szCs w:val="22"/>
        </w:rPr>
        <w:t>locally led</w:t>
      </w:r>
      <w:r w:rsidR="00BC7D69" w:rsidRPr="009E04A4">
        <w:rPr>
          <w:rFonts w:asciiTheme="majorHAnsi" w:hAnsiTheme="majorHAnsi" w:cstheme="majorHAnsi"/>
          <w:sz w:val="22"/>
          <w:szCs w:val="22"/>
        </w:rPr>
        <w:t xml:space="preserve"> </w:t>
      </w:r>
      <w:r w:rsidR="008464B3" w:rsidRPr="009E04A4">
        <w:rPr>
          <w:rFonts w:asciiTheme="majorHAnsi" w:hAnsiTheme="majorHAnsi" w:cstheme="majorHAnsi"/>
          <w:sz w:val="22"/>
          <w:szCs w:val="22"/>
        </w:rPr>
        <w:t xml:space="preserve">adaptation </w:t>
      </w:r>
      <w:r w:rsidR="00BC7D69" w:rsidRPr="009E04A4">
        <w:rPr>
          <w:rFonts w:asciiTheme="majorHAnsi" w:hAnsiTheme="majorHAnsi" w:cstheme="majorHAnsi"/>
          <w:sz w:val="22"/>
          <w:szCs w:val="22"/>
        </w:rPr>
        <w:t>that characterises effective and sustainable solutions</w:t>
      </w:r>
      <w:r w:rsidR="008464B3" w:rsidRPr="009E04A4">
        <w:rPr>
          <w:rFonts w:asciiTheme="majorHAnsi" w:hAnsiTheme="majorHAnsi" w:cstheme="majorHAnsi"/>
          <w:sz w:val="22"/>
          <w:szCs w:val="22"/>
        </w:rPr>
        <w:t>. It</w:t>
      </w:r>
      <w:r w:rsidR="00BC7D69" w:rsidRPr="009E04A4">
        <w:rPr>
          <w:rFonts w:asciiTheme="majorHAnsi" w:hAnsiTheme="majorHAnsi" w:cstheme="majorHAnsi"/>
          <w:sz w:val="22"/>
          <w:szCs w:val="22"/>
        </w:rPr>
        <w:t xml:space="preserve"> will expand </w:t>
      </w:r>
      <w:proofErr w:type="spellStart"/>
      <w:r w:rsidR="00BC7D69" w:rsidRPr="009E04A4">
        <w:rPr>
          <w:rFonts w:asciiTheme="majorHAnsi" w:hAnsiTheme="majorHAnsi" w:cstheme="majorHAnsi"/>
          <w:sz w:val="22"/>
          <w:szCs w:val="22"/>
        </w:rPr>
        <w:t>MoECRT</w:t>
      </w:r>
      <w:r w:rsidR="008464B3" w:rsidRPr="009E04A4">
        <w:rPr>
          <w:rFonts w:asciiTheme="majorHAnsi" w:hAnsiTheme="majorHAnsi" w:cstheme="majorHAnsi"/>
          <w:sz w:val="22"/>
          <w:szCs w:val="22"/>
        </w:rPr>
        <w:t>’s</w:t>
      </w:r>
      <w:proofErr w:type="spellEnd"/>
      <w:r w:rsidR="00BC7D69" w:rsidRPr="009E04A4">
        <w:rPr>
          <w:rFonts w:asciiTheme="majorHAnsi" w:hAnsiTheme="majorHAnsi" w:cstheme="majorHAnsi"/>
          <w:sz w:val="22"/>
          <w:szCs w:val="22"/>
        </w:rPr>
        <w:t xml:space="preserve"> concept of </w:t>
      </w:r>
      <w:r w:rsidR="00655D7B" w:rsidRPr="009E04A4">
        <w:rPr>
          <w:rFonts w:asciiTheme="majorHAnsi" w:hAnsiTheme="majorHAnsi" w:cstheme="majorHAnsi"/>
          <w:sz w:val="22"/>
          <w:szCs w:val="22"/>
        </w:rPr>
        <w:t>‘</w:t>
      </w:r>
      <w:r w:rsidR="00BC7D69" w:rsidRPr="009E04A4">
        <w:rPr>
          <w:rFonts w:asciiTheme="majorHAnsi" w:hAnsiTheme="majorHAnsi" w:cstheme="majorHAnsi"/>
          <w:sz w:val="22"/>
          <w:szCs w:val="22"/>
        </w:rPr>
        <w:t>change agent</w:t>
      </w:r>
      <w:r w:rsidR="00655D7B" w:rsidRPr="009E04A4">
        <w:rPr>
          <w:rFonts w:asciiTheme="majorHAnsi" w:hAnsiTheme="majorHAnsi" w:cstheme="majorHAnsi"/>
          <w:sz w:val="22"/>
          <w:szCs w:val="22"/>
        </w:rPr>
        <w:t>’</w:t>
      </w:r>
      <w:r w:rsidR="00BC7D69" w:rsidRPr="009E04A4">
        <w:rPr>
          <w:rFonts w:asciiTheme="majorHAnsi" w:hAnsiTheme="majorHAnsi" w:cstheme="majorHAnsi"/>
          <w:sz w:val="22"/>
          <w:szCs w:val="22"/>
        </w:rPr>
        <w:t xml:space="preserve"> schools (</w:t>
      </w:r>
      <w:proofErr w:type="spellStart"/>
      <w:r w:rsidR="00BC7D69" w:rsidRPr="009E04A4">
        <w:rPr>
          <w:rFonts w:asciiTheme="majorHAnsi" w:hAnsiTheme="majorHAnsi" w:cstheme="majorHAnsi"/>
          <w:i/>
          <w:iCs/>
          <w:sz w:val="22"/>
          <w:szCs w:val="22"/>
        </w:rPr>
        <w:t>sekolah</w:t>
      </w:r>
      <w:proofErr w:type="spellEnd"/>
      <w:r w:rsidR="00BC7D69" w:rsidRPr="009E04A4">
        <w:rPr>
          <w:rFonts w:asciiTheme="majorHAnsi" w:hAnsiTheme="majorHAnsi" w:cstheme="majorHAnsi"/>
          <w:i/>
          <w:iCs/>
          <w:sz w:val="22"/>
          <w:szCs w:val="22"/>
        </w:rPr>
        <w:t xml:space="preserve"> </w:t>
      </w:r>
      <w:proofErr w:type="spellStart"/>
      <w:r w:rsidR="00BC7D69" w:rsidRPr="009E04A4">
        <w:rPr>
          <w:rFonts w:asciiTheme="majorHAnsi" w:hAnsiTheme="majorHAnsi" w:cstheme="majorHAnsi"/>
          <w:i/>
          <w:iCs/>
          <w:sz w:val="22"/>
          <w:szCs w:val="22"/>
        </w:rPr>
        <w:t>penggerak</w:t>
      </w:r>
      <w:proofErr w:type="spellEnd"/>
      <w:r w:rsidR="00BC7D69" w:rsidRPr="009E04A4">
        <w:rPr>
          <w:rFonts w:asciiTheme="majorHAnsi" w:hAnsiTheme="majorHAnsi" w:cstheme="majorHAnsi"/>
          <w:sz w:val="22"/>
          <w:szCs w:val="22"/>
        </w:rPr>
        <w:t>) to the district level</w:t>
      </w:r>
      <w:r w:rsidR="00812CCD">
        <w:rPr>
          <w:rFonts w:asciiTheme="majorHAnsi" w:hAnsiTheme="majorHAnsi" w:cstheme="majorHAnsi"/>
          <w:sz w:val="22"/>
          <w:szCs w:val="22"/>
        </w:rPr>
        <w:t>,</w:t>
      </w:r>
      <w:r w:rsidR="008B0E75" w:rsidRPr="009E04A4">
        <w:rPr>
          <w:rFonts w:asciiTheme="majorHAnsi" w:hAnsiTheme="majorHAnsi" w:cstheme="majorHAnsi"/>
          <w:sz w:val="22"/>
          <w:szCs w:val="22"/>
        </w:rPr>
        <w:t xml:space="preserve"> </w:t>
      </w:r>
      <w:r w:rsidR="00E8715B" w:rsidRPr="009E04A4">
        <w:rPr>
          <w:rFonts w:asciiTheme="majorHAnsi" w:hAnsiTheme="majorHAnsi" w:cstheme="majorHAnsi"/>
          <w:sz w:val="22"/>
          <w:szCs w:val="22"/>
        </w:rPr>
        <w:t>and</w:t>
      </w:r>
      <w:r w:rsidR="00C13EC5" w:rsidRPr="009E04A4">
        <w:rPr>
          <w:rFonts w:asciiTheme="majorHAnsi" w:hAnsiTheme="majorHAnsi" w:cstheme="majorHAnsi"/>
          <w:sz w:val="22"/>
          <w:szCs w:val="22"/>
        </w:rPr>
        <w:t xml:space="preserve"> </w:t>
      </w:r>
      <w:r w:rsidR="008464B3" w:rsidRPr="009E04A4">
        <w:rPr>
          <w:rFonts w:asciiTheme="majorHAnsi" w:hAnsiTheme="majorHAnsi" w:cstheme="majorHAnsi"/>
          <w:sz w:val="22"/>
          <w:szCs w:val="22"/>
        </w:rPr>
        <w:t xml:space="preserve">support </w:t>
      </w:r>
      <w:r w:rsidR="008B0E75">
        <w:rPr>
          <w:rFonts w:asciiTheme="majorHAnsi" w:hAnsiTheme="majorHAnsi" w:cstheme="majorHAnsi"/>
          <w:sz w:val="22"/>
          <w:szCs w:val="22"/>
        </w:rPr>
        <w:t xml:space="preserve">district </w:t>
      </w:r>
      <w:r w:rsidR="008464B3" w:rsidRPr="009E04A4">
        <w:rPr>
          <w:rFonts w:asciiTheme="majorHAnsi" w:hAnsiTheme="majorHAnsi" w:cstheme="majorHAnsi"/>
          <w:sz w:val="22"/>
          <w:szCs w:val="22"/>
        </w:rPr>
        <w:t xml:space="preserve">leadership to </w:t>
      </w:r>
      <w:r w:rsidR="00C13EC5" w:rsidRPr="009E04A4">
        <w:rPr>
          <w:rFonts w:asciiTheme="majorHAnsi" w:hAnsiTheme="majorHAnsi" w:cstheme="majorHAnsi"/>
          <w:sz w:val="22"/>
          <w:szCs w:val="22"/>
        </w:rPr>
        <w:t xml:space="preserve">broker, activate and strengthen </w:t>
      </w:r>
      <w:r w:rsidR="00BC7D69" w:rsidRPr="009E04A4">
        <w:rPr>
          <w:rFonts w:asciiTheme="majorHAnsi" w:hAnsiTheme="majorHAnsi" w:cstheme="majorHAnsi"/>
          <w:sz w:val="22"/>
          <w:szCs w:val="22"/>
        </w:rPr>
        <w:t>district-wide ecosystems of education stakeholders</w:t>
      </w:r>
      <w:r w:rsidR="00E8715B" w:rsidRPr="009E04A4">
        <w:rPr>
          <w:rFonts w:asciiTheme="minorHAnsi" w:hAnsiTheme="minorHAnsi" w:cstheme="majorHAnsi"/>
          <w:sz w:val="22"/>
          <w:szCs w:val="22"/>
        </w:rPr>
        <w:t>.</w:t>
      </w:r>
      <w:r w:rsidR="00BC7D69" w:rsidRPr="009E04A4">
        <w:rPr>
          <w:rFonts w:asciiTheme="majorHAnsi" w:hAnsiTheme="majorHAnsi" w:cstheme="majorHAnsi"/>
          <w:sz w:val="22"/>
          <w:szCs w:val="22"/>
        </w:rPr>
        <w:t xml:space="preserve"> These district ecosystems will be supported and capacitated to become mechanisms for the articulation and deployment of local solutions for reforms implementation</w:t>
      </w:r>
      <w:r w:rsidR="00F059BF" w:rsidRPr="009E04A4">
        <w:rPr>
          <w:rFonts w:asciiTheme="majorHAnsi" w:hAnsiTheme="majorHAnsi" w:cstheme="majorHAnsi"/>
          <w:sz w:val="22"/>
          <w:szCs w:val="22"/>
        </w:rPr>
        <w:t xml:space="preserve"> that</w:t>
      </w:r>
      <w:r w:rsidR="00BC7D69" w:rsidRPr="009E04A4">
        <w:rPr>
          <w:rFonts w:asciiTheme="majorHAnsi" w:hAnsiTheme="majorHAnsi" w:cstheme="majorHAnsi"/>
          <w:sz w:val="22"/>
          <w:szCs w:val="22"/>
        </w:rPr>
        <w:t xml:space="preserve"> leverag</w:t>
      </w:r>
      <w:r w:rsidR="00F059BF" w:rsidRPr="009E04A4">
        <w:rPr>
          <w:rFonts w:asciiTheme="majorHAnsi" w:hAnsiTheme="majorHAnsi" w:cstheme="majorHAnsi"/>
          <w:sz w:val="22"/>
          <w:szCs w:val="22"/>
        </w:rPr>
        <w:t>e</w:t>
      </w:r>
      <w:r w:rsidR="00BC7D69" w:rsidRPr="009E04A4">
        <w:rPr>
          <w:rFonts w:asciiTheme="majorHAnsi" w:hAnsiTheme="majorHAnsi" w:cstheme="majorHAnsi"/>
          <w:sz w:val="22"/>
          <w:szCs w:val="22"/>
        </w:rPr>
        <w:t xml:space="preserve"> local resources. They will be the locus of partner engagement in fostering inclusive learning improvement — the meeting ground of national and provincial authorities and agencies</w:t>
      </w:r>
      <w:r w:rsidR="00221415">
        <w:rPr>
          <w:rFonts w:asciiTheme="majorHAnsi" w:hAnsiTheme="majorHAnsi" w:cstheme="majorHAnsi"/>
          <w:sz w:val="22"/>
          <w:szCs w:val="22"/>
        </w:rPr>
        <w:t>,</w:t>
      </w:r>
      <w:r w:rsidR="00BC7D69" w:rsidRPr="00974377">
        <w:rPr>
          <w:rFonts w:asciiTheme="majorHAnsi" w:hAnsiTheme="majorHAnsi" w:cstheme="majorHAnsi"/>
          <w:sz w:val="22"/>
          <w:szCs w:val="22"/>
        </w:rPr>
        <w:t xml:space="preserve"> district and village government partners</w:t>
      </w:r>
      <w:r w:rsidR="00221415">
        <w:rPr>
          <w:rFonts w:asciiTheme="majorHAnsi" w:hAnsiTheme="majorHAnsi" w:cstheme="majorHAnsi"/>
          <w:sz w:val="22"/>
          <w:szCs w:val="22"/>
        </w:rPr>
        <w:t>,</w:t>
      </w:r>
      <w:r w:rsidR="00054F0D">
        <w:rPr>
          <w:rFonts w:asciiTheme="majorHAnsi" w:hAnsiTheme="majorHAnsi" w:cstheme="majorHAnsi"/>
          <w:sz w:val="22"/>
          <w:szCs w:val="22"/>
        </w:rPr>
        <w:t xml:space="preserve"> partner </w:t>
      </w:r>
      <w:r w:rsidR="009F5E25">
        <w:rPr>
          <w:rFonts w:asciiTheme="majorHAnsi" w:hAnsiTheme="majorHAnsi" w:cstheme="majorHAnsi"/>
          <w:sz w:val="22"/>
          <w:szCs w:val="22"/>
        </w:rPr>
        <w:t>Teacher T</w:t>
      </w:r>
      <w:r w:rsidR="007E2B89">
        <w:rPr>
          <w:rFonts w:asciiTheme="majorHAnsi" w:hAnsiTheme="majorHAnsi" w:cstheme="majorHAnsi"/>
          <w:sz w:val="22"/>
          <w:szCs w:val="22"/>
        </w:rPr>
        <w:t>raining Institutions (TTIs)</w:t>
      </w:r>
      <w:r w:rsidR="00054F0D">
        <w:rPr>
          <w:rFonts w:asciiTheme="majorHAnsi" w:hAnsiTheme="majorHAnsi" w:cstheme="majorHAnsi"/>
          <w:sz w:val="22"/>
          <w:szCs w:val="22"/>
        </w:rPr>
        <w:t>,</w:t>
      </w:r>
      <w:r w:rsidR="00BC7D69" w:rsidRPr="00974377">
        <w:rPr>
          <w:rFonts w:asciiTheme="majorHAnsi" w:hAnsiTheme="majorHAnsi" w:cstheme="majorHAnsi"/>
          <w:sz w:val="22"/>
          <w:szCs w:val="22"/>
        </w:rPr>
        <w:t xml:space="preserve"> local </w:t>
      </w:r>
      <w:r w:rsidR="00965EC0">
        <w:rPr>
          <w:rFonts w:asciiTheme="majorHAnsi" w:hAnsiTheme="majorHAnsi" w:cstheme="majorHAnsi"/>
          <w:sz w:val="22"/>
          <w:szCs w:val="22"/>
        </w:rPr>
        <w:t>c</w:t>
      </w:r>
      <w:r w:rsidR="003A3EA5">
        <w:rPr>
          <w:rFonts w:asciiTheme="majorHAnsi" w:hAnsiTheme="majorHAnsi" w:cstheme="majorHAnsi"/>
          <w:sz w:val="22"/>
          <w:szCs w:val="22"/>
        </w:rPr>
        <w:t xml:space="preserve">ivil </w:t>
      </w:r>
      <w:r w:rsidR="00965EC0">
        <w:rPr>
          <w:rFonts w:asciiTheme="majorHAnsi" w:hAnsiTheme="majorHAnsi" w:cstheme="majorHAnsi"/>
          <w:sz w:val="22"/>
          <w:szCs w:val="22"/>
        </w:rPr>
        <w:t>s</w:t>
      </w:r>
      <w:r w:rsidR="003A3EA5">
        <w:rPr>
          <w:rFonts w:asciiTheme="majorHAnsi" w:hAnsiTheme="majorHAnsi" w:cstheme="majorHAnsi"/>
          <w:sz w:val="22"/>
          <w:szCs w:val="22"/>
        </w:rPr>
        <w:t xml:space="preserve">ociety </w:t>
      </w:r>
      <w:r w:rsidR="00965EC0">
        <w:rPr>
          <w:rFonts w:asciiTheme="majorHAnsi" w:hAnsiTheme="majorHAnsi" w:cstheme="majorHAnsi"/>
          <w:sz w:val="22"/>
          <w:szCs w:val="22"/>
        </w:rPr>
        <w:t>o</w:t>
      </w:r>
      <w:r w:rsidR="003A3EA5">
        <w:rPr>
          <w:rFonts w:asciiTheme="majorHAnsi" w:hAnsiTheme="majorHAnsi" w:cstheme="majorHAnsi"/>
          <w:sz w:val="22"/>
          <w:szCs w:val="22"/>
        </w:rPr>
        <w:t>rganisations (</w:t>
      </w:r>
      <w:r w:rsidR="00BC7D69" w:rsidRPr="00974377">
        <w:rPr>
          <w:rFonts w:asciiTheme="majorHAnsi" w:hAnsiTheme="majorHAnsi" w:cstheme="majorHAnsi"/>
          <w:sz w:val="22"/>
          <w:szCs w:val="22"/>
        </w:rPr>
        <w:t>CSOs</w:t>
      </w:r>
      <w:r w:rsidR="003A3EA5">
        <w:rPr>
          <w:rFonts w:asciiTheme="majorHAnsi" w:hAnsiTheme="majorHAnsi" w:cstheme="majorHAnsi"/>
          <w:sz w:val="22"/>
          <w:szCs w:val="22"/>
        </w:rPr>
        <w:t>)</w:t>
      </w:r>
      <w:r w:rsidR="00BC7D69" w:rsidRPr="00974377">
        <w:rPr>
          <w:rFonts w:asciiTheme="majorHAnsi" w:hAnsiTheme="majorHAnsi" w:cstheme="majorHAnsi"/>
          <w:sz w:val="22"/>
          <w:szCs w:val="22"/>
        </w:rPr>
        <w:t xml:space="preserve">, gender equality organisations and </w:t>
      </w:r>
      <w:r w:rsidR="00187339">
        <w:rPr>
          <w:rFonts w:asciiTheme="majorHAnsi" w:hAnsiTheme="majorHAnsi" w:cstheme="majorHAnsi"/>
          <w:sz w:val="22"/>
          <w:szCs w:val="22"/>
        </w:rPr>
        <w:t>Organisations for People with Disabilities (</w:t>
      </w:r>
      <w:r w:rsidR="00BC7D69" w:rsidRPr="00974377">
        <w:rPr>
          <w:rFonts w:asciiTheme="majorHAnsi" w:hAnsiTheme="majorHAnsi" w:cstheme="majorHAnsi"/>
          <w:sz w:val="22"/>
          <w:szCs w:val="22"/>
        </w:rPr>
        <w:t>OPDs</w:t>
      </w:r>
      <w:r w:rsidR="00187339">
        <w:rPr>
          <w:rFonts w:asciiTheme="majorHAnsi" w:hAnsiTheme="majorHAnsi" w:cstheme="majorHAnsi"/>
          <w:sz w:val="22"/>
          <w:szCs w:val="22"/>
        </w:rPr>
        <w:t>)</w:t>
      </w:r>
      <w:r w:rsidR="00221415">
        <w:rPr>
          <w:rFonts w:asciiTheme="majorHAnsi" w:hAnsiTheme="majorHAnsi" w:cstheme="majorHAnsi"/>
          <w:sz w:val="22"/>
          <w:szCs w:val="22"/>
        </w:rPr>
        <w:t>,</w:t>
      </w:r>
      <w:r w:rsidR="00BC7D69" w:rsidRPr="00974377">
        <w:rPr>
          <w:rFonts w:asciiTheme="majorHAnsi" w:hAnsiTheme="majorHAnsi" w:cstheme="majorHAnsi"/>
          <w:sz w:val="22"/>
          <w:szCs w:val="22"/>
        </w:rPr>
        <w:t xml:space="preserve"> and private service provider organisations.  </w:t>
      </w:r>
    </w:p>
    <w:p w14:paraId="2EE60DF3" w14:textId="77777777" w:rsidR="00755725" w:rsidRPr="00755725" w:rsidRDefault="00755725" w:rsidP="00755725">
      <w:pPr>
        <w:pStyle w:val="ListParagraph"/>
        <w:tabs>
          <w:tab w:val="left" w:pos="142"/>
        </w:tabs>
        <w:spacing w:before="120" w:after="120" w:line="281" w:lineRule="auto"/>
        <w:ind w:left="718"/>
        <w:contextualSpacing w:val="0"/>
        <w:rPr>
          <w:rFonts w:asciiTheme="minorHAnsi" w:hAnsiTheme="minorHAnsi" w:cstheme="majorHAnsi"/>
          <w:sz w:val="22"/>
          <w:szCs w:val="22"/>
        </w:rPr>
      </w:pPr>
    </w:p>
    <w:p w14:paraId="1F6FC7D4" w14:textId="5182E4EB" w:rsidR="00454DC7" w:rsidRPr="003E3452" w:rsidRDefault="00A32858" w:rsidP="008D1844">
      <w:pPr>
        <w:pStyle w:val="Heading1"/>
        <w:numPr>
          <w:ilvl w:val="0"/>
          <w:numId w:val="59"/>
        </w:numPr>
        <w:rPr>
          <w:sz w:val="28"/>
          <w:szCs w:val="16"/>
          <w:u w:val="single"/>
        </w:rPr>
      </w:pPr>
      <w:r w:rsidRPr="003E3452">
        <w:rPr>
          <w:sz w:val="28"/>
          <w:szCs w:val="20"/>
          <w:u w:val="single"/>
        </w:rPr>
        <w:t>Proposed Outcomes and Investment Options (What?)</w:t>
      </w:r>
    </w:p>
    <w:p w14:paraId="7A2B46BB" w14:textId="0D424B97" w:rsidR="004B3D56" w:rsidRPr="00755725" w:rsidRDefault="00755725" w:rsidP="00755725">
      <w:pPr>
        <w:pStyle w:val="Heading2"/>
        <w:rPr>
          <w:b/>
          <w:bCs/>
          <w:sz w:val="22"/>
          <w:szCs w:val="22"/>
        </w:rPr>
      </w:pPr>
      <w:r w:rsidRPr="00755725">
        <w:rPr>
          <w:b/>
          <w:bCs/>
          <w:caps w:val="0"/>
          <w:sz w:val="22"/>
          <w:szCs w:val="22"/>
        </w:rPr>
        <w:t>Program Logic</w:t>
      </w:r>
    </w:p>
    <w:p w14:paraId="69456EE4" w14:textId="256AE6FF" w:rsidR="004B3D56" w:rsidRPr="00974377" w:rsidRDefault="004B3D56" w:rsidP="00755725">
      <w:pPr>
        <w:spacing w:after="120" w:line="440" w:lineRule="atLeast"/>
        <w:rPr>
          <w:rFonts w:asciiTheme="majorHAnsi" w:hAnsiTheme="majorHAnsi" w:cstheme="majorHAnsi"/>
          <w:sz w:val="22"/>
          <w:szCs w:val="22"/>
        </w:rPr>
      </w:pPr>
      <w:r w:rsidRPr="00974377">
        <w:rPr>
          <w:rFonts w:asciiTheme="majorHAnsi" w:hAnsiTheme="majorHAnsi" w:cstheme="majorHAnsi"/>
          <w:sz w:val="22"/>
          <w:szCs w:val="22"/>
        </w:rPr>
        <w:t>The INOVASI Phase 3 program logic diagram is presented i</w:t>
      </w:r>
      <w:r w:rsidR="000D76DF">
        <w:rPr>
          <w:rFonts w:asciiTheme="majorHAnsi" w:hAnsiTheme="majorHAnsi" w:cstheme="majorHAnsi"/>
          <w:sz w:val="22"/>
          <w:szCs w:val="22"/>
        </w:rPr>
        <w:t>n</w:t>
      </w:r>
      <w:r w:rsidR="00133B55">
        <w:rPr>
          <w:rFonts w:asciiTheme="majorHAnsi" w:hAnsiTheme="majorHAnsi" w:cstheme="majorHAnsi"/>
          <w:sz w:val="22"/>
          <w:szCs w:val="22"/>
        </w:rPr>
        <w:t xml:space="preserve"> Figure 1</w:t>
      </w:r>
      <w:r w:rsidRPr="00974377">
        <w:rPr>
          <w:rFonts w:asciiTheme="majorHAnsi" w:hAnsiTheme="majorHAnsi" w:cstheme="majorHAnsi"/>
          <w:sz w:val="22"/>
          <w:szCs w:val="22"/>
        </w:rPr>
        <w:t xml:space="preserve"> and includes:</w:t>
      </w:r>
    </w:p>
    <w:p w14:paraId="27BBFD84" w14:textId="1BC5C3BB" w:rsidR="004B3D56" w:rsidRPr="00974377" w:rsidRDefault="004B3D56" w:rsidP="008D1844">
      <w:pPr>
        <w:pStyle w:val="Bullet1"/>
        <w:numPr>
          <w:ilvl w:val="0"/>
          <w:numId w:val="48"/>
        </w:numPr>
        <w:suppressAutoHyphens/>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A goal that articulates the strategic aspiration for the wider Indonesia education sector</w:t>
      </w:r>
      <w:r w:rsidR="00221415">
        <w:rPr>
          <w:rFonts w:asciiTheme="majorHAnsi" w:hAnsiTheme="majorHAnsi" w:cstheme="majorHAnsi"/>
          <w:sz w:val="22"/>
          <w:szCs w:val="22"/>
        </w:rPr>
        <w:t>,</w:t>
      </w:r>
    </w:p>
    <w:p w14:paraId="71F97EE0" w14:textId="5180D378" w:rsidR="004B3D56" w:rsidRPr="00974377" w:rsidRDefault="004B3D56" w:rsidP="008D1844">
      <w:pPr>
        <w:pStyle w:val="Bullet1"/>
        <w:numPr>
          <w:ilvl w:val="0"/>
          <w:numId w:val="48"/>
        </w:numPr>
        <w:suppressAutoHyphens/>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An objective that contextualises Australia</w:t>
      </w:r>
      <w:r w:rsidR="00054F0D">
        <w:rPr>
          <w:rFonts w:asciiTheme="majorHAnsi" w:hAnsiTheme="majorHAnsi" w:cstheme="majorHAnsi"/>
          <w:sz w:val="22"/>
          <w:szCs w:val="22"/>
        </w:rPr>
        <w:t>’s</w:t>
      </w:r>
      <w:r w:rsidRPr="00974377">
        <w:rPr>
          <w:rFonts w:asciiTheme="majorHAnsi" w:hAnsiTheme="majorHAnsi" w:cstheme="majorHAnsi"/>
          <w:sz w:val="22"/>
          <w:szCs w:val="22"/>
        </w:rPr>
        <w:t xml:space="preserve"> role in the sector and vis-vis the goal</w:t>
      </w:r>
      <w:r w:rsidR="00221415">
        <w:rPr>
          <w:rFonts w:asciiTheme="majorHAnsi" w:hAnsiTheme="majorHAnsi" w:cstheme="majorHAnsi"/>
          <w:sz w:val="22"/>
          <w:szCs w:val="22"/>
        </w:rPr>
        <w:t>,</w:t>
      </w:r>
    </w:p>
    <w:p w14:paraId="0B8553FC" w14:textId="0404FC8F" w:rsidR="004B3D56" w:rsidRPr="00974377" w:rsidRDefault="004B3D56" w:rsidP="008D1844">
      <w:pPr>
        <w:pStyle w:val="Bullet1"/>
        <w:numPr>
          <w:ilvl w:val="0"/>
          <w:numId w:val="48"/>
        </w:numPr>
        <w:suppressAutoHyphens/>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Two end-of-program outcomes (EOPOs) that </w:t>
      </w:r>
      <w:r w:rsidR="00054F0D">
        <w:rPr>
          <w:rFonts w:asciiTheme="majorHAnsi" w:hAnsiTheme="majorHAnsi" w:cstheme="majorHAnsi"/>
          <w:sz w:val="22"/>
          <w:szCs w:val="22"/>
        </w:rPr>
        <w:t>express</w:t>
      </w:r>
      <w:r w:rsidR="00054F0D" w:rsidRPr="00974377">
        <w:rPr>
          <w:rFonts w:asciiTheme="majorHAnsi" w:hAnsiTheme="majorHAnsi" w:cstheme="majorHAnsi"/>
          <w:sz w:val="22"/>
          <w:szCs w:val="22"/>
        </w:rPr>
        <w:t xml:space="preserve"> </w:t>
      </w:r>
      <w:r w:rsidRPr="00974377">
        <w:rPr>
          <w:rFonts w:asciiTheme="majorHAnsi" w:hAnsiTheme="majorHAnsi" w:cstheme="majorHAnsi"/>
          <w:sz w:val="22"/>
          <w:szCs w:val="22"/>
        </w:rPr>
        <w:t>the focus of INOVASI</w:t>
      </w:r>
      <w:r w:rsidR="00E8715B" w:rsidRPr="00974377">
        <w:rPr>
          <w:rFonts w:asciiTheme="majorHAnsi" w:hAnsiTheme="majorHAnsi" w:cstheme="majorHAnsi"/>
          <w:sz w:val="22"/>
          <w:szCs w:val="22"/>
        </w:rPr>
        <w:t xml:space="preserve"> on policies</w:t>
      </w:r>
      <w:r w:rsidR="00B578C1">
        <w:rPr>
          <w:rFonts w:asciiTheme="majorHAnsi" w:hAnsiTheme="majorHAnsi" w:cstheme="majorHAnsi"/>
          <w:sz w:val="22"/>
          <w:szCs w:val="22"/>
        </w:rPr>
        <w:t>, systems</w:t>
      </w:r>
      <w:r w:rsidR="00CB50BF">
        <w:rPr>
          <w:rFonts w:asciiTheme="majorHAnsi" w:hAnsiTheme="majorHAnsi" w:cstheme="majorHAnsi"/>
          <w:sz w:val="22"/>
          <w:szCs w:val="22"/>
        </w:rPr>
        <w:t>,</w:t>
      </w:r>
      <w:r w:rsidR="00E8715B" w:rsidRPr="00974377">
        <w:rPr>
          <w:rFonts w:asciiTheme="majorHAnsi" w:hAnsiTheme="majorHAnsi" w:cstheme="majorHAnsi"/>
          <w:sz w:val="22"/>
          <w:szCs w:val="22"/>
        </w:rPr>
        <w:t xml:space="preserve"> and practices</w:t>
      </w:r>
      <w:r w:rsidRPr="00974377">
        <w:rPr>
          <w:rFonts w:asciiTheme="majorHAnsi" w:hAnsiTheme="majorHAnsi" w:cstheme="majorHAnsi"/>
          <w:sz w:val="22"/>
          <w:szCs w:val="22"/>
        </w:rPr>
        <w:t>, in line with the current program logic</w:t>
      </w:r>
      <w:r w:rsidR="00221415">
        <w:rPr>
          <w:rFonts w:asciiTheme="majorHAnsi" w:hAnsiTheme="majorHAnsi" w:cstheme="majorHAnsi"/>
          <w:sz w:val="22"/>
          <w:szCs w:val="22"/>
        </w:rPr>
        <w:t>,</w:t>
      </w:r>
    </w:p>
    <w:p w14:paraId="14F3A0B9" w14:textId="6C4BAAB9" w:rsidR="004B3D56" w:rsidRPr="00974377" w:rsidRDefault="004B3D56" w:rsidP="008D1844">
      <w:pPr>
        <w:pStyle w:val="Bullet1"/>
        <w:numPr>
          <w:ilvl w:val="0"/>
          <w:numId w:val="48"/>
        </w:numPr>
        <w:suppressAutoHyphens/>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Five intermediate outcomes (IOs) that describe key areas of change through which INOVASI contributes to the EOPOs</w:t>
      </w:r>
      <w:r w:rsidR="00221415">
        <w:rPr>
          <w:rFonts w:asciiTheme="majorHAnsi" w:hAnsiTheme="majorHAnsi" w:cstheme="majorHAnsi"/>
          <w:sz w:val="22"/>
          <w:szCs w:val="22"/>
        </w:rPr>
        <w:t>,</w:t>
      </w:r>
    </w:p>
    <w:p w14:paraId="61699932" w14:textId="3ED236AF" w:rsidR="004B3D56" w:rsidRPr="00974377" w:rsidRDefault="004B3D56" w:rsidP="008D1844">
      <w:pPr>
        <w:pStyle w:val="Bullet1"/>
        <w:numPr>
          <w:ilvl w:val="0"/>
          <w:numId w:val="48"/>
        </w:numPr>
        <w:suppressAutoHyphens/>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Five strategies that offer a structure to group and organise program activities, and help to explain ‘how’ INOVASI works</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and</w:t>
      </w:r>
    </w:p>
    <w:p w14:paraId="2B26F1A6" w14:textId="77777777" w:rsidR="004B3D56" w:rsidRPr="00974377" w:rsidRDefault="004B3D56" w:rsidP="008D1844">
      <w:pPr>
        <w:pStyle w:val="Bullet1"/>
        <w:numPr>
          <w:ilvl w:val="0"/>
          <w:numId w:val="48"/>
        </w:numPr>
        <w:suppressAutoHyphens/>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Six principles that define inner and outer program characteristics and guide the internal implementation and external messaging.</w:t>
      </w:r>
    </w:p>
    <w:p w14:paraId="10114905" w14:textId="11E7B418" w:rsidR="004B3D56" w:rsidRPr="00974377" w:rsidRDefault="004B3D56" w:rsidP="00755725">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As per DFAT standards, both goal and objective represent the sphere of INOVASI’s interest and are outside the area of </w:t>
      </w:r>
      <w:r w:rsidR="00054F0D">
        <w:rPr>
          <w:rFonts w:asciiTheme="majorHAnsi" w:hAnsiTheme="majorHAnsi" w:cstheme="majorHAnsi"/>
          <w:sz w:val="22"/>
          <w:szCs w:val="22"/>
        </w:rPr>
        <w:t xml:space="preserve">the </w:t>
      </w:r>
      <w:r w:rsidR="002474AE" w:rsidRPr="00974377">
        <w:rPr>
          <w:rFonts w:asciiTheme="majorHAnsi" w:hAnsiTheme="majorHAnsi" w:cstheme="majorHAnsi"/>
          <w:sz w:val="22"/>
          <w:szCs w:val="22"/>
        </w:rPr>
        <w:t xml:space="preserve">program’s </w:t>
      </w:r>
      <w:r w:rsidRPr="00974377">
        <w:rPr>
          <w:rFonts w:asciiTheme="majorHAnsi" w:hAnsiTheme="majorHAnsi" w:cstheme="majorHAnsi"/>
          <w:sz w:val="22"/>
          <w:szCs w:val="22"/>
        </w:rPr>
        <w:t>accountability</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the suggested EO</w:t>
      </w:r>
      <w:r w:rsidR="00054F0D">
        <w:rPr>
          <w:rFonts w:asciiTheme="majorHAnsi" w:hAnsiTheme="majorHAnsi" w:cstheme="majorHAnsi"/>
          <w:sz w:val="22"/>
          <w:szCs w:val="22"/>
        </w:rPr>
        <w:t>P</w:t>
      </w:r>
      <w:r w:rsidRPr="00974377">
        <w:rPr>
          <w:rFonts w:asciiTheme="majorHAnsi" w:hAnsiTheme="majorHAnsi" w:cstheme="majorHAnsi"/>
          <w:sz w:val="22"/>
          <w:szCs w:val="22"/>
        </w:rPr>
        <w:t xml:space="preserve">Os and IOs are within its sphere of influence </w:t>
      </w:r>
      <w:r w:rsidRPr="00974377">
        <w:rPr>
          <w:rFonts w:asciiTheme="majorHAnsi" w:hAnsiTheme="majorHAnsi" w:cstheme="majorHAnsi"/>
          <w:sz w:val="22"/>
          <w:szCs w:val="22"/>
        </w:rPr>
        <w:lastRenderedPageBreak/>
        <w:t>and accountability</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and the strategies are firmly within the sphere of </w:t>
      </w:r>
      <w:r w:rsidR="00054F0D">
        <w:rPr>
          <w:rFonts w:asciiTheme="majorHAnsi" w:hAnsiTheme="majorHAnsi" w:cstheme="majorHAnsi"/>
          <w:sz w:val="22"/>
          <w:szCs w:val="22"/>
        </w:rPr>
        <w:t xml:space="preserve">the </w:t>
      </w:r>
      <w:r w:rsidRPr="00974377">
        <w:rPr>
          <w:rFonts w:asciiTheme="majorHAnsi" w:hAnsiTheme="majorHAnsi" w:cstheme="majorHAnsi"/>
          <w:sz w:val="22"/>
          <w:szCs w:val="22"/>
        </w:rPr>
        <w:t>program’s control and accountability.</w:t>
      </w:r>
      <w:r w:rsidRPr="00974377">
        <w:rPr>
          <w:rStyle w:val="FootnoteReference"/>
          <w:rFonts w:asciiTheme="majorHAnsi" w:hAnsiTheme="majorHAnsi" w:cstheme="majorHAnsi"/>
          <w:sz w:val="22"/>
          <w:szCs w:val="22"/>
        </w:rPr>
        <w:footnoteReference w:id="24"/>
      </w:r>
      <w:r w:rsidRPr="00974377">
        <w:rPr>
          <w:rFonts w:asciiTheme="majorHAnsi" w:hAnsiTheme="majorHAnsi" w:cstheme="majorHAnsi"/>
          <w:sz w:val="22"/>
          <w:szCs w:val="22"/>
        </w:rPr>
        <w:t xml:space="preserve"> </w:t>
      </w:r>
    </w:p>
    <w:p w14:paraId="022B04E2" w14:textId="209F86C2" w:rsidR="004B3D56" w:rsidRPr="00974377" w:rsidRDefault="004B3D56" w:rsidP="00755725">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This program logic updates the current program logic of INOVASI in the following way</w:t>
      </w:r>
      <w:r w:rsidR="00C002FF">
        <w:rPr>
          <w:rFonts w:asciiTheme="majorHAnsi" w:hAnsiTheme="majorHAnsi" w:cstheme="majorHAnsi"/>
          <w:sz w:val="22"/>
          <w:szCs w:val="22"/>
        </w:rPr>
        <w:t>s</w:t>
      </w:r>
      <w:r w:rsidRPr="00974377">
        <w:rPr>
          <w:rFonts w:asciiTheme="majorHAnsi" w:hAnsiTheme="majorHAnsi" w:cstheme="majorHAnsi"/>
          <w:sz w:val="22"/>
          <w:szCs w:val="22"/>
        </w:rPr>
        <w:t xml:space="preserve">: </w:t>
      </w:r>
    </w:p>
    <w:p w14:paraId="47671131" w14:textId="4473E570" w:rsidR="004B3D56" w:rsidRPr="00974377" w:rsidRDefault="004B3D56" w:rsidP="008D1844">
      <w:pPr>
        <w:pStyle w:val="Bullet1"/>
        <w:numPr>
          <w:ilvl w:val="0"/>
          <w:numId w:val="49"/>
        </w:numPr>
        <w:suppressAutoHyphens/>
        <w:spacing w:after="120" w:line="281" w:lineRule="auto"/>
        <w:ind w:left="567" w:hanging="283"/>
        <w:textDirection w:val="btLr"/>
        <w:rPr>
          <w:rFonts w:asciiTheme="majorHAnsi" w:hAnsiTheme="majorHAnsi" w:cstheme="majorHAnsi"/>
          <w:sz w:val="22"/>
          <w:szCs w:val="22"/>
        </w:rPr>
      </w:pPr>
      <w:r w:rsidRPr="00974377">
        <w:rPr>
          <w:rFonts w:asciiTheme="majorHAnsi" w:hAnsiTheme="majorHAnsi" w:cstheme="majorHAnsi"/>
          <w:sz w:val="22"/>
          <w:szCs w:val="22"/>
        </w:rPr>
        <w:t xml:space="preserve">It keeps the focus on learning for all Indonesian students, specifies foundational skills as the object of learning, and </w:t>
      </w:r>
      <w:r w:rsidR="009E7871">
        <w:rPr>
          <w:rFonts w:asciiTheme="majorHAnsi" w:hAnsiTheme="majorHAnsi" w:cstheme="majorHAnsi"/>
          <w:sz w:val="22"/>
          <w:szCs w:val="22"/>
        </w:rPr>
        <w:t xml:space="preserve">identifies </w:t>
      </w:r>
      <w:r w:rsidRPr="00974377">
        <w:rPr>
          <w:rFonts w:asciiTheme="majorHAnsi" w:hAnsiTheme="majorHAnsi" w:cstheme="majorHAnsi"/>
          <w:sz w:val="22"/>
          <w:szCs w:val="22"/>
        </w:rPr>
        <w:t xml:space="preserve">the </w:t>
      </w:r>
      <w:r w:rsidR="00AC6ADC" w:rsidRPr="00974377">
        <w:rPr>
          <w:rFonts w:asciiTheme="majorHAnsi" w:hAnsiTheme="majorHAnsi" w:cstheme="majorHAnsi"/>
          <w:sz w:val="22"/>
          <w:szCs w:val="22"/>
        </w:rPr>
        <w:t xml:space="preserve">program </w:t>
      </w:r>
      <w:r w:rsidRPr="00974377">
        <w:rPr>
          <w:rFonts w:asciiTheme="majorHAnsi" w:hAnsiTheme="majorHAnsi" w:cstheme="majorHAnsi"/>
          <w:sz w:val="22"/>
          <w:szCs w:val="22"/>
        </w:rPr>
        <w:t>scope</w:t>
      </w:r>
      <w:r w:rsidR="00AC6ADC" w:rsidRPr="00974377">
        <w:rPr>
          <w:rFonts w:asciiTheme="majorHAnsi" w:hAnsiTheme="majorHAnsi" w:cstheme="majorHAnsi"/>
          <w:sz w:val="22"/>
          <w:szCs w:val="22"/>
        </w:rPr>
        <w:t xml:space="preserve"> </w:t>
      </w:r>
      <w:r w:rsidR="009E7871">
        <w:rPr>
          <w:rFonts w:asciiTheme="majorHAnsi" w:hAnsiTheme="majorHAnsi" w:cstheme="majorHAnsi"/>
          <w:sz w:val="22"/>
          <w:szCs w:val="22"/>
        </w:rPr>
        <w:t>as</w:t>
      </w:r>
      <w:r w:rsidRPr="00974377">
        <w:rPr>
          <w:rFonts w:asciiTheme="majorHAnsi" w:hAnsiTheme="majorHAnsi" w:cstheme="majorHAnsi"/>
          <w:sz w:val="22"/>
          <w:szCs w:val="22"/>
        </w:rPr>
        <w:t xml:space="preserve"> the </w:t>
      </w:r>
      <w:r w:rsidR="009E7871">
        <w:rPr>
          <w:rFonts w:asciiTheme="majorHAnsi" w:hAnsiTheme="majorHAnsi" w:cstheme="majorHAnsi"/>
          <w:sz w:val="22"/>
          <w:szCs w:val="22"/>
        </w:rPr>
        <w:t xml:space="preserve">entire </w:t>
      </w:r>
      <w:r w:rsidRPr="00974377">
        <w:rPr>
          <w:rFonts w:asciiTheme="majorHAnsi" w:hAnsiTheme="majorHAnsi" w:cstheme="majorHAnsi"/>
          <w:sz w:val="22"/>
          <w:szCs w:val="22"/>
        </w:rPr>
        <w:t>primary education</w:t>
      </w:r>
      <w:r w:rsidR="00812CCD" w:rsidRPr="00812CCD">
        <w:rPr>
          <w:rFonts w:asciiTheme="majorHAnsi" w:hAnsiTheme="majorHAnsi" w:cstheme="majorHAnsi"/>
          <w:sz w:val="22"/>
          <w:szCs w:val="22"/>
        </w:rPr>
        <w:t xml:space="preserve"> </w:t>
      </w:r>
      <w:r w:rsidR="00812CCD" w:rsidRPr="00974377">
        <w:rPr>
          <w:rFonts w:asciiTheme="majorHAnsi" w:hAnsiTheme="majorHAnsi" w:cstheme="majorHAnsi"/>
          <w:sz w:val="22"/>
          <w:szCs w:val="22"/>
        </w:rPr>
        <w:t>sub-sector</w:t>
      </w:r>
      <w:r w:rsidR="00B578C1">
        <w:rPr>
          <w:rFonts w:asciiTheme="majorHAnsi" w:hAnsiTheme="majorHAnsi" w:cstheme="majorHAnsi"/>
          <w:sz w:val="22"/>
          <w:szCs w:val="22"/>
        </w:rPr>
        <w:t xml:space="preserve"> </w:t>
      </w:r>
      <w:r w:rsidR="00812CCD">
        <w:rPr>
          <w:rFonts w:asciiTheme="majorHAnsi" w:hAnsiTheme="majorHAnsi" w:cstheme="majorHAnsi"/>
          <w:sz w:val="22"/>
          <w:szCs w:val="22"/>
        </w:rPr>
        <w:t>(g</w:t>
      </w:r>
      <w:r w:rsidR="00B578C1">
        <w:rPr>
          <w:rFonts w:asciiTheme="majorHAnsi" w:hAnsiTheme="majorHAnsi" w:cstheme="majorHAnsi"/>
          <w:sz w:val="22"/>
          <w:szCs w:val="22"/>
        </w:rPr>
        <w:t>rades 1-</w:t>
      </w:r>
      <w:r w:rsidR="00812CCD">
        <w:rPr>
          <w:rFonts w:asciiTheme="majorHAnsi" w:hAnsiTheme="majorHAnsi" w:cstheme="majorHAnsi"/>
          <w:sz w:val="22"/>
          <w:szCs w:val="22"/>
        </w:rPr>
        <w:t>6)</w:t>
      </w:r>
      <w:r w:rsidR="0094721A">
        <w:rPr>
          <w:rFonts w:asciiTheme="majorHAnsi" w:hAnsiTheme="majorHAnsi" w:cstheme="majorHAnsi"/>
          <w:sz w:val="22"/>
          <w:szCs w:val="22"/>
        </w:rPr>
        <w:t>.</w:t>
      </w:r>
    </w:p>
    <w:p w14:paraId="580B5C65" w14:textId="4077330A" w:rsidR="004B3D56" w:rsidRPr="00974377" w:rsidRDefault="004B3D56" w:rsidP="008D1844">
      <w:pPr>
        <w:pStyle w:val="Bullet1"/>
        <w:numPr>
          <w:ilvl w:val="0"/>
          <w:numId w:val="49"/>
        </w:numPr>
        <w:suppressAutoHyphens/>
        <w:spacing w:after="120" w:line="281" w:lineRule="auto"/>
        <w:ind w:left="567" w:hanging="283"/>
        <w:textDirection w:val="btLr"/>
        <w:rPr>
          <w:rFonts w:asciiTheme="majorHAnsi" w:hAnsiTheme="majorHAnsi" w:cstheme="majorHAnsi"/>
          <w:sz w:val="22"/>
          <w:szCs w:val="22"/>
        </w:rPr>
      </w:pPr>
      <w:r w:rsidRPr="00974377">
        <w:rPr>
          <w:rFonts w:asciiTheme="majorHAnsi" w:hAnsiTheme="majorHAnsi" w:cstheme="majorHAnsi"/>
          <w:sz w:val="22"/>
          <w:szCs w:val="22"/>
        </w:rPr>
        <w:t xml:space="preserve">It introduces an objective above the </w:t>
      </w:r>
      <w:r w:rsidR="00974E27">
        <w:rPr>
          <w:rFonts w:asciiTheme="majorHAnsi" w:hAnsiTheme="majorHAnsi" w:cstheme="majorHAnsi"/>
          <w:sz w:val="22"/>
          <w:szCs w:val="22"/>
        </w:rPr>
        <w:t xml:space="preserve">program’s </w:t>
      </w:r>
      <w:r w:rsidRPr="00974377">
        <w:rPr>
          <w:rFonts w:asciiTheme="majorHAnsi" w:hAnsiTheme="majorHAnsi" w:cstheme="majorHAnsi"/>
          <w:sz w:val="22"/>
          <w:szCs w:val="22"/>
        </w:rPr>
        <w:t>accountability line, that includes the notion of nationwide scale up of policies and practices implementation, previously situated at EOPO level</w:t>
      </w:r>
      <w:r w:rsidR="0094721A">
        <w:rPr>
          <w:rFonts w:asciiTheme="majorHAnsi" w:hAnsiTheme="majorHAnsi" w:cstheme="majorHAnsi"/>
          <w:sz w:val="22"/>
          <w:szCs w:val="22"/>
        </w:rPr>
        <w:t>.</w:t>
      </w:r>
    </w:p>
    <w:p w14:paraId="46E46622" w14:textId="1F85B9AA" w:rsidR="004B3D56" w:rsidRDefault="004B3D56" w:rsidP="008D1844">
      <w:pPr>
        <w:pStyle w:val="Bullet1"/>
        <w:numPr>
          <w:ilvl w:val="0"/>
          <w:numId w:val="49"/>
        </w:numPr>
        <w:suppressAutoHyphens/>
        <w:spacing w:after="120" w:line="281" w:lineRule="auto"/>
        <w:ind w:left="567" w:hanging="283"/>
        <w:textDirection w:val="btLr"/>
        <w:rPr>
          <w:rFonts w:asciiTheme="majorHAnsi" w:hAnsiTheme="majorHAnsi" w:cstheme="majorHAnsi"/>
          <w:sz w:val="22"/>
          <w:szCs w:val="22"/>
        </w:rPr>
      </w:pPr>
      <w:r w:rsidRPr="00974377">
        <w:rPr>
          <w:rFonts w:asciiTheme="majorHAnsi" w:hAnsiTheme="majorHAnsi" w:cstheme="majorHAnsi"/>
          <w:sz w:val="22"/>
          <w:szCs w:val="22"/>
        </w:rPr>
        <w:t xml:space="preserve">It sets a time horizon and </w:t>
      </w:r>
      <w:r w:rsidR="007E2CB4" w:rsidRPr="00974377">
        <w:rPr>
          <w:rFonts w:asciiTheme="majorHAnsi" w:hAnsiTheme="majorHAnsi" w:cstheme="majorHAnsi"/>
          <w:sz w:val="22"/>
          <w:szCs w:val="22"/>
        </w:rPr>
        <w:t>includes learning improv</w:t>
      </w:r>
      <w:r w:rsidR="00E8715B" w:rsidRPr="00974377">
        <w:rPr>
          <w:rFonts w:asciiTheme="majorHAnsi" w:hAnsiTheme="majorHAnsi" w:cstheme="majorHAnsi"/>
          <w:sz w:val="22"/>
          <w:szCs w:val="22"/>
        </w:rPr>
        <w:t>e</w:t>
      </w:r>
      <w:r w:rsidR="007E2CB4" w:rsidRPr="00974377">
        <w:rPr>
          <w:rFonts w:asciiTheme="majorHAnsi" w:hAnsiTheme="majorHAnsi" w:cstheme="majorHAnsi"/>
          <w:sz w:val="22"/>
          <w:szCs w:val="22"/>
        </w:rPr>
        <w:t xml:space="preserve">ment objectives for </w:t>
      </w:r>
      <w:r w:rsidRPr="00974377">
        <w:rPr>
          <w:rFonts w:asciiTheme="majorHAnsi" w:hAnsiTheme="majorHAnsi" w:cstheme="majorHAnsi"/>
          <w:sz w:val="22"/>
          <w:szCs w:val="22"/>
        </w:rPr>
        <w:t>children with disability for both EOPOs</w:t>
      </w:r>
      <w:r w:rsidR="0094721A">
        <w:rPr>
          <w:rFonts w:asciiTheme="majorHAnsi" w:hAnsiTheme="majorHAnsi" w:cstheme="majorHAnsi"/>
          <w:sz w:val="22"/>
          <w:szCs w:val="22"/>
        </w:rPr>
        <w:t>.</w:t>
      </w:r>
      <w:r w:rsidR="00B578C1">
        <w:rPr>
          <w:rFonts w:asciiTheme="majorHAnsi" w:hAnsiTheme="majorHAnsi" w:cstheme="majorHAnsi"/>
          <w:sz w:val="22"/>
          <w:szCs w:val="22"/>
        </w:rPr>
        <w:t xml:space="preserve"> </w:t>
      </w:r>
    </w:p>
    <w:p w14:paraId="7FB23703" w14:textId="621001AC" w:rsidR="00302FE1" w:rsidRDefault="00302FE1" w:rsidP="008D1844">
      <w:pPr>
        <w:pStyle w:val="Bullet1"/>
        <w:numPr>
          <w:ilvl w:val="0"/>
          <w:numId w:val="49"/>
        </w:numPr>
        <w:suppressAutoHyphens/>
        <w:spacing w:after="120" w:line="281" w:lineRule="auto"/>
        <w:ind w:left="567" w:hanging="283"/>
        <w:textDirection w:val="btLr"/>
        <w:rPr>
          <w:rFonts w:asciiTheme="majorHAnsi" w:hAnsiTheme="majorHAnsi" w:cstheme="majorHAnsi"/>
          <w:sz w:val="22"/>
          <w:szCs w:val="22"/>
        </w:rPr>
      </w:pPr>
      <w:r>
        <w:rPr>
          <w:rFonts w:asciiTheme="majorHAnsi" w:hAnsiTheme="majorHAnsi" w:cstheme="majorHAnsi"/>
          <w:sz w:val="22"/>
          <w:szCs w:val="22"/>
        </w:rPr>
        <w:t>In EOPO 1</w:t>
      </w:r>
      <w:r w:rsidR="00974E27">
        <w:rPr>
          <w:rFonts w:asciiTheme="majorHAnsi" w:hAnsiTheme="majorHAnsi" w:cstheme="majorHAnsi"/>
          <w:sz w:val="22"/>
          <w:szCs w:val="22"/>
        </w:rPr>
        <w:t>,</w:t>
      </w:r>
      <w:r>
        <w:rPr>
          <w:rFonts w:asciiTheme="majorHAnsi" w:hAnsiTheme="majorHAnsi" w:cstheme="majorHAnsi"/>
          <w:sz w:val="22"/>
          <w:szCs w:val="22"/>
        </w:rPr>
        <w:t xml:space="preserve"> it targets policies and systems at all stakeholder levels for the development and/or implementation of inclusive policies and systems that support foundational skills</w:t>
      </w:r>
      <w:r w:rsidR="00974E27">
        <w:rPr>
          <w:rFonts w:asciiTheme="majorHAnsi" w:hAnsiTheme="majorHAnsi" w:cstheme="majorHAnsi"/>
          <w:sz w:val="22"/>
          <w:szCs w:val="22"/>
        </w:rPr>
        <w:t>.</w:t>
      </w:r>
    </w:p>
    <w:p w14:paraId="606F71A8" w14:textId="00E0491B" w:rsidR="00B578C1" w:rsidRPr="00974377" w:rsidRDefault="00302FE1" w:rsidP="008D1844">
      <w:pPr>
        <w:pStyle w:val="Bullet1"/>
        <w:numPr>
          <w:ilvl w:val="0"/>
          <w:numId w:val="49"/>
        </w:numPr>
        <w:suppressAutoHyphens/>
        <w:spacing w:after="120" w:line="281" w:lineRule="auto"/>
        <w:ind w:left="567" w:hanging="283"/>
        <w:textDirection w:val="btLr"/>
        <w:rPr>
          <w:rFonts w:asciiTheme="majorHAnsi" w:hAnsiTheme="majorHAnsi" w:cstheme="majorHAnsi"/>
          <w:sz w:val="22"/>
          <w:szCs w:val="22"/>
        </w:rPr>
      </w:pPr>
      <w:r>
        <w:rPr>
          <w:rFonts w:asciiTheme="majorHAnsi" w:hAnsiTheme="majorHAnsi" w:cstheme="majorHAnsi"/>
          <w:sz w:val="22"/>
          <w:szCs w:val="22"/>
        </w:rPr>
        <w:t>In EOPO 2</w:t>
      </w:r>
      <w:r w:rsidR="00974E27">
        <w:rPr>
          <w:rFonts w:asciiTheme="majorHAnsi" w:hAnsiTheme="majorHAnsi" w:cstheme="majorHAnsi"/>
          <w:sz w:val="22"/>
          <w:szCs w:val="22"/>
        </w:rPr>
        <w:t>,</w:t>
      </w:r>
      <w:r>
        <w:rPr>
          <w:rFonts w:asciiTheme="majorHAnsi" w:hAnsiTheme="majorHAnsi" w:cstheme="majorHAnsi"/>
          <w:sz w:val="22"/>
          <w:szCs w:val="22"/>
        </w:rPr>
        <w:t xml:space="preserve"> </w:t>
      </w:r>
      <w:r w:rsidR="00974E27">
        <w:rPr>
          <w:rFonts w:asciiTheme="majorHAnsi" w:hAnsiTheme="majorHAnsi" w:cstheme="majorHAnsi"/>
          <w:sz w:val="22"/>
          <w:szCs w:val="22"/>
        </w:rPr>
        <w:t>i</w:t>
      </w:r>
      <w:r w:rsidR="00B578C1">
        <w:rPr>
          <w:rFonts w:asciiTheme="majorHAnsi" w:hAnsiTheme="majorHAnsi" w:cstheme="majorHAnsi"/>
          <w:sz w:val="22"/>
          <w:szCs w:val="22"/>
        </w:rPr>
        <w:t xml:space="preserve">t targets </w:t>
      </w:r>
      <w:r w:rsidR="00974E27">
        <w:rPr>
          <w:rFonts w:asciiTheme="majorHAnsi" w:hAnsiTheme="majorHAnsi" w:cstheme="majorHAnsi"/>
          <w:sz w:val="22"/>
          <w:szCs w:val="22"/>
        </w:rPr>
        <w:t xml:space="preserve">districtwide </w:t>
      </w:r>
      <w:r>
        <w:rPr>
          <w:rFonts w:asciiTheme="majorHAnsi" w:hAnsiTheme="majorHAnsi" w:cstheme="majorHAnsi"/>
          <w:sz w:val="22"/>
          <w:szCs w:val="22"/>
        </w:rPr>
        <w:t xml:space="preserve">improvement </w:t>
      </w:r>
      <w:r w:rsidR="00974E27">
        <w:rPr>
          <w:rFonts w:asciiTheme="majorHAnsi" w:hAnsiTheme="majorHAnsi" w:cstheme="majorHAnsi"/>
          <w:sz w:val="22"/>
          <w:szCs w:val="22"/>
        </w:rPr>
        <w:t xml:space="preserve">of teaching and school and madrasah leadership </w:t>
      </w:r>
      <w:r>
        <w:rPr>
          <w:rFonts w:asciiTheme="majorHAnsi" w:hAnsiTheme="majorHAnsi" w:cstheme="majorHAnsi"/>
          <w:sz w:val="22"/>
          <w:szCs w:val="22"/>
        </w:rPr>
        <w:t>practices that result in improved foundational skills</w:t>
      </w:r>
      <w:r w:rsidR="00974E27">
        <w:rPr>
          <w:rFonts w:asciiTheme="majorHAnsi" w:hAnsiTheme="majorHAnsi" w:cstheme="majorHAnsi"/>
          <w:sz w:val="22"/>
          <w:szCs w:val="22"/>
        </w:rPr>
        <w:t>.</w:t>
      </w:r>
    </w:p>
    <w:p w14:paraId="432EFF37" w14:textId="3A88B930" w:rsidR="004B3D56" w:rsidRPr="00974377" w:rsidRDefault="004B3D56" w:rsidP="008D1844">
      <w:pPr>
        <w:pStyle w:val="Bullet1"/>
        <w:numPr>
          <w:ilvl w:val="0"/>
          <w:numId w:val="49"/>
        </w:numPr>
        <w:suppressAutoHyphens/>
        <w:spacing w:after="120" w:line="281" w:lineRule="auto"/>
        <w:ind w:left="567" w:hanging="283"/>
        <w:textDirection w:val="btLr"/>
        <w:rPr>
          <w:rFonts w:asciiTheme="majorHAnsi" w:hAnsiTheme="majorHAnsi" w:cstheme="majorHAnsi"/>
          <w:sz w:val="22"/>
          <w:szCs w:val="22"/>
        </w:rPr>
      </w:pPr>
      <w:r w:rsidRPr="00974377">
        <w:rPr>
          <w:rFonts w:asciiTheme="majorHAnsi" w:hAnsiTheme="majorHAnsi" w:cstheme="majorHAnsi"/>
          <w:sz w:val="22"/>
          <w:szCs w:val="22"/>
        </w:rPr>
        <w:t>It keeps the IOs on curriculum and assessment and teaching practices, introduces IOs targeted at school leadership and climate change, and focuses most IOs on</w:t>
      </w:r>
      <w:r w:rsidR="00974E27">
        <w:rPr>
          <w:rFonts w:asciiTheme="majorHAnsi" w:hAnsiTheme="majorHAnsi" w:cstheme="majorHAnsi"/>
          <w:sz w:val="22"/>
          <w:szCs w:val="22"/>
        </w:rPr>
        <w:t xml:space="preserve"> systemic</w:t>
      </w:r>
      <w:r w:rsidR="00302FE1">
        <w:rPr>
          <w:rFonts w:asciiTheme="majorHAnsi" w:hAnsiTheme="majorHAnsi" w:cstheme="majorHAnsi"/>
          <w:sz w:val="22"/>
          <w:szCs w:val="22"/>
        </w:rPr>
        <w:t xml:space="preserve"> </w:t>
      </w:r>
      <w:r w:rsidR="00974E27">
        <w:rPr>
          <w:rFonts w:asciiTheme="majorHAnsi" w:hAnsiTheme="majorHAnsi" w:cstheme="majorHAnsi"/>
          <w:sz w:val="22"/>
          <w:szCs w:val="22"/>
        </w:rPr>
        <w:t xml:space="preserve">performance at district level </w:t>
      </w:r>
      <w:r w:rsidRPr="00974377">
        <w:rPr>
          <w:rFonts w:asciiTheme="majorHAnsi" w:hAnsiTheme="majorHAnsi" w:cstheme="majorHAnsi"/>
          <w:sz w:val="22"/>
          <w:szCs w:val="22"/>
        </w:rPr>
        <w:t xml:space="preserve">(except curriculum and assessment whose implications are </w:t>
      </w:r>
      <w:r w:rsidR="00974E27">
        <w:rPr>
          <w:rFonts w:asciiTheme="majorHAnsi" w:hAnsiTheme="majorHAnsi" w:cstheme="majorHAnsi"/>
          <w:sz w:val="22"/>
          <w:szCs w:val="22"/>
        </w:rPr>
        <w:t xml:space="preserve">also </w:t>
      </w:r>
      <w:r w:rsidRPr="00974377">
        <w:rPr>
          <w:rFonts w:asciiTheme="majorHAnsi" w:hAnsiTheme="majorHAnsi" w:cstheme="majorHAnsi"/>
          <w:sz w:val="22"/>
          <w:szCs w:val="22"/>
        </w:rPr>
        <w:t>nationwide)</w:t>
      </w:r>
    </w:p>
    <w:p w14:paraId="7D01CB27" w14:textId="31DE1AEF" w:rsidR="004B3D56" w:rsidRPr="00974377" w:rsidRDefault="004B3D56" w:rsidP="008D1844">
      <w:pPr>
        <w:pStyle w:val="Bullet1"/>
        <w:numPr>
          <w:ilvl w:val="0"/>
          <w:numId w:val="49"/>
        </w:numPr>
        <w:suppressAutoHyphens/>
        <w:spacing w:after="120" w:line="281" w:lineRule="auto"/>
        <w:ind w:left="567" w:hanging="283"/>
        <w:textDirection w:val="btLr"/>
        <w:rPr>
          <w:rFonts w:asciiTheme="majorHAnsi" w:hAnsiTheme="majorHAnsi" w:cstheme="majorHAnsi"/>
          <w:sz w:val="22"/>
          <w:szCs w:val="22"/>
        </w:rPr>
      </w:pPr>
      <w:r w:rsidRPr="00974377">
        <w:rPr>
          <w:rFonts w:asciiTheme="majorHAnsi" w:hAnsiTheme="majorHAnsi" w:cstheme="majorHAnsi"/>
          <w:sz w:val="22"/>
          <w:szCs w:val="22"/>
        </w:rPr>
        <w:t>It updates the GEDSI-targeted IO to focus on gender equality (as per new DFAT standard), and particularly on the issues of women leadership, boys</w:t>
      </w:r>
      <w:r w:rsidR="00AC6ADC" w:rsidRPr="00974377">
        <w:rPr>
          <w:rFonts w:asciiTheme="majorHAnsi" w:hAnsiTheme="majorHAnsi" w:cstheme="majorHAnsi"/>
          <w:sz w:val="22"/>
          <w:szCs w:val="22"/>
        </w:rPr>
        <w:t>’</w:t>
      </w:r>
      <w:r w:rsidRPr="00974377">
        <w:rPr>
          <w:rFonts w:asciiTheme="majorHAnsi" w:hAnsiTheme="majorHAnsi" w:cstheme="majorHAnsi"/>
          <w:sz w:val="22"/>
          <w:szCs w:val="22"/>
        </w:rPr>
        <w:t xml:space="preserve"> engagement</w:t>
      </w:r>
      <w:r w:rsidR="00CB50BF">
        <w:rPr>
          <w:rFonts w:asciiTheme="majorHAnsi" w:hAnsiTheme="majorHAnsi" w:cstheme="majorHAnsi"/>
          <w:sz w:val="22"/>
          <w:szCs w:val="22"/>
        </w:rPr>
        <w:t>,</w:t>
      </w:r>
      <w:r w:rsidRPr="00974377">
        <w:rPr>
          <w:rFonts w:asciiTheme="majorHAnsi" w:hAnsiTheme="majorHAnsi" w:cstheme="majorHAnsi"/>
          <w:sz w:val="22"/>
          <w:szCs w:val="22"/>
        </w:rPr>
        <w:t xml:space="preserve"> and girls</w:t>
      </w:r>
      <w:r w:rsidR="00AC6ADC" w:rsidRPr="00974377">
        <w:rPr>
          <w:rFonts w:asciiTheme="majorHAnsi" w:hAnsiTheme="majorHAnsi" w:cstheme="majorHAnsi"/>
          <w:sz w:val="22"/>
          <w:szCs w:val="22"/>
        </w:rPr>
        <w:t>’</w:t>
      </w:r>
      <w:r w:rsidRPr="00974377">
        <w:rPr>
          <w:rFonts w:asciiTheme="majorHAnsi" w:hAnsiTheme="majorHAnsi" w:cstheme="majorHAnsi"/>
          <w:sz w:val="22"/>
          <w:szCs w:val="22"/>
        </w:rPr>
        <w:t xml:space="preserve"> </w:t>
      </w:r>
      <w:r w:rsidR="00431ECE">
        <w:rPr>
          <w:rFonts w:asciiTheme="majorHAnsi" w:hAnsiTheme="majorHAnsi" w:cstheme="majorHAnsi"/>
          <w:sz w:val="22"/>
          <w:szCs w:val="22"/>
        </w:rPr>
        <w:t>well-being</w:t>
      </w:r>
      <w:r w:rsidRPr="00974377">
        <w:rPr>
          <w:rFonts w:asciiTheme="majorHAnsi" w:hAnsiTheme="majorHAnsi" w:cstheme="majorHAnsi"/>
          <w:sz w:val="22"/>
          <w:szCs w:val="22"/>
        </w:rPr>
        <w:t xml:space="preserve"> in schools</w:t>
      </w:r>
      <w:r w:rsidR="0094721A">
        <w:rPr>
          <w:rFonts w:asciiTheme="majorHAnsi" w:hAnsiTheme="majorHAnsi" w:cstheme="majorHAnsi"/>
          <w:sz w:val="22"/>
          <w:szCs w:val="22"/>
        </w:rPr>
        <w:t>.</w:t>
      </w:r>
      <w:r w:rsidRPr="00974377">
        <w:rPr>
          <w:rFonts w:asciiTheme="majorHAnsi" w:hAnsiTheme="majorHAnsi" w:cstheme="majorHAnsi"/>
          <w:sz w:val="22"/>
          <w:szCs w:val="22"/>
        </w:rPr>
        <w:t xml:space="preserve"> </w:t>
      </w:r>
    </w:p>
    <w:p w14:paraId="350304DD" w14:textId="65AE5D55" w:rsidR="006156E3" w:rsidRPr="00807005" w:rsidRDefault="004B3D56" w:rsidP="008D1844">
      <w:pPr>
        <w:pStyle w:val="Bullet1"/>
        <w:numPr>
          <w:ilvl w:val="0"/>
          <w:numId w:val="49"/>
        </w:numPr>
        <w:suppressAutoHyphens/>
        <w:spacing w:after="120" w:line="281" w:lineRule="auto"/>
        <w:ind w:left="567" w:hanging="283"/>
        <w:textDirection w:val="btLr"/>
        <w:rPr>
          <w:rFonts w:asciiTheme="majorHAnsi" w:hAnsiTheme="majorHAnsi" w:cstheme="majorHAnsi"/>
          <w:sz w:val="22"/>
          <w:szCs w:val="22"/>
        </w:rPr>
      </w:pPr>
      <w:r w:rsidRPr="00974377">
        <w:rPr>
          <w:rFonts w:asciiTheme="majorHAnsi" w:hAnsiTheme="majorHAnsi" w:cstheme="majorHAnsi"/>
          <w:sz w:val="22"/>
          <w:szCs w:val="22"/>
        </w:rPr>
        <w:t>It evolves the current emergent outcomes into new</w:t>
      </w:r>
      <w:r w:rsidR="00054F0D">
        <w:rPr>
          <w:rFonts w:asciiTheme="majorHAnsi" w:hAnsiTheme="majorHAnsi" w:cstheme="majorHAnsi"/>
          <w:sz w:val="22"/>
          <w:szCs w:val="22"/>
        </w:rPr>
        <w:t>ly explicit</w:t>
      </w:r>
      <w:r w:rsidRPr="00974377">
        <w:rPr>
          <w:rFonts w:asciiTheme="majorHAnsi" w:hAnsiTheme="majorHAnsi" w:cstheme="majorHAnsi"/>
          <w:sz w:val="22"/>
          <w:szCs w:val="22"/>
        </w:rPr>
        <w:t xml:space="preserve"> strategies, such as </w:t>
      </w:r>
      <w:r w:rsidR="005953EB">
        <w:rPr>
          <w:rFonts w:asciiTheme="majorHAnsi" w:hAnsiTheme="majorHAnsi" w:cstheme="majorHAnsi"/>
          <w:sz w:val="22"/>
          <w:szCs w:val="22"/>
        </w:rPr>
        <w:t xml:space="preserve">working with the </w:t>
      </w:r>
      <w:r w:rsidRPr="00974377">
        <w:rPr>
          <w:rFonts w:asciiTheme="majorHAnsi" w:hAnsiTheme="majorHAnsi" w:cstheme="majorHAnsi"/>
          <w:sz w:val="22"/>
          <w:szCs w:val="22"/>
        </w:rPr>
        <w:t>district ecosystem, institutional partnerships</w:t>
      </w:r>
      <w:r w:rsidR="00CB50BF">
        <w:rPr>
          <w:rFonts w:asciiTheme="majorHAnsi" w:hAnsiTheme="majorHAnsi" w:cstheme="majorHAnsi"/>
          <w:sz w:val="22"/>
          <w:szCs w:val="22"/>
        </w:rPr>
        <w:t>,</w:t>
      </w:r>
      <w:r w:rsidRPr="00974377">
        <w:rPr>
          <w:rFonts w:asciiTheme="majorHAnsi" w:hAnsiTheme="majorHAnsi" w:cstheme="majorHAnsi"/>
          <w:sz w:val="22"/>
          <w:szCs w:val="22"/>
        </w:rPr>
        <w:t xml:space="preserve"> </w:t>
      </w:r>
      <w:r w:rsidR="00CB50BF" w:rsidRPr="00974377">
        <w:rPr>
          <w:rFonts w:asciiTheme="majorHAnsi" w:hAnsiTheme="majorHAnsi" w:cstheme="majorHAnsi"/>
          <w:sz w:val="22"/>
          <w:szCs w:val="22"/>
        </w:rPr>
        <w:t>and</w:t>
      </w:r>
      <w:r w:rsidRPr="00974377">
        <w:rPr>
          <w:rFonts w:asciiTheme="majorHAnsi" w:hAnsiTheme="majorHAnsi" w:cstheme="majorHAnsi"/>
          <w:sz w:val="22"/>
          <w:szCs w:val="22"/>
        </w:rPr>
        <w:t xml:space="preserve"> pilots and trials.</w:t>
      </w:r>
      <w:r w:rsidR="006156E3">
        <w:tab/>
      </w:r>
    </w:p>
    <w:p w14:paraId="27C171EC" w14:textId="2B66791C" w:rsidR="004B3D56" w:rsidRPr="00974377" w:rsidRDefault="004B3D56" w:rsidP="008D1844">
      <w:pPr>
        <w:pStyle w:val="Bullet1"/>
        <w:numPr>
          <w:ilvl w:val="0"/>
          <w:numId w:val="49"/>
        </w:numPr>
        <w:suppressAutoHyphens/>
        <w:spacing w:after="120" w:line="281" w:lineRule="auto"/>
        <w:ind w:left="567" w:hanging="283"/>
        <w:textDirection w:val="btLr"/>
        <w:rPr>
          <w:rFonts w:asciiTheme="majorHAnsi" w:hAnsiTheme="majorHAnsi" w:cstheme="majorHAnsi"/>
          <w:sz w:val="22"/>
          <w:szCs w:val="22"/>
        </w:rPr>
      </w:pPr>
      <w:r w:rsidRPr="00974377">
        <w:rPr>
          <w:rFonts w:asciiTheme="majorHAnsi" w:hAnsiTheme="majorHAnsi" w:cstheme="majorHAnsi"/>
          <w:sz w:val="22"/>
          <w:szCs w:val="22"/>
        </w:rPr>
        <w:t>It updates the current seven principles, retaining some (e.g. collaboration, PDIA, evidence-based)</w:t>
      </w:r>
      <w:r w:rsidR="00974E27">
        <w:rPr>
          <w:rFonts w:asciiTheme="majorHAnsi" w:hAnsiTheme="majorHAnsi" w:cstheme="majorHAnsi"/>
          <w:sz w:val="22"/>
          <w:szCs w:val="22"/>
        </w:rPr>
        <w:t>,</w:t>
      </w:r>
      <w:r w:rsidRPr="00974377">
        <w:rPr>
          <w:rFonts w:asciiTheme="majorHAnsi" w:hAnsiTheme="majorHAnsi" w:cstheme="majorHAnsi"/>
          <w:sz w:val="22"/>
          <w:szCs w:val="22"/>
        </w:rPr>
        <w:t xml:space="preserve"> </w:t>
      </w:r>
      <w:r w:rsidR="00302FE1">
        <w:rPr>
          <w:rFonts w:asciiTheme="majorHAnsi" w:hAnsiTheme="majorHAnsi" w:cstheme="majorHAnsi"/>
          <w:sz w:val="22"/>
          <w:szCs w:val="22"/>
        </w:rPr>
        <w:t>add</w:t>
      </w:r>
      <w:r w:rsidR="00974E27">
        <w:rPr>
          <w:rFonts w:asciiTheme="majorHAnsi" w:hAnsiTheme="majorHAnsi" w:cstheme="majorHAnsi"/>
          <w:sz w:val="22"/>
          <w:szCs w:val="22"/>
        </w:rPr>
        <w:t>ing</w:t>
      </w:r>
      <w:r w:rsidRPr="00974377">
        <w:rPr>
          <w:rFonts w:asciiTheme="majorHAnsi" w:hAnsiTheme="majorHAnsi" w:cstheme="majorHAnsi"/>
          <w:sz w:val="22"/>
          <w:szCs w:val="22"/>
        </w:rPr>
        <w:t xml:space="preserve"> </w:t>
      </w:r>
      <w:r w:rsidRPr="00CE3917">
        <w:rPr>
          <w:rFonts w:asciiTheme="majorHAnsi" w:hAnsiTheme="majorHAnsi" w:cstheme="majorHAnsi"/>
          <w:sz w:val="22"/>
          <w:szCs w:val="22"/>
        </w:rPr>
        <w:t xml:space="preserve">new ones (e.g. TWP and </w:t>
      </w:r>
      <w:r w:rsidR="00C62B9D" w:rsidRPr="00CE3917">
        <w:rPr>
          <w:rFonts w:asciiTheme="majorHAnsi" w:hAnsiTheme="majorHAnsi" w:cstheme="majorHAnsi"/>
          <w:sz w:val="22"/>
          <w:szCs w:val="22"/>
        </w:rPr>
        <w:t>locally led</w:t>
      </w:r>
      <w:r w:rsidRPr="00CE3917">
        <w:rPr>
          <w:rFonts w:asciiTheme="majorHAnsi" w:hAnsiTheme="majorHAnsi" w:cstheme="majorHAnsi"/>
          <w:sz w:val="22"/>
          <w:szCs w:val="22"/>
        </w:rPr>
        <w:t>)</w:t>
      </w:r>
      <w:r w:rsidR="00302FE1" w:rsidRPr="00CE3917">
        <w:rPr>
          <w:rFonts w:asciiTheme="majorHAnsi" w:hAnsiTheme="majorHAnsi" w:cstheme="majorHAnsi"/>
          <w:sz w:val="22"/>
          <w:szCs w:val="22"/>
        </w:rPr>
        <w:t>, and expand</w:t>
      </w:r>
      <w:r w:rsidR="00974E27">
        <w:rPr>
          <w:rFonts w:asciiTheme="majorHAnsi" w:hAnsiTheme="majorHAnsi" w:cstheme="majorHAnsi"/>
          <w:sz w:val="22"/>
          <w:szCs w:val="22"/>
        </w:rPr>
        <w:t>ing</w:t>
      </w:r>
      <w:r w:rsidR="00302FE1" w:rsidRPr="00CE3917">
        <w:rPr>
          <w:rFonts w:asciiTheme="majorHAnsi" w:hAnsiTheme="majorHAnsi" w:cstheme="majorHAnsi"/>
          <w:sz w:val="22"/>
          <w:szCs w:val="22"/>
        </w:rPr>
        <w:t xml:space="preserve"> inclus</w:t>
      </w:r>
      <w:r w:rsidR="00B01CF8" w:rsidRPr="00CE3917">
        <w:rPr>
          <w:rFonts w:asciiTheme="majorHAnsi" w:hAnsiTheme="majorHAnsi" w:cstheme="majorHAnsi"/>
          <w:sz w:val="22"/>
          <w:szCs w:val="22"/>
        </w:rPr>
        <w:t>ion to encompass diversity and accessibility</w:t>
      </w:r>
      <w:r w:rsidR="00974E27">
        <w:rPr>
          <w:rStyle w:val="FootnoteReference"/>
          <w:rFonts w:asciiTheme="majorHAnsi" w:hAnsiTheme="majorHAnsi" w:cstheme="majorHAnsi"/>
          <w:sz w:val="22"/>
          <w:szCs w:val="22"/>
        </w:rPr>
        <w:footnoteReference w:id="25"/>
      </w:r>
      <w:r w:rsidR="00CE3917" w:rsidRPr="00F91B6F">
        <w:rPr>
          <w:rFonts w:eastAsia="Calibri Light"/>
          <w:iCs/>
          <w:sz w:val="22"/>
          <w:szCs w:val="22"/>
        </w:rPr>
        <w:t>.</w:t>
      </w:r>
    </w:p>
    <w:p w14:paraId="433C3DE8" w14:textId="35144F65" w:rsidR="004B3D56" w:rsidRPr="00974377" w:rsidRDefault="004B3D56" w:rsidP="008D1844">
      <w:pPr>
        <w:pStyle w:val="Bullet1"/>
        <w:numPr>
          <w:ilvl w:val="0"/>
          <w:numId w:val="49"/>
        </w:numPr>
        <w:suppressAutoHyphens/>
        <w:spacing w:after="120" w:line="281" w:lineRule="auto"/>
        <w:ind w:left="567" w:hanging="283"/>
        <w:textDirection w:val="btLr"/>
        <w:rPr>
          <w:rFonts w:asciiTheme="majorHAnsi" w:hAnsiTheme="majorHAnsi" w:cstheme="majorHAnsi"/>
          <w:sz w:val="22"/>
          <w:szCs w:val="22"/>
        </w:rPr>
      </w:pPr>
      <w:r w:rsidRPr="00974377">
        <w:rPr>
          <w:rFonts w:asciiTheme="majorHAnsi" w:hAnsiTheme="majorHAnsi" w:cstheme="majorHAnsi"/>
          <w:sz w:val="22"/>
          <w:szCs w:val="22"/>
        </w:rPr>
        <w:t>It emphasises explicitly the focus on inclusive education at each level</w:t>
      </w:r>
      <w:r w:rsidR="0094721A">
        <w:rPr>
          <w:rFonts w:asciiTheme="majorHAnsi" w:hAnsiTheme="majorHAnsi" w:cstheme="majorHAnsi"/>
          <w:sz w:val="22"/>
          <w:szCs w:val="22"/>
        </w:rPr>
        <w:t>.</w:t>
      </w:r>
    </w:p>
    <w:p w14:paraId="791FB895" w14:textId="62345822" w:rsidR="004B3D56" w:rsidRPr="00974377" w:rsidRDefault="004B3D56" w:rsidP="00755725">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Program logic has been socialised and discussed with key Indonesian and Australian stakeholders during the </w:t>
      </w:r>
      <w:r w:rsidR="009E7871">
        <w:rPr>
          <w:rFonts w:asciiTheme="majorHAnsi" w:hAnsiTheme="majorHAnsi" w:cstheme="majorHAnsi"/>
          <w:sz w:val="22"/>
          <w:szCs w:val="22"/>
        </w:rPr>
        <w:t>D</w:t>
      </w:r>
      <w:r w:rsidRPr="00974377">
        <w:rPr>
          <w:rFonts w:asciiTheme="majorHAnsi" w:hAnsiTheme="majorHAnsi" w:cstheme="majorHAnsi"/>
          <w:sz w:val="22"/>
          <w:szCs w:val="22"/>
        </w:rPr>
        <w:t xml:space="preserve">esign </w:t>
      </w:r>
      <w:r w:rsidR="009E7871">
        <w:rPr>
          <w:rFonts w:asciiTheme="majorHAnsi" w:hAnsiTheme="majorHAnsi" w:cstheme="majorHAnsi"/>
          <w:sz w:val="22"/>
          <w:szCs w:val="22"/>
        </w:rPr>
        <w:t xml:space="preserve">Update </w:t>
      </w:r>
      <w:r w:rsidRPr="00974377">
        <w:rPr>
          <w:rFonts w:asciiTheme="majorHAnsi" w:hAnsiTheme="majorHAnsi" w:cstheme="majorHAnsi"/>
          <w:sz w:val="22"/>
          <w:szCs w:val="22"/>
        </w:rPr>
        <w:t>process. It will be reviewed periodically through strategy testing exercise</w:t>
      </w:r>
      <w:r w:rsidR="00AC6ADC" w:rsidRPr="00974377">
        <w:rPr>
          <w:rFonts w:asciiTheme="majorHAnsi" w:hAnsiTheme="majorHAnsi" w:cstheme="majorHAnsi"/>
          <w:sz w:val="22"/>
          <w:szCs w:val="22"/>
        </w:rPr>
        <w:t>s</w:t>
      </w:r>
      <w:r w:rsidRPr="00974377">
        <w:rPr>
          <w:rFonts w:asciiTheme="majorHAnsi" w:hAnsiTheme="majorHAnsi" w:cstheme="majorHAnsi"/>
          <w:sz w:val="22"/>
          <w:szCs w:val="22"/>
        </w:rPr>
        <w:t xml:space="preserve"> (see </w:t>
      </w:r>
      <w:r w:rsidR="00DA665F">
        <w:rPr>
          <w:rFonts w:asciiTheme="majorHAnsi" w:hAnsiTheme="majorHAnsi" w:cstheme="majorHAnsi"/>
          <w:sz w:val="22"/>
          <w:szCs w:val="22"/>
        </w:rPr>
        <w:t>Section</w:t>
      </w:r>
      <w:r w:rsidRPr="00974377">
        <w:rPr>
          <w:rFonts w:asciiTheme="majorHAnsi" w:hAnsiTheme="majorHAnsi" w:cstheme="majorHAnsi"/>
          <w:sz w:val="22"/>
          <w:szCs w:val="22"/>
        </w:rPr>
        <w:t xml:space="preserve"> F below) and the Phase 3 the Mid-Term Review (MTR) process, to ensure the structure remains fit for purpose. Any significant revisions will be approved by the Program National Steering Committee (see Section E below).</w:t>
      </w:r>
    </w:p>
    <w:p w14:paraId="51773D28" w14:textId="77777777" w:rsidR="00E23693" w:rsidRPr="00755725" w:rsidRDefault="00E23693" w:rsidP="00755725">
      <w:pPr>
        <w:pStyle w:val="Caption"/>
        <w:spacing w:before="0" w:after="240" w:line="281" w:lineRule="auto"/>
        <w:contextualSpacing w:val="0"/>
        <w:rPr>
          <w:rFonts w:asciiTheme="majorHAnsi" w:hAnsiTheme="majorHAnsi" w:cstheme="majorHAnsi"/>
          <w:sz w:val="22"/>
          <w:szCs w:val="22"/>
        </w:rPr>
        <w:sectPr w:rsidR="00E23693" w:rsidRPr="00755725" w:rsidSect="00E23693">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701" w:left="1134" w:header="425" w:footer="493" w:gutter="0"/>
          <w:cols w:space="397"/>
          <w:docGrid w:linePitch="360"/>
        </w:sectPr>
      </w:pPr>
      <w:bookmarkStart w:id="4" w:name="_Ref101559337"/>
    </w:p>
    <w:p w14:paraId="4362138F" w14:textId="04754CAF" w:rsidR="004C5415" w:rsidRDefault="004B3D56" w:rsidP="0033484F">
      <w:pPr>
        <w:pStyle w:val="Caption"/>
        <w:spacing w:before="0" w:after="240" w:line="281" w:lineRule="auto"/>
        <w:contextualSpacing w:val="0"/>
        <w:jc w:val="center"/>
        <w:rPr>
          <w:rFonts w:asciiTheme="majorHAnsi" w:hAnsiTheme="majorHAnsi" w:cstheme="majorHAnsi"/>
          <w:sz w:val="22"/>
          <w:szCs w:val="22"/>
        </w:rPr>
      </w:pPr>
      <w:r w:rsidRPr="000B39E6">
        <w:rPr>
          <w:rFonts w:asciiTheme="majorHAnsi" w:hAnsiTheme="majorHAnsi" w:cstheme="majorHAnsi"/>
          <w:sz w:val="22"/>
          <w:szCs w:val="22"/>
        </w:rPr>
        <w:lastRenderedPageBreak/>
        <w:t xml:space="preserve">Figure </w:t>
      </w:r>
      <w:r w:rsidR="00663380" w:rsidRPr="000B39E6">
        <w:rPr>
          <w:rFonts w:asciiTheme="majorHAnsi" w:hAnsiTheme="majorHAnsi" w:cstheme="majorHAnsi"/>
          <w:sz w:val="22"/>
          <w:szCs w:val="22"/>
        </w:rPr>
        <w:fldChar w:fldCharType="begin"/>
      </w:r>
      <w:r w:rsidR="00663380" w:rsidRPr="000B39E6">
        <w:rPr>
          <w:rFonts w:asciiTheme="majorHAnsi" w:hAnsiTheme="majorHAnsi" w:cstheme="majorHAnsi"/>
          <w:sz w:val="22"/>
          <w:szCs w:val="22"/>
        </w:rPr>
        <w:instrText xml:space="preserve"> SEQ Figure \* ARABIC </w:instrText>
      </w:r>
      <w:r w:rsidR="00663380" w:rsidRPr="000B39E6">
        <w:rPr>
          <w:rFonts w:asciiTheme="majorHAnsi" w:hAnsiTheme="majorHAnsi" w:cstheme="majorHAnsi"/>
          <w:sz w:val="22"/>
          <w:szCs w:val="22"/>
        </w:rPr>
        <w:fldChar w:fldCharType="separate"/>
      </w:r>
      <w:r w:rsidR="002A251B">
        <w:rPr>
          <w:rFonts w:asciiTheme="majorHAnsi" w:hAnsiTheme="majorHAnsi" w:cstheme="majorHAnsi"/>
          <w:noProof/>
          <w:sz w:val="22"/>
          <w:szCs w:val="22"/>
        </w:rPr>
        <w:t>1</w:t>
      </w:r>
      <w:r w:rsidR="00663380" w:rsidRPr="000B39E6">
        <w:rPr>
          <w:rFonts w:asciiTheme="majorHAnsi" w:hAnsiTheme="majorHAnsi" w:cstheme="majorHAnsi"/>
          <w:sz w:val="22"/>
          <w:szCs w:val="22"/>
        </w:rPr>
        <w:fldChar w:fldCharType="end"/>
      </w:r>
      <w:bookmarkEnd w:id="4"/>
      <w:r w:rsidR="00815217" w:rsidRPr="000B39E6">
        <w:rPr>
          <w:rFonts w:asciiTheme="majorHAnsi" w:hAnsiTheme="majorHAnsi" w:cstheme="majorHAnsi"/>
          <w:sz w:val="22"/>
          <w:szCs w:val="22"/>
        </w:rPr>
        <w:t xml:space="preserve"> - </w:t>
      </w:r>
      <w:r w:rsidRPr="000B39E6">
        <w:rPr>
          <w:rFonts w:asciiTheme="majorHAnsi" w:hAnsiTheme="majorHAnsi" w:cstheme="majorHAnsi"/>
          <w:sz w:val="22"/>
          <w:szCs w:val="22"/>
        </w:rPr>
        <w:t>Program logic</w:t>
      </w:r>
      <w:r w:rsidR="0033484F">
        <w:rPr>
          <w:rFonts w:asciiTheme="majorHAnsi" w:hAnsiTheme="majorHAnsi" w:cstheme="majorHAnsi"/>
          <w:sz w:val="22"/>
          <w:szCs w:val="22"/>
        </w:rPr>
        <w:t>.</w:t>
      </w:r>
    </w:p>
    <w:p w14:paraId="0B9894C7" w14:textId="77777777" w:rsidR="0098224B" w:rsidRDefault="0098224B" w:rsidP="00330887">
      <w:pPr>
        <w:tabs>
          <w:tab w:val="left" w:pos="284"/>
        </w:tabs>
        <w:spacing w:after="120" w:line="281" w:lineRule="auto"/>
        <w:jc w:val="both"/>
        <w:rPr>
          <w:rFonts w:asciiTheme="majorHAnsi" w:hAnsiTheme="majorHAnsi" w:cstheme="majorHAnsi"/>
          <w:b/>
          <w:bCs/>
          <w:sz w:val="22"/>
          <w:szCs w:val="22"/>
        </w:rPr>
      </w:pPr>
    </w:p>
    <w:p w14:paraId="3E2A1101" w14:textId="05934701" w:rsidR="00E77A35" w:rsidRDefault="00E77A35" w:rsidP="00330887">
      <w:pPr>
        <w:tabs>
          <w:tab w:val="left" w:pos="284"/>
        </w:tabs>
        <w:spacing w:after="120" w:line="281" w:lineRule="auto"/>
        <w:jc w:val="both"/>
        <w:rPr>
          <w:rFonts w:asciiTheme="majorHAnsi" w:hAnsiTheme="majorHAnsi" w:cstheme="majorHAnsi"/>
          <w:b/>
          <w:bCs/>
          <w:sz w:val="22"/>
          <w:szCs w:val="22"/>
        </w:rPr>
        <w:sectPr w:rsidR="00E77A35" w:rsidSect="00E23693">
          <w:pgSz w:w="16838" w:h="11906" w:orient="landscape" w:code="9"/>
          <w:pgMar w:top="1134" w:right="1701" w:bottom="1134" w:left="1418" w:header="425" w:footer="493" w:gutter="0"/>
          <w:cols w:space="397"/>
          <w:docGrid w:linePitch="360"/>
        </w:sectPr>
      </w:pPr>
      <w:r>
        <w:rPr>
          <w:rFonts w:asciiTheme="majorHAnsi" w:hAnsiTheme="majorHAnsi" w:cstheme="majorHAnsi"/>
          <w:b/>
          <w:bCs/>
          <w:noProof/>
          <w:sz w:val="22"/>
          <w:szCs w:val="22"/>
        </w:rPr>
        <w:drawing>
          <wp:inline distT="0" distB="0" distL="0" distR="0" wp14:anchorId="7E17A97B" wp14:editId="6E4AD2BE">
            <wp:extent cx="8675827" cy="5232844"/>
            <wp:effectExtent l="0" t="0" r="0" b="0"/>
            <wp:docPr id="1568741851" name="Picture 1" descr="Diagram of the INOVASI Phase 3 Program Logic starting with the goal, objective, end of program outcomes, intermediate outcomes, strategies and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41851" name="Picture 1" descr="Diagram of the INOVASI Phase 3 Program Logic starting with the goal, objective, end of program outcomes, intermediate outcomes, strategies and principle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06717" cy="5251476"/>
                    </a:xfrm>
                    <a:prstGeom prst="rect">
                      <a:avLst/>
                    </a:prstGeom>
                  </pic:spPr>
                </pic:pic>
              </a:graphicData>
            </a:graphic>
          </wp:inline>
        </w:drawing>
      </w:r>
    </w:p>
    <w:p w14:paraId="2E9B1C99" w14:textId="688CA08D" w:rsidR="004B3D56" w:rsidRPr="00216050" w:rsidRDefault="00510A80" w:rsidP="00216050">
      <w:pPr>
        <w:pStyle w:val="Heading2"/>
        <w:rPr>
          <w:b/>
          <w:bCs/>
          <w:sz w:val="22"/>
          <w:szCs w:val="16"/>
        </w:rPr>
      </w:pPr>
      <w:r w:rsidRPr="00216050">
        <w:rPr>
          <w:b/>
          <w:bCs/>
          <w:caps w:val="0"/>
          <w:sz w:val="22"/>
          <w:szCs w:val="16"/>
        </w:rPr>
        <w:lastRenderedPageBreak/>
        <w:t xml:space="preserve">Goal </w:t>
      </w:r>
      <w:r>
        <w:rPr>
          <w:b/>
          <w:bCs/>
          <w:caps w:val="0"/>
          <w:sz w:val="22"/>
          <w:szCs w:val="16"/>
        </w:rPr>
        <w:t>a</w:t>
      </w:r>
      <w:r w:rsidRPr="00216050">
        <w:rPr>
          <w:b/>
          <w:bCs/>
          <w:caps w:val="0"/>
          <w:sz w:val="22"/>
          <w:szCs w:val="16"/>
        </w:rPr>
        <w:t>nd Objective</w:t>
      </w:r>
    </w:p>
    <w:p w14:paraId="0FA4E018" w14:textId="0CBF959E" w:rsidR="004B3D56" w:rsidRPr="00974377" w:rsidRDefault="004B3D56" w:rsidP="00510A80">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The overarching goal of INOVASI Phase 3 is: ‘</w:t>
      </w:r>
      <w:r w:rsidRPr="009E7871">
        <w:rPr>
          <w:rFonts w:asciiTheme="majorHAnsi" w:hAnsiTheme="majorHAnsi" w:cstheme="majorHAnsi"/>
          <w:i/>
          <w:iCs/>
          <w:sz w:val="22"/>
          <w:szCs w:val="22"/>
        </w:rPr>
        <w:t>Improved learning and achievement of foundational skills for all Indonesian primary students</w:t>
      </w:r>
      <w:r w:rsidRPr="00974377">
        <w:rPr>
          <w:rFonts w:asciiTheme="majorHAnsi" w:hAnsiTheme="majorHAnsi" w:cstheme="majorHAnsi"/>
          <w:sz w:val="22"/>
          <w:szCs w:val="22"/>
        </w:rPr>
        <w:t>.’</w:t>
      </w:r>
    </w:p>
    <w:p w14:paraId="7CABB0E0" w14:textId="7746008F" w:rsidR="004B3D56" w:rsidRPr="00974377" w:rsidRDefault="004B3D56" w:rsidP="00510A80">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This goal situates the program in the Indonesian education sector. In line with bilateral commitments and </w:t>
      </w:r>
      <w:proofErr w:type="spellStart"/>
      <w:r w:rsidRPr="00974377">
        <w:rPr>
          <w:rFonts w:asciiTheme="majorHAnsi" w:hAnsiTheme="majorHAnsi" w:cstheme="majorHAnsi"/>
          <w:sz w:val="22"/>
          <w:szCs w:val="22"/>
        </w:rPr>
        <w:t>GoI</w:t>
      </w:r>
      <w:proofErr w:type="spellEnd"/>
      <w:r w:rsidRPr="00974377">
        <w:rPr>
          <w:rFonts w:asciiTheme="majorHAnsi" w:hAnsiTheme="majorHAnsi" w:cstheme="majorHAnsi"/>
          <w:sz w:val="22"/>
          <w:szCs w:val="22"/>
        </w:rPr>
        <w:t xml:space="preserve"> priorities, it reflects the program focus on 1) the learning agenda, 2) foundational skills identified by </w:t>
      </w:r>
      <w:proofErr w:type="spellStart"/>
      <w:r w:rsidRPr="00974377">
        <w:rPr>
          <w:rFonts w:asciiTheme="majorHAnsi" w:hAnsiTheme="majorHAnsi" w:cstheme="majorHAnsi"/>
          <w:sz w:val="22"/>
          <w:szCs w:val="22"/>
        </w:rPr>
        <w:t>GoI</w:t>
      </w:r>
      <w:proofErr w:type="spellEnd"/>
      <w:r w:rsidRPr="00974377">
        <w:rPr>
          <w:rFonts w:asciiTheme="majorHAnsi" w:hAnsiTheme="majorHAnsi" w:cstheme="majorHAnsi"/>
          <w:sz w:val="22"/>
          <w:szCs w:val="22"/>
        </w:rPr>
        <w:t xml:space="preserve"> as literacy, numeracy</w:t>
      </w:r>
      <w:r w:rsidR="00C62B9D">
        <w:rPr>
          <w:rFonts w:asciiTheme="majorHAnsi" w:hAnsiTheme="majorHAnsi" w:cstheme="majorHAnsi"/>
          <w:sz w:val="22"/>
          <w:szCs w:val="22"/>
        </w:rPr>
        <w:t>,</w:t>
      </w:r>
      <w:r w:rsidRPr="00974377">
        <w:rPr>
          <w:rFonts w:asciiTheme="majorHAnsi" w:hAnsiTheme="majorHAnsi" w:cstheme="majorHAnsi"/>
          <w:sz w:val="22"/>
          <w:szCs w:val="22"/>
        </w:rPr>
        <w:t xml:space="preserve"> and character building, 3) the primary education sub-sector and 4) the inclusiveness of all Indonesian students. It continues to define the desired direction of Indonesia’s primary education subsector as being inclusive and benefiting all Indonesian students.</w:t>
      </w:r>
    </w:p>
    <w:p w14:paraId="61AD8865" w14:textId="77777777" w:rsidR="004B3D56" w:rsidRPr="00974377" w:rsidRDefault="004B3D56" w:rsidP="00510A80">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The program objective is: ‘</w:t>
      </w:r>
      <w:r w:rsidRPr="009E7871">
        <w:rPr>
          <w:rFonts w:asciiTheme="majorHAnsi" w:hAnsiTheme="majorHAnsi" w:cstheme="majorHAnsi"/>
          <w:i/>
          <w:iCs/>
          <w:sz w:val="22"/>
          <w:szCs w:val="22"/>
        </w:rPr>
        <w:t>Australia</w:t>
      </w:r>
      <w:r w:rsidRPr="00974377">
        <w:rPr>
          <w:rFonts w:asciiTheme="majorHAnsi" w:hAnsiTheme="majorHAnsi" w:cstheme="majorHAnsi"/>
          <w:sz w:val="22"/>
          <w:szCs w:val="22"/>
        </w:rPr>
        <w:t xml:space="preserve"> </w:t>
      </w:r>
      <w:r w:rsidRPr="009E7871">
        <w:rPr>
          <w:rFonts w:asciiTheme="majorHAnsi" w:hAnsiTheme="majorHAnsi" w:cstheme="majorHAnsi"/>
          <w:i/>
          <w:iCs/>
          <w:sz w:val="22"/>
          <w:szCs w:val="22"/>
        </w:rPr>
        <w:t>supports Government of Indonesia to implement inclusive primary education policies and practices for foundational skills nationwide</w:t>
      </w:r>
      <w:r w:rsidRPr="00974377">
        <w:rPr>
          <w:rFonts w:asciiTheme="majorHAnsi" w:hAnsiTheme="majorHAnsi" w:cstheme="majorHAnsi"/>
          <w:sz w:val="22"/>
          <w:szCs w:val="22"/>
        </w:rPr>
        <w:t xml:space="preserve">.’ </w:t>
      </w:r>
    </w:p>
    <w:p w14:paraId="6432F1DE" w14:textId="6F56942D" w:rsidR="004B3D56" w:rsidRPr="00974377" w:rsidRDefault="004B3D56" w:rsidP="00510A80">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This </w:t>
      </w:r>
      <w:r w:rsidR="0082545A">
        <w:rPr>
          <w:rFonts w:asciiTheme="majorHAnsi" w:hAnsiTheme="majorHAnsi" w:cstheme="majorHAnsi"/>
          <w:sz w:val="22"/>
          <w:szCs w:val="22"/>
        </w:rPr>
        <w:t>objective</w:t>
      </w:r>
      <w:r w:rsidR="0082545A" w:rsidRPr="00974377">
        <w:rPr>
          <w:rFonts w:asciiTheme="majorHAnsi" w:hAnsiTheme="majorHAnsi" w:cstheme="majorHAnsi"/>
          <w:sz w:val="22"/>
          <w:szCs w:val="22"/>
        </w:rPr>
        <w:t xml:space="preserve"> </w:t>
      </w:r>
      <w:r w:rsidRPr="00974377">
        <w:rPr>
          <w:rFonts w:asciiTheme="majorHAnsi" w:hAnsiTheme="majorHAnsi" w:cstheme="majorHAnsi"/>
          <w:sz w:val="22"/>
          <w:szCs w:val="22"/>
        </w:rPr>
        <w:t xml:space="preserve">reflects Australia’s desire and ambition to remain a strategic partner for </w:t>
      </w:r>
      <w:proofErr w:type="spellStart"/>
      <w:r w:rsidRPr="00974377">
        <w:rPr>
          <w:rFonts w:asciiTheme="majorHAnsi" w:hAnsiTheme="majorHAnsi" w:cstheme="majorHAnsi"/>
          <w:sz w:val="22"/>
          <w:szCs w:val="22"/>
        </w:rPr>
        <w:t>GoI</w:t>
      </w:r>
      <w:proofErr w:type="spellEnd"/>
      <w:r w:rsidRPr="00974377">
        <w:rPr>
          <w:rFonts w:asciiTheme="majorHAnsi" w:hAnsiTheme="majorHAnsi" w:cstheme="majorHAnsi"/>
          <w:sz w:val="22"/>
          <w:szCs w:val="22"/>
        </w:rPr>
        <w:t xml:space="preserve"> in the education sector. It positions INOVASI Phase 3 as a catalytic vehicle to support the nationwide implementation of inclusive education policies and practices, best and most recently articulated by the </w:t>
      </w:r>
      <w:r w:rsidRPr="00974377">
        <w:rPr>
          <w:rFonts w:asciiTheme="majorHAnsi" w:hAnsiTheme="majorHAnsi" w:cstheme="majorHAnsi"/>
          <w:i/>
          <w:iCs/>
          <w:sz w:val="22"/>
          <w:szCs w:val="22"/>
        </w:rPr>
        <w:t xml:space="preserve">Merdeka </w:t>
      </w:r>
      <w:proofErr w:type="spellStart"/>
      <w:r w:rsidRPr="00974377">
        <w:rPr>
          <w:rFonts w:asciiTheme="majorHAnsi" w:hAnsiTheme="majorHAnsi" w:cstheme="majorHAnsi"/>
          <w:i/>
          <w:iCs/>
          <w:sz w:val="22"/>
          <w:szCs w:val="22"/>
        </w:rPr>
        <w:t>Belajar</w:t>
      </w:r>
      <w:proofErr w:type="spellEnd"/>
      <w:r w:rsidRPr="00974377">
        <w:rPr>
          <w:rFonts w:asciiTheme="majorHAnsi" w:hAnsiTheme="majorHAnsi" w:cstheme="majorHAnsi"/>
          <w:i/>
          <w:iCs/>
          <w:sz w:val="22"/>
          <w:szCs w:val="22"/>
        </w:rPr>
        <w:t xml:space="preserve"> </w:t>
      </w:r>
      <w:r w:rsidRPr="00974377">
        <w:rPr>
          <w:rFonts w:asciiTheme="majorHAnsi" w:hAnsiTheme="majorHAnsi" w:cstheme="majorHAnsi"/>
          <w:sz w:val="22"/>
          <w:szCs w:val="22"/>
        </w:rPr>
        <w:t xml:space="preserve">reform agenda. It also recognises that the nationwide scale up of reforms is a responsibility </w:t>
      </w:r>
      <w:r w:rsidR="00AC6ADC" w:rsidRPr="00974377">
        <w:rPr>
          <w:rFonts w:asciiTheme="majorHAnsi" w:hAnsiTheme="majorHAnsi" w:cstheme="majorHAnsi"/>
          <w:sz w:val="22"/>
          <w:szCs w:val="22"/>
        </w:rPr>
        <w:t>of the</w:t>
      </w:r>
      <w:r w:rsidRPr="00974377">
        <w:rPr>
          <w:rFonts w:asciiTheme="majorHAnsi" w:hAnsiTheme="majorHAnsi" w:cstheme="majorHAnsi"/>
          <w:sz w:val="22"/>
          <w:szCs w:val="22"/>
        </w:rPr>
        <w:t xml:space="preserve"> </w:t>
      </w:r>
      <w:proofErr w:type="spellStart"/>
      <w:r w:rsidRPr="00974377">
        <w:rPr>
          <w:rFonts w:asciiTheme="majorHAnsi" w:hAnsiTheme="majorHAnsi" w:cstheme="majorHAnsi"/>
          <w:sz w:val="22"/>
          <w:szCs w:val="22"/>
        </w:rPr>
        <w:t>GoI</w:t>
      </w:r>
      <w:proofErr w:type="spellEnd"/>
      <w:r w:rsidRPr="00974377">
        <w:rPr>
          <w:rFonts w:asciiTheme="majorHAnsi" w:hAnsiTheme="majorHAnsi" w:cstheme="majorHAnsi"/>
          <w:sz w:val="22"/>
          <w:szCs w:val="22"/>
        </w:rPr>
        <w:t>, that sits outside the program’s accountability.</w:t>
      </w:r>
    </w:p>
    <w:p w14:paraId="1175B9BA" w14:textId="7D6D4743" w:rsidR="004B3D56" w:rsidRPr="00216050" w:rsidRDefault="00510A80" w:rsidP="00216050">
      <w:pPr>
        <w:pStyle w:val="Heading2"/>
        <w:rPr>
          <w:b/>
          <w:bCs/>
          <w:sz w:val="22"/>
          <w:szCs w:val="16"/>
        </w:rPr>
      </w:pPr>
      <w:r w:rsidRPr="00216050">
        <w:rPr>
          <w:b/>
          <w:bCs/>
          <w:caps w:val="0"/>
          <w:sz w:val="22"/>
          <w:szCs w:val="16"/>
        </w:rPr>
        <w:t xml:space="preserve">Outcomes </w:t>
      </w:r>
    </w:p>
    <w:p w14:paraId="6C62D382" w14:textId="09074584" w:rsidR="004B3D56" w:rsidRDefault="004B3D56" w:rsidP="00510A80">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To contribute to the objective, the program </w:t>
      </w:r>
      <w:r w:rsidR="00AC6ADC" w:rsidRPr="00974377">
        <w:rPr>
          <w:rFonts w:asciiTheme="majorHAnsi" w:hAnsiTheme="majorHAnsi" w:cstheme="majorHAnsi"/>
          <w:sz w:val="22"/>
          <w:szCs w:val="22"/>
        </w:rPr>
        <w:t xml:space="preserve">has </w:t>
      </w:r>
      <w:r w:rsidRPr="00974377">
        <w:rPr>
          <w:rFonts w:asciiTheme="majorHAnsi" w:hAnsiTheme="majorHAnsi" w:cstheme="majorHAnsi"/>
          <w:sz w:val="22"/>
          <w:szCs w:val="22"/>
        </w:rPr>
        <w:t>two end of program outcomes (EOPOs) that are expected to be achieved by the end of the eight years of implementation.</w:t>
      </w:r>
    </w:p>
    <w:p w14:paraId="4BA0F0DE" w14:textId="6DA32582" w:rsidR="00D52411" w:rsidRPr="0037632D" w:rsidRDefault="00D52411" w:rsidP="00510A80">
      <w:pPr>
        <w:pStyle w:val="BodyText"/>
        <w:spacing w:after="120" w:line="281" w:lineRule="auto"/>
        <w:rPr>
          <w:rFonts w:asciiTheme="majorHAnsi" w:hAnsiTheme="majorHAnsi" w:cstheme="majorHAnsi"/>
          <w:b/>
          <w:bCs/>
          <w:i/>
          <w:iCs/>
          <w:sz w:val="22"/>
          <w:szCs w:val="22"/>
        </w:rPr>
      </w:pPr>
      <w:r w:rsidRPr="0037632D">
        <w:rPr>
          <w:rFonts w:asciiTheme="majorHAnsi" w:hAnsiTheme="majorHAnsi" w:cstheme="majorHAnsi"/>
          <w:b/>
          <w:bCs/>
          <w:i/>
          <w:iCs/>
          <w:sz w:val="22"/>
          <w:szCs w:val="22"/>
        </w:rPr>
        <w:t>EOPO 1 - By 2031, targeted national and sub-national stakeholders develop and/or implement inclusive education policies and systems that support foundational skills for all primary students, including children with disabilities.</w:t>
      </w:r>
    </w:p>
    <w:p w14:paraId="0AE752BB" w14:textId="0B987E21" w:rsidR="004B3D56" w:rsidRPr="00974377" w:rsidRDefault="004B3D56" w:rsidP="00C52498">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Building on the previous phase, this outcome sets </w:t>
      </w:r>
      <w:r w:rsidR="00817EB4">
        <w:rPr>
          <w:rFonts w:asciiTheme="majorHAnsi" w:hAnsiTheme="majorHAnsi" w:cstheme="majorHAnsi"/>
          <w:sz w:val="22"/>
          <w:szCs w:val="22"/>
        </w:rPr>
        <w:t xml:space="preserve">out the </w:t>
      </w:r>
      <w:r w:rsidRPr="00974377">
        <w:rPr>
          <w:rFonts w:asciiTheme="majorHAnsi" w:hAnsiTheme="majorHAnsi" w:cstheme="majorHAnsi"/>
          <w:sz w:val="22"/>
          <w:szCs w:val="22"/>
        </w:rPr>
        <w:t xml:space="preserve">program’s desired achievements on education policies and systems, with a focus on inclusive policies for the attainment of foundational skills.  </w:t>
      </w:r>
      <w:r w:rsidR="00250948">
        <w:rPr>
          <w:rFonts w:asciiTheme="majorHAnsi" w:hAnsiTheme="majorHAnsi" w:cstheme="majorHAnsi"/>
          <w:sz w:val="22"/>
          <w:szCs w:val="22"/>
        </w:rPr>
        <w:t>T</w:t>
      </w:r>
      <w:r w:rsidRPr="00974377">
        <w:rPr>
          <w:rFonts w:asciiTheme="majorHAnsi" w:hAnsiTheme="majorHAnsi" w:cstheme="majorHAnsi"/>
          <w:sz w:val="22"/>
          <w:szCs w:val="22"/>
        </w:rPr>
        <w:t xml:space="preserve">he program will focus on its implementation </w:t>
      </w:r>
      <w:r w:rsidR="00D25D9C">
        <w:rPr>
          <w:rFonts w:asciiTheme="majorHAnsi" w:hAnsiTheme="majorHAnsi" w:cstheme="majorHAnsi"/>
          <w:sz w:val="22"/>
          <w:szCs w:val="22"/>
        </w:rPr>
        <w:t>and</w:t>
      </w:r>
      <w:r w:rsidR="00D54324" w:rsidRPr="00974377">
        <w:rPr>
          <w:rFonts w:asciiTheme="majorHAnsi" w:hAnsiTheme="majorHAnsi" w:cstheme="majorHAnsi"/>
          <w:sz w:val="22"/>
          <w:szCs w:val="22"/>
        </w:rPr>
        <w:t xml:space="preserve"> </w:t>
      </w:r>
      <w:r w:rsidRPr="00974377">
        <w:rPr>
          <w:rFonts w:asciiTheme="majorHAnsi" w:hAnsiTheme="majorHAnsi" w:cstheme="majorHAnsi"/>
          <w:sz w:val="22"/>
          <w:szCs w:val="22"/>
        </w:rPr>
        <w:t>bridg</w:t>
      </w:r>
      <w:r w:rsidR="00D25D9C">
        <w:rPr>
          <w:rFonts w:asciiTheme="majorHAnsi" w:hAnsiTheme="majorHAnsi" w:cstheme="majorHAnsi"/>
          <w:sz w:val="22"/>
          <w:szCs w:val="22"/>
        </w:rPr>
        <w:t>ing</w:t>
      </w:r>
      <w:r w:rsidRPr="00974377">
        <w:rPr>
          <w:rFonts w:asciiTheme="majorHAnsi" w:hAnsiTheme="majorHAnsi" w:cstheme="majorHAnsi"/>
          <w:sz w:val="22"/>
          <w:szCs w:val="22"/>
        </w:rPr>
        <w:t xml:space="preserve"> the policy to practice gap within targeted areas (see targeting strategy below). </w:t>
      </w:r>
      <w:r w:rsidRPr="007B0F1C">
        <w:rPr>
          <w:rFonts w:asciiTheme="majorHAnsi" w:hAnsiTheme="majorHAnsi" w:cstheme="majorHAnsi"/>
          <w:sz w:val="22"/>
          <w:szCs w:val="22"/>
        </w:rPr>
        <w:t xml:space="preserve">This will require increased engagement at sub-national level to support the </w:t>
      </w:r>
      <w:r w:rsidR="00550809" w:rsidRPr="007B0F1C">
        <w:rPr>
          <w:rFonts w:asciiTheme="majorHAnsi" w:hAnsiTheme="majorHAnsi" w:cstheme="majorHAnsi"/>
          <w:sz w:val="22"/>
          <w:szCs w:val="22"/>
        </w:rPr>
        <w:t>collaborative</w:t>
      </w:r>
      <w:r w:rsidR="00C06BC2" w:rsidRPr="007B0F1C">
        <w:rPr>
          <w:rFonts w:asciiTheme="majorHAnsi" w:hAnsiTheme="majorHAnsi" w:cstheme="majorHAnsi"/>
          <w:sz w:val="22"/>
          <w:szCs w:val="22"/>
        </w:rPr>
        <w:t xml:space="preserve"> </w:t>
      </w:r>
      <w:r w:rsidRPr="007B0F1C">
        <w:rPr>
          <w:rFonts w:asciiTheme="majorHAnsi" w:hAnsiTheme="majorHAnsi" w:cstheme="majorHAnsi"/>
          <w:sz w:val="22"/>
          <w:szCs w:val="22"/>
        </w:rPr>
        <w:t>development of</w:t>
      </w:r>
      <w:r w:rsidR="007E2CB4" w:rsidRPr="007B0F1C">
        <w:rPr>
          <w:rFonts w:asciiTheme="majorHAnsi" w:hAnsiTheme="majorHAnsi" w:cstheme="majorHAnsi"/>
          <w:sz w:val="22"/>
          <w:szCs w:val="22"/>
        </w:rPr>
        <w:t xml:space="preserve"> </w:t>
      </w:r>
      <w:r w:rsidRPr="007B0F1C">
        <w:rPr>
          <w:rFonts w:asciiTheme="majorHAnsi" w:hAnsiTheme="majorHAnsi" w:cstheme="majorHAnsi"/>
          <w:sz w:val="22"/>
          <w:szCs w:val="22"/>
        </w:rPr>
        <w:t xml:space="preserve">institutional capacities </w:t>
      </w:r>
      <w:r w:rsidR="00C06BC2" w:rsidRPr="007B0F1C">
        <w:rPr>
          <w:rFonts w:asciiTheme="majorHAnsi" w:hAnsiTheme="majorHAnsi" w:cstheme="majorHAnsi"/>
          <w:sz w:val="22"/>
          <w:szCs w:val="22"/>
        </w:rPr>
        <w:t>to deliver the reforms</w:t>
      </w:r>
      <w:r w:rsidR="009E7871" w:rsidRPr="007B0F1C">
        <w:rPr>
          <w:rFonts w:asciiTheme="majorHAnsi" w:hAnsiTheme="majorHAnsi" w:cstheme="majorHAnsi"/>
          <w:sz w:val="22"/>
          <w:szCs w:val="22"/>
        </w:rPr>
        <w:t>,</w:t>
      </w:r>
      <w:r w:rsidR="00C06BC2" w:rsidRPr="007B0F1C">
        <w:rPr>
          <w:rFonts w:asciiTheme="majorHAnsi" w:hAnsiTheme="majorHAnsi" w:cstheme="majorHAnsi"/>
          <w:sz w:val="22"/>
          <w:szCs w:val="22"/>
        </w:rPr>
        <w:t xml:space="preserve"> as well as </w:t>
      </w:r>
      <w:r w:rsidRPr="007B0F1C">
        <w:rPr>
          <w:rFonts w:asciiTheme="majorHAnsi" w:hAnsiTheme="majorHAnsi" w:cstheme="majorHAnsi"/>
          <w:sz w:val="22"/>
          <w:szCs w:val="22"/>
        </w:rPr>
        <w:t xml:space="preserve">the testing of localised solutions in targeted </w:t>
      </w:r>
      <w:r w:rsidR="00EB7443" w:rsidRPr="00EA46CE">
        <w:rPr>
          <w:rFonts w:asciiTheme="majorHAnsi" w:hAnsiTheme="majorHAnsi" w:cstheme="majorHAnsi"/>
          <w:sz w:val="22"/>
          <w:szCs w:val="22"/>
        </w:rPr>
        <w:t>districts</w:t>
      </w:r>
      <w:r w:rsidRPr="007B0F1C">
        <w:rPr>
          <w:rFonts w:asciiTheme="majorHAnsi" w:hAnsiTheme="majorHAnsi" w:cstheme="majorHAnsi"/>
          <w:sz w:val="22"/>
          <w:szCs w:val="22"/>
        </w:rPr>
        <w:t>. Institutions supported will include district authorities, the recently established provincial institutions for quality and teacher support</w:t>
      </w:r>
      <w:r w:rsidR="00EE0821" w:rsidRPr="00EA46CE">
        <w:rPr>
          <w:rStyle w:val="FootnoteReference"/>
          <w:rFonts w:asciiTheme="majorHAnsi" w:hAnsiTheme="majorHAnsi" w:cstheme="majorHAnsi"/>
          <w:sz w:val="22"/>
          <w:szCs w:val="22"/>
        </w:rPr>
        <w:footnoteReference w:id="26"/>
      </w:r>
      <w:r w:rsidRPr="007B0F1C">
        <w:rPr>
          <w:rFonts w:asciiTheme="majorHAnsi" w:hAnsiTheme="majorHAnsi" w:cstheme="majorHAnsi"/>
          <w:sz w:val="22"/>
          <w:szCs w:val="22"/>
        </w:rPr>
        <w:t xml:space="preserve">, and provincial Universities’ </w:t>
      </w:r>
      <w:r w:rsidR="00041A76" w:rsidRPr="00EA46CE">
        <w:rPr>
          <w:rFonts w:asciiTheme="majorHAnsi" w:hAnsiTheme="majorHAnsi" w:cstheme="majorHAnsi"/>
          <w:sz w:val="22"/>
          <w:szCs w:val="22"/>
        </w:rPr>
        <w:t>Teacher Training Institutions</w:t>
      </w:r>
      <w:r w:rsidRPr="007B0F1C">
        <w:rPr>
          <w:rFonts w:asciiTheme="majorHAnsi" w:hAnsiTheme="majorHAnsi" w:cstheme="majorHAnsi"/>
          <w:sz w:val="22"/>
          <w:szCs w:val="22"/>
        </w:rPr>
        <w:t xml:space="preserve"> </w:t>
      </w:r>
      <w:r w:rsidR="00540116" w:rsidRPr="007B0F1C">
        <w:rPr>
          <w:rFonts w:asciiTheme="majorHAnsi" w:hAnsiTheme="majorHAnsi" w:cstheme="majorHAnsi"/>
          <w:sz w:val="22"/>
          <w:szCs w:val="22"/>
        </w:rPr>
        <w:t>that can</w:t>
      </w:r>
      <w:r w:rsidR="00F34CD6" w:rsidRPr="007B0F1C">
        <w:rPr>
          <w:rFonts w:asciiTheme="majorHAnsi" w:hAnsiTheme="majorHAnsi" w:cstheme="majorHAnsi"/>
          <w:sz w:val="22"/>
          <w:szCs w:val="22"/>
        </w:rPr>
        <w:t xml:space="preserve"> </w:t>
      </w:r>
      <w:r w:rsidRPr="007B0F1C">
        <w:rPr>
          <w:rFonts w:asciiTheme="majorHAnsi" w:hAnsiTheme="majorHAnsi" w:cstheme="majorHAnsi"/>
          <w:sz w:val="22"/>
          <w:szCs w:val="22"/>
        </w:rPr>
        <w:t>provide valuable support for teachers professional training and development</w:t>
      </w:r>
      <w:r w:rsidRPr="007B0F1C">
        <w:rPr>
          <w:rFonts w:asciiTheme="majorHAnsi" w:hAnsiTheme="majorHAnsi" w:cstheme="majorHAnsi"/>
          <w:b/>
          <w:bCs/>
          <w:i/>
          <w:iCs/>
          <w:sz w:val="22"/>
          <w:szCs w:val="22"/>
        </w:rPr>
        <w:t>.</w:t>
      </w:r>
      <w:r w:rsidRPr="007B0F1C">
        <w:rPr>
          <w:rFonts w:asciiTheme="majorHAnsi" w:hAnsiTheme="majorHAnsi" w:cstheme="majorHAnsi"/>
          <w:sz w:val="22"/>
          <w:szCs w:val="22"/>
        </w:rPr>
        <w:t xml:space="preserve"> Importantly, the program will not only support the capacity development of individual institutions, but also and mainly </w:t>
      </w:r>
      <w:r w:rsidR="00540116" w:rsidRPr="007B0F1C">
        <w:rPr>
          <w:rFonts w:asciiTheme="majorHAnsi" w:hAnsiTheme="majorHAnsi" w:cstheme="majorHAnsi"/>
          <w:sz w:val="22"/>
          <w:szCs w:val="22"/>
        </w:rPr>
        <w:t xml:space="preserve">their </w:t>
      </w:r>
      <w:r w:rsidRPr="007B0F1C">
        <w:rPr>
          <w:rFonts w:asciiTheme="majorHAnsi" w:hAnsiTheme="majorHAnsi" w:cstheme="majorHAnsi"/>
          <w:sz w:val="22"/>
          <w:szCs w:val="22"/>
        </w:rPr>
        <w:t xml:space="preserve">collective – or ecosystemic – capacities, </w:t>
      </w:r>
      <w:r w:rsidR="00F34CD6" w:rsidRPr="007B0F1C">
        <w:rPr>
          <w:rFonts w:asciiTheme="majorHAnsi" w:hAnsiTheme="majorHAnsi" w:cstheme="majorHAnsi"/>
          <w:sz w:val="22"/>
          <w:szCs w:val="22"/>
        </w:rPr>
        <w:t>that is</w:t>
      </w:r>
      <w:r w:rsidRPr="007B0F1C">
        <w:rPr>
          <w:rFonts w:asciiTheme="majorHAnsi" w:hAnsiTheme="majorHAnsi" w:cstheme="majorHAnsi"/>
          <w:sz w:val="22"/>
          <w:szCs w:val="22"/>
        </w:rPr>
        <w:t xml:space="preserve"> the strengthening of relationships and the emergence of shared potential between relevant institutions in targeted </w:t>
      </w:r>
      <w:r w:rsidR="00EB7443" w:rsidRPr="00EA46CE">
        <w:rPr>
          <w:rFonts w:asciiTheme="majorHAnsi" w:hAnsiTheme="majorHAnsi" w:cstheme="majorHAnsi"/>
          <w:sz w:val="22"/>
          <w:szCs w:val="22"/>
        </w:rPr>
        <w:t>district</w:t>
      </w:r>
      <w:r w:rsidR="00EB7443" w:rsidRPr="007B0F1C">
        <w:rPr>
          <w:rFonts w:asciiTheme="majorHAnsi" w:hAnsiTheme="majorHAnsi" w:cstheme="majorHAnsi"/>
          <w:sz w:val="22"/>
          <w:szCs w:val="22"/>
        </w:rPr>
        <w:t xml:space="preserve">s </w:t>
      </w:r>
      <w:r w:rsidRPr="007B0F1C">
        <w:rPr>
          <w:rFonts w:asciiTheme="majorHAnsi" w:hAnsiTheme="majorHAnsi" w:cstheme="majorHAnsi"/>
          <w:sz w:val="22"/>
          <w:szCs w:val="22"/>
        </w:rPr>
        <w:t>(see strategies below).</w:t>
      </w:r>
    </w:p>
    <w:p w14:paraId="675D95D7" w14:textId="66179A1B" w:rsidR="004B3D56" w:rsidRDefault="004B3D56" w:rsidP="00C52498">
      <w:pPr>
        <w:pStyle w:val="BodyText"/>
        <w:spacing w:after="120" w:line="281" w:lineRule="auto"/>
        <w:rPr>
          <w:rFonts w:asciiTheme="majorHAnsi" w:hAnsiTheme="majorHAnsi" w:cstheme="majorHAnsi"/>
          <w:sz w:val="22"/>
          <w:szCs w:val="22"/>
        </w:rPr>
      </w:pPr>
      <w:r w:rsidRPr="00D25D9C">
        <w:rPr>
          <w:rFonts w:asciiTheme="majorHAnsi" w:hAnsiTheme="majorHAnsi" w:cstheme="majorHAnsi"/>
          <w:sz w:val="22"/>
          <w:szCs w:val="22"/>
        </w:rPr>
        <w:t>Although the focus will be on policy implementation, INOVASI</w:t>
      </w:r>
      <w:r w:rsidRPr="00974377">
        <w:rPr>
          <w:rFonts w:asciiTheme="majorHAnsi" w:hAnsiTheme="majorHAnsi" w:cstheme="majorHAnsi"/>
          <w:sz w:val="22"/>
          <w:szCs w:val="22"/>
        </w:rPr>
        <w:t xml:space="preserve"> Phase 3 will remain involved in supporting </w:t>
      </w:r>
      <w:r w:rsidR="00250948">
        <w:rPr>
          <w:rFonts w:asciiTheme="majorHAnsi" w:hAnsiTheme="majorHAnsi" w:cstheme="majorHAnsi"/>
          <w:sz w:val="22"/>
          <w:szCs w:val="22"/>
        </w:rPr>
        <w:t xml:space="preserve">relevant </w:t>
      </w:r>
      <w:r w:rsidRPr="00974377">
        <w:rPr>
          <w:rFonts w:asciiTheme="majorHAnsi" w:hAnsiTheme="majorHAnsi" w:cstheme="majorHAnsi"/>
          <w:sz w:val="22"/>
          <w:szCs w:val="22"/>
        </w:rPr>
        <w:t xml:space="preserve">policy development. The reforms are indeed still under development and there are areas of interest where the existing policy framework </w:t>
      </w:r>
      <w:r w:rsidR="009E7871">
        <w:rPr>
          <w:rFonts w:asciiTheme="majorHAnsi" w:hAnsiTheme="majorHAnsi" w:cstheme="majorHAnsi"/>
          <w:sz w:val="22"/>
          <w:szCs w:val="22"/>
        </w:rPr>
        <w:t>can</w:t>
      </w:r>
      <w:r w:rsidRPr="00974377">
        <w:rPr>
          <w:rFonts w:asciiTheme="majorHAnsi" w:hAnsiTheme="majorHAnsi" w:cstheme="majorHAnsi"/>
          <w:sz w:val="22"/>
          <w:szCs w:val="22"/>
        </w:rPr>
        <w:t xml:space="preserve"> be improved to help achieve the reform</w:t>
      </w:r>
      <w:r w:rsidR="009E7871">
        <w:rPr>
          <w:rFonts w:asciiTheme="majorHAnsi" w:hAnsiTheme="majorHAnsi" w:cstheme="majorHAnsi"/>
          <w:sz w:val="22"/>
          <w:szCs w:val="22"/>
        </w:rPr>
        <w:t>s’</w:t>
      </w:r>
      <w:r w:rsidRPr="00974377">
        <w:rPr>
          <w:rFonts w:asciiTheme="majorHAnsi" w:hAnsiTheme="majorHAnsi" w:cstheme="majorHAnsi"/>
          <w:sz w:val="22"/>
          <w:szCs w:val="22"/>
        </w:rPr>
        <w:t xml:space="preserve"> strategic objectives. </w:t>
      </w:r>
      <w:r w:rsidR="009E7871">
        <w:rPr>
          <w:rFonts w:asciiTheme="majorHAnsi" w:hAnsiTheme="majorHAnsi" w:cstheme="majorHAnsi"/>
          <w:sz w:val="22"/>
          <w:szCs w:val="22"/>
        </w:rPr>
        <w:t>T</w:t>
      </w:r>
      <w:r w:rsidR="00BB5E91">
        <w:rPr>
          <w:rFonts w:asciiTheme="majorHAnsi" w:hAnsiTheme="majorHAnsi" w:cstheme="majorHAnsi"/>
          <w:sz w:val="22"/>
          <w:szCs w:val="22"/>
        </w:rPr>
        <w:t xml:space="preserve">he Ministry </w:t>
      </w:r>
      <w:r w:rsidR="002D7472">
        <w:rPr>
          <w:rFonts w:asciiTheme="majorHAnsi" w:hAnsiTheme="majorHAnsi" w:cstheme="majorHAnsi"/>
          <w:sz w:val="22"/>
          <w:szCs w:val="22"/>
        </w:rPr>
        <w:t>conceptualises</w:t>
      </w:r>
      <w:r w:rsidR="00BB5E91">
        <w:rPr>
          <w:rFonts w:asciiTheme="majorHAnsi" w:hAnsiTheme="majorHAnsi" w:cstheme="majorHAnsi"/>
          <w:sz w:val="22"/>
          <w:szCs w:val="22"/>
        </w:rPr>
        <w:t xml:space="preserve"> curriculum reform </w:t>
      </w:r>
      <w:r w:rsidR="002D7472">
        <w:rPr>
          <w:rFonts w:asciiTheme="majorHAnsi" w:hAnsiTheme="majorHAnsi" w:cstheme="majorHAnsi"/>
          <w:sz w:val="22"/>
          <w:szCs w:val="22"/>
        </w:rPr>
        <w:t>a</w:t>
      </w:r>
      <w:r w:rsidR="00BB5E91">
        <w:rPr>
          <w:rFonts w:asciiTheme="majorHAnsi" w:hAnsiTheme="majorHAnsi" w:cstheme="majorHAnsi"/>
          <w:sz w:val="22"/>
          <w:szCs w:val="22"/>
        </w:rPr>
        <w:t>s an iterative process</w:t>
      </w:r>
      <w:r w:rsidR="00D25D9C">
        <w:rPr>
          <w:rFonts w:asciiTheme="majorHAnsi" w:hAnsiTheme="majorHAnsi" w:cstheme="majorHAnsi"/>
          <w:sz w:val="22"/>
          <w:szCs w:val="22"/>
        </w:rPr>
        <w:t>,</w:t>
      </w:r>
      <w:r w:rsidR="00BB5E91">
        <w:rPr>
          <w:rFonts w:asciiTheme="majorHAnsi" w:hAnsiTheme="majorHAnsi" w:cstheme="majorHAnsi"/>
          <w:sz w:val="22"/>
          <w:szCs w:val="22"/>
        </w:rPr>
        <w:t xml:space="preserve"> and the program will play </w:t>
      </w:r>
      <w:r w:rsidR="00BB5E91">
        <w:rPr>
          <w:rFonts w:asciiTheme="majorHAnsi" w:hAnsiTheme="majorHAnsi" w:cstheme="majorHAnsi"/>
          <w:sz w:val="22"/>
          <w:szCs w:val="22"/>
        </w:rPr>
        <w:lastRenderedPageBreak/>
        <w:t xml:space="preserve">an important role in monitoring </w:t>
      </w:r>
      <w:r w:rsidR="00EC079B">
        <w:rPr>
          <w:rFonts w:asciiTheme="majorHAnsi" w:hAnsiTheme="majorHAnsi" w:cstheme="majorHAnsi"/>
          <w:sz w:val="22"/>
          <w:szCs w:val="22"/>
        </w:rPr>
        <w:t xml:space="preserve">reform </w:t>
      </w:r>
      <w:r w:rsidR="00BB5E91">
        <w:rPr>
          <w:rFonts w:asciiTheme="majorHAnsi" w:hAnsiTheme="majorHAnsi" w:cstheme="majorHAnsi"/>
          <w:sz w:val="22"/>
          <w:szCs w:val="22"/>
        </w:rPr>
        <w:t>implementation</w:t>
      </w:r>
      <w:r w:rsidR="009E7871" w:rsidRPr="009E7871">
        <w:rPr>
          <w:rFonts w:asciiTheme="majorHAnsi" w:hAnsiTheme="majorHAnsi" w:cstheme="majorHAnsi"/>
          <w:sz w:val="22"/>
          <w:szCs w:val="22"/>
        </w:rPr>
        <w:t xml:space="preserve"> </w:t>
      </w:r>
      <w:r w:rsidR="009E7871">
        <w:rPr>
          <w:rFonts w:asciiTheme="majorHAnsi" w:hAnsiTheme="majorHAnsi" w:cstheme="majorHAnsi"/>
          <w:sz w:val="22"/>
          <w:szCs w:val="22"/>
        </w:rPr>
        <w:t>jointly</w:t>
      </w:r>
      <w:r w:rsidR="00BB5E91">
        <w:rPr>
          <w:rFonts w:asciiTheme="majorHAnsi" w:hAnsiTheme="majorHAnsi" w:cstheme="majorHAnsi"/>
          <w:sz w:val="22"/>
          <w:szCs w:val="22"/>
        </w:rPr>
        <w:t>,</w:t>
      </w:r>
      <w:r w:rsidR="00BB5E91" w:rsidRPr="00BB5E91">
        <w:rPr>
          <w:rFonts w:asciiTheme="majorHAnsi" w:hAnsiTheme="majorHAnsi" w:cstheme="majorHAnsi"/>
          <w:sz w:val="22"/>
          <w:szCs w:val="22"/>
        </w:rPr>
        <w:t xml:space="preserve"> </w:t>
      </w:r>
      <w:r w:rsidR="00BB5E91">
        <w:rPr>
          <w:rFonts w:asciiTheme="majorHAnsi" w:hAnsiTheme="majorHAnsi" w:cstheme="majorHAnsi"/>
          <w:sz w:val="22"/>
          <w:szCs w:val="22"/>
        </w:rPr>
        <w:t xml:space="preserve">feeding back lessons </w:t>
      </w:r>
      <w:r w:rsidR="00250948">
        <w:rPr>
          <w:rFonts w:asciiTheme="majorHAnsi" w:hAnsiTheme="majorHAnsi" w:cstheme="majorHAnsi"/>
          <w:sz w:val="22"/>
          <w:szCs w:val="22"/>
        </w:rPr>
        <w:t>and innovations</w:t>
      </w:r>
      <w:r w:rsidR="009E7871">
        <w:rPr>
          <w:rFonts w:asciiTheme="majorHAnsi" w:hAnsiTheme="majorHAnsi" w:cstheme="majorHAnsi"/>
          <w:sz w:val="22"/>
          <w:szCs w:val="22"/>
        </w:rPr>
        <w:t xml:space="preserve"> to decision-makers,</w:t>
      </w:r>
      <w:r w:rsidR="00250948">
        <w:rPr>
          <w:rFonts w:asciiTheme="majorHAnsi" w:hAnsiTheme="majorHAnsi" w:cstheme="majorHAnsi"/>
          <w:sz w:val="22"/>
          <w:szCs w:val="22"/>
        </w:rPr>
        <w:t xml:space="preserve"> </w:t>
      </w:r>
      <w:r w:rsidR="00BB5E91">
        <w:rPr>
          <w:rFonts w:asciiTheme="majorHAnsi" w:hAnsiTheme="majorHAnsi" w:cstheme="majorHAnsi"/>
          <w:sz w:val="22"/>
          <w:szCs w:val="22"/>
        </w:rPr>
        <w:t xml:space="preserve">and engaging closely with the processes of policy adjustment/improvement. </w:t>
      </w:r>
      <w:r w:rsidR="00D25D9C">
        <w:rPr>
          <w:rFonts w:asciiTheme="majorHAnsi" w:hAnsiTheme="majorHAnsi" w:cstheme="majorHAnsi"/>
          <w:sz w:val="22"/>
          <w:szCs w:val="22"/>
        </w:rPr>
        <w:t>I</w:t>
      </w:r>
      <w:r w:rsidR="00250948">
        <w:rPr>
          <w:rFonts w:asciiTheme="majorHAnsi" w:hAnsiTheme="majorHAnsi" w:cstheme="majorHAnsi"/>
          <w:sz w:val="22"/>
          <w:szCs w:val="22"/>
        </w:rPr>
        <w:t xml:space="preserve">mportant </w:t>
      </w:r>
      <w:r w:rsidR="00BB5E91">
        <w:rPr>
          <w:rFonts w:asciiTheme="majorHAnsi" w:hAnsiTheme="majorHAnsi" w:cstheme="majorHAnsi"/>
          <w:sz w:val="22"/>
          <w:szCs w:val="22"/>
        </w:rPr>
        <w:t xml:space="preserve">areas of policy development </w:t>
      </w:r>
      <w:r w:rsidR="00D25D9C">
        <w:rPr>
          <w:rFonts w:asciiTheme="majorHAnsi" w:hAnsiTheme="majorHAnsi" w:cstheme="majorHAnsi"/>
          <w:sz w:val="22"/>
          <w:szCs w:val="22"/>
        </w:rPr>
        <w:t xml:space="preserve">interest </w:t>
      </w:r>
      <w:r w:rsidR="009E7871">
        <w:rPr>
          <w:rFonts w:asciiTheme="majorHAnsi" w:hAnsiTheme="majorHAnsi" w:cstheme="majorHAnsi"/>
          <w:sz w:val="22"/>
          <w:szCs w:val="22"/>
        </w:rPr>
        <w:t>include</w:t>
      </w:r>
      <w:r w:rsidRPr="00974377">
        <w:rPr>
          <w:rFonts w:asciiTheme="majorHAnsi" w:hAnsiTheme="majorHAnsi" w:cstheme="majorHAnsi"/>
          <w:sz w:val="22"/>
          <w:szCs w:val="22"/>
        </w:rPr>
        <w:t xml:space="preserve"> gender equality, </w:t>
      </w:r>
      <w:r w:rsidR="007E2CB4" w:rsidRPr="00974377">
        <w:rPr>
          <w:rFonts w:asciiTheme="majorHAnsi" w:hAnsiTheme="majorHAnsi" w:cstheme="majorHAnsi"/>
          <w:sz w:val="22"/>
          <w:szCs w:val="22"/>
        </w:rPr>
        <w:t>such as barriers to women’s appointment as principals</w:t>
      </w:r>
      <w:r w:rsidR="00D25D9C">
        <w:rPr>
          <w:rFonts w:asciiTheme="majorHAnsi" w:hAnsiTheme="majorHAnsi" w:cstheme="majorHAnsi"/>
          <w:sz w:val="22"/>
          <w:szCs w:val="22"/>
        </w:rPr>
        <w:t xml:space="preserve"> and </w:t>
      </w:r>
      <w:r w:rsidR="007E2CB4" w:rsidRPr="00974377">
        <w:rPr>
          <w:rFonts w:asciiTheme="majorHAnsi" w:hAnsiTheme="majorHAnsi" w:cstheme="majorHAnsi"/>
          <w:sz w:val="22"/>
          <w:szCs w:val="22"/>
        </w:rPr>
        <w:t>girls’ well-being and agency in schools and madrasah</w:t>
      </w:r>
      <w:r w:rsidR="00D25D9C">
        <w:rPr>
          <w:rFonts w:asciiTheme="majorHAnsi" w:hAnsiTheme="majorHAnsi" w:cstheme="majorHAnsi"/>
          <w:sz w:val="22"/>
          <w:szCs w:val="22"/>
        </w:rPr>
        <w:t>, and</w:t>
      </w:r>
      <w:r w:rsidR="007E2CB4" w:rsidRPr="00974377">
        <w:rPr>
          <w:rFonts w:asciiTheme="majorHAnsi" w:hAnsiTheme="majorHAnsi" w:cstheme="majorHAnsi"/>
          <w:sz w:val="22"/>
          <w:szCs w:val="22"/>
        </w:rPr>
        <w:t xml:space="preserve"> </w:t>
      </w:r>
      <w:r w:rsidR="00D25D9C">
        <w:rPr>
          <w:rFonts w:asciiTheme="majorHAnsi" w:hAnsiTheme="majorHAnsi" w:cstheme="majorHAnsi"/>
          <w:sz w:val="22"/>
          <w:szCs w:val="22"/>
        </w:rPr>
        <w:t xml:space="preserve">other </w:t>
      </w:r>
      <w:r w:rsidR="00D25D9C" w:rsidRPr="00974377">
        <w:rPr>
          <w:rFonts w:asciiTheme="majorHAnsi" w:hAnsiTheme="majorHAnsi" w:cstheme="majorHAnsi"/>
          <w:sz w:val="22"/>
          <w:szCs w:val="22"/>
        </w:rPr>
        <w:t xml:space="preserve">inclusion </w:t>
      </w:r>
      <w:r w:rsidR="00D25D9C">
        <w:rPr>
          <w:rFonts w:asciiTheme="majorHAnsi" w:hAnsiTheme="majorHAnsi" w:cstheme="majorHAnsi"/>
          <w:sz w:val="22"/>
          <w:szCs w:val="22"/>
        </w:rPr>
        <w:t xml:space="preserve">and equity </w:t>
      </w:r>
      <w:r w:rsidR="00D25D9C" w:rsidRPr="00974377">
        <w:rPr>
          <w:rFonts w:asciiTheme="majorHAnsi" w:hAnsiTheme="majorHAnsi" w:cstheme="majorHAnsi"/>
          <w:sz w:val="22"/>
          <w:szCs w:val="22"/>
        </w:rPr>
        <w:t>issues</w:t>
      </w:r>
      <w:r w:rsidR="00D25D9C">
        <w:rPr>
          <w:rFonts w:asciiTheme="majorHAnsi" w:hAnsiTheme="majorHAnsi" w:cstheme="majorHAnsi"/>
          <w:sz w:val="22"/>
          <w:szCs w:val="22"/>
        </w:rPr>
        <w:t xml:space="preserve"> such as the digital divide in a system of delivery increasingly dependent on access to </w:t>
      </w:r>
      <w:r w:rsidR="0042127B">
        <w:rPr>
          <w:rFonts w:asciiTheme="majorHAnsi" w:hAnsiTheme="majorHAnsi" w:cstheme="majorHAnsi"/>
          <w:sz w:val="22"/>
          <w:szCs w:val="22"/>
        </w:rPr>
        <w:t>Internet</w:t>
      </w:r>
      <w:r w:rsidR="00D25D9C">
        <w:rPr>
          <w:rFonts w:asciiTheme="majorHAnsi" w:hAnsiTheme="majorHAnsi" w:cstheme="majorHAnsi"/>
          <w:sz w:val="22"/>
          <w:szCs w:val="22"/>
        </w:rPr>
        <w:t xml:space="preserve"> access and the access of mother tongue speakers to the</w:t>
      </w:r>
      <w:r w:rsidR="00D25D9C" w:rsidRPr="00974377">
        <w:rPr>
          <w:rFonts w:asciiTheme="majorHAnsi" w:hAnsiTheme="majorHAnsi" w:cstheme="majorHAnsi"/>
          <w:sz w:val="22"/>
          <w:szCs w:val="22"/>
        </w:rPr>
        <w:t xml:space="preserve"> language of education in early grades</w:t>
      </w:r>
      <w:r w:rsidR="00D25D9C">
        <w:rPr>
          <w:rFonts w:asciiTheme="majorHAnsi" w:hAnsiTheme="majorHAnsi" w:cstheme="majorHAnsi"/>
          <w:sz w:val="22"/>
          <w:szCs w:val="22"/>
        </w:rPr>
        <w:t xml:space="preserve">. Other </w:t>
      </w:r>
      <w:r w:rsidR="004A7E26">
        <w:rPr>
          <w:rFonts w:asciiTheme="majorHAnsi" w:hAnsiTheme="majorHAnsi" w:cstheme="majorHAnsi"/>
          <w:sz w:val="22"/>
          <w:szCs w:val="22"/>
        </w:rPr>
        <w:t xml:space="preserve">policy issues </w:t>
      </w:r>
      <w:r w:rsidR="00D25D9C">
        <w:rPr>
          <w:rFonts w:asciiTheme="majorHAnsi" w:hAnsiTheme="majorHAnsi" w:cstheme="majorHAnsi"/>
          <w:sz w:val="22"/>
          <w:szCs w:val="22"/>
        </w:rPr>
        <w:t xml:space="preserve">for the reforms </w:t>
      </w:r>
      <w:r w:rsidR="00366A65">
        <w:rPr>
          <w:rFonts w:asciiTheme="majorHAnsi" w:hAnsiTheme="majorHAnsi" w:cstheme="majorHAnsi"/>
          <w:sz w:val="22"/>
          <w:szCs w:val="22"/>
        </w:rPr>
        <w:t xml:space="preserve">and </w:t>
      </w:r>
      <w:r w:rsidR="00D25D9C">
        <w:rPr>
          <w:rFonts w:asciiTheme="majorHAnsi" w:hAnsiTheme="majorHAnsi" w:cstheme="majorHAnsi"/>
          <w:sz w:val="22"/>
          <w:szCs w:val="22"/>
        </w:rPr>
        <w:t xml:space="preserve">the </w:t>
      </w:r>
      <w:r w:rsidR="00366A65">
        <w:rPr>
          <w:rFonts w:asciiTheme="majorHAnsi" w:hAnsiTheme="majorHAnsi" w:cstheme="majorHAnsi"/>
          <w:sz w:val="22"/>
          <w:szCs w:val="22"/>
        </w:rPr>
        <w:t>program support</w:t>
      </w:r>
      <w:r w:rsidR="00D25D9C">
        <w:rPr>
          <w:rFonts w:asciiTheme="majorHAnsi" w:hAnsiTheme="majorHAnsi" w:cstheme="majorHAnsi"/>
          <w:sz w:val="22"/>
          <w:szCs w:val="22"/>
        </w:rPr>
        <w:t xml:space="preserve"> include </w:t>
      </w:r>
      <w:r w:rsidRPr="00974377">
        <w:rPr>
          <w:rFonts w:asciiTheme="majorHAnsi" w:hAnsiTheme="majorHAnsi" w:cstheme="majorHAnsi"/>
          <w:sz w:val="22"/>
          <w:szCs w:val="22"/>
        </w:rPr>
        <w:t xml:space="preserve">pre-service teacher </w:t>
      </w:r>
      <w:r w:rsidR="00D678D8">
        <w:rPr>
          <w:rFonts w:asciiTheme="majorHAnsi" w:hAnsiTheme="majorHAnsi" w:cstheme="majorHAnsi"/>
          <w:sz w:val="22"/>
          <w:szCs w:val="22"/>
        </w:rPr>
        <w:t>education</w:t>
      </w:r>
      <w:r w:rsidRPr="00974377">
        <w:rPr>
          <w:rFonts w:asciiTheme="majorHAnsi" w:hAnsiTheme="majorHAnsi" w:cstheme="majorHAnsi"/>
          <w:sz w:val="22"/>
          <w:szCs w:val="22"/>
        </w:rPr>
        <w:t xml:space="preserve">, the pre-school transition year to primary school (kindergarten), and the integration of climate change mitigation and adaptation strategies in schools and madrasah. </w:t>
      </w:r>
      <w:r w:rsidR="00D25D9C">
        <w:rPr>
          <w:rFonts w:asciiTheme="majorHAnsi" w:hAnsiTheme="majorHAnsi" w:cstheme="majorHAnsi"/>
          <w:sz w:val="22"/>
          <w:szCs w:val="22"/>
        </w:rPr>
        <w:t xml:space="preserve"> </w:t>
      </w:r>
    </w:p>
    <w:p w14:paraId="6DC0BF78" w14:textId="77777777" w:rsidR="0037632D" w:rsidRDefault="0037632D" w:rsidP="00C52498">
      <w:pPr>
        <w:pStyle w:val="BodyText"/>
        <w:spacing w:after="120" w:line="281" w:lineRule="auto"/>
        <w:rPr>
          <w:rFonts w:asciiTheme="majorHAnsi" w:hAnsiTheme="majorHAnsi" w:cstheme="majorHAnsi"/>
          <w:b/>
          <w:bCs/>
          <w:i/>
          <w:iCs/>
          <w:sz w:val="22"/>
          <w:szCs w:val="22"/>
        </w:rPr>
      </w:pPr>
    </w:p>
    <w:p w14:paraId="2A4E8F8F" w14:textId="6E69D943" w:rsidR="0037632D" w:rsidRPr="0037632D" w:rsidRDefault="0037632D" w:rsidP="00C52498">
      <w:pPr>
        <w:pStyle w:val="BodyText"/>
        <w:spacing w:after="120" w:line="281" w:lineRule="auto"/>
        <w:rPr>
          <w:rFonts w:asciiTheme="majorHAnsi" w:hAnsiTheme="majorHAnsi" w:cstheme="majorHAnsi"/>
          <w:i/>
          <w:iCs/>
          <w:sz w:val="22"/>
          <w:szCs w:val="22"/>
        </w:rPr>
      </w:pPr>
      <w:r w:rsidRPr="0037632D">
        <w:rPr>
          <w:rFonts w:asciiTheme="majorHAnsi" w:hAnsiTheme="majorHAnsi" w:cstheme="majorHAnsi"/>
          <w:b/>
          <w:bCs/>
          <w:i/>
          <w:iCs/>
          <w:sz w:val="22"/>
          <w:szCs w:val="22"/>
        </w:rPr>
        <w:t>EOPO 2 - By 2031, teachers and leaders of schools and madrasah in targeted districts demonstrate inclusive practices that result in improved foundational skills for all primary students, including children with disabilities.</w:t>
      </w:r>
    </w:p>
    <w:p w14:paraId="08B0F313" w14:textId="6DC18672" w:rsidR="00A24BA0" w:rsidRPr="00974377" w:rsidRDefault="004B3D56" w:rsidP="00C52498">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Building on the previous phase, this outcome </w:t>
      </w:r>
      <w:r w:rsidR="00366A65">
        <w:rPr>
          <w:rFonts w:asciiTheme="majorHAnsi" w:hAnsiTheme="majorHAnsi" w:cstheme="majorHAnsi"/>
          <w:sz w:val="22"/>
          <w:szCs w:val="22"/>
        </w:rPr>
        <w:t>describes the objective</w:t>
      </w:r>
      <w:r w:rsidR="00366A65" w:rsidRPr="00974377">
        <w:rPr>
          <w:rFonts w:asciiTheme="majorHAnsi" w:hAnsiTheme="majorHAnsi" w:cstheme="majorHAnsi"/>
          <w:sz w:val="22"/>
          <w:szCs w:val="22"/>
        </w:rPr>
        <w:t xml:space="preserve"> </w:t>
      </w:r>
      <w:r w:rsidR="002D7472">
        <w:rPr>
          <w:rFonts w:asciiTheme="majorHAnsi" w:hAnsiTheme="majorHAnsi" w:cstheme="majorHAnsi"/>
          <w:sz w:val="22"/>
          <w:szCs w:val="22"/>
        </w:rPr>
        <w:t>of</w:t>
      </w:r>
      <w:r w:rsidR="003C6613">
        <w:rPr>
          <w:rFonts w:asciiTheme="majorHAnsi" w:hAnsiTheme="majorHAnsi" w:cstheme="majorHAnsi"/>
          <w:sz w:val="22"/>
          <w:szCs w:val="22"/>
        </w:rPr>
        <w:t xml:space="preserve"> </w:t>
      </w:r>
      <w:r w:rsidR="002D7472">
        <w:rPr>
          <w:rFonts w:asciiTheme="majorHAnsi" w:hAnsiTheme="majorHAnsi" w:cstheme="majorHAnsi"/>
          <w:sz w:val="22"/>
          <w:szCs w:val="22"/>
        </w:rPr>
        <w:t>district-wide</w:t>
      </w:r>
      <w:r w:rsidR="002D7472" w:rsidRPr="00974377">
        <w:rPr>
          <w:rFonts w:asciiTheme="majorHAnsi" w:hAnsiTheme="majorHAnsi" w:cstheme="majorHAnsi"/>
          <w:sz w:val="22"/>
          <w:szCs w:val="22"/>
        </w:rPr>
        <w:t xml:space="preserve"> </w:t>
      </w:r>
      <w:r w:rsidR="003C6613">
        <w:rPr>
          <w:rFonts w:asciiTheme="majorHAnsi" w:hAnsiTheme="majorHAnsi" w:cstheme="majorHAnsi"/>
          <w:sz w:val="22"/>
          <w:szCs w:val="22"/>
        </w:rPr>
        <w:t>transform</w:t>
      </w:r>
      <w:r w:rsidR="00366A65">
        <w:rPr>
          <w:rFonts w:asciiTheme="majorHAnsi" w:hAnsiTheme="majorHAnsi" w:cstheme="majorHAnsi"/>
          <w:sz w:val="22"/>
          <w:szCs w:val="22"/>
        </w:rPr>
        <w:t>ation of</w:t>
      </w:r>
      <w:r w:rsidR="00C06BC2">
        <w:rPr>
          <w:rFonts w:asciiTheme="majorHAnsi" w:hAnsiTheme="majorHAnsi" w:cstheme="majorHAnsi"/>
          <w:sz w:val="22"/>
          <w:szCs w:val="22"/>
        </w:rPr>
        <w:t xml:space="preserve"> </w:t>
      </w:r>
      <w:r w:rsidRPr="00974377">
        <w:rPr>
          <w:rFonts w:asciiTheme="majorHAnsi" w:hAnsiTheme="majorHAnsi" w:cstheme="majorHAnsi"/>
          <w:sz w:val="22"/>
          <w:szCs w:val="22"/>
        </w:rPr>
        <w:t>teaching and leadership practices</w:t>
      </w:r>
      <w:r w:rsidR="003C6613">
        <w:rPr>
          <w:rFonts w:asciiTheme="majorHAnsi" w:hAnsiTheme="majorHAnsi" w:cstheme="majorHAnsi"/>
          <w:sz w:val="22"/>
          <w:szCs w:val="22"/>
        </w:rPr>
        <w:t xml:space="preserve"> </w:t>
      </w:r>
      <w:r w:rsidR="00F41F53">
        <w:rPr>
          <w:rFonts w:asciiTheme="majorHAnsi" w:hAnsiTheme="majorHAnsi" w:cstheme="majorHAnsi"/>
          <w:sz w:val="22"/>
          <w:szCs w:val="22"/>
        </w:rPr>
        <w:t xml:space="preserve">in </w:t>
      </w:r>
      <w:r w:rsidR="003C6613">
        <w:rPr>
          <w:rFonts w:asciiTheme="majorHAnsi" w:hAnsiTheme="majorHAnsi" w:cstheme="majorHAnsi"/>
          <w:sz w:val="22"/>
          <w:szCs w:val="22"/>
        </w:rPr>
        <w:t>schools and madrasah</w:t>
      </w:r>
      <w:r w:rsidR="002D7472">
        <w:rPr>
          <w:rFonts w:asciiTheme="majorHAnsi" w:hAnsiTheme="majorHAnsi" w:cstheme="majorHAnsi"/>
          <w:sz w:val="22"/>
          <w:szCs w:val="22"/>
        </w:rPr>
        <w:t>.</w:t>
      </w:r>
      <w:r w:rsidR="00F41F53">
        <w:rPr>
          <w:rFonts w:asciiTheme="majorHAnsi" w:hAnsiTheme="majorHAnsi" w:cstheme="majorHAnsi"/>
          <w:sz w:val="22"/>
          <w:szCs w:val="22"/>
        </w:rPr>
        <w:t xml:space="preserve"> </w:t>
      </w:r>
      <w:r w:rsidR="004A513D">
        <w:rPr>
          <w:rFonts w:asciiTheme="majorHAnsi" w:hAnsiTheme="majorHAnsi" w:cstheme="majorHAnsi"/>
          <w:sz w:val="22"/>
          <w:szCs w:val="22"/>
        </w:rPr>
        <w:t>I</w:t>
      </w:r>
      <w:r w:rsidR="00F41F53">
        <w:rPr>
          <w:rFonts w:asciiTheme="majorHAnsi" w:hAnsiTheme="majorHAnsi" w:cstheme="majorHAnsi"/>
          <w:sz w:val="22"/>
          <w:szCs w:val="22"/>
        </w:rPr>
        <w:t>t</w:t>
      </w:r>
      <w:r w:rsidR="00F41F53" w:rsidRPr="00974377">
        <w:rPr>
          <w:rFonts w:asciiTheme="majorHAnsi" w:hAnsiTheme="majorHAnsi" w:cstheme="majorHAnsi"/>
          <w:sz w:val="22"/>
          <w:szCs w:val="22"/>
        </w:rPr>
        <w:t xml:space="preserve"> draws a direct link between these practices and student learning and sets the program’s accountability on the improvement of students</w:t>
      </w:r>
      <w:r w:rsidR="00366A65">
        <w:rPr>
          <w:rFonts w:asciiTheme="majorHAnsi" w:hAnsiTheme="majorHAnsi" w:cstheme="majorHAnsi"/>
          <w:sz w:val="22"/>
          <w:szCs w:val="22"/>
        </w:rPr>
        <w:t>’</w:t>
      </w:r>
      <w:r w:rsidR="00F41F53" w:rsidRPr="00974377">
        <w:rPr>
          <w:rFonts w:asciiTheme="majorHAnsi" w:hAnsiTheme="majorHAnsi" w:cstheme="majorHAnsi"/>
          <w:sz w:val="22"/>
          <w:szCs w:val="22"/>
        </w:rPr>
        <w:t xml:space="preserve"> foundational skills in targeted areas. </w:t>
      </w:r>
      <w:r w:rsidR="003C6613">
        <w:rPr>
          <w:rFonts w:asciiTheme="majorHAnsi" w:hAnsiTheme="majorHAnsi" w:cstheme="majorHAnsi"/>
          <w:sz w:val="22"/>
          <w:szCs w:val="22"/>
        </w:rPr>
        <w:t xml:space="preserve">The </w:t>
      </w:r>
      <w:r w:rsidR="002D7472">
        <w:rPr>
          <w:rFonts w:asciiTheme="majorHAnsi" w:hAnsiTheme="majorHAnsi" w:cstheme="majorHAnsi"/>
          <w:sz w:val="22"/>
          <w:szCs w:val="22"/>
        </w:rPr>
        <w:t>ambitions</w:t>
      </w:r>
      <w:r w:rsidR="003C6613">
        <w:rPr>
          <w:rFonts w:asciiTheme="majorHAnsi" w:hAnsiTheme="majorHAnsi" w:cstheme="majorHAnsi"/>
          <w:sz w:val="22"/>
          <w:szCs w:val="22"/>
        </w:rPr>
        <w:t xml:space="preserve"> of </w:t>
      </w:r>
      <w:r w:rsidR="00367A4D">
        <w:rPr>
          <w:rFonts w:asciiTheme="majorHAnsi" w:hAnsiTheme="majorHAnsi" w:cstheme="majorHAnsi"/>
          <w:i/>
          <w:iCs/>
          <w:sz w:val="22"/>
          <w:szCs w:val="22"/>
        </w:rPr>
        <w:t>current</w:t>
      </w:r>
      <w:r w:rsidR="003C6613">
        <w:rPr>
          <w:rFonts w:asciiTheme="majorHAnsi" w:hAnsiTheme="majorHAnsi" w:cstheme="majorHAnsi"/>
          <w:sz w:val="22"/>
          <w:szCs w:val="22"/>
        </w:rPr>
        <w:t xml:space="preserve"> </w:t>
      </w:r>
      <w:r w:rsidR="002D7472">
        <w:rPr>
          <w:rFonts w:asciiTheme="majorHAnsi" w:hAnsiTheme="majorHAnsi" w:cstheme="majorHAnsi"/>
          <w:sz w:val="22"/>
          <w:szCs w:val="22"/>
        </w:rPr>
        <w:t xml:space="preserve">reforms </w:t>
      </w:r>
      <w:r w:rsidR="003C6613">
        <w:rPr>
          <w:rFonts w:asciiTheme="majorHAnsi" w:hAnsiTheme="majorHAnsi" w:cstheme="majorHAnsi"/>
          <w:sz w:val="22"/>
          <w:szCs w:val="22"/>
        </w:rPr>
        <w:t xml:space="preserve">in foundational skills, curriculum development and </w:t>
      </w:r>
      <w:r w:rsidR="005226D3">
        <w:rPr>
          <w:rFonts w:asciiTheme="majorHAnsi" w:hAnsiTheme="majorHAnsi" w:cstheme="majorHAnsi"/>
          <w:sz w:val="22"/>
          <w:szCs w:val="22"/>
        </w:rPr>
        <w:t>school leadership</w:t>
      </w:r>
      <w:r w:rsidR="003C6613">
        <w:rPr>
          <w:rFonts w:asciiTheme="majorHAnsi" w:hAnsiTheme="majorHAnsi" w:cstheme="majorHAnsi"/>
          <w:sz w:val="22"/>
          <w:szCs w:val="22"/>
        </w:rPr>
        <w:t xml:space="preserve"> </w:t>
      </w:r>
      <w:r w:rsidR="002D7472">
        <w:rPr>
          <w:rFonts w:asciiTheme="majorHAnsi" w:hAnsiTheme="majorHAnsi" w:cstheme="majorHAnsi"/>
          <w:sz w:val="22"/>
          <w:szCs w:val="22"/>
        </w:rPr>
        <w:t>necessitate</w:t>
      </w:r>
      <w:r w:rsidR="00F41F53">
        <w:rPr>
          <w:rFonts w:asciiTheme="majorHAnsi" w:hAnsiTheme="majorHAnsi" w:cstheme="majorHAnsi"/>
          <w:sz w:val="22"/>
          <w:szCs w:val="22"/>
        </w:rPr>
        <w:t xml:space="preserve"> </w:t>
      </w:r>
      <w:r w:rsidR="005226D3">
        <w:rPr>
          <w:rFonts w:asciiTheme="majorHAnsi" w:hAnsiTheme="majorHAnsi" w:cstheme="majorHAnsi"/>
          <w:sz w:val="22"/>
          <w:szCs w:val="22"/>
        </w:rPr>
        <w:t xml:space="preserve">transformed </w:t>
      </w:r>
      <w:r w:rsidR="00F41F53">
        <w:rPr>
          <w:rFonts w:asciiTheme="majorHAnsi" w:hAnsiTheme="majorHAnsi" w:cstheme="majorHAnsi"/>
          <w:sz w:val="22"/>
          <w:szCs w:val="22"/>
        </w:rPr>
        <w:t>teacher and principal practice</w:t>
      </w:r>
      <w:r w:rsidR="002D7472">
        <w:rPr>
          <w:rFonts w:asciiTheme="majorHAnsi" w:hAnsiTheme="majorHAnsi" w:cstheme="majorHAnsi"/>
          <w:sz w:val="22"/>
          <w:szCs w:val="22"/>
        </w:rPr>
        <w:t>s</w:t>
      </w:r>
      <w:r w:rsidR="00F41F53">
        <w:rPr>
          <w:rFonts w:asciiTheme="majorHAnsi" w:hAnsiTheme="majorHAnsi" w:cstheme="majorHAnsi"/>
          <w:sz w:val="22"/>
          <w:szCs w:val="22"/>
        </w:rPr>
        <w:t xml:space="preserve"> for improved </w:t>
      </w:r>
      <w:r w:rsidR="002D7472">
        <w:rPr>
          <w:rFonts w:asciiTheme="majorHAnsi" w:hAnsiTheme="majorHAnsi" w:cstheme="majorHAnsi"/>
          <w:sz w:val="22"/>
          <w:szCs w:val="22"/>
        </w:rPr>
        <w:t xml:space="preserve">learning </w:t>
      </w:r>
      <w:r w:rsidR="00F41F53">
        <w:rPr>
          <w:rFonts w:asciiTheme="majorHAnsi" w:hAnsiTheme="majorHAnsi" w:cstheme="majorHAnsi"/>
          <w:sz w:val="22"/>
          <w:szCs w:val="22"/>
        </w:rPr>
        <w:t>outcomes</w:t>
      </w:r>
      <w:r w:rsidR="002D7472" w:rsidRPr="002D7472">
        <w:rPr>
          <w:rFonts w:asciiTheme="majorHAnsi" w:hAnsiTheme="majorHAnsi" w:cstheme="majorHAnsi"/>
          <w:sz w:val="22"/>
          <w:szCs w:val="22"/>
        </w:rPr>
        <w:t xml:space="preserve"> </w:t>
      </w:r>
      <w:r w:rsidR="002D7472">
        <w:rPr>
          <w:rFonts w:asciiTheme="majorHAnsi" w:hAnsiTheme="majorHAnsi" w:cstheme="majorHAnsi"/>
          <w:sz w:val="22"/>
          <w:szCs w:val="22"/>
        </w:rPr>
        <w:t>for all students</w:t>
      </w:r>
      <w:r w:rsidR="00F41F53">
        <w:rPr>
          <w:rFonts w:asciiTheme="majorHAnsi" w:hAnsiTheme="majorHAnsi" w:cstheme="majorHAnsi"/>
          <w:sz w:val="22"/>
          <w:szCs w:val="22"/>
        </w:rPr>
        <w:t>.</w:t>
      </w:r>
      <w:r w:rsidR="003C6613">
        <w:rPr>
          <w:rFonts w:asciiTheme="majorHAnsi" w:hAnsiTheme="majorHAnsi" w:cstheme="majorHAnsi"/>
          <w:sz w:val="22"/>
          <w:szCs w:val="22"/>
        </w:rPr>
        <w:t xml:space="preserve"> </w:t>
      </w:r>
      <w:r w:rsidR="002D7472">
        <w:rPr>
          <w:rFonts w:asciiTheme="majorHAnsi" w:hAnsiTheme="majorHAnsi" w:cstheme="majorHAnsi"/>
          <w:sz w:val="22"/>
          <w:szCs w:val="22"/>
        </w:rPr>
        <w:t>Achieving this transformation require in turn systemic capabilities at d</w:t>
      </w:r>
      <w:r w:rsidR="00A24BA0">
        <w:rPr>
          <w:rFonts w:asciiTheme="majorHAnsi" w:hAnsiTheme="majorHAnsi" w:cstheme="majorHAnsi"/>
          <w:sz w:val="22"/>
          <w:szCs w:val="22"/>
        </w:rPr>
        <w:t xml:space="preserve">istrict </w:t>
      </w:r>
      <w:r w:rsidR="002D7472">
        <w:rPr>
          <w:rFonts w:asciiTheme="majorHAnsi" w:hAnsiTheme="majorHAnsi" w:cstheme="majorHAnsi"/>
          <w:sz w:val="22"/>
          <w:szCs w:val="22"/>
        </w:rPr>
        <w:t>level</w:t>
      </w:r>
      <w:r w:rsidR="00367A4D">
        <w:rPr>
          <w:rFonts w:asciiTheme="majorHAnsi" w:hAnsiTheme="majorHAnsi" w:cstheme="majorHAnsi"/>
          <w:sz w:val="22"/>
          <w:szCs w:val="22"/>
        </w:rPr>
        <w:t xml:space="preserve"> and t</w:t>
      </w:r>
      <w:r w:rsidR="002D7472">
        <w:rPr>
          <w:rFonts w:asciiTheme="majorHAnsi" w:hAnsiTheme="majorHAnsi" w:cstheme="majorHAnsi"/>
          <w:sz w:val="22"/>
          <w:szCs w:val="22"/>
        </w:rPr>
        <w:t>he program</w:t>
      </w:r>
      <w:r w:rsidR="00A24BA0">
        <w:rPr>
          <w:rFonts w:asciiTheme="majorHAnsi" w:hAnsiTheme="majorHAnsi" w:cstheme="majorHAnsi"/>
          <w:sz w:val="22"/>
          <w:szCs w:val="22"/>
        </w:rPr>
        <w:t xml:space="preserve"> will</w:t>
      </w:r>
      <w:r w:rsidR="002D7472">
        <w:rPr>
          <w:rFonts w:asciiTheme="majorHAnsi" w:hAnsiTheme="majorHAnsi" w:cstheme="majorHAnsi"/>
          <w:sz w:val="22"/>
          <w:szCs w:val="22"/>
        </w:rPr>
        <w:t xml:space="preserve"> support</w:t>
      </w:r>
      <w:r w:rsidR="00A24BA0">
        <w:rPr>
          <w:rFonts w:asciiTheme="majorHAnsi" w:hAnsiTheme="majorHAnsi" w:cstheme="majorHAnsi"/>
          <w:sz w:val="22"/>
          <w:szCs w:val="22"/>
        </w:rPr>
        <w:t xml:space="preserve"> </w:t>
      </w:r>
      <w:r w:rsidR="00367A4D">
        <w:rPr>
          <w:rFonts w:asciiTheme="majorHAnsi" w:hAnsiTheme="majorHAnsi" w:cstheme="majorHAnsi"/>
          <w:sz w:val="22"/>
          <w:szCs w:val="22"/>
        </w:rPr>
        <w:t xml:space="preserve">target districts to develop </w:t>
      </w:r>
      <w:r w:rsidR="002D7472">
        <w:rPr>
          <w:rFonts w:asciiTheme="majorHAnsi" w:hAnsiTheme="majorHAnsi" w:cstheme="majorHAnsi"/>
          <w:sz w:val="22"/>
          <w:szCs w:val="22"/>
        </w:rPr>
        <w:t>the</w:t>
      </w:r>
      <w:r w:rsidR="00367A4D">
        <w:rPr>
          <w:rFonts w:asciiTheme="majorHAnsi" w:hAnsiTheme="majorHAnsi" w:cstheme="majorHAnsi"/>
          <w:sz w:val="22"/>
          <w:szCs w:val="22"/>
        </w:rPr>
        <w:t>se capabilities</w:t>
      </w:r>
      <w:r w:rsidR="00367A4D" w:rsidRPr="00367A4D">
        <w:rPr>
          <w:rFonts w:asciiTheme="majorHAnsi" w:hAnsiTheme="majorHAnsi" w:cstheme="majorHAnsi"/>
          <w:sz w:val="22"/>
          <w:szCs w:val="22"/>
        </w:rPr>
        <w:t xml:space="preserve"> </w:t>
      </w:r>
      <w:r w:rsidR="00367A4D">
        <w:rPr>
          <w:rFonts w:asciiTheme="majorHAnsi" w:hAnsiTheme="majorHAnsi" w:cstheme="majorHAnsi"/>
          <w:sz w:val="22"/>
          <w:szCs w:val="22"/>
        </w:rPr>
        <w:t xml:space="preserve">under the leadership of the district authorities. This will mostly entail supporting district authorities </w:t>
      </w:r>
      <w:r w:rsidR="00A24BA0">
        <w:rPr>
          <w:rFonts w:asciiTheme="majorHAnsi" w:hAnsiTheme="majorHAnsi" w:cstheme="majorHAnsi"/>
          <w:sz w:val="22"/>
          <w:szCs w:val="22"/>
        </w:rPr>
        <w:t xml:space="preserve">to orchestrate and </w:t>
      </w:r>
      <w:r w:rsidR="00367A4D">
        <w:rPr>
          <w:rFonts w:asciiTheme="majorHAnsi" w:hAnsiTheme="majorHAnsi" w:cstheme="majorHAnsi"/>
          <w:sz w:val="22"/>
          <w:szCs w:val="22"/>
        </w:rPr>
        <w:t xml:space="preserve">coordinate relevant stakeholders, </w:t>
      </w:r>
      <w:r w:rsidR="00A24BA0">
        <w:rPr>
          <w:rFonts w:asciiTheme="majorHAnsi" w:hAnsiTheme="majorHAnsi" w:cstheme="majorHAnsi"/>
          <w:sz w:val="22"/>
          <w:szCs w:val="22"/>
        </w:rPr>
        <w:t>maximis</w:t>
      </w:r>
      <w:r w:rsidR="00367A4D">
        <w:rPr>
          <w:rFonts w:asciiTheme="majorHAnsi" w:hAnsiTheme="majorHAnsi" w:cstheme="majorHAnsi"/>
          <w:sz w:val="22"/>
          <w:szCs w:val="22"/>
        </w:rPr>
        <w:t>ing</w:t>
      </w:r>
      <w:r w:rsidR="00A24BA0">
        <w:rPr>
          <w:rFonts w:asciiTheme="majorHAnsi" w:hAnsiTheme="majorHAnsi" w:cstheme="majorHAnsi"/>
          <w:sz w:val="22"/>
          <w:szCs w:val="22"/>
        </w:rPr>
        <w:t xml:space="preserve"> the agenc</w:t>
      </w:r>
      <w:r w:rsidR="00367A4D">
        <w:rPr>
          <w:rFonts w:asciiTheme="majorHAnsi" w:hAnsiTheme="majorHAnsi" w:cstheme="majorHAnsi"/>
          <w:sz w:val="22"/>
          <w:szCs w:val="22"/>
        </w:rPr>
        <w:t xml:space="preserve">y of each and the synergy of all. </w:t>
      </w:r>
    </w:p>
    <w:p w14:paraId="48120432" w14:textId="373ECF3C" w:rsidR="004B3D56" w:rsidRPr="00974377" w:rsidRDefault="004B3D56" w:rsidP="00C52498">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Importantly, </w:t>
      </w:r>
      <w:r w:rsidR="00E3779A">
        <w:rPr>
          <w:rFonts w:asciiTheme="majorHAnsi" w:hAnsiTheme="majorHAnsi" w:cstheme="majorHAnsi"/>
          <w:sz w:val="22"/>
          <w:szCs w:val="22"/>
        </w:rPr>
        <w:t xml:space="preserve">in line with </w:t>
      </w:r>
      <w:r w:rsidR="00E3779A" w:rsidRPr="00E3779A">
        <w:rPr>
          <w:rFonts w:asciiTheme="majorHAnsi" w:hAnsiTheme="majorHAnsi" w:cstheme="majorHAnsi"/>
          <w:sz w:val="22"/>
          <w:szCs w:val="22"/>
        </w:rPr>
        <w:t>United Nations Convention on the Rights of Persons with Disabilities (UNCRPD)</w:t>
      </w:r>
      <w:r w:rsidR="00E3779A">
        <w:rPr>
          <w:rFonts w:asciiTheme="majorHAnsi" w:hAnsiTheme="majorHAnsi" w:cstheme="majorHAnsi"/>
          <w:sz w:val="22"/>
          <w:szCs w:val="22"/>
        </w:rPr>
        <w:t>, especially Article 3,</w:t>
      </w:r>
      <w:r w:rsidR="00E3779A" w:rsidRPr="00974377">
        <w:rPr>
          <w:rFonts w:asciiTheme="majorHAnsi" w:hAnsiTheme="majorHAnsi" w:cstheme="majorHAnsi"/>
          <w:sz w:val="22"/>
          <w:szCs w:val="22"/>
        </w:rPr>
        <w:t xml:space="preserve"> </w:t>
      </w:r>
      <w:r w:rsidRPr="00974377">
        <w:rPr>
          <w:rFonts w:asciiTheme="majorHAnsi" w:hAnsiTheme="majorHAnsi" w:cstheme="majorHAnsi"/>
          <w:sz w:val="22"/>
          <w:szCs w:val="22"/>
        </w:rPr>
        <w:t xml:space="preserve">these two EOPOs recognises the specific needs of students with disabilities </w:t>
      </w:r>
      <w:r w:rsidR="00E3779A">
        <w:rPr>
          <w:rFonts w:asciiTheme="majorHAnsi" w:hAnsiTheme="majorHAnsi" w:cstheme="majorHAnsi"/>
          <w:sz w:val="22"/>
          <w:szCs w:val="22"/>
        </w:rPr>
        <w:t xml:space="preserve">or full and effective participation in learning </w:t>
      </w:r>
      <w:r w:rsidRPr="00974377">
        <w:rPr>
          <w:rFonts w:asciiTheme="majorHAnsi" w:hAnsiTheme="majorHAnsi" w:cstheme="majorHAnsi"/>
          <w:sz w:val="22"/>
          <w:szCs w:val="22"/>
        </w:rPr>
        <w:t xml:space="preserve">and require relevant policies, </w:t>
      </w:r>
      <w:r w:rsidR="001E5C61" w:rsidRPr="00974377">
        <w:rPr>
          <w:rFonts w:asciiTheme="majorHAnsi" w:hAnsiTheme="majorHAnsi" w:cstheme="majorHAnsi"/>
          <w:sz w:val="22"/>
          <w:szCs w:val="22"/>
        </w:rPr>
        <w:t>systems,</w:t>
      </w:r>
      <w:r w:rsidRPr="00974377">
        <w:rPr>
          <w:rFonts w:asciiTheme="majorHAnsi" w:hAnsiTheme="majorHAnsi" w:cstheme="majorHAnsi"/>
          <w:sz w:val="22"/>
          <w:szCs w:val="22"/>
        </w:rPr>
        <w:t xml:space="preserve"> and practices to accommodate these needs. The success of the program will require a convincing demonstration that these needs are met.</w:t>
      </w:r>
    </w:p>
    <w:p w14:paraId="63D3D270" w14:textId="54B21F76" w:rsidR="00BE472A" w:rsidRDefault="004B3D56" w:rsidP="00C52498">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To achieve these EOPO</w:t>
      </w:r>
      <w:r w:rsidR="00C15D6C">
        <w:rPr>
          <w:rFonts w:asciiTheme="majorHAnsi" w:hAnsiTheme="majorHAnsi" w:cstheme="majorHAnsi"/>
          <w:sz w:val="22"/>
          <w:szCs w:val="22"/>
        </w:rPr>
        <w:t>s</w:t>
      </w:r>
      <w:r w:rsidRPr="00974377">
        <w:rPr>
          <w:rFonts w:asciiTheme="majorHAnsi" w:hAnsiTheme="majorHAnsi" w:cstheme="majorHAnsi"/>
          <w:sz w:val="22"/>
          <w:szCs w:val="22"/>
        </w:rPr>
        <w:t xml:space="preserve">, the program will focus on five strategic areas or intermediate outcomes (IOs) that support inclusive learning improvement and are central to the implementation of the </w:t>
      </w:r>
      <w:r w:rsidRPr="00974377">
        <w:rPr>
          <w:rFonts w:asciiTheme="majorHAnsi" w:hAnsiTheme="majorHAnsi" w:cstheme="majorHAnsi"/>
          <w:i/>
          <w:iCs/>
          <w:sz w:val="22"/>
          <w:szCs w:val="22"/>
        </w:rPr>
        <w:t xml:space="preserve">Merdeka </w:t>
      </w:r>
      <w:proofErr w:type="spellStart"/>
      <w:r w:rsidRPr="00974377">
        <w:rPr>
          <w:rFonts w:asciiTheme="majorHAnsi" w:hAnsiTheme="majorHAnsi" w:cstheme="majorHAnsi"/>
          <w:i/>
          <w:iCs/>
          <w:sz w:val="22"/>
          <w:szCs w:val="22"/>
        </w:rPr>
        <w:t>Belajar</w:t>
      </w:r>
      <w:proofErr w:type="spellEnd"/>
      <w:r w:rsidRPr="00974377">
        <w:rPr>
          <w:rFonts w:asciiTheme="majorHAnsi" w:hAnsiTheme="majorHAnsi" w:cstheme="majorHAnsi"/>
          <w:sz w:val="22"/>
          <w:szCs w:val="22"/>
        </w:rPr>
        <w:t xml:space="preserve"> reform. These are targeting respectively (1) curriculum, assessment and learning materials, (2) teaching practices, (3) school leadership (4) gender equality and (5) climate change.</w:t>
      </w:r>
    </w:p>
    <w:p w14:paraId="1C78B115" w14:textId="77777777" w:rsidR="0037632D" w:rsidRDefault="0037632D" w:rsidP="0037632D">
      <w:pPr>
        <w:pStyle w:val="BodyText"/>
        <w:rPr>
          <w:rFonts w:asciiTheme="majorHAnsi" w:hAnsiTheme="majorHAnsi" w:cstheme="majorHAnsi"/>
          <w:b/>
          <w:bCs/>
          <w:i/>
          <w:iCs/>
          <w:sz w:val="22"/>
          <w:szCs w:val="22"/>
        </w:rPr>
      </w:pPr>
    </w:p>
    <w:p w14:paraId="2AFAC820" w14:textId="5D2E40A1" w:rsidR="0037632D" w:rsidRPr="0037632D" w:rsidRDefault="0037632D" w:rsidP="0037632D">
      <w:pPr>
        <w:pStyle w:val="BodyText"/>
        <w:rPr>
          <w:rFonts w:asciiTheme="majorHAnsi" w:hAnsiTheme="majorHAnsi" w:cstheme="majorHAnsi"/>
          <w:b/>
          <w:bCs/>
          <w:i/>
          <w:iCs/>
          <w:sz w:val="22"/>
          <w:szCs w:val="22"/>
        </w:rPr>
      </w:pPr>
      <w:r w:rsidRPr="0037632D">
        <w:rPr>
          <w:rFonts w:asciiTheme="majorHAnsi" w:hAnsiTheme="majorHAnsi" w:cstheme="majorHAnsi"/>
          <w:b/>
          <w:bCs/>
          <w:i/>
          <w:iCs/>
          <w:sz w:val="22"/>
          <w:szCs w:val="22"/>
        </w:rPr>
        <w:t>IO1 - Improved policies, systems</w:t>
      </w:r>
      <w:r>
        <w:rPr>
          <w:rFonts w:asciiTheme="majorHAnsi" w:hAnsiTheme="majorHAnsi" w:cstheme="majorHAnsi"/>
          <w:b/>
          <w:bCs/>
          <w:i/>
          <w:iCs/>
          <w:sz w:val="22"/>
          <w:szCs w:val="22"/>
        </w:rPr>
        <w:t>,</w:t>
      </w:r>
      <w:r w:rsidRPr="0037632D">
        <w:rPr>
          <w:rFonts w:asciiTheme="majorHAnsi" w:hAnsiTheme="majorHAnsi" w:cstheme="majorHAnsi"/>
          <w:b/>
          <w:bCs/>
          <w:i/>
          <w:iCs/>
          <w:sz w:val="22"/>
          <w:szCs w:val="22"/>
        </w:rPr>
        <w:t xml:space="preserve"> and practices for inclusive primary curriculum, learning materials and assessment for foundational skills at national and sub-national level.</w:t>
      </w:r>
    </w:p>
    <w:p w14:paraId="41EE474A" w14:textId="296C3855" w:rsidR="00236933" w:rsidRDefault="00390E6F" w:rsidP="00C52498">
      <w:pPr>
        <w:pStyle w:val="BodyText"/>
        <w:spacing w:after="120" w:line="281" w:lineRule="auto"/>
        <w:rPr>
          <w:rFonts w:asciiTheme="majorHAnsi" w:hAnsiTheme="majorHAnsi" w:cstheme="majorHAnsi"/>
          <w:sz w:val="22"/>
          <w:szCs w:val="22"/>
        </w:rPr>
      </w:pPr>
      <w:r>
        <w:rPr>
          <w:rFonts w:asciiTheme="majorHAnsi" w:hAnsiTheme="majorHAnsi" w:cstheme="majorHAnsi"/>
          <w:sz w:val="22"/>
          <w:szCs w:val="22"/>
        </w:rPr>
        <w:t xml:space="preserve">The program will support the </w:t>
      </w:r>
      <w:r w:rsidR="00236933">
        <w:rPr>
          <w:rFonts w:asciiTheme="majorHAnsi" w:hAnsiTheme="majorHAnsi" w:cstheme="majorHAnsi"/>
          <w:sz w:val="22"/>
          <w:szCs w:val="22"/>
        </w:rPr>
        <w:t xml:space="preserve">systemic </w:t>
      </w:r>
      <w:r>
        <w:rPr>
          <w:rFonts w:asciiTheme="majorHAnsi" w:hAnsiTheme="majorHAnsi" w:cstheme="majorHAnsi"/>
          <w:sz w:val="22"/>
          <w:szCs w:val="22"/>
        </w:rPr>
        <w:t>capabilit</w:t>
      </w:r>
      <w:r w:rsidR="00236933">
        <w:rPr>
          <w:rFonts w:asciiTheme="majorHAnsi" w:hAnsiTheme="majorHAnsi" w:cstheme="majorHAnsi"/>
          <w:sz w:val="22"/>
          <w:szCs w:val="22"/>
        </w:rPr>
        <w:t>ies</w:t>
      </w:r>
      <w:r>
        <w:rPr>
          <w:rFonts w:asciiTheme="majorHAnsi" w:hAnsiTheme="majorHAnsi" w:cstheme="majorHAnsi"/>
          <w:sz w:val="22"/>
          <w:szCs w:val="22"/>
        </w:rPr>
        <w:t xml:space="preserve"> of districts to guide, support and monitor the development of </w:t>
      </w:r>
      <w:r w:rsidR="00EB0DB6">
        <w:rPr>
          <w:rFonts w:asciiTheme="majorHAnsi" w:hAnsiTheme="majorHAnsi" w:cstheme="majorHAnsi"/>
          <w:sz w:val="22"/>
          <w:szCs w:val="22"/>
        </w:rPr>
        <w:t>school-based</w:t>
      </w:r>
      <w:r>
        <w:rPr>
          <w:rFonts w:asciiTheme="majorHAnsi" w:hAnsiTheme="majorHAnsi" w:cstheme="majorHAnsi"/>
          <w:sz w:val="22"/>
          <w:szCs w:val="22"/>
        </w:rPr>
        <w:t xml:space="preserve"> curriculum</w:t>
      </w:r>
      <w:r w:rsidR="00367A4D" w:rsidRPr="00367A4D">
        <w:rPr>
          <w:rFonts w:asciiTheme="majorHAnsi" w:hAnsiTheme="majorHAnsi" w:cstheme="majorHAnsi"/>
          <w:sz w:val="22"/>
          <w:szCs w:val="22"/>
        </w:rPr>
        <w:t xml:space="preserve"> </w:t>
      </w:r>
      <w:r w:rsidR="00367A4D">
        <w:rPr>
          <w:rFonts w:asciiTheme="majorHAnsi" w:hAnsiTheme="majorHAnsi" w:cstheme="majorHAnsi"/>
          <w:sz w:val="22"/>
          <w:szCs w:val="22"/>
        </w:rPr>
        <w:t xml:space="preserve">and material </w:t>
      </w:r>
      <w:r w:rsidR="007B0F1C">
        <w:rPr>
          <w:rFonts w:asciiTheme="majorHAnsi" w:hAnsiTheme="majorHAnsi" w:cstheme="majorHAnsi"/>
          <w:sz w:val="22"/>
          <w:szCs w:val="22"/>
        </w:rPr>
        <w:t>support, and</w:t>
      </w:r>
      <w:r w:rsidR="002F728C">
        <w:rPr>
          <w:rFonts w:asciiTheme="majorHAnsi" w:hAnsiTheme="majorHAnsi" w:cstheme="majorHAnsi"/>
          <w:sz w:val="22"/>
          <w:szCs w:val="22"/>
        </w:rPr>
        <w:t xml:space="preserve"> assess </w:t>
      </w:r>
      <w:r w:rsidR="00C0305E">
        <w:rPr>
          <w:rFonts w:asciiTheme="majorHAnsi" w:hAnsiTheme="majorHAnsi" w:cstheme="majorHAnsi"/>
          <w:sz w:val="22"/>
          <w:szCs w:val="22"/>
        </w:rPr>
        <w:t>progress made</w:t>
      </w:r>
      <w:r w:rsidR="002F728C">
        <w:rPr>
          <w:rFonts w:asciiTheme="majorHAnsi" w:hAnsiTheme="majorHAnsi" w:cstheme="majorHAnsi"/>
          <w:sz w:val="22"/>
          <w:szCs w:val="22"/>
        </w:rPr>
        <w:t xml:space="preserve"> on the foundational skills of all learners</w:t>
      </w:r>
      <w:r>
        <w:rPr>
          <w:rFonts w:asciiTheme="majorHAnsi" w:hAnsiTheme="majorHAnsi" w:cstheme="majorHAnsi"/>
          <w:sz w:val="22"/>
          <w:szCs w:val="22"/>
        </w:rPr>
        <w:t xml:space="preserve"> in the school</w:t>
      </w:r>
      <w:r w:rsidR="00367A4D">
        <w:rPr>
          <w:rFonts w:asciiTheme="majorHAnsi" w:hAnsiTheme="majorHAnsi" w:cstheme="majorHAnsi"/>
          <w:sz w:val="22"/>
          <w:szCs w:val="22"/>
        </w:rPr>
        <w:t>s</w:t>
      </w:r>
      <w:r w:rsidR="00236933">
        <w:rPr>
          <w:rFonts w:asciiTheme="majorHAnsi" w:hAnsiTheme="majorHAnsi" w:cstheme="majorHAnsi"/>
          <w:sz w:val="22"/>
          <w:szCs w:val="22"/>
        </w:rPr>
        <w:t>/madrasah</w:t>
      </w:r>
      <w:r w:rsidR="002F728C">
        <w:rPr>
          <w:rFonts w:asciiTheme="majorHAnsi" w:hAnsiTheme="majorHAnsi" w:cstheme="majorHAnsi"/>
          <w:sz w:val="22"/>
          <w:szCs w:val="22"/>
        </w:rPr>
        <w:t xml:space="preserve">. </w:t>
      </w:r>
      <w:r w:rsidR="00351164">
        <w:rPr>
          <w:rFonts w:asciiTheme="majorHAnsi" w:hAnsiTheme="majorHAnsi" w:cstheme="majorHAnsi"/>
          <w:sz w:val="22"/>
          <w:szCs w:val="22"/>
        </w:rPr>
        <w:t xml:space="preserve">This will entail supporting the </w:t>
      </w:r>
      <w:r w:rsidR="00351164" w:rsidRPr="00F91B6F">
        <w:rPr>
          <w:rFonts w:asciiTheme="majorHAnsi" w:hAnsiTheme="majorHAnsi" w:cstheme="majorHAnsi"/>
          <w:i/>
          <w:iCs/>
          <w:sz w:val="22"/>
          <w:szCs w:val="22"/>
        </w:rPr>
        <w:t xml:space="preserve">process of </w:t>
      </w:r>
      <w:r w:rsidR="00C0305E" w:rsidRPr="00431ECE">
        <w:rPr>
          <w:rFonts w:asciiTheme="majorHAnsi" w:hAnsiTheme="majorHAnsi" w:cstheme="majorHAnsi"/>
          <w:sz w:val="22"/>
          <w:szCs w:val="22"/>
        </w:rPr>
        <w:t xml:space="preserve">school-based </w:t>
      </w:r>
      <w:r w:rsidR="00351164" w:rsidRPr="00431ECE">
        <w:rPr>
          <w:rFonts w:asciiTheme="majorHAnsi" w:hAnsiTheme="majorHAnsi" w:cstheme="majorHAnsi"/>
          <w:sz w:val="22"/>
          <w:szCs w:val="22"/>
        </w:rPr>
        <w:t xml:space="preserve">curriculum development </w:t>
      </w:r>
      <w:r w:rsidR="00726A5B" w:rsidRPr="00431ECE">
        <w:rPr>
          <w:rFonts w:asciiTheme="majorHAnsi" w:hAnsiTheme="majorHAnsi" w:cstheme="majorHAnsi"/>
          <w:sz w:val="22"/>
          <w:szCs w:val="22"/>
        </w:rPr>
        <w:t>to ensure ef</w:t>
      </w:r>
      <w:r w:rsidR="00726A5B">
        <w:rPr>
          <w:rFonts w:asciiTheme="majorHAnsi" w:hAnsiTheme="majorHAnsi" w:cstheme="majorHAnsi"/>
          <w:sz w:val="22"/>
          <w:szCs w:val="22"/>
        </w:rPr>
        <w:t>fective choices are made</w:t>
      </w:r>
      <w:r w:rsidR="00351164">
        <w:rPr>
          <w:rFonts w:asciiTheme="majorHAnsi" w:hAnsiTheme="majorHAnsi" w:cstheme="majorHAnsi"/>
          <w:sz w:val="22"/>
          <w:szCs w:val="22"/>
        </w:rPr>
        <w:t xml:space="preserve"> </w:t>
      </w:r>
      <w:r w:rsidR="00C0305E">
        <w:rPr>
          <w:rFonts w:asciiTheme="majorHAnsi" w:hAnsiTheme="majorHAnsi" w:cstheme="majorHAnsi"/>
          <w:sz w:val="22"/>
          <w:szCs w:val="22"/>
        </w:rPr>
        <w:t>by schools</w:t>
      </w:r>
      <w:r w:rsidR="00367A4D">
        <w:rPr>
          <w:rFonts w:asciiTheme="majorHAnsi" w:hAnsiTheme="majorHAnsi" w:cstheme="majorHAnsi"/>
          <w:sz w:val="22"/>
          <w:szCs w:val="22"/>
        </w:rPr>
        <w:t>/madrasah</w:t>
      </w:r>
      <w:r w:rsidR="00C0305E">
        <w:rPr>
          <w:rFonts w:asciiTheme="majorHAnsi" w:hAnsiTheme="majorHAnsi" w:cstheme="majorHAnsi"/>
          <w:sz w:val="22"/>
          <w:szCs w:val="22"/>
        </w:rPr>
        <w:t xml:space="preserve"> </w:t>
      </w:r>
      <w:r w:rsidR="00351164">
        <w:rPr>
          <w:rFonts w:asciiTheme="majorHAnsi" w:hAnsiTheme="majorHAnsi" w:cstheme="majorHAnsi"/>
          <w:sz w:val="22"/>
          <w:szCs w:val="22"/>
        </w:rPr>
        <w:t xml:space="preserve">for achieving foundational skills </w:t>
      </w:r>
      <w:r w:rsidR="00C0305E">
        <w:rPr>
          <w:rFonts w:asciiTheme="majorHAnsi" w:hAnsiTheme="majorHAnsi" w:cstheme="majorHAnsi"/>
          <w:sz w:val="22"/>
          <w:szCs w:val="22"/>
        </w:rPr>
        <w:t>for all students</w:t>
      </w:r>
      <w:r w:rsidR="00880757">
        <w:rPr>
          <w:rFonts w:asciiTheme="majorHAnsi" w:hAnsiTheme="majorHAnsi" w:cstheme="majorHAnsi"/>
          <w:sz w:val="22"/>
          <w:szCs w:val="22"/>
        </w:rPr>
        <w:t>,</w:t>
      </w:r>
      <w:r w:rsidR="00C0305E">
        <w:rPr>
          <w:rFonts w:asciiTheme="majorHAnsi" w:hAnsiTheme="majorHAnsi" w:cstheme="majorHAnsi"/>
          <w:sz w:val="22"/>
          <w:szCs w:val="22"/>
        </w:rPr>
        <w:t xml:space="preserve"> </w:t>
      </w:r>
      <w:r w:rsidR="00236933">
        <w:rPr>
          <w:rFonts w:asciiTheme="majorHAnsi" w:hAnsiTheme="majorHAnsi" w:cstheme="majorHAnsi"/>
          <w:sz w:val="22"/>
          <w:szCs w:val="22"/>
        </w:rPr>
        <w:t xml:space="preserve">for each </w:t>
      </w:r>
      <w:r w:rsidR="00C0305E">
        <w:rPr>
          <w:rFonts w:asciiTheme="majorHAnsi" w:hAnsiTheme="majorHAnsi" w:cstheme="majorHAnsi"/>
          <w:sz w:val="22"/>
          <w:szCs w:val="22"/>
        </w:rPr>
        <w:t xml:space="preserve">achievement </w:t>
      </w:r>
      <w:r w:rsidR="00236933">
        <w:rPr>
          <w:rFonts w:asciiTheme="majorHAnsi" w:hAnsiTheme="majorHAnsi" w:cstheme="majorHAnsi"/>
          <w:sz w:val="22"/>
          <w:szCs w:val="22"/>
        </w:rPr>
        <w:t xml:space="preserve">phase of </w:t>
      </w:r>
      <w:proofErr w:type="spellStart"/>
      <w:r w:rsidR="00C0305E" w:rsidRPr="00221415">
        <w:rPr>
          <w:rFonts w:asciiTheme="majorHAnsi" w:hAnsiTheme="majorHAnsi" w:cstheme="majorHAnsi"/>
          <w:i/>
          <w:iCs/>
          <w:sz w:val="22"/>
          <w:szCs w:val="22"/>
        </w:rPr>
        <w:t>Kurikulum</w:t>
      </w:r>
      <w:proofErr w:type="spellEnd"/>
      <w:r w:rsidR="00C0305E" w:rsidRPr="00221415">
        <w:rPr>
          <w:rFonts w:asciiTheme="majorHAnsi" w:hAnsiTheme="majorHAnsi" w:cstheme="majorHAnsi"/>
          <w:i/>
          <w:iCs/>
          <w:sz w:val="22"/>
          <w:szCs w:val="22"/>
        </w:rPr>
        <w:t xml:space="preserve"> Merdeka</w:t>
      </w:r>
      <w:r w:rsidR="00C0305E">
        <w:rPr>
          <w:rFonts w:asciiTheme="majorHAnsi" w:hAnsiTheme="majorHAnsi" w:cstheme="majorHAnsi"/>
          <w:sz w:val="22"/>
          <w:szCs w:val="22"/>
        </w:rPr>
        <w:t xml:space="preserve"> in </w:t>
      </w:r>
      <w:r w:rsidR="00236933">
        <w:rPr>
          <w:rFonts w:asciiTheme="majorHAnsi" w:hAnsiTheme="majorHAnsi" w:cstheme="majorHAnsi"/>
          <w:sz w:val="22"/>
          <w:szCs w:val="22"/>
        </w:rPr>
        <w:t>the primary sub-sector</w:t>
      </w:r>
      <w:r w:rsidR="00221415">
        <w:rPr>
          <w:rFonts w:asciiTheme="majorHAnsi" w:hAnsiTheme="majorHAnsi" w:cstheme="majorHAnsi"/>
          <w:sz w:val="22"/>
          <w:szCs w:val="22"/>
        </w:rPr>
        <w:t xml:space="preserve">. It will also entail </w:t>
      </w:r>
      <w:r w:rsidR="00221415" w:rsidRPr="00221415">
        <w:rPr>
          <w:rFonts w:asciiTheme="majorHAnsi" w:hAnsiTheme="majorHAnsi" w:cstheme="majorHAnsi"/>
          <w:sz w:val="22"/>
          <w:szCs w:val="22"/>
        </w:rPr>
        <w:t xml:space="preserve">supporting </w:t>
      </w:r>
      <w:r w:rsidR="00236933" w:rsidRPr="00221415">
        <w:rPr>
          <w:rFonts w:asciiTheme="majorHAnsi" w:hAnsiTheme="majorHAnsi" w:cstheme="majorHAnsi"/>
          <w:sz w:val="22"/>
          <w:szCs w:val="22"/>
        </w:rPr>
        <w:t>teachers</w:t>
      </w:r>
      <w:r w:rsidR="00C0305E" w:rsidRPr="00221415">
        <w:rPr>
          <w:rFonts w:asciiTheme="majorHAnsi" w:hAnsiTheme="majorHAnsi" w:cstheme="majorHAnsi"/>
          <w:sz w:val="22"/>
          <w:szCs w:val="22"/>
        </w:rPr>
        <w:t>’</w:t>
      </w:r>
      <w:r w:rsidR="00236933" w:rsidRPr="00221415">
        <w:rPr>
          <w:rFonts w:asciiTheme="majorHAnsi" w:hAnsiTheme="majorHAnsi" w:cstheme="majorHAnsi"/>
          <w:sz w:val="22"/>
          <w:szCs w:val="22"/>
        </w:rPr>
        <w:t xml:space="preserve"> and principals</w:t>
      </w:r>
      <w:r w:rsidR="00880757" w:rsidRPr="00221415">
        <w:rPr>
          <w:rFonts w:asciiTheme="majorHAnsi" w:hAnsiTheme="majorHAnsi" w:cstheme="majorHAnsi"/>
          <w:sz w:val="22"/>
          <w:szCs w:val="22"/>
        </w:rPr>
        <w:t>’</w:t>
      </w:r>
      <w:r w:rsidR="00236933" w:rsidRPr="00221415">
        <w:rPr>
          <w:rFonts w:asciiTheme="majorHAnsi" w:hAnsiTheme="majorHAnsi" w:cstheme="majorHAnsi"/>
          <w:sz w:val="22"/>
          <w:szCs w:val="22"/>
        </w:rPr>
        <w:t xml:space="preserve"> access to teaching and learning materials necessary for children’s acquisition of foundational skills</w:t>
      </w:r>
      <w:r w:rsidR="00C0305E" w:rsidRPr="00221415">
        <w:rPr>
          <w:rFonts w:asciiTheme="majorHAnsi" w:hAnsiTheme="majorHAnsi" w:cstheme="majorHAnsi"/>
          <w:sz w:val="22"/>
          <w:szCs w:val="22"/>
        </w:rPr>
        <w:t>.</w:t>
      </w:r>
      <w:r w:rsidR="00C0305E">
        <w:rPr>
          <w:rFonts w:asciiTheme="majorHAnsi" w:hAnsiTheme="majorHAnsi" w:cstheme="majorHAnsi"/>
          <w:sz w:val="22"/>
          <w:szCs w:val="22"/>
        </w:rPr>
        <w:t xml:space="preserve"> </w:t>
      </w:r>
      <w:r w:rsidR="00A24BA0">
        <w:rPr>
          <w:rFonts w:asciiTheme="majorHAnsi" w:hAnsiTheme="majorHAnsi" w:cstheme="majorHAnsi"/>
          <w:sz w:val="22"/>
          <w:szCs w:val="22"/>
        </w:rPr>
        <w:t>Indicative needs</w:t>
      </w:r>
      <w:r w:rsidR="00E04A58">
        <w:rPr>
          <w:rFonts w:asciiTheme="majorHAnsi" w:hAnsiTheme="majorHAnsi" w:cstheme="majorHAnsi"/>
          <w:sz w:val="22"/>
          <w:szCs w:val="22"/>
        </w:rPr>
        <w:t xml:space="preserve"> include</w:t>
      </w:r>
      <w:r w:rsidR="00221415">
        <w:rPr>
          <w:rFonts w:asciiTheme="majorHAnsi" w:hAnsiTheme="majorHAnsi" w:cstheme="majorHAnsi"/>
          <w:sz w:val="22"/>
          <w:szCs w:val="22"/>
        </w:rPr>
        <w:t xml:space="preserve"> the</w:t>
      </w:r>
      <w:r w:rsidR="00E04A58">
        <w:rPr>
          <w:rFonts w:asciiTheme="majorHAnsi" w:hAnsiTheme="majorHAnsi" w:cstheme="majorHAnsi"/>
          <w:sz w:val="22"/>
          <w:szCs w:val="22"/>
        </w:rPr>
        <w:t xml:space="preserve"> </w:t>
      </w:r>
      <w:r w:rsidR="00B13E81">
        <w:rPr>
          <w:rFonts w:asciiTheme="majorHAnsi" w:hAnsiTheme="majorHAnsi" w:cstheme="majorHAnsi"/>
          <w:sz w:val="22"/>
          <w:szCs w:val="22"/>
        </w:rPr>
        <w:t>provision of</w:t>
      </w:r>
      <w:r w:rsidR="00726A5B">
        <w:rPr>
          <w:rFonts w:asciiTheme="majorHAnsi" w:hAnsiTheme="majorHAnsi" w:cstheme="majorHAnsi"/>
          <w:sz w:val="22"/>
          <w:szCs w:val="22"/>
        </w:rPr>
        <w:t xml:space="preserve"> </w:t>
      </w:r>
      <w:r w:rsidR="009B5D08">
        <w:rPr>
          <w:rFonts w:asciiTheme="majorHAnsi" w:hAnsiTheme="majorHAnsi" w:cstheme="majorHAnsi"/>
          <w:sz w:val="22"/>
          <w:szCs w:val="22"/>
        </w:rPr>
        <w:t>age-</w:t>
      </w:r>
      <w:r w:rsidR="009B5D08">
        <w:rPr>
          <w:rFonts w:asciiTheme="majorHAnsi" w:hAnsiTheme="majorHAnsi" w:cstheme="majorHAnsi"/>
          <w:sz w:val="22"/>
          <w:szCs w:val="22"/>
        </w:rPr>
        <w:lastRenderedPageBreak/>
        <w:t xml:space="preserve">appropriate </w:t>
      </w:r>
      <w:r w:rsidR="00726A5B">
        <w:rPr>
          <w:rFonts w:asciiTheme="majorHAnsi" w:hAnsiTheme="majorHAnsi" w:cstheme="majorHAnsi"/>
          <w:sz w:val="22"/>
          <w:szCs w:val="22"/>
        </w:rPr>
        <w:t xml:space="preserve">children’s books, </w:t>
      </w:r>
      <w:r w:rsidR="002F728C">
        <w:rPr>
          <w:rFonts w:asciiTheme="majorHAnsi" w:hAnsiTheme="majorHAnsi" w:cstheme="majorHAnsi"/>
          <w:sz w:val="22"/>
          <w:szCs w:val="22"/>
        </w:rPr>
        <w:t xml:space="preserve">the </w:t>
      </w:r>
      <w:r w:rsidR="00726A5B">
        <w:rPr>
          <w:rFonts w:asciiTheme="majorHAnsi" w:hAnsiTheme="majorHAnsi" w:cstheme="majorHAnsi"/>
          <w:sz w:val="22"/>
          <w:szCs w:val="22"/>
        </w:rPr>
        <w:t xml:space="preserve">access </w:t>
      </w:r>
      <w:r w:rsidR="00221415">
        <w:rPr>
          <w:rFonts w:asciiTheme="majorHAnsi" w:hAnsiTheme="majorHAnsi" w:cstheme="majorHAnsi"/>
          <w:sz w:val="22"/>
          <w:szCs w:val="22"/>
        </w:rPr>
        <w:t xml:space="preserve">to digital platforms for remote </w:t>
      </w:r>
      <w:r w:rsidR="00B13E81">
        <w:rPr>
          <w:rFonts w:asciiTheme="majorHAnsi" w:hAnsiTheme="majorHAnsi" w:cstheme="majorHAnsi"/>
          <w:sz w:val="22"/>
          <w:szCs w:val="22"/>
        </w:rPr>
        <w:t>schools</w:t>
      </w:r>
      <w:r w:rsidR="00C15D6C">
        <w:rPr>
          <w:rFonts w:asciiTheme="majorHAnsi" w:hAnsiTheme="majorHAnsi" w:cstheme="majorHAnsi"/>
          <w:sz w:val="22"/>
          <w:szCs w:val="22"/>
        </w:rPr>
        <w:t xml:space="preserve"> and</w:t>
      </w:r>
      <w:r w:rsidR="00726A5B">
        <w:rPr>
          <w:rFonts w:asciiTheme="majorHAnsi" w:hAnsiTheme="majorHAnsi" w:cstheme="majorHAnsi"/>
          <w:sz w:val="22"/>
          <w:szCs w:val="22"/>
        </w:rPr>
        <w:t xml:space="preserve"> </w:t>
      </w:r>
      <w:r w:rsidR="00221415">
        <w:rPr>
          <w:rFonts w:asciiTheme="majorHAnsi" w:hAnsiTheme="majorHAnsi" w:cstheme="majorHAnsi"/>
          <w:sz w:val="22"/>
          <w:szCs w:val="22"/>
        </w:rPr>
        <w:t xml:space="preserve">the </w:t>
      </w:r>
      <w:r w:rsidR="00726A5B">
        <w:rPr>
          <w:rFonts w:asciiTheme="majorHAnsi" w:hAnsiTheme="majorHAnsi" w:cstheme="majorHAnsi"/>
          <w:sz w:val="22"/>
          <w:szCs w:val="22"/>
        </w:rPr>
        <w:t>regulation of school grant allocation for learning</w:t>
      </w:r>
      <w:r w:rsidR="002F728C">
        <w:rPr>
          <w:rFonts w:asciiTheme="majorHAnsi" w:hAnsiTheme="majorHAnsi" w:cstheme="majorHAnsi"/>
          <w:sz w:val="22"/>
          <w:szCs w:val="22"/>
        </w:rPr>
        <w:t xml:space="preserve"> materials</w:t>
      </w:r>
      <w:r w:rsidR="00A24BA0">
        <w:rPr>
          <w:rFonts w:asciiTheme="majorHAnsi" w:hAnsiTheme="majorHAnsi" w:cstheme="majorHAnsi"/>
          <w:sz w:val="22"/>
          <w:szCs w:val="22"/>
        </w:rPr>
        <w:t>.</w:t>
      </w:r>
      <w:r w:rsidR="00726A5B">
        <w:rPr>
          <w:rFonts w:asciiTheme="majorHAnsi" w:hAnsiTheme="majorHAnsi" w:cstheme="majorHAnsi"/>
          <w:sz w:val="22"/>
          <w:szCs w:val="22"/>
        </w:rPr>
        <w:t xml:space="preserve"> </w:t>
      </w:r>
    </w:p>
    <w:p w14:paraId="06918998" w14:textId="6E30F241" w:rsidR="00E12E44" w:rsidRDefault="00A24BA0" w:rsidP="00C52498">
      <w:pPr>
        <w:pStyle w:val="BodyText"/>
        <w:spacing w:after="120" w:line="281" w:lineRule="auto"/>
        <w:rPr>
          <w:rFonts w:asciiTheme="majorHAnsi" w:hAnsiTheme="majorHAnsi" w:cstheme="majorHAnsi"/>
          <w:sz w:val="22"/>
          <w:szCs w:val="22"/>
        </w:rPr>
      </w:pPr>
      <w:r>
        <w:rPr>
          <w:rFonts w:asciiTheme="majorHAnsi" w:hAnsiTheme="majorHAnsi" w:cstheme="majorHAnsi"/>
          <w:sz w:val="22"/>
          <w:szCs w:val="22"/>
        </w:rPr>
        <w:t xml:space="preserve">The program will also support district authorities to orchestrate </w:t>
      </w:r>
      <w:r w:rsidR="00F70160">
        <w:rPr>
          <w:rFonts w:asciiTheme="majorHAnsi" w:hAnsiTheme="majorHAnsi" w:cstheme="majorHAnsi"/>
          <w:sz w:val="22"/>
          <w:szCs w:val="22"/>
        </w:rPr>
        <w:t>support from</w:t>
      </w:r>
      <w:r w:rsidR="00221415">
        <w:rPr>
          <w:rFonts w:asciiTheme="majorHAnsi" w:hAnsiTheme="majorHAnsi" w:cstheme="majorHAnsi"/>
          <w:sz w:val="22"/>
          <w:szCs w:val="22"/>
        </w:rPr>
        <w:t xml:space="preserve"> relevant</w:t>
      </w:r>
      <w:r w:rsidR="00F70160">
        <w:rPr>
          <w:rFonts w:asciiTheme="majorHAnsi" w:hAnsiTheme="majorHAnsi" w:cstheme="majorHAnsi"/>
          <w:sz w:val="22"/>
          <w:szCs w:val="22"/>
        </w:rPr>
        <w:t xml:space="preserve"> </w:t>
      </w:r>
      <w:r>
        <w:rPr>
          <w:rFonts w:asciiTheme="majorHAnsi" w:hAnsiTheme="majorHAnsi" w:cstheme="majorHAnsi"/>
          <w:sz w:val="22"/>
          <w:szCs w:val="22"/>
        </w:rPr>
        <w:t xml:space="preserve">agencies that have a contribution to make to inclusive school curriculum </w:t>
      </w:r>
      <w:r w:rsidR="00F70160">
        <w:rPr>
          <w:rFonts w:asciiTheme="majorHAnsi" w:hAnsiTheme="majorHAnsi" w:cstheme="majorHAnsi"/>
          <w:sz w:val="22"/>
          <w:szCs w:val="22"/>
        </w:rPr>
        <w:t>and assessment,</w:t>
      </w:r>
      <w:r>
        <w:rPr>
          <w:rFonts w:asciiTheme="majorHAnsi" w:hAnsiTheme="majorHAnsi" w:cstheme="majorHAnsi"/>
          <w:sz w:val="22"/>
          <w:szCs w:val="22"/>
        </w:rPr>
        <w:t xml:space="preserve"> including </w:t>
      </w:r>
      <w:r w:rsidR="00221415">
        <w:rPr>
          <w:rFonts w:asciiTheme="majorHAnsi" w:hAnsiTheme="majorHAnsi" w:cstheme="majorHAnsi"/>
          <w:sz w:val="22"/>
          <w:szCs w:val="22"/>
        </w:rPr>
        <w:t xml:space="preserve">for </w:t>
      </w:r>
      <w:r>
        <w:rPr>
          <w:rFonts w:asciiTheme="majorHAnsi" w:hAnsiTheme="majorHAnsi" w:cstheme="majorHAnsi"/>
          <w:sz w:val="22"/>
          <w:szCs w:val="22"/>
        </w:rPr>
        <w:t xml:space="preserve">learners with a disability. </w:t>
      </w:r>
      <w:r w:rsidR="00F70160">
        <w:rPr>
          <w:rFonts w:asciiTheme="majorHAnsi" w:hAnsiTheme="majorHAnsi" w:cstheme="majorHAnsi"/>
          <w:sz w:val="22"/>
          <w:szCs w:val="22"/>
        </w:rPr>
        <w:t xml:space="preserve"> </w:t>
      </w:r>
      <w:r w:rsidR="00221415">
        <w:rPr>
          <w:rFonts w:asciiTheme="majorHAnsi" w:hAnsiTheme="majorHAnsi" w:cstheme="majorHAnsi"/>
          <w:sz w:val="22"/>
          <w:szCs w:val="22"/>
        </w:rPr>
        <w:t>T</w:t>
      </w:r>
      <w:r w:rsidR="00385EC1">
        <w:rPr>
          <w:rFonts w:asciiTheme="majorHAnsi" w:hAnsiTheme="majorHAnsi" w:cstheme="majorHAnsi"/>
          <w:sz w:val="22"/>
          <w:szCs w:val="22"/>
        </w:rPr>
        <w:t xml:space="preserve">he program </w:t>
      </w:r>
      <w:r w:rsidR="00221415">
        <w:rPr>
          <w:rFonts w:asciiTheme="majorHAnsi" w:hAnsiTheme="majorHAnsi" w:cstheme="majorHAnsi"/>
          <w:sz w:val="22"/>
          <w:szCs w:val="22"/>
        </w:rPr>
        <w:t>will</w:t>
      </w:r>
      <w:r w:rsidR="00385EC1">
        <w:rPr>
          <w:rFonts w:asciiTheme="majorHAnsi" w:hAnsiTheme="majorHAnsi" w:cstheme="majorHAnsi"/>
          <w:sz w:val="22"/>
          <w:szCs w:val="22"/>
        </w:rPr>
        <w:t xml:space="preserve"> support the capacity of the BPMP to take a facilitating role in supporting </w:t>
      </w:r>
      <w:r w:rsidR="008D7EA1">
        <w:rPr>
          <w:rFonts w:asciiTheme="majorHAnsi" w:hAnsiTheme="majorHAnsi" w:cstheme="majorHAnsi"/>
          <w:sz w:val="22"/>
          <w:szCs w:val="22"/>
        </w:rPr>
        <w:t>district authorities</w:t>
      </w:r>
      <w:r w:rsidR="00385EC1">
        <w:rPr>
          <w:rFonts w:asciiTheme="majorHAnsi" w:hAnsiTheme="majorHAnsi" w:cstheme="majorHAnsi"/>
          <w:sz w:val="22"/>
          <w:szCs w:val="22"/>
        </w:rPr>
        <w:t xml:space="preserve"> with </w:t>
      </w:r>
      <w:r w:rsidR="00880757">
        <w:rPr>
          <w:rFonts w:asciiTheme="majorHAnsi" w:hAnsiTheme="majorHAnsi" w:cstheme="majorHAnsi"/>
          <w:sz w:val="22"/>
          <w:szCs w:val="22"/>
        </w:rPr>
        <w:t>national</w:t>
      </w:r>
      <w:r w:rsidR="00385EC1">
        <w:rPr>
          <w:rFonts w:asciiTheme="majorHAnsi" w:hAnsiTheme="majorHAnsi" w:cstheme="majorHAnsi"/>
          <w:sz w:val="22"/>
          <w:szCs w:val="22"/>
        </w:rPr>
        <w:t xml:space="preserve"> data</w:t>
      </w:r>
      <w:r w:rsidR="00221415">
        <w:rPr>
          <w:rFonts w:asciiTheme="majorHAnsi" w:hAnsiTheme="majorHAnsi" w:cstheme="majorHAnsi"/>
          <w:sz w:val="22"/>
          <w:szCs w:val="22"/>
        </w:rPr>
        <w:t xml:space="preserve">, including the </w:t>
      </w:r>
      <w:r w:rsidR="009B0CCC">
        <w:rPr>
          <w:rFonts w:asciiTheme="majorHAnsi" w:hAnsiTheme="majorHAnsi" w:cstheme="majorHAnsi"/>
          <w:sz w:val="22"/>
          <w:szCs w:val="22"/>
        </w:rPr>
        <w:t xml:space="preserve">Assessment of Minimum Competency (Indonesian acronym - </w:t>
      </w:r>
      <w:r w:rsidR="00221415">
        <w:rPr>
          <w:rFonts w:asciiTheme="majorHAnsi" w:hAnsiTheme="majorHAnsi" w:cstheme="majorHAnsi"/>
          <w:sz w:val="22"/>
          <w:szCs w:val="22"/>
        </w:rPr>
        <w:t>AKM</w:t>
      </w:r>
      <w:r w:rsidR="009B0CCC">
        <w:rPr>
          <w:rFonts w:asciiTheme="majorHAnsi" w:hAnsiTheme="majorHAnsi" w:cstheme="majorHAnsi"/>
          <w:sz w:val="22"/>
          <w:szCs w:val="22"/>
        </w:rPr>
        <w:t>)</w:t>
      </w:r>
      <w:r w:rsidR="00221415">
        <w:rPr>
          <w:rFonts w:asciiTheme="majorHAnsi" w:hAnsiTheme="majorHAnsi" w:cstheme="majorHAnsi"/>
          <w:sz w:val="22"/>
          <w:szCs w:val="22"/>
        </w:rPr>
        <w:t xml:space="preserve"> surveys of literacy, numeracy and character outcomes and the survey of the school learning environment</w:t>
      </w:r>
      <w:r w:rsidR="008D7EA1">
        <w:rPr>
          <w:rFonts w:asciiTheme="majorHAnsi" w:hAnsiTheme="majorHAnsi" w:cstheme="majorHAnsi"/>
          <w:sz w:val="22"/>
          <w:szCs w:val="22"/>
        </w:rPr>
        <w:t>,</w:t>
      </w:r>
      <w:r w:rsidR="00385EC1">
        <w:rPr>
          <w:rFonts w:asciiTheme="majorHAnsi" w:hAnsiTheme="majorHAnsi" w:cstheme="majorHAnsi"/>
          <w:sz w:val="22"/>
          <w:szCs w:val="22"/>
        </w:rPr>
        <w:t xml:space="preserve"> and to help the district</w:t>
      </w:r>
      <w:r w:rsidR="00C15D6C">
        <w:rPr>
          <w:rFonts w:asciiTheme="majorHAnsi" w:hAnsiTheme="majorHAnsi" w:cstheme="majorHAnsi"/>
          <w:sz w:val="22"/>
          <w:szCs w:val="22"/>
        </w:rPr>
        <w:t>s</w:t>
      </w:r>
      <w:r w:rsidR="00385EC1">
        <w:rPr>
          <w:rFonts w:asciiTheme="majorHAnsi" w:hAnsiTheme="majorHAnsi" w:cstheme="majorHAnsi"/>
          <w:sz w:val="22"/>
          <w:szCs w:val="22"/>
        </w:rPr>
        <w:t xml:space="preserve"> </w:t>
      </w:r>
      <w:r w:rsidR="0095059B">
        <w:rPr>
          <w:rFonts w:asciiTheme="majorHAnsi" w:hAnsiTheme="majorHAnsi" w:cstheme="majorHAnsi"/>
          <w:sz w:val="22"/>
          <w:szCs w:val="22"/>
        </w:rPr>
        <w:t xml:space="preserve">maintain their own </w:t>
      </w:r>
      <w:r w:rsidR="00880757">
        <w:rPr>
          <w:rFonts w:asciiTheme="majorHAnsi" w:hAnsiTheme="majorHAnsi" w:cstheme="majorHAnsi"/>
          <w:sz w:val="22"/>
          <w:szCs w:val="22"/>
        </w:rPr>
        <w:t>assessments</w:t>
      </w:r>
      <w:r w:rsidR="0095059B">
        <w:rPr>
          <w:rFonts w:asciiTheme="majorHAnsi" w:hAnsiTheme="majorHAnsi" w:cstheme="majorHAnsi"/>
          <w:sz w:val="22"/>
          <w:szCs w:val="22"/>
        </w:rPr>
        <w:t xml:space="preserve"> of students’ progress, especially as there is no longer any mandated external validation of schools</w:t>
      </w:r>
      <w:r w:rsidR="008D7EA1">
        <w:rPr>
          <w:rFonts w:asciiTheme="majorHAnsi" w:hAnsiTheme="majorHAnsi" w:cstheme="majorHAnsi"/>
          <w:sz w:val="22"/>
          <w:szCs w:val="22"/>
        </w:rPr>
        <w:t>’</w:t>
      </w:r>
      <w:r w:rsidR="0095059B">
        <w:rPr>
          <w:rFonts w:asciiTheme="majorHAnsi" w:hAnsiTheme="majorHAnsi" w:cstheme="majorHAnsi"/>
          <w:sz w:val="22"/>
          <w:szCs w:val="22"/>
        </w:rPr>
        <w:t xml:space="preserve"> internal assessment of their students in the national system. This support will </w:t>
      </w:r>
      <w:r w:rsidR="00385EC1">
        <w:rPr>
          <w:rFonts w:asciiTheme="majorHAnsi" w:hAnsiTheme="majorHAnsi" w:cstheme="majorHAnsi"/>
          <w:sz w:val="22"/>
          <w:szCs w:val="22"/>
        </w:rPr>
        <w:t xml:space="preserve">include helping </w:t>
      </w:r>
      <w:r w:rsidR="00221415">
        <w:rPr>
          <w:rFonts w:asciiTheme="majorHAnsi" w:hAnsiTheme="majorHAnsi" w:cstheme="majorHAnsi"/>
          <w:sz w:val="22"/>
          <w:szCs w:val="22"/>
        </w:rPr>
        <w:t xml:space="preserve">district </w:t>
      </w:r>
      <w:r w:rsidR="00385EC1">
        <w:rPr>
          <w:rFonts w:asciiTheme="majorHAnsi" w:hAnsiTheme="majorHAnsi" w:cstheme="majorHAnsi"/>
          <w:sz w:val="22"/>
          <w:szCs w:val="22"/>
        </w:rPr>
        <w:t>authorities tailor</w:t>
      </w:r>
      <w:r w:rsidR="008B4789">
        <w:rPr>
          <w:rFonts w:asciiTheme="majorHAnsi" w:hAnsiTheme="majorHAnsi" w:cstheme="majorHAnsi"/>
          <w:sz w:val="22"/>
          <w:szCs w:val="22"/>
        </w:rPr>
        <w:t xml:space="preserve"> curriculum</w:t>
      </w:r>
      <w:r w:rsidR="00385EC1">
        <w:rPr>
          <w:rFonts w:asciiTheme="majorHAnsi" w:hAnsiTheme="majorHAnsi" w:cstheme="majorHAnsi"/>
          <w:sz w:val="22"/>
          <w:szCs w:val="22"/>
        </w:rPr>
        <w:t xml:space="preserve"> </w:t>
      </w:r>
      <w:r w:rsidR="00221415">
        <w:rPr>
          <w:rFonts w:asciiTheme="majorHAnsi" w:hAnsiTheme="majorHAnsi" w:cstheme="majorHAnsi"/>
          <w:sz w:val="22"/>
          <w:szCs w:val="22"/>
        </w:rPr>
        <w:t xml:space="preserve">and </w:t>
      </w:r>
      <w:r w:rsidR="00385EC1">
        <w:rPr>
          <w:rFonts w:asciiTheme="majorHAnsi" w:hAnsiTheme="majorHAnsi" w:cstheme="majorHAnsi"/>
          <w:sz w:val="22"/>
          <w:szCs w:val="22"/>
        </w:rPr>
        <w:t xml:space="preserve">monitoring and evaluation </w:t>
      </w:r>
      <w:r w:rsidR="00221415">
        <w:rPr>
          <w:rFonts w:asciiTheme="majorHAnsi" w:hAnsiTheme="majorHAnsi" w:cstheme="majorHAnsi"/>
          <w:sz w:val="22"/>
          <w:szCs w:val="22"/>
        </w:rPr>
        <w:t xml:space="preserve">processes </w:t>
      </w:r>
      <w:r w:rsidR="00385EC1">
        <w:rPr>
          <w:rFonts w:asciiTheme="majorHAnsi" w:hAnsiTheme="majorHAnsi" w:cstheme="majorHAnsi"/>
          <w:sz w:val="22"/>
          <w:szCs w:val="22"/>
        </w:rPr>
        <w:t xml:space="preserve">of learning </w:t>
      </w:r>
      <w:r w:rsidR="008D7EA1">
        <w:rPr>
          <w:rFonts w:asciiTheme="majorHAnsi" w:hAnsiTheme="majorHAnsi" w:cstheme="majorHAnsi"/>
          <w:sz w:val="22"/>
          <w:szCs w:val="22"/>
        </w:rPr>
        <w:t xml:space="preserve">to capture different intersecting effects that affect </w:t>
      </w:r>
      <w:proofErr w:type="gramStart"/>
      <w:r w:rsidR="008D7EA1">
        <w:rPr>
          <w:rFonts w:asciiTheme="majorHAnsi" w:hAnsiTheme="majorHAnsi" w:cstheme="majorHAnsi"/>
          <w:sz w:val="22"/>
          <w:szCs w:val="22"/>
        </w:rPr>
        <w:t>particular</w:t>
      </w:r>
      <w:r w:rsidR="00EB0DB6">
        <w:rPr>
          <w:rFonts w:asciiTheme="majorHAnsi" w:hAnsiTheme="majorHAnsi" w:cstheme="majorHAnsi"/>
          <w:sz w:val="22"/>
          <w:szCs w:val="22"/>
        </w:rPr>
        <w:t xml:space="preserve"> </w:t>
      </w:r>
      <w:r w:rsidR="008D7EA1">
        <w:rPr>
          <w:rFonts w:asciiTheme="majorHAnsi" w:hAnsiTheme="majorHAnsi" w:cstheme="majorHAnsi"/>
          <w:sz w:val="22"/>
          <w:szCs w:val="22"/>
        </w:rPr>
        <w:t>school</w:t>
      </w:r>
      <w:proofErr w:type="gramEnd"/>
      <w:r w:rsidR="008D7EA1">
        <w:rPr>
          <w:rFonts w:asciiTheme="majorHAnsi" w:hAnsiTheme="majorHAnsi" w:cstheme="majorHAnsi"/>
          <w:sz w:val="22"/>
          <w:szCs w:val="22"/>
        </w:rPr>
        <w:t xml:space="preserve"> demographics</w:t>
      </w:r>
      <w:r w:rsidR="008B4789">
        <w:rPr>
          <w:rFonts w:asciiTheme="majorHAnsi" w:hAnsiTheme="majorHAnsi" w:cstheme="majorHAnsi"/>
          <w:sz w:val="22"/>
          <w:szCs w:val="22"/>
        </w:rPr>
        <w:t>, including through brokering the input of OPDs and gender based CSOs in the district.</w:t>
      </w:r>
      <w:r w:rsidR="00221415">
        <w:rPr>
          <w:rFonts w:asciiTheme="majorHAnsi" w:hAnsiTheme="majorHAnsi" w:cstheme="majorHAnsi"/>
          <w:sz w:val="22"/>
          <w:szCs w:val="22"/>
        </w:rPr>
        <w:t xml:space="preserve"> This aligns with</w:t>
      </w:r>
      <w:r w:rsidR="008D7EA1">
        <w:rPr>
          <w:rFonts w:asciiTheme="majorHAnsi" w:hAnsiTheme="majorHAnsi" w:cstheme="majorHAnsi"/>
          <w:sz w:val="22"/>
          <w:szCs w:val="22"/>
        </w:rPr>
        <w:t xml:space="preserve"> the </w:t>
      </w:r>
      <w:r w:rsidR="00221415">
        <w:rPr>
          <w:rFonts w:asciiTheme="majorHAnsi" w:hAnsiTheme="majorHAnsi" w:cstheme="majorHAnsi"/>
          <w:sz w:val="22"/>
          <w:szCs w:val="22"/>
        </w:rPr>
        <w:t xml:space="preserve">reforms’ </w:t>
      </w:r>
      <w:r w:rsidR="008D7EA1">
        <w:rPr>
          <w:rFonts w:asciiTheme="majorHAnsi" w:hAnsiTheme="majorHAnsi" w:cstheme="majorHAnsi"/>
          <w:sz w:val="22"/>
          <w:szCs w:val="22"/>
        </w:rPr>
        <w:t>commitment to the diversity of learner needs</w:t>
      </w:r>
      <w:r w:rsidR="00221415">
        <w:rPr>
          <w:rFonts w:asciiTheme="majorHAnsi" w:hAnsiTheme="majorHAnsi" w:cstheme="majorHAnsi"/>
          <w:sz w:val="22"/>
          <w:szCs w:val="22"/>
        </w:rPr>
        <w:t>,</w:t>
      </w:r>
      <w:r w:rsidR="00E12E44">
        <w:rPr>
          <w:rFonts w:asciiTheme="majorHAnsi" w:hAnsiTheme="majorHAnsi" w:cstheme="majorHAnsi"/>
          <w:sz w:val="22"/>
          <w:szCs w:val="22"/>
        </w:rPr>
        <w:t xml:space="preserve"> and </w:t>
      </w:r>
      <w:r w:rsidR="00221415">
        <w:rPr>
          <w:rFonts w:asciiTheme="majorHAnsi" w:hAnsiTheme="majorHAnsi" w:cstheme="majorHAnsi"/>
          <w:sz w:val="22"/>
          <w:szCs w:val="22"/>
        </w:rPr>
        <w:t xml:space="preserve">it </w:t>
      </w:r>
      <w:r w:rsidR="00E12E44">
        <w:rPr>
          <w:rFonts w:asciiTheme="majorHAnsi" w:hAnsiTheme="majorHAnsi" w:cstheme="majorHAnsi"/>
          <w:sz w:val="22"/>
          <w:szCs w:val="22"/>
        </w:rPr>
        <w:t>will enable the program to track progress towards EOPO 2</w:t>
      </w:r>
      <w:r w:rsidR="00880757">
        <w:rPr>
          <w:rFonts w:asciiTheme="majorHAnsi" w:hAnsiTheme="majorHAnsi" w:cstheme="majorHAnsi"/>
          <w:sz w:val="22"/>
          <w:szCs w:val="22"/>
        </w:rPr>
        <w:t>.</w:t>
      </w:r>
      <w:r w:rsidR="00D150DE">
        <w:rPr>
          <w:rStyle w:val="FootnoteReference"/>
          <w:rFonts w:asciiTheme="majorHAnsi" w:hAnsiTheme="majorHAnsi" w:cstheme="majorHAnsi"/>
          <w:sz w:val="22"/>
          <w:szCs w:val="22"/>
        </w:rPr>
        <w:footnoteReference w:id="27"/>
      </w:r>
      <w:r w:rsidR="00E12E44">
        <w:rPr>
          <w:rFonts w:asciiTheme="majorHAnsi" w:hAnsiTheme="majorHAnsi" w:cstheme="majorHAnsi"/>
          <w:sz w:val="22"/>
          <w:szCs w:val="22"/>
        </w:rPr>
        <w:t xml:space="preserve"> </w:t>
      </w:r>
    </w:p>
    <w:p w14:paraId="2061F65F" w14:textId="126BE8F4" w:rsidR="009B5D08" w:rsidRDefault="000C5386" w:rsidP="00C52498">
      <w:pPr>
        <w:pStyle w:val="BodyText"/>
        <w:spacing w:after="120" w:line="281" w:lineRule="auto"/>
        <w:rPr>
          <w:rFonts w:asciiTheme="majorHAnsi" w:hAnsiTheme="majorHAnsi" w:cstheme="majorHAnsi"/>
          <w:sz w:val="22"/>
          <w:szCs w:val="22"/>
        </w:rPr>
      </w:pPr>
      <w:r>
        <w:rPr>
          <w:rFonts w:asciiTheme="majorHAnsi" w:hAnsiTheme="majorHAnsi" w:cstheme="majorHAnsi"/>
          <w:sz w:val="22"/>
          <w:szCs w:val="22"/>
        </w:rPr>
        <w:t xml:space="preserve">This IO also </w:t>
      </w:r>
      <w:r w:rsidR="004B3D56" w:rsidRPr="00974377">
        <w:rPr>
          <w:rFonts w:asciiTheme="majorHAnsi" w:hAnsiTheme="majorHAnsi" w:cstheme="majorHAnsi"/>
          <w:sz w:val="22"/>
          <w:szCs w:val="22"/>
        </w:rPr>
        <w:t xml:space="preserve">reflects INOVASI’s potential to </w:t>
      </w:r>
      <w:r>
        <w:rPr>
          <w:rFonts w:asciiTheme="majorHAnsi" w:hAnsiTheme="majorHAnsi" w:cstheme="majorHAnsi"/>
          <w:sz w:val="22"/>
          <w:szCs w:val="22"/>
        </w:rPr>
        <w:t xml:space="preserve">support </w:t>
      </w:r>
      <w:r w:rsidR="00D150DE">
        <w:rPr>
          <w:rFonts w:asciiTheme="majorHAnsi" w:hAnsiTheme="majorHAnsi" w:cstheme="majorHAnsi"/>
          <w:sz w:val="22"/>
          <w:szCs w:val="22"/>
        </w:rPr>
        <w:t xml:space="preserve">the development of </w:t>
      </w:r>
      <w:r w:rsidR="009B5D08">
        <w:rPr>
          <w:rFonts w:asciiTheme="majorHAnsi" w:hAnsiTheme="majorHAnsi" w:cstheme="majorHAnsi"/>
          <w:sz w:val="22"/>
          <w:szCs w:val="22"/>
        </w:rPr>
        <w:t xml:space="preserve">learning </w:t>
      </w:r>
      <w:r>
        <w:rPr>
          <w:rFonts w:asciiTheme="majorHAnsi" w:hAnsiTheme="majorHAnsi" w:cstheme="majorHAnsi"/>
          <w:sz w:val="22"/>
          <w:szCs w:val="22"/>
        </w:rPr>
        <w:t>resource</w:t>
      </w:r>
      <w:r w:rsidR="009B5D08">
        <w:rPr>
          <w:rFonts w:asciiTheme="majorHAnsi" w:hAnsiTheme="majorHAnsi" w:cstheme="majorHAnsi"/>
          <w:sz w:val="22"/>
          <w:szCs w:val="22"/>
        </w:rPr>
        <w:t>s</w:t>
      </w:r>
      <w:r w:rsidR="00D150DE" w:rsidRPr="00D150DE">
        <w:rPr>
          <w:rFonts w:asciiTheme="majorHAnsi" w:hAnsiTheme="majorHAnsi" w:cstheme="majorHAnsi"/>
          <w:sz w:val="22"/>
          <w:szCs w:val="22"/>
        </w:rPr>
        <w:t xml:space="preserve"> </w:t>
      </w:r>
      <w:r w:rsidR="00D150DE">
        <w:rPr>
          <w:rFonts w:asciiTheme="majorHAnsi" w:hAnsiTheme="majorHAnsi" w:cstheme="majorHAnsi"/>
          <w:sz w:val="22"/>
          <w:szCs w:val="22"/>
        </w:rPr>
        <w:t xml:space="preserve">that </w:t>
      </w:r>
      <w:r w:rsidR="00D150DE" w:rsidRPr="00974377">
        <w:rPr>
          <w:rFonts w:asciiTheme="majorHAnsi" w:hAnsiTheme="majorHAnsi" w:cstheme="majorHAnsi"/>
          <w:sz w:val="22"/>
          <w:szCs w:val="22"/>
        </w:rPr>
        <w:t xml:space="preserve">have </w:t>
      </w:r>
      <w:r w:rsidR="00D150DE">
        <w:rPr>
          <w:rFonts w:asciiTheme="majorHAnsi" w:hAnsiTheme="majorHAnsi" w:cstheme="majorHAnsi"/>
          <w:sz w:val="22"/>
          <w:szCs w:val="22"/>
        </w:rPr>
        <w:t>influence</w:t>
      </w:r>
      <w:r w:rsidR="00D150DE" w:rsidRPr="00D150DE">
        <w:rPr>
          <w:rFonts w:asciiTheme="majorHAnsi" w:hAnsiTheme="majorHAnsi" w:cstheme="majorHAnsi"/>
          <w:sz w:val="22"/>
          <w:szCs w:val="22"/>
        </w:rPr>
        <w:t xml:space="preserve"> </w:t>
      </w:r>
      <w:r w:rsidR="00D150DE">
        <w:rPr>
          <w:rFonts w:asciiTheme="majorHAnsi" w:hAnsiTheme="majorHAnsi" w:cstheme="majorHAnsi"/>
          <w:sz w:val="22"/>
          <w:szCs w:val="22"/>
        </w:rPr>
        <w:t>nationwide</w:t>
      </w:r>
      <w:r w:rsidR="004F45BE">
        <w:rPr>
          <w:rFonts w:asciiTheme="majorHAnsi" w:hAnsiTheme="majorHAnsi" w:cstheme="majorHAnsi"/>
          <w:sz w:val="22"/>
          <w:szCs w:val="22"/>
        </w:rPr>
        <w:t>.</w:t>
      </w:r>
      <w:r>
        <w:rPr>
          <w:rFonts w:asciiTheme="majorHAnsi" w:hAnsiTheme="majorHAnsi" w:cstheme="majorHAnsi"/>
          <w:sz w:val="22"/>
          <w:szCs w:val="22"/>
        </w:rPr>
        <w:t xml:space="preserve"> </w:t>
      </w:r>
      <w:r w:rsidR="00D150DE">
        <w:rPr>
          <w:rFonts w:asciiTheme="majorHAnsi" w:hAnsiTheme="majorHAnsi" w:cstheme="majorHAnsi"/>
          <w:sz w:val="22"/>
          <w:szCs w:val="22"/>
        </w:rPr>
        <w:t>Indicative e</w:t>
      </w:r>
      <w:r w:rsidR="0051518A">
        <w:rPr>
          <w:rFonts w:asciiTheme="majorHAnsi" w:hAnsiTheme="majorHAnsi" w:cstheme="majorHAnsi"/>
          <w:sz w:val="22"/>
          <w:szCs w:val="22"/>
        </w:rPr>
        <w:t xml:space="preserve">xamples </w:t>
      </w:r>
      <w:r w:rsidR="00D150DE">
        <w:rPr>
          <w:rFonts w:asciiTheme="majorHAnsi" w:hAnsiTheme="majorHAnsi" w:cstheme="majorHAnsi"/>
          <w:sz w:val="22"/>
          <w:szCs w:val="22"/>
        </w:rPr>
        <w:t>include</w:t>
      </w:r>
      <w:r w:rsidR="000C4822">
        <w:rPr>
          <w:rFonts w:asciiTheme="majorHAnsi" w:hAnsiTheme="majorHAnsi" w:cstheme="majorHAnsi"/>
          <w:sz w:val="22"/>
          <w:szCs w:val="22"/>
        </w:rPr>
        <w:t xml:space="preserve"> materials </w:t>
      </w:r>
      <w:r w:rsidR="0051518A">
        <w:rPr>
          <w:rFonts w:asciiTheme="majorHAnsi" w:hAnsiTheme="majorHAnsi" w:cstheme="majorHAnsi"/>
          <w:sz w:val="22"/>
          <w:szCs w:val="22"/>
        </w:rPr>
        <w:t xml:space="preserve">for </w:t>
      </w:r>
      <w:r w:rsidR="000C4822">
        <w:rPr>
          <w:rFonts w:asciiTheme="majorHAnsi" w:hAnsiTheme="majorHAnsi" w:cstheme="majorHAnsi"/>
          <w:sz w:val="22"/>
          <w:szCs w:val="22"/>
        </w:rPr>
        <w:t>teachers</w:t>
      </w:r>
      <w:r w:rsidR="0051518A">
        <w:rPr>
          <w:rFonts w:asciiTheme="majorHAnsi" w:hAnsiTheme="majorHAnsi" w:cstheme="majorHAnsi"/>
          <w:sz w:val="22"/>
          <w:szCs w:val="22"/>
        </w:rPr>
        <w:t>’</w:t>
      </w:r>
      <w:r w:rsidR="000C4822">
        <w:rPr>
          <w:rFonts w:asciiTheme="majorHAnsi" w:hAnsiTheme="majorHAnsi" w:cstheme="majorHAnsi"/>
          <w:sz w:val="22"/>
          <w:szCs w:val="22"/>
        </w:rPr>
        <w:t xml:space="preserve"> understanding of numeracy</w:t>
      </w:r>
      <w:r w:rsidR="00221415">
        <w:rPr>
          <w:rFonts w:asciiTheme="majorHAnsi" w:hAnsiTheme="majorHAnsi" w:cstheme="majorHAnsi"/>
          <w:sz w:val="22"/>
          <w:szCs w:val="22"/>
        </w:rPr>
        <w:t>,</w:t>
      </w:r>
      <w:r w:rsidR="0051518A">
        <w:rPr>
          <w:rFonts w:asciiTheme="majorHAnsi" w:hAnsiTheme="majorHAnsi" w:cstheme="majorHAnsi"/>
          <w:sz w:val="22"/>
          <w:szCs w:val="22"/>
        </w:rPr>
        <w:t xml:space="preserve"> </w:t>
      </w:r>
      <w:r w:rsidR="004F45BE">
        <w:rPr>
          <w:rFonts w:asciiTheme="majorHAnsi" w:hAnsiTheme="majorHAnsi" w:cstheme="majorHAnsi"/>
          <w:sz w:val="22"/>
          <w:szCs w:val="22"/>
        </w:rPr>
        <w:t>teaching</w:t>
      </w:r>
      <w:r w:rsidR="0051518A">
        <w:rPr>
          <w:rFonts w:asciiTheme="majorHAnsi" w:hAnsiTheme="majorHAnsi" w:cstheme="majorHAnsi"/>
          <w:sz w:val="22"/>
          <w:szCs w:val="22"/>
        </w:rPr>
        <w:t xml:space="preserve"> upper grades literacy</w:t>
      </w:r>
      <w:r w:rsidR="00221415">
        <w:rPr>
          <w:rFonts w:asciiTheme="majorHAnsi" w:hAnsiTheme="majorHAnsi" w:cstheme="majorHAnsi"/>
          <w:sz w:val="22"/>
          <w:szCs w:val="22"/>
        </w:rPr>
        <w:t>,</w:t>
      </w:r>
      <w:r w:rsidR="0051518A">
        <w:rPr>
          <w:rFonts w:asciiTheme="majorHAnsi" w:hAnsiTheme="majorHAnsi" w:cstheme="majorHAnsi"/>
          <w:sz w:val="22"/>
          <w:szCs w:val="22"/>
        </w:rPr>
        <w:t xml:space="preserve"> supporting the learning of </w:t>
      </w:r>
      <w:r w:rsidR="000C4822">
        <w:rPr>
          <w:rFonts w:asciiTheme="majorHAnsi" w:hAnsiTheme="majorHAnsi" w:cstheme="majorHAnsi"/>
          <w:sz w:val="22"/>
          <w:szCs w:val="22"/>
        </w:rPr>
        <w:t xml:space="preserve">students with specific disabilities, </w:t>
      </w:r>
      <w:r w:rsidR="004F45BE">
        <w:rPr>
          <w:rFonts w:asciiTheme="majorHAnsi" w:hAnsiTheme="majorHAnsi" w:cstheme="majorHAnsi"/>
          <w:sz w:val="22"/>
          <w:szCs w:val="22"/>
        </w:rPr>
        <w:t xml:space="preserve">and </w:t>
      </w:r>
      <w:r w:rsidR="0051518A">
        <w:rPr>
          <w:rFonts w:asciiTheme="majorHAnsi" w:hAnsiTheme="majorHAnsi" w:cstheme="majorHAnsi"/>
          <w:sz w:val="22"/>
          <w:szCs w:val="22"/>
        </w:rPr>
        <w:t>language transition approaches</w:t>
      </w:r>
      <w:r w:rsidR="000C4822">
        <w:rPr>
          <w:rFonts w:asciiTheme="majorHAnsi" w:hAnsiTheme="majorHAnsi" w:cstheme="majorHAnsi"/>
          <w:sz w:val="22"/>
          <w:szCs w:val="22"/>
        </w:rPr>
        <w:t xml:space="preserve"> </w:t>
      </w:r>
      <w:r w:rsidR="0051518A">
        <w:rPr>
          <w:rFonts w:asciiTheme="majorHAnsi" w:hAnsiTheme="majorHAnsi" w:cstheme="majorHAnsi"/>
          <w:sz w:val="22"/>
          <w:szCs w:val="22"/>
        </w:rPr>
        <w:t>for</w:t>
      </w:r>
      <w:r w:rsidR="000C4822">
        <w:rPr>
          <w:rFonts w:asciiTheme="majorHAnsi" w:hAnsiTheme="majorHAnsi" w:cstheme="majorHAnsi"/>
          <w:sz w:val="22"/>
          <w:szCs w:val="22"/>
        </w:rPr>
        <w:t xml:space="preserve"> divers</w:t>
      </w:r>
      <w:r w:rsidR="0051518A">
        <w:rPr>
          <w:rFonts w:asciiTheme="majorHAnsi" w:hAnsiTheme="majorHAnsi" w:cstheme="majorHAnsi"/>
          <w:sz w:val="22"/>
          <w:szCs w:val="22"/>
        </w:rPr>
        <w:t xml:space="preserve">e </w:t>
      </w:r>
      <w:r w:rsidR="000C4822">
        <w:rPr>
          <w:rFonts w:asciiTheme="majorHAnsi" w:hAnsiTheme="majorHAnsi" w:cstheme="majorHAnsi"/>
          <w:sz w:val="22"/>
          <w:szCs w:val="22"/>
        </w:rPr>
        <w:t xml:space="preserve">language contexts. </w:t>
      </w:r>
      <w:r>
        <w:rPr>
          <w:rFonts w:asciiTheme="majorHAnsi" w:hAnsiTheme="majorHAnsi" w:cstheme="majorHAnsi"/>
          <w:sz w:val="22"/>
          <w:szCs w:val="22"/>
        </w:rPr>
        <w:t xml:space="preserve">The </w:t>
      </w:r>
      <w:r w:rsidR="00D150DE">
        <w:rPr>
          <w:rFonts w:asciiTheme="majorHAnsi" w:hAnsiTheme="majorHAnsi" w:cstheme="majorHAnsi"/>
          <w:sz w:val="22"/>
          <w:szCs w:val="22"/>
        </w:rPr>
        <w:t>program’s</w:t>
      </w:r>
      <w:r w:rsidR="009B5D08">
        <w:rPr>
          <w:rFonts w:asciiTheme="majorHAnsi" w:hAnsiTheme="majorHAnsi" w:cstheme="majorHAnsi"/>
          <w:sz w:val="22"/>
          <w:szCs w:val="22"/>
        </w:rPr>
        <w:t xml:space="preserve"> </w:t>
      </w:r>
      <w:r w:rsidR="002372C1">
        <w:rPr>
          <w:rFonts w:asciiTheme="majorHAnsi" w:hAnsiTheme="majorHAnsi" w:cstheme="majorHAnsi"/>
          <w:sz w:val="22"/>
          <w:szCs w:val="22"/>
        </w:rPr>
        <w:t xml:space="preserve">engagement </w:t>
      </w:r>
      <w:r w:rsidR="009B5D08">
        <w:rPr>
          <w:rFonts w:asciiTheme="majorHAnsi" w:hAnsiTheme="majorHAnsi" w:cstheme="majorHAnsi"/>
          <w:sz w:val="22"/>
          <w:szCs w:val="22"/>
        </w:rPr>
        <w:t xml:space="preserve">in </w:t>
      </w:r>
      <w:r w:rsidR="004F45BE">
        <w:rPr>
          <w:rFonts w:asciiTheme="majorHAnsi" w:hAnsiTheme="majorHAnsi" w:cstheme="majorHAnsi"/>
          <w:sz w:val="22"/>
          <w:szCs w:val="22"/>
        </w:rPr>
        <w:t>curriculum and assessment</w:t>
      </w:r>
      <w:r w:rsidR="00D150DE">
        <w:rPr>
          <w:rFonts w:asciiTheme="majorHAnsi" w:hAnsiTheme="majorHAnsi" w:cstheme="majorHAnsi"/>
          <w:sz w:val="22"/>
          <w:szCs w:val="22"/>
        </w:rPr>
        <w:t xml:space="preserve"> policy may also focus on the absence of</w:t>
      </w:r>
      <w:r w:rsidR="002372C1">
        <w:rPr>
          <w:rFonts w:asciiTheme="majorHAnsi" w:hAnsiTheme="majorHAnsi" w:cstheme="majorHAnsi"/>
          <w:sz w:val="22"/>
          <w:szCs w:val="22"/>
        </w:rPr>
        <w:t xml:space="preserve"> literacy and numeracy </w:t>
      </w:r>
      <w:r w:rsidR="00D150DE">
        <w:rPr>
          <w:rFonts w:asciiTheme="majorHAnsi" w:hAnsiTheme="majorHAnsi" w:cstheme="majorHAnsi"/>
          <w:sz w:val="22"/>
          <w:szCs w:val="22"/>
        </w:rPr>
        <w:t>assessment</w:t>
      </w:r>
      <w:r w:rsidR="002372C1">
        <w:rPr>
          <w:rFonts w:asciiTheme="majorHAnsi" w:hAnsiTheme="majorHAnsi" w:cstheme="majorHAnsi"/>
          <w:sz w:val="22"/>
          <w:szCs w:val="22"/>
        </w:rPr>
        <w:t xml:space="preserve"> at the end of early grades </w:t>
      </w:r>
      <w:r w:rsidR="004F45BE">
        <w:rPr>
          <w:rFonts w:asciiTheme="majorHAnsi" w:hAnsiTheme="majorHAnsi" w:cstheme="majorHAnsi"/>
          <w:sz w:val="22"/>
          <w:szCs w:val="22"/>
        </w:rPr>
        <w:t>in the AKM</w:t>
      </w:r>
      <w:r w:rsidR="00221415">
        <w:rPr>
          <w:rFonts w:asciiTheme="majorHAnsi" w:hAnsiTheme="majorHAnsi" w:cstheme="majorHAnsi"/>
          <w:sz w:val="22"/>
          <w:szCs w:val="22"/>
        </w:rPr>
        <w:t>,</w:t>
      </w:r>
      <w:r w:rsidR="004F45BE">
        <w:rPr>
          <w:rFonts w:asciiTheme="majorHAnsi" w:hAnsiTheme="majorHAnsi" w:cstheme="majorHAnsi"/>
          <w:sz w:val="22"/>
          <w:szCs w:val="22"/>
        </w:rPr>
        <w:t xml:space="preserve"> </w:t>
      </w:r>
      <w:r w:rsidR="002372C1">
        <w:rPr>
          <w:rFonts w:asciiTheme="majorHAnsi" w:hAnsiTheme="majorHAnsi" w:cstheme="majorHAnsi"/>
          <w:sz w:val="22"/>
          <w:szCs w:val="22"/>
        </w:rPr>
        <w:t>lea</w:t>
      </w:r>
      <w:r w:rsidR="00D150DE">
        <w:rPr>
          <w:rFonts w:asciiTheme="majorHAnsi" w:hAnsiTheme="majorHAnsi" w:cstheme="majorHAnsi"/>
          <w:sz w:val="22"/>
          <w:szCs w:val="22"/>
        </w:rPr>
        <w:t xml:space="preserve">ding to levels of </w:t>
      </w:r>
      <w:r w:rsidR="002372C1">
        <w:rPr>
          <w:rFonts w:asciiTheme="majorHAnsi" w:hAnsiTheme="majorHAnsi" w:cstheme="majorHAnsi"/>
          <w:sz w:val="22"/>
          <w:szCs w:val="22"/>
        </w:rPr>
        <w:t>remediation until it is</w:t>
      </w:r>
      <w:r w:rsidR="009B5D08">
        <w:rPr>
          <w:rFonts w:asciiTheme="majorHAnsi" w:hAnsiTheme="majorHAnsi" w:cstheme="majorHAnsi"/>
          <w:sz w:val="22"/>
          <w:szCs w:val="22"/>
        </w:rPr>
        <w:t xml:space="preserve"> too late in primary</w:t>
      </w:r>
      <w:r w:rsidR="004F45BE">
        <w:rPr>
          <w:rFonts w:asciiTheme="majorHAnsi" w:hAnsiTheme="majorHAnsi" w:cstheme="majorHAnsi"/>
          <w:sz w:val="22"/>
          <w:szCs w:val="22"/>
        </w:rPr>
        <w:t xml:space="preserve"> (grade 5)</w:t>
      </w:r>
      <w:r w:rsidR="009B5D08">
        <w:rPr>
          <w:rFonts w:asciiTheme="majorHAnsi" w:hAnsiTheme="majorHAnsi" w:cstheme="majorHAnsi"/>
          <w:sz w:val="22"/>
          <w:szCs w:val="22"/>
        </w:rPr>
        <w:t xml:space="preserve">. </w:t>
      </w:r>
      <w:r w:rsidR="002372C1">
        <w:rPr>
          <w:rFonts w:asciiTheme="majorHAnsi" w:hAnsiTheme="majorHAnsi" w:cstheme="majorHAnsi"/>
          <w:sz w:val="22"/>
          <w:szCs w:val="22"/>
        </w:rPr>
        <w:t>There will</w:t>
      </w:r>
      <w:r w:rsidR="00D150DE">
        <w:rPr>
          <w:rFonts w:asciiTheme="majorHAnsi" w:hAnsiTheme="majorHAnsi" w:cstheme="majorHAnsi"/>
          <w:sz w:val="22"/>
          <w:szCs w:val="22"/>
        </w:rPr>
        <w:t xml:space="preserve"> also</w:t>
      </w:r>
      <w:r w:rsidR="002372C1">
        <w:rPr>
          <w:rFonts w:asciiTheme="majorHAnsi" w:hAnsiTheme="majorHAnsi" w:cstheme="majorHAnsi"/>
          <w:sz w:val="22"/>
          <w:szCs w:val="22"/>
        </w:rPr>
        <w:t xml:space="preserve"> </w:t>
      </w:r>
      <w:r w:rsidR="00D150DE">
        <w:rPr>
          <w:rFonts w:asciiTheme="majorHAnsi" w:hAnsiTheme="majorHAnsi" w:cstheme="majorHAnsi"/>
          <w:sz w:val="22"/>
          <w:szCs w:val="22"/>
        </w:rPr>
        <w:t>likely</w:t>
      </w:r>
      <w:r w:rsidR="002372C1">
        <w:rPr>
          <w:rFonts w:asciiTheme="majorHAnsi" w:hAnsiTheme="majorHAnsi" w:cstheme="majorHAnsi"/>
          <w:sz w:val="22"/>
          <w:szCs w:val="22"/>
        </w:rPr>
        <w:t xml:space="preserve"> be new policy areas arising from the piloting of new areas of curriculu</w:t>
      </w:r>
      <w:r w:rsidR="00D150DE">
        <w:rPr>
          <w:rFonts w:asciiTheme="majorHAnsi" w:hAnsiTheme="majorHAnsi" w:cstheme="majorHAnsi"/>
          <w:sz w:val="22"/>
          <w:szCs w:val="22"/>
        </w:rPr>
        <w:t xml:space="preserve">m, </w:t>
      </w:r>
      <w:r w:rsidR="001E5C61">
        <w:rPr>
          <w:rFonts w:asciiTheme="majorHAnsi" w:hAnsiTheme="majorHAnsi" w:cstheme="majorHAnsi"/>
          <w:sz w:val="22"/>
          <w:szCs w:val="22"/>
        </w:rPr>
        <w:t>e.g.,</w:t>
      </w:r>
      <w:r w:rsidR="002372C1">
        <w:rPr>
          <w:rFonts w:asciiTheme="majorHAnsi" w:hAnsiTheme="majorHAnsi" w:cstheme="majorHAnsi"/>
          <w:sz w:val="22"/>
          <w:szCs w:val="22"/>
        </w:rPr>
        <w:t xml:space="preserve"> the curriculum for a </w:t>
      </w:r>
      <w:r w:rsidR="004D1054">
        <w:rPr>
          <w:rFonts w:asciiTheme="majorHAnsi" w:hAnsiTheme="majorHAnsi" w:cstheme="majorHAnsi"/>
          <w:sz w:val="22"/>
          <w:szCs w:val="22"/>
        </w:rPr>
        <w:t xml:space="preserve">pre-school </w:t>
      </w:r>
      <w:r w:rsidR="002372C1">
        <w:rPr>
          <w:rFonts w:asciiTheme="majorHAnsi" w:hAnsiTheme="majorHAnsi" w:cstheme="majorHAnsi"/>
          <w:sz w:val="22"/>
          <w:szCs w:val="22"/>
        </w:rPr>
        <w:t>transition year to Grade 1</w:t>
      </w:r>
      <w:r w:rsidR="00221415">
        <w:rPr>
          <w:rFonts w:asciiTheme="majorHAnsi" w:hAnsiTheme="majorHAnsi" w:cstheme="majorHAnsi"/>
          <w:sz w:val="22"/>
          <w:szCs w:val="22"/>
        </w:rPr>
        <w:t>,</w:t>
      </w:r>
      <w:r w:rsidR="002372C1">
        <w:rPr>
          <w:rFonts w:asciiTheme="majorHAnsi" w:hAnsiTheme="majorHAnsi" w:cstheme="majorHAnsi"/>
          <w:sz w:val="22"/>
          <w:szCs w:val="22"/>
        </w:rPr>
        <w:t xml:space="preserve"> and potentially the </w:t>
      </w:r>
      <w:r w:rsidR="00C842C2">
        <w:rPr>
          <w:rFonts w:asciiTheme="majorHAnsi" w:hAnsiTheme="majorHAnsi" w:cstheme="majorHAnsi"/>
          <w:sz w:val="22"/>
          <w:szCs w:val="22"/>
        </w:rPr>
        <w:t xml:space="preserve">integration of </w:t>
      </w:r>
      <w:r w:rsidR="00341A78">
        <w:rPr>
          <w:rFonts w:asciiTheme="majorHAnsi" w:hAnsiTheme="majorHAnsi" w:cstheme="majorHAnsi"/>
          <w:sz w:val="22"/>
          <w:szCs w:val="22"/>
        </w:rPr>
        <w:t xml:space="preserve">climate change concepts into the </w:t>
      </w:r>
      <w:r w:rsidR="002372C1">
        <w:rPr>
          <w:rFonts w:asciiTheme="majorHAnsi" w:hAnsiTheme="majorHAnsi" w:cstheme="majorHAnsi"/>
          <w:sz w:val="22"/>
          <w:szCs w:val="22"/>
        </w:rPr>
        <w:t xml:space="preserve">curriculum. </w:t>
      </w:r>
    </w:p>
    <w:p w14:paraId="4D389DE1" w14:textId="77777777" w:rsidR="0053695E" w:rsidRDefault="0053695E" w:rsidP="0053695E">
      <w:pPr>
        <w:pStyle w:val="BodyText"/>
        <w:rPr>
          <w:rFonts w:asciiTheme="majorHAnsi" w:hAnsiTheme="majorHAnsi" w:cstheme="majorHAnsi"/>
          <w:b/>
          <w:bCs/>
          <w:i/>
          <w:iCs/>
          <w:sz w:val="22"/>
          <w:szCs w:val="22"/>
        </w:rPr>
      </w:pPr>
    </w:p>
    <w:p w14:paraId="010D50FC" w14:textId="45FB7A9E" w:rsidR="004B3D56" w:rsidRPr="0053695E" w:rsidRDefault="0053695E" w:rsidP="0053695E">
      <w:pPr>
        <w:pStyle w:val="BodyText"/>
        <w:rPr>
          <w:rFonts w:asciiTheme="majorHAnsi" w:hAnsiTheme="majorHAnsi" w:cstheme="majorHAnsi"/>
          <w:b/>
          <w:bCs/>
          <w:i/>
          <w:iCs/>
          <w:sz w:val="22"/>
          <w:szCs w:val="22"/>
        </w:rPr>
      </w:pPr>
      <w:r w:rsidRPr="0053695E">
        <w:rPr>
          <w:rFonts w:asciiTheme="majorHAnsi" w:hAnsiTheme="majorHAnsi" w:cstheme="majorHAnsi"/>
          <w:b/>
          <w:bCs/>
          <w:i/>
          <w:iCs/>
          <w:sz w:val="22"/>
          <w:szCs w:val="22"/>
        </w:rPr>
        <w:t>IO2 - Improved policies, systems</w:t>
      </w:r>
      <w:r w:rsidR="000F53B5">
        <w:rPr>
          <w:rFonts w:asciiTheme="majorHAnsi" w:hAnsiTheme="majorHAnsi" w:cstheme="majorHAnsi"/>
          <w:b/>
          <w:bCs/>
          <w:i/>
          <w:iCs/>
          <w:sz w:val="22"/>
          <w:szCs w:val="22"/>
        </w:rPr>
        <w:t>,</w:t>
      </w:r>
      <w:r w:rsidRPr="0053695E">
        <w:rPr>
          <w:rFonts w:asciiTheme="majorHAnsi" w:hAnsiTheme="majorHAnsi" w:cstheme="majorHAnsi"/>
          <w:b/>
          <w:bCs/>
          <w:i/>
          <w:iCs/>
          <w:sz w:val="22"/>
          <w:szCs w:val="22"/>
        </w:rPr>
        <w:t xml:space="preserve"> and practices for inclusive teaching of foundational skills in targeted districts.</w:t>
      </w:r>
    </w:p>
    <w:p w14:paraId="50E44A9D" w14:textId="6D3F61D0" w:rsidR="004B3D56" w:rsidRDefault="004B3D56" w:rsidP="00EC2D8E">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This IO targets development of capa</w:t>
      </w:r>
      <w:r w:rsidR="00341FC5">
        <w:rPr>
          <w:rFonts w:asciiTheme="majorHAnsi" w:hAnsiTheme="majorHAnsi" w:cstheme="majorHAnsi"/>
          <w:sz w:val="22"/>
          <w:szCs w:val="22"/>
        </w:rPr>
        <w:t>citi</w:t>
      </w:r>
      <w:r w:rsidRPr="00974377">
        <w:rPr>
          <w:rFonts w:asciiTheme="majorHAnsi" w:hAnsiTheme="majorHAnsi" w:cstheme="majorHAnsi"/>
          <w:sz w:val="22"/>
          <w:szCs w:val="22"/>
        </w:rPr>
        <w:t xml:space="preserve">es of both </w:t>
      </w:r>
      <w:r w:rsidR="002372C1">
        <w:rPr>
          <w:rFonts w:asciiTheme="majorHAnsi" w:hAnsiTheme="majorHAnsi" w:cstheme="majorHAnsi"/>
          <w:sz w:val="22"/>
          <w:szCs w:val="22"/>
        </w:rPr>
        <w:t>teachers and principals</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and </w:t>
      </w:r>
      <w:r w:rsidR="004F45BE">
        <w:rPr>
          <w:rFonts w:asciiTheme="majorHAnsi" w:hAnsiTheme="majorHAnsi" w:cstheme="majorHAnsi"/>
          <w:sz w:val="22"/>
          <w:szCs w:val="22"/>
        </w:rPr>
        <w:t>professional</w:t>
      </w:r>
      <w:r w:rsidR="004F45BE" w:rsidRPr="00974377">
        <w:rPr>
          <w:rFonts w:asciiTheme="majorHAnsi" w:hAnsiTheme="majorHAnsi" w:cstheme="majorHAnsi"/>
          <w:sz w:val="22"/>
          <w:szCs w:val="22"/>
        </w:rPr>
        <w:t xml:space="preserve"> </w:t>
      </w:r>
      <w:r w:rsidRPr="00974377">
        <w:rPr>
          <w:rFonts w:asciiTheme="majorHAnsi" w:hAnsiTheme="majorHAnsi" w:cstheme="majorHAnsi"/>
          <w:sz w:val="22"/>
          <w:szCs w:val="22"/>
        </w:rPr>
        <w:t xml:space="preserve">support organisations and systems, existing and new, in targeted </w:t>
      </w:r>
      <w:r w:rsidR="002372C1">
        <w:rPr>
          <w:rFonts w:asciiTheme="majorHAnsi" w:hAnsiTheme="majorHAnsi" w:cstheme="majorHAnsi"/>
          <w:sz w:val="22"/>
          <w:szCs w:val="22"/>
        </w:rPr>
        <w:t>districts</w:t>
      </w:r>
      <w:r w:rsidRPr="00974377">
        <w:rPr>
          <w:rFonts w:asciiTheme="majorHAnsi" w:hAnsiTheme="majorHAnsi" w:cstheme="majorHAnsi"/>
          <w:sz w:val="22"/>
          <w:szCs w:val="22"/>
        </w:rPr>
        <w:t xml:space="preserve">. The focus is on inclusive teaching of literacy and numeracy, informed by evidence-based progressions of learning in these areas. </w:t>
      </w:r>
      <w:r w:rsidR="00C915EB">
        <w:rPr>
          <w:rFonts w:asciiTheme="majorHAnsi" w:hAnsiTheme="majorHAnsi" w:cstheme="majorHAnsi"/>
          <w:sz w:val="22"/>
          <w:szCs w:val="22"/>
        </w:rPr>
        <w:t xml:space="preserve">The two fundamental requirements of practitioners teaching or leading </w:t>
      </w:r>
      <w:r w:rsidR="00FA465C">
        <w:rPr>
          <w:rFonts w:asciiTheme="majorHAnsi" w:hAnsiTheme="majorHAnsi" w:cstheme="majorHAnsi"/>
          <w:sz w:val="22"/>
          <w:szCs w:val="22"/>
        </w:rPr>
        <w:t xml:space="preserve">on </w:t>
      </w:r>
      <w:r w:rsidR="00C915EB">
        <w:rPr>
          <w:rFonts w:asciiTheme="majorHAnsi" w:hAnsiTheme="majorHAnsi" w:cstheme="majorHAnsi"/>
          <w:sz w:val="22"/>
          <w:szCs w:val="22"/>
        </w:rPr>
        <w:t>literacy and numeracy</w:t>
      </w:r>
      <w:r w:rsidR="004F45BE">
        <w:rPr>
          <w:rFonts w:asciiTheme="majorHAnsi" w:hAnsiTheme="majorHAnsi" w:cstheme="majorHAnsi"/>
          <w:sz w:val="22"/>
          <w:szCs w:val="22"/>
        </w:rPr>
        <w:t>,</w:t>
      </w:r>
      <w:r w:rsidR="00C915EB">
        <w:rPr>
          <w:rFonts w:asciiTheme="majorHAnsi" w:hAnsiTheme="majorHAnsi" w:cstheme="majorHAnsi"/>
          <w:sz w:val="22"/>
          <w:szCs w:val="22"/>
        </w:rPr>
        <w:t xml:space="preserve"> are (1) knowledge and understanding of the domains of literacy and numeracy</w:t>
      </w:r>
      <w:r w:rsidR="00221415">
        <w:rPr>
          <w:rFonts w:asciiTheme="majorHAnsi" w:hAnsiTheme="majorHAnsi" w:cstheme="majorHAnsi"/>
          <w:sz w:val="22"/>
          <w:szCs w:val="22"/>
        </w:rPr>
        <w:t>,</w:t>
      </w:r>
      <w:r w:rsidR="00C915EB">
        <w:rPr>
          <w:rFonts w:asciiTheme="majorHAnsi" w:hAnsiTheme="majorHAnsi" w:cstheme="majorHAnsi"/>
          <w:sz w:val="22"/>
          <w:szCs w:val="22"/>
        </w:rPr>
        <w:t xml:space="preserve"> and (2) and the skills for i</w:t>
      </w:r>
      <w:r w:rsidRPr="00974377">
        <w:rPr>
          <w:rFonts w:asciiTheme="majorHAnsi" w:hAnsiTheme="majorHAnsi" w:cstheme="majorHAnsi"/>
          <w:sz w:val="22"/>
          <w:szCs w:val="22"/>
        </w:rPr>
        <w:t>nclusive practice</w:t>
      </w:r>
      <w:r w:rsidR="00C915EB">
        <w:rPr>
          <w:rFonts w:asciiTheme="majorHAnsi" w:hAnsiTheme="majorHAnsi" w:cstheme="majorHAnsi"/>
          <w:sz w:val="22"/>
          <w:szCs w:val="22"/>
        </w:rPr>
        <w:t>, that is,</w:t>
      </w:r>
      <w:r w:rsidRPr="00974377">
        <w:rPr>
          <w:rFonts w:asciiTheme="majorHAnsi" w:hAnsiTheme="majorHAnsi" w:cstheme="majorHAnsi"/>
          <w:sz w:val="22"/>
          <w:szCs w:val="22"/>
        </w:rPr>
        <w:t xml:space="preserve"> capacities for diagnostic assessment and teaching at the right level (TARL)</w:t>
      </w:r>
      <w:r w:rsidR="00BB776C">
        <w:rPr>
          <w:rStyle w:val="FootnoteReference"/>
          <w:rFonts w:asciiTheme="majorHAnsi" w:hAnsiTheme="majorHAnsi" w:cstheme="majorHAnsi"/>
          <w:sz w:val="22"/>
          <w:szCs w:val="22"/>
        </w:rPr>
        <w:footnoteReference w:id="28"/>
      </w:r>
      <w:r w:rsidRPr="00974377">
        <w:rPr>
          <w:rFonts w:asciiTheme="majorHAnsi" w:hAnsiTheme="majorHAnsi" w:cstheme="majorHAnsi"/>
          <w:sz w:val="22"/>
          <w:szCs w:val="22"/>
        </w:rPr>
        <w:t xml:space="preserve">. </w:t>
      </w:r>
      <w:proofErr w:type="gramStart"/>
      <w:r w:rsidR="00550809">
        <w:rPr>
          <w:rFonts w:asciiTheme="majorHAnsi" w:hAnsiTheme="majorHAnsi" w:cstheme="majorHAnsi"/>
          <w:sz w:val="22"/>
          <w:szCs w:val="22"/>
        </w:rPr>
        <w:t>Both of these</w:t>
      </w:r>
      <w:proofErr w:type="gramEnd"/>
      <w:r w:rsidR="00550809">
        <w:rPr>
          <w:rFonts w:asciiTheme="majorHAnsi" w:hAnsiTheme="majorHAnsi" w:cstheme="majorHAnsi"/>
          <w:sz w:val="22"/>
          <w:szCs w:val="22"/>
        </w:rPr>
        <w:t xml:space="preserve"> areas are new to most teachers.</w:t>
      </w:r>
      <w:r w:rsidR="00E85737">
        <w:rPr>
          <w:rFonts w:asciiTheme="majorHAnsi" w:hAnsiTheme="majorHAnsi" w:cstheme="majorHAnsi"/>
          <w:sz w:val="22"/>
          <w:szCs w:val="22"/>
        </w:rPr>
        <w:t xml:space="preserve"> </w:t>
      </w:r>
      <w:r w:rsidR="00262D92">
        <w:rPr>
          <w:rFonts w:asciiTheme="majorHAnsi" w:hAnsiTheme="majorHAnsi" w:cstheme="majorHAnsi"/>
          <w:sz w:val="22"/>
          <w:szCs w:val="22"/>
        </w:rPr>
        <w:t>The introduction of a Minimum Services Standard</w:t>
      </w:r>
      <w:r w:rsidR="001A70CC">
        <w:rPr>
          <w:rFonts w:asciiTheme="majorHAnsi" w:hAnsiTheme="majorHAnsi" w:cstheme="majorHAnsi"/>
          <w:sz w:val="22"/>
          <w:szCs w:val="22"/>
        </w:rPr>
        <w:t xml:space="preserve"> (MSS)</w:t>
      </w:r>
      <w:r w:rsidR="00931BA0">
        <w:rPr>
          <w:rStyle w:val="FootnoteReference"/>
          <w:rFonts w:asciiTheme="majorHAnsi" w:hAnsiTheme="majorHAnsi" w:cstheme="majorHAnsi"/>
          <w:sz w:val="22"/>
          <w:szCs w:val="22"/>
        </w:rPr>
        <w:footnoteReference w:id="29"/>
      </w:r>
      <w:r w:rsidR="00262D92">
        <w:rPr>
          <w:rFonts w:asciiTheme="majorHAnsi" w:hAnsiTheme="majorHAnsi" w:cstheme="majorHAnsi"/>
          <w:sz w:val="22"/>
          <w:szCs w:val="22"/>
        </w:rPr>
        <w:t xml:space="preserve"> for literacy and numeracy at the district level shows the government’s commitment to these capabilities in teachers. </w:t>
      </w:r>
      <w:r w:rsidR="00E85737">
        <w:rPr>
          <w:rFonts w:asciiTheme="majorHAnsi" w:hAnsiTheme="majorHAnsi" w:cstheme="majorHAnsi"/>
          <w:sz w:val="22"/>
          <w:szCs w:val="22"/>
        </w:rPr>
        <w:t xml:space="preserve">The program will support districts to monitor </w:t>
      </w:r>
      <w:r w:rsidR="00341FC5">
        <w:rPr>
          <w:rFonts w:asciiTheme="majorHAnsi" w:hAnsiTheme="majorHAnsi" w:cstheme="majorHAnsi"/>
          <w:sz w:val="22"/>
          <w:szCs w:val="22"/>
        </w:rPr>
        <w:t xml:space="preserve">and continuously improve </w:t>
      </w:r>
      <w:r w:rsidR="00E85737">
        <w:rPr>
          <w:rFonts w:asciiTheme="majorHAnsi" w:hAnsiTheme="majorHAnsi" w:cstheme="majorHAnsi"/>
          <w:sz w:val="22"/>
          <w:szCs w:val="22"/>
        </w:rPr>
        <w:t xml:space="preserve">the effectiveness of teachers’ and principals’ </w:t>
      </w:r>
      <w:r w:rsidR="00E85737">
        <w:rPr>
          <w:rFonts w:asciiTheme="majorHAnsi" w:hAnsiTheme="majorHAnsi" w:cstheme="majorHAnsi"/>
          <w:sz w:val="22"/>
          <w:szCs w:val="22"/>
        </w:rPr>
        <w:lastRenderedPageBreak/>
        <w:t xml:space="preserve">practices, and as such to demonstrate the causal connection between practitioners’ capacity </w:t>
      </w:r>
      <w:r w:rsidR="00341FC5">
        <w:rPr>
          <w:rFonts w:asciiTheme="majorHAnsi" w:hAnsiTheme="majorHAnsi" w:cstheme="majorHAnsi"/>
          <w:sz w:val="22"/>
          <w:szCs w:val="22"/>
        </w:rPr>
        <w:t>and</w:t>
      </w:r>
      <w:r w:rsidR="00E85737">
        <w:rPr>
          <w:rFonts w:asciiTheme="majorHAnsi" w:hAnsiTheme="majorHAnsi" w:cstheme="majorHAnsi"/>
          <w:sz w:val="22"/>
          <w:szCs w:val="22"/>
        </w:rPr>
        <w:t xml:space="preserve"> students’ improved outcomes</w:t>
      </w:r>
      <w:r w:rsidR="00341FC5">
        <w:rPr>
          <w:rFonts w:asciiTheme="majorHAnsi" w:hAnsiTheme="majorHAnsi" w:cstheme="majorHAnsi"/>
          <w:sz w:val="22"/>
          <w:szCs w:val="22"/>
        </w:rPr>
        <w:t xml:space="preserve"> as outlined</w:t>
      </w:r>
      <w:r w:rsidR="00E85737">
        <w:rPr>
          <w:rFonts w:asciiTheme="majorHAnsi" w:hAnsiTheme="majorHAnsi" w:cstheme="majorHAnsi"/>
          <w:sz w:val="22"/>
          <w:szCs w:val="22"/>
        </w:rPr>
        <w:t xml:space="preserve"> in EOPO 2.  </w:t>
      </w:r>
    </w:p>
    <w:p w14:paraId="061BA721" w14:textId="49FFC8CD" w:rsidR="00CD3AC2" w:rsidRDefault="003877BB" w:rsidP="00EC2D8E">
      <w:pPr>
        <w:pStyle w:val="BodyText"/>
        <w:spacing w:after="120" w:line="281" w:lineRule="auto"/>
        <w:rPr>
          <w:rFonts w:asciiTheme="majorHAnsi" w:hAnsiTheme="majorHAnsi" w:cstheme="majorHAnsi"/>
          <w:sz w:val="22"/>
          <w:szCs w:val="22"/>
        </w:rPr>
      </w:pPr>
      <w:r>
        <w:rPr>
          <w:rFonts w:asciiTheme="majorHAnsi" w:hAnsiTheme="majorHAnsi" w:cstheme="majorHAnsi"/>
          <w:sz w:val="22"/>
          <w:szCs w:val="22"/>
        </w:rPr>
        <w:t>As detailed in Annex 1, t</w:t>
      </w:r>
      <w:r w:rsidR="00556C86">
        <w:rPr>
          <w:rFonts w:asciiTheme="majorHAnsi" w:hAnsiTheme="majorHAnsi" w:cstheme="majorHAnsi"/>
          <w:sz w:val="22"/>
          <w:szCs w:val="22"/>
        </w:rPr>
        <w:t xml:space="preserve">he Ministry </w:t>
      </w:r>
      <w:r w:rsidR="008B4789">
        <w:rPr>
          <w:rFonts w:asciiTheme="majorHAnsi" w:hAnsiTheme="majorHAnsi" w:cstheme="majorHAnsi"/>
          <w:sz w:val="22"/>
          <w:szCs w:val="22"/>
        </w:rPr>
        <w:t xml:space="preserve">has </w:t>
      </w:r>
      <w:r w:rsidR="00DD6AE6">
        <w:rPr>
          <w:rFonts w:asciiTheme="majorHAnsi" w:hAnsiTheme="majorHAnsi" w:cstheme="majorHAnsi"/>
          <w:sz w:val="22"/>
          <w:szCs w:val="22"/>
        </w:rPr>
        <w:t xml:space="preserve">introduced </w:t>
      </w:r>
      <w:r w:rsidR="00556C86">
        <w:rPr>
          <w:rFonts w:asciiTheme="majorHAnsi" w:hAnsiTheme="majorHAnsi" w:cstheme="majorHAnsi"/>
          <w:sz w:val="22"/>
          <w:szCs w:val="22"/>
        </w:rPr>
        <w:t xml:space="preserve">three </w:t>
      </w:r>
      <w:r w:rsidR="00D150DE">
        <w:rPr>
          <w:rFonts w:asciiTheme="majorHAnsi" w:hAnsiTheme="majorHAnsi" w:cstheme="majorHAnsi"/>
          <w:sz w:val="22"/>
          <w:szCs w:val="22"/>
        </w:rPr>
        <w:t>mechanisms</w:t>
      </w:r>
      <w:r w:rsidR="008B4789">
        <w:rPr>
          <w:rFonts w:asciiTheme="majorHAnsi" w:hAnsiTheme="majorHAnsi" w:cstheme="majorHAnsi"/>
          <w:sz w:val="22"/>
          <w:szCs w:val="22"/>
        </w:rPr>
        <w:t xml:space="preserve"> </w:t>
      </w:r>
      <w:r w:rsidR="00556C86">
        <w:rPr>
          <w:rFonts w:asciiTheme="majorHAnsi" w:hAnsiTheme="majorHAnsi" w:cstheme="majorHAnsi"/>
          <w:sz w:val="22"/>
          <w:szCs w:val="22"/>
        </w:rPr>
        <w:t xml:space="preserve">to </w:t>
      </w:r>
      <w:r>
        <w:rPr>
          <w:rFonts w:asciiTheme="majorHAnsi" w:hAnsiTheme="majorHAnsi" w:cstheme="majorHAnsi"/>
          <w:sz w:val="22"/>
          <w:szCs w:val="22"/>
        </w:rPr>
        <w:t>improve</w:t>
      </w:r>
      <w:r w:rsidR="00556C86">
        <w:rPr>
          <w:rFonts w:asciiTheme="majorHAnsi" w:hAnsiTheme="majorHAnsi" w:cstheme="majorHAnsi"/>
          <w:sz w:val="22"/>
          <w:szCs w:val="22"/>
        </w:rPr>
        <w:t xml:space="preserve"> the capacity of teachers to implement the </w:t>
      </w:r>
      <w:proofErr w:type="spellStart"/>
      <w:r w:rsidR="00550809" w:rsidRPr="00D150DE">
        <w:rPr>
          <w:rFonts w:asciiTheme="majorHAnsi" w:hAnsiTheme="majorHAnsi" w:cstheme="majorHAnsi"/>
          <w:i/>
          <w:iCs/>
          <w:sz w:val="22"/>
          <w:szCs w:val="22"/>
        </w:rPr>
        <w:t>K</w:t>
      </w:r>
      <w:r w:rsidR="00556C86" w:rsidRPr="00D150DE">
        <w:rPr>
          <w:rFonts w:asciiTheme="majorHAnsi" w:hAnsiTheme="majorHAnsi" w:cstheme="majorHAnsi"/>
          <w:i/>
          <w:iCs/>
          <w:sz w:val="22"/>
          <w:szCs w:val="22"/>
        </w:rPr>
        <w:t>urikulum</w:t>
      </w:r>
      <w:proofErr w:type="spellEnd"/>
      <w:r w:rsidR="00556C86" w:rsidRPr="00D150DE">
        <w:rPr>
          <w:rFonts w:asciiTheme="majorHAnsi" w:hAnsiTheme="majorHAnsi" w:cstheme="majorHAnsi"/>
          <w:i/>
          <w:iCs/>
          <w:sz w:val="22"/>
          <w:szCs w:val="22"/>
        </w:rPr>
        <w:t xml:space="preserve"> </w:t>
      </w:r>
      <w:r w:rsidR="00550809" w:rsidRPr="00D150DE">
        <w:rPr>
          <w:rFonts w:asciiTheme="majorHAnsi" w:hAnsiTheme="majorHAnsi" w:cstheme="majorHAnsi"/>
          <w:i/>
          <w:iCs/>
          <w:sz w:val="22"/>
          <w:szCs w:val="22"/>
        </w:rPr>
        <w:t>M</w:t>
      </w:r>
      <w:r w:rsidR="00556C86" w:rsidRPr="00D150DE">
        <w:rPr>
          <w:rFonts w:asciiTheme="majorHAnsi" w:hAnsiTheme="majorHAnsi" w:cstheme="majorHAnsi"/>
          <w:i/>
          <w:iCs/>
          <w:sz w:val="22"/>
          <w:szCs w:val="22"/>
        </w:rPr>
        <w:t>erdeka</w:t>
      </w:r>
      <w:r w:rsidR="00D150DE">
        <w:rPr>
          <w:rFonts w:asciiTheme="majorHAnsi" w:hAnsiTheme="majorHAnsi" w:cstheme="majorHAnsi"/>
          <w:sz w:val="22"/>
          <w:szCs w:val="22"/>
        </w:rPr>
        <w:t xml:space="preserve">: </w:t>
      </w:r>
      <w:proofErr w:type="spellStart"/>
      <w:r w:rsidR="00D150DE">
        <w:rPr>
          <w:rFonts w:asciiTheme="majorHAnsi" w:hAnsiTheme="majorHAnsi" w:cstheme="majorHAnsi"/>
          <w:sz w:val="22"/>
          <w:szCs w:val="22"/>
        </w:rPr>
        <w:t>i</w:t>
      </w:r>
      <w:proofErr w:type="spellEnd"/>
      <w:r w:rsidR="00D150DE">
        <w:rPr>
          <w:rFonts w:asciiTheme="majorHAnsi" w:hAnsiTheme="majorHAnsi" w:cstheme="majorHAnsi"/>
          <w:sz w:val="22"/>
          <w:szCs w:val="22"/>
        </w:rPr>
        <w:t>)</w:t>
      </w:r>
      <w:r w:rsidR="00556C86">
        <w:rPr>
          <w:rFonts w:asciiTheme="majorHAnsi" w:hAnsiTheme="majorHAnsi" w:cstheme="majorHAnsi"/>
          <w:sz w:val="22"/>
          <w:szCs w:val="22"/>
        </w:rPr>
        <w:t xml:space="preserve"> the digital platform </w:t>
      </w:r>
      <w:proofErr w:type="spellStart"/>
      <w:r w:rsidR="00556C86" w:rsidRPr="007E2CD6">
        <w:rPr>
          <w:rFonts w:asciiTheme="majorHAnsi" w:hAnsiTheme="majorHAnsi" w:cstheme="majorHAnsi"/>
          <w:i/>
          <w:iCs/>
          <w:sz w:val="22"/>
          <w:szCs w:val="22"/>
        </w:rPr>
        <w:t>Platform</w:t>
      </w:r>
      <w:proofErr w:type="spellEnd"/>
      <w:r w:rsidR="00556C86" w:rsidRPr="007E2CD6">
        <w:rPr>
          <w:rFonts w:asciiTheme="majorHAnsi" w:hAnsiTheme="majorHAnsi" w:cstheme="majorHAnsi"/>
          <w:i/>
          <w:iCs/>
          <w:sz w:val="22"/>
          <w:szCs w:val="22"/>
        </w:rPr>
        <w:t xml:space="preserve"> Merdeka </w:t>
      </w:r>
      <w:proofErr w:type="spellStart"/>
      <w:r w:rsidR="00556C86" w:rsidRPr="007E2CD6">
        <w:rPr>
          <w:rFonts w:asciiTheme="majorHAnsi" w:hAnsiTheme="majorHAnsi" w:cstheme="majorHAnsi"/>
          <w:i/>
          <w:iCs/>
          <w:sz w:val="22"/>
          <w:szCs w:val="22"/>
        </w:rPr>
        <w:t>Mengajar</w:t>
      </w:r>
      <w:proofErr w:type="spellEnd"/>
      <w:r w:rsidR="00556C86">
        <w:rPr>
          <w:rFonts w:asciiTheme="majorHAnsi" w:hAnsiTheme="majorHAnsi" w:cstheme="majorHAnsi"/>
          <w:sz w:val="22"/>
          <w:szCs w:val="22"/>
        </w:rPr>
        <w:t xml:space="preserve"> (PMM) </w:t>
      </w:r>
      <w:r>
        <w:rPr>
          <w:rFonts w:asciiTheme="majorHAnsi" w:hAnsiTheme="majorHAnsi" w:cstheme="majorHAnsi"/>
          <w:sz w:val="22"/>
          <w:szCs w:val="22"/>
        </w:rPr>
        <w:t>that</w:t>
      </w:r>
      <w:r w:rsidR="00556C86">
        <w:rPr>
          <w:rFonts w:asciiTheme="majorHAnsi" w:hAnsiTheme="majorHAnsi" w:cstheme="majorHAnsi"/>
          <w:sz w:val="22"/>
          <w:szCs w:val="22"/>
        </w:rPr>
        <w:t xml:space="preserve"> provides </w:t>
      </w:r>
      <w:r w:rsidR="00880757">
        <w:rPr>
          <w:rFonts w:asciiTheme="majorHAnsi" w:hAnsiTheme="majorHAnsi" w:cstheme="majorHAnsi"/>
          <w:sz w:val="22"/>
          <w:szCs w:val="22"/>
        </w:rPr>
        <w:t xml:space="preserve">materials for supporting </w:t>
      </w:r>
      <w:r w:rsidR="008805D4">
        <w:rPr>
          <w:rFonts w:asciiTheme="majorHAnsi" w:hAnsiTheme="majorHAnsi" w:cstheme="majorHAnsi"/>
          <w:sz w:val="22"/>
          <w:szCs w:val="22"/>
        </w:rPr>
        <w:t xml:space="preserve">curriculum planning and </w:t>
      </w:r>
      <w:r w:rsidR="00880757">
        <w:rPr>
          <w:rFonts w:asciiTheme="majorHAnsi" w:hAnsiTheme="majorHAnsi" w:cstheme="majorHAnsi"/>
          <w:sz w:val="22"/>
          <w:szCs w:val="22"/>
        </w:rPr>
        <w:t>new pedagogies</w:t>
      </w:r>
      <w:r w:rsidR="00D150DE">
        <w:rPr>
          <w:rFonts w:asciiTheme="majorHAnsi" w:hAnsiTheme="majorHAnsi" w:cstheme="majorHAnsi"/>
          <w:sz w:val="22"/>
          <w:szCs w:val="22"/>
        </w:rPr>
        <w:t xml:space="preserve">, ii) </w:t>
      </w:r>
      <w:r w:rsidR="00556C86">
        <w:rPr>
          <w:rFonts w:asciiTheme="majorHAnsi" w:hAnsiTheme="majorHAnsi" w:cstheme="majorHAnsi"/>
          <w:sz w:val="22"/>
          <w:szCs w:val="22"/>
        </w:rPr>
        <w:t xml:space="preserve">the change agent </w:t>
      </w:r>
      <w:r w:rsidR="00DD6AE6">
        <w:rPr>
          <w:rFonts w:asciiTheme="majorHAnsi" w:hAnsiTheme="majorHAnsi" w:cstheme="majorHAnsi"/>
          <w:sz w:val="22"/>
          <w:szCs w:val="22"/>
        </w:rPr>
        <w:t>school</w:t>
      </w:r>
      <w:r w:rsidR="00556C86">
        <w:rPr>
          <w:rFonts w:asciiTheme="majorHAnsi" w:hAnsiTheme="majorHAnsi" w:cstheme="majorHAnsi"/>
          <w:sz w:val="22"/>
          <w:szCs w:val="22"/>
        </w:rPr>
        <w:t xml:space="preserve"> </w:t>
      </w:r>
      <w:r w:rsidR="00DD6AE6">
        <w:rPr>
          <w:rFonts w:asciiTheme="majorHAnsi" w:hAnsiTheme="majorHAnsi" w:cstheme="majorHAnsi"/>
          <w:sz w:val="22"/>
          <w:szCs w:val="22"/>
        </w:rPr>
        <w:t>(</w:t>
      </w:r>
      <w:proofErr w:type="spellStart"/>
      <w:r w:rsidR="00DD6AE6" w:rsidRPr="007E2CD6">
        <w:rPr>
          <w:rFonts w:asciiTheme="majorHAnsi" w:hAnsiTheme="majorHAnsi" w:cstheme="majorHAnsi"/>
          <w:i/>
          <w:iCs/>
          <w:sz w:val="22"/>
          <w:szCs w:val="22"/>
        </w:rPr>
        <w:t>sekolah</w:t>
      </w:r>
      <w:proofErr w:type="spellEnd"/>
      <w:r w:rsidR="00DD6AE6" w:rsidRPr="007E2CD6">
        <w:rPr>
          <w:rFonts w:asciiTheme="majorHAnsi" w:hAnsiTheme="majorHAnsi" w:cstheme="majorHAnsi"/>
          <w:i/>
          <w:iCs/>
          <w:sz w:val="22"/>
          <w:szCs w:val="22"/>
        </w:rPr>
        <w:t xml:space="preserve"> </w:t>
      </w:r>
      <w:proofErr w:type="spellStart"/>
      <w:r w:rsidR="00DD6AE6" w:rsidRPr="007E2CD6">
        <w:rPr>
          <w:rFonts w:asciiTheme="majorHAnsi" w:hAnsiTheme="majorHAnsi" w:cstheme="majorHAnsi"/>
          <w:i/>
          <w:iCs/>
          <w:sz w:val="22"/>
          <w:szCs w:val="22"/>
        </w:rPr>
        <w:t>penggerak</w:t>
      </w:r>
      <w:proofErr w:type="spellEnd"/>
      <w:r w:rsidR="00DD6AE6">
        <w:rPr>
          <w:rFonts w:asciiTheme="majorHAnsi" w:hAnsiTheme="majorHAnsi" w:cstheme="majorHAnsi"/>
          <w:sz w:val="22"/>
          <w:szCs w:val="22"/>
        </w:rPr>
        <w:t xml:space="preserve">) </w:t>
      </w:r>
      <w:r w:rsidR="00556C86">
        <w:rPr>
          <w:rFonts w:asciiTheme="majorHAnsi" w:hAnsiTheme="majorHAnsi" w:cstheme="majorHAnsi"/>
          <w:sz w:val="22"/>
          <w:szCs w:val="22"/>
        </w:rPr>
        <w:t xml:space="preserve">and </w:t>
      </w:r>
      <w:r w:rsidR="00A66018">
        <w:rPr>
          <w:rFonts w:asciiTheme="majorHAnsi" w:hAnsiTheme="majorHAnsi" w:cstheme="majorHAnsi"/>
          <w:sz w:val="22"/>
          <w:szCs w:val="22"/>
        </w:rPr>
        <w:t xml:space="preserve">its </w:t>
      </w:r>
      <w:r w:rsidR="004F45BE">
        <w:rPr>
          <w:rFonts w:asciiTheme="majorHAnsi" w:hAnsiTheme="majorHAnsi" w:cstheme="majorHAnsi"/>
          <w:sz w:val="22"/>
          <w:szCs w:val="22"/>
        </w:rPr>
        <w:t>learning community</w:t>
      </w:r>
      <w:r w:rsidR="00DD6AE6">
        <w:rPr>
          <w:rFonts w:asciiTheme="majorHAnsi" w:hAnsiTheme="majorHAnsi" w:cstheme="majorHAnsi"/>
          <w:sz w:val="22"/>
          <w:szCs w:val="22"/>
        </w:rPr>
        <w:t xml:space="preserve"> outreach</w:t>
      </w:r>
      <w:r w:rsidR="004F45BE">
        <w:rPr>
          <w:rFonts w:asciiTheme="majorHAnsi" w:hAnsiTheme="majorHAnsi" w:cstheme="majorHAnsi"/>
          <w:sz w:val="22"/>
          <w:szCs w:val="22"/>
        </w:rPr>
        <w:t xml:space="preserve"> </w:t>
      </w:r>
      <w:r w:rsidR="00DD6AE6">
        <w:rPr>
          <w:rFonts w:asciiTheme="majorHAnsi" w:hAnsiTheme="majorHAnsi" w:cstheme="majorHAnsi"/>
          <w:sz w:val="22"/>
          <w:szCs w:val="22"/>
        </w:rPr>
        <w:t>to</w:t>
      </w:r>
      <w:r w:rsidR="004F45BE">
        <w:rPr>
          <w:rFonts w:asciiTheme="majorHAnsi" w:hAnsiTheme="majorHAnsi" w:cstheme="majorHAnsi"/>
          <w:sz w:val="22"/>
          <w:szCs w:val="22"/>
        </w:rPr>
        <w:t xml:space="preserve"> neighbouring schools</w:t>
      </w:r>
      <w:r w:rsidR="00221415">
        <w:rPr>
          <w:rFonts w:asciiTheme="majorHAnsi" w:hAnsiTheme="majorHAnsi" w:cstheme="majorHAnsi"/>
          <w:sz w:val="22"/>
          <w:szCs w:val="22"/>
        </w:rPr>
        <w:t>,</w:t>
      </w:r>
      <w:r w:rsidR="00556C86">
        <w:rPr>
          <w:rFonts w:asciiTheme="majorHAnsi" w:hAnsiTheme="majorHAnsi" w:cstheme="majorHAnsi"/>
          <w:sz w:val="22"/>
          <w:szCs w:val="22"/>
        </w:rPr>
        <w:t xml:space="preserve"> and </w:t>
      </w:r>
      <w:r w:rsidR="00D150DE">
        <w:rPr>
          <w:rFonts w:asciiTheme="majorHAnsi" w:hAnsiTheme="majorHAnsi" w:cstheme="majorHAnsi"/>
          <w:sz w:val="22"/>
          <w:szCs w:val="22"/>
        </w:rPr>
        <w:t xml:space="preserve">iii) </w:t>
      </w:r>
      <w:r w:rsidR="00556C86">
        <w:rPr>
          <w:rFonts w:asciiTheme="majorHAnsi" w:hAnsiTheme="majorHAnsi" w:cstheme="majorHAnsi"/>
          <w:sz w:val="22"/>
          <w:szCs w:val="22"/>
        </w:rPr>
        <w:t xml:space="preserve"> the </w:t>
      </w:r>
      <w:r w:rsidR="00556C86" w:rsidRPr="007E2CD6">
        <w:rPr>
          <w:rFonts w:asciiTheme="majorHAnsi" w:hAnsiTheme="majorHAnsi" w:cstheme="majorHAnsi"/>
          <w:i/>
          <w:iCs/>
          <w:sz w:val="22"/>
          <w:szCs w:val="22"/>
        </w:rPr>
        <w:t xml:space="preserve">Balai Guru </w:t>
      </w:r>
      <w:proofErr w:type="spellStart"/>
      <w:r w:rsidR="00556C86" w:rsidRPr="007E2CD6">
        <w:rPr>
          <w:rFonts w:asciiTheme="majorHAnsi" w:hAnsiTheme="majorHAnsi" w:cstheme="majorHAnsi"/>
          <w:i/>
          <w:iCs/>
          <w:sz w:val="22"/>
          <w:szCs w:val="22"/>
        </w:rPr>
        <w:t>Penggerak</w:t>
      </w:r>
      <w:proofErr w:type="spellEnd"/>
      <w:r w:rsidR="00F45ECC">
        <w:rPr>
          <w:rFonts w:asciiTheme="majorHAnsi" w:hAnsiTheme="majorHAnsi" w:cstheme="majorHAnsi"/>
          <w:sz w:val="22"/>
          <w:szCs w:val="22"/>
        </w:rPr>
        <w:t xml:space="preserve"> (BGP)</w:t>
      </w:r>
      <w:r w:rsidR="00556C86">
        <w:rPr>
          <w:rFonts w:asciiTheme="majorHAnsi" w:hAnsiTheme="majorHAnsi" w:cstheme="majorHAnsi"/>
          <w:sz w:val="22"/>
          <w:szCs w:val="22"/>
        </w:rPr>
        <w:t>,</w:t>
      </w:r>
      <w:r w:rsidR="00F45ECC">
        <w:rPr>
          <w:rFonts w:asciiTheme="majorHAnsi" w:hAnsiTheme="majorHAnsi" w:cstheme="majorHAnsi"/>
          <w:sz w:val="22"/>
          <w:szCs w:val="22"/>
        </w:rPr>
        <w:t xml:space="preserve"> </w:t>
      </w:r>
      <w:r w:rsidR="00556C86">
        <w:rPr>
          <w:rFonts w:asciiTheme="majorHAnsi" w:hAnsiTheme="majorHAnsi" w:cstheme="majorHAnsi"/>
          <w:sz w:val="22"/>
          <w:szCs w:val="22"/>
        </w:rPr>
        <w:t>a</w:t>
      </w:r>
      <w:r w:rsidR="00550809">
        <w:rPr>
          <w:rFonts w:asciiTheme="majorHAnsi" w:hAnsiTheme="majorHAnsi" w:cstheme="majorHAnsi"/>
          <w:sz w:val="22"/>
          <w:szCs w:val="22"/>
        </w:rPr>
        <w:t xml:space="preserve"> unit located at the provincial level to support </w:t>
      </w:r>
      <w:r w:rsidR="00550809" w:rsidRPr="00D150DE">
        <w:rPr>
          <w:rFonts w:asciiTheme="majorHAnsi" w:hAnsiTheme="majorHAnsi" w:cstheme="majorHAnsi"/>
          <w:i/>
          <w:iCs/>
          <w:sz w:val="22"/>
          <w:szCs w:val="22"/>
        </w:rPr>
        <w:t xml:space="preserve">guru </w:t>
      </w:r>
      <w:proofErr w:type="spellStart"/>
      <w:r w:rsidR="00550809" w:rsidRPr="00D150DE">
        <w:rPr>
          <w:rFonts w:asciiTheme="majorHAnsi" w:hAnsiTheme="majorHAnsi" w:cstheme="majorHAnsi"/>
          <w:i/>
          <w:iCs/>
          <w:sz w:val="22"/>
          <w:szCs w:val="22"/>
        </w:rPr>
        <w:t>peng</w:t>
      </w:r>
      <w:r w:rsidR="00DD4F92">
        <w:rPr>
          <w:rFonts w:asciiTheme="majorHAnsi" w:hAnsiTheme="majorHAnsi" w:cstheme="majorHAnsi"/>
          <w:i/>
          <w:iCs/>
          <w:sz w:val="22"/>
          <w:szCs w:val="22"/>
        </w:rPr>
        <w:t>g</w:t>
      </w:r>
      <w:r w:rsidR="00550809" w:rsidRPr="00D150DE">
        <w:rPr>
          <w:rFonts w:asciiTheme="majorHAnsi" w:hAnsiTheme="majorHAnsi" w:cstheme="majorHAnsi"/>
          <w:i/>
          <w:iCs/>
          <w:sz w:val="22"/>
          <w:szCs w:val="22"/>
        </w:rPr>
        <w:t>erak</w:t>
      </w:r>
      <w:proofErr w:type="spellEnd"/>
      <w:r w:rsidR="00550809">
        <w:rPr>
          <w:rFonts w:asciiTheme="majorHAnsi" w:hAnsiTheme="majorHAnsi" w:cstheme="majorHAnsi"/>
          <w:sz w:val="22"/>
          <w:szCs w:val="22"/>
        </w:rPr>
        <w:t xml:space="preserve"> </w:t>
      </w:r>
      <w:r w:rsidR="00DD6AE6">
        <w:rPr>
          <w:rFonts w:asciiTheme="majorHAnsi" w:hAnsiTheme="majorHAnsi" w:cstheme="majorHAnsi"/>
          <w:sz w:val="22"/>
          <w:szCs w:val="22"/>
        </w:rPr>
        <w:t>as principals</w:t>
      </w:r>
      <w:r w:rsidR="00550809">
        <w:rPr>
          <w:rFonts w:asciiTheme="majorHAnsi" w:hAnsiTheme="majorHAnsi" w:cstheme="majorHAnsi"/>
          <w:sz w:val="22"/>
          <w:szCs w:val="22"/>
        </w:rPr>
        <w:t>.</w:t>
      </w:r>
      <w:r w:rsidR="00556C86">
        <w:rPr>
          <w:rFonts w:asciiTheme="majorHAnsi" w:hAnsiTheme="majorHAnsi" w:cstheme="majorHAnsi"/>
          <w:sz w:val="22"/>
          <w:szCs w:val="22"/>
        </w:rPr>
        <w:t xml:space="preserve"> </w:t>
      </w:r>
      <w:r w:rsidR="00DD6AE6">
        <w:rPr>
          <w:rFonts w:asciiTheme="majorHAnsi" w:hAnsiTheme="majorHAnsi" w:cstheme="majorHAnsi"/>
          <w:sz w:val="22"/>
          <w:szCs w:val="22"/>
        </w:rPr>
        <w:t xml:space="preserve">All of these are </w:t>
      </w:r>
      <w:r w:rsidR="008719DC">
        <w:rPr>
          <w:rFonts w:asciiTheme="majorHAnsi" w:hAnsiTheme="majorHAnsi" w:cstheme="majorHAnsi"/>
          <w:sz w:val="22"/>
          <w:szCs w:val="22"/>
        </w:rPr>
        <w:t>key</w:t>
      </w:r>
      <w:r w:rsidR="00DD6AE6">
        <w:rPr>
          <w:rFonts w:asciiTheme="majorHAnsi" w:hAnsiTheme="majorHAnsi" w:cstheme="majorHAnsi"/>
          <w:sz w:val="22"/>
          <w:szCs w:val="22"/>
        </w:rPr>
        <w:t xml:space="preserve"> institutions </w:t>
      </w:r>
      <w:r w:rsidR="008719DC">
        <w:rPr>
          <w:rFonts w:asciiTheme="majorHAnsi" w:hAnsiTheme="majorHAnsi" w:cstheme="majorHAnsi"/>
          <w:sz w:val="22"/>
          <w:szCs w:val="22"/>
        </w:rPr>
        <w:t>th</w:t>
      </w:r>
      <w:r w:rsidR="0025479A">
        <w:rPr>
          <w:rFonts w:asciiTheme="majorHAnsi" w:hAnsiTheme="majorHAnsi" w:cstheme="majorHAnsi"/>
          <w:sz w:val="22"/>
          <w:szCs w:val="22"/>
        </w:rPr>
        <w:t>at support the</w:t>
      </w:r>
      <w:r w:rsidR="008719DC">
        <w:rPr>
          <w:rFonts w:asciiTheme="majorHAnsi" w:hAnsiTheme="majorHAnsi" w:cstheme="majorHAnsi"/>
          <w:sz w:val="22"/>
          <w:szCs w:val="22"/>
        </w:rPr>
        <w:t xml:space="preserve"> improvement of education quality in </w:t>
      </w:r>
      <w:r w:rsidR="00DD6AE6">
        <w:rPr>
          <w:rFonts w:asciiTheme="majorHAnsi" w:hAnsiTheme="majorHAnsi" w:cstheme="majorHAnsi"/>
          <w:sz w:val="22"/>
          <w:szCs w:val="22"/>
        </w:rPr>
        <w:t>district</w:t>
      </w:r>
      <w:r w:rsidR="008719DC">
        <w:rPr>
          <w:rFonts w:asciiTheme="majorHAnsi" w:hAnsiTheme="majorHAnsi" w:cstheme="majorHAnsi"/>
          <w:sz w:val="22"/>
          <w:szCs w:val="22"/>
        </w:rPr>
        <w:t>s</w:t>
      </w:r>
      <w:r w:rsidR="00DD6AE6">
        <w:rPr>
          <w:rFonts w:asciiTheme="majorHAnsi" w:hAnsiTheme="majorHAnsi" w:cstheme="majorHAnsi"/>
          <w:sz w:val="22"/>
          <w:szCs w:val="22"/>
        </w:rPr>
        <w:t>. However</w:t>
      </w:r>
      <w:r>
        <w:rPr>
          <w:rFonts w:asciiTheme="majorHAnsi" w:hAnsiTheme="majorHAnsi" w:cstheme="majorHAnsi"/>
          <w:sz w:val="22"/>
          <w:szCs w:val="22"/>
        </w:rPr>
        <w:t>,</w:t>
      </w:r>
      <w:r w:rsidR="00DD6AE6">
        <w:rPr>
          <w:rFonts w:asciiTheme="majorHAnsi" w:hAnsiTheme="majorHAnsi" w:cstheme="majorHAnsi"/>
          <w:sz w:val="22"/>
          <w:szCs w:val="22"/>
        </w:rPr>
        <w:t xml:space="preserve"> in their </w:t>
      </w:r>
      <w:r w:rsidR="008719DC">
        <w:rPr>
          <w:rFonts w:asciiTheme="majorHAnsi" w:hAnsiTheme="majorHAnsi" w:cstheme="majorHAnsi"/>
          <w:sz w:val="22"/>
          <w:szCs w:val="22"/>
        </w:rPr>
        <w:t>current</w:t>
      </w:r>
      <w:r w:rsidR="00DD6AE6">
        <w:rPr>
          <w:rFonts w:asciiTheme="majorHAnsi" w:hAnsiTheme="majorHAnsi" w:cstheme="majorHAnsi"/>
          <w:sz w:val="22"/>
          <w:szCs w:val="22"/>
        </w:rPr>
        <w:t xml:space="preserve"> </w:t>
      </w:r>
      <w:r w:rsidR="008719DC">
        <w:rPr>
          <w:rFonts w:asciiTheme="majorHAnsi" w:hAnsiTheme="majorHAnsi" w:cstheme="majorHAnsi"/>
          <w:sz w:val="22"/>
          <w:szCs w:val="22"/>
        </w:rPr>
        <w:t xml:space="preserve">form and </w:t>
      </w:r>
      <w:r w:rsidR="00DD6AE6">
        <w:rPr>
          <w:rFonts w:asciiTheme="majorHAnsi" w:hAnsiTheme="majorHAnsi" w:cstheme="majorHAnsi"/>
          <w:sz w:val="22"/>
          <w:szCs w:val="22"/>
        </w:rPr>
        <w:t>stage of development</w:t>
      </w:r>
      <w:r w:rsidR="00F45ECC">
        <w:rPr>
          <w:rFonts w:asciiTheme="majorHAnsi" w:hAnsiTheme="majorHAnsi" w:cstheme="majorHAnsi"/>
          <w:sz w:val="22"/>
          <w:szCs w:val="22"/>
        </w:rPr>
        <w:t xml:space="preserve">, </w:t>
      </w:r>
      <w:r w:rsidR="00DD6AE6">
        <w:rPr>
          <w:rFonts w:asciiTheme="majorHAnsi" w:hAnsiTheme="majorHAnsi" w:cstheme="majorHAnsi"/>
          <w:sz w:val="22"/>
          <w:szCs w:val="22"/>
        </w:rPr>
        <w:t>the</w:t>
      </w:r>
      <w:r>
        <w:rPr>
          <w:rFonts w:asciiTheme="majorHAnsi" w:hAnsiTheme="majorHAnsi" w:cstheme="majorHAnsi"/>
          <w:sz w:val="22"/>
          <w:szCs w:val="22"/>
        </w:rPr>
        <w:t xml:space="preserve">re is a risk they </w:t>
      </w:r>
      <w:r w:rsidR="004A513D">
        <w:rPr>
          <w:rFonts w:asciiTheme="majorHAnsi" w:hAnsiTheme="majorHAnsi" w:cstheme="majorHAnsi"/>
          <w:sz w:val="22"/>
          <w:szCs w:val="22"/>
        </w:rPr>
        <w:t xml:space="preserve">will </w:t>
      </w:r>
      <w:r>
        <w:rPr>
          <w:rFonts w:asciiTheme="majorHAnsi" w:hAnsiTheme="majorHAnsi" w:cstheme="majorHAnsi"/>
          <w:sz w:val="22"/>
          <w:szCs w:val="22"/>
        </w:rPr>
        <w:t xml:space="preserve">struggle to adequately </w:t>
      </w:r>
      <w:r w:rsidR="004A513D">
        <w:rPr>
          <w:rFonts w:asciiTheme="majorHAnsi" w:hAnsiTheme="majorHAnsi" w:cstheme="majorHAnsi"/>
          <w:sz w:val="22"/>
          <w:szCs w:val="22"/>
        </w:rPr>
        <w:t xml:space="preserve">embed an </w:t>
      </w:r>
      <w:r w:rsidR="00550809">
        <w:rPr>
          <w:rFonts w:asciiTheme="majorHAnsi" w:hAnsiTheme="majorHAnsi" w:cstheme="majorHAnsi"/>
          <w:sz w:val="22"/>
          <w:szCs w:val="22"/>
        </w:rPr>
        <w:t>understanding of inclusive literacy and numeracy teaching in a cr</w:t>
      </w:r>
      <w:r w:rsidR="004A513D">
        <w:rPr>
          <w:rFonts w:asciiTheme="majorHAnsi" w:hAnsiTheme="majorHAnsi" w:cstheme="majorHAnsi"/>
          <w:sz w:val="22"/>
          <w:szCs w:val="22"/>
        </w:rPr>
        <w:t>iti</w:t>
      </w:r>
      <w:r w:rsidR="00550809">
        <w:rPr>
          <w:rFonts w:asciiTheme="majorHAnsi" w:hAnsiTheme="majorHAnsi" w:cstheme="majorHAnsi"/>
          <w:sz w:val="22"/>
          <w:szCs w:val="22"/>
        </w:rPr>
        <w:t xml:space="preserve">cal mass of practitioners </w:t>
      </w:r>
      <w:proofErr w:type="gramStart"/>
      <w:r w:rsidR="00550809">
        <w:rPr>
          <w:rFonts w:asciiTheme="majorHAnsi" w:hAnsiTheme="majorHAnsi" w:cstheme="majorHAnsi"/>
          <w:sz w:val="22"/>
          <w:szCs w:val="22"/>
        </w:rPr>
        <w:t xml:space="preserve">in a </w:t>
      </w:r>
      <w:r>
        <w:rPr>
          <w:rFonts w:asciiTheme="majorHAnsi" w:hAnsiTheme="majorHAnsi" w:cstheme="majorHAnsi"/>
          <w:sz w:val="22"/>
          <w:szCs w:val="22"/>
        </w:rPr>
        <w:t>given</w:t>
      </w:r>
      <w:proofErr w:type="gramEnd"/>
      <w:r>
        <w:rPr>
          <w:rFonts w:asciiTheme="majorHAnsi" w:hAnsiTheme="majorHAnsi" w:cstheme="majorHAnsi"/>
          <w:sz w:val="22"/>
          <w:szCs w:val="22"/>
        </w:rPr>
        <w:t xml:space="preserve"> </w:t>
      </w:r>
      <w:r w:rsidR="00550809">
        <w:rPr>
          <w:rFonts w:asciiTheme="majorHAnsi" w:hAnsiTheme="majorHAnsi" w:cstheme="majorHAnsi"/>
          <w:sz w:val="22"/>
          <w:szCs w:val="22"/>
        </w:rPr>
        <w:t xml:space="preserve">district. </w:t>
      </w:r>
      <w:r w:rsidR="00F45ECC">
        <w:rPr>
          <w:rFonts w:asciiTheme="majorHAnsi" w:hAnsiTheme="majorHAnsi" w:cstheme="majorHAnsi"/>
          <w:sz w:val="22"/>
          <w:szCs w:val="22"/>
        </w:rPr>
        <w:t>A critical role for the program will be to support district education authorities maximise the utility of these support systems</w:t>
      </w:r>
      <w:r w:rsidR="00C115FC">
        <w:rPr>
          <w:rFonts w:asciiTheme="majorHAnsi" w:hAnsiTheme="majorHAnsi" w:cstheme="majorHAnsi"/>
          <w:sz w:val="22"/>
          <w:szCs w:val="22"/>
        </w:rPr>
        <w:t xml:space="preserve"> </w:t>
      </w:r>
      <w:r w:rsidR="00880757">
        <w:rPr>
          <w:rFonts w:asciiTheme="majorHAnsi" w:hAnsiTheme="majorHAnsi" w:cstheme="majorHAnsi"/>
          <w:sz w:val="22"/>
          <w:szCs w:val="22"/>
        </w:rPr>
        <w:t>for</w:t>
      </w:r>
      <w:r w:rsidR="00C115FC">
        <w:rPr>
          <w:rFonts w:asciiTheme="majorHAnsi" w:hAnsiTheme="majorHAnsi" w:cstheme="majorHAnsi"/>
          <w:sz w:val="22"/>
          <w:szCs w:val="22"/>
        </w:rPr>
        <w:t xml:space="preserve"> foundational skills development</w:t>
      </w:r>
      <w:r w:rsidR="003A5DFC">
        <w:rPr>
          <w:rFonts w:asciiTheme="majorHAnsi" w:hAnsiTheme="majorHAnsi" w:cstheme="majorHAnsi"/>
          <w:sz w:val="22"/>
          <w:szCs w:val="22"/>
        </w:rPr>
        <w:t xml:space="preserve">. This </w:t>
      </w:r>
      <w:r>
        <w:rPr>
          <w:rFonts w:asciiTheme="majorHAnsi" w:hAnsiTheme="majorHAnsi" w:cstheme="majorHAnsi"/>
          <w:sz w:val="22"/>
          <w:szCs w:val="22"/>
        </w:rPr>
        <w:t>might be done</w:t>
      </w:r>
      <w:r w:rsidR="003A5DFC">
        <w:rPr>
          <w:rFonts w:asciiTheme="majorHAnsi" w:hAnsiTheme="majorHAnsi" w:cstheme="majorHAnsi"/>
          <w:sz w:val="22"/>
          <w:szCs w:val="22"/>
        </w:rPr>
        <w:t xml:space="preserve"> by integrating them into </w:t>
      </w:r>
      <w:r>
        <w:rPr>
          <w:rFonts w:asciiTheme="majorHAnsi" w:hAnsiTheme="majorHAnsi" w:cstheme="majorHAnsi"/>
          <w:sz w:val="22"/>
          <w:szCs w:val="22"/>
        </w:rPr>
        <w:t xml:space="preserve">existing </w:t>
      </w:r>
      <w:r w:rsidR="00A66018">
        <w:rPr>
          <w:rFonts w:asciiTheme="majorHAnsi" w:hAnsiTheme="majorHAnsi" w:cstheme="majorHAnsi"/>
          <w:sz w:val="22"/>
          <w:szCs w:val="22"/>
        </w:rPr>
        <w:t xml:space="preserve">district’s </w:t>
      </w:r>
      <w:r>
        <w:rPr>
          <w:rFonts w:asciiTheme="majorHAnsi" w:hAnsiTheme="majorHAnsi" w:cstheme="majorHAnsi"/>
          <w:sz w:val="22"/>
          <w:szCs w:val="22"/>
        </w:rPr>
        <w:t xml:space="preserve">system for </w:t>
      </w:r>
      <w:r w:rsidR="00A66018">
        <w:rPr>
          <w:rFonts w:asciiTheme="majorHAnsi" w:hAnsiTheme="majorHAnsi" w:cstheme="majorHAnsi"/>
          <w:sz w:val="22"/>
          <w:szCs w:val="22"/>
        </w:rPr>
        <w:t>manag</w:t>
      </w:r>
      <w:r>
        <w:rPr>
          <w:rFonts w:asciiTheme="majorHAnsi" w:hAnsiTheme="majorHAnsi" w:cstheme="majorHAnsi"/>
          <w:sz w:val="22"/>
          <w:szCs w:val="22"/>
        </w:rPr>
        <w:t xml:space="preserve">ing </w:t>
      </w:r>
      <w:r w:rsidR="00A66018">
        <w:rPr>
          <w:rFonts w:asciiTheme="majorHAnsi" w:hAnsiTheme="majorHAnsi" w:cstheme="majorHAnsi"/>
          <w:sz w:val="22"/>
          <w:szCs w:val="22"/>
        </w:rPr>
        <w:t>schools</w:t>
      </w:r>
      <w:r w:rsidR="00221415">
        <w:rPr>
          <w:rFonts w:asciiTheme="majorHAnsi" w:hAnsiTheme="majorHAnsi" w:cstheme="majorHAnsi"/>
          <w:sz w:val="22"/>
          <w:szCs w:val="22"/>
        </w:rPr>
        <w:t>,</w:t>
      </w:r>
      <w:r w:rsidR="00A66018">
        <w:rPr>
          <w:rFonts w:asciiTheme="majorHAnsi" w:hAnsiTheme="majorHAnsi" w:cstheme="majorHAnsi"/>
          <w:sz w:val="22"/>
          <w:szCs w:val="22"/>
        </w:rPr>
        <w:t xml:space="preserve"> and particularly into </w:t>
      </w:r>
      <w:r w:rsidR="008719DC">
        <w:rPr>
          <w:rFonts w:asciiTheme="majorHAnsi" w:hAnsiTheme="majorHAnsi" w:cstheme="majorHAnsi"/>
          <w:sz w:val="22"/>
          <w:szCs w:val="22"/>
        </w:rPr>
        <w:t xml:space="preserve">the </w:t>
      </w:r>
      <w:r w:rsidR="003A5DFC">
        <w:rPr>
          <w:rFonts w:asciiTheme="majorHAnsi" w:hAnsiTheme="majorHAnsi" w:cstheme="majorHAnsi"/>
          <w:sz w:val="22"/>
          <w:szCs w:val="22"/>
        </w:rPr>
        <w:t>existing teacher and principal support systems</w:t>
      </w:r>
      <w:r w:rsidR="00880757">
        <w:rPr>
          <w:rFonts w:asciiTheme="majorHAnsi" w:hAnsiTheme="majorHAnsi" w:cstheme="majorHAnsi"/>
          <w:sz w:val="22"/>
          <w:szCs w:val="22"/>
        </w:rPr>
        <w:t>:</w:t>
      </w:r>
      <w:r w:rsidR="003A5DFC">
        <w:rPr>
          <w:rFonts w:asciiTheme="majorHAnsi" w:hAnsiTheme="majorHAnsi" w:cstheme="majorHAnsi"/>
          <w:sz w:val="22"/>
          <w:szCs w:val="22"/>
        </w:rPr>
        <w:t xml:space="preserve"> the teacher </w:t>
      </w:r>
      <w:r>
        <w:rPr>
          <w:rFonts w:asciiTheme="majorHAnsi" w:hAnsiTheme="majorHAnsi" w:cstheme="majorHAnsi"/>
          <w:sz w:val="22"/>
          <w:szCs w:val="22"/>
        </w:rPr>
        <w:t>working groups (</w:t>
      </w:r>
      <w:proofErr w:type="spellStart"/>
      <w:r w:rsidRPr="00E85737">
        <w:rPr>
          <w:rFonts w:asciiTheme="majorHAnsi" w:hAnsiTheme="majorHAnsi" w:cstheme="majorHAnsi"/>
          <w:i/>
          <w:iCs/>
          <w:sz w:val="22"/>
          <w:szCs w:val="22"/>
        </w:rPr>
        <w:t>Kelompok</w:t>
      </w:r>
      <w:proofErr w:type="spellEnd"/>
      <w:r w:rsidRPr="00E85737">
        <w:rPr>
          <w:rFonts w:asciiTheme="majorHAnsi" w:hAnsiTheme="majorHAnsi" w:cstheme="majorHAnsi"/>
          <w:i/>
          <w:iCs/>
          <w:sz w:val="22"/>
          <w:szCs w:val="22"/>
        </w:rPr>
        <w:t xml:space="preserve"> </w:t>
      </w:r>
      <w:proofErr w:type="spellStart"/>
      <w:r w:rsidRPr="00E85737">
        <w:rPr>
          <w:rFonts w:asciiTheme="majorHAnsi" w:hAnsiTheme="majorHAnsi" w:cstheme="majorHAnsi"/>
          <w:i/>
          <w:iCs/>
          <w:sz w:val="22"/>
          <w:szCs w:val="22"/>
        </w:rPr>
        <w:t>Kerja</w:t>
      </w:r>
      <w:proofErr w:type="spellEnd"/>
      <w:r w:rsidRPr="00E85737">
        <w:rPr>
          <w:rFonts w:asciiTheme="majorHAnsi" w:hAnsiTheme="majorHAnsi" w:cstheme="majorHAnsi"/>
          <w:i/>
          <w:iCs/>
          <w:sz w:val="22"/>
          <w:szCs w:val="22"/>
        </w:rPr>
        <w:t xml:space="preserve"> Guru</w:t>
      </w:r>
      <w:r>
        <w:rPr>
          <w:rFonts w:asciiTheme="majorHAnsi" w:hAnsiTheme="majorHAnsi" w:cstheme="majorHAnsi"/>
          <w:sz w:val="22"/>
          <w:szCs w:val="22"/>
        </w:rPr>
        <w:t xml:space="preserve"> - KKG) </w:t>
      </w:r>
      <w:r w:rsidR="003A5DFC">
        <w:rPr>
          <w:rFonts w:asciiTheme="majorHAnsi" w:hAnsiTheme="majorHAnsi" w:cstheme="majorHAnsi"/>
          <w:sz w:val="22"/>
          <w:szCs w:val="22"/>
        </w:rPr>
        <w:t xml:space="preserve">and </w:t>
      </w:r>
      <w:r>
        <w:rPr>
          <w:rFonts w:asciiTheme="majorHAnsi" w:hAnsiTheme="majorHAnsi" w:cstheme="majorHAnsi"/>
          <w:sz w:val="22"/>
          <w:szCs w:val="22"/>
        </w:rPr>
        <w:t xml:space="preserve">the </w:t>
      </w:r>
      <w:r w:rsidR="003A5DFC">
        <w:rPr>
          <w:rFonts w:asciiTheme="majorHAnsi" w:hAnsiTheme="majorHAnsi" w:cstheme="majorHAnsi"/>
          <w:sz w:val="22"/>
          <w:szCs w:val="22"/>
        </w:rPr>
        <w:t xml:space="preserve">principals </w:t>
      </w:r>
      <w:r>
        <w:rPr>
          <w:rFonts w:asciiTheme="majorHAnsi" w:hAnsiTheme="majorHAnsi" w:cstheme="majorHAnsi"/>
          <w:sz w:val="22"/>
          <w:szCs w:val="22"/>
        </w:rPr>
        <w:t>working groups (</w:t>
      </w:r>
      <w:proofErr w:type="spellStart"/>
      <w:r w:rsidRPr="00E85737">
        <w:rPr>
          <w:rFonts w:asciiTheme="majorHAnsi" w:hAnsiTheme="majorHAnsi" w:cstheme="majorHAnsi"/>
          <w:i/>
          <w:iCs/>
          <w:sz w:val="22"/>
          <w:szCs w:val="22"/>
        </w:rPr>
        <w:t>Kelompok</w:t>
      </w:r>
      <w:proofErr w:type="spellEnd"/>
      <w:r w:rsidRPr="00E85737">
        <w:rPr>
          <w:rFonts w:asciiTheme="majorHAnsi" w:hAnsiTheme="majorHAnsi" w:cstheme="majorHAnsi"/>
          <w:i/>
          <w:iCs/>
          <w:sz w:val="22"/>
          <w:szCs w:val="22"/>
        </w:rPr>
        <w:t xml:space="preserve"> </w:t>
      </w:r>
      <w:proofErr w:type="spellStart"/>
      <w:r w:rsidRPr="00E85737">
        <w:rPr>
          <w:rFonts w:asciiTheme="majorHAnsi" w:hAnsiTheme="majorHAnsi" w:cstheme="majorHAnsi"/>
          <w:i/>
          <w:iCs/>
          <w:sz w:val="22"/>
          <w:szCs w:val="22"/>
        </w:rPr>
        <w:t>Kerja</w:t>
      </w:r>
      <w:proofErr w:type="spellEnd"/>
      <w:r w:rsidRPr="00E85737">
        <w:rPr>
          <w:rFonts w:asciiTheme="majorHAnsi" w:hAnsiTheme="majorHAnsi" w:cstheme="majorHAnsi"/>
          <w:i/>
          <w:iCs/>
          <w:sz w:val="22"/>
          <w:szCs w:val="22"/>
        </w:rPr>
        <w:t xml:space="preserve"> K</w:t>
      </w:r>
      <w:r w:rsidR="00F74F7B" w:rsidRPr="00E85737">
        <w:rPr>
          <w:rFonts w:asciiTheme="majorHAnsi" w:hAnsiTheme="majorHAnsi" w:cstheme="majorHAnsi"/>
          <w:i/>
          <w:iCs/>
          <w:sz w:val="22"/>
          <w:szCs w:val="22"/>
        </w:rPr>
        <w:t xml:space="preserve">epala </w:t>
      </w:r>
      <w:proofErr w:type="spellStart"/>
      <w:r w:rsidRPr="00E85737">
        <w:rPr>
          <w:rFonts w:asciiTheme="majorHAnsi" w:hAnsiTheme="majorHAnsi" w:cstheme="majorHAnsi"/>
          <w:i/>
          <w:iCs/>
          <w:sz w:val="22"/>
          <w:szCs w:val="22"/>
        </w:rPr>
        <w:t>S</w:t>
      </w:r>
      <w:r w:rsidR="00F74F7B" w:rsidRPr="00E85737">
        <w:rPr>
          <w:rFonts w:asciiTheme="majorHAnsi" w:hAnsiTheme="majorHAnsi" w:cstheme="majorHAnsi"/>
          <w:i/>
          <w:iCs/>
          <w:sz w:val="22"/>
          <w:szCs w:val="22"/>
        </w:rPr>
        <w:t>ekolah</w:t>
      </w:r>
      <w:proofErr w:type="spellEnd"/>
      <w:r w:rsidR="00E85737" w:rsidRPr="00E85737">
        <w:rPr>
          <w:rFonts w:asciiTheme="majorHAnsi" w:hAnsiTheme="majorHAnsi" w:cstheme="majorHAnsi"/>
          <w:i/>
          <w:iCs/>
          <w:sz w:val="22"/>
          <w:szCs w:val="22"/>
        </w:rPr>
        <w:t xml:space="preserve"> </w:t>
      </w:r>
      <w:r>
        <w:rPr>
          <w:rFonts w:asciiTheme="majorHAnsi" w:hAnsiTheme="majorHAnsi" w:cstheme="majorHAnsi"/>
          <w:sz w:val="22"/>
          <w:szCs w:val="22"/>
        </w:rPr>
        <w:t xml:space="preserve">- </w:t>
      </w:r>
      <w:r w:rsidR="00F74F7B">
        <w:rPr>
          <w:rFonts w:asciiTheme="majorHAnsi" w:hAnsiTheme="majorHAnsi" w:cstheme="majorHAnsi"/>
          <w:sz w:val="22"/>
          <w:szCs w:val="22"/>
        </w:rPr>
        <w:t>KKK</w:t>
      </w:r>
      <w:r>
        <w:rPr>
          <w:rFonts w:asciiTheme="majorHAnsi" w:hAnsiTheme="majorHAnsi" w:cstheme="majorHAnsi"/>
          <w:sz w:val="22"/>
          <w:szCs w:val="22"/>
        </w:rPr>
        <w:t>S)</w:t>
      </w:r>
      <w:r w:rsidR="003A5DFC">
        <w:rPr>
          <w:rFonts w:asciiTheme="majorHAnsi" w:hAnsiTheme="majorHAnsi" w:cstheme="majorHAnsi"/>
          <w:sz w:val="22"/>
          <w:szCs w:val="22"/>
        </w:rPr>
        <w:t xml:space="preserve">. </w:t>
      </w:r>
      <w:r w:rsidR="00701D70">
        <w:rPr>
          <w:rFonts w:asciiTheme="majorHAnsi" w:hAnsiTheme="majorHAnsi" w:cstheme="majorHAnsi"/>
          <w:sz w:val="22"/>
          <w:szCs w:val="22"/>
        </w:rPr>
        <w:t xml:space="preserve"> </w:t>
      </w:r>
      <w:r>
        <w:rPr>
          <w:rFonts w:asciiTheme="majorHAnsi" w:hAnsiTheme="majorHAnsi" w:cstheme="majorHAnsi"/>
          <w:sz w:val="22"/>
          <w:szCs w:val="22"/>
        </w:rPr>
        <w:t xml:space="preserve">Following INOVASI Phase 2 efforts, </w:t>
      </w:r>
      <w:r w:rsidR="00FC435A">
        <w:rPr>
          <w:rFonts w:asciiTheme="majorHAnsi" w:hAnsiTheme="majorHAnsi" w:cstheme="majorHAnsi"/>
          <w:sz w:val="22"/>
          <w:szCs w:val="22"/>
        </w:rPr>
        <w:t xml:space="preserve">the program will </w:t>
      </w:r>
      <w:r>
        <w:rPr>
          <w:rFonts w:asciiTheme="majorHAnsi" w:hAnsiTheme="majorHAnsi" w:cstheme="majorHAnsi"/>
          <w:sz w:val="22"/>
          <w:szCs w:val="22"/>
        </w:rPr>
        <w:t xml:space="preserve">continue to support improvements to these working groups, including </w:t>
      </w:r>
      <w:r w:rsidR="00846C3E">
        <w:rPr>
          <w:rFonts w:asciiTheme="majorHAnsi" w:hAnsiTheme="majorHAnsi" w:cstheme="majorHAnsi"/>
          <w:sz w:val="22"/>
          <w:szCs w:val="22"/>
        </w:rPr>
        <w:t>reinforcing the need for recurrent funding of meetings</w:t>
      </w:r>
      <w:r w:rsidR="00221415">
        <w:rPr>
          <w:rFonts w:asciiTheme="majorHAnsi" w:hAnsiTheme="majorHAnsi" w:cstheme="majorHAnsi"/>
          <w:sz w:val="22"/>
          <w:szCs w:val="22"/>
        </w:rPr>
        <w:t>,</w:t>
      </w:r>
      <w:r w:rsidR="00FC435A">
        <w:rPr>
          <w:rFonts w:asciiTheme="majorHAnsi" w:hAnsiTheme="majorHAnsi" w:cstheme="majorHAnsi"/>
          <w:sz w:val="22"/>
          <w:szCs w:val="22"/>
        </w:rPr>
        <w:t xml:space="preserve"> </w:t>
      </w:r>
      <w:r w:rsidR="00C115FC">
        <w:rPr>
          <w:rFonts w:asciiTheme="majorHAnsi" w:hAnsiTheme="majorHAnsi" w:cstheme="majorHAnsi"/>
          <w:sz w:val="22"/>
          <w:szCs w:val="22"/>
        </w:rPr>
        <w:t xml:space="preserve">supporting </w:t>
      </w:r>
      <w:r w:rsidR="00FC435A">
        <w:rPr>
          <w:rFonts w:asciiTheme="majorHAnsi" w:hAnsiTheme="majorHAnsi" w:cstheme="majorHAnsi"/>
          <w:sz w:val="22"/>
          <w:szCs w:val="22"/>
        </w:rPr>
        <w:t>permanent replacements for</w:t>
      </w:r>
      <w:r w:rsidR="00FA465C">
        <w:rPr>
          <w:rFonts w:asciiTheme="majorHAnsi" w:hAnsiTheme="majorHAnsi" w:cstheme="majorHAnsi"/>
          <w:sz w:val="22"/>
          <w:szCs w:val="22"/>
        </w:rPr>
        <w:t xml:space="preserve"> facilitation provided in the past</w:t>
      </w:r>
      <w:r w:rsidR="00221415">
        <w:rPr>
          <w:rFonts w:asciiTheme="majorHAnsi" w:hAnsiTheme="majorHAnsi" w:cstheme="majorHAnsi"/>
          <w:sz w:val="22"/>
          <w:szCs w:val="22"/>
        </w:rPr>
        <w:t>,</w:t>
      </w:r>
      <w:r w:rsidR="00FA465C">
        <w:rPr>
          <w:rFonts w:asciiTheme="majorHAnsi" w:hAnsiTheme="majorHAnsi" w:cstheme="majorHAnsi"/>
          <w:sz w:val="22"/>
          <w:szCs w:val="22"/>
        </w:rPr>
        <w:t xml:space="preserve"> helping districts integrate the </w:t>
      </w:r>
      <w:proofErr w:type="spellStart"/>
      <w:r w:rsidR="00FA465C" w:rsidRPr="004533F4">
        <w:rPr>
          <w:rFonts w:asciiTheme="majorHAnsi" w:hAnsiTheme="majorHAnsi" w:cstheme="majorHAnsi"/>
          <w:i/>
          <w:iCs/>
          <w:sz w:val="22"/>
          <w:szCs w:val="22"/>
        </w:rPr>
        <w:t>sekolah</w:t>
      </w:r>
      <w:proofErr w:type="spellEnd"/>
      <w:r w:rsidR="00FA465C" w:rsidRPr="004533F4">
        <w:rPr>
          <w:rFonts w:asciiTheme="majorHAnsi" w:hAnsiTheme="majorHAnsi" w:cstheme="majorHAnsi"/>
          <w:i/>
          <w:iCs/>
          <w:sz w:val="22"/>
          <w:szCs w:val="22"/>
        </w:rPr>
        <w:t xml:space="preserve"> </w:t>
      </w:r>
      <w:proofErr w:type="spellStart"/>
      <w:r w:rsidR="00FA465C" w:rsidRPr="004533F4">
        <w:rPr>
          <w:rFonts w:asciiTheme="majorHAnsi" w:hAnsiTheme="majorHAnsi" w:cstheme="majorHAnsi"/>
          <w:i/>
          <w:iCs/>
          <w:sz w:val="22"/>
          <w:szCs w:val="22"/>
        </w:rPr>
        <w:t>penggerak</w:t>
      </w:r>
      <w:proofErr w:type="spellEnd"/>
      <w:r w:rsidR="00846C3E" w:rsidRPr="004533F4">
        <w:rPr>
          <w:rFonts w:asciiTheme="majorHAnsi" w:hAnsiTheme="majorHAnsi" w:cstheme="majorHAnsi"/>
          <w:i/>
          <w:iCs/>
          <w:sz w:val="22"/>
          <w:szCs w:val="22"/>
        </w:rPr>
        <w:t xml:space="preserve"> </w:t>
      </w:r>
      <w:r w:rsidR="00846C3E">
        <w:rPr>
          <w:rFonts w:asciiTheme="majorHAnsi" w:hAnsiTheme="majorHAnsi" w:cstheme="majorHAnsi"/>
          <w:sz w:val="22"/>
          <w:szCs w:val="22"/>
        </w:rPr>
        <w:t>and the re-</w:t>
      </w:r>
      <w:r w:rsidR="00C115FC">
        <w:rPr>
          <w:rFonts w:asciiTheme="majorHAnsi" w:hAnsiTheme="majorHAnsi" w:cstheme="majorHAnsi"/>
          <w:sz w:val="22"/>
          <w:szCs w:val="22"/>
        </w:rPr>
        <w:t>formed</w:t>
      </w:r>
      <w:r w:rsidR="00846C3E">
        <w:rPr>
          <w:rFonts w:asciiTheme="majorHAnsi" w:hAnsiTheme="majorHAnsi" w:cstheme="majorHAnsi"/>
          <w:sz w:val="22"/>
          <w:szCs w:val="22"/>
        </w:rPr>
        <w:t xml:space="preserve"> supervisor cadre</w:t>
      </w:r>
      <w:r w:rsidR="00FA465C">
        <w:rPr>
          <w:rFonts w:asciiTheme="majorHAnsi" w:hAnsiTheme="majorHAnsi" w:cstheme="majorHAnsi"/>
          <w:sz w:val="22"/>
          <w:szCs w:val="22"/>
        </w:rPr>
        <w:t xml:space="preserve"> in</w:t>
      </w:r>
      <w:r w:rsidR="00C115FC">
        <w:rPr>
          <w:rFonts w:asciiTheme="majorHAnsi" w:hAnsiTheme="majorHAnsi" w:cstheme="majorHAnsi"/>
          <w:sz w:val="22"/>
          <w:szCs w:val="22"/>
        </w:rPr>
        <w:t>to</w:t>
      </w:r>
      <w:r w:rsidR="00FA465C">
        <w:rPr>
          <w:rFonts w:asciiTheme="majorHAnsi" w:hAnsiTheme="majorHAnsi" w:cstheme="majorHAnsi"/>
          <w:sz w:val="22"/>
          <w:szCs w:val="22"/>
        </w:rPr>
        <w:t xml:space="preserve"> </w:t>
      </w:r>
      <w:r w:rsidR="00C115FC">
        <w:rPr>
          <w:rFonts w:asciiTheme="majorHAnsi" w:hAnsiTheme="majorHAnsi" w:cstheme="majorHAnsi"/>
          <w:sz w:val="22"/>
          <w:szCs w:val="22"/>
        </w:rPr>
        <w:t>these roles</w:t>
      </w:r>
      <w:r w:rsidR="00221415">
        <w:rPr>
          <w:rFonts w:asciiTheme="majorHAnsi" w:hAnsiTheme="majorHAnsi" w:cstheme="majorHAnsi"/>
          <w:sz w:val="22"/>
          <w:szCs w:val="22"/>
        </w:rPr>
        <w:t>,</w:t>
      </w:r>
      <w:r w:rsidR="00846C3E">
        <w:rPr>
          <w:rFonts w:asciiTheme="majorHAnsi" w:hAnsiTheme="majorHAnsi" w:cstheme="majorHAnsi"/>
          <w:sz w:val="22"/>
          <w:szCs w:val="22"/>
        </w:rPr>
        <w:t xml:space="preserve"> </w:t>
      </w:r>
      <w:r w:rsidR="006D744E">
        <w:rPr>
          <w:rFonts w:asciiTheme="majorHAnsi" w:hAnsiTheme="majorHAnsi" w:cstheme="majorHAnsi"/>
          <w:sz w:val="22"/>
          <w:szCs w:val="22"/>
        </w:rPr>
        <w:t>and</w:t>
      </w:r>
      <w:r w:rsidR="00846C3E">
        <w:rPr>
          <w:rFonts w:asciiTheme="majorHAnsi" w:hAnsiTheme="majorHAnsi" w:cstheme="majorHAnsi"/>
          <w:sz w:val="22"/>
          <w:szCs w:val="22"/>
        </w:rPr>
        <w:t xml:space="preserve"> </w:t>
      </w:r>
      <w:r w:rsidR="00CD3AC2">
        <w:rPr>
          <w:rFonts w:asciiTheme="majorHAnsi" w:hAnsiTheme="majorHAnsi" w:cstheme="majorHAnsi"/>
          <w:sz w:val="22"/>
          <w:szCs w:val="22"/>
        </w:rPr>
        <w:t xml:space="preserve">supporting </w:t>
      </w:r>
      <w:r w:rsidR="00846C3E">
        <w:rPr>
          <w:rFonts w:asciiTheme="majorHAnsi" w:hAnsiTheme="majorHAnsi" w:cstheme="majorHAnsi"/>
          <w:sz w:val="22"/>
          <w:szCs w:val="22"/>
        </w:rPr>
        <w:t>district</w:t>
      </w:r>
      <w:r>
        <w:rPr>
          <w:rFonts w:asciiTheme="majorHAnsi" w:hAnsiTheme="majorHAnsi" w:cstheme="majorHAnsi"/>
          <w:sz w:val="22"/>
          <w:szCs w:val="22"/>
        </w:rPr>
        <w:t>s</w:t>
      </w:r>
      <w:r w:rsidR="00846C3E">
        <w:rPr>
          <w:rFonts w:asciiTheme="majorHAnsi" w:hAnsiTheme="majorHAnsi" w:cstheme="majorHAnsi"/>
          <w:sz w:val="22"/>
          <w:szCs w:val="22"/>
        </w:rPr>
        <w:t xml:space="preserve"> </w:t>
      </w:r>
      <w:r w:rsidR="00C115FC">
        <w:rPr>
          <w:rFonts w:asciiTheme="majorHAnsi" w:hAnsiTheme="majorHAnsi" w:cstheme="majorHAnsi"/>
          <w:sz w:val="22"/>
          <w:szCs w:val="22"/>
        </w:rPr>
        <w:t xml:space="preserve">to </w:t>
      </w:r>
      <w:r w:rsidR="00FA465C">
        <w:rPr>
          <w:rFonts w:asciiTheme="majorHAnsi" w:hAnsiTheme="majorHAnsi" w:cstheme="majorHAnsi"/>
          <w:sz w:val="22"/>
          <w:szCs w:val="22"/>
        </w:rPr>
        <w:t xml:space="preserve">develop a permanent supply of </w:t>
      </w:r>
      <w:r w:rsidR="00E85737">
        <w:rPr>
          <w:rFonts w:asciiTheme="majorHAnsi" w:hAnsiTheme="majorHAnsi" w:cstheme="majorHAnsi"/>
          <w:sz w:val="22"/>
          <w:szCs w:val="22"/>
        </w:rPr>
        <w:t>competent</w:t>
      </w:r>
      <w:r w:rsidR="00FA465C">
        <w:rPr>
          <w:rFonts w:asciiTheme="majorHAnsi" w:hAnsiTheme="majorHAnsi" w:cstheme="majorHAnsi"/>
          <w:sz w:val="22"/>
          <w:szCs w:val="22"/>
        </w:rPr>
        <w:t xml:space="preserve"> facili</w:t>
      </w:r>
      <w:r w:rsidR="00846C3E">
        <w:rPr>
          <w:rFonts w:asciiTheme="majorHAnsi" w:hAnsiTheme="majorHAnsi" w:cstheme="majorHAnsi"/>
          <w:sz w:val="22"/>
          <w:szCs w:val="22"/>
        </w:rPr>
        <w:t>t</w:t>
      </w:r>
      <w:r w:rsidR="00FA465C">
        <w:rPr>
          <w:rFonts w:asciiTheme="majorHAnsi" w:hAnsiTheme="majorHAnsi" w:cstheme="majorHAnsi"/>
          <w:sz w:val="22"/>
          <w:szCs w:val="22"/>
        </w:rPr>
        <w:t xml:space="preserve">ators </w:t>
      </w:r>
      <w:r w:rsidR="00846C3E">
        <w:rPr>
          <w:rFonts w:asciiTheme="majorHAnsi" w:hAnsiTheme="majorHAnsi" w:cstheme="majorHAnsi"/>
          <w:sz w:val="22"/>
          <w:szCs w:val="22"/>
        </w:rPr>
        <w:t xml:space="preserve">from partner </w:t>
      </w:r>
      <w:r w:rsidR="00E85737">
        <w:rPr>
          <w:rFonts w:asciiTheme="majorHAnsi" w:hAnsiTheme="majorHAnsi" w:cstheme="majorHAnsi"/>
          <w:sz w:val="22"/>
          <w:szCs w:val="22"/>
        </w:rPr>
        <w:t>u</w:t>
      </w:r>
      <w:r w:rsidR="00846C3E">
        <w:rPr>
          <w:rFonts w:asciiTheme="majorHAnsi" w:hAnsiTheme="majorHAnsi" w:cstheme="majorHAnsi"/>
          <w:sz w:val="22"/>
          <w:szCs w:val="22"/>
        </w:rPr>
        <w:t>niversities.</w:t>
      </w:r>
      <w:r w:rsidR="00CD3AC2">
        <w:rPr>
          <w:rFonts w:asciiTheme="majorHAnsi" w:hAnsiTheme="majorHAnsi" w:cstheme="majorHAnsi"/>
          <w:sz w:val="22"/>
          <w:szCs w:val="22"/>
        </w:rPr>
        <w:t xml:space="preserve"> </w:t>
      </w:r>
    </w:p>
    <w:p w14:paraId="7C39D12B" w14:textId="700B1ED4" w:rsidR="00A66018" w:rsidRDefault="00E85737" w:rsidP="00EC2D8E">
      <w:pPr>
        <w:pStyle w:val="BodyText"/>
        <w:spacing w:after="120" w:line="281" w:lineRule="auto"/>
        <w:rPr>
          <w:rFonts w:asciiTheme="majorHAnsi" w:hAnsiTheme="majorHAnsi" w:cstheme="majorHAnsi"/>
          <w:sz w:val="22"/>
          <w:szCs w:val="22"/>
        </w:rPr>
      </w:pPr>
      <w:r>
        <w:rPr>
          <w:rFonts w:asciiTheme="majorHAnsi" w:hAnsiTheme="majorHAnsi" w:cstheme="majorHAnsi"/>
          <w:sz w:val="22"/>
          <w:szCs w:val="22"/>
        </w:rPr>
        <w:t xml:space="preserve">Feedback from teachers </w:t>
      </w:r>
      <w:r w:rsidR="00341FC5">
        <w:rPr>
          <w:rFonts w:asciiTheme="majorHAnsi" w:hAnsiTheme="majorHAnsi" w:cstheme="majorHAnsi"/>
          <w:sz w:val="22"/>
          <w:szCs w:val="22"/>
        </w:rPr>
        <w:t xml:space="preserve">interviewed </w:t>
      </w:r>
      <w:r>
        <w:rPr>
          <w:rFonts w:asciiTheme="majorHAnsi" w:hAnsiTheme="majorHAnsi" w:cstheme="majorHAnsi"/>
          <w:sz w:val="22"/>
          <w:szCs w:val="22"/>
        </w:rPr>
        <w:t xml:space="preserve">during </w:t>
      </w:r>
      <w:r w:rsidR="00341FC5">
        <w:rPr>
          <w:rFonts w:asciiTheme="majorHAnsi" w:hAnsiTheme="majorHAnsi" w:cstheme="majorHAnsi"/>
          <w:sz w:val="22"/>
          <w:szCs w:val="22"/>
        </w:rPr>
        <w:t xml:space="preserve">the </w:t>
      </w:r>
      <w:r>
        <w:rPr>
          <w:rFonts w:asciiTheme="majorHAnsi" w:hAnsiTheme="majorHAnsi" w:cstheme="majorHAnsi"/>
          <w:sz w:val="22"/>
          <w:szCs w:val="22"/>
        </w:rPr>
        <w:t>Design Update consultation process indicates that many find the present P</w:t>
      </w:r>
      <w:r w:rsidR="008719DC">
        <w:rPr>
          <w:rFonts w:asciiTheme="majorHAnsi" w:hAnsiTheme="majorHAnsi" w:cstheme="majorHAnsi"/>
          <w:sz w:val="22"/>
          <w:szCs w:val="22"/>
        </w:rPr>
        <w:t>M</w:t>
      </w:r>
      <w:r>
        <w:rPr>
          <w:rFonts w:asciiTheme="majorHAnsi" w:hAnsiTheme="majorHAnsi" w:cstheme="majorHAnsi"/>
          <w:sz w:val="22"/>
          <w:szCs w:val="22"/>
        </w:rPr>
        <w:t xml:space="preserve">M </w:t>
      </w:r>
      <w:r w:rsidR="003E381C" w:rsidRPr="00F363B0">
        <w:rPr>
          <w:rFonts w:asciiTheme="majorHAnsi" w:hAnsiTheme="majorHAnsi" w:cstheme="majorHAnsi"/>
          <w:sz w:val="22"/>
          <w:szCs w:val="22"/>
        </w:rPr>
        <w:t>to be rather</w:t>
      </w:r>
      <w:r w:rsidR="00A72EED" w:rsidRPr="00F363B0">
        <w:rPr>
          <w:rFonts w:asciiTheme="majorHAnsi" w:hAnsiTheme="majorHAnsi" w:cstheme="majorHAnsi"/>
          <w:sz w:val="22"/>
          <w:szCs w:val="22"/>
        </w:rPr>
        <w:t xml:space="preserve"> challenging</w:t>
      </w:r>
      <w:r w:rsidR="00A72EED" w:rsidRPr="00A72EED">
        <w:rPr>
          <w:rFonts w:asciiTheme="majorHAnsi" w:hAnsiTheme="majorHAnsi" w:cstheme="majorHAnsi"/>
          <w:sz w:val="22"/>
          <w:szCs w:val="22"/>
        </w:rPr>
        <w:t xml:space="preserve"> </w:t>
      </w:r>
      <w:r w:rsidR="008719DC" w:rsidRPr="00A72EED">
        <w:rPr>
          <w:rFonts w:asciiTheme="majorHAnsi" w:hAnsiTheme="majorHAnsi" w:cstheme="majorHAnsi"/>
          <w:sz w:val="22"/>
          <w:szCs w:val="22"/>
        </w:rPr>
        <w:t xml:space="preserve">to access and </w:t>
      </w:r>
      <w:r w:rsidRPr="00A72EED">
        <w:rPr>
          <w:rFonts w:asciiTheme="majorHAnsi" w:hAnsiTheme="majorHAnsi" w:cstheme="majorHAnsi"/>
          <w:sz w:val="22"/>
          <w:szCs w:val="22"/>
        </w:rPr>
        <w:t>navigate</w:t>
      </w:r>
      <w:r>
        <w:rPr>
          <w:rFonts w:asciiTheme="majorHAnsi" w:hAnsiTheme="majorHAnsi" w:cstheme="majorHAnsi"/>
          <w:sz w:val="22"/>
          <w:szCs w:val="22"/>
        </w:rPr>
        <w:t>. The d</w:t>
      </w:r>
      <w:r w:rsidR="00A66018">
        <w:rPr>
          <w:rFonts w:asciiTheme="majorHAnsi" w:hAnsiTheme="majorHAnsi" w:cstheme="majorHAnsi"/>
          <w:sz w:val="22"/>
          <w:szCs w:val="22"/>
        </w:rPr>
        <w:t xml:space="preserve">istrict management of the </w:t>
      </w:r>
      <w:proofErr w:type="spellStart"/>
      <w:r w:rsidR="00A66018" w:rsidRPr="00E85737">
        <w:rPr>
          <w:rFonts w:asciiTheme="majorHAnsi" w:hAnsiTheme="majorHAnsi" w:cstheme="majorHAnsi"/>
          <w:i/>
          <w:iCs/>
          <w:sz w:val="22"/>
          <w:szCs w:val="22"/>
        </w:rPr>
        <w:t>sekolah</w:t>
      </w:r>
      <w:proofErr w:type="spellEnd"/>
      <w:r w:rsidR="00A66018" w:rsidRPr="00E85737">
        <w:rPr>
          <w:rFonts w:asciiTheme="majorHAnsi" w:hAnsiTheme="majorHAnsi" w:cstheme="majorHAnsi"/>
          <w:i/>
          <w:iCs/>
          <w:sz w:val="22"/>
          <w:szCs w:val="22"/>
        </w:rPr>
        <w:t xml:space="preserve"> </w:t>
      </w:r>
      <w:proofErr w:type="spellStart"/>
      <w:r w:rsidR="00A66018" w:rsidRPr="00E85737">
        <w:rPr>
          <w:rFonts w:asciiTheme="majorHAnsi" w:hAnsiTheme="majorHAnsi" w:cstheme="majorHAnsi"/>
          <w:i/>
          <w:iCs/>
          <w:sz w:val="22"/>
          <w:szCs w:val="22"/>
        </w:rPr>
        <w:t>penggerak</w:t>
      </w:r>
      <w:proofErr w:type="spellEnd"/>
      <w:r w:rsidR="00A66018">
        <w:rPr>
          <w:rFonts w:asciiTheme="majorHAnsi" w:hAnsiTheme="majorHAnsi" w:cstheme="majorHAnsi"/>
          <w:sz w:val="22"/>
          <w:szCs w:val="22"/>
        </w:rPr>
        <w:t xml:space="preserve"> </w:t>
      </w:r>
      <w:r>
        <w:rPr>
          <w:rFonts w:asciiTheme="majorHAnsi" w:hAnsiTheme="majorHAnsi" w:cstheme="majorHAnsi"/>
          <w:sz w:val="22"/>
          <w:szCs w:val="22"/>
        </w:rPr>
        <w:t>may</w:t>
      </w:r>
      <w:r w:rsidR="00A66018">
        <w:rPr>
          <w:rFonts w:asciiTheme="majorHAnsi" w:hAnsiTheme="majorHAnsi" w:cstheme="majorHAnsi"/>
          <w:sz w:val="22"/>
          <w:szCs w:val="22"/>
        </w:rPr>
        <w:t xml:space="preserve"> help </w:t>
      </w:r>
      <w:r>
        <w:rPr>
          <w:rFonts w:asciiTheme="majorHAnsi" w:hAnsiTheme="majorHAnsi" w:cstheme="majorHAnsi"/>
          <w:sz w:val="22"/>
          <w:szCs w:val="22"/>
        </w:rPr>
        <w:t xml:space="preserve">improve this situation and </w:t>
      </w:r>
      <w:r w:rsidR="008719DC">
        <w:rPr>
          <w:rFonts w:asciiTheme="majorHAnsi" w:hAnsiTheme="majorHAnsi" w:cstheme="majorHAnsi"/>
          <w:sz w:val="22"/>
          <w:szCs w:val="22"/>
        </w:rPr>
        <w:t xml:space="preserve">as such </w:t>
      </w:r>
      <w:r w:rsidR="00A66018">
        <w:rPr>
          <w:rFonts w:asciiTheme="majorHAnsi" w:hAnsiTheme="majorHAnsi" w:cstheme="majorHAnsi"/>
          <w:sz w:val="22"/>
          <w:szCs w:val="22"/>
        </w:rPr>
        <w:t xml:space="preserve">reduce the digital divide within the districts. Amongst other </w:t>
      </w:r>
      <w:r w:rsidR="008719DC">
        <w:rPr>
          <w:rFonts w:asciiTheme="majorHAnsi" w:hAnsiTheme="majorHAnsi" w:cstheme="majorHAnsi"/>
          <w:sz w:val="22"/>
          <w:szCs w:val="22"/>
        </w:rPr>
        <w:t>function</w:t>
      </w:r>
      <w:r w:rsidR="00A66018">
        <w:rPr>
          <w:rFonts w:asciiTheme="majorHAnsi" w:hAnsiTheme="majorHAnsi" w:cstheme="majorHAnsi"/>
          <w:sz w:val="22"/>
          <w:szCs w:val="22"/>
        </w:rPr>
        <w:t>s</w:t>
      </w:r>
      <w:r>
        <w:rPr>
          <w:rFonts w:asciiTheme="majorHAnsi" w:hAnsiTheme="majorHAnsi" w:cstheme="majorHAnsi"/>
          <w:sz w:val="22"/>
          <w:szCs w:val="22"/>
        </w:rPr>
        <w:t>,</w:t>
      </w:r>
      <w:r w:rsidR="00A66018">
        <w:rPr>
          <w:rFonts w:asciiTheme="majorHAnsi" w:hAnsiTheme="majorHAnsi" w:cstheme="majorHAnsi"/>
          <w:sz w:val="22"/>
          <w:szCs w:val="22"/>
        </w:rPr>
        <w:t xml:space="preserve"> the </w:t>
      </w:r>
      <w:proofErr w:type="spellStart"/>
      <w:r w:rsidR="00A66018" w:rsidRPr="008719DC">
        <w:rPr>
          <w:rFonts w:asciiTheme="majorHAnsi" w:hAnsiTheme="majorHAnsi" w:cstheme="majorHAnsi"/>
          <w:i/>
          <w:iCs/>
          <w:sz w:val="22"/>
          <w:szCs w:val="22"/>
        </w:rPr>
        <w:t>sekolah</w:t>
      </w:r>
      <w:proofErr w:type="spellEnd"/>
      <w:r w:rsidR="00A66018" w:rsidRPr="008719DC">
        <w:rPr>
          <w:rFonts w:asciiTheme="majorHAnsi" w:hAnsiTheme="majorHAnsi" w:cstheme="majorHAnsi"/>
          <w:i/>
          <w:iCs/>
          <w:sz w:val="22"/>
          <w:szCs w:val="22"/>
        </w:rPr>
        <w:t xml:space="preserve"> </w:t>
      </w:r>
      <w:proofErr w:type="spellStart"/>
      <w:r w:rsidR="00A66018" w:rsidRPr="008719DC">
        <w:rPr>
          <w:rFonts w:asciiTheme="majorHAnsi" w:hAnsiTheme="majorHAnsi" w:cstheme="majorHAnsi"/>
          <w:i/>
          <w:iCs/>
          <w:sz w:val="22"/>
          <w:szCs w:val="22"/>
        </w:rPr>
        <w:t>penggerak</w:t>
      </w:r>
      <w:proofErr w:type="spellEnd"/>
      <w:r w:rsidR="00A66018">
        <w:rPr>
          <w:rFonts w:asciiTheme="majorHAnsi" w:hAnsiTheme="majorHAnsi" w:cstheme="majorHAnsi"/>
          <w:sz w:val="22"/>
          <w:szCs w:val="22"/>
        </w:rPr>
        <w:t xml:space="preserve"> are </w:t>
      </w:r>
      <w:r w:rsidR="008719DC">
        <w:rPr>
          <w:rFonts w:asciiTheme="majorHAnsi" w:hAnsiTheme="majorHAnsi" w:cstheme="majorHAnsi"/>
          <w:sz w:val="22"/>
          <w:szCs w:val="22"/>
        </w:rPr>
        <w:t>‘</w:t>
      </w:r>
      <w:r w:rsidR="00A66018">
        <w:rPr>
          <w:rFonts w:asciiTheme="majorHAnsi" w:hAnsiTheme="majorHAnsi" w:cstheme="majorHAnsi"/>
          <w:sz w:val="22"/>
          <w:szCs w:val="22"/>
        </w:rPr>
        <w:t>digital ambassadors</w:t>
      </w:r>
      <w:r w:rsidR="008719DC">
        <w:rPr>
          <w:rFonts w:asciiTheme="majorHAnsi" w:hAnsiTheme="majorHAnsi" w:cstheme="majorHAnsi"/>
          <w:sz w:val="22"/>
          <w:szCs w:val="22"/>
        </w:rPr>
        <w:t>’</w:t>
      </w:r>
      <w:r w:rsidR="00A66018">
        <w:rPr>
          <w:rFonts w:asciiTheme="majorHAnsi" w:hAnsiTheme="majorHAnsi" w:cstheme="majorHAnsi"/>
          <w:sz w:val="22"/>
          <w:szCs w:val="22"/>
        </w:rPr>
        <w:t xml:space="preserve"> charged </w:t>
      </w:r>
      <w:r w:rsidR="00F94A40">
        <w:rPr>
          <w:rFonts w:asciiTheme="majorHAnsi" w:hAnsiTheme="majorHAnsi" w:cstheme="majorHAnsi"/>
          <w:sz w:val="22"/>
          <w:szCs w:val="22"/>
        </w:rPr>
        <w:t xml:space="preserve">with </w:t>
      </w:r>
      <w:r w:rsidR="00A66018">
        <w:rPr>
          <w:rFonts w:asciiTheme="majorHAnsi" w:hAnsiTheme="majorHAnsi" w:cstheme="majorHAnsi"/>
          <w:sz w:val="22"/>
          <w:szCs w:val="22"/>
        </w:rPr>
        <w:t xml:space="preserve">supporting other teachers’ take-up of digital resources and technology. </w:t>
      </w:r>
      <w:r w:rsidR="00F94A40">
        <w:rPr>
          <w:rFonts w:asciiTheme="majorHAnsi" w:hAnsiTheme="majorHAnsi" w:cstheme="majorHAnsi"/>
          <w:sz w:val="22"/>
          <w:szCs w:val="22"/>
        </w:rPr>
        <w:t xml:space="preserve">Coordinated by the </w:t>
      </w:r>
      <w:r>
        <w:rPr>
          <w:rFonts w:asciiTheme="majorHAnsi" w:hAnsiTheme="majorHAnsi" w:cstheme="majorHAnsi"/>
          <w:sz w:val="22"/>
          <w:szCs w:val="22"/>
        </w:rPr>
        <w:t>district education authorities,</w:t>
      </w:r>
      <w:r w:rsidR="00F94A40">
        <w:rPr>
          <w:rFonts w:asciiTheme="majorHAnsi" w:hAnsiTheme="majorHAnsi" w:cstheme="majorHAnsi"/>
          <w:sz w:val="22"/>
          <w:szCs w:val="22"/>
        </w:rPr>
        <w:t xml:space="preserve"> they could help </w:t>
      </w:r>
      <w:r w:rsidR="001A70CC">
        <w:rPr>
          <w:rFonts w:asciiTheme="majorHAnsi" w:hAnsiTheme="majorHAnsi" w:cstheme="majorHAnsi"/>
          <w:sz w:val="22"/>
          <w:szCs w:val="22"/>
        </w:rPr>
        <w:t xml:space="preserve">in </w:t>
      </w:r>
      <w:r>
        <w:rPr>
          <w:rFonts w:asciiTheme="majorHAnsi" w:hAnsiTheme="majorHAnsi" w:cstheme="majorHAnsi"/>
          <w:sz w:val="22"/>
          <w:szCs w:val="22"/>
        </w:rPr>
        <w:t>f</w:t>
      </w:r>
      <w:r w:rsidR="00F94A40">
        <w:rPr>
          <w:rFonts w:asciiTheme="majorHAnsi" w:hAnsiTheme="majorHAnsi" w:cstheme="majorHAnsi"/>
          <w:sz w:val="22"/>
          <w:szCs w:val="22"/>
        </w:rPr>
        <w:t>acilitati</w:t>
      </w:r>
      <w:r>
        <w:rPr>
          <w:rFonts w:asciiTheme="majorHAnsi" w:hAnsiTheme="majorHAnsi" w:cstheme="majorHAnsi"/>
          <w:sz w:val="22"/>
          <w:szCs w:val="22"/>
        </w:rPr>
        <w:t>ng</w:t>
      </w:r>
      <w:r w:rsidR="00F94A40">
        <w:rPr>
          <w:rFonts w:asciiTheme="majorHAnsi" w:hAnsiTheme="majorHAnsi" w:cstheme="majorHAnsi"/>
          <w:sz w:val="22"/>
          <w:szCs w:val="22"/>
        </w:rPr>
        <w:t xml:space="preserve"> teachers’ effective use of the PMM for planning differentiated teaching of literary and numeracy and sharing good practice</w:t>
      </w:r>
      <w:r>
        <w:rPr>
          <w:rFonts w:asciiTheme="majorHAnsi" w:hAnsiTheme="majorHAnsi" w:cstheme="majorHAnsi"/>
          <w:sz w:val="22"/>
          <w:szCs w:val="22"/>
        </w:rPr>
        <w:t>s</w:t>
      </w:r>
      <w:r w:rsidR="00F94A40">
        <w:rPr>
          <w:rFonts w:asciiTheme="majorHAnsi" w:hAnsiTheme="majorHAnsi" w:cstheme="majorHAnsi"/>
          <w:sz w:val="22"/>
          <w:szCs w:val="22"/>
        </w:rPr>
        <w:t xml:space="preserve"> across all schools. </w:t>
      </w:r>
      <w:r w:rsidR="00F85F6C">
        <w:rPr>
          <w:rFonts w:asciiTheme="majorHAnsi" w:hAnsiTheme="majorHAnsi" w:cstheme="majorHAnsi"/>
          <w:sz w:val="22"/>
          <w:szCs w:val="22"/>
        </w:rPr>
        <w:t>U</w:t>
      </w:r>
      <w:r w:rsidR="008719DC">
        <w:rPr>
          <w:rFonts w:asciiTheme="majorHAnsi" w:hAnsiTheme="majorHAnsi" w:cstheme="majorHAnsi"/>
          <w:sz w:val="22"/>
          <w:szCs w:val="22"/>
        </w:rPr>
        <w:t>tilising</w:t>
      </w:r>
      <w:r w:rsidR="00F85F6C">
        <w:rPr>
          <w:rFonts w:asciiTheme="majorHAnsi" w:hAnsiTheme="majorHAnsi" w:cstheme="majorHAnsi"/>
          <w:sz w:val="22"/>
          <w:szCs w:val="22"/>
        </w:rPr>
        <w:t xml:space="preserve"> teacher working groups </w:t>
      </w:r>
      <w:r w:rsidR="008719DC">
        <w:rPr>
          <w:rFonts w:asciiTheme="majorHAnsi" w:hAnsiTheme="majorHAnsi" w:cstheme="majorHAnsi"/>
          <w:sz w:val="22"/>
          <w:szCs w:val="22"/>
        </w:rPr>
        <w:t xml:space="preserve">for such capacity development activities </w:t>
      </w:r>
      <w:r w:rsidR="00F85F6C">
        <w:rPr>
          <w:rFonts w:asciiTheme="majorHAnsi" w:hAnsiTheme="majorHAnsi" w:cstheme="majorHAnsi"/>
          <w:sz w:val="22"/>
          <w:szCs w:val="22"/>
        </w:rPr>
        <w:t xml:space="preserve">would be a cost-effective way </w:t>
      </w:r>
      <w:r w:rsidR="008719DC">
        <w:rPr>
          <w:rFonts w:asciiTheme="majorHAnsi" w:hAnsiTheme="majorHAnsi" w:cstheme="majorHAnsi"/>
          <w:sz w:val="22"/>
          <w:szCs w:val="22"/>
        </w:rPr>
        <w:t>of</w:t>
      </w:r>
      <w:r w:rsidR="00F85F6C">
        <w:rPr>
          <w:rFonts w:asciiTheme="majorHAnsi" w:hAnsiTheme="majorHAnsi" w:cstheme="majorHAnsi"/>
          <w:sz w:val="22"/>
          <w:szCs w:val="22"/>
        </w:rPr>
        <w:t xml:space="preserve"> </w:t>
      </w:r>
      <w:r w:rsidR="008719DC">
        <w:rPr>
          <w:rFonts w:asciiTheme="majorHAnsi" w:hAnsiTheme="majorHAnsi" w:cstheme="majorHAnsi"/>
          <w:sz w:val="22"/>
          <w:szCs w:val="22"/>
        </w:rPr>
        <w:t>familiarising</w:t>
      </w:r>
      <w:r w:rsidR="00F85F6C">
        <w:rPr>
          <w:rFonts w:asciiTheme="majorHAnsi" w:hAnsiTheme="majorHAnsi" w:cstheme="majorHAnsi"/>
          <w:sz w:val="22"/>
          <w:szCs w:val="22"/>
        </w:rPr>
        <w:t xml:space="preserve"> teachers</w:t>
      </w:r>
      <w:r w:rsidR="008719DC">
        <w:rPr>
          <w:rFonts w:asciiTheme="majorHAnsi" w:hAnsiTheme="majorHAnsi" w:cstheme="majorHAnsi"/>
          <w:sz w:val="22"/>
          <w:szCs w:val="22"/>
        </w:rPr>
        <w:t xml:space="preserve"> with</w:t>
      </w:r>
      <w:r w:rsidR="007F3223">
        <w:rPr>
          <w:rFonts w:asciiTheme="majorHAnsi" w:hAnsiTheme="majorHAnsi" w:cstheme="majorHAnsi"/>
          <w:sz w:val="22"/>
          <w:szCs w:val="22"/>
        </w:rPr>
        <w:t xml:space="preserve"> digital tools </w:t>
      </w:r>
      <w:r w:rsidR="008719DC">
        <w:rPr>
          <w:rFonts w:asciiTheme="majorHAnsi" w:hAnsiTheme="majorHAnsi" w:cstheme="majorHAnsi"/>
          <w:sz w:val="22"/>
          <w:szCs w:val="22"/>
        </w:rPr>
        <w:t xml:space="preserve">and resources </w:t>
      </w:r>
      <w:r w:rsidR="007F3223">
        <w:rPr>
          <w:rFonts w:asciiTheme="majorHAnsi" w:hAnsiTheme="majorHAnsi" w:cstheme="majorHAnsi"/>
          <w:sz w:val="22"/>
          <w:szCs w:val="22"/>
        </w:rPr>
        <w:t xml:space="preserve">for teaching, planning and </w:t>
      </w:r>
      <w:r w:rsidR="008719DC">
        <w:rPr>
          <w:rFonts w:asciiTheme="majorHAnsi" w:hAnsiTheme="majorHAnsi" w:cstheme="majorHAnsi"/>
          <w:sz w:val="22"/>
          <w:szCs w:val="22"/>
        </w:rPr>
        <w:t xml:space="preserve">student </w:t>
      </w:r>
      <w:r w:rsidR="007F3223">
        <w:rPr>
          <w:rFonts w:asciiTheme="majorHAnsi" w:hAnsiTheme="majorHAnsi" w:cstheme="majorHAnsi"/>
          <w:sz w:val="22"/>
          <w:szCs w:val="22"/>
        </w:rPr>
        <w:t>assessments.</w:t>
      </w:r>
      <w:r w:rsidR="00F85F6C">
        <w:rPr>
          <w:rFonts w:asciiTheme="majorHAnsi" w:hAnsiTheme="majorHAnsi" w:cstheme="majorHAnsi"/>
          <w:sz w:val="22"/>
          <w:szCs w:val="22"/>
        </w:rPr>
        <w:t xml:space="preserve"> </w:t>
      </w:r>
    </w:p>
    <w:p w14:paraId="2AC66A4E" w14:textId="043EAFE7" w:rsidR="007C6D43" w:rsidRDefault="00C115FC" w:rsidP="00EC2D8E">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More targeted identification of learner disabilities is now possible with the </w:t>
      </w:r>
      <w:proofErr w:type="spellStart"/>
      <w:r w:rsidRPr="00974377">
        <w:rPr>
          <w:rFonts w:asciiTheme="majorHAnsi" w:hAnsiTheme="majorHAnsi" w:cstheme="majorHAnsi"/>
          <w:sz w:val="22"/>
          <w:szCs w:val="22"/>
        </w:rPr>
        <w:t>MoECRT</w:t>
      </w:r>
      <w:proofErr w:type="spellEnd"/>
      <w:r w:rsidRPr="00974377">
        <w:rPr>
          <w:rFonts w:asciiTheme="majorHAnsi" w:hAnsiTheme="majorHAnsi" w:cstheme="majorHAnsi"/>
          <w:sz w:val="22"/>
          <w:szCs w:val="22"/>
        </w:rPr>
        <w:t>-endorsed Student Learning Profile (PBS), and a priority of the new program will be to develop the capacity of specialist teachers in districts’ disability service hubs</w:t>
      </w:r>
      <w:r>
        <w:rPr>
          <w:rFonts w:asciiTheme="majorHAnsi" w:hAnsiTheme="majorHAnsi" w:cstheme="majorHAnsi"/>
          <w:sz w:val="22"/>
          <w:szCs w:val="22"/>
        </w:rPr>
        <w:t xml:space="preserve"> (</w:t>
      </w:r>
      <w:r w:rsidR="00AA225A">
        <w:rPr>
          <w:rFonts w:asciiTheme="majorHAnsi" w:hAnsiTheme="majorHAnsi" w:cstheme="majorHAnsi"/>
          <w:i/>
          <w:iCs/>
          <w:sz w:val="22"/>
          <w:szCs w:val="22"/>
        </w:rPr>
        <w:t xml:space="preserve">Unit </w:t>
      </w:r>
      <w:proofErr w:type="spellStart"/>
      <w:r w:rsidR="00AA225A">
        <w:rPr>
          <w:rFonts w:asciiTheme="majorHAnsi" w:hAnsiTheme="majorHAnsi" w:cstheme="majorHAnsi"/>
          <w:i/>
          <w:iCs/>
          <w:sz w:val="22"/>
          <w:szCs w:val="22"/>
        </w:rPr>
        <w:t>Layanan</w:t>
      </w:r>
      <w:proofErr w:type="spellEnd"/>
      <w:r w:rsidR="00AA225A">
        <w:rPr>
          <w:rFonts w:asciiTheme="majorHAnsi" w:hAnsiTheme="majorHAnsi" w:cstheme="majorHAnsi"/>
          <w:i/>
          <w:iCs/>
          <w:sz w:val="22"/>
          <w:szCs w:val="22"/>
        </w:rPr>
        <w:t xml:space="preserve"> </w:t>
      </w:r>
      <w:proofErr w:type="spellStart"/>
      <w:r w:rsidR="00AA225A">
        <w:rPr>
          <w:rFonts w:asciiTheme="majorHAnsi" w:hAnsiTheme="majorHAnsi" w:cstheme="majorHAnsi"/>
          <w:i/>
          <w:iCs/>
          <w:sz w:val="22"/>
          <w:szCs w:val="22"/>
        </w:rPr>
        <w:t>Disabilitas</w:t>
      </w:r>
      <w:proofErr w:type="spellEnd"/>
      <w:r w:rsidR="00AA225A">
        <w:rPr>
          <w:rFonts w:asciiTheme="majorHAnsi" w:hAnsiTheme="majorHAnsi" w:cstheme="majorHAnsi"/>
          <w:i/>
          <w:iCs/>
          <w:sz w:val="22"/>
          <w:szCs w:val="22"/>
        </w:rPr>
        <w:t xml:space="preserve"> </w:t>
      </w:r>
      <w:r w:rsidR="00AA225A">
        <w:rPr>
          <w:rFonts w:asciiTheme="majorHAnsi" w:hAnsiTheme="majorHAnsi" w:cstheme="majorHAnsi"/>
          <w:sz w:val="22"/>
          <w:szCs w:val="22"/>
        </w:rPr>
        <w:t xml:space="preserve">- </w:t>
      </w:r>
      <w:r w:rsidRPr="00AA225A">
        <w:rPr>
          <w:rFonts w:asciiTheme="majorHAnsi" w:hAnsiTheme="majorHAnsi" w:cstheme="majorHAnsi"/>
          <w:sz w:val="22"/>
          <w:szCs w:val="22"/>
        </w:rPr>
        <w:t>ULD</w:t>
      </w:r>
      <w:r>
        <w:rPr>
          <w:rFonts w:asciiTheme="majorHAnsi" w:hAnsiTheme="majorHAnsi" w:cstheme="majorHAnsi"/>
          <w:sz w:val="22"/>
          <w:szCs w:val="22"/>
        </w:rPr>
        <w:t>)</w:t>
      </w:r>
      <w:r w:rsidRPr="00974377">
        <w:rPr>
          <w:rFonts w:asciiTheme="majorHAnsi" w:hAnsiTheme="majorHAnsi" w:cstheme="majorHAnsi"/>
          <w:sz w:val="22"/>
          <w:szCs w:val="22"/>
        </w:rPr>
        <w:t xml:space="preserve"> to help teachers </w:t>
      </w:r>
      <w:r>
        <w:rPr>
          <w:rFonts w:asciiTheme="majorHAnsi" w:hAnsiTheme="majorHAnsi" w:cstheme="majorHAnsi"/>
          <w:sz w:val="22"/>
          <w:szCs w:val="22"/>
        </w:rPr>
        <w:t xml:space="preserve">support children with different </w:t>
      </w:r>
      <w:r w:rsidRPr="00974377">
        <w:rPr>
          <w:rFonts w:asciiTheme="majorHAnsi" w:hAnsiTheme="majorHAnsi" w:cstheme="majorHAnsi"/>
          <w:sz w:val="22"/>
          <w:szCs w:val="22"/>
        </w:rPr>
        <w:t>identified disabilities, in line with the requirements of the Regulation on Reasonable Accommodation 13/2020. Meeting training needs required for inclusion of children with a disability in line with the above-mentioned regulation, will require strategic planning at central and district government levels.</w:t>
      </w:r>
    </w:p>
    <w:p w14:paraId="37AD0CA4" w14:textId="62E69B55" w:rsidR="00C915EB" w:rsidRDefault="00341FC5" w:rsidP="00EC2D8E">
      <w:pPr>
        <w:pStyle w:val="BodyText"/>
        <w:spacing w:after="120" w:line="281" w:lineRule="auto"/>
        <w:rPr>
          <w:rFonts w:asciiTheme="majorHAnsi" w:hAnsiTheme="majorHAnsi" w:cstheme="majorHAnsi"/>
          <w:sz w:val="22"/>
          <w:szCs w:val="22"/>
        </w:rPr>
      </w:pPr>
      <w:r>
        <w:rPr>
          <w:rFonts w:asciiTheme="majorHAnsi" w:hAnsiTheme="majorHAnsi" w:cstheme="majorHAnsi"/>
          <w:sz w:val="22"/>
          <w:szCs w:val="22"/>
        </w:rPr>
        <w:t xml:space="preserve">The program’s engagement in the pre-service reform provides an example of </w:t>
      </w:r>
      <w:r w:rsidR="00C115FC">
        <w:rPr>
          <w:rFonts w:asciiTheme="majorHAnsi" w:hAnsiTheme="majorHAnsi" w:cstheme="majorHAnsi"/>
          <w:sz w:val="22"/>
          <w:szCs w:val="22"/>
        </w:rPr>
        <w:t xml:space="preserve">this IO </w:t>
      </w:r>
      <w:r>
        <w:rPr>
          <w:rFonts w:asciiTheme="majorHAnsi" w:hAnsiTheme="majorHAnsi" w:cstheme="majorHAnsi"/>
          <w:sz w:val="22"/>
          <w:szCs w:val="22"/>
        </w:rPr>
        <w:t xml:space="preserve">relevance </w:t>
      </w:r>
      <w:r w:rsidR="00C115FC">
        <w:rPr>
          <w:rFonts w:asciiTheme="majorHAnsi" w:hAnsiTheme="majorHAnsi" w:cstheme="majorHAnsi"/>
          <w:sz w:val="22"/>
          <w:szCs w:val="22"/>
        </w:rPr>
        <w:t xml:space="preserve">to national policy. </w:t>
      </w:r>
      <w:r w:rsidR="00FA465C" w:rsidRPr="00974377">
        <w:rPr>
          <w:rFonts w:asciiTheme="majorHAnsi" w:hAnsiTheme="majorHAnsi" w:cstheme="majorHAnsi"/>
          <w:sz w:val="22"/>
          <w:szCs w:val="22"/>
        </w:rPr>
        <w:t xml:space="preserve">With current </w:t>
      </w:r>
      <w:r w:rsidR="00F15259" w:rsidRPr="00974377">
        <w:rPr>
          <w:rFonts w:asciiTheme="majorHAnsi" w:hAnsiTheme="majorHAnsi" w:cstheme="majorHAnsi"/>
          <w:sz w:val="22"/>
          <w:szCs w:val="22"/>
        </w:rPr>
        <w:t>large-scale</w:t>
      </w:r>
      <w:r w:rsidR="00FA465C" w:rsidRPr="00974377">
        <w:rPr>
          <w:rFonts w:asciiTheme="majorHAnsi" w:hAnsiTheme="majorHAnsi" w:cstheme="majorHAnsi"/>
          <w:sz w:val="22"/>
          <w:szCs w:val="22"/>
        </w:rPr>
        <w:t xml:space="preserve"> retirement of civil servant teachers, </w:t>
      </w:r>
      <w:proofErr w:type="spellStart"/>
      <w:r w:rsidR="00FA465C" w:rsidRPr="00974377">
        <w:rPr>
          <w:rFonts w:asciiTheme="majorHAnsi" w:hAnsiTheme="majorHAnsi" w:cstheme="majorHAnsi"/>
          <w:sz w:val="22"/>
          <w:szCs w:val="22"/>
        </w:rPr>
        <w:t>MoECRT</w:t>
      </w:r>
      <w:proofErr w:type="spellEnd"/>
      <w:r w:rsidR="00FA465C" w:rsidRPr="00974377">
        <w:rPr>
          <w:rFonts w:asciiTheme="majorHAnsi" w:hAnsiTheme="majorHAnsi" w:cstheme="majorHAnsi"/>
          <w:sz w:val="22"/>
          <w:szCs w:val="22"/>
        </w:rPr>
        <w:t xml:space="preserve"> sees an opportunity for an ongoing supply of quality teachers through a reform of the pre-service sector. A key role for the new program will be to support </w:t>
      </w:r>
      <w:r w:rsidR="00C115FC">
        <w:rPr>
          <w:rFonts w:asciiTheme="majorHAnsi" w:hAnsiTheme="majorHAnsi" w:cstheme="majorHAnsi"/>
          <w:sz w:val="22"/>
          <w:szCs w:val="22"/>
        </w:rPr>
        <w:t xml:space="preserve">the </w:t>
      </w:r>
      <w:r w:rsidR="00FA465C" w:rsidRPr="00974377">
        <w:rPr>
          <w:rFonts w:asciiTheme="majorHAnsi" w:hAnsiTheme="majorHAnsi" w:cstheme="majorHAnsi"/>
          <w:sz w:val="22"/>
          <w:szCs w:val="22"/>
        </w:rPr>
        <w:t xml:space="preserve">aspects of that reform </w:t>
      </w:r>
      <w:r w:rsidR="00C115FC">
        <w:rPr>
          <w:rFonts w:asciiTheme="majorHAnsi" w:hAnsiTheme="majorHAnsi" w:cstheme="majorHAnsi"/>
          <w:sz w:val="22"/>
          <w:szCs w:val="22"/>
        </w:rPr>
        <w:t xml:space="preserve">that </w:t>
      </w:r>
      <w:r>
        <w:rPr>
          <w:rFonts w:asciiTheme="majorHAnsi" w:hAnsiTheme="majorHAnsi" w:cstheme="majorHAnsi"/>
          <w:sz w:val="22"/>
          <w:szCs w:val="22"/>
        </w:rPr>
        <w:t>focus on</w:t>
      </w:r>
      <w:r w:rsidR="00003A34">
        <w:rPr>
          <w:rFonts w:asciiTheme="majorHAnsi" w:hAnsiTheme="majorHAnsi" w:cstheme="majorHAnsi"/>
          <w:sz w:val="22"/>
          <w:szCs w:val="22"/>
        </w:rPr>
        <w:t xml:space="preserve"> classroom practice</w:t>
      </w:r>
      <w:r>
        <w:rPr>
          <w:rFonts w:asciiTheme="majorHAnsi" w:hAnsiTheme="majorHAnsi" w:cstheme="majorHAnsi"/>
          <w:sz w:val="22"/>
          <w:szCs w:val="22"/>
        </w:rPr>
        <w:t>s</w:t>
      </w:r>
      <w:r w:rsidR="00003A34">
        <w:rPr>
          <w:rFonts w:asciiTheme="majorHAnsi" w:hAnsiTheme="majorHAnsi" w:cstheme="majorHAnsi"/>
          <w:sz w:val="22"/>
          <w:szCs w:val="22"/>
        </w:rPr>
        <w:t xml:space="preserve"> an</w:t>
      </w:r>
      <w:r w:rsidR="001A70CC">
        <w:rPr>
          <w:rFonts w:asciiTheme="majorHAnsi" w:hAnsiTheme="majorHAnsi" w:cstheme="majorHAnsi"/>
          <w:sz w:val="22"/>
          <w:szCs w:val="22"/>
        </w:rPr>
        <w:t>d</w:t>
      </w:r>
      <w:r w:rsidR="00C115FC">
        <w:rPr>
          <w:rFonts w:asciiTheme="majorHAnsi" w:hAnsiTheme="majorHAnsi" w:cstheme="majorHAnsi"/>
          <w:sz w:val="22"/>
          <w:szCs w:val="22"/>
        </w:rPr>
        <w:t xml:space="preserve"> pre-service teachers’ gr</w:t>
      </w:r>
      <w:r w:rsidR="00003A34">
        <w:rPr>
          <w:rFonts w:asciiTheme="majorHAnsi" w:hAnsiTheme="majorHAnsi" w:cstheme="majorHAnsi"/>
          <w:sz w:val="22"/>
          <w:szCs w:val="22"/>
        </w:rPr>
        <w:t xml:space="preserve">ounding in literacy and numeracy, supporting the learning </w:t>
      </w:r>
      <w:r w:rsidR="001A70CC">
        <w:rPr>
          <w:rFonts w:asciiTheme="majorHAnsi" w:hAnsiTheme="majorHAnsi" w:cstheme="majorHAnsi"/>
          <w:sz w:val="22"/>
          <w:szCs w:val="22"/>
        </w:rPr>
        <w:t>and</w:t>
      </w:r>
      <w:r w:rsidR="00003A34">
        <w:rPr>
          <w:rFonts w:asciiTheme="majorHAnsi" w:hAnsiTheme="majorHAnsi" w:cstheme="majorHAnsi"/>
          <w:sz w:val="22"/>
          <w:szCs w:val="22"/>
        </w:rPr>
        <w:t xml:space="preserve"> inclusion of children with disability and gender sensitive curriculum delivery. This</w:t>
      </w:r>
      <w:r>
        <w:rPr>
          <w:rFonts w:asciiTheme="majorHAnsi" w:hAnsiTheme="majorHAnsi" w:cstheme="majorHAnsi"/>
          <w:sz w:val="22"/>
          <w:szCs w:val="22"/>
        </w:rPr>
        <w:t xml:space="preserve"> may include </w:t>
      </w:r>
      <w:r w:rsidR="00003A34">
        <w:rPr>
          <w:rFonts w:asciiTheme="majorHAnsi" w:hAnsiTheme="majorHAnsi" w:cstheme="majorHAnsi"/>
          <w:sz w:val="22"/>
          <w:szCs w:val="22"/>
        </w:rPr>
        <w:t xml:space="preserve">supporting the Ministry in </w:t>
      </w:r>
      <w:r w:rsidR="00FA465C" w:rsidRPr="00974377">
        <w:rPr>
          <w:rFonts w:asciiTheme="majorHAnsi" w:hAnsiTheme="majorHAnsi" w:cstheme="majorHAnsi"/>
          <w:sz w:val="22"/>
          <w:szCs w:val="22"/>
        </w:rPr>
        <w:t>the professional education pre-requisite (</w:t>
      </w:r>
      <w:r w:rsidR="00F15259">
        <w:rPr>
          <w:rFonts w:asciiTheme="majorHAnsi" w:hAnsiTheme="majorHAnsi" w:cstheme="majorHAnsi"/>
          <w:i/>
          <w:iCs/>
          <w:sz w:val="22"/>
          <w:szCs w:val="22"/>
        </w:rPr>
        <w:t xml:space="preserve">Pendidikan </w:t>
      </w:r>
      <w:proofErr w:type="spellStart"/>
      <w:r w:rsidR="00F15259">
        <w:rPr>
          <w:rFonts w:asciiTheme="majorHAnsi" w:hAnsiTheme="majorHAnsi" w:cstheme="majorHAnsi"/>
          <w:i/>
          <w:iCs/>
          <w:sz w:val="22"/>
          <w:szCs w:val="22"/>
        </w:rPr>
        <w:t>Profesi</w:t>
      </w:r>
      <w:proofErr w:type="spellEnd"/>
      <w:r w:rsidR="00F15259">
        <w:rPr>
          <w:rFonts w:asciiTheme="majorHAnsi" w:hAnsiTheme="majorHAnsi" w:cstheme="majorHAnsi"/>
          <w:i/>
          <w:iCs/>
          <w:sz w:val="22"/>
          <w:szCs w:val="22"/>
        </w:rPr>
        <w:t xml:space="preserve"> Guru </w:t>
      </w:r>
      <w:r w:rsidR="00F15259">
        <w:rPr>
          <w:rFonts w:asciiTheme="majorHAnsi" w:hAnsiTheme="majorHAnsi" w:cstheme="majorHAnsi"/>
          <w:sz w:val="22"/>
          <w:szCs w:val="22"/>
        </w:rPr>
        <w:t xml:space="preserve">- </w:t>
      </w:r>
      <w:r w:rsidR="00FA465C" w:rsidRPr="00974377">
        <w:rPr>
          <w:rFonts w:asciiTheme="majorHAnsi" w:hAnsiTheme="majorHAnsi" w:cstheme="majorHAnsi"/>
          <w:sz w:val="22"/>
          <w:szCs w:val="22"/>
        </w:rPr>
        <w:t xml:space="preserve">PPG) for teacher certification and the </w:t>
      </w:r>
      <w:r w:rsidR="00FA465C" w:rsidRPr="00974377">
        <w:rPr>
          <w:rFonts w:asciiTheme="majorHAnsi" w:hAnsiTheme="majorHAnsi" w:cstheme="majorHAnsi"/>
          <w:sz w:val="22"/>
          <w:szCs w:val="22"/>
        </w:rPr>
        <w:lastRenderedPageBreak/>
        <w:t xml:space="preserve">adaptation of </w:t>
      </w:r>
      <w:r w:rsidR="00FA465C">
        <w:rPr>
          <w:rFonts w:asciiTheme="majorHAnsi" w:hAnsiTheme="majorHAnsi" w:cstheme="majorHAnsi"/>
          <w:sz w:val="22"/>
          <w:szCs w:val="22"/>
        </w:rPr>
        <w:t>components of the</w:t>
      </w:r>
      <w:r w:rsidR="00FA465C" w:rsidRPr="00974377">
        <w:rPr>
          <w:rFonts w:asciiTheme="majorHAnsi" w:hAnsiTheme="majorHAnsi" w:cstheme="majorHAnsi"/>
          <w:sz w:val="22"/>
          <w:szCs w:val="22"/>
        </w:rPr>
        <w:t xml:space="preserve"> pre-service </w:t>
      </w:r>
      <w:r w:rsidR="00FA465C">
        <w:rPr>
          <w:rFonts w:asciiTheme="majorHAnsi" w:hAnsiTheme="majorHAnsi" w:cstheme="majorHAnsi"/>
          <w:sz w:val="22"/>
          <w:szCs w:val="22"/>
        </w:rPr>
        <w:t xml:space="preserve">degree </w:t>
      </w:r>
      <w:r w:rsidR="00FA465C" w:rsidRPr="00974377">
        <w:rPr>
          <w:rFonts w:asciiTheme="majorHAnsi" w:hAnsiTheme="majorHAnsi" w:cstheme="majorHAnsi"/>
          <w:sz w:val="22"/>
          <w:szCs w:val="22"/>
        </w:rPr>
        <w:t>course</w:t>
      </w:r>
      <w:r w:rsidR="00FA465C">
        <w:rPr>
          <w:rFonts w:asciiTheme="majorHAnsi" w:hAnsiTheme="majorHAnsi" w:cstheme="majorHAnsi"/>
          <w:sz w:val="22"/>
          <w:szCs w:val="22"/>
        </w:rPr>
        <w:t>,</w:t>
      </w:r>
      <w:r w:rsidR="00FA465C" w:rsidRPr="00974377">
        <w:rPr>
          <w:rFonts w:asciiTheme="majorHAnsi" w:hAnsiTheme="majorHAnsi" w:cstheme="majorHAnsi"/>
          <w:sz w:val="22"/>
          <w:szCs w:val="22"/>
        </w:rPr>
        <w:t xml:space="preserve"> to include substantive content in literacy and numeracy. Collaboration with current partner universities of INOVASI Phase 2 should be explored as an entry point for engagement in those reforms. </w:t>
      </w:r>
    </w:p>
    <w:p w14:paraId="4CE0FF72" w14:textId="0C506D47" w:rsidR="00262D92" w:rsidRDefault="00D222B0" w:rsidP="00EC2D8E">
      <w:pPr>
        <w:pStyle w:val="BodyText"/>
        <w:spacing w:after="120" w:line="281" w:lineRule="auto"/>
        <w:rPr>
          <w:rFonts w:asciiTheme="majorHAnsi" w:hAnsiTheme="majorHAnsi" w:cstheme="majorHAnsi"/>
          <w:sz w:val="22"/>
          <w:szCs w:val="22"/>
        </w:rPr>
      </w:pPr>
      <w:r>
        <w:rPr>
          <w:rFonts w:asciiTheme="majorHAnsi" w:hAnsiTheme="majorHAnsi" w:cstheme="majorHAnsi"/>
          <w:sz w:val="22"/>
          <w:szCs w:val="22"/>
        </w:rPr>
        <w:t>The</w:t>
      </w:r>
      <w:r w:rsidR="00262D92">
        <w:rPr>
          <w:rFonts w:asciiTheme="majorHAnsi" w:hAnsiTheme="majorHAnsi" w:cstheme="majorHAnsi"/>
          <w:sz w:val="22"/>
          <w:szCs w:val="22"/>
        </w:rPr>
        <w:t xml:space="preserve"> implement</w:t>
      </w:r>
      <w:r>
        <w:rPr>
          <w:rFonts w:asciiTheme="majorHAnsi" w:hAnsiTheme="majorHAnsi" w:cstheme="majorHAnsi"/>
          <w:sz w:val="22"/>
          <w:szCs w:val="22"/>
        </w:rPr>
        <w:t>ation of</w:t>
      </w:r>
      <w:r w:rsidR="00262D92">
        <w:rPr>
          <w:rFonts w:asciiTheme="majorHAnsi" w:hAnsiTheme="majorHAnsi" w:cstheme="majorHAnsi"/>
          <w:sz w:val="22"/>
          <w:szCs w:val="22"/>
        </w:rPr>
        <w:t xml:space="preserve"> the</w:t>
      </w:r>
      <w:r w:rsidR="00F25C2C">
        <w:rPr>
          <w:rFonts w:asciiTheme="majorHAnsi" w:hAnsiTheme="majorHAnsi" w:cstheme="majorHAnsi"/>
          <w:sz w:val="22"/>
          <w:szCs w:val="22"/>
        </w:rPr>
        <w:t xml:space="preserve"> inclusive</w:t>
      </w:r>
      <w:r w:rsidR="00262D92">
        <w:rPr>
          <w:rFonts w:asciiTheme="majorHAnsi" w:hAnsiTheme="majorHAnsi" w:cstheme="majorHAnsi"/>
          <w:sz w:val="22"/>
          <w:szCs w:val="22"/>
        </w:rPr>
        <w:t xml:space="preserve"> reform agenda has major f</w:t>
      </w:r>
      <w:r w:rsidR="00F25C2C">
        <w:rPr>
          <w:rFonts w:asciiTheme="majorHAnsi" w:hAnsiTheme="majorHAnsi" w:cstheme="majorHAnsi"/>
          <w:sz w:val="22"/>
          <w:szCs w:val="22"/>
        </w:rPr>
        <w:t>unding and public finance management (PFM)</w:t>
      </w:r>
      <w:r w:rsidR="00F15259">
        <w:rPr>
          <w:rFonts w:asciiTheme="majorHAnsi" w:hAnsiTheme="majorHAnsi" w:cstheme="majorHAnsi"/>
          <w:sz w:val="22"/>
          <w:szCs w:val="22"/>
        </w:rPr>
        <w:t xml:space="preserve"> </w:t>
      </w:r>
      <w:r w:rsidR="00262D92">
        <w:rPr>
          <w:rFonts w:asciiTheme="majorHAnsi" w:hAnsiTheme="majorHAnsi" w:cstheme="majorHAnsi"/>
          <w:sz w:val="22"/>
          <w:szCs w:val="22"/>
        </w:rPr>
        <w:t xml:space="preserve">implications at all levels </w:t>
      </w:r>
      <w:r>
        <w:rPr>
          <w:rFonts w:asciiTheme="majorHAnsi" w:hAnsiTheme="majorHAnsi" w:cstheme="majorHAnsi"/>
          <w:sz w:val="22"/>
          <w:szCs w:val="22"/>
        </w:rPr>
        <w:t xml:space="preserve">of government </w:t>
      </w:r>
      <w:r w:rsidR="00262D92">
        <w:rPr>
          <w:rFonts w:asciiTheme="majorHAnsi" w:hAnsiTheme="majorHAnsi" w:cstheme="majorHAnsi"/>
          <w:sz w:val="22"/>
          <w:szCs w:val="22"/>
        </w:rPr>
        <w:t>and</w:t>
      </w:r>
      <w:r w:rsidR="00F25C2C">
        <w:rPr>
          <w:rFonts w:asciiTheme="majorHAnsi" w:hAnsiTheme="majorHAnsi" w:cstheme="majorHAnsi"/>
          <w:sz w:val="22"/>
          <w:szCs w:val="22"/>
        </w:rPr>
        <w:t xml:space="preserve"> in turn consequences</w:t>
      </w:r>
      <w:r w:rsidR="00262D92">
        <w:rPr>
          <w:rFonts w:asciiTheme="majorHAnsi" w:hAnsiTheme="majorHAnsi" w:cstheme="majorHAnsi"/>
          <w:sz w:val="22"/>
          <w:szCs w:val="22"/>
        </w:rPr>
        <w:t xml:space="preserve"> </w:t>
      </w:r>
      <w:r w:rsidR="00F25C2C">
        <w:rPr>
          <w:rFonts w:asciiTheme="majorHAnsi" w:hAnsiTheme="majorHAnsi" w:cstheme="majorHAnsi"/>
          <w:sz w:val="22"/>
          <w:szCs w:val="22"/>
        </w:rPr>
        <w:t>on</w:t>
      </w:r>
      <w:r w:rsidR="00262D92">
        <w:rPr>
          <w:rFonts w:asciiTheme="majorHAnsi" w:hAnsiTheme="majorHAnsi" w:cstheme="majorHAnsi"/>
          <w:sz w:val="22"/>
          <w:szCs w:val="22"/>
        </w:rPr>
        <w:t xml:space="preserve"> the program’s </w:t>
      </w:r>
      <w:r>
        <w:rPr>
          <w:rFonts w:asciiTheme="majorHAnsi" w:hAnsiTheme="majorHAnsi" w:cstheme="majorHAnsi"/>
          <w:sz w:val="22"/>
          <w:szCs w:val="22"/>
        </w:rPr>
        <w:t xml:space="preserve">strategy, particularly </w:t>
      </w:r>
      <w:r w:rsidR="00F25C2C">
        <w:rPr>
          <w:rFonts w:asciiTheme="majorHAnsi" w:hAnsiTheme="majorHAnsi" w:cstheme="majorHAnsi"/>
          <w:sz w:val="22"/>
          <w:szCs w:val="22"/>
        </w:rPr>
        <w:t xml:space="preserve">for </w:t>
      </w:r>
      <w:r>
        <w:rPr>
          <w:rFonts w:asciiTheme="majorHAnsi" w:hAnsiTheme="majorHAnsi" w:cstheme="majorHAnsi"/>
          <w:sz w:val="22"/>
          <w:szCs w:val="22"/>
        </w:rPr>
        <w:t xml:space="preserve">IO1 and </w:t>
      </w:r>
      <w:r w:rsidR="001A70CC">
        <w:rPr>
          <w:rFonts w:asciiTheme="majorHAnsi" w:hAnsiTheme="majorHAnsi" w:cstheme="majorHAnsi"/>
          <w:sz w:val="22"/>
          <w:szCs w:val="22"/>
        </w:rPr>
        <w:t>IO</w:t>
      </w:r>
      <w:r>
        <w:rPr>
          <w:rFonts w:asciiTheme="majorHAnsi" w:hAnsiTheme="majorHAnsi" w:cstheme="majorHAnsi"/>
          <w:sz w:val="22"/>
          <w:szCs w:val="22"/>
        </w:rPr>
        <w:t xml:space="preserve">2. </w:t>
      </w:r>
      <w:r w:rsidR="00262D92">
        <w:rPr>
          <w:rFonts w:asciiTheme="majorHAnsi" w:hAnsiTheme="majorHAnsi" w:cstheme="majorHAnsi"/>
          <w:sz w:val="22"/>
          <w:szCs w:val="22"/>
        </w:rPr>
        <w:t>The</w:t>
      </w:r>
      <w:r w:rsidR="00707AE6">
        <w:rPr>
          <w:rFonts w:asciiTheme="majorHAnsi" w:hAnsiTheme="majorHAnsi" w:cstheme="majorHAnsi"/>
          <w:sz w:val="22"/>
          <w:szCs w:val="22"/>
        </w:rPr>
        <w:t xml:space="preserve"> necessary access to</w:t>
      </w:r>
      <w:r w:rsidR="00262D92">
        <w:rPr>
          <w:rFonts w:asciiTheme="majorHAnsi" w:hAnsiTheme="majorHAnsi" w:cstheme="majorHAnsi"/>
          <w:sz w:val="22"/>
          <w:szCs w:val="22"/>
        </w:rPr>
        <w:t xml:space="preserve"> digital teaching and learning resources requires </w:t>
      </w:r>
      <w:r w:rsidR="00707AE6">
        <w:rPr>
          <w:rFonts w:asciiTheme="majorHAnsi" w:hAnsiTheme="majorHAnsi" w:cstheme="majorHAnsi"/>
          <w:sz w:val="22"/>
          <w:szCs w:val="22"/>
        </w:rPr>
        <w:t xml:space="preserve">specific measures </w:t>
      </w:r>
      <w:r w:rsidR="00F15259">
        <w:rPr>
          <w:rFonts w:asciiTheme="majorHAnsi" w:hAnsiTheme="majorHAnsi" w:cstheme="majorHAnsi"/>
          <w:sz w:val="22"/>
          <w:szCs w:val="22"/>
        </w:rPr>
        <w:t>f</w:t>
      </w:r>
      <w:r w:rsidR="00707AE6">
        <w:rPr>
          <w:rFonts w:asciiTheme="majorHAnsi" w:hAnsiTheme="majorHAnsi" w:cstheme="majorHAnsi"/>
          <w:sz w:val="22"/>
          <w:szCs w:val="22"/>
        </w:rPr>
        <w:t>or disadvantaged schools</w:t>
      </w:r>
      <w:r w:rsidR="00262D92">
        <w:rPr>
          <w:rFonts w:asciiTheme="majorHAnsi" w:hAnsiTheme="majorHAnsi" w:cstheme="majorHAnsi"/>
          <w:sz w:val="22"/>
          <w:szCs w:val="22"/>
        </w:rPr>
        <w:t xml:space="preserve"> that </w:t>
      </w:r>
      <w:r w:rsidR="00F25C2C">
        <w:rPr>
          <w:rFonts w:asciiTheme="majorHAnsi" w:hAnsiTheme="majorHAnsi" w:cstheme="majorHAnsi"/>
          <w:sz w:val="22"/>
          <w:szCs w:val="22"/>
        </w:rPr>
        <w:t xml:space="preserve">go </w:t>
      </w:r>
      <w:r w:rsidR="00262D92">
        <w:rPr>
          <w:rFonts w:asciiTheme="majorHAnsi" w:hAnsiTheme="majorHAnsi" w:cstheme="majorHAnsi"/>
          <w:sz w:val="22"/>
          <w:szCs w:val="22"/>
        </w:rPr>
        <w:t xml:space="preserve">beyond </w:t>
      </w:r>
      <w:r w:rsidR="005C2D62">
        <w:rPr>
          <w:rFonts w:asciiTheme="majorHAnsi" w:hAnsiTheme="majorHAnsi" w:cstheme="majorHAnsi"/>
          <w:sz w:val="22"/>
          <w:szCs w:val="22"/>
        </w:rPr>
        <w:t>the school</w:t>
      </w:r>
      <w:r w:rsidR="00272248">
        <w:rPr>
          <w:rFonts w:asciiTheme="majorHAnsi" w:hAnsiTheme="majorHAnsi" w:cstheme="majorHAnsi"/>
          <w:sz w:val="22"/>
          <w:szCs w:val="22"/>
        </w:rPr>
        <w:t xml:space="preserve"> operational funds</w:t>
      </w:r>
      <w:r w:rsidR="005C2D62">
        <w:rPr>
          <w:rFonts w:asciiTheme="majorHAnsi" w:hAnsiTheme="majorHAnsi" w:cstheme="majorHAnsi"/>
          <w:sz w:val="22"/>
          <w:szCs w:val="22"/>
        </w:rPr>
        <w:t xml:space="preserve"> </w:t>
      </w:r>
      <w:r w:rsidR="00272248">
        <w:rPr>
          <w:rFonts w:asciiTheme="majorHAnsi" w:hAnsiTheme="majorHAnsi" w:cstheme="majorHAnsi"/>
          <w:sz w:val="22"/>
          <w:szCs w:val="22"/>
        </w:rPr>
        <w:t>(</w:t>
      </w:r>
      <w:proofErr w:type="spellStart"/>
      <w:r w:rsidR="00272248">
        <w:rPr>
          <w:rFonts w:asciiTheme="majorHAnsi" w:hAnsiTheme="majorHAnsi" w:cstheme="majorHAnsi"/>
          <w:i/>
          <w:iCs/>
          <w:sz w:val="22"/>
          <w:szCs w:val="22"/>
        </w:rPr>
        <w:t>Bantuan</w:t>
      </w:r>
      <w:proofErr w:type="spellEnd"/>
      <w:r w:rsidR="00272248">
        <w:rPr>
          <w:rFonts w:asciiTheme="majorHAnsi" w:hAnsiTheme="majorHAnsi" w:cstheme="majorHAnsi"/>
          <w:i/>
          <w:iCs/>
          <w:sz w:val="22"/>
          <w:szCs w:val="22"/>
        </w:rPr>
        <w:t xml:space="preserve"> </w:t>
      </w:r>
      <w:proofErr w:type="spellStart"/>
      <w:r w:rsidR="00272248">
        <w:rPr>
          <w:rFonts w:asciiTheme="majorHAnsi" w:hAnsiTheme="majorHAnsi" w:cstheme="majorHAnsi"/>
          <w:i/>
          <w:iCs/>
          <w:sz w:val="22"/>
          <w:szCs w:val="22"/>
        </w:rPr>
        <w:t>Operasional</w:t>
      </w:r>
      <w:proofErr w:type="spellEnd"/>
      <w:r w:rsidR="00272248">
        <w:rPr>
          <w:rFonts w:asciiTheme="majorHAnsi" w:hAnsiTheme="majorHAnsi" w:cstheme="majorHAnsi"/>
          <w:i/>
          <w:iCs/>
          <w:sz w:val="22"/>
          <w:szCs w:val="22"/>
        </w:rPr>
        <w:t xml:space="preserve"> </w:t>
      </w:r>
      <w:proofErr w:type="spellStart"/>
      <w:r w:rsidR="00272248">
        <w:rPr>
          <w:rFonts w:asciiTheme="majorHAnsi" w:hAnsiTheme="majorHAnsi" w:cstheme="majorHAnsi"/>
          <w:i/>
          <w:iCs/>
          <w:sz w:val="22"/>
          <w:szCs w:val="22"/>
        </w:rPr>
        <w:t>Sekolah</w:t>
      </w:r>
      <w:proofErr w:type="spellEnd"/>
      <w:r w:rsidR="00D26F7B">
        <w:rPr>
          <w:rFonts w:asciiTheme="majorHAnsi" w:hAnsiTheme="majorHAnsi" w:cstheme="majorHAnsi"/>
          <w:i/>
          <w:iCs/>
          <w:sz w:val="22"/>
          <w:szCs w:val="22"/>
        </w:rPr>
        <w:t xml:space="preserve"> </w:t>
      </w:r>
      <w:r w:rsidR="00D26F7B">
        <w:rPr>
          <w:rFonts w:asciiTheme="majorHAnsi" w:hAnsiTheme="majorHAnsi" w:cstheme="majorHAnsi"/>
          <w:sz w:val="22"/>
          <w:szCs w:val="22"/>
        </w:rPr>
        <w:t xml:space="preserve">– </w:t>
      </w:r>
      <w:r w:rsidR="00262D92">
        <w:rPr>
          <w:rFonts w:asciiTheme="majorHAnsi" w:hAnsiTheme="majorHAnsi" w:cstheme="majorHAnsi"/>
          <w:sz w:val="22"/>
          <w:szCs w:val="22"/>
        </w:rPr>
        <w:t>BOS</w:t>
      </w:r>
      <w:r w:rsidR="00D26F7B">
        <w:rPr>
          <w:rFonts w:asciiTheme="majorHAnsi" w:hAnsiTheme="majorHAnsi" w:cstheme="majorHAnsi"/>
          <w:sz w:val="22"/>
          <w:szCs w:val="22"/>
        </w:rPr>
        <w:t>)</w:t>
      </w:r>
      <w:r w:rsidR="00262D92">
        <w:rPr>
          <w:rFonts w:asciiTheme="majorHAnsi" w:hAnsiTheme="majorHAnsi" w:cstheme="majorHAnsi"/>
          <w:sz w:val="22"/>
          <w:szCs w:val="22"/>
        </w:rPr>
        <w:t xml:space="preserve"> support for printing resources or providing teachers with </w:t>
      </w:r>
      <w:r w:rsidR="0042127B">
        <w:rPr>
          <w:rFonts w:asciiTheme="majorHAnsi" w:hAnsiTheme="majorHAnsi" w:cstheme="majorHAnsi"/>
          <w:sz w:val="22"/>
          <w:szCs w:val="22"/>
        </w:rPr>
        <w:t>Internet</w:t>
      </w:r>
      <w:r w:rsidR="00262D92">
        <w:rPr>
          <w:rFonts w:asciiTheme="majorHAnsi" w:hAnsiTheme="majorHAnsi" w:cstheme="majorHAnsi"/>
          <w:sz w:val="22"/>
          <w:szCs w:val="22"/>
        </w:rPr>
        <w:t xml:space="preserve"> quota. </w:t>
      </w:r>
      <w:r w:rsidR="00F25C2C">
        <w:rPr>
          <w:rFonts w:asciiTheme="majorHAnsi" w:hAnsiTheme="majorHAnsi" w:cstheme="majorHAnsi"/>
          <w:sz w:val="22"/>
          <w:szCs w:val="22"/>
        </w:rPr>
        <w:t>In addition, the i</w:t>
      </w:r>
      <w:r w:rsidR="00262D92">
        <w:rPr>
          <w:rFonts w:asciiTheme="majorHAnsi" w:hAnsiTheme="majorHAnsi" w:cstheme="majorHAnsi"/>
          <w:sz w:val="22"/>
          <w:szCs w:val="22"/>
        </w:rPr>
        <w:t xml:space="preserve">mplementation of the Regulation on Reasonable Accommodation 13/2020 </w:t>
      </w:r>
      <w:r w:rsidR="00F25C2C">
        <w:rPr>
          <w:rFonts w:asciiTheme="majorHAnsi" w:hAnsiTheme="majorHAnsi" w:cstheme="majorHAnsi"/>
          <w:sz w:val="22"/>
          <w:szCs w:val="22"/>
        </w:rPr>
        <w:t>requires adequate</w:t>
      </w:r>
      <w:r w:rsidR="00262D92">
        <w:rPr>
          <w:rFonts w:asciiTheme="majorHAnsi" w:hAnsiTheme="majorHAnsi" w:cstheme="majorHAnsi"/>
          <w:sz w:val="22"/>
          <w:szCs w:val="22"/>
        </w:rPr>
        <w:t xml:space="preserve"> planning and financing</w:t>
      </w:r>
      <w:r w:rsidR="00F25C2C">
        <w:rPr>
          <w:rFonts w:asciiTheme="majorHAnsi" w:hAnsiTheme="majorHAnsi" w:cstheme="majorHAnsi"/>
          <w:sz w:val="22"/>
          <w:szCs w:val="22"/>
        </w:rPr>
        <w:t xml:space="preserve"> capacities</w:t>
      </w:r>
      <w:r w:rsidR="00262D92">
        <w:rPr>
          <w:rFonts w:asciiTheme="majorHAnsi" w:hAnsiTheme="majorHAnsi" w:cstheme="majorHAnsi"/>
          <w:sz w:val="22"/>
          <w:szCs w:val="22"/>
        </w:rPr>
        <w:t xml:space="preserve"> in t</w:t>
      </w:r>
      <w:r w:rsidR="00F25C2C">
        <w:rPr>
          <w:rFonts w:asciiTheme="majorHAnsi" w:hAnsiTheme="majorHAnsi" w:cstheme="majorHAnsi"/>
          <w:sz w:val="22"/>
          <w:szCs w:val="22"/>
        </w:rPr>
        <w:t>he</w:t>
      </w:r>
      <w:r w:rsidR="00262D92">
        <w:rPr>
          <w:rFonts w:asciiTheme="majorHAnsi" w:hAnsiTheme="majorHAnsi" w:cstheme="majorHAnsi"/>
          <w:sz w:val="22"/>
          <w:szCs w:val="22"/>
        </w:rPr>
        <w:t xml:space="preserve"> districts. Meeting the district MSS for literacy and numeracy is also likely to require additional support for poor performing schools and madrasah. The extent of training required for upgrading literacy and numeracy teaching – especially the latter </w:t>
      </w:r>
      <w:r w:rsidR="00F25C2C">
        <w:rPr>
          <w:rFonts w:asciiTheme="majorHAnsi" w:hAnsiTheme="majorHAnsi" w:cstheme="majorHAnsi"/>
          <w:sz w:val="22"/>
          <w:szCs w:val="22"/>
        </w:rPr>
        <w:t>– will necessitate</w:t>
      </w:r>
      <w:r w:rsidR="00262D92">
        <w:rPr>
          <w:rFonts w:asciiTheme="majorHAnsi" w:hAnsiTheme="majorHAnsi" w:cstheme="majorHAnsi"/>
          <w:sz w:val="22"/>
          <w:szCs w:val="22"/>
        </w:rPr>
        <w:t xml:space="preserve"> skilled resources across the KKG/KKKS system. </w:t>
      </w:r>
      <w:proofErr w:type="gramStart"/>
      <w:r w:rsidR="00262D92">
        <w:rPr>
          <w:rFonts w:asciiTheme="majorHAnsi" w:hAnsiTheme="majorHAnsi" w:cstheme="majorHAnsi"/>
          <w:sz w:val="22"/>
          <w:szCs w:val="22"/>
        </w:rPr>
        <w:t>In light of</w:t>
      </w:r>
      <w:proofErr w:type="gramEnd"/>
      <w:r w:rsidR="00262D92">
        <w:rPr>
          <w:rFonts w:asciiTheme="majorHAnsi" w:hAnsiTheme="majorHAnsi" w:cstheme="majorHAnsi"/>
          <w:sz w:val="22"/>
          <w:szCs w:val="22"/>
        </w:rPr>
        <w:t xml:space="preserve"> this, an early focus for the program will be the development of a strategy to support </w:t>
      </w:r>
      <w:r w:rsidR="00F25C2C">
        <w:rPr>
          <w:rFonts w:asciiTheme="majorHAnsi" w:hAnsiTheme="majorHAnsi" w:cstheme="majorHAnsi"/>
          <w:sz w:val="22"/>
          <w:szCs w:val="22"/>
        </w:rPr>
        <w:t xml:space="preserve">both national and sub-national </w:t>
      </w:r>
      <w:r w:rsidR="00262D92">
        <w:rPr>
          <w:rFonts w:asciiTheme="majorHAnsi" w:hAnsiTheme="majorHAnsi" w:cstheme="majorHAnsi"/>
          <w:sz w:val="22"/>
          <w:szCs w:val="22"/>
        </w:rPr>
        <w:t xml:space="preserve">government </w:t>
      </w:r>
      <w:r w:rsidR="00F25C2C">
        <w:rPr>
          <w:rFonts w:asciiTheme="majorHAnsi" w:hAnsiTheme="majorHAnsi" w:cstheme="majorHAnsi"/>
          <w:sz w:val="22"/>
          <w:szCs w:val="22"/>
        </w:rPr>
        <w:t xml:space="preserve">to </w:t>
      </w:r>
      <w:r w:rsidR="00262D92">
        <w:rPr>
          <w:rFonts w:asciiTheme="majorHAnsi" w:hAnsiTheme="majorHAnsi" w:cstheme="majorHAnsi"/>
          <w:sz w:val="22"/>
          <w:szCs w:val="22"/>
        </w:rPr>
        <w:t>leveraging adequate financial resources. This will include identifying potential sources of support</w:t>
      </w:r>
      <w:r w:rsidR="00F25C2C">
        <w:rPr>
          <w:rFonts w:asciiTheme="majorHAnsi" w:hAnsiTheme="majorHAnsi" w:cstheme="majorHAnsi"/>
          <w:sz w:val="22"/>
          <w:szCs w:val="22"/>
        </w:rPr>
        <w:t>,</w:t>
      </w:r>
      <w:r w:rsidR="00262D92">
        <w:rPr>
          <w:rFonts w:asciiTheme="majorHAnsi" w:hAnsiTheme="majorHAnsi" w:cstheme="majorHAnsi"/>
          <w:sz w:val="22"/>
          <w:szCs w:val="22"/>
        </w:rPr>
        <w:t xml:space="preserve"> including incentives for education quality improvement in the structure of the new </w:t>
      </w:r>
      <w:r w:rsidR="00262D92" w:rsidRPr="00F25C2C">
        <w:rPr>
          <w:rFonts w:asciiTheme="majorHAnsi" w:hAnsiTheme="majorHAnsi" w:cstheme="majorHAnsi"/>
          <w:sz w:val="22"/>
          <w:szCs w:val="22"/>
        </w:rPr>
        <w:t>fiscal transfers law (HKPD-Law 1/2022)</w:t>
      </w:r>
      <w:r w:rsidR="00F25C2C" w:rsidRPr="00F25C2C">
        <w:rPr>
          <w:rFonts w:asciiTheme="majorHAnsi" w:hAnsiTheme="majorHAnsi" w:cstheme="majorHAnsi"/>
          <w:sz w:val="22"/>
          <w:szCs w:val="22"/>
        </w:rPr>
        <w:t xml:space="preserve">. It will also </w:t>
      </w:r>
      <w:r w:rsidR="004533F4">
        <w:rPr>
          <w:rFonts w:asciiTheme="majorHAnsi" w:hAnsiTheme="majorHAnsi" w:cstheme="majorHAnsi"/>
          <w:sz w:val="22"/>
          <w:szCs w:val="22"/>
        </w:rPr>
        <w:t>involve the development of a</w:t>
      </w:r>
      <w:r w:rsidR="00D352D4">
        <w:rPr>
          <w:rFonts w:asciiTheme="majorHAnsi" w:hAnsiTheme="majorHAnsi" w:cstheme="majorHAnsi"/>
          <w:sz w:val="22"/>
          <w:szCs w:val="22"/>
        </w:rPr>
        <w:t>n advocacy</w:t>
      </w:r>
      <w:r w:rsidR="004533F4">
        <w:rPr>
          <w:rFonts w:asciiTheme="majorHAnsi" w:hAnsiTheme="majorHAnsi" w:cstheme="majorHAnsi"/>
          <w:sz w:val="22"/>
          <w:szCs w:val="22"/>
        </w:rPr>
        <w:t xml:space="preserve"> plan </w:t>
      </w:r>
      <w:r w:rsidR="00262D92" w:rsidRPr="00F25C2C">
        <w:rPr>
          <w:rFonts w:asciiTheme="majorHAnsi" w:hAnsiTheme="majorHAnsi" w:cstheme="majorHAnsi"/>
          <w:sz w:val="22"/>
          <w:szCs w:val="22"/>
        </w:rPr>
        <w:t>with other development programs (for example SKALA and UNICEF</w:t>
      </w:r>
      <w:r w:rsidR="004533F4">
        <w:rPr>
          <w:rFonts w:asciiTheme="majorHAnsi" w:hAnsiTheme="majorHAnsi" w:cstheme="majorHAnsi"/>
          <w:sz w:val="22"/>
          <w:szCs w:val="22"/>
        </w:rPr>
        <w:t xml:space="preserve"> Papua</w:t>
      </w:r>
      <w:r w:rsidR="00262D92" w:rsidRPr="00F25C2C">
        <w:rPr>
          <w:rFonts w:asciiTheme="majorHAnsi" w:hAnsiTheme="majorHAnsi" w:cstheme="majorHAnsi"/>
          <w:sz w:val="22"/>
          <w:szCs w:val="22"/>
        </w:rPr>
        <w:t xml:space="preserve">) </w:t>
      </w:r>
      <w:r w:rsidR="004533F4">
        <w:rPr>
          <w:rFonts w:asciiTheme="majorHAnsi" w:hAnsiTheme="majorHAnsi" w:cstheme="majorHAnsi"/>
          <w:sz w:val="22"/>
          <w:szCs w:val="22"/>
        </w:rPr>
        <w:t>to review current</w:t>
      </w:r>
      <w:r w:rsidR="00D352D4">
        <w:rPr>
          <w:rFonts w:asciiTheme="majorHAnsi" w:hAnsiTheme="majorHAnsi" w:cstheme="majorHAnsi"/>
          <w:sz w:val="22"/>
          <w:szCs w:val="22"/>
        </w:rPr>
        <w:t xml:space="preserve"> </w:t>
      </w:r>
      <w:r w:rsidR="00D352D4" w:rsidRPr="00F25C2C">
        <w:rPr>
          <w:rFonts w:asciiTheme="majorHAnsi" w:hAnsiTheme="majorHAnsi" w:cstheme="majorHAnsi"/>
          <w:sz w:val="22"/>
          <w:szCs w:val="22"/>
        </w:rPr>
        <w:t xml:space="preserve">national and subnational </w:t>
      </w:r>
      <w:r w:rsidR="00D352D4">
        <w:rPr>
          <w:rFonts w:asciiTheme="majorHAnsi" w:hAnsiTheme="majorHAnsi" w:cstheme="majorHAnsi"/>
          <w:sz w:val="22"/>
          <w:szCs w:val="22"/>
        </w:rPr>
        <w:t xml:space="preserve">education </w:t>
      </w:r>
      <w:r w:rsidR="004533F4">
        <w:rPr>
          <w:rFonts w:asciiTheme="majorHAnsi" w:hAnsiTheme="majorHAnsi" w:cstheme="majorHAnsi"/>
          <w:sz w:val="22"/>
          <w:szCs w:val="22"/>
        </w:rPr>
        <w:t xml:space="preserve">allocations, </w:t>
      </w:r>
      <w:r w:rsidR="00D352D4">
        <w:rPr>
          <w:rFonts w:asciiTheme="majorHAnsi" w:hAnsiTheme="majorHAnsi" w:cstheme="majorHAnsi"/>
          <w:sz w:val="22"/>
          <w:szCs w:val="22"/>
        </w:rPr>
        <w:t xml:space="preserve">including from relevant other ministries such as the Ministry of Finances Ministry for Villages (dana </w:t>
      </w:r>
      <w:proofErr w:type="spellStart"/>
      <w:r w:rsidR="00D352D4">
        <w:rPr>
          <w:rFonts w:asciiTheme="majorHAnsi" w:hAnsiTheme="majorHAnsi" w:cstheme="majorHAnsi"/>
          <w:sz w:val="22"/>
          <w:szCs w:val="22"/>
        </w:rPr>
        <w:t>desa</w:t>
      </w:r>
      <w:proofErr w:type="spellEnd"/>
      <w:r w:rsidR="00D352D4">
        <w:rPr>
          <w:rFonts w:asciiTheme="majorHAnsi" w:hAnsiTheme="majorHAnsi" w:cstheme="majorHAnsi"/>
          <w:sz w:val="22"/>
          <w:szCs w:val="22"/>
        </w:rPr>
        <w:t xml:space="preserve">), support sufficient allocations for </w:t>
      </w:r>
      <w:r w:rsidR="004533F4">
        <w:rPr>
          <w:rFonts w:asciiTheme="majorHAnsi" w:hAnsiTheme="majorHAnsi" w:cstheme="majorHAnsi"/>
          <w:sz w:val="22"/>
          <w:szCs w:val="22"/>
        </w:rPr>
        <w:t>access</w:t>
      </w:r>
      <w:r w:rsidR="00D352D4">
        <w:rPr>
          <w:rFonts w:asciiTheme="majorHAnsi" w:hAnsiTheme="majorHAnsi" w:cstheme="majorHAnsi"/>
          <w:sz w:val="22"/>
          <w:szCs w:val="22"/>
        </w:rPr>
        <w:t xml:space="preserve"> to digital resources,</w:t>
      </w:r>
      <w:r w:rsidR="00262D92">
        <w:rPr>
          <w:rFonts w:asciiTheme="majorHAnsi" w:hAnsiTheme="majorHAnsi" w:cstheme="majorHAnsi"/>
          <w:sz w:val="22"/>
          <w:szCs w:val="22"/>
        </w:rPr>
        <w:t xml:space="preserve"> </w:t>
      </w:r>
      <w:r w:rsidR="00D352D4">
        <w:rPr>
          <w:rFonts w:asciiTheme="majorHAnsi" w:hAnsiTheme="majorHAnsi" w:cstheme="majorHAnsi"/>
          <w:sz w:val="22"/>
          <w:szCs w:val="22"/>
        </w:rPr>
        <w:t xml:space="preserve">and </w:t>
      </w:r>
      <w:proofErr w:type="gramStart"/>
      <w:r w:rsidR="00262D92">
        <w:rPr>
          <w:rFonts w:asciiTheme="majorHAnsi" w:hAnsiTheme="majorHAnsi" w:cstheme="majorHAnsi"/>
          <w:sz w:val="22"/>
          <w:szCs w:val="22"/>
        </w:rPr>
        <w:t>rationalis</w:t>
      </w:r>
      <w:r w:rsidR="00D352D4">
        <w:rPr>
          <w:rFonts w:asciiTheme="majorHAnsi" w:hAnsiTheme="majorHAnsi" w:cstheme="majorHAnsi"/>
          <w:sz w:val="22"/>
          <w:szCs w:val="22"/>
        </w:rPr>
        <w:t xml:space="preserve">e </w:t>
      </w:r>
      <w:r w:rsidR="00262D92">
        <w:rPr>
          <w:rFonts w:asciiTheme="majorHAnsi" w:hAnsiTheme="majorHAnsi" w:cstheme="majorHAnsi"/>
          <w:sz w:val="22"/>
          <w:szCs w:val="22"/>
        </w:rPr>
        <w:t xml:space="preserve"> teacher</w:t>
      </w:r>
      <w:proofErr w:type="gramEnd"/>
      <w:r w:rsidR="00262D92">
        <w:rPr>
          <w:rFonts w:asciiTheme="majorHAnsi" w:hAnsiTheme="majorHAnsi" w:cstheme="majorHAnsi"/>
          <w:sz w:val="22"/>
          <w:szCs w:val="22"/>
        </w:rPr>
        <w:t xml:space="preserve"> hire</w:t>
      </w:r>
      <w:r w:rsidR="002C29B1">
        <w:rPr>
          <w:rFonts w:asciiTheme="majorHAnsi" w:hAnsiTheme="majorHAnsi" w:cstheme="majorHAnsi"/>
          <w:sz w:val="22"/>
          <w:szCs w:val="22"/>
        </w:rPr>
        <w:t>,</w:t>
      </w:r>
      <w:r w:rsidR="00262D92">
        <w:rPr>
          <w:rFonts w:asciiTheme="majorHAnsi" w:hAnsiTheme="majorHAnsi" w:cstheme="majorHAnsi"/>
          <w:sz w:val="22"/>
          <w:szCs w:val="22"/>
        </w:rPr>
        <w:t xml:space="preserve"> especially by schools</w:t>
      </w:r>
      <w:r w:rsidR="00D352D4">
        <w:rPr>
          <w:rFonts w:asciiTheme="majorHAnsi" w:hAnsiTheme="majorHAnsi" w:cstheme="majorHAnsi"/>
          <w:sz w:val="22"/>
          <w:szCs w:val="22"/>
        </w:rPr>
        <w:t>,</w:t>
      </w:r>
      <w:r w:rsidR="00D352D4" w:rsidRPr="00D352D4">
        <w:rPr>
          <w:rFonts w:asciiTheme="majorHAnsi" w:hAnsiTheme="majorHAnsi" w:cstheme="majorHAnsi"/>
          <w:sz w:val="22"/>
          <w:szCs w:val="22"/>
        </w:rPr>
        <w:t xml:space="preserve"> </w:t>
      </w:r>
      <w:r w:rsidR="00D352D4">
        <w:rPr>
          <w:rFonts w:asciiTheme="majorHAnsi" w:hAnsiTheme="majorHAnsi" w:cstheme="majorHAnsi"/>
          <w:sz w:val="22"/>
          <w:szCs w:val="22"/>
        </w:rPr>
        <w:t>at the district level</w:t>
      </w:r>
      <w:r w:rsidR="00262D92">
        <w:rPr>
          <w:rFonts w:asciiTheme="majorHAnsi" w:hAnsiTheme="majorHAnsi" w:cstheme="majorHAnsi"/>
          <w:sz w:val="22"/>
          <w:szCs w:val="22"/>
        </w:rPr>
        <w:t>.</w:t>
      </w:r>
    </w:p>
    <w:p w14:paraId="0D2AFB76" w14:textId="77777777" w:rsidR="00C33A08" w:rsidRDefault="00C33A08" w:rsidP="00EC2D8E">
      <w:pPr>
        <w:pStyle w:val="BodyText"/>
        <w:spacing w:after="120" w:line="281" w:lineRule="auto"/>
        <w:rPr>
          <w:rFonts w:asciiTheme="majorHAnsi" w:hAnsiTheme="majorHAnsi" w:cstheme="majorHAnsi"/>
          <w:sz w:val="22"/>
          <w:szCs w:val="22"/>
        </w:rPr>
      </w:pPr>
    </w:p>
    <w:p w14:paraId="22384517" w14:textId="77777777" w:rsidR="00C33A08" w:rsidRPr="00C33A08" w:rsidRDefault="00C33A08" w:rsidP="00C33A08">
      <w:pPr>
        <w:pStyle w:val="BodyText"/>
        <w:rPr>
          <w:rFonts w:asciiTheme="majorHAnsi" w:hAnsiTheme="majorHAnsi" w:cstheme="majorHAnsi"/>
          <w:b/>
          <w:bCs/>
          <w:i/>
          <w:iCs/>
          <w:sz w:val="22"/>
          <w:szCs w:val="22"/>
        </w:rPr>
      </w:pPr>
      <w:r w:rsidRPr="00C33A08">
        <w:rPr>
          <w:rFonts w:asciiTheme="majorHAnsi" w:hAnsiTheme="majorHAnsi" w:cstheme="majorHAnsi"/>
          <w:b/>
          <w:bCs/>
          <w:i/>
          <w:iCs/>
          <w:sz w:val="22"/>
          <w:szCs w:val="22"/>
        </w:rPr>
        <w:t xml:space="preserve">IO3 - Improved policies, </w:t>
      </w:r>
      <w:proofErr w:type="gramStart"/>
      <w:r w:rsidRPr="00C33A08">
        <w:rPr>
          <w:rFonts w:asciiTheme="majorHAnsi" w:hAnsiTheme="majorHAnsi" w:cstheme="majorHAnsi"/>
          <w:b/>
          <w:bCs/>
          <w:i/>
          <w:iCs/>
          <w:sz w:val="22"/>
          <w:szCs w:val="22"/>
        </w:rPr>
        <w:t>systems</w:t>
      </w:r>
      <w:proofErr w:type="gramEnd"/>
      <w:r w:rsidRPr="00C33A08">
        <w:rPr>
          <w:rFonts w:asciiTheme="majorHAnsi" w:hAnsiTheme="majorHAnsi" w:cstheme="majorHAnsi"/>
          <w:b/>
          <w:bCs/>
          <w:i/>
          <w:iCs/>
          <w:sz w:val="22"/>
          <w:szCs w:val="22"/>
        </w:rPr>
        <w:t xml:space="preserve"> and practices for inclusive leadership of teaching and learning in targeted districts.</w:t>
      </w:r>
    </w:p>
    <w:p w14:paraId="47697DE1" w14:textId="74C73F67" w:rsidR="00DE2B3D" w:rsidRDefault="004B3D56" w:rsidP="00EC2D8E">
      <w:pPr>
        <w:spacing w:after="120" w:line="281" w:lineRule="auto"/>
      </w:pPr>
      <w:r w:rsidRPr="00974377">
        <w:rPr>
          <w:rFonts w:asciiTheme="majorHAnsi" w:hAnsiTheme="majorHAnsi" w:cstheme="majorHAnsi"/>
          <w:sz w:val="22"/>
          <w:szCs w:val="22"/>
        </w:rPr>
        <w:t xml:space="preserve">This IO entails INOVASI Phase 3 providing support to </w:t>
      </w:r>
      <w:r w:rsidR="00AB64BD">
        <w:rPr>
          <w:rFonts w:asciiTheme="majorHAnsi" w:hAnsiTheme="majorHAnsi" w:cstheme="majorHAnsi"/>
          <w:sz w:val="22"/>
          <w:szCs w:val="22"/>
        </w:rPr>
        <w:t xml:space="preserve">district authorities to </w:t>
      </w:r>
      <w:r w:rsidRPr="00974377">
        <w:rPr>
          <w:rFonts w:asciiTheme="majorHAnsi" w:hAnsiTheme="majorHAnsi" w:cstheme="majorHAnsi"/>
          <w:sz w:val="22"/>
          <w:szCs w:val="22"/>
        </w:rPr>
        <w:t xml:space="preserve">develop technical and leadership capacities of principals in targeted areas. The program will </w:t>
      </w:r>
      <w:r w:rsidR="00CD3AC2">
        <w:rPr>
          <w:rFonts w:asciiTheme="majorHAnsi" w:hAnsiTheme="majorHAnsi" w:cstheme="majorHAnsi"/>
          <w:sz w:val="22"/>
          <w:szCs w:val="22"/>
        </w:rPr>
        <w:t xml:space="preserve">facilitate a </w:t>
      </w:r>
      <w:r w:rsidRPr="00974377">
        <w:rPr>
          <w:rFonts w:asciiTheme="majorHAnsi" w:hAnsiTheme="majorHAnsi" w:cstheme="majorHAnsi"/>
          <w:sz w:val="22"/>
          <w:szCs w:val="22"/>
        </w:rPr>
        <w:t xml:space="preserve">focus on </w:t>
      </w:r>
      <w:r w:rsidR="00CD3AC2">
        <w:rPr>
          <w:rFonts w:asciiTheme="majorHAnsi" w:hAnsiTheme="majorHAnsi" w:cstheme="majorHAnsi"/>
          <w:sz w:val="22"/>
          <w:szCs w:val="22"/>
        </w:rPr>
        <w:t>developing</w:t>
      </w:r>
      <w:r w:rsidR="00CD3AC2" w:rsidRPr="00974377">
        <w:rPr>
          <w:rFonts w:asciiTheme="majorHAnsi" w:hAnsiTheme="majorHAnsi" w:cstheme="majorHAnsi"/>
          <w:sz w:val="22"/>
          <w:szCs w:val="22"/>
        </w:rPr>
        <w:t xml:space="preserve"> </w:t>
      </w:r>
      <w:r w:rsidRPr="00974377">
        <w:rPr>
          <w:rFonts w:asciiTheme="majorHAnsi" w:hAnsiTheme="majorHAnsi" w:cstheme="majorHAnsi"/>
          <w:sz w:val="22"/>
          <w:szCs w:val="22"/>
        </w:rPr>
        <w:t>principals’ capacities for instructional leadership</w:t>
      </w:r>
      <w:r w:rsidR="005D49FA">
        <w:rPr>
          <w:rFonts w:asciiTheme="majorHAnsi" w:hAnsiTheme="majorHAnsi" w:cstheme="majorHAnsi"/>
          <w:sz w:val="22"/>
          <w:szCs w:val="22"/>
        </w:rPr>
        <w:t xml:space="preserve"> in foundational skills</w:t>
      </w:r>
      <w:r w:rsidRPr="00974377">
        <w:rPr>
          <w:rFonts w:asciiTheme="majorHAnsi" w:hAnsiTheme="majorHAnsi" w:cstheme="majorHAnsi"/>
          <w:sz w:val="22"/>
          <w:szCs w:val="22"/>
        </w:rPr>
        <w:t xml:space="preserve">, </w:t>
      </w:r>
      <w:r w:rsidR="006A1615" w:rsidRPr="00974377">
        <w:rPr>
          <w:rFonts w:asciiTheme="majorHAnsi" w:hAnsiTheme="majorHAnsi" w:cstheme="majorHAnsi"/>
          <w:sz w:val="22"/>
          <w:szCs w:val="22"/>
        </w:rPr>
        <w:t xml:space="preserve">curriculum development, </w:t>
      </w:r>
      <w:r w:rsidR="00E95B80">
        <w:rPr>
          <w:rFonts w:asciiTheme="majorHAnsi" w:hAnsiTheme="majorHAnsi" w:cstheme="majorHAnsi"/>
          <w:sz w:val="22"/>
          <w:szCs w:val="22"/>
        </w:rPr>
        <w:t xml:space="preserve">and </w:t>
      </w:r>
      <w:r w:rsidRPr="00974377">
        <w:rPr>
          <w:rFonts w:asciiTheme="majorHAnsi" w:hAnsiTheme="majorHAnsi" w:cstheme="majorHAnsi"/>
          <w:sz w:val="22"/>
          <w:szCs w:val="22"/>
        </w:rPr>
        <w:t>resourcing learning</w:t>
      </w:r>
      <w:r w:rsidR="00CD3AC2">
        <w:rPr>
          <w:rFonts w:asciiTheme="majorHAnsi" w:hAnsiTheme="majorHAnsi" w:cstheme="majorHAnsi"/>
          <w:sz w:val="22"/>
          <w:szCs w:val="22"/>
        </w:rPr>
        <w:t xml:space="preserve"> through priorities in the school’s annual plan and school grant allocation</w:t>
      </w:r>
      <w:r w:rsidR="00E95B80">
        <w:rPr>
          <w:rFonts w:asciiTheme="majorHAnsi" w:hAnsiTheme="majorHAnsi" w:cstheme="majorHAnsi"/>
          <w:sz w:val="22"/>
          <w:szCs w:val="22"/>
        </w:rPr>
        <w:t>.</w:t>
      </w:r>
      <w:r w:rsidR="00E95B80" w:rsidRPr="00974377">
        <w:rPr>
          <w:rFonts w:asciiTheme="majorHAnsi" w:hAnsiTheme="majorHAnsi" w:cstheme="majorHAnsi"/>
          <w:sz w:val="22"/>
          <w:szCs w:val="22"/>
        </w:rPr>
        <w:t xml:space="preserve"> </w:t>
      </w:r>
      <w:r w:rsidR="00DE2B3D" w:rsidRPr="00974377">
        <w:rPr>
          <w:rFonts w:asciiTheme="majorHAnsi" w:hAnsiTheme="majorHAnsi" w:cstheme="majorHAnsi"/>
          <w:sz w:val="22"/>
          <w:szCs w:val="22"/>
        </w:rPr>
        <w:t>Capacities will be developed through principals’ involvement in learning communities</w:t>
      </w:r>
      <w:r w:rsidR="00341FC5">
        <w:rPr>
          <w:rFonts w:asciiTheme="majorHAnsi" w:hAnsiTheme="majorHAnsi" w:cstheme="majorHAnsi"/>
          <w:sz w:val="22"/>
          <w:szCs w:val="22"/>
        </w:rPr>
        <w:t xml:space="preserve"> and </w:t>
      </w:r>
      <w:r w:rsidR="00DE2B3D">
        <w:rPr>
          <w:rFonts w:asciiTheme="majorHAnsi" w:hAnsiTheme="majorHAnsi" w:cstheme="majorHAnsi"/>
          <w:sz w:val="22"/>
          <w:szCs w:val="22"/>
        </w:rPr>
        <w:t>working groups,</w:t>
      </w:r>
      <w:r w:rsidR="00DE2B3D" w:rsidRPr="00974377">
        <w:rPr>
          <w:rFonts w:asciiTheme="majorHAnsi" w:hAnsiTheme="majorHAnsi" w:cstheme="majorHAnsi"/>
          <w:sz w:val="22"/>
          <w:szCs w:val="22"/>
        </w:rPr>
        <w:t xml:space="preserve"> and through workshops, training sessions, monitoring missions, and/or technical assistance provided by district education authorities. The program will explore the potential of adapting and promoting the ‘developmental leadership’ model developed by the Developmental Leadership Program</w:t>
      </w:r>
      <w:r w:rsidR="00DE2B3D" w:rsidRPr="00974377">
        <w:rPr>
          <w:rStyle w:val="FootnoteReference"/>
          <w:rFonts w:asciiTheme="majorHAnsi" w:hAnsiTheme="majorHAnsi" w:cstheme="majorHAnsi"/>
          <w:sz w:val="22"/>
          <w:szCs w:val="22"/>
        </w:rPr>
        <w:footnoteReference w:id="30"/>
      </w:r>
      <w:r w:rsidR="00DE2B3D" w:rsidRPr="00974377">
        <w:rPr>
          <w:rFonts w:asciiTheme="majorHAnsi" w:hAnsiTheme="majorHAnsi" w:cstheme="majorHAnsi"/>
          <w:sz w:val="22"/>
          <w:szCs w:val="22"/>
        </w:rPr>
        <w:t xml:space="preserve">, well aligned with the current </w:t>
      </w:r>
      <w:r w:rsidR="00DE2B3D" w:rsidRPr="00974377">
        <w:rPr>
          <w:rFonts w:asciiTheme="majorHAnsi" w:hAnsiTheme="majorHAnsi" w:cstheme="majorHAnsi"/>
          <w:i/>
          <w:iCs/>
          <w:sz w:val="22"/>
          <w:szCs w:val="22"/>
        </w:rPr>
        <w:t xml:space="preserve">Merdeka </w:t>
      </w:r>
      <w:proofErr w:type="spellStart"/>
      <w:r w:rsidR="00DE2B3D" w:rsidRPr="00974377">
        <w:rPr>
          <w:rFonts w:asciiTheme="majorHAnsi" w:hAnsiTheme="majorHAnsi" w:cstheme="majorHAnsi"/>
          <w:i/>
          <w:iCs/>
          <w:sz w:val="22"/>
          <w:szCs w:val="22"/>
        </w:rPr>
        <w:t>Belajar</w:t>
      </w:r>
      <w:proofErr w:type="spellEnd"/>
      <w:r w:rsidR="00DE2B3D" w:rsidRPr="00974377">
        <w:rPr>
          <w:rFonts w:asciiTheme="majorHAnsi" w:hAnsiTheme="majorHAnsi" w:cstheme="majorHAnsi"/>
          <w:sz w:val="22"/>
          <w:szCs w:val="22"/>
        </w:rPr>
        <w:t xml:space="preserve"> approach. </w:t>
      </w:r>
    </w:p>
    <w:p w14:paraId="7EE72D9D" w14:textId="3B22DE1E" w:rsidR="004B3D56" w:rsidRDefault="00341FC5" w:rsidP="00EC2D8E">
      <w:pPr>
        <w:pStyle w:val="BodyText"/>
        <w:spacing w:after="120" w:line="281" w:lineRule="auto"/>
        <w:rPr>
          <w:rFonts w:asciiTheme="majorHAnsi" w:hAnsiTheme="majorHAnsi" w:cstheme="majorHAnsi"/>
          <w:sz w:val="22"/>
          <w:szCs w:val="22"/>
        </w:rPr>
      </w:pPr>
      <w:r>
        <w:rPr>
          <w:rFonts w:asciiTheme="majorHAnsi" w:hAnsiTheme="majorHAnsi" w:cstheme="majorHAnsi"/>
          <w:sz w:val="22"/>
          <w:szCs w:val="22"/>
        </w:rPr>
        <w:t>The d</w:t>
      </w:r>
      <w:r w:rsidR="00E95B80" w:rsidRPr="00974377">
        <w:rPr>
          <w:rFonts w:asciiTheme="majorHAnsi" w:hAnsiTheme="majorHAnsi" w:cstheme="majorHAnsi"/>
          <w:sz w:val="22"/>
          <w:szCs w:val="22"/>
        </w:rPr>
        <w:t xml:space="preserve">evelopment </w:t>
      </w:r>
      <w:r w:rsidR="004B3D56" w:rsidRPr="00974377">
        <w:rPr>
          <w:rFonts w:asciiTheme="majorHAnsi" w:hAnsiTheme="majorHAnsi" w:cstheme="majorHAnsi"/>
          <w:sz w:val="22"/>
          <w:szCs w:val="22"/>
        </w:rPr>
        <w:t>of inclusive school cultures</w:t>
      </w:r>
      <w:r w:rsidR="00E95B80">
        <w:rPr>
          <w:rFonts w:asciiTheme="majorHAnsi" w:hAnsiTheme="majorHAnsi" w:cstheme="majorHAnsi"/>
          <w:sz w:val="22"/>
          <w:szCs w:val="22"/>
        </w:rPr>
        <w:t xml:space="preserve">, including through community outreach, will </w:t>
      </w:r>
      <w:r w:rsidR="00AB64BD">
        <w:rPr>
          <w:rFonts w:asciiTheme="majorHAnsi" w:hAnsiTheme="majorHAnsi" w:cstheme="majorHAnsi"/>
          <w:sz w:val="22"/>
          <w:szCs w:val="22"/>
        </w:rPr>
        <w:t xml:space="preserve">also be </w:t>
      </w:r>
      <w:r w:rsidR="00E95B80">
        <w:rPr>
          <w:rFonts w:asciiTheme="majorHAnsi" w:hAnsiTheme="majorHAnsi" w:cstheme="majorHAnsi"/>
          <w:sz w:val="22"/>
          <w:szCs w:val="22"/>
        </w:rPr>
        <w:t>a priority</w:t>
      </w:r>
      <w:r w:rsidR="00617209">
        <w:rPr>
          <w:rFonts w:asciiTheme="majorHAnsi" w:hAnsiTheme="majorHAnsi" w:cstheme="majorHAnsi"/>
          <w:sz w:val="22"/>
          <w:szCs w:val="22"/>
        </w:rPr>
        <w:t>.</w:t>
      </w:r>
      <w:r w:rsidR="00CD3AC2">
        <w:rPr>
          <w:rFonts w:asciiTheme="majorHAnsi" w:hAnsiTheme="majorHAnsi" w:cstheme="majorHAnsi"/>
          <w:sz w:val="22"/>
          <w:szCs w:val="22"/>
        </w:rPr>
        <w:t xml:space="preserve"> This will include</w:t>
      </w:r>
      <w:r>
        <w:rPr>
          <w:rFonts w:asciiTheme="majorHAnsi" w:hAnsiTheme="majorHAnsi" w:cstheme="majorHAnsi"/>
          <w:sz w:val="22"/>
          <w:szCs w:val="22"/>
        </w:rPr>
        <w:t xml:space="preserve"> supporting</w:t>
      </w:r>
      <w:r w:rsidR="00CD3AC2">
        <w:rPr>
          <w:rFonts w:asciiTheme="majorHAnsi" w:hAnsiTheme="majorHAnsi" w:cstheme="majorHAnsi"/>
          <w:sz w:val="22"/>
          <w:szCs w:val="22"/>
        </w:rPr>
        <w:t xml:space="preserve"> the development and monitoring of school policies that foster the agency and engagement of all girls and boys, particularly against bullying and gender-based discrimination </w:t>
      </w:r>
      <w:r w:rsidR="00CD3AC2">
        <w:rPr>
          <w:rFonts w:asciiTheme="majorHAnsi" w:hAnsiTheme="majorHAnsi" w:cstheme="majorHAnsi"/>
          <w:sz w:val="22"/>
          <w:szCs w:val="22"/>
        </w:rPr>
        <w:lastRenderedPageBreak/>
        <w:t xml:space="preserve">and violence. INOVASI will assist district authorities to engage with local OPDs and </w:t>
      </w:r>
      <w:r w:rsidR="00693F7C">
        <w:rPr>
          <w:rFonts w:asciiTheme="majorHAnsi" w:hAnsiTheme="majorHAnsi" w:cstheme="majorHAnsi"/>
          <w:sz w:val="22"/>
          <w:szCs w:val="22"/>
        </w:rPr>
        <w:t>gender based</w:t>
      </w:r>
      <w:r w:rsidR="00CD3AC2">
        <w:rPr>
          <w:rFonts w:asciiTheme="majorHAnsi" w:hAnsiTheme="majorHAnsi" w:cstheme="majorHAnsi"/>
          <w:sz w:val="22"/>
          <w:szCs w:val="22"/>
        </w:rPr>
        <w:t xml:space="preserve"> CSOs to identify effective ways of implementing </w:t>
      </w:r>
      <w:r w:rsidR="005D49FA">
        <w:rPr>
          <w:rFonts w:asciiTheme="majorHAnsi" w:hAnsiTheme="majorHAnsi" w:cstheme="majorHAnsi"/>
          <w:sz w:val="22"/>
          <w:szCs w:val="22"/>
        </w:rPr>
        <w:t xml:space="preserve">and improving on, </w:t>
      </w:r>
      <w:r w:rsidR="00CD3AC2">
        <w:rPr>
          <w:rFonts w:asciiTheme="majorHAnsi" w:hAnsiTheme="majorHAnsi" w:cstheme="majorHAnsi"/>
          <w:sz w:val="22"/>
          <w:szCs w:val="22"/>
        </w:rPr>
        <w:t>related national policies for schools</w:t>
      </w:r>
      <w:r w:rsidR="005D49FA">
        <w:rPr>
          <w:rFonts w:asciiTheme="majorHAnsi" w:hAnsiTheme="majorHAnsi" w:cstheme="majorHAnsi"/>
          <w:sz w:val="22"/>
          <w:szCs w:val="22"/>
        </w:rPr>
        <w:t>,</w:t>
      </w:r>
      <w:r w:rsidR="00CD3AC2">
        <w:rPr>
          <w:rFonts w:asciiTheme="majorHAnsi" w:hAnsiTheme="majorHAnsi" w:cstheme="majorHAnsi"/>
          <w:sz w:val="22"/>
          <w:szCs w:val="22"/>
        </w:rPr>
        <w:t xml:space="preserve"> including engagement with parents and the school community. </w:t>
      </w:r>
      <w:r w:rsidR="00AB64BD">
        <w:rPr>
          <w:rFonts w:asciiTheme="majorHAnsi" w:hAnsiTheme="majorHAnsi" w:cstheme="majorHAnsi"/>
          <w:sz w:val="22"/>
          <w:szCs w:val="22"/>
        </w:rPr>
        <w:t xml:space="preserve">In line with the Regulation for </w:t>
      </w:r>
      <w:r w:rsidR="007C6D43">
        <w:rPr>
          <w:rFonts w:asciiTheme="majorHAnsi" w:hAnsiTheme="majorHAnsi" w:cstheme="majorHAnsi"/>
          <w:sz w:val="22"/>
          <w:szCs w:val="22"/>
        </w:rPr>
        <w:t>R</w:t>
      </w:r>
      <w:r w:rsidR="00AB64BD">
        <w:rPr>
          <w:rFonts w:asciiTheme="majorHAnsi" w:hAnsiTheme="majorHAnsi" w:cstheme="majorHAnsi"/>
          <w:sz w:val="22"/>
          <w:szCs w:val="22"/>
        </w:rPr>
        <w:t xml:space="preserve">easonable accommodation of </w:t>
      </w:r>
      <w:r w:rsidR="00AB64BD" w:rsidRPr="00974377">
        <w:rPr>
          <w:rFonts w:asciiTheme="majorHAnsi" w:hAnsiTheme="majorHAnsi" w:cstheme="majorHAnsi"/>
          <w:sz w:val="22"/>
          <w:szCs w:val="22"/>
        </w:rPr>
        <w:t>children with a disability</w:t>
      </w:r>
      <w:r w:rsidR="00AB64BD">
        <w:rPr>
          <w:rFonts w:asciiTheme="majorHAnsi" w:hAnsiTheme="majorHAnsi" w:cstheme="majorHAnsi"/>
          <w:sz w:val="22"/>
          <w:szCs w:val="22"/>
        </w:rPr>
        <w:t xml:space="preserve">, INOVASI’s support will </w:t>
      </w:r>
      <w:r w:rsidR="005D49FA">
        <w:rPr>
          <w:rFonts w:asciiTheme="majorHAnsi" w:hAnsiTheme="majorHAnsi" w:cstheme="majorHAnsi"/>
          <w:sz w:val="22"/>
          <w:szCs w:val="22"/>
        </w:rPr>
        <w:t>facilitate</w:t>
      </w:r>
      <w:r w:rsidR="00AB64BD">
        <w:rPr>
          <w:rFonts w:asciiTheme="majorHAnsi" w:hAnsiTheme="majorHAnsi" w:cstheme="majorHAnsi"/>
          <w:sz w:val="22"/>
          <w:szCs w:val="22"/>
        </w:rPr>
        <w:t xml:space="preserve"> schools’ take up and use of tools developed by INOVASI Phase 2 for identifying</w:t>
      </w:r>
      <w:r w:rsidR="006D744E">
        <w:rPr>
          <w:rFonts w:asciiTheme="majorHAnsi" w:hAnsiTheme="majorHAnsi" w:cstheme="majorHAnsi"/>
          <w:sz w:val="22"/>
          <w:szCs w:val="22"/>
        </w:rPr>
        <w:t xml:space="preserve"> the problems</w:t>
      </w:r>
      <w:r w:rsidR="00AB64BD">
        <w:rPr>
          <w:rFonts w:asciiTheme="majorHAnsi" w:hAnsiTheme="majorHAnsi" w:cstheme="majorHAnsi"/>
          <w:sz w:val="22"/>
          <w:szCs w:val="22"/>
        </w:rPr>
        <w:t xml:space="preserve"> </w:t>
      </w:r>
      <w:r w:rsidR="006D744E">
        <w:rPr>
          <w:rFonts w:asciiTheme="majorHAnsi" w:hAnsiTheme="majorHAnsi" w:cstheme="majorHAnsi"/>
          <w:sz w:val="22"/>
          <w:szCs w:val="22"/>
        </w:rPr>
        <w:t xml:space="preserve">and </w:t>
      </w:r>
      <w:r w:rsidR="00AB64BD">
        <w:rPr>
          <w:rFonts w:asciiTheme="majorHAnsi" w:hAnsiTheme="majorHAnsi" w:cstheme="majorHAnsi"/>
          <w:sz w:val="22"/>
          <w:szCs w:val="22"/>
        </w:rPr>
        <w:t>supporting the learning of student with disabilities</w:t>
      </w:r>
      <w:r w:rsidR="00221415">
        <w:rPr>
          <w:rFonts w:asciiTheme="majorHAnsi" w:hAnsiTheme="majorHAnsi" w:cstheme="majorHAnsi"/>
          <w:sz w:val="22"/>
          <w:szCs w:val="22"/>
        </w:rPr>
        <w:t>,</w:t>
      </w:r>
      <w:r w:rsidR="00AB64BD">
        <w:rPr>
          <w:rFonts w:asciiTheme="majorHAnsi" w:hAnsiTheme="majorHAnsi" w:cstheme="majorHAnsi"/>
          <w:sz w:val="22"/>
          <w:szCs w:val="22"/>
        </w:rPr>
        <w:t xml:space="preserve"> and </w:t>
      </w:r>
      <w:r w:rsidR="005D49FA">
        <w:rPr>
          <w:rFonts w:asciiTheme="majorHAnsi" w:hAnsiTheme="majorHAnsi" w:cstheme="majorHAnsi"/>
          <w:sz w:val="22"/>
          <w:szCs w:val="22"/>
        </w:rPr>
        <w:t xml:space="preserve">broker </w:t>
      </w:r>
      <w:r w:rsidR="00AB64BD">
        <w:rPr>
          <w:rFonts w:asciiTheme="majorHAnsi" w:hAnsiTheme="majorHAnsi" w:cstheme="majorHAnsi"/>
          <w:sz w:val="22"/>
          <w:szCs w:val="22"/>
        </w:rPr>
        <w:t xml:space="preserve">outreach to the </w:t>
      </w:r>
      <w:r w:rsidR="001B683F">
        <w:rPr>
          <w:rFonts w:asciiTheme="majorHAnsi" w:hAnsiTheme="majorHAnsi" w:cstheme="majorHAnsi"/>
          <w:sz w:val="22"/>
          <w:szCs w:val="22"/>
        </w:rPr>
        <w:t>disability hub (</w:t>
      </w:r>
      <w:r w:rsidR="00D615F4">
        <w:rPr>
          <w:rFonts w:asciiTheme="majorHAnsi" w:hAnsiTheme="majorHAnsi" w:cstheme="majorHAnsi"/>
          <w:sz w:val="22"/>
          <w:szCs w:val="22"/>
        </w:rPr>
        <w:t>ULD</w:t>
      </w:r>
      <w:r w:rsidR="001B683F">
        <w:rPr>
          <w:rFonts w:asciiTheme="majorHAnsi" w:hAnsiTheme="majorHAnsi" w:cstheme="majorHAnsi"/>
          <w:sz w:val="22"/>
          <w:szCs w:val="22"/>
        </w:rPr>
        <w:t>)</w:t>
      </w:r>
      <w:r w:rsidR="00D615F4">
        <w:rPr>
          <w:rFonts w:asciiTheme="majorHAnsi" w:hAnsiTheme="majorHAnsi" w:cstheme="majorHAnsi"/>
          <w:sz w:val="22"/>
          <w:szCs w:val="22"/>
        </w:rPr>
        <w:t xml:space="preserve"> </w:t>
      </w:r>
      <w:r w:rsidR="00AB64BD">
        <w:rPr>
          <w:rFonts w:asciiTheme="majorHAnsi" w:hAnsiTheme="majorHAnsi" w:cstheme="majorHAnsi"/>
          <w:sz w:val="22"/>
          <w:szCs w:val="22"/>
        </w:rPr>
        <w:t xml:space="preserve">facilitators in districts whose capacities for teacher professional development will </w:t>
      </w:r>
      <w:r w:rsidR="00D615F4">
        <w:rPr>
          <w:rFonts w:asciiTheme="majorHAnsi" w:hAnsiTheme="majorHAnsi" w:cstheme="majorHAnsi"/>
          <w:sz w:val="22"/>
          <w:szCs w:val="22"/>
        </w:rPr>
        <w:t xml:space="preserve">be </w:t>
      </w:r>
      <w:r w:rsidR="00AB64BD">
        <w:rPr>
          <w:rFonts w:asciiTheme="majorHAnsi" w:hAnsiTheme="majorHAnsi" w:cstheme="majorHAnsi"/>
          <w:sz w:val="22"/>
          <w:szCs w:val="22"/>
        </w:rPr>
        <w:t>support</w:t>
      </w:r>
      <w:r w:rsidR="00D615F4">
        <w:rPr>
          <w:rFonts w:asciiTheme="majorHAnsi" w:hAnsiTheme="majorHAnsi" w:cstheme="majorHAnsi"/>
          <w:sz w:val="22"/>
          <w:szCs w:val="22"/>
        </w:rPr>
        <w:t>ed</w:t>
      </w:r>
      <w:r w:rsidR="00AB64BD">
        <w:rPr>
          <w:rFonts w:asciiTheme="majorHAnsi" w:hAnsiTheme="majorHAnsi" w:cstheme="majorHAnsi"/>
          <w:sz w:val="22"/>
          <w:szCs w:val="22"/>
        </w:rPr>
        <w:t xml:space="preserve">.  </w:t>
      </w:r>
    </w:p>
    <w:p w14:paraId="5EDD4491" w14:textId="4E5F88CF" w:rsidR="00EC1345" w:rsidRPr="00974377" w:rsidRDefault="005D49FA" w:rsidP="00EC2D8E">
      <w:pPr>
        <w:pStyle w:val="BodyText"/>
        <w:spacing w:after="120" w:line="281" w:lineRule="auto"/>
        <w:rPr>
          <w:rFonts w:asciiTheme="majorHAnsi" w:hAnsiTheme="majorHAnsi" w:cstheme="majorHAnsi"/>
          <w:sz w:val="22"/>
          <w:szCs w:val="22"/>
        </w:rPr>
      </w:pPr>
      <w:r>
        <w:rPr>
          <w:rFonts w:asciiTheme="majorHAnsi" w:hAnsiTheme="majorHAnsi" w:cstheme="majorHAnsi"/>
          <w:sz w:val="22"/>
          <w:szCs w:val="22"/>
        </w:rPr>
        <w:t xml:space="preserve">A key role for the program will be </w:t>
      </w:r>
      <w:r w:rsidR="00D615F4">
        <w:rPr>
          <w:rFonts w:asciiTheme="majorHAnsi" w:hAnsiTheme="majorHAnsi" w:cstheme="majorHAnsi"/>
          <w:sz w:val="22"/>
          <w:szCs w:val="22"/>
        </w:rPr>
        <w:t>to support the development of constructive and effective relationships between</w:t>
      </w:r>
      <w:r>
        <w:rPr>
          <w:rFonts w:asciiTheme="majorHAnsi" w:hAnsiTheme="majorHAnsi" w:cstheme="majorHAnsi"/>
          <w:sz w:val="22"/>
          <w:szCs w:val="22"/>
        </w:rPr>
        <w:t xml:space="preserve"> the </w:t>
      </w:r>
      <w:proofErr w:type="spellStart"/>
      <w:r w:rsidRPr="004533F4">
        <w:rPr>
          <w:rFonts w:asciiTheme="majorHAnsi" w:hAnsiTheme="majorHAnsi" w:cstheme="majorHAnsi"/>
          <w:i/>
          <w:iCs/>
          <w:sz w:val="22"/>
          <w:szCs w:val="22"/>
        </w:rPr>
        <w:t>sekolah</w:t>
      </w:r>
      <w:proofErr w:type="spellEnd"/>
      <w:r w:rsidRPr="004533F4">
        <w:rPr>
          <w:rFonts w:asciiTheme="majorHAnsi" w:hAnsiTheme="majorHAnsi" w:cstheme="majorHAnsi"/>
          <w:i/>
          <w:iCs/>
          <w:sz w:val="22"/>
          <w:szCs w:val="22"/>
        </w:rPr>
        <w:t xml:space="preserve"> </w:t>
      </w:r>
      <w:proofErr w:type="spellStart"/>
      <w:r w:rsidRPr="004533F4">
        <w:rPr>
          <w:rFonts w:asciiTheme="majorHAnsi" w:hAnsiTheme="majorHAnsi" w:cstheme="majorHAnsi"/>
          <w:i/>
          <w:iCs/>
          <w:sz w:val="22"/>
          <w:szCs w:val="22"/>
        </w:rPr>
        <w:t>penggerak</w:t>
      </w:r>
      <w:proofErr w:type="spellEnd"/>
      <w:r>
        <w:rPr>
          <w:rFonts w:asciiTheme="majorHAnsi" w:hAnsiTheme="majorHAnsi" w:cstheme="majorHAnsi"/>
          <w:sz w:val="22"/>
          <w:szCs w:val="22"/>
        </w:rPr>
        <w:t xml:space="preserve"> and learning communities </w:t>
      </w:r>
      <w:r w:rsidR="00D615F4">
        <w:rPr>
          <w:rFonts w:asciiTheme="majorHAnsi" w:hAnsiTheme="majorHAnsi" w:cstheme="majorHAnsi"/>
          <w:sz w:val="22"/>
          <w:szCs w:val="22"/>
        </w:rPr>
        <w:t>and</w:t>
      </w:r>
      <w:r>
        <w:rPr>
          <w:rFonts w:asciiTheme="majorHAnsi" w:hAnsiTheme="majorHAnsi" w:cstheme="majorHAnsi"/>
          <w:sz w:val="22"/>
          <w:szCs w:val="22"/>
        </w:rPr>
        <w:t xml:space="preserve"> district authorit</w:t>
      </w:r>
      <w:r w:rsidR="00D615F4">
        <w:rPr>
          <w:rFonts w:asciiTheme="majorHAnsi" w:hAnsiTheme="majorHAnsi" w:cstheme="majorHAnsi"/>
          <w:sz w:val="22"/>
          <w:szCs w:val="22"/>
        </w:rPr>
        <w:t>ies</w:t>
      </w:r>
      <w:r>
        <w:rPr>
          <w:rFonts w:asciiTheme="majorHAnsi" w:hAnsiTheme="majorHAnsi" w:cstheme="majorHAnsi"/>
          <w:sz w:val="22"/>
          <w:szCs w:val="22"/>
        </w:rPr>
        <w:t>, so that they are seen and used as</w:t>
      </w:r>
      <w:r w:rsidR="00D8397C">
        <w:rPr>
          <w:rFonts w:asciiTheme="majorHAnsi" w:hAnsiTheme="majorHAnsi" w:cstheme="majorHAnsi"/>
          <w:sz w:val="22"/>
          <w:szCs w:val="22"/>
        </w:rPr>
        <w:t xml:space="preserve"> the district’s</w:t>
      </w:r>
      <w:r>
        <w:rPr>
          <w:rFonts w:asciiTheme="majorHAnsi" w:hAnsiTheme="majorHAnsi" w:cstheme="majorHAnsi"/>
          <w:sz w:val="22"/>
          <w:szCs w:val="22"/>
        </w:rPr>
        <w:t xml:space="preserve"> front-line </w:t>
      </w:r>
      <w:r w:rsidR="00D8397C">
        <w:rPr>
          <w:rFonts w:asciiTheme="majorHAnsi" w:hAnsiTheme="majorHAnsi" w:cstheme="majorHAnsi"/>
          <w:sz w:val="22"/>
          <w:szCs w:val="22"/>
        </w:rPr>
        <w:t xml:space="preserve">agents </w:t>
      </w:r>
      <w:r w:rsidR="003C237C">
        <w:rPr>
          <w:rFonts w:asciiTheme="majorHAnsi" w:hAnsiTheme="majorHAnsi" w:cstheme="majorHAnsi"/>
          <w:sz w:val="22"/>
          <w:szCs w:val="22"/>
        </w:rPr>
        <w:t>in improving the</w:t>
      </w:r>
      <w:r w:rsidR="00D8397C">
        <w:rPr>
          <w:rFonts w:asciiTheme="majorHAnsi" w:hAnsiTheme="majorHAnsi" w:cstheme="majorHAnsi"/>
          <w:sz w:val="22"/>
          <w:szCs w:val="22"/>
        </w:rPr>
        <w:t xml:space="preserve"> quality of </w:t>
      </w:r>
      <w:r w:rsidR="003C237C">
        <w:rPr>
          <w:rFonts w:asciiTheme="majorHAnsi" w:hAnsiTheme="majorHAnsi" w:cstheme="majorHAnsi"/>
          <w:sz w:val="22"/>
          <w:szCs w:val="22"/>
        </w:rPr>
        <w:t xml:space="preserve">education </w:t>
      </w:r>
      <w:r w:rsidR="00D615F4">
        <w:rPr>
          <w:rFonts w:asciiTheme="majorHAnsi" w:hAnsiTheme="majorHAnsi" w:cstheme="majorHAnsi"/>
          <w:sz w:val="22"/>
          <w:szCs w:val="22"/>
        </w:rPr>
        <w:t>service delivery</w:t>
      </w:r>
      <w:r w:rsidR="00A35F3B">
        <w:rPr>
          <w:rFonts w:asciiTheme="majorHAnsi" w:hAnsiTheme="majorHAnsi" w:cstheme="majorHAnsi"/>
          <w:sz w:val="22"/>
          <w:szCs w:val="22"/>
        </w:rPr>
        <w:t>.</w:t>
      </w:r>
    </w:p>
    <w:p w14:paraId="5F5F4638" w14:textId="77777777" w:rsidR="00B56410" w:rsidRDefault="00B56410" w:rsidP="00EC2D8E">
      <w:pPr>
        <w:spacing w:after="120" w:line="281" w:lineRule="auto"/>
        <w:rPr>
          <w:rFonts w:asciiTheme="majorHAnsi" w:hAnsiTheme="majorHAnsi" w:cstheme="majorHAnsi"/>
          <w:b/>
          <w:bCs/>
          <w:i/>
          <w:iCs/>
          <w:sz w:val="22"/>
          <w:szCs w:val="22"/>
        </w:rPr>
      </w:pPr>
    </w:p>
    <w:p w14:paraId="6F81C7FD" w14:textId="08D14561" w:rsidR="00B56410" w:rsidRPr="00B56410" w:rsidRDefault="00B56410" w:rsidP="00EC2D8E">
      <w:pPr>
        <w:spacing w:after="120" w:line="281" w:lineRule="auto"/>
        <w:rPr>
          <w:rFonts w:asciiTheme="majorHAnsi" w:hAnsiTheme="majorHAnsi" w:cstheme="majorHAnsi"/>
          <w:b/>
          <w:bCs/>
          <w:i/>
          <w:iCs/>
          <w:sz w:val="22"/>
          <w:szCs w:val="22"/>
        </w:rPr>
      </w:pPr>
      <w:r w:rsidRPr="00B56410">
        <w:rPr>
          <w:rFonts w:asciiTheme="majorHAnsi" w:hAnsiTheme="majorHAnsi" w:cstheme="majorHAnsi"/>
          <w:b/>
          <w:bCs/>
          <w:i/>
          <w:iCs/>
          <w:sz w:val="22"/>
          <w:szCs w:val="22"/>
        </w:rPr>
        <w:t xml:space="preserve">IO4 - Improved policies and practices for women leadership, boys’ </w:t>
      </w:r>
      <w:proofErr w:type="gramStart"/>
      <w:r w:rsidRPr="00B56410">
        <w:rPr>
          <w:rFonts w:asciiTheme="majorHAnsi" w:hAnsiTheme="majorHAnsi" w:cstheme="majorHAnsi"/>
          <w:b/>
          <w:bCs/>
          <w:i/>
          <w:iCs/>
          <w:sz w:val="22"/>
          <w:szCs w:val="22"/>
        </w:rPr>
        <w:t>engagement</w:t>
      </w:r>
      <w:proofErr w:type="gramEnd"/>
      <w:r w:rsidRPr="00B56410">
        <w:rPr>
          <w:rFonts w:asciiTheme="majorHAnsi" w:hAnsiTheme="majorHAnsi" w:cstheme="majorHAnsi"/>
          <w:b/>
          <w:bCs/>
          <w:i/>
          <w:iCs/>
          <w:sz w:val="22"/>
          <w:szCs w:val="22"/>
        </w:rPr>
        <w:t xml:space="preserve"> and girls’ well-being in targeted districts.</w:t>
      </w:r>
    </w:p>
    <w:p w14:paraId="71EBCA40" w14:textId="60D53C93" w:rsidR="00B018C7" w:rsidRDefault="00B018C7" w:rsidP="00EC2D8E">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This IO targets gender equality and focuses the program’s effort on three </w:t>
      </w:r>
      <w:r>
        <w:rPr>
          <w:rFonts w:asciiTheme="majorHAnsi" w:hAnsiTheme="majorHAnsi" w:cstheme="majorHAnsi"/>
          <w:sz w:val="22"/>
          <w:szCs w:val="22"/>
        </w:rPr>
        <w:t>targeted</w:t>
      </w:r>
      <w:r w:rsidRPr="00974377">
        <w:rPr>
          <w:rFonts w:asciiTheme="majorHAnsi" w:hAnsiTheme="majorHAnsi" w:cstheme="majorHAnsi"/>
          <w:sz w:val="22"/>
          <w:szCs w:val="22"/>
        </w:rPr>
        <w:t xml:space="preserve"> issues: 1) enabling women’s </w:t>
      </w:r>
      <w:r>
        <w:rPr>
          <w:rFonts w:asciiTheme="majorHAnsi" w:hAnsiTheme="majorHAnsi" w:cstheme="majorHAnsi"/>
          <w:sz w:val="22"/>
          <w:szCs w:val="22"/>
        </w:rPr>
        <w:t xml:space="preserve">better </w:t>
      </w:r>
      <w:r w:rsidRPr="00974377">
        <w:rPr>
          <w:rFonts w:asciiTheme="majorHAnsi" w:hAnsiTheme="majorHAnsi" w:cstheme="majorHAnsi"/>
          <w:sz w:val="22"/>
          <w:szCs w:val="22"/>
        </w:rPr>
        <w:t>access to positions of leadership in the school/madrasah system</w:t>
      </w:r>
      <w:r>
        <w:rPr>
          <w:rFonts w:asciiTheme="majorHAnsi" w:hAnsiTheme="majorHAnsi" w:cstheme="majorHAnsi"/>
          <w:sz w:val="22"/>
          <w:szCs w:val="22"/>
        </w:rPr>
        <w:t>,</w:t>
      </w:r>
      <w:r w:rsidRPr="00974377">
        <w:rPr>
          <w:rFonts w:asciiTheme="majorHAnsi" w:hAnsiTheme="majorHAnsi" w:cstheme="majorHAnsi"/>
          <w:sz w:val="22"/>
          <w:szCs w:val="22"/>
        </w:rPr>
        <w:t xml:space="preserve"> 2) supporting the </w:t>
      </w:r>
      <w:r w:rsidR="00431ECE">
        <w:rPr>
          <w:rFonts w:asciiTheme="majorHAnsi" w:hAnsiTheme="majorHAnsi" w:cstheme="majorHAnsi"/>
          <w:sz w:val="22"/>
          <w:szCs w:val="22"/>
        </w:rPr>
        <w:t>well-being</w:t>
      </w:r>
      <w:r w:rsidRPr="00974377">
        <w:rPr>
          <w:rFonts w:asciiTheme="majorHAnsi" w:hAnsiTheme="majorHAnsi" w:cstheme="majorHAnsi"/>
          <w:sz w:val="22"/>
          <w:szCs w:val="22"/>
        </w:rPr>
        <w:t xml:space="preserve"> and agency of girl students through development and implementation of school programs addressing harmful norms and practices</w:t>
      </w:r>
      <w:r>
        <w:rPr>
          <w:rFonts w:asciiTheme="majorHAnsi" w:hAnsiTheme="majorHAnsi" w:cstheme="majorHAnsi"/>
          <w:sz w:val="22"/>
          <w:szCs w:val="22"/>
        </w:rPr>
        <w:t>,</w:t>
      </w:r>
      <w:r w:rsidRPr="00974377">
        <w:rPr>
          <w:rFonts w:asciiTheme="majorHAnsi" w:hAnsiTheme="majorHAnsi" w:cstheme="majorHAnsi"/>
          <w:sz w:val="22"/>
          <w:szCs w:val="22"/>
        </w:rPr>
        <w:t xml:space="preserve"> and 3) fostering boys’ engagement with learning through evidence-based approaches to curriculum and teaching better adapted to boys’ learning needs and interests. </w:t>
      </w:r>
      <w:r>
        <w:rPr>
          <w:rFonts w:asciiTheme="majorHAnsi" w:hAnsiTheme="majorHAnsi" w:cstheme="majorHAnsi"/>
          <w:sz w:val="22"/>
          <w:szCs w:val="22"/>
        </w:rPr>
        <w:t>T</w:t>
      </w:r>
      <w:r w:rsidRPr="00974377">
        <w:rPr>
          <w:rFonts w:asciiTheme="majorHAnsi" w:hAnsiTheme="majorHAnsi" w:cstheme="majorHAnsi"/>
          <w:sz w:val="22"/>
          <w:szCs w:val="22"/>
        </w:rPr>
        <w:t xml:space="preserve">he </w:t>
      </w:r>
      <w:r>
        <w:rPr>
          <w:rFonts w:asciiTheme="majorHAnsi" w:hAnsiTheme="majorHAnsi" w:cstheme="majorHAnsi"/>
          <w:sz w:val="22"/>
          <w:szCs w:val="22"/>
        </w:rPr>
        <w:t xml:space="preserve">program’s </w:t>
      </w:r>
      <w:r w:rsidRPr="00974377">
        <w:rPr>
          <w:rFonts w:asciiTheme="majorHAnsi" w:hAnsiTheme="majorHAnsi" w:cstheme="majorHAnsi"/>
          <w:sz w:val="22"/>
          <w:szCs w:val="22"/>
        </w:rPr>
        <w:t xml:space="preserve">approach </w:t>
      </w:r>
      <w:r>
        <w:rPr>
          <w:rFonts w:asciiTheme="majorHAnsi" w:hAnsiTheme="majorHAnsi" w:cstheme="majorHAnsi"/>
          <w:sz w:val="22"/>
          <w:szCs w:val="22"/>
        </w:rPr>
        <w:t>t</w:t>
      </w:r>
      <w:r w:rsidRPr="00974377">
        <w:rPr>
          <w:rFonts w:asciiTheme="majorHAnsi" w:hAnsiTheme="majorHAnsi" w:cstheme="majorHAnsi"/>
          <w:sz w:val="22"/>
          <w:szCs w:val="22"/>
        </w:rPr>
        <w:t xml:space="preserve">o tackle these issues will be </w:t>
      </w:r>
      <w:r>
        <w:rPr>
          <w:rFonts w:asciiTheme="majorHAnsi" w:hAnsiTheme="majorHAnsi" w:cstheme="majorHAnsi"/>
          <w:sz w:val="22"/>
          <w:szCs w:val="22"/>
        </w:rPr>
        <w:t>articulated in</w:t>
      </w:r>
      <w:r w:rsidRPr="00974377">
        <w:rPr>
          <w:rFonts w:asciiTheme="majorHAnsi" w:hAnsiTheme="majorHAnsi" w:cstheme="majorHAnsi"/>
          <w:sz w:val="22"/>
          <w:szCs w:val="22"/>
        </w:rPr>
        <w:t xml:space="preserve"> a </w:t>
      </w:r>
      <w:r w:rsidR="00693F7C" w:rsidRPr="00974377">
        <w:rPr>
          <w:rFonts w:asciiTheme="majorHAnsi" w:hAnsiTheme="majorHAnsi" w:cstheme="majorHAnsi"/>
          <w:sz w:val="22"/>
          <w:szCs w:val="22"/>
        </w:rPr>
        <w:t>program wide</w:t>
      </w:r>
      <w:r w:rsidRPr="00974377">
        <w:rPr>
          <w:rFonts w:asciiTheme="majorHAnsi" w:hAnsiTheme="majorHAnsi" w:cstheme="majorHAnsi"/>
          <w:sz w:val="22"/>
          <w:szCs w:val="22"/>
        </w:rPr>
        <w:t xml:space="preserve"> GEDSI strategy (see Section G) and </w:t>
      </w:r>
      <w:r>
        <w:rPr>
          <w:rFonts w:asciiTheme="majorHAnsi" w:hAnsiTheme="majorHAnsi" w:cstheme="majorHAnsi"/>
          <w:sz w:val="22"/>
          <w:szCs w:val="22"/>
        </w:rPr>
        <w:t>i</w:t>
      </w:r>
      <w:r w:rsidRPr="00974377">
        <w:rPr>
          <w:rFonts w:asciiTheme="majorHAnsi" w:hAnsiTheme="majorHAnsi" w:cstheme="majorHAnsi"/>
          <w:sz w:val="22"/>
          <w:szCs w:val="22"/>
        </w:rPr>
        <w:t>n individual GEDSI strategies for district ecosystems</w:t>
      </w:r>
      <w:r>
        <w:rPr>
          <w:rFonts w:asciiTheme="majorHAnsi" w:hAnsiTheme="majorHAnsi" w:cstheme="majorHAnsi"/>
          <w:sz w:val="22"/>
          <w:szCs w:val="22"/>
        </w:rPr>
        <w:t xml:space="preserve">. </w:t>
      </w:r>
    </w:p>
    <w:p w14:paraId="06D301FB" w14:textId="0383734E" w:rsidR="00B018C7" w:rsidRDefault="00D352D4" w:rsidP="00EC2D8E">
      <w:pPr>
        <w:spacing w:after="120" w:line="281" w:lineRule="auto"/>
        <w:rPr>
          <w:rFonts w:asciiTheme="majorHAnsi" w:hAnsiTheme="majorHAnsi" w:cstheme="majorHAnsi"/>
          <w:sz w:val="22"/>
          <w:szCs w:val="22"/>
        </w:rPr>
      </w:pPr>
      <w:r>
        <w:rPr>
          <w:rFonts w:asciiTheme="majorHAnsi" w:hAnsiTheme="majorHAnsi" w:cstheme="majorHAnsi"/>
          <w:sz w:val="22"/>
          <w:szCs w:val="22"/>
        </w:rPr>
        <w:t>Although t</w:t>
      </w:r>
      <w:r w:rsidR="00B018C7">
        <w:rPr>
          <w:rFonts w:asciiTheme="majorHAnsi" w:hAnsiTheme="majorHAnsi" w:cstheme="majorHAnsi"/>
          <w:sz w:val="22"/>
          <w:szCs w:val="22"/>
        </w:rPr>
        <w:t>wo of the</w:t>
      </w:r>
      <w:r>
        <w:rPr>
          <w:rFonts w:asciiTheme="majorHAnsi" w:hAnsiTheme="majorHAnsi" w:cstheme="majorHAnsi"/>
          <w:sz w:val="22"/>
          <w:szCs w:val="22"/>
        </w:rPr>
        <w:t xml:space="preserve"> three targeted issues </w:t>
      </w:r>
      <w:r w:rsidR="00B018C7">
        <w:rPr>
          <w:rFonts w:asciiTheme="majorHAnsi" w:hAnsiTheme="majorHAnsi" w:cstheme="majorHAnsi"/>
          <w:sz w:val="22"/>
          <w:szCs w:val="22"/>
        </w:rPr>
        <w:t xml:space="preserve">build on initiatives </w:t>
      </w:r>
      <w:r>
        <w:rPr>
          <w:rFonts w:asciiTheme="majorHAnsi" w:hAnsiTheme="majorHAnsi" w:cstheme="majorHAnsi"/>
          <w:sz w:val="22"/>
          <w:szCs w:val="22"/>
        </w:rPr>
        <w:t>from</w:t>
      </w:r>
      <w:r w:rsidR="00B018C7">
        <w:rPr>
          <w:rFonts w:asciiTheme="majorHAnsi" w:hAnsiTheme="majorHAnsi" w:cstheme="majorHAnsi"/>
          <w:sz w:val="22"/>
          <w:szCs w:val="22"/>
        </w:rPr>
        <w:t xml:space="preserve"> INOVASI’s previous phases</w:t>
      </w:r>
      <w:r>
        <w:rPr>
          <w:rFonts w:asciiTheme="majorHAnsi" w:hAnsiTheme="majorHAnsi" w:cstheme="majorHAnsi"/>
          <w:sz w:val="22"/>
          <w:szCs w:val="22"/>
        </w:rPr>
        <w:t xml:space="preserve"> (</w:t>
      </w:r>
      <w:r w:rsidR="00B018C7">
        <w:rPr>
          <w:rFonts w:asciiTheme="majorHAnsi" w:hAnsiTheme="majorHAnsi" w:cstheme="majorHAnsi"/>
          <w:sz w:val="22"/>
          <w:szCs w:val="22"/>
        </w:rPr>
        <w:t>women’s access to school principalship and gender-sensitive schooling</w:t>
      </w:r>
      <w:r>
        <w:rPr>
          <w:rFonts w:asciiTheme="majorHAnsi" w:hAnsiTheme="majorHAnsi" w:cstheme="majorHAnsi"/>
          <w:sz w:val="22"/>
          <w:szCs w:val="22"/>
        </w:rPr>
        <w:t>),</w:t>
      </w:r>
      <w:r w:rsidR="00B018C7">
        <w:rPr>
          <w:rFonts w:asciiTheme="majorHAnsi" w:hAnsiTheme="majorHAnsi" w:cstheme="majorHAnsi"/>
          <w:sz w:val="22"/>
          <w:szCs w:val="22"/>
        </w:rPr>
        <w:t xml:space="preserve"> </w:t>
      </w:r>
      <w:r>
        <w:rPr>
          <w:rFonts w:asciiTheme="majorHAnsi" w:hAnsiTheme="majorHAnsi" w:cstheme="majorHAnsi"/>
          <w:sz w:val="22"/>
          <w:szCs w:val="22"/>
        </w:rPr>
        <w:t>t</w:t>
      </w:r>
      <w:r w:rsidR="00B018C7">
        <w:rPr>
          <w:rFonts w:asciiTheme="majorHAnsi" w:hAnsiTheme="majorHAnsi" w:cstheme="majorHAnsi"/>
          <w:sz w:val="22"/>
          <w:szCs w:val="22"/>
        </w:rPr>
        <w:t xml:space="preserve">he gender </w:t>
      </w:r>
      <w:r>
        <w:rPr>
          <w:rFonts w:asciiTheme="majorHAnsi" w:hAnsiTheme="majorHAnsi" w:cstheme="majorHAnsi"/>
          <w:sz w:val="22"/>
          <w:szCs w:val="22"/>
        </w:rPr>
        <w:t xml:space="preserve">equality </w:t>
      </w:r>
      <w:r w:rsidR="00B018C7">
        <w:rPr>
          <w:rFonts w:asciiTheme="majorHAnsi" w:hAnsiTheme="majorHAnsi" w:cstheme="majorHAnsi"/>
          <w:sz w:val="22"/>
          <w:szCs w:val="22"/>
        </w:rPr>
        <w:t xml:space="preserve">ambition </w:t>
      </w:r>
      <w:r>
        <w:rPr>
          <w:rFonts w:asciiTheme="majorHAnsi" w:hAnsiTheme="majorHAnsi" w:cstheme="majorHAnsi"/>
          <w:sz w:val="22"/>
          <w:szCs w:val="22"/>
        </w:rPr>
        <w:t xml:space="preserve">of </w:t>
      </w:r>
      <w:r w:rsidR="00B018C7">
        <w:rPr>
          <w:rFonts w:asciiTheme="majorHAnsi" w:hAnsiTheme="majorHAnsi" w:cstheme="majorHAnsi"/>
          <w:sz w:val="22"/>
          <w:szCs w:val="22"/>
        </w:rPr>
        <w:t xml:space="preserve">INOVASI </w:t>
      </w:r>
      <w:r>
        <w:rPr>
          <w:rFonts w:asciiTheme="majorHAnsi" w:hAnsiTheme="majorHAnsi" w:cstheme="majorHAnsi"/>
          <w:sz w:val="22"/>
          <w:szCs w:val="22"/>
        </w:rPr>
        <w:t xml:space="preserve">Phase </w:t>
      </w:r>
      <w:r w:rsidR="00B018C7">
        <w:rPr>
          <w:rFonts w:asciiTheme="majorHAnsi" w:hAnsiTheme="majorHAnsi" w:cstheme="majorHAnsi"/>
          <w:sz w:val="22"/>
          <w:szCs w:val="22"/>
        </w:rPr>
        <w:t xml:space="preserve">3 is more focussed on gender empowerment. </w:t>
      </w:r>
      <w:r w:rsidR="00F14CB5">
        <w:rPr>
          <w:rFonts w:asciiTheme="majorHAnsi" w:hAnsiTheme="majorHAnsi" w:cstheme="majorHAnsi"/>
          <w:sz w:val="22"/>
          <w:szCs w:val="22"/>
        </w:rPr>
        <w:t>Addressing</w:t>
      </w:r>
      <w:r w:rsidR="00B018C7">
        <w:rPr>
          <w:rFonts w:asciiTheme="majorHAnsi" w:hAnsiTheme="majorHAnsi" w:cstheme="majorHAnsi"/>
          <w:sz w:val="22"/>
          <w:szCs w:val="22"/>
        </w:rPr>
        <w:t xml:space="preserve"> </w:t>
      </w:r>
      <w:r w:rsidR="00F14CB5">
        <w:rPr>
          <w:rFonts w:asciiTheme="majorHAnsi" w:hAnsiTheme="majorHAnsi" w:cstheme="majorHAnsi"/>
          <w:sz w:val="22"/>
          <w:szCs w:val="22"/>
        </w:rPr>
        <w:t xml:space="preserve">girls’ </w:t>
      </w:r>
      <w:r w:rsidR="00B018C7">
        <w:rPr>
          <w:rFonts w:asciiTheme="majorHAnsi" w:hAnsiTheme="majorHAnsi" w:cstheme="majorHAnsi"/>
          <w:sz w:val="22"/>
          <w:szCs w:val="22"/>
        </w:rPr>
        <w:t>well</w:t>
      </w:r>
      <w:r>
        <w:rPr>
          <w:rFonts w:asciiTheme="majorHAnsi" w:hAnsiTheme="majorHAnsi" w:cstheme="majorHAnsi"/>
          <w:sz w:val="22"/>
          <w:szCs w:val="22"/>
        </w:rPr>
        <w:t>-</w:t>
      </w:r>
      <w:r w:rsidR="00B018C7">
        <w:rPr>
          <w:rFonts w:asciiTheme="majorHAnsi" w:hAnsiTheme="majorHAnsi" w:cstheme="majorHAnsi"/>
          <w:sz w:val="22"/>
          <w:szCs w:val="22"/>
        </w:rPr>
        <w:t>being and agency in schools</w:t>
      </w:r>
      <w:r w:rsidR="00F14CB5">
        <w:rPr>
          <w:rFonts w:asciiTheme="majorHAnsi" w:hAnsiTheme="majorHAnsi" w:cstheme="majorHAnsi"/>
          <w:sz w:val="22"/>
          <w:szCs w:val="22"/>
        </w:rPr>
        <w:t xml:space="preserve"> will go </w:t>
      </w:r>
      <w:r w:rsidR="00B018C7">
        <w:rPr>
          <w:rFonts w:asciiTheme="majorHAnsi" w:hAnsiTheme="majorHAnsi" w:cstheme="majorHAnsi"/>
          <w:sz w:val="22"/>
          <w:szCs w:val="22"/>
        </w:rPr>
        <w:t xml:space="preserve">beyond identifying stereotypes, to target </w:t>
      </w:r>
      <w:r w:rsidR="00AE1964">
        <w:rPr>
          <w:rFonts w:asciiTheme="majorHAnsi" w:hAnsiTheme="majorHAnsi" w:cstheme="majorHAnsi"/>
          <w:sz w:val="22"/>
          <w:szCs w:val="22"/>
        </w:rPr>
        <w:t>gender-based</w:t>
      </w:r>
      <w:r w:rsidR="00B018C7">
        <w:rPr>
          <w:rFonts w:asciiTheme="majorHAnsi" w:hAnsiTheme="majorHAnsi" w:cstheme="majorHAnsi"/>
          <w:sz w:val="22"/>
          <w:szCs w:val="22"/>
        </w:rPr>
        <w:t xml:space="preserve"> bullying, sexual harassment</w:t>
      </w:r>
      <w:r w:rsidR="00197CE6">
        <w:rPr>
          <w:rFonts w:asciiTheme="majorHAnsi" w:hAnsiTheme="majorHAnsi" w:cstheme="majorHAnsi"/>
          <w:sz w:val="22"/>
          <w:szCs w:val="22"/>
        </w:rPr>
        <w:t>,</w:t>
      </w:r>
      <w:r w:rsidR="00B018C7">
        <w:rPr>
          <w:rFonts w:asciiTheme="majorHAnsi" w:hAnsiTheme="majorHAnsi" w:cstheme="majorHAnsi"/>
          <w:sz w:val="22"/>
          <w:szCs w:val="22"/>
        </w:rPr>
        <w:t xml:space="preserve"> and violen</w:t>
      </w:r>
      <w:r w:rsidR="00F14CB5">
        <w:rPr>
          <w:rFonts w:asciiTheme="majorHAnsi" w:hAnsiTheme="majorHAnsi" w:cstheme="majorHAnsi"/>
          <w:sz w:val="22"/>
          <w:szCs w:val="22"/>
        </w:rPr>
        <w:t>ce</w:t>
      </w:r>
      <w:r w:rsidR="00B018C7">
        <w:rPr>
          <w:rFonts w:asciiTheme="majorHAnsi" w:hAnsiTheme="majorHAnsi" w:cstheme="majorHAnsi"/>
          <w:sz w:val="22"/>
          <w:szCs w:val="22"/>
        </w:rPr>
        <w:t xml:space="preserve">, and </w:t>
      </w:r>
      <w:r w:rsidR="00F14CB5">
        <w:rPr>
          <w:rFonts w:asciiTheme="majorHAnsi" w:hAnsiTheme="majorHAnsi" w:cstheme="majorHAnsi"/>
          <w:sz w:val="22"/>
          <w:szCs w:val="22"/>
        </w:rPr>
        <w:t>countering the vulnerability</w:t>
      </w:r>
      <w:r w:rsidR="00B018C7">
        <w:rPr>
          <w:rFonts w:asciiTheme="majorHAnsi" w:hAnsiTheme="majorHAnsi" w:cstheme="majorHAnsi"/>
          <w:sz w:val="22"/>
          <w:szCs w:val="22"/>
        </w:rPr>
        <w:t xml:space="preserve"> of girls to influence that can result in child marriage. </w:t>
      </w:r>
      <w:r w:rsidR="00F14CB5">
        <w:rPr>
          <w:rFonts w:asciiTheme="majorHAnsi" w:hAnsiTheme="majorHAnsi" w:cstheme="majorHAnsi"/>
          <w:sz w:val="22"/>
          <w:szCs w:val="22"/>
        </w:rPr>
        <w:t>To challenge</w:t>
      </w:r>
      <w:r w:rsidR="00B018C7">
        <w:rPr>
          <w:rFonts w:asciiTheme="majorHAnsi" w:hAnsiTheme="majorHAnsi" w:cstheme="majorHAnsi"/>
          <w:sz w:val="22"/>
          <w:szCs w:val="22"/>
        </w:rPr>
        <w:t xml:space="preserve"> the root of these issues</w:t>
      </w:r>
      <w:r w:rsidR="00F14CB5">
        <w:rPr>
          <w:rFonts w:asciiTheme="majorHAnsi" w:hAnsiTheme="majorHAnsi" w:cstheme="majorHAnsi"/>
          <w:sz w:val="22"/>
          <w:szCs w:val="22"/>
        </w:rPr>
        <w:t>, the program’s approach will</w:t>
      </w:r>
      <w:r w:rsidR="00B018C7">
        <w:rPr>
          <w:rFonts w:asciiTheme="majorHAnsi" w:hAnsiTheme="majorHAnsi" w:cstheme="majorHAnsi"/>
          <w:sz w:val="22"/>
          <w:szCs w:val="22"/>
        </w:rPr>
        <w:t xml:space="preserve"> </w:t>
      </w:r>
      <w:r w:rsidR="00F14CB5">
        <w:rPr>
          <w:rFonts w:asciiTheme="majorHAnsi" w:hAnsiTheme="majorHAnsi" w:cstheme="majorHAnsi"/>
          <w:sz w:val="22"/>
          <w:szCs w:val="22"/>
        </w:rPr>
        <w:t>tackle</w:t>
      </w:r>
      <w:r w:rsidR="00B018C7">
        <w:rPr>
          <w:rFonts w:asciiTheme="majorHAnsi" w:hAnsiTheme="majorHAnsi" w:cstheme="majorHAnsi"/>
          <w:sz w:val="22"/>
          <w:szCs w:val="22"/>
        </w:rPr>
        <w:t xml:space="preserve"> the underlying influence of gender norms that result in </w:t>
      </w:r>
      <w:r w:rsidR="00F14CB5">
        <w:rPr>
          <w:rFonts w:asciiTheme="majorHAnsi" w:hAnsiTheme="majorHAnsi" w:cstheme="majorHAnsi"/>
          <w:sz w:val="22"/>
          <w:szCs w:val="22"/>
        </w:rPr>
        <w:t>diminishing</w:t>
      </w:r>
      <w:r w:rsidR="00B018C7">
        <w:rPr>
          <w:rFonts w:asciiTheme="majorHAnsi" w:hAnsiTheme="majorHAnsi" w:cstheme="majorHAnsi"/>
          <w:sz w:val="22"/>
          <w:szCs w:val="22"/>
        </w:rPr>
        <w:t xml:space="preserve">, </w:t>
      </w:r>
      <w:r w:rsidR="00F14CB5">
        <w:rPr>
          <w:rFonts w:asciiTheme="majorHAnsi" w:hAnsiTheme="majorHAnsi" w:cstheme="majorHAnsi"/>
          <w:sz w:val="22"/>
          <w:szCs w:val="22"/>
        </w:rPr>
        <w:t xml:space="preserve">ostracising, </w:t>
      </w:r>
      <w:r w:rsidR="00B018C7">
        <w:rPr>
          <w:rFonts w:asciiTheme="majorHAnsi" w:hAnsiTheme="majorHAnsi" w:cstheme="majorHAnsi"/>
          <w:sz w:val="22"/>
          <w:szCs w:val="22"/>
        </w:rPr>
        <w:t xml:space="preserve">constraining and harmful behaviours towards women and girls. </w:t>
      </w:r>
      <w:r w:rsidR="00F14CB5">
        <w:rPr>
          <w:rFonts w:asciiTheme="majorHAnsi" w:hAnsiTheme="majorHAnsi" w:cstheme="majorHAnsi"/>
          <w:sz w:val="22"/>
          <w:szCs w:val="22"/>
        </w:rPr>
        <w:t>G</w:t>
      </w:r>
      <w:r w:rsidR="00B018C7">
        <w:rPr>
          <w:rFonts w:asciiTheme="majorHAnsi" w:hAnsiTheme="majorHAnsi" w:cstheme="majorHAnsi"/>
          <w:sz w:val="22"/>
          <w:szCs w:val="22"/>
        </w:rPr>
        <w:t>ender CSOs and OPD</w:t>
      </w:r>
      <w:r w:rsidR="00187339">
        <w:rPr>
          <w:rFonts w:asciiTheme="majorHAnsi" w:hAnsiTheme="majorHAnsi" w:cstheme="majorHAnsi"/>
          <w:sz w:val="22"/>
          <w:szCs w:val="22"/>
        </w:rPr>
        <w:t>s</w:t>
      </w:r>
      <w:r w:rsidR="00B018C7">
        <w:rPr>
          <w:rFonts w:asciiTheme="majorHAnsi" w:hAnsiTheme="majorHAnsi" w:cstheme="majorHAnsi"/>
          <w:sz w:val="22"/>
          <w:szCs w:val="22"/>
        </w:rPr>
        <w:t xml:space="preserve"> </w:t>
      </w:r>
      <w:r w:rsidR="00F14CB5">
        <w:rPr>
          <w:rFonts w:asciiTheme="majorHAnsi" w:hAnsiTheme="majorHAnsi" w:cstheme="majorHAnsi"/>
          <w:sz w:val="22"/>
          <w:szCs w:val="22"/>
        </w:rPr>
        <w:t xml:space="preserve">will </w:t>
      </w:r>
      <w:r w:rsidR="00B018C7">
        <w:rPr>
          <w:rFonts w:asciiTheme="majorHAnsi" w:hAnsiTheme="majorHAnsi" w:cstheme="majorHAnsi"/>
          <w:sz w:val="22"/>
          <w:szCs w:val="22"/>
        </w:rPr>
        <w:t xml:space="preserve">have a large profile </w:t>
      </w:r>
      <w:r w:rsidR="00F14CB5">
        <w:rPr>
          <w:rFonts w:asciiTheme="majorHAnsi" w:hAnsiTheme="majorHAnsi" w:cstheme="majorHAnsi"/>
          <w:sz w:val="22"/>
          <w:szCs w:val="22"/>
        </w:rPr>
        <w:t xml:space="preserve">and role </w:t>
      </w:r>
      <w:r w:rsidR="00B018C7">
        <w:rPr>
          <w:rFonts w:asciiTheme="majorHAnsi" w:hAnsiTheme="majorHAnsi" w:cstheme="majorHAnsi"/>
          <w:sz w:val="22"/>
          <w:szCs w:val="22"/>
        </w:rPr>
        <w:t>in district ecosystem</w:t>
      </w:r>
      <w:r w:rsidR="00F14CB5">
        <w:rPr>
          <w:rFonts w:asciiTheme="majorHAnsi" w:hAnsiTheme="majorHAnsi" w:cstheme="majorHAnsi"/>
          <w:sz w:val="22"/>
          <w:szCs w:val="22"/>
        </w:rPr>
        <w:t>s,</w:t>
      </w:r>
      <w:r w:rsidR="00B018C7">
        <w:rPr>
          <w:rFonts w:asciiTheme="majorHAnsi" w:hAnsiTheme="majorHAnsi" w:cstheme="majorHAnsi"/>
          <w:sz w:val="22"/>
          <w:szCs w:val="22"/>
        </w:rPr>
        <w:t xml:space="preserve"> as </w:t>
      </w:r>
      <w:r w:rsidR="00F14CB5">
        <w:rPr>
          <w:rFonts w:asciiTheme="majorHAnsi" w:hAnsiTheme="majorHAnsi" w:cstheme="majorHAnsi"/>
          <w:sz w:val="22"/>
          <w:szCs w:val="22"/>
        </w:rPr>
        <w:t>close</w:t>
      </w:r>
      <w:r w:rsidR="00B018C7">
        <w:rPr>
          <w:rFonts w:asciiTheme="majorHAnsi" w:hAnsiTheme="majorHAnsi" w:cstheme="majorHAnsi"/>
          <w:sz w:val="22"/>
          <w:szCs w:val="22"/>
        </w:rPr>
        <w:t xml:space="preserve"> partners for school</w:t>
      </w:r>
      <w:r w:rsidR="00F14CB5">
        <w:rPr>
          <w:rFonts w:asciiTheme="majorHAnsi" w:hAnsiTheme="majorHAnsi" w:cstheme="majorHAnsi"/>
          <w:sz w:val="22"/>
          <w:szCs w:val="22"/>
        </w:rPr>
        <w:t>s and madrasah</w:t>
      </w:r>
      <w:r w:rsidR="00B018C7">
        <w:rPr>
          <w:rFonts w:asciiTheme="majorHAnsi" w:hAnsiTheme="majorHAnsi" w:cstheme="majorHAnsi"/>
          <w:sz w:val="22"/>
          <w:szCs w:val="22"/>
        </w:rPr>
        <w:t xml:space="preserve"> community</w:t>
      </w:r>
      <w:r w:rsidR="00F14CB5">
        <w:rPr>
          <w:rFonts w:asciiTheme="majorHAnsi" w:hAnsiTheme="majorHAnsi" w:cstheme="majorHAnsi"/>
          <w:sz w:val="22"/>
          <w:szCs w:val="22"/>
        </w:rPr>
        <w:t>,</w:t>
      </w:r>
      <w:r w:rsidR="00B018C7">
        <w:rPr>
          <w:rFonts w:asciiTheme="majorHAnsi" w:hAnsiTheme="majorHAnsi" w:cstheme="majorHAnsi"/>
          <w:sz w:val="22"/>
          <w:szCs w:val="22"/>
        </w:rPr>
        <w:t xml:space="preserve"> </w:t>
      </w:r>
      <w:r w:rsidR="00F14CB5">
        <w:rPr>
          <w:rFonts w:asciiTheme="majorHAnsi" w:hAnsiTheme="majorHAnsi" w:cstheme="majorHAnsi"/>
          <w:sz w:val="22"/>
          <w:szCs w:val="22"/>
        </w:rPr>
        <w:t>to</w:t>
      </w:r>
      <w:r w:rsidR="00B018C7">
        <w:rPr>
          <w:rFonts w:asciiTheme="majorHAnsi" w:hAnsiTheme="majorHAnsi" w:cstheme="majorHAnsi"/>
          <w:sz w:val="22"/>
          <w:szCs w:val="22"/>
        </w:rPr>
        <w:t xml:space="preserve"> build sustainable change</w:t>
      </w:r>
      <w:r w:rsidR="00F14CB5">
        <w:rPr>
          <w:rFonts w:asciiTheme="majorHAnsi" w:hAnsiTheme="majorHAnsi" w:cstheme="majorHAnsi"/>
          <w:sz w:val="22"/>
          <w:szCs w:val="22"/>
        </w:rPr>
        <w:t>s</w:t>
      </w:r>
      <w:r w:rsidR="00B018C7">
        <w:rPr>
          <w:rFonts w:asciiTheme="majorHAnsi" w:hAnsiTheme="majorHAnsi" w:cstheme="majorHAnsi"/>
          <w:sz w:val="22"/>
          <w:szCs w:val="22"/>
        </w:rPr>
        <w:t xml:space="preserve"> based on </w:t>
      </w:r>
      <w:r w:rsidR="00F14CB5">
        <w:rPr>
          <w:rFonts w:asciiTheme="majorHAnsi" w:hAnsiTheme="majorHAnsi" w:cstheme="majorHAnsi"/>
          <w:sz w:val="22"/>
          <w:szCs w:val="22"/>
        </w:rPr>
        <w:t>an</w:t>
      </w:r>
      <w:r w:rsidR="00B018C7">
        <w:rPr>
          <w:rFonts w:asciiTheme="majorHAnsi" w:hAnsiTheme="majorHAnsi" w:cstheme="majorHAnsi"/>
          <w:sz w:val="22"/>
          <w:szCs w:val="22"/>
        </w:rPr>
        <w:t xml:space="preserve"> awareness of these influences and on the </w:t>
      </w:r>
      <w:r w:rsidR="00F14CB5">
        <w:rPr>
          <w:rFonts w:asciiTheme="majorHAnsi" w:hAnsiTheme="majorHAnsi" w:cstheme="majorHAnsi"/>
          <w:sz w:val="22"/>
          <w:szCs w:val="22"/>
        </w:rPr>
        <w:t>empowerment</w:t>
      </w:r>
      <w:r w:rsidR="00B018C7">
        <w:rPr>
          <w:rFonts w:asciiTheme="majorHAnsi" w:hAnsiTheme="majorHAnsi" w:cstheme="majorHAnsi"/>
          <w:sz w:val="22"/>
          <w:szCs w:val="22"/>
        </w:rPr>
        <w:t xml:space="preserve"> of girls and boys to combat them</w:t>
      </w:r>
      <w:r w:rsidR="00F14CB5">
        <w:rPr>
          <w:rFonts w:asciiTheme="majorHAnsi" w:hAnsiTheme="majorHAnsi" w:cstheme="majorHAnsi"/>
          <w:sz w:val="22"/>
          <w:szCs w:val="22"/>
        </w:rPr>
        <w:t xml:space="preserve"> (see</w:t>
      </w:r>
      <w:r w:rsidR="00B018C7">
        <w:rPr>
          <w:rFonts w:asciiTheme="majorHAnsi" w:hAnsiTheme="majorHAnsi" w:cstheme="majorHAnsi"/>
          <w:sz w:val="22"/>
          <w:szCs w:val="22"/>
        </w:rPr>
        <w:t xml:space="preserve"> indicative suggestions of strategies and gender organisations and OPD</w:t>
      </w:r>
      <w:r w:rsidR="00187339">
        <w:rPr>
          <w:rFonts w:asciiTheme="majorHAnsi" w:hAnsiTheme="majorHAnsi" w:cstheme="majorHAnsi"/>
          <w:sz w:val="22"/>
          <w:szCs w:val="22"/>
        </w:rPr>
        <w:t>s</w:t>
      </w:r>
      <w:r w:rsidR="00B018C7">
        <w:rPr>
          <w:rFonts w:asciiTheme="majorHAnsi" w:hAnsiTheme="majorHAnsi" w:cstheme="majorHAnsi"/>
          <w:sz w:val="22"/>
          <w:szCs w:val="22"/>
        </w:rPr>
        <w:t xml:space="preserve"> </w:t>
      </w:r>
      <w:r w:rsidR="00F14CB5">
        <w:rPr>
          <w:rFonts w:asciiTheme="majorHAnsi" w:hAnsiTheme="majorHAnsi" w:cstheme="majorHAnsi"/>
          <w:sz w:val="22"/>
          <w:szCs w:val="22"/>
        </w:rPr>
        <w:t>in Section G)</w:t>
      </w:r>
      <w:r w:rsidR="00B018C7">
        <w:rPr>
          <w:rFonts w:asciiTheme="majorHAnsi" w:hAnsiTheme="majorHAnsi" w:cstheme="majorHAnsi"/>
          <w:sz w:val="22"/>
          <w:szCs w:val="22"/>
        </w:rPr>
        <w:t>. The ecosystem GEDSI strategies</w:t>
      </w:r>
      <w:r w:rsidR="00B018C7" w:rsidRPr="00974377">
        <w:rPr>
          <w:rFonts w:asciiTheme="majorHAnsi" w:hAnsiTheme="majorHAnsi" w:cstheme="majorHAnsi"/>
          <w:sz w:val="22"/>
          <w:szCs w:val="22"/>
        </w:rPr>
        <w:t xml:space="preserve"> will tease out how </w:t>
      </w:r>
      <w:r w:rsidR="00B018C7">
        <w:rPr>
          <w:rFonts w:asciiTheme="majorHAnsi" w:hAnsiTheme="majorHAnsi" w:cstheme="majorHAnsi"/>
          <w:sz w:val="22"/>
          <w:szCs w:val="22"/>
        </w:rPr>
        <w:t xml:space="preserve">these issues </w:t>
      </w:r>
      <w:r w:rsidR="00B018C7" w:rsidRPr="00974377">
        <w:rPr>
          <w:rFonts w:asciiTheme="majorHAnsi" w:hAnsiTheme="majorHAnsi" w:cstheme="majorHAnsi"/>
          <w:sz w:val="22"/>
          <w:szCs w:val="22"/>
        </w:rPr>
        <w:t>will be addressed</w:t>
      </w:r>
      <w:r w:rsidR="00B018C7">
        <w:rPr>
          <w:rFonts w:asciiTheme="majorHAnsi" w:hAnsiTheme="majorHAnsi" w:cstheme="majorHAnsi"/>
          <w:sz w:val="22"/>
          <w:szCs w:val="22"/>
        </w:rPr>
        <w:t xml:space="preserve"> by the different districts</w:t>
      </w:r>
      <w:r w:rsidR="00F14CB5">
        <w:rPr>
          <w:rFonts w:asciiTheme="majorHAnsi" w:hAnsiTheme="majorHAnsi" w:cstheme="majorHAnsi"/>
          <w:sz w:val="22"/>
          <w:szCs w:val="22"/>
        </w:rPr>
        <w:t>,</w:t>
      </w:r>
      <w:r w:rsidR="00B018C7">
        <w:rPr>
          <w:rFonts w:asciiTheme="majorHAnsi" w:hAnsiTheme="majorHAnsi" w:cstheme="majorHAnsi"/>
          <w:sz w:val="22"/>
          <w:szCs w:val="22"/>
        </w:rPr>
        <w:t xml:space="preserve"> and </w:t>
      </w:r>
      <w:r w:rsidR="00F14CB5">
        <w:rPr>
          <w:rFonts w:asciiTheme="majorHAnsi" w:hAnsiTheme="majorHAnsi" w:cstheme="majorHAnsi"/>
          <w:sz w:val="22"/>
          <w:szCs w:val="22"/>
        </w:rPr>
        <w:t xml:space="preserve">how </w:t>
      </w:r>
      <w:r w:rsidR="00B018C7">
        <w:rPr>
          <w:rFonts w:asciiTheme="majorHAnsi" w:hAnsiTheme="majorHAnsi" w:cstheme="majorHAnsi"/>
          <w:sz w:val="22"/>
          <w:szCs w:val="22"/>
        </w:rPr>
        <w:t>norm shifts relevant to issues prioritise</w:t>
      </w:r>
      <w:r w:rsidR="00F14CB5">
        <w:rPr>
          <w:rFonts w:asciiTheme="majorHAnsi" w:hAnsiTheme="majorHAnsi" w:cstheme="majorHAnsi"/>
          <w:sz w:val="22"/>
          <w:szCs w:val="22"/>
        </w:rPr>
        <w:t>d</w:t>
      </w:r>
      <w:r w:rsidR="00F14CB5" w:rsidRPr="00F14CB5">
        <w:rPr>
          <w:rFonts w:asciiTheme="majorHAnsi" w:hAnsiTheme="majorHAnsi" w:cstheme="majorHAnsi"/>
          <w:sz w:val="22"/>
          <w:szCs w:val="22"/>
        </w:rPr>
        <w:t xml:space="preserve"> </w:t>
      </w:r>
      <w:r w:rsidR="00F14CB5">
        <w:rPr>
          <w:rFonts w:asciiTheme="majorHAnsi" w:hAnsiTheme="majorHAnsi" w:cstheme="majorHAnsi"/>
          <w:sz w:val="22"/>
          <w:szCs w:val="22"/>
        </w:rPr>
        <w:t>will be monitored</w:t>
      </w:r>
      <w:r w:rsidR="00B018C7" w:rsidRPr="00974377">
        <w:rPr>
          <w:rFonts w:asciiTheme="majorHAnsi" w:hAnsiTheme="majorHAnsi" w:cstheme="majorHAnsi"/>
          <w:sz w:val="22"/>
          <w:szCs w:val="22"/>
        </w:rPr>
        <w:t>.</w:t>
      </w:r>
      <w:r w:rsidR="00B018C7">
        <w:rPr>
          <w:rFonts w:asciiTheme="majorHAnsi" w:hAnsiTheme="majorHAnsi" w:cstheme="majorHAnsi"/>
          <w:sz w:val="22"/>
          <w:szCs w:val="22"/>
        </w:rPr>
        <w:t xml:space="preserve"> </w:t>
      </w:r>
    </w:p>
    <w:p w14:paraId="429084F9" w14:textId="77777777" w:rsidR="006F517B" w:rsidRDefault="006F517B" w:rsidP="006F517B">
      <w:pPr>
        <w:spacing w:after="120" w:line="281" w:lineRule="auto"/>
        <w:rPr>
          <w:rFonts w:asciiTheme="majorHAnsi" w:hAnsiTheme="majorHAnsi" w:cstheme="majorHAnsi"/>
          <w:b/>
          <w:bCs/>
          <w:i/>
          <w:iCs/>
          <w:sz w:val="22"/>
          <w:szCs w:val="22"/>
        </w:rPr>
      </w:pPr>
    </w:p>
    <w:p w14:paraId="2A1BEFC0" w14:textId="4FB0894F" w:rsidR="004B3D56" w:rsidRPr="00EC2D8E" w:rsidRDefault="006F517B" w:rsidP="006F517B">
      <w:pPr>
        <w:spacing w:after="120" w:line="281" w:lineRule="auto"/>
        <w:rPr>
          <w:rFonts w:asciiTheme="majorHAnsi" w:hAnsiTheme="majorHAnsi" w:cstheme="majorHAnsi"/>
          <w:b/>
          <w:bCs/>
          <w:sz w:val="22"/>
          <w:szCs w:val="22"/>
        </w:rPr>
      </w:pPr>
      <w:r w:rsidRPr="006F517B">
        <w:rPr>
          <w:rFonts w:asciiTheme="majorHAnsi" w:hAnsiTheme="majorHAnsi" w:cstheme="majorHAnsi"/>
          <w:b/>
          <w:bCs/>
          <w:i/>
          <w:iCs/>
          <w:sz w:val="22"/>
          <w:szCs w:val="22"/>
        </w:rPr>
        <w:t>IO5 - Improved policies and practices for inclusive climate change mitigation and resilience in targeted districts.</w:t>
      </w:r>
    </w:p>
    <w:p w14:paraId="22C01042" w14:textId="6AC6FD25" w:rsidR="004B3D56" w:rsidRPr="00974377" w:rsidRDefault="004B3D56" w:rsidP="00EC2D8E">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This IO emphasises the need for all segments of society to mitigate the occurrence of climate change and adapt to its impact. </w:t>
      </w:r>
      <w:r w:rsidR="00004F2E">
        <w:rPr>
          <w:rFonts w:asciiTheme="majorHAnsi" w:hAnsiTheme="majorHAnsi" w:cstheme="majorHAnsi"/>
          <w:sz w:val="22"/>
          <w:szCs w:val="22"/>
        </w:rPr>
        <w:t>It also recognises the role that education pla</w:t>
      </w:r>
      <w:r w:rsidR="002D2227">
        <w:rPr>
          <w:rFonts w:asciiTheme="majorHAnsi" w:hAnsiTheme="majorHAnsi" w:cstheme="majorHAnsi"/>
          <w:sz w:val="22"/>
          <w:szCs w:val="22"/>
        </w:rPr>
        <w:t xml:space="preserve">ys </w:t>
      </w:r>
      <w:r w:rsidR="00004F2E">
        <w:rPr>
          <w:rFonts w:asciiTheme="majorHAnsi" w:hAnsiTheme="majorHAnsi" w:cstheme="majorHAnsi"/>
          <w:sz w:val="22"/>
          <w:szCs w:val="22"/>
        </w:rPr>
        <w:t>in mitigating and adapting to the effect</w:t>
      </w:r>
      <w:r w:rsidR="002D2227">
        <w:rPr>
          <w:rFonts w:asciiTheme="majorHAnsi" w:hAnsiTheme="majorHAnsi" w:cstheme="majorHAnsi"/>
          <w:sz w:val="22"/>
          <w:szCs w:val="22"/>
        </w:rPr>
        <w:t>s</w:t>
      </w:r>
      <w:r w:rsidR="00004F2E">
        <w:rPr>
          <w:rFonts w:asciiTheme="majorHAnsi" w:hAnsiTheme="majorHAnsi" w:cstheme="majorHAnsi"/>
          <w:sz w:val="22"/>
          <w:szCs w:val="22"/>
        </w:rPr>
        <w:t xml:space="preserve"> of climate change, over the long term. </w:t>
      </w:r>
      <w:r w:rsidRPr="00974377">
        <w:rPr>
          <w:rFonts w:asciiTheme="majorHAnsi" w:hAnsiTheme="majorHAnsi" w:cstheme="majorHAnsi"/>
          <w:sz w:val="22"/>
          <w:szCs w:val="22"/>
        </w:rPr>
        <w:t>The program’s support to climate change mitigation and resilience</w:t>
      </w:r>
      <w:r w:rsidR="00DE2B3D">
        <w:rPr>
          <w:rFonts w:asciiTheme="majorHAnsi" w:hAnsiTheme="majorHAnsi" w:cstheme="majorHAnsi"/>
          <w:sz w:val="22"/>
          <w:szCs w:val="22"/>
        </w:rPr>
        <w:t xml:space="preserve"> in schools and madrasah</w:t>
      </w:r>
      <w:r w:rsidRPr="00974377">
        <w:rPr>
          <w:rFonts w:asciiTheme="majorHAnsi" w:hAnsiTheme="majorHAnsi" w:cstheme="majorHAnsi"/>
          <w:sz w:val="22"/>
          <w:szCs w:val="22"/>
        </w:rPr>
        <w:t xml:space="preserve"> is consistent with the </w:t>
      </w:r>
      <w:r w:rsidR="00B94144" w:rsidRPr="00974377">
        <w:rPr>
          <w:rFonts w:asciiTheme="majorHAnsi" w:hAnsiTheme="majorHAnsi" w:cstheme="majorHAnsi"/>
          <w:i/>
          <w:iCs/>
          <w:sz w:val="22"/>
          <w:szCs w:val="22"/>
        </w:rPr>
        <w:t xml:space="preserve">Merdeka </w:t>
      </w:r>
      <w:proofErr w:type="spellStart"/>
      <w:r w:rsidR="00B94144" w:rsidRPr="00974377">
        <w:rPr>
          <w:rFonts w:asciiTheme="majorHAnsi" w:hAnsiTheme="majorHAnsi" w:cstheme="majorHAnsi"/>
          <w:i/>
          <w:iCs/>
          <w:sz w:val="22"/>
          <w:szCs w:val="22"/>
        </w:rPr>
        <w:t>Belajar</w:t>
      </w:r>
      <w:proofErr w:type="spellEnd"/>
      <w:r w:rsidR="00B94144" w:rsidRPr="00974377">
        <w:rPr>
          <w:rFonts w:asciiTheme="majorHAnsi" w:hAnsiTheme="majorHAnsi" w:cstheme="majorHAnsi"/>
          <w:sz w:val="22"/>
          <w:szCs w:val="22"/>
        </w:rPr>
        <w:t xml:space="preserve"> reforms </w:t>
      </w:r>
      <w:r w:rsidR="00865488" w:rsidRPr="00974377">
        <w:rPr>
          <w:rFonts w:asciiTheme="majorHAnsi" w:hAnsiTheme="majorHAnsi" w:cstheme="majorHAnsi"/>
          <w:sz w:val="22"/>
          <w:szCs w:val="22"/>
        </w:rPr>
        <w:t xml:space="preserve">paradigm of </w:t>
      </w:r>
      <w:r w:rsidR="00D43F41" w:rsidRPr="00974377">
        <w:rPr>
          <w:rFonts w:asciiTheme="majorHAnsi" w:hAnsiTheme="majorHAnsi" w:cstheme="majorHAnsi"/>
          <w:sz w:val="22"/>
          <w:szCs w:val="22"/>
        </w:rPr>
        <w:t>real-world</w:t>
      </w:r>
      <w:r w:rsidR="00865488" w:rsidRPr="00974377">
        <w:rPr>
          <w:rFonts w:asciiTheme="majorHAnsi" w:hAnsiTheme="majorHAnsi" w:cstheme="majorHAnsi"/>
          <w:sz w:val="22"/>
          <w:szCs w:val="22"/>
        </w:rPr>
        <w:t xml:space="preserve"> learning </w:t>
      </w:r>
      <w:r w:rsidR="00865488">
        <w:rPr>
          <w:rFonts w:asciiTheme="majorHAnsi" w:hAnsiTheme="majorHAnsi" w:cstheme="majorHAnsi"/>
          <w:sz w:val="22"/>
          <w:szCs w:val="22"/>
        </w:rPr>
        <w:t xml:space="preserve">and the </w:t>
      </w:r>
      <w:r w:rsidRPr="00974377">
        <w:rPr>
          <w:rFonts w:asciiTheme="majorHAnsi" w:hAnsiTheme="majorHAnsi" w:cstheme="majorHAnsi"/>
          <w:sz w:val="22"/>
          <w:szCs w:val="22"/>
        </w:rPr>
        <w:t>emphasis on 21</w:t>
      </w:r>
      <w:r w:rsidRPr="00974377">
        <w:rPr>
          <w:rFonts w:asciiTheme="majorHAnsi" w:hAnsiTheme="majorHAnsi" w:cstheme="majorHAnsi"/>
          <w:sz w:val="22"/>
          <w:szCs w:val="22"/>
          <w:vertAlign w:val="superscript"/>
        </w:rPr>
        <w:t>st</w:t>
      </w:r>
      <w:r w:rsidRPr="00974377">
        <w:rPr>
          <w:rFonts w:asciiTheme="majorHAnsi" w:hAnsiTheme="majorHAnsi" w:cstheme="majorHAnsi"/>
          <w:sz w:val="22"/>
          <w:szCs w:val="22"/>
        </w:rPr>
        <w:t xml:space="preserve"> century skills </w:t>
      </w:r>
      <w:r w:rsidR="00BF2C6F">
        <w:rPr>
          <w:rFonts w:asciiTheme="majorHAnsi" w:hAnsiTheme="majorHAnsi" w:cstheme="majorHAnsi"/>
          <w:sz w:val="22"/>
          <w:szCs w:val="22"/>
        </w:rPr>
        <w:t xml:space="preserve">in the </w:t>
      </w:r>
      <w:r w:rsidRPr="00974377">
        <w:rPr>
          <w:rFonts w:asciiTheme="majorHAnsi" w:hAnsiTheme="majorHAnsi" w:cstheme="majorHAnsi"/>
          <w:sz w:val="22"/>
          <w:szCs w:val="22"/>
        </w:rPr>
        <w:t xml:space="preserve">curriculum, the </w:t>
      </w:r>
      <w:proofErr w:type="spellStart"/>
      <w:r w:rsidRPr="00974377">
        <w:rPr>
          <w:rFonts w:asciiTheme="majorHAnsi" w:hAnsiTheme="majorHAnsi" w:cstheme="majorHAnsi"/>
          <w:i/>
          <w:iCs/>
          <w:sz w:val="22"/>
          <w:szCs w:val="22"/>
        </w:rPr>
        <w:t>Profil</w:t>
      </w:r>
      <w:proofErr w:type="spellEnd"/>
      <w:r w:rsidRPr="00974377">
        <w:rPr>
          <w:rFonts w:asciiTheme="majorHAnsi" w:hAnsiTheme="majorHAnsi" w:cstheme="majorHAnsi"/>
          <w:i/>
          <w:iCs/>
          <w:sz w:val="22"/>
          <w:szCs w:val="22"/>
        </w:rPr>
        <w:t xml:space="preserve"> </w:t>
      </w:r>
      <w:proofErr w:type="spellStart"/>
      <w:r w:rsidRPr="00974377">
        <w:rPr>
          <w:rFonts w:asciiTheme="majorHAnsi" w:hAnsiTheme="majorHAnsi" w:cstheme="majorHAnsi"/>
          <w:i/>
          <w:iCs/>
          <w:sz w:val="22"/>
          <w:szCs w:val="22"/>
        </w:rPr>
        <w:t>Pelajar</w:t>
      </w:r>
      <w:proofErr w:type="spellEnd"/>
      <w:r w:rsidRPr="00974377">
        <w:rPr>
          <w:rFonts w:asciiTheme="majorHAnsi" w:hAnsiTheme="majorHAnsi" w:cstheme="majorHAnsi"/>
          <w:i/>
          <w:iCs/>
          <w:sz w:val="22"/>
          <w:szCs w:val="22"/>
        </w:rPr>
        <w:t xml:space="preserve"> Pancasila</w:t>
      </w:r>
      <w:r w:rsidRPr="00974377">
        <w:rPr>
          <w:rFonts w:asciiTheme="majorHAnsi" w:hAnsiTheme="majorHAnsi" w:cstheme="majorHAnsi"/>
          <w:sz w:val="22"/>
          <w:szCs w:val="22"/>
        </w:rPr>
        <w:t xml:space="preserve"> </w:t>
      </w:r>
      <w:r w:rsidR="00BF2C6F">
        <w:rPr>
          <w:rFonts w:asciiTheme="majorHAnsi" w:hAnsiTheme="majorHAnsi" w:cstheme="majorHAnsi"/>
          <w:sz w:val="22"/>
          <w:szCs w:val="22"/>
        </w:rPr>
        <w:t>and character education</w:t>
      </w:r>
      <w:r w:rsidR="00865488">
        <w:rPr>
          <w:rFonts w:asciiTheme="majorHAnsi" w:hAnsiTheme="majorHAnsi" w:cstheme="majorHAnsi"/>
          <w:sz w:val="22"/>
          <w:szCs w:val="22"/>
        </w:rPr>
        <w:t>,</w:t>
      </w:r>
      <w:r w:rsidR="00BF2C6F">
        <w:rPr>
          <w:rFonts w:asciiTheme="majorHAnsi" w:hAnsiTheme="majorHAnsi" w:cstheme="majorHAnsi"/>
          <w:sz w:val="22"/>
          <w:szCs w:val="22"/>
        </w:rPr>
        <w:t xml:space="preserve"> </w:t>
      </w:r>
      <w:proofErr w:type="gramStart"/>
      <w:r w:rsidRPr="00974377">
        <w:rPr>
          <w:rFonts w:asciiTheme="majorHAnsi" w:hAnsiTheme="majorHAnsi" w:cstheme="majorHAnsi"/>
          <w:sz w:val="22"/>
          <w:szCs w:val="22"/>
        </w:rPr>
        <w:lastRenderedPageBreak/>
        <w:t xml:space="preserve">and </w:t>
      </w:r>
      <w:r w:rsidR="00865488">
        <w:rPr>
          <w:rFonts w:asciiTheme="majorHAnsi" w:hAnsiTheme="majorHAnsi" w:cstheme="majorHAnsi"/>
          <w:sz w:val="22"/>
          <w:szCs w:val="22"/>
        </w:rPr>
        <w:t>also</w:t>
      </w:r>
      <w:proofErr w:type="gramEnd"/>
      <w:r w:rsidR="00865488">
        <w:rPr>
          <w:rFonts w:asciiTheme="majorHAnsi" w:hAnsiTheme="majorHAnsi" w:cstheme="majorHAnsi"/>
          <w:sz w:val="22"/>
          <w:szCs w:val="22"/>
        </w:rPr>
        <w:t xml:space="preserve"> </w:t>
      </w:r>
      <w:proofErr w:type="spellStart"/>
      <w:r w:rsidRPr="00974377">
        <w:rPr>
          <w:rFonts w:asciiTheme="majorHAnsi" w:hAnsiTheme="majorHAnsi" w:cstheme="majorHAnsi"/>
          <w:sz w:val="22"/>
          <w:szCs w:val="22"/>
        </w:rPr>
        <w:t>MoECRT’s</w:t>
      </w:r>
      <w:proofErr w:type="spellEnd"/>
      <w:r w:rsidRPr="00974377">
        <w:rPr>
          <w:rFonts w:asciiTheme="majorHAnsi" w:hAnsiTheme="majorHAnsi" w:cstheme="majorHAnsi"/>
          <w:sz w:val="22"/>
          <w:szCs w:val="22"/>
        </w:rPr>
        <w:t xml:space="preserve"> ‘safe school’ agenda. The program’s approach in this area will be negotiated with the central government to ensure relevance to national school </w:t>
      </w:r>
      <w:proofErr w:type="gramStart"/>
      <w:r w:rsidRPr="00974377">
        <w:rPr>
          <w:rFonts w:asciiTheme="majorHAnsi" w:hAnsiTheme="majorHAnsi" w:cstheme="majorHAnsi"/>
          <w:sz w:val="22"/>
          <w:szCs w:val="22"/>
        </w:rPr>
        <w:t>policies, and</w:t>
      </w:r>
      <w:proofErr w:type="gramEnd"/>
      <w:r w:rsidRPr="00974377">
        <w:rPr>
          <w:rFonts w:asciiTheme="majorHAnsi" w:hAnsiTheme="majorHAnsi" w:cstheme="majorHAnsi"/>
          <w:sz w:val="22"/>
          <w:szCs w:val="22"/>
        </w:rPr>
        <w:t xml:space="preserve"> articulated in a program-wide climate change strategy (see Section I). </w:t>
      </w:r>
      <w:r w:rsidR="00A76F94">
        <w:rPr>
          <w:rFonts w:asciiTheme="majorHAnsi" w:hAnsiTheme="majorHAnsi" w:cstheme="majorHAnsi"/>
          <w:sz w:val="22"/>
          <w:szCs w:val="22"/>
        </w:rPr>
        <w:t xml:space="preserve">While an obvious entry point </w:t>
      </w:r>
      <w:r w:rsidR="00004F2E">
        <w:rPr>
          <w:rFonts w:asciiTheme="majorHAnsi" w:hAnsiTheme="majorHAnsi" w:cstheme="majorHAnsi"/>
          <w:sz w:val="22"/>
          <w:szCs w:val="22"/>
        </w:rPr>
        <w:t>is</w:t>
      </w:r>
      <w:r w:rsidR="00A76F94">
        <w:rPr>
          <w:rFonts w:asciiTheme="majorHAnsi" w:hAnsiTheme="majorHAnsi" w:cstheme="majorHAnsi"/>
          <w:sz w:val="22"/>
          <w:szCs w:val="22"/>
        </w:rPr>
        <w:t xml:space="preserve"> the new curriculum</w:t>
      </w:r>
      <w:r w:rsidR="00004F2E">
        <w:rPr>
          <w:rFonts w:asciiTheme="majorHAnsi" w:hAnsiTheme="majorHAnsi" w:cstheme="majorHAnsi"/>
          <w:sz w:val="22"/>
          <w:szCs w:val="22"/>
        </w:rPr>
        <w:t xml:space="preserve"> and its disposition to foster environmental awareness</w:t>
      </w:r>
      <w:r w:rsidR="00A76F94">
        <w:rPr>
          <w:rFonts w:asciiTheme="majorHAnsi" w:hAnsiTheme="majorHAnsi" w:cstheme="majorHAnsi"/>
          <w:sz w:val="22"/>
          <w:szCs w:val="22"/>
        </w:rPr>
        <w:t>, other areas of changes will be explored (</w:t>
      </w:r>
      <w:r w:rsidR="006F6B9B">
        <w:rPr>
          <w:rFonts w:asciiTheme="majorHAnsi" w:hAnsiTheme="majorHAnsi" w:cstheme="majorHAnsi"/>
          <w:sz w:val="22"/>
          <w:szCs w:val="22"/>
        </w:rPr>
        <w:t>e.g.,</w:t>
      </w:r>
      <w:r w:rsidR="00A76F94">
        <w:rPr>
          <w:rFonts w:asciiTheme="majorHAnsi" w:hAnsiTheme="majorHAnsi" w:cstheme="majorHAnsi"/>
          <w:sz w:val="22"/>
          <w:szCs w:val="22"/>
        </w:rPr>
        <w:t xml:space="preserve"> teachers </w:t>
      </w:r>
      <w:r w:rsidR="006F6B9B">
        <w:rPr>
          <w:rFonts w:asciiTheme="majorHAnsi" w:hAnsiTheme="majorHAnsi" w:cstheme="majorHAnsi"/>
          <w:sz w:val="22"/>
          <w:szCs w:val="22"/>
        </w:rPr>
        <w:t>pre-</w:t>
      </w:r>
      <w:r w:rsidR="00A76F94">
        <w:rPr>
          <w:rFonts w:asciiTheme="majorHAnsi" w:hAnsiTheme="majorHAnsi" w:cstheme="majorHAnsi"/>
          <w:sz w:val="22"/>
          <w:szCs w:val="22"/>
        </w:rPr>
        <w:t xml:space="preserve"> and in-service training), noting</w:t>
      </w:r>
      <w:r w:rsidR="00A76F94" w:rsidRPr="00974377">
        <w:rPr>
          <w:rFonts w:asciiTheme="majorHAnsi" w:hAnsiTheme="majorHAnsi" w:cstheme="majorHAnsi"/>
          <w:sz w:val="22"/>
          <w:szCs w:val="22"/>
        </w:rPr>
        <w:t xml:space="preserve"> </w:t>
      </w:r>
      <w:r w:rsidR="00A76F94">
        <w:rPr>
          <w:rFonts w:asciiTheme="majorHAnsi" w:hAnsiTheme="majorHAnsi" w:cstheme="majorHAnsi"/>
          <w:sz w:val="22"/>
          <w:szCs w:val="22"/>
        </w:rPr>
        <w:t>the limitation of INOVASI with infrastructure provision</w:t>
      </w:r>
      <w:r w:rsidR="007D407E">
        <w:rPr>
          <w:rStyle w:val="FootnoteReference"/>
          <w:rFonts w:asciiTheme="majorHAnsi" w:hAnsiTheme="majorHAnsi" w:cstheme="majorHAnsi"/>
          <w:sz w:val="22"/>
          <w:szCs w:val="22"/>
        </w:rPr>
        <w:footnoteReference w:id="31"/>
      </w:r>
      <w:r w:rsidR="00A76F94">
        <w:rPr>
          <w:rFonts w:asciiTheme="majorHAnsi" w:hAnsiTheme="majorHAnsi" w:cstheme="majorHAnsi"/>
          <w:sz w:val="22"/>
          <w:szCs w:val="22"/>
        </w:rPr>
        <w:t>. T</w:t>
      </w:r>
      <w:r w:rsidRPr="00974377">
        <w:rPr>
          <w:rFonts w:asciiTheme="majorHAnsi" w:hAnsiTheme="majorHAnsi" w:cstheme="majorHAnsi"/>
          <w:sz w:val="22"/>
          <w:szCs w:val="22"/>
        </w:rPr>
        <w:t xml:space="preserve">he program will </w:t>
      </w:r>
      <w:r w:rsidR="007D407E">
        <w:rPr>
          <w:rFonts w:asciiTheme="majorHAnsi" w:hAnsiTheme="majorHAnsi" w:cstheme="majorHAnsi"/>
          <w:sz w:val="22"/>
          <w:szCs w:val="22"/>
        </w:rPr>
        <w:t xml:space="preserve">also </w:t>
      </w:r>
      <w:r w:rsidRPr="00974377">
        <w:rPr>
          <w:rFonts w:asciiTheme="majorHAnsi" w:hAnsiTheme="majorHAnsi" w:cstheme="majorHAnsi"/>
          <w:sz w:val="22"/>
          <w:szCs w:val="22"/>
        </w:rPr>
        <w:t xml:space="preserve">support the development and implementation of district ecosystem climate change analysis and strategies that </w:t>
      </w:r>
      <w:r w:rsidR="007D407E">
        <w:rPr>
          <w:rFonts w:asciiTheme="majorHAnsi" w:hAnsiTheme="majorHAnsi" w:cstheme="majorHAnsi"/>
          <w:sz w:val="22"/>
          <w:szCs w:val="22"/>
        </w:rPr>
        <w:t xml:space="preserve">will </w:t>
      </w:r>
      <w:r w:rsidR="004463D5">
        <w:rPr>
          <w:rFonts w:asciiTheme="majorHAnsi" w:hAnsiTheme="majorHAnsi" w:cstheme="majorHAnsi"/>
          <w:sz w:val="22"/>
          <w:szCs w:val="22"/>
        </w:rPr>
        <w:t>outline</w:t>
      </w:r>
      <w:r w:rsidR="007D407E">
        <w:rPr>
          <w:rFonts w:asciiTheme="majorHAnsi" w:hAnsiTheme="majorHAnsi" w:cstheme="majorHAnsi"/>
          <w:sz w:val="22"/>
          <w:szCs w:val="22"/>
        </w:rPr>
        <w:t xml:space="preserve"> planning and delivery </w:t>
      </w:r>
      <w:r w:rsidR="006A08C3">
        <w:rPr>
          <w:rFonts w:asciiTheme="majorHAnsi" w:hAnsiTheme="majorHAnsi" w:cstheme="majorHAnsi"/>
          <w:sz w:val="22"/>
          <w:szCs w:val="22"/>
        </w:rPr>
        <w:t xml:space="preserve">measures to tailor </w:t>
      </w:r>
      <w:r w:rsidR="007D407E">
        <w:rPr>
          <w:rFonts w:asciiTheme="majorHAnsi" w:hAnsiTheme="majorHAnsi" w:cstheme="majorHAnsi"/>
          <w:sz w:val="22"/>
          <w:szCs w:val="22"/>
        </w:rPr>
        <w:t xml:space="preserve">education services </w:t>
      </w:r>
      <w:r w:rsidR="00004F2E">
        <w:rPr>
          <w:rFonts w:asciiTheme="majorHAnsi" w:hAnsiTheme="majorHAnsi" w:cstheme="majorHAnsi"/>
          <w:sz w:val="22"/>
          <w:szCs w:val="22"/>
        </w:rPr>
        <w:t>in schools and madrasah</w:t>
      </w:r>
      <w:r w:rsidR="006A08C3">
        <w:rPr>
          <w:rFonts w:asciiTheme="majorHAnsi" w:hAnsiTheme="majorHAnsi" w:cstheme="majorHAnsi"/>
          <w:sz w:val="22"/>
          <w:szCs w:val="22"/>
        </w:rPr>
        <w:t xml:space="preserve"> to </w:t>
      </w:r>
      <w:r w:rsidR="007D407E">
        <w:rPr>
          <w:rFonts w:asciiTheme="majorHAnsi" w:hAnsiTheme="majorHAnsi" w:cstheme="majorHAnsi"/>
          <w:sz w:val="22"/>
          <w:szCs w:val="22"/>
        </w:rPr>
        <w:t xml:space="preserve">the </w:t>
      </w:r>
      <w:r w:rsidR="006A08C3">
        <w:rPr>
          <w:rFonts w:asciiTheme="majorHAnsi" w:hAnsiTheme="majorHAnsi" w:cstheme="majorHAnsi"/>
          <w:sz w:val="22"/>
          <w:szCs w:val="22"/>
        </w:rPr>
        <w:t xml:space="preserve">local </w:t>
      </w:r>
      <w:r w:rsidR="007D407E">
        <w:rPr>
          <w:rFonts w:asciiTheme="majorHAnsi" w:hAnsiTheme="majorHAnsi" w:cstheme="majorHAnsi"/>
          <w:sz w:val="22"/>
          <w:szCs w:val="22"/>
        </w:rPr>
        <w:t>occurrence and effects of climate change</w:t>
      </w:r>
      <w:r w:rsidRPr="00974377">
        <w:rPr>
          <w:rFonts w:asciiTheme="majorHAnsi" w:hAnsiTheme="majorHAnsi" w:cstheme="majorHAnsi"/>
          <w:sz w:val="22"/>
          <w:szCs w:val="22"/>
        </w:rPr>
        <w:t>.</w:t>
      </w:r>
      <w:r w:rsidR="00004F2E">
        <w:rPr>
          <w:rFonts w:asciiTheme="majorHAnsi" w:hAnsiTheme="majorHAnsi" w:cstheme="majorHAnsi"/>
          <w:sz w:val="22"/>
          <w:szCs w:val="22"/>
        </w:rPr>
        <w:t xml:space="preserve"> In some cases, these strategies </w:t>
      </w:r>
      <w:r w:rsidR="006A08C3">
        <w:rPr>
          <w:rFonts w:asciiTheme="majorHAnsi" w:hAnsiTheme="majorHAnsi" w:cstheme="majorHAnsi"/>
          <w:sz w:val="22"/>
          <w:szCs w:val="22"/>
        </w:rPr>
        <w:t>will</w:t>
      </w:r>
      <w:r w:rsidR="00004F2E">
        <w:rPr>
          <w:rFonts w:asciiTheme="majorHAnsi" w:hAnsiTheme="majorHAnsi" w:cstheme="majorHAnsi"/>
          <w:sz w:val="22"/>
          <w:szCs w:val="22"/>
        </w:rPr>
        <w:t xml:space="preserve"> explore the role of schools and madrasah in the wider community, beyond education purpose</w:t>
      </w:r>
      <w:r w:rsidR="00422597">
        <w:rPr>
          <w:rFonts w:asciiTheme="majorHAnsi" w:hAnsiTheme="majorHAnsi" w:cstheme="majorHAnsi"/>
          <w:sz w:val="22"/>
          <w:szCs w:val="22"/>
        </w:rPr>
        <w:t>s</w:t>
      </w:r>
      <w:r w:rsidR="00004F2E">
        <w:rPr>
          <w:rFonts w:asciiTheme="majorHAnsi" w:hAnsiTheme="majorHAnsi" w:cstheme="majorHAnsi"/>
          <w:sz w:val="22"/>
          <w:szCs w:val="22"/>
        </w:rPr>
        <w:t xml:space="preserve"> (</w:t>
      </w:r>
      <w:r w:rsidR="006F6B9B">
        <w:rPr>
          <w:rFonts w:asciiTheme="majorHAnsi" w:hAnsiTheme="majorHAnsi" w:cstheme="majorHAnsi"/>
          <w:sz w:val="22"/>
          <w:szCs w:val="22"/>
        </w:rPr>
        <w:t>e.g.,</w:t>
      </w:r>
      <w:r w:rsidR="00004F2E">
        <w:rPr>
          <w:rFonts w:asciiTheme="majorHAnsi" w:hAnsiTheme="majorHAnsi" w:cstheme="majorHAnsi"/>
          <w:sz w:val="22"/>
          <w:szCs w:val="22"/>
        </w:rPr>
        <w:t xml:space="preserve"> as refuge shelters</w:t>
      </w:r>
      <w:r w:rsidR="006A08C3">
        <w:rPr>
          <w:rFonts w:asciiTheme="majorHAnsi" w:hAnsiTheme="majorHAnsi" w:cstheme="majorHAnsi"/>
          <w:sz w:val="22"/>
          <w:szCs w:val="22"/>
        </w:rPr>
        <w:t xml:space="preserve"> for natural hazards</w:t>
      </w:r>
      <w:r w:rsidR="00004F2E">
        <w:rPr>
          <w:rFonts w:asciiTheme="majorHAnsi" w:hAnsiTheme="majorHAnsi" w:cstheme="majorHAnsi"/>
          <w:sz w:val="22"/>
          <w:szCs w:val="22"/>
        </w:rPr>
        <w:t>, etc.).</w:t>
      </w:r>
      <w:r w:rsidRPr="00974377">
        <w:rPr>
          <w:rFonts w:asciiTheme="majorHAnsi" w:hAnsiTheme="majorHAnsi" w:cstheme="majorHAnsi"/>
          <w:sz w:val="22"/>
          <w:szCs w:val="22"/>
        </w:rPr>
        <w:t xml:space="preserve"> </w:t>
      </w:r>
      <w:r w:rsidR="00004F2E">
        <w:rPr>
          <w:rFonts w:asciiTheme="majorHAnsi" w:hAnsiTheme="majorHAnsi" w:cstheme="majorHAnsi"/>
          <w:sz w:val="22"/>
          <w:szCs w:val="22"/>
        </w:rPr>
        <w:t xml:space="preserve">In all cases, </w:t>
      </w:r>
      <w:r w:rsidR="006A08C3">
        <w:rPr>
          <w:rFonts w:asciiTheme="majorHAnsi" w:hAnsiTheme="majorHAnsi" w:cstheme="majorHAnsi"/>
          <w:sz w:val="22"/>
          <w:szCs w:val="22"/>
        </w:rPr>
        <w:t>t</w:t>
      </w:r>
      <w:r w:rsidRPr="00974377">
        <w:rPr>
          <w:rFonts w:asciiTheme="majorHAnsi" w:hAnsiTheme="majorHAnsi" w:cstheme="majorHAnsi"/>
          <w:sz w:val="22"/>
          <w:szCs w:val="22"/>
        </w:rPr>
        <w:t>he</w:t>
      </w:r>
      <w:r w:rsidR="00004F2E">
        <w:rPr>
          <w:rFonts w:asciiTheme="majorHAnsi" w:hAnsiTheme="majorHAnsi" w:cstheme="majorHAnsi"/>
          <w:sz w:val="22"/>
          <w:szCs w:val="22"/>
        </w:rPr>
        <w:t xml:space="preserve">y </w:t>
      </w:r>
      <w:r w:rsidRPr="00974377">
        <w:rPr>
          <w:rFonts w:asciiTheme="majorHAnsi" w:hAnsiTheme="majorHAnsi" w:cstheme="majorHAnsi"/>
          <w:sz w:val="22"/>
          <w:szCs w:val="22"/>
        </w:rPr>
        <w:t>will encourage collective and systemic interventions which recognise and bring in the role of schools’ stakeholders in mitigating and adapting to climate change (</w:t>
      </w:r>
      <w:r w:rsidR="006F6B9B" w:rsidRPr="00974377">
        <w:rPr>
          <w:rFonts w:asciiTheme="majorHAnsi" w:hAnsiTheme="majorHAnsi" w:cstheme="majorHAnsi"/>
          <w:sz w:val="22"/>
          <w:szCs w:val="22"/>
        </w:rPr>
        <w:t>e.g.,</w:t>
      </w:r>
      <w:r w:rsidRPr="00974377">
        <w:rPr>
          <w:rFonts w:asciiTheme="majorHAnsi" w:hAnsiTheme="majorHAnsi" w:cstheme="majorHAnsi"/>
          <w:sz w:val="22"/>
          <w:szCs w:val="22"/>
        </w:rPr>
        <w:t xml:space="preserve"> parents, communities, </w:t>
      </w:r>
      <w:r w:rsidR="00004F2E">
        <w:rPr>
          <w:rFonts w:asciiTheme="majorHAnsi" w:hAnsiTheme="majorHAnsi" w:cstheme="majorHAnsi"/>
          <w:sz w:val="22"/>
          <w:szCs w:val="22"/>
        </w:rPr>
        <w:t xml:space="preserve">environmental </w:t>
      </w:r>
      <w:r w:rsidRPr="00974377">
        <w:rPr>
          <w:rFonts w:asciiTheme="majorHAnsi" w:hAnsiTheme="majorHAnsi" w:cstheme="majorHAnsi"/>
          <w:sz w:val="22"/>
          <w:szCs w:val="22"/>
        </w:rPr>
        <w:t>CSOs).</w:t>
      </w:r>
    </w:p>
    <w:p w14:paraId="56DA1F71" w14:textId="7F5C7CE0" w:rsidR="004B3D56" w:rsidRPr="008A01F1" w:rsidRDefault="008A01F1" w:rsidP="008A01F1">
      <w:pPr>
        <w:pStyle w:val="Heading2"/>
        <w:rPr>
          <w:b/>
          <w:bCs/>
          <w:sz w:val="22"/>
          <w:szCs w:val="22"/>
        </w:rPr>
      </w:pPr>
      <w:r w:rsidRPr="008A01F1">
        <w:rPr>
          <w:b/>
          <w:bCs/>
          <w:caps w:val="0"/>
          <w:sz w:val="22"/>
          <w:szCs w:val="22"/>
        </w:rPr>
        <w:t>Strategies</w:t>
      </w:r>
      <w:r w:rsidR="004B3D56" w:rsidRPr="008A01F1">
        <w:rPr>
          <w:b/>
          <w:bCs/>
          <w:sz w:val="22"/>
          <w:szCs w:val="22"/>
        </w:rPr>
        <w:t xml:space="preserve"> </w:t>
      </w:r>
    </w:p>
    <w:p w14:paraId="08F51961" w14:textId="047CE52F" w:rsidR="004B3D56" w:rsidRDefault="004B3D56" w:rsidP="008A01F1">
      <w:pPr>
        <w:tabs>
          <w:tab w:val="left" w:pos="284"/>
        </w:tabs>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INOVASI Phase 3 will develop and implement activities that contribute in different ways to the outcomes described above. As illustrated in Figure 2, these activities will be designed, categorised and funded under different implementation streams or ‘</w:t>
      </w:r>
      <w:proofErr w:type="gramStart"/>
      <w:r w:rsidRPr="00974377">
        <w:rPr>
          <w:rFonts w:asciiTheme="majorHAnsi" w:hAnsiTheme="majorHAnsi" w:cstheme="majorHAnsi"/>
          <w:sz w:val="22"/>
          <w:szCs w:val="22"/>
        </w:rPr>
        <w:t>strategies’</w:t>
      </w:r>
      <w:proofErr w:type="gramEnd"/>
      <w:r w:rsidRPr="00974377">
        <w:rPr>
          <w:rFonts w:asciiTheme="majorHAnsi" w:hAnsiTheme="majorHAnsi" w:cstheme="majorHAnsi"/>
          <w:sz w:val="22"/>
          <w:szCs w:val="22"/>
        </w:rPr>
        <w:t xml:space="preserve">. The main program strategy is the brokering, activation and strengthening of ecosystems of education stakeholders in 25 target districts (see Annex </w:t>
      </w:r>
      <w:r w:rsidR="00475A9D">
        <w:rPr>
          <w:rFonts w:asciiTheme="majorHAnsi" w:hAnsiTheme="majorHAnsi" w:cstheme="majorHAnsi"/>
          <w:sz w:val="22"/>
          <w:szCs w:val="22"/>
        </w:rPr>
        <w:t>1</w:t>
      </w:r>
      <w:r w:rsidRPr="00974377">
        <w:rPr>
          <w:rFonts w:asciiTheme="majorHAnsi" w:hAnsiTheme="majorHAnsi" w:cstheme="majorHAnsi"/>
          <w:sz w:val="22"/>
          <w:szCs w:val="22"/>
        </w:rPr>
        <w:t>). While this support is arguably the defining core characteristic of INOVASI Phase 3, it is important the program retains flexibility to provide support beyond specific provinces and target districts</w:t>
      </w:r>
      <w:r w:rsidRPr="00974377">
        <w:rPr>
          <w:rFonts w:asciiTheme="majorHAnsi" w:hAnsiTheme="majorHAnsi" w:cs="Calibri (Headings)"/>
          <w:sz w:val="22"/>
          <w:szCs w:val="22"/>
          <w:vertAlign w:val="superscript"/>
        </w:rPr>
        <w:footnoteReference w:id="32"/>
      </w:r>
      <w:r w:rsidRPr="00974377">
        <w:rPr>
          <w:rFonts w:asciiTheme="majorHAnsi" w:hAnsiTheme="majorHAnsi" w:cstheme="majorHAnsi"/>
          <w:sz w:val="22"/>
          <w:szCs w:val="22"/>
        </w:rPr>
        <w:t xml:space="preserve">. The other four strategies provide that flexibility: they enable the program to 1) respectively provide technical assistance to develop relevant capacities at national, provincial and district levels, 2) broker and facilitate partnerships between relevant education institutions, 3) support pilots and trials of relevant initiatives and solutions to local problems, and 4) generate and promote the use of evidence in relevant policies and practices. Support under these four strategies will be provided to relevant national institutions and organisations/initiatives active in targeted provinces (target and non-target districts). </w:t>
      </w:r>
      <w:r w:rsidR="004A65DC">
        <w:rPr>
          <w:rFonts w:asciiTheme="majorHAnsi" w:hAnsiTheme="majorHAnsi" w:cstheme="majorHAnsi"/>
          <w:sz w:val="22"/>
          <w:szCs w:val="22"/>
        </w:rPr>
        <w:t>As such, INOVASI Phase 3 will operate as a platform t</w:t>
      </w:r>
      <w:r w:rsidR="006A08C3">
        <w:rPr>
          <w:rFonts w:asciiTheme="majorHAnsi" w:hAnsiTheme="majorHAnsi" w:cstheme="majorHAnsi"/>
          <w:sz w:val="22"/>
          <w:szCs w:val="22"/>
        </w:rPr>
        <w:t>hat</w:t>
      </w:r>
      <w:r w:rsidR="004A65DC">
        <w:rPr>
          <w:rFonts w:asciiTheme="majorHAnsi" w:hAnsiTheme="majorHAnsi" w:cstheme="majorHAnsi"/>
          <w:sz w:val="22"/>
          <w:szCs w:val="22"/>
        </w:rPr>
        <w:t xml:space="preserve"> provide</w:t>
      </w:r>
      <w:r w:rsidR="00422597">
        <w:rPr>
          <w:rFonts w:asciiTheme="majorHAnsi" w:hAnsiTheme="majorHAnsi" w:cstheme="majorHAnsi"/>
          <w:sz w:val="22"/>
          <w:szCs w:val="22"/>
        </w:rPr>
        <w:t>s</w:t>
      </w:r>
      <w:r w:rsidR="006A08C3">
        <w:rPr>
          <w:rFonts w:asciiTheme="majorHAnsi" w:hAnsiTheme="majorHAnsi" w:cstheme="majorHAnsi"/>
          <w:sz w:val="22"/>
          <w:szCs w:val="22"/>
        </w:rPr>
        <w:t xml:space="preserve"> tailored support to national and subnational stakeholders, based on their local conditions and a common set of strategies</w:t>
      </w:r>
      <w:r w:rsidR="004A65DC">
        <w:rPr>
          <w:rFonts w:asciiTheme="majorHAnsi" w:hAnsiTheme="majorHAnsi" w:cstheme="majorHAnsi"/>
          <w:sz w:val="22"/>
          <w:szCs w:val="22"/>
        </w:rPr>
        <w:t>.</w:t>
      </w:r>
    </w:p>
    <w:p w14:paraId="570D7FA3" w14:textId="77777777" w:rsidR="004A65DC" w:rsidRPr="00974377" w:rsidRDefault="004A65DC" w:rsidP="00330887">
      <w:pPr>
        <w:tabs>
          <w:tab w:val="left" w:pos="284"/>
        </w:tabs>
        <w:spacing w:after="120" w:line="281" w:lineRule="auto"/>
        <w:jc w:val="both"/>
        <w:rPr>
          <w:rFonts w:asciiTheme="majorHAnsi" w:hAnsiTheme="majorHAnsi" w:cstheme="majorHAnsi"/>
          <w:sz w:val="22"/>
          <w:szCs w:val="22"/>
        </w:rPr>
      </w:pPr>
    </w:p>
    <w:p w14:paraId="3DDB6439" w14:textId="77777777" w:rsidR="004B3D56" w:rsidRPr="00974377" w:rsidRDefault="004B3D56" w:rsidP="00EF774E">
      <w:pPr>
        <w:tabs>
          <w:tab w:val="left" w:pos="284"/>
        </w:tabs>
        <w:spacing w:before="120" w:after="120"/>
        <w:jc w:val="both"/>
        <w:rPr>
          <w:rFonts w:asciiTheme="majorHAnsi" w:hAnsiTheme="majorHAnsi" w:cstheme="majorHAnsi"/>
          <w:sz w:val="22"/>
          <w:szCs w:val="22"/>
        </w:rPr>
      </w:pPr>
    </w:p>
    <w:p w14:paraId="27C185DD" w14:textId="77777777" w:rsidR="00E23693" w:rsidRDefault="00E23693" w:rsidP="00BF638E">
      <w:pPr>
        <w:pStyle w:val="Caption"/>
        <w:spacing w:before="120" w:after="120" w:line="240" w:lineRule="auto"/>
        <w:contextualSpacing w:val="0"/>
        <w:jc w:val="center"/>
        <w:rPr>
          <w:rFonts w:asciiTheme="majorHAnsi" w:hAnsiTheme="majorHAnsi" w:cstheme="majorHAnsi"/>
          <w:i/>
          <w:iCs w:val="0"/>
          <w:sz w:val="22"/>
          <w:szCs w:val="22"/>
        </w:rPr>
        <w:sectPr w:rsidR="00E23693" w:rsidSect="00E23693">
          <w:pgSz w:w="11906" w:h="16838" w:code="9"/>
          <w:pgMar w:top="1418" w:right="1134" w:bottom="1701" w:left="1134" w:header="425" w:footer="493" w:gutter="0"/>
          <w:cols w:space="397"/>
          <w:docGrid w:linePitch="360"/>
        </w:sectPr>
      </w:pPr>
    </w:p>
    <w:p w14:paraId="7FC32E41" w14:textId="2815CD82" w:rsidR="004B3D56" w:rsidRPr="000B39E6" w:rsidRDefault="004B3D56" w:rsidP="00BF638E">
      <w:pPr>
        <w:pStyle w:val="Caption"/>
        <w:spacing w:before="120" w:after="120" w:line="240" w:lineRule="auto"/>
        <w:contextualSpacing w:val="0"/>
        <w:jc w:val="center"/>
        <w:rPr>
          <w:rFonts w:asciiTheme="majorHAnsi" w:hAnsiTheme="majorHAnsi" w:cstheme="majorHAnsi"/>
          <w:sz w:val="22"/>
          <w:szCs w:val="22"/>
        </w:rPr>
      </w:pPr>
      <w:r w:rsidRPr="000B39E6">
        <w:rPr>
          <w:rFonts w:asciiTheme="majorHAnsi" w:hAnsiTheme="majorHAnsi" w:cstheme="majorHAnsi"/>
          <w:sz w:val="22"/>
          <w:szCs w:val="22"/>
        </w:rPr>
        <w:lastRenderedPageBreak/>
        <w:t xml:space="preserve">Figure </w:t>
      </w:r>
      <w:r w:rsidR="00663380" w:rsidRPr="000B39E6">
        <w:rPr>
          <w:rFonts w:asciiTheme="majorHAnsi" w:hAnsiTheme="majorHAnsi" w:cstheme="majorHAnsi"/>
          <w:sz w:val="22"/>
          <w:szCs w:val="22"/>
        </w:rPr>
        <w:fldChar w:fldCharType="begin"/>
      </w:r>
      <w:r w:rsidR="00663380" w:rsidRPr="000B39E6">
        <w:rPr>
          <w:rFonts w:asciiTheme="majorHAnsi" w:hAnsiTheme="majorHAnsi" w:cstheme="majorHAnsi"/>
          <w:sz w:val="22"/>
          <w:szCs w:val="22"/>
        </w:rPr>
        <w:instrText xml:space="preserve"> SEQ Figure \* ARABIC </w:instrText>
      </w:r>
      <w:r w:rsidR="00663380" w:rsidRPr="000B39E6">
        <w:rPr>
          <w:rFonts w:asciiTheme="majorHAnsi" w:hAnsiTheme="majorHAnsi" w:cstheme="majorHAnsi"/>
          <w:sz w:val="22"/>
          <w:szCs w:val="22"/>
        </w:rPr>
        <w:fldChar w:fldCharType="separate"/>
      </w:r>
      <w:r w:rsidR="002A251B">
        <w:rPr>
          <w:rFonts w:asciiTheme="majorHAnsi" w:hAnsiTheme="majorHAnsi" w:cstheme="majorHAnsi"/>
          <w:noProof/>
          <w:sz w:val="22"/>
          <w:szCs w:val="22"/>
        </w:rPr>
        <w:t>2</w:t>
      </w:r>
      <w:r w:rsidR="00663380" w:rsidRPr="000B39E6">
        <w:rPr>
          <w:rFonts w:asciiTheme="majorHAnsi" w:hAnsiTheme="majorHAnsi" w:cstheme="majorHAnsi"/>
          <w:sz w:val="22"/>
          <w:szCs w:val="22"/>
        </w:rPr>
        <w:fldChar w:fldCharType="end"/>
      </w:r>
      <w:r w:rsidRPr="000B39E6">
        <w:rPr>
          <w:rFonts w:asciiTheme="majorHAnsi" w:hAnsiTheme="majorHAnsi" w:cstheme="majorHAnsi"/>
          <w:sz w:val="22"/>
          <w:szCs w:val="22"/>
        </w:rPr>
        <w:t xml:space="preserve"> – Implementation strategies for INOVASI Phase 3</w:t>
      </w:r>
    </w:p>
    <w:tbl>
      <w:tblPr>
        <w:tblStyle w:val="TableGrid"/>
        <w:tblW w:w="5000" w:type="pct"/>
        <w:tblLook w:val="04A0" w:firstRow="1" w:lastRow="0" w:firstColumn="1" w:lastColumn="0" w:noHBand="0" w:noVBand="1"/>
      </w:tblPr>
      <w:tblGrid>
        <w:gridCol w:w="1387"/>
        <w:gridCol w:w="2509"/>
        <w:gridCol w:w="2336"/>
        <w:gridCol w:w="3688"/>
        <w:gridCol w:w="3789"/>
      </w:tblGrid>
      <w:tr w:rsidR="00EF774E" w:rsidRPr="00E23693" w14:paraId="4F7CEB24" w14:textId="77777777" w:rsidTr="00287F64">
        <w:trPr>
          <w:tblHeader/>
        </w:trPr>
        <w:tc>
          <w:tcPr>
            <w:tcW w:w="506" w:type="pct"/>
            <w:shd w:val="clear" w:color="auto" w:fill="008080"/>
            <w:vAlign w:val="center"/>
          </w:tcPr>
          <w:p w14:paraId="7DD2723D" w14:textId="77777777" w:rsidR="004B3D56" w:rsidRPr="0085722F" w:rsidRDefault="004B3D56" w:rsidP="00BF638E">
            <w:pPr>
              <w:spacing w:before="60" w:after="60"/>
              <w:jc w:val="center"/>
              <w:rPr>
                <w:rFonts w:asciiTheme="minorHAnsi" w:hAnsiTheme="minorHAnsi" w:cstheme="minorHAnsi"/>
                <w:b/>
                <w:bCs/>
                <w:color w:val="FFFFFF" w:themeColor="background1"/>
                <w:sz w:val="21"/>
                <w:szCs w:val="21"/>
                <w:lang w:eastAsia="en-US"/>
              </w:rPr>
            </w:pPr>
            <w:bookmarkStart w:id="5" w:name="Title_StrategiesImplementation"/>
            <w:r w:rsidRPr="0085722F">
              <w:rPr>
                <w:rFonts w:asciiTheme="minorHAnsi" w:hAnsiTheme="minorHAnsi" w:cstheme="minorHAnsi"/>
                <w:b/>
                <w:bCs/>
                <w:color w:val="FFFFFF" w:themeColor="background1"/>
                <w:sz w:val="21"/>
                <w:szCs w:val="21"/>
              </w:rPr>
              <w:t>Strategies</w:t>
            </w:r>
            <w:bookmarkEnd w:id="5"/>
          </w:p>
        </w:tc>
        <w:tc>
          <w:tcPr>
            <w:tcW w:w="915" w:type="pct"/>
            <w:shd w:val="clear" w:color="auto" w:fill="008080"/>
            <w:vAlign w:val="center"/>
          </w:tcPr>
          <w:p w14:paraId="0D758D77" w14:textId="77777777" w:rsidR="004B3D56" w:rsidRPr="004E7542" w:rsidRDefault="004B3D56" w:rsidP="00BF638E">
            <w:pPr>
              <w:spacing w:before="60" w:after="60"/>
              <w:jc w:val="center"/>
              <w:rPr>
                <w:rFonts w:asciiTheme="minorHAnsi" w:hAnsiTheme="minorHAnsi" w:cstheme="minorHAnsi"/>
                <w:b/>
                <w:bCs/>
                <w:color w:val="FFFFFF" w:themeColor="background1"/>
                <w:sz w:val="21"/>
                <w:szCs w:val="21"/>
                <w:lang w:eastAsia="en-US"/>
              </w:rPr>
            </w:pPr>
            <w:bookmarkStart w:id="6" w:name="ColumnTitle_DescriptionImplementation"/>
            <w:r w:rsidRPr="004E7542">
              <w:rPr>
                <w:rFonts w:asciiTheme="minorHAnsi" w:hAnsiTheme="minorHAnsi" w:cstheme="minorHAnsi"/>
                <w:b/>
                <w:bCs/>
                <w:color w:val="FFFFFF" w:themeColor="background1"/>
                <w:sz w:val="21"/>
                <w:szCs w:val="21"/>
              </w:rPr>
              <w:t>Description</w:t>
            </w:r>
            <w:bookmarkEnd w:id="6"/>
          </w:p>
        </w:tc>
        <w:tc>
          <w:tcPr>
            <w:tcW w:w="852" w:type="pct"/>
            <w:shd w:val="clear" w:color="auto" w:fill="008080"/>
            <w:vAlign w:val="center"/>
          </w:tcPr>
          <w:p w14:paraId="71C0D915" w14:textId="77777777" w:rsidR="004B3D56" w:rsidRPr="004E7542" w:rsidRDefault="004B3D56" w:rsidP="00BF638E">
            <w:pPr>
              <w:spacing w:before="60" w:after="60"/>
              <w:jc w:val="center"/>
              <w:rPr>
                <w:rFonts w:asciiTheme="minorHAnsi" w:hAnsiTheme="minorHAnsi" w:cstheme="minorHAnsi"/>
                <w:b/>
                <w:bCs/>
                <w:color w:val="FFFFFF" w:themeColor="background1"/>
                <w:sz w:val="21"/>
                <w:szCs w:val="21"/>
                <w:lang w:eastAsia="en-US"/>
              </w:rPr>
            </w:pPr>
            <w:bookmarkStart w:id="7" w:name="ColumnTitle_TargetImplementation"/>
            <w:r w:rsidRPr="004E7542">
              <w:rPr>
                <w:rFonts w:asciiTheme="minorHAnsi" w:hAnsiTheme="minorHAnsi" w:cstheme="minorHAnsi"/>
                <w:b/>
                <w:bCs/>
                <w:color w:val="FFFFFF" w:themeColor="background1"/>
                <w:sz w:val="21"/>
                <w:szCs w:val="21"/>
              </w:rPr>
              <w:t>Target</w:t>
            </w:r>
            <w:bookmarkEnd w:id="7"/>
          </w:p>
        </w:tc>
        <w:tc>
          <w:tcPr>
            <w:tcW w:w="1345" w:type="pct"/>
            <w:shd w:val="clear" w:color="auto" w:fill="008080"/>
            <w:vAlign w:val="center"/>
          </w:tcPr>
          <w:p w14:paraId="0E54E614" w14:textId="77777777" w:rsidR="004B3D56" w:rsidRPr="004E7542" w:rsidRDefault="004B3D56" w:rsidP="00BF638E">
            <w:pPr>
              <w:spacing w:before="60" w:after="60"/>
              <w:jc w:val="center"/>
              <w:rPr>
                <w:rFonts w:asciiTheme="minorHAnsi" w:hAnsiTheme="minorHAnsi" w:cstheme="minorHAnsi"/>
                <w:b/>
                <w:bCs/>
                <w:color w:val="FFFFFF" w:themeColor="background1"/>
                <w:sz w:val="21"/>
                <w:szCs w:val="21"/>
                <w:lang w:eastAsia="en-US"/>
              </w:rPr>
            </w:pPr>
            <w:bookmarkStart w:id="8" w:name="ColumnTitle_IndicativeActivities"/>
            <w:r w:rsidRPr="004E7542">
              <w:rPr>
                <w:rFonts w:asciiTheme="minorHAnsi" w:hAnsiTheme="minorHAnsi" w:cstheme="minorHAnsi"/>
                <w:b/>
                <w:bCs/>
                <w:color w:val="FFFFFF" w:themeColor="background1"/>
                <w:sz w:val="21"/>
                <w:szCs w:val="21"/>
              </w:rPr>
              <w:t>Indicative activities</w:t>
            </w:r>
            <w:bookmarkEnd w:id="8"/>
          </w:p>
        </w:tc>
        <w:tc>
          <w:tcPr>
            <w:tcW w:w="1382" w:type="pct"/>
            <w:shd w:val="clear" w:color="auto" w:fill="008080"/>
          </w:tcPr>
          <w:p w14:paraId="6A0B5306" w14:textId="77777777" w:rsidR="004B3D56" w:rsidRPr="004E7542" w:rsidRDefault="004B3D56" w:rsidP="00BF638E">
            <w:pPr>
              <w:spacing w:before="60" w:after="60"/>
              <w:jc w:val="center"/>
              <w:rPr>
                <w:rFonts w:asciiTheme="minorHAnsi" w:hAnsiTheme="minorHAnsi" w:cstheme="minorHAnsi"/>
                <w:b/>
                <w:bCs/>
                <w:color w:val="FFFFFF" w:themeColor="background1"/>
                <w:sz w:val="21"/>
                <w:szCs w:val="21"/>
              </w:rPr>
            </w:pPr>
            <w:bookmarkStart w:id="9" w:name="ColumnTitle_IndicativeOutputs"/>
            <w:r w:rsidRPr="004E7542">
              <w:rPr>
                <w:rFonts w:asciiTheme="minorHAnsi" w:hAnsiTheme="minorHAnsi" w:cstheme="minorHAnsi"/>
                <w:b/>
                <w:bCs/>
                <w:color w:val="FFFFFF" w:themeColor="background1"/>
                <w:sz w:val="21"/>
                <w:szCs w:val="21"/>
              </w:rPr>
              <w:t>Indicative outputs</w:t>
            </w:r>
            <w:bookmarkEnd w:id="9"/>
          </w:p>
        </w:tc>
      </w:tr>
      <w:tr w:rsidR="00EF774E" w:rsidRPr="00E23693" w14:paraId="5DB2B490" w14:textId="77777777" w:rsidTr="0085722F">
        <w:tc>
          <w:tcPr>
            <w:tcW w:w="506" w:type="pct"/>
            <w:shd w:val="clear" w:color="auto" w:fill="008080"/>
            <w:vAlign w:val="center"/>
          </w:tcPr>
          <w:p w14:paraId="06559561" w14:textId="77777777" w:rsidR="004B3D56" w:rsidRPr="0085722F" w:rsidRDefault="004B3D56" w:rsidP="00BF638E">
            <w:pPr>
              <w:spacing w:before="60" w:after="60"/>
              <w:rPr>
                <w:rFonts w:asciiTheme="minorHAnsi" w:hAnsiTheme="minorHAnsi" w:cstheme="minorHAnsi"/>
                <w:color w:val="FFFFFF" w:themeColor="background1"/>
                <w:sz w:val="21"/>
                <w:szCs w:val="21"/>
                <w:lang w:eastAsia="en-US"/>
              </w:rPr>
            </w:pPr>
            <w:bookmarkStart w:id="10" w:name="RowTitle_DistrictEcosystems"/>
            <w:r w:rsidRPr="0085722F">
              <w:rPr>
                <w:rFonts w:asciiTheme="minorHAnsi" w:eastAsia="Arial" w:hAnsiTheme="minorHAnsi" w:cstheme="minorHAnsi"/>
                <w:b/>
                <w:bCs/>
                <w:color w:val="FFFFFF" w:themeColor="background1"/>
                <w:sz w:val="21"/>
                <w:szCs w:val="21"/>
              </w:rPr>
              <w:t>District Ecosystems</w:t>
            </w:r>
            <w:bookmarkEnd w:id="10"/>
          </w:p>
        </w:tc>
        <w:tc>
          <w:tcPr>
            <w:tcW w:w="915" w:type="pct"/>
            <w:vAlign w:val="center"/>
          </w:tcPr>
          <w:p w14:paraId="1C5060CA" w14:textId="2DE09283" w:rsidR="004B3D56" w:rsidRPr="00E23693" w:rsidRDefault="004B3D56" w:rsidP="00BF638E">
            <w:pPr>
              <w:spacing w:before="60" w:after="60"/>
              <w:rPr>
                <w:rFonts w:asciiTheme="minorHAnsi" w:hAnsiTheme="minorHAnsi" w:cstheme="minorHAnsi"/>
                <w:sz w:val="21"/>
                <w:szCs w:val="21"/>
                <w:lang w:eastAsia="en-US"/>
              </w:rPr>
            </w:pPr>
            <w:r w:rsidRPr="00E23693">
              <w:rPr>
                <w:rFonts w:asciiTheme="minorHAnsi" w:eastAsiaTheme="minorHAnsi" w:hAnsiTheme="minorHAnsi" w:cstheme="minorHAnsi"/>
                <w:sz w:val="21"/>
                <w:szCs w:val="21"/>
              </w:rPr>
              <w:t xml:space="preserve">Support the emergence of collective, </w:t>
            </w:r>
            <w:r w:rsidR="005E0340" w:rsidRPr="00E23693">
              <w:rPr>
                <w:rFonts w:asciiTheme="minorHAnsi" w:eastAsiaTheme="minorHAnsi" w:hAnsiTheme="minorHAnsi" w:cstheme="minorHAnsi"/>
                <w:sz w:val="21"/>
                <w:szCs w:val="21"/>
              </w:rPr>
              <w:t>collaborative,</w:t>
            </w:r>
            <w:r w:rsidRPr="00E23693">
              <w:rPr>
                <w:rFonts w:asciiTheme="minorHAnsi" w:eastAsiaTheme="minorHAnsi" w:hAnsiTheme="minorHAnsi" w:cstheme="minorHAnsi"/>
                <w:sz w:val="21"/>
                <w:szCs w:val="21"/>
              </w:rPr>
              <w:t xml:space="preserve"> and coordinated actions to implement education reforms at district levels</w:t>
            </w:r>
            <w:r w:rsidR="00E05CC5">
              <w:rPr>
                <w:rFonts w:asciiTheme="minorHAnsi" w:eastAsiaTheme="minorHAnsi" w:hAnsiTheme="minorHAnsi" w:cstheme="minorHAnsi"/>
                <w:sz w:val="21"/>
                <w:szCs w:val="21"/>
              </w:rPr>
              <w:t>.</w:t>
            </w:r>
          </w:p>
        </w:tc>
        <w:tc>
          <w:tcPr>
            <w:tcW w:w="852" w:type="pct"/>
            <w:vAlign w:val="center"/>
          </w:tcPr>
          <w:p w14:paraId="529DE1D9" w14:textId="10C53573" w:rsidR="004B3D56" w:rsidRPr="00E23693" w:rsidRDefault="004B3D56" w:rsidP="00BF638E">
            <w:pPr>
              <w:spacing w:before="60" w:after="60"/>
              <w:rPr>
                <w:rFonts w:asciiTheme="minorHAnsi" w:hAnsiTheme="minorHAnsi" w:cstheme="minorHAnsi"/>
                <w:sz w:val="21"/>
                <w:szCs w:val="21"/>
                <w:lang w:eastAsia="en-US"/>
              </w:rPr>
            </w:pPr>
            <w:r w:rsidRPr="00E23693">
              <w:rPr>
                <w:rFonts w:asciiTheme="minorHAnsi" w:eastAsiaTheme="minorHAnsi" w:hAnsiTheme="minorHAnsi" w:cstheme="minorHAnsi"/>
                <w:sz w:val="21"/>
                <w:szCs w:val="21"/>
              </w:rPr>
              <w:t xml:space="preserve">Stakeholders of 25 </w:t>
            </w:r>
            <w:r w:rsidRPr="00E23693">
              <w:rPr>
                <w:rFonts w:asciiTheme="minorHAnsi" w:eastAsiaTheme="minorHAnsi" w:hAnsiTheme="minorHAnsi" w:cstheme="minorHAnsi"/>
                <w:sz w:val="21"/>
                <w:szCs w:val="21"/>
                <w:lang w:eastAsia="en-US"/>
              </w:rPr>
              <w:t>targeted districts, including authorising and supporting organisations active at national, provincial, district, and sub</w:t>
            </w:r>
            <w:r w:rsidRPr="00E23693">
              <w:rPr>
                <w:rFonts w:asciiTheme="minorHAnsi" w:eastAsiaTheme="minorHAnsi" w:hAnsiTheme="minorHAnsi" w:cstheme="minorHAnsi"/>
                <w:sz w:val="21"/>
                <w:szCs w:val="21"/>
              </w:rPr>
              <w:t>-district levels</w:t>
            </w:r>
            <w:r w:rsidR="00E23693">
              <w:rPr>
                <w:rFonts w:asciiTheme="minorHAnsi" w:eastAsiaTheme="minorHAnsi" w:hAnsiTheme="minorHAnsi" w:cstheme="minorHAnsi"/>
                <w:sz w:val="21"/>
                <w:szCs w:val="21"/>
              </w:rPr>
              <w:t xml:space="preserve"> (see Annex </w:t>
            </w:r>
            <w:r w:rsidR="00475A9D">
              <w:rPr>
                <w:rFonts w:asciiTheme="minorHAnsi" w:eastAsiaTheme="minorHAnsi" w:hAnsiTheme="minorHAnsi" w:cstheme="minorHAnsi"/>
                <w:sz w:val="21"/>
                <w:szCs w:val="21"/>
              </w:rPr>
              <w:t>1</w:t>
            </w:r>
            <w:r w:rsidR="00E23693">
              <w:rPr>
                <w:rFonts w:asciiTheme="minorHAnsi" w:eastAsiaTheme="minorHAnsi" w:hAnsiTheme="minorHAnsi" w:cstheme="minorHAnsi"/>
                <w:sz w:val="21"/>
                <w:szCs w:val="21"/>
              </w:rPr>
              <w:t>)</w:t>
            </w:r>
            <w:r w:rsidR="00E05CC5">
              <w:rPr>
                <w:rFonts w:asciiTheme="minorHAnsi" w:eastAsiaTheme="minorHAnsi" w:hAnsiTheme="minorHAnsi" w:cstheme="minorHAnsi"/>
                <w:sz w:val="21"/>
                <w:szCs w:val="21"/>
              </w:rPr>
              <w:t>.</w:t>
            </w:r>
          </w:p>
        </w:tc>
        <w:tc>
          <w:tcPr>
            <w:tcW w:w="1345" w:type="pct"/>
            <w:vAlign w:val="center"/>
          </w:tcPr>
          <w:p w14:paraId="0DEE3214" w14:textId="0682478F" w:rsidR="004B3D56" w:rsidRPr="00E23693" w:rsidRDefault="00A85BC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Stakeholders’</w:t>
            </w:r>
            <w:r w:rsidR="004B3D56" w:rsidRPr="00E23693">
              <w:rPr>
                <w:rFonts w:asciiTheme="minorHAnsi" w:hAnsiTheme="minorHAnsi" w:cstheme="minorHAnsi"/>
                <w:sz w:val="21"/>
              </w:rPr>
              <w:t xml:space="preserve"> analysis and capacity assessment</w:t>
            </w:r>
            <w:r w:rsidR="00E05CC5">
              <w:rPr>
                <w:rFonts w:asciiTheme="minorHAnsi" w:hAnsiTheme="minorHAnsi" w:cstheme="minorHAnsi"/>
                <w:sz w:val="21"/>
              </w:rPr>
              <w:t>.</w:t>
            </w:r>
            <w:r w:rsidR="004B3D56" w:rsidRPr="00E23693">
              <w:rPr>
                <w:rFonts w:asciiTheme="minorHAnsi" w:hAnsiTheme="minorHAnsi" w:cstheme="minorHAnsi"/>
                <w:sz w:val="21"/>
              </w:rPr>
              <w:t xml:space="preserve"> </w:t>
            </w:r>
          </w:p>
          <w:p w14:paraId="0603E07E" w14:textId="4EFFFBC9"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Strategy development</w:t>
            </w:r>
            <w:r w:rsidR="00E05CC5">
              <w:rPr>
                <w:rFonts w:asciiTheme="minorHAnsi" w:hAnsiTheme="minorHAnsi" w:cstheme="minorHAnsi"/>
                <w:sz w:val="21"/>
              </w:rPr>
              <w:t>.</w:t>
            </w:r>
          </w:p>
          <w:p w14:paraId="5DC7F03A" w14:textId="4D6B28C2"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Activity design and implementation</w:t>
            </w:r>
            <w:r w:rsidR="00E05CC5">
              <w:rPr>
                <w:rFonts w:asciiTheme="minorHAnsi" w:hAnsiTheme="minorHAnsi" w:cstheme="minorHAnsi"/>
                <w:sz w:val="21"/>
              </w:rPr>
              <w:t>.</w:t>
            </w:r>
            <w:r w:rsidRPr="00E23693">
              <w:rPr>
                <w:rFonts w:asciiTheme="minorHAnsi" w:hAnsiTheme="minorHAnsi" w:cstheme="minorHAnsi"/>
                <w:sz w:val="21"/>
              </w:rPr>
              <w:t xml:space="preserve"> </w:t>
            </w:r>
          </w:p>
          <w:p w14:paraId="5A57D296" w14:textId="2307730B"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Continuous monitoring and evaluation</w:t>
            </w:r>
            <w:r w:rsidR="00E05CC5">
              <w:rPr>
                <w:rFonts w:asciiTheme="minorHAnsi" w:hAnsiTheme="minorHAnsi" w:cstheme="minorHAnsi"/>
                <w:sz w:val="21"/>
              </w:rPr>
              <w:t>.</w:t>
            </w:r>
            <w:r w:rsidRPr="00E23693">
              <w:rPr>
                <w:rFonts w:asciiTheme="minorHAnsi" w:hAnsiTheme="minorHAnsi" w:cstheme="minorHAnsi"/>
                <w:sz w:val="21"/>
              </w:rPr>
              <w:t xml:space="preserve"> </w:t>
            </w:r>
          </w:p>
          <w:p w14:paraId="7636A572" w14:textId="6FD53B4B"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Reflection and learning events</w:t>
            </w:r>
            <w:r w:rsidR="00E05CC5">
              <w:rPr>
                <w:rFonts w:asciiTheme="minorHAnsi" w:hAnsiTheme="minorHAnsi" w:cstheme="minorHAnsi"/>
                <w:sz w:val="21"/>
              </w:rPr>
              <w:t>.</w:t>
            </w:r>
          </w:p>
          <w:p w14:paraId="29760844" w14:textId="6250A554"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Knowledge sharing and management</w:t>
            </w:r>
            <w:r w:rsidR="00E05CC5">
              <w:rPr>
                <w:rFonts w:asciiTheme="minorHAnsi" w:hAnsiTheme="minorHAnsi" w:cstheme="minorHAnsi"/>
                <w:sz w:val="21"/>
              </w:rPr>
              <w:t>.</w:t>
            </w:r>
          </w:p>
        </w:tc>
        <w:tc>
          <w:tcPr>
            <w:tcW w:w="1382" w:type="pct"/>
            <w:vAlign w:val="center"/>
          </w:tcPr>
          <w:p w14:paraId="3027EA4D" w14:textId="4AE375BC"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PEA analysis</w:t>
            </w:r>
            <w:r w:rsidR="00E05CC5">
              <w:rPr>
                <w:rFonts w:asciiTheme="minorHAnsi" w:hAnsiTheme="minorHAnsi" w:cstheme="minorHAnsi"/>
                <w:sz w:val="21"/>
              </w:rPr>
              <w:t>.</w:t>
            </w:r>
          </w:p>
          <w:p w14:paraId="06545E66" w14:textId="13288E8F"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Capacity needs assessment</w:t>
            </w:r>
            <w:r w:rsidR="00E05CC5">
              <w:rPr>
                <w:rFonts w:asciiTheme="minorHAnsi" w:hAnsiTheme="minorHAnsi" w:cstheme="minorHAnsi"/>
                <w:sz w:val="21"/>
              </w:rPr>
              <w:t>.</w:t>
            </w:r>
          </w:p>
          <w:p w14:paraId="6DB61B09" w14:textId="15F1AE96"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GEDSI and climate change strategies</w:t>
            </w:r>
            <w:r w:rsidR="00E05CC5">
              <w:rPr>
                <w:rFonts w:asciiTheme="minorHAnsi" w:hAnsiTheme="minorHAnsi" w:cstheme="minorHAnsi"/>
                <w:sz w:val="21"/>
              </w:rPr>
              <w:t>.</w:t>
            </w:r>
          </w:p>
          <w:p w14:paraId="7E381A02" w14:textId="73C37187"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Workplans and progress reports</w:t>
            </w:r>
            <w:r w:rsidR="00E05CC5">
              <w:rPr>
                <w:rFonts w:asciiTheme="minorHAnsi" w:hAnsiTheme="minorHAnsi" w:cstheme="minorHAnsi"/>
                <w:sz w:val="21"/>
              </w:rPr>
              <w:t>.</w:t>
            </w:r>
            <w:r w:rsidRPr="00E23693">
              <w:rPr>
                <w:rFonts w:asciiTheme="minorHAnsi" w:hAnsiTheme="minorHAnsi" w:cstheme="minorHAnsi"/>
                <w:sz w:val="21"/>
              </w:rPr>
              <w:t xml:space="preserve"> </w:t>
            </w:r>
          </w:p>
          <w:p w14:paraId="494AB4BD" w14:textId="2BE73B5C"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Study reports</w:t>
            </w:r>
            <w:r w:rsidR="00E05CC5">
              <w:rPr>
                <w:rFonts w:asciiTheme="minorHAnsi" w:hAnsiTheme="minorHAnsi" w:cstheme="minorHAnsi"/>
                <w:sz w:val="21"/>
              </w:rPr>
              <w:t>.</w:t>
            </w:r>
          </w:p>
          <w:p w14:paraId="520493CC" w14:textId="60DD00E0"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Learning events and workshop</w:t>
            </w:r>
            <w:r w:rsidR="00E05CC5">
              <w:rPr>
                <w:rFonts w:asciiTheme="minorHAnsi" w:hAnsiTheme="minorHAnsi" w:cstheme="minorHAnsi"/>
                <w:sz w:val="21"/>
              </w:rPr>
              <w:t>.</w:t>
            </w:r>
          </w:p>
          <w:p w14:paraId="14A6CA7C" w14:textId="19778405"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Sharing events</w:t>
            </w:r>
            <w:r w:rsidR="00E05CC5">
              <w:rPr>
                <w:rFonts w:asciiTheme="minorHAnsi" w:hAnsiTheme="minorHAnsi" w:cstheme="minorHAnsi"/>
                <w:sz w:val="21"/>
              </w:rPr>
              <w:t>.</w:t>
            </w:r>
          </w:p>
        </w:tc>
      </w:tr>
      <w:tr w:rsidR="00EF774E" w:rsidRPr="00E23693" w14:paraId="319337D3" w14:textId="77777777" w:rsidTr="0085722F">
        <w:tc>
          <w:tcPr>
            <w:tcW w:w="506" w:type="pct"/>
            <w:shd w:val="clear" w:color="auto" w:fill="008080"/>
            <w:vAlign w:val="center"/>
          </w:tcPr>
          <w:p w14:paraId="2BC5D706" w14:textId="404FA345" w:rsidR="004B3D56" w:rsidRPr="0085722F" w:rsidRDefault="004B3D56" w:rsidP="00BF638E">
            <w:pPr>
              <w:spacing w:before="60" w:after="60"/>
              <w:rPr>
                <w:rFonts w:asciiTheme="minorHAnsi" w:hAnsiTheme="minorHAnsi" w:cstheme="minorHAnsi"/>
                <w:color w:val="FFFFFF" w:themeColor="background1"/>
                <w:sz w:val="21"/>
                <w:szCs w:val="21"/>
                <w:lang w:eastAsia="en-US"/>
              </w:rPr>
            </w:pPr>
            <w:bookmarkStart w:id="11" w:name="RowTitle_TechnicalAssistance"/>
            <w:r w:rsidRPr="0085722F">
              <w:rPr>
                <w:rFonts w:asciiTheme="minorHAnsi" w:eastAsia="Arial" w:hAnsiTheme="minorHAnsi" w:cstheme="minorHAnsi"/>
                <w:b/>
                <w:bCs/>
                <w:color w:val="FFFFFF" w:themeColor="background1"/>
                <w:sz w:val="21"/>
                <w:szCs w:val="21"/>
              </w:rPr>
              <w:t>Technical assistance</w:t>
            </w:r>
            <w:r w:rsidR="00422597" w:rsidRPr="0085722F">
              <w:rPr>
                <w:rFonts w:asciiTheme="minorHAnsi" w:eastAsia="Arial" w:hAnsiTheme="minorHAnsi" w:cstheme="minorHAnsi"/>
                <w:b/>
                <w:bCs/>
                <w:color w:val="FFFFFF" w:themeColor="background1"/>
                <w:sz w:val="21"/>
                <w:szCs w:val="21"/>
              </w:rPr>
              <w:t xml:space="preserve"> (TA)</w:t>
            </w:r>
            <w:bookmarkEnd w:id="11"/>
          </w:p>
        </w:tc>
        <w:tc>
          <w:tcPr>
            <w:tcW w:w="915" w:type="pct"/>
            <w:vAlign w:val="center"/>
          </w:tcPr>
          <w:p w14:paraId="5FD6CB6F" w14:textId="1CB7DB51" w:rsidR="004B3D56" w:rsidRPr="00E23693" w:rsidRDefault="004B3D56" w:rsidP="00BF638E">
            <w:pPr>
              <w:spacing w:before="60" w:after="60"/>
              <w:rPr>
                <w:rFonts w:asciiTheme="minorHAnsi" w:hAnsiTheme="minorHAnsi" w:cstheme="minorHAnsi"/>
                <w:sz w:val="21"/>
                <w:szCs w:val="21"/>
                <w:lang w:eastAsia="en-US"/>
              </w:rPr>
            </w:pPr>
            <w:r w:rsidRPr="00E23693">
              <w:rPr>
                <w:rFonts w:asciiTheme="minorHAnsi" w:eastAsiaTheme="minorHAnsi" w:hAnsiTheme="minorHAnsi" w:cstheme="minorHAnsi"/>
                <w:sz w:val="21"/>
                <w:szCs w:val="21"/>
              </w:rPr>
              <w:t>Provision of technical expertise to develop capabilities and fill capacity gaps of selected national and subnational stakeholders</w:t>
            </w:r>
            <w:r w:rsidR="00E05CC5">
              <w:rPr>
                <w:rFonts w:asciiTheme="minorHAnsi" w:eastAsiaTheme="minorHAnsi" w:hAnsiTheme="minorHAnsi" w:cstheme="minorHAnsi"/>
                <w:sz w:val="21"/>
                <w:szCs w:val="21"/>
              </w:rPr>
              <w:t>.</w:t>
            </w:r>
            <w:r w:rsidRPr="00E23693">
              <w:rPr>
                <w:rFonts w:asciiTheme="minorHAnsi" w:eastAsiaTheme="minorHAnsi" w:hAnsiTheme="minorHAnsi" w:cstheme="minorHAnsi"/>
                <w:sz w:val="21"/>
                <w:szCs w:val="21"/>
              </w:rPr>
              <w:t xml:space="preserve"> </w:t>
            </w:r>
          </w:p>
        </w:tc>
        <w:tc>
          <w:tcPr>
            <w:tcW w:w="852" w:type="pct"/>
            <w:vAlign w:val="center"/>
          </w:tcPr>
          <w:p w14:paraId="4E473B63" w14:textId="25E4B7E5"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Targeted national and provincial stakeholders</w:t>
            </w:r>
            <w:r w:rsidR="00E05CC5">
              <w:rPr>
                <w:rFonts w:asciiTheme="minorHAnsi" w:hAnsiTheme="minorHAnsi" w:cstheme="minorHAnsi"/>
                <w:sz w:val="21"/>
              </w:rPr>
              <w:t>.</w:t>
            </w:r>
          </w:p>
          <w:p w14:paraId="1DBE2B8B" w14:textId="526F8E6D"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All districts within targeted provinces</w:t>
            </w:r>
            <w:r w:rsidR="00E05CC5">
              <w:rPr>
                <w:rFonts w:asciiTheme="minorHAnsi" w:hAnsiTheme="minorHAnsi" w:cstheme="minorHAnsi"/>
                <w:sz w:val="21"/>
              </w:rPr>
              <w:t>.</w:t>
            </w:r>
          </w:p>
        </w:tc>
        <w:tc>
          <w:tcPr>
            <w:tcW w:w="1345" w:type="pct"/>
            <w:vAlign w:val="center"/>
          </w:tcPr>
          <w:p w14:paraId="23994086" w14:textId="16411CF5"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Capacity gap analysis</w:t>
            </w:r>
            <w:r w:rsidR="00E05CC5">
              <w:rPr>
                <w:rFonts w:asciiTheme="minorHAnsi" w:hAnsiTheme="minorHAnsi" w:cstheme="minorHAnsi"/>
                <w:sz w:val="21"/>
              </w:rPr>
              <w:t>.</w:t>
            </w:r>
          </w:p>
          <w:p w14:paraId="494D2407" w14:textId="5B00A3BE"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Responsive deployment of TA</w:t>
            </w:r>
            <w:r w:rsidR="00E05CC5">
              <w:rPr>
                <w:rFonts w:asciiTheme="minorHAnsi" w:hAnsiTheme="minorHAnsi" w:cstheme="minorHAnsi"/>
                <w:sz w:val="21"/>
              </w:rPr>
              <w:t>.</w:t>
            </w:r>
          </w:p>
          <w:p w14:paraId="2F6C0818" w14:textId="42968777"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Training workshops (GEDSI, MEL)</w:t>
            </w:r>
            <w:r w:rsidR="00E05CC5">
              <w:rPr>
                <w:rFonts w:asciiTheme="minorHAnsi" w:hAnsiTheme="minorHAnsi" w:cstheme="minorHAnsi"/>
                <w:sz w:val="21"/>
              </w:rPr>
              <w:t>.</w:t>
            </w:r>
          </w:p>
          <w:p w14:paraId="5E7F5B9B" w14:textId="23D7B919"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Facilitation of peer learning groups</w:t>
            </w:r>
            <w:r w:rsidR="00E05CC5">
              <w:rPr>
                <w:rFonts w:asciiTheme="minorHAnsi" w:hAnsiTheme="minorHAnsi" w:cstheme="minorHAnsi"/>
                <w:sz w:val="21"/>
              </w:rPr>
              <w:t>.</w:t>
            </w:r>
          </w:p>
        </w:tc>
        <w:tc>
          <w:tcPr>
            <w:tcW w:w="1382" w:type="pct"/>
            <w:vAlign w:val="center"/>
          </w:tcPr>
          <w:p w14:paraId="56EA2FCF" w14:textId="191063D9"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Embedded technical assistance</w:t>
            </w:r>
            <w:r w:rsidR="00E05CC5">
              <w:rPr>
                <w:rFonts w:asciiTheme="minorHAnsi" w:hAnsiTheme="minorHAnsi" w:cstheme="minorHAnsi"/>
                <w:sz w:val="21"/>
              </w:rPr>
              <w:t>.</w:t>
            </w:r>
          </w:p>
          <w:p w14:paraId="7139049E" w14:textId="24D33FDE"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Training sessions and workshops</w:t>
            </w:r>
            <w:r w:rsidR="00E05CC5">
              <w:rPr>
                <w:rFonts w:asciiTheme="minorHAnsi" w:hAnsiTheme="minorHAnsi" w:cstheme="minorHAnsi"/>
                <w:sz w:val="21"/>
              </w:rPr>
              <w:t>.</w:t>
            </w:r>
          </w:p>
          <w:p w14:paraId="33731B3C" w14:textId="5745FECA"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Study plans and reports</w:t>
            </w:r>
            <w:r w:rsidR="00E05CC5">
              <w:rPr>
                <w:rFonts w:asciiTheme="minorHAnsi" w:hAnsiTheme="minorHAnsi" w:cstheme="minorHAnsi"/>
                <w:sz w:val="21"/>
              </w:rPr>
              <w:t>.</w:t>
            </w:r>
          </w:p>
          <w:p w14:paraId="61E88DC2" w14:textId="334C6EBD"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Policy brief and advice</w:t>
            </w:r>
            <w:r w:rsidR="00E05CC5">
              <w:rPr>
                <w:rFonts w:asciiTheme="minorHAnsi" w:hAnsiTheme="minorHAnsi" w:cstheme="minorHAnsi"/>
                <w:sz w:val="21"/>
              </w:rPr>
              <w:t>.</w:t>
            </w:r>
          </w:p>
        </w:tc>
      </w:tr>
      <w:tr w:rsidR="00EF774E" w:rsidRPr="00E23693" w14:paraId="0310FAAD" w14:textId="77777777" w:rsidTr="0085722F">
        <w:tc>
          <w:tcPr>
            <w:tcW w:w="506" w:type="pct"/>
            <w:shd w:val="clear" w:color="auto" w:fill="008080"/>
            <w:vAlign w:val="center"/>
          </w:tcPr>
          <w:p w14:paraId="77D16627" w14:textId="77777777" w:rsidR="004B3D56" w:rsidRPr="0085722F" w:rsidRDefault="004B3D56" w:rsidP="00BF638E">
            <w:pPr>
              <w:spacing w:before="60" w:after="60"/>
              <w:rPr>
                <w:rFonts w:asciiTheme="minorHAnsi" w:hAnsiTheme="minorHAnsi" w:cstheme="minorHAnsi"/>
                <w:color w:val="FFFFFF" w:themeColor="background1"/>
                <w:sz w:val="21"/>
                <w:szCs w:val="21"/>
                <w:lang w:eastAsia="en-US"/>
              </w:rPr>
            </w:pPr>
            <w:bookmarkStart w:id="12" w:name="RowTitle_EvidenceAndKnowledge"/>
            <w:r w:rsidRPr="0085722F">
              <w:rPr>
                <w:rFonts w:asciiTheme="minorHAnsi" w:eastAsia="Arial" w:hAnsiTheme="minorHAnsi" w:cstheme="minorHAnsi"/>
                <w:b/>
                <w:bCs/>
                <w:color w:val="FFFFFF" w:themeColor="background1"/>
                <w:sz w:val="21"/>
                <w:szCs w:val="21"/>
              </w:rPr>
              <w:t>Evidence and knowledge</w:t>
            </w:r>
            <w:bookmarkEnd w:id="12"/>
          </w:p>
        </w:tc>
        <w:tc>
          <w:tcPr>
            <w:tcW w:w="915" w:type="pct"/>
            <w:vAlign w:val="center"/>
          </w:tcPr>
          <w:p w14:paraId="3748D177" w14:textId="54658598" w:rsidR="004B3D56" w:rsidRPr="00E23693" w:rsidRDefault="004B3D56" w:rsidP="00BF638E">
            <w:pPr>
              <w:spacing w:before="60" w:after="60"/>
              <w:rPr>
                <w:rFonts w:asciiTheme="minorHAnsi" w:hAnsiTheme="minorHAnsi" w:cstheme="minorHAnsi"/>
                <w:sz w:val="21"/>
                <w:szCs w:val="21"/>
                <w:lang w:eastAsia="en-US"/>
              </w:rPr>
            </w:pPr>
            <w:r w:rsidRPr="00E23693">
              <w:rPr>
                <w:rFonts w:asciiTheme="minorHAnsi" w:eastAsiaTheme="minorHAnsi" w:hAnsiTheme="minorHAnsi" w:cstheme="minorHAnsi"/>
                <w:sz w:val="21"/>
                <w:szCs w:val="21"/>
              </w:rPr>
              <w:t>Development and dissemination of compelling evidence to potential knowledge users</w:t>
            </w:r>
            <w:r w:rsidR="00E05CC5">
              <w:rPr>
                <w:rFonts w:asciiTheme="minorHAnsi" w:eastAsiaTheme="minorHAnsi" w:hAnsiTheme="minorHAnsi" w:cstheme="minorHAnsi"/>
                <w:sz w:val="21"/>
                <w:szCs w:val="21"/>
              </w:rPr>
              <w:t>.</w:t>
            </w:r>
          </w:p>
        </w:tc>
        <w:tc>
          <w:tcPr>
            <w:tcW w:w="852" w:type="pct"/>
            <w:vAlign w:val="center"/>
          </w:tcPr>
          <w:p w14:paraId="7F98A043" w14:textId="365F11FF"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Targeted provincial and national stakeholders</w:t>
            </w:r>
            <w:r w:rsidR="00E05CC5">
              <w:rPr>
                <w:rFonts w:asciiTheme="minorHAnsi" w:hAnsiTheme="minorHAnsi" w:cstheme="minorHAnsi"/>
                <w:sz w:val="21"/>
              </w:rPr>
              <w:t>.</w:t>
            </w:r>
          </w:p>
          <w:p w14:paraId="1D4928F9" w14:textId="55C309E2"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All districts within targeted provinces</w:t>
            </w:r>
            <w:r w:rsidR="00E05CC5">
              <w:rPr>
                <w:rFonts w:asciiTheme="minorHAnsi" w:hAnsiTheme="minorHAnsi" w:cstheme="minorHAnsi"/>
                <w:sz w:val="21"/>
              </w:rPr>
              <w:t>.</w:t>
            </w:r>
          </w:p>
        </w:tc>
        <w:tc>
          <w:tcPr>
            <w:tcW w:w="1345" w:type="pct"/>
            <w:vAlign w:val="center"/>
          </w:tcPr>
          <w:p w14:paraId="1AB58B09" w14:textId="77777777"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Analytical and research studies</w:t>
            </w:r>
          </w:p>
          <w:p w14:paraId="41A3A30C" w14:textId="784236E1"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Syntheses and Policy Briefs</w:t>
            </w:r>
            <w:r w:rsidR="00E05CC5">
              <w:rPr>
                <w:rFonts w:asciiTheme="minorHAnsi" w:hAnsiTheme="minorHAnsi" w:cstheme="minorHAnsi"/>
                <w:sz w:val="21"/>
              </w:rPr>
              <w:t>.</w:t>
            </w:r>
          </w:p>
          <w:p w14:paraId="3DB2E7D7" w14:textId="1F404E60"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Knowledge sharing events (workshop, conference, webinars, etc.)</w:t>
            </w:r>
            <w:r w:rsidR="00E05CC5">
              <w:rPr>
                <w:rFonts w:asciiTheme="minorHAnsi" w:hAnsiTheme="minorHAnsi" w:cstheme="minorHAnsi"/>
                <w:sz w:val="21"/>
              </w:rPr>
              <w:t>.</w:t>
            </w:r>
          </w:p>
          <w:p w14:paraId="1374ECD7" w14:textId="010B7D70"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Media engagement</w:t>
            </w:r>
            <w:r w:rsidR="00E05CC5">
              <w:rPr>
                <w:rFonts w:asciiTheme="minorHAnsi" w:hAnsiTheme="minorHAnsi" w:cstheme="minorHAnsi"/>
                <w:sz w:val="21"/>
              </w:rPr>
              <w:t>.</w:t>
            </w:r>
          </w:p>
        </w:tc>
        <w:tc>
          <w:tcPr>
            <w:tcW w:w="1382" w:type="pct"/>
            <w:vAlign w:val="center"/>
          </w:tcPr>
          <w:p w14:paraId="07AE9D65" w14:textId="30D7ECE2"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Policy briefs and synthesis</w:t>
            </w:r>
            <w:r w:rsidR="00E05CC5">
              <w:rPr>
                <w:rFonts w:asciiTheme="minorHAnsi" w:hAnsiTheme="minorHAnsi" w:cstheme="minorHAnsi"/>
                <w:sz w:val="21"/>
              </w:rPr>
              <w:t>.</w:t>
            </w:r>
          </w:p>
          <w:p w14:paraId="50D8E263" w14:textId="66A7609C"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Study plans and reports</w:t>
            </w:r>
            <w:r w:rsidR="00E05CC5">
              <w:rPr>
                <w:rFonts w:asciiTheme="minorHAnsi" w:hAnsiTheme="minorHAnsi" w:cstheme="minorHAnsi"/>
                <w:sz w:val="21"/>
              </w:rPr>
              <w:t>.</w:t>
            </w:r>
          </w:p>
          <w:p w14:paraId="2B71E0BC" w14:textId="3E322317"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Evaluation plans and reports</w:t>
            </w:r>
            <w:r w:rsidR="00E05CC5">
              <w:rPr>
                <w:rFonts w:asciiTheme="minorHAnsi" w:hAnsiTheme="minorHAnsi" w:cstheme="minorHAnsi"/>
                <w:sz w:val="21"/>
              </w:rPr>
              <w:t>.</w:t>
            </w:r>
          </w:p>
          <w:p w14:paraId="4AC74DEF" w14:textId="2479066B"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Learning events and workshop</w:t>
            </w:r>
            <w:r w:rsidR="00E05CC5">
              <w:rPr>
                <w:rFonts w:asciiTheme="minorHAnsi" w:hAnsiTheme="minorHAnsi" w:cstheme="minorHAnsi"/>
                <w:sz w:val="21"/>
              </w:rPr>
              <w:t>.</w:t>
            </w:r>
          </w:p>
          <w:p w14:paraId="5B05A828" w14:textId="51F80146"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Sharing events</w:t>
            </w:r>
            <w:r w:rsidR="00E05CC5">
              <w:rPr>
                <w:rFonts w:asciiTheme="minorHAnsi" w:hAnsiTheme="minorHAnsi" w:cstheme="minorHAnsi"/>
                <w:sz w:val="21"/>
              </w:rPr>
              <w:t>.</w:t>
            </w:r>
          </w:p>
        </w:tc>
      </w:tr>
      <w:tr w:rsidR="00EF774E" w:rsidRPr="00E23693" w14:paraId="5FE95D69" w14:textId="77777777" w:rsidTr="0085722F">
        <w:tc>
          <w:tcPr>
            <w:tcW w:w="506" w:type="pct"/>
            <w:shd w:val="clear" w:color="auto" w:fill="008080"/>
            <w:vAlign w:val="center"/>
          </w:tcPr>
          <w:p w14:paraId="3D6D60CA" w14:textId="77777777" w:rsidR="004B3D56" w:rsidRPr="0085722F" w:rsidRDefault="004B3D56" w:rsidP="00BF638E">
            <w:pPr>
              <w:spacing w:before="60" w:after="60"/>
              <w:rPr>
                <w:rFonts w:asciiTheme="minorHAnsi" w:hAnsiTheme="minorHAnsi" w:cstheme="minorHAnsi"/>
                <w:color w:val="FFFFFF" w:themeColor="background1"/>
                <w:sz w:val="21"/>
                <w:szCs w:val="21"/>
                <w:lang w:eastAsia="en-US"/>
              </w:rPr>
            </w:pPr>
            <w:bookmarkStart w:id="13" w:name="RowTitle_InstitutionalPartnerships"/>
            <w:r w:rsidRPr="0085722F">
              <w:rPr>
                <w:rFonts w:asciiTheme="minorHAnsi" w:eastAsia="Arial" w:hAnsiTheme="minorHAnsi" w:cstheme="minorHAnsi"/>
                <w:b/>
                <w:bCs/>
                <w:color w:val="FFFFFF" w:themeColor="background1"/>
                <w:sz w:val="21"/>
                <w:szCs w:val="21"/>
              </w:rPr>
              <w:t>Institutional partnerships</w:t>
            </w:r>
            <w:bookmarkEnd w:id="13"/>
          </w:p>
        </w:tc>
        <w:tc>
          <w:tcPr>
            <w:tcW w:w="915" w:type="pct"/>
            <w:vAlign w:val="center"/>
          </w:tcPr>
          <w:p w14:paraId="28270A17" w14:textId="1A3590BE" w:rsidR="004B3D56" w:rsidRPr="00E23693" w:rsidRDefault="004B3D56" w:rsidP="00BF638E">
            <w:pPr>
              <w:spacing w:before="60" w:after="60"/>
              <w:rPr>
                <w:rFonts w:asciiTheme="minorHAnsi" w:hAnsiTheme="minorHAnsi" w:cstheme="minorHAnsi"/>
                <w:sz w:val="21"/>
                <w:szCs w:val="21"/>
                <w:lang w:eastAsia="en-US"/>
              </w:rPr>
            </w:pPr>
            <w:r w:rsidRPr="00E23693">
              <w:rPr>
                <w:rFonts w:asciiTheme="minorHAnsi" w:eastAsiaTheme="minorHAnsi" w:hAnsiTheme="minorHAnsi" w:cstheme="minorHAnsi"/>
                <w:sz w:val="21"/>
                <w:szCs w:val="21"/>
              </w:rPr>
              <w:t>Partnering targeted stakeholders with relevant external peer institutions</w:t>
            </w:r>
            <w:r w:rsidR="007768D2">
              <w:rPr>
                <w:rFonts w:asciiTheme="minorHAnsi" w:eastAsiaTheme="minorHAnsi" w:hAnsiTheme="minorHAnsi" w:cstheme="minorHAnsi"/>
                <w:sz w:val="21"/>
                <w:szCs w:val="21"/>
              </w:rPr>
              <w:t>.</w:t>
            </w:r>
            <w:r w:rsidRPr="00E23693">
              <w:rPr>
                <w:rFonts w:asciiTheme="minorHAnsi" w:eastAsiaTheme="minorHAnsi" w:hAnsiTheme="minorHAnsi" w:cstheme="minorHAnsi"/>
                <w:sz w:val="21"/>
                <w:szCs w:val="21"/>
              </w:rPr>
              <w:t xml:space="preserve"> </w:t>
            </w:r>
          </w:p>
        </w:tc>
        <w:tc>
          <w:tcPr>
            <w:tcW w:w="852" w:type="pct"/>
            <w:vAlign w:val="center"/>
          </w:tcPr>
          <w:p w14:paraId="7CBAE3A0" w14:textId="3AD4902D"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Targeted provincial and national stakeholders</w:t>
            </w:r>
            <w:r w:rsidR="00E05CC5">
              <w:rPr>
                <w:rFonts w:asciiTheme="minorHAnsi" w:hAnsiTheme="minorHAnsi" w:cstheme="minorHAnsi"/>
                <w:sz w:val="21"/>
              </w:rPr>
              <w:t>.</w:t>
            </w:r>
          </w:p>
          <w:p w14:paraId="28BB7813" w14:textId="13FE97ED"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Australian and regional partners</w:t>
            </w:r>
            <w:r w:rsidR="007768D2">
              <w:rPr>
                <w:rFonts w:asciiTheme="minorHAnsi" w:hAnsiTheme="minorHAnsi" w:cstheme="minorHAnsi"/>
                <w:sz w:val="21"/>
              </w:rPr>
              <w:t>.</w:t>
            </w:r>
          </w:p>
        </w:tc>
        <w:tc>
          <w:tcPr>
            <w:tcW w:w="1345" w:type="pct"/>
            <w:vAlign w:val="center"/>
          </w:tcPr>
          <w:p w14:paraId="3AFA29A0" w14:textId="06E5DF46"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Partnership brokering and facilitation</w:t>
            </w:r>
            <w:r w:rsidR="00E05CC5">
              <w:rPr>
                <w:rFonts w:asciiTheme="minorHAnsi" w:hAnsiTheme="minorHAnsi" w:cstheme="minorHAnsi"/>
                <w:sz w:val="21"/>
              </w:rPr>
              <w:t>.</w:t>
            </w:r>
          </w:p>
          <w:p w14:paraId="2A1BA5DC" w14:textId="3BB33EC5"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Grant</w:t>
            </w:r>
            <w:r w:rsidR="00A22C23">
              <w:rPr>
                <w:rFonts w:asciiTheme="minorHAnsi" w:hAnsiTheme="minorHAnsi" w:cstheme="minorHAnsi"/>
                <w:sz w:val="21"/>
              </w:rPr>
              <w:t>s</w:t>
            </w:r>
            <w:r w:rsidR="00E05CC5">
              <w:rPr>
                <w:rFonts w:asciiTheme="minorHAnsi" w:hAnsiTheme="minorHAnsi" w:cstheme="minorHAnsi"/>
                <w:sz w:val="21"/>
              </w:rPr>
              <w:t>.</w:t>
            </w:r>
          </w:p>
          <w:p w14:paraId="01B6AE62" w14:textId="667BEA33"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Partnership monitoring</w:t>
            </w:r>
            <w:r w:rsidR="00E05CC5">
              <w:rPr>
                <w:rFonts w:asciiTheme="minorHAnsi" w:hAnsiTheme="minorHAnsi" w:cstheme="minorHAnsi"/>
                <w:sz w:val="21"/>
              </w:rPr>
              <w:t>.</w:t>
            </w:r>
          </w:p>
        </w:tc>
        <w:tc>
          <w:tcPr>
            <w:tcW w:w="1382" w:type="pct"/>
            <w:vAlign w:val="center"/>
          </w:tcPr>
          <w:p w14:paraId="0FC9ECB9" w14:textId="3255C26E"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Study tours and visits</w:t>
            </w:r>
            <w:r w:rsidR="00E05CC5">
              <w:rPr>
                <w:rFonts w:asciiTheme="minorHAnsi" w:hAnsiTheme="minorHAnsi" w:cstheme="minorHAnsi"/>
                <w:sz w:val="21"/>
              </w:rPr>
              <w:t>.</w:t>
            </w:r>
            <w:r w:rsidRPr="00E23693">
              <w:rPr>
                <w:rFonts w:asciiTheme="minorHAnsi" w:hAnsiTheme="minorHAnsi" w:cstheme="minorHAnsi"/>
                <w:sz w:val="21"/>
              </w:rPr>
              <w:t xml:space="preserve"> </w:t>
            </w:r>
          </w:p>
          <w:p w14:paraId="508B4142" w14:textId="1F10D44C"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Twinning arrangements (e.g. TTI and Australian University)</w:t>
            </w:r>
            <w:r w:rsidR="00E05CC5">
              <w:rPr>
                <w:rFonts w:asciiTheme="minorHAnsi" w:hAnsiTheme="minorHAnsi" w:cstheme="minorHAnsi"/>
                <w:sz w:val="21"/>
              </w:rPr>
              <w:t>.</w:t>
            </w:r>
          </w:p>
          <w:p w14:paraId="095368D5" w14:textId="63AD3562"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Grants</w:t>
            </w:r>
            <w:r w:rsidR="00E05CC5">
              <w:rPr>
                <w:rFonts w:asciiTheme="minorHAnsi" w:hAnsiTheme="minorHAnsi" w:cstheme="minorHAnsi"/>
                <w:sz w:val="21"/>
              </w:rPr>
              <w:t>.</w:t>
            </w:r>
          </w:p>
        </w:tc>
      </w:tr>
      <w:tr w:rsidR="004B3D56" w:rsidRPr="00E23693" w14:paraId="3C8EA7A2" w14:textId="77777777" w:rsidTr="0085722F">
        <w:tc>
          <w:tcPr>
            <w:tcW w:w="506" w:type="pct"/>
            <w:shd w:val="clear" w:color="auto" w:fill="008080"/>
            <w:vAlign w:val="center"/>
          </w:tcPr>
          <w:p w14:paraId="16B18187" w14:textId="77777777" w:rsidR="004B3D56" w:rsidRPr="0085722F" w:rsidRDefault="004B3D56" w:rsidP="00BF638E">
            <w:pPr>
              <w:spacing w:before="60" w:after="60"/>
              <w:rPr>
                <w:rFonts w:asciiTheme="minorHAnsi" w:hAnsiTheme="minorHAnsi" w:cstheme="minorHAnsi"/>
                <w:color w:val="FFFFFF" w:themeColor="background1"/>
                <w:sz w:val="21"/>
                <w:szCs w:val="21"/>
                <w:lang w:eastAsia="en-US"/>
              </w:rPr>
            </w:pPr>
            <w:bookmarkStart w:id="14" w:name="RowTitle_PilotsAndTrials"/>
            <w:r w:rsidRPr="0085722F">
              <w:rPr>
                <w:rFonts w:asciiTheme="minorHAnsi" w:eastAsia="Arial" w:hAnsiTheme="minorHAnsi" w:cstheme="minorHAnsi"/>
                <w:b/>
                <w:bCs/>
                <w:color w:val="FFFFFF" w:themeColor="background1"/>
                <w:sz w:val="21"/>
                <w:szCs w:val="21"/>
              </w:rPr>
              <w:t>Pilots and trials</w:t>
            </w:r>
            <w:bookmarkEnd w:id="14"/>
          </w:p>
        </w:tc>
        <w:tc>
          <w:tcPr>
            <w:tcW w:w="915" w:type="pct"/>
            <w:vAlign w:val="center"/>
          </w:tcPr>
          <w:p w14:paraId="32C2DF9A" w14:textId="29171CD7" w:rsidR="004B3D56" w:rsidRPr="00E23693" w:rsidRDefault="004B3D56" w:rsidP="00BF638E">
            <w:pPr>
              <w:spacing w:before="60" w:after="60"/>
              <w:rPr>
                <w:rFonts w:asciiTheme="minorHAnsi" w:hAnsiTheme="minorHAnsi" w:cstheme="minorHAnsi"/>
                <w:sz w:val="21"/>
                <w:szCs w:val="21"/>
                <w:lang w:eastAsia="en-US"/>
              </w:rPr>
            </w:pPr>
            <w:r w:rsidRPr="00E23693">
              <w:rPr>
                <w:rFonts w:asciiTheme="minorHAnsi" w:eastAsiaTheme="minorHAnsi" w:hAnsiTheme="minorHAnsi" w:cstheme="minorHAnsi"/>
                <w:sz w:val="21"/>
                <w:szCs w:val="21"/>
              </w:rPr>
              <w:t>Trialling new solutions and/or new initiatives to respond to specific issues</w:t>
            </w:r>
            <w:r w:rsidR="007768D2">
              <w:rPr>
                <w:rFonts w:asciiTheme="minorHAnsi" w:eastAsiaTheme="minorHAnsi" w:hAnsiTheme="minorHAnsi" w:cstheme="minorHAnsi"/>
                <w:sz w:val="21"/>
                <w:szCs w:val="21"/>
              </w:rPr>
              <w:t>.</w:t>
            </w:r>
          </w:p>
        </w:tc>
        <w:tc>
          <w:tcPr>
            <w:tcW w:w="852" w:type="pct"/>
            <w:vAlign w:val="center"/>
          </w:tcPr>
          <w:p w14:paraId="7908DC53" w14:textId="76BA315B"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Targeted national and provincial stakeholders</w:t>
            </w:r>
            <w:r w:rsidR="007768D2">
              <w:rPr>
                <w:rFonts w:asciiTheme="minorHAnsi" w:hAnsiTheme="minorHAnsi" w:cstheme="minorHAnsi"/>
                <w:sz w:val="21"/>
              </w:rPr>
              <w:t>.</w:t>
            </w:r>
          </w:p>
          <w:p w14:paraId="63F963FF" w14:textId="60045450"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All districts within targeted provinces</w:t>
            </w:r>
            <w:r w:rsidR="007768D2">
              <w:rPr>
                <w:rFonts w:asciiTheme="minorHAnsi" w:hAnsiTheme="minorHAnsi" w:cstheme="minorHAnsi"/>
                <w:sz w:val="21"/>
              </w:rPr>
              <w:t>.</w:t>
            </w:r>
          </w:p>
        </w:tc>
        <w:tc>
          <w:tcPr>
            <w:tcW w:w="1345" w:type="pct"/>
            <w:vAlign w:val="center"/>
          </w:tcPr>
          <w:p w14:paraId="717E139D" w14:textId="21235C67"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Problem identification</w:t>
            </w:r>
            <w:r w:rsidR="007768D2">
              <w:rPr>
                <w:rFonts w:asciiTheme="minorHAnsi" w:hAnsiTheme="minorHAnsi" w:cstheme="minorHAnsi"/>
                <w:sz w:val="21"/>
              </w:rPr>
              <w:t>.</w:t>
            </w:r>
          </w:p>
          <w:p w14:paraId="0CC3500B" w14:textId="649C9F00"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Design and implementation of experiment</w:t>
            </w:r>
            <w:r w:rsidR="007768D2">
              <w:rPr>
                <w:rFonts w:asciiTheme="minorHAnsi" w:hAnsiTheme="minorHAnsi" w:cstheme="minorHAnsi"/>
                <w:sz w:val="21"/>
              </w:rPr>
              <w:t>.</w:t>
            </w:r>
          </w:p>
          <w:p w14:paraId="3BE27FF3" w14:textId="678CBD0E"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Monitoring and Evaluation</w:t>
            </w:r>
            <w:r w:rsidR="007768D2">
              <w:rPr>
                <w:rFonts w:asciiTheme="minorHAnsi" w:hAnsiTheme="minorHAnsi" w:cstheme="minorHAnsi"/>
                <w:sz w:val="21"/>
              </w:rPr>
              <w:t>.</w:t>
            </w:r>
          </w:p>
          <w:p w14:paraId="7B5371D4" w14:textId="1D3DBE2B"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Lessons and knowledge sharing</w:t>
            </w:r>
            <w:r w:rsidR="007768D2">
              <w:rPr>
                <w:rFonts w:asciiTheme="minorHAnsi" w:hAnsiTheme="minorHAnsi" w:cstheme="minorHAnsi"/>
                <w:sz w:val="21"/>
              </w:rPr>
              <w:t>.</w:t>
            </w:r>
          </w:p>
        </w:tc>
        <w:tc>
          <w:tcPr>
            <w:tcW w:w="1382" w:type="pct"/>
            <w:vAlign w:val="center"/>
          </w:tcPr>
          <w:p w14:paraId="4B42C914" w14:textId="64B549AA"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Concept notes and design</w:t>
            </w:r>
            <w:r w:rsidR="007768D2">
              <w:rPr>
                <w:rFonts w:asciiTheme="minorHAnsi" w:hAnsiTheme="minorHAnsi" w:cstheme="minorHAnsi"/>
                <w:sz w:val="21"/>
              </w:rPr>
              <w:t>.</w:t>
            </w:r>
          </w:p>
          <w:p w14:paraId="5C28CFDE" w14:textId="19D7FAFE"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Workplans and progress reports</w:t>
            </w:r>
            <w:r w:rsidR="007768D2">
              <w:rPr>
                <w:rFonts w:asciiTheme="minorHAnsi" w:hAnsiTheme="minorHAnsi" w:cstheme="minorHAnsi"/>
                <w:sz w:val="21"/>
              </w:rPr>
              <w:t>.</w:t>
            </w:r>
          </w:p>
          <w:p w14:paraId="24BB5C0E" w14:textId="0DC49BE6"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Grants</w:t>
            </w:r>
            <w:r w:rsidR="007768D2">
              <w:rPr>
                <w:rFonts w:asciiTheme="minorHAnsi" w:hAnsiTheme="minorHAnsi" w:cstheme="minorHAnsi"/>
                <w:sz w:val="21"/>
              </w:rPr>
              <w:t>.</w:t>
            </w:r>
          </w:p>
          <w:p w14:paraId="42C747D9" w14:textId="4A9D6DD1"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Evaluation studies</w:t>
            </w:r>
            <w:r w:rsidR="007768D2">
              <w:rPr>
                <w:rFonts w:asciiTheme="minorHAnsi" w:hAnsiTheme="minorHAnsi" w:cstheme="minorHAnsi"/>
                <w:sz w:val="21"/>
              </w:rPr>
              <w:t>.</w:t>
            </w:r>
          </w:p>
          <w:p w14:paraId="721C2399" w14:textId="148ACBA9" w:rsidR="004B3D56" w:rsidRPr="00E23693" w:rsidRDefault="004B3D56" w:rsidP="008D1844">
            <w:pPr>
              <w:pStyle w:val="TableText"/>
              <w:framePr w:hSpace="0" w:wrap="auto" w:vAnchor="margin" w:hAnchor="text" w:yAlign="inline"/>
              <w:numPr>
                <w:ilvl w:val="0"/>
                <w:numId w:val="23"/>
              </w:numPr>
              <w:suppressAutoHyphens/>
              <w:spacing w:after="60"/>
              <w:ind w:left="108" w:hanging="141"/>
              <w:rPr>
                <w:rFonts w:asciiTheme="minorHAnsi" w:hAnsiTheme="minorHAnsi" w:cstheme="minorHAnsi"/>
                <w:sz w:val="21"/>
              </w:rPr>
            </w:pPr>
            <w:r w:rsidRPr="00E23693">
              <w:rPr>
                <w:rFonts w:asciiTheme="minorHAnsi" w:hAnsiTheme="minorHAnsi" w:cstheme="minorHAnsi"/>
                <w:sz w:val="21"/>
              </w:rPr>
              <w:t>Policy briefs and sharing events</w:t>
            </w:r>
            <w:r w:rsidR="007768D2">
              <w:rPr>
                <w:rFonts w:asciiTheme="minorHAnsi" w:hAnsiTheme="minorHAnsi" w:cstheme="minorHAnsi"/>
                <w:sz w:val="21"/>
              </w:rPr>
              <w:t>.</w:t>
            </w:r>
          </w:p>
        </w:tc>
      </w:tr>
    </w:tbl>
    <w:p w14:paraId="47C1BFDA" w14:textId="77777777" w:rsidR="004B3D56" w:rsidRPr="00974377" w:rsidRDefault="004B3D56" w:rsidP="00EF774E">
      <w:pPr>
        <w:tabs>
          <w:tab w:val="left" w:pos="284"/>
        </w:tabs>
        <w:spacing w:before="120" w:after="120"/>
        <w:jc w:val="both"/>
        <w:rPr>
          <w:rFonts w:asciiTheme="majorHAnsi" w:hAnsiTheme="majorHAnsi" w:cstheme="majorHAnsi"/>
          <w:sz w:val="22"/>
          <w:szCs w:val="22"/>
        </w:rPr>
      </w:pPr>
    </w:p>
    <w:p w14:paraId="41841B09" w14:textId="77777777" w:rsidR="00E23693" w:rsidRDefault="00E23693" w:rsidP="008D1844">
      <w:pPr>
        <w:pStyle w:val="ListParagraph"/>
        <w:numPr>
          <w:ilvl w:val="0"/>
          <w:numId w:val="12"/>
        </w:numPr>
        <w:tabs>
          <w:tab w:val="left" w:pos="284"/>
        </w:tabs>
        <w:spacing w:after="120" w:line="281" w:lineRule="auto"/>
        <w:contextualSpacing w:val="0"/>
        <w:jc w:val="both"/>
        <w:rPr>
          <w:rFonts w:asciiTheme="majorHAnsi" w:hAnsiTheme="majorHAnsi" w:cstheme="majorHAnsi"/>
          <w:b/>
          <w:bCs/>
          <w:sz w:val="22"/>
          <w:szCs w:val="22"/>
        </w:rPr>
        <w:sectPr w:rsidR="00E23693" w:rsidSect="00890EC8">
          <w:pgSz w:w="16838" w:h="11906" w:orient="landscape" w:code="9"/>
          <w:pgMar w:top="1134" w:right="1701" w:bottom="863" w:left="1418" w:header="425" w:footer="493" w:gutter="0"/>
          <w:cols w:space="397"/>
          <w:docGrid w:linePitch="360"/>
        </w:sectPr>
      </w:pPr>
    </w:p>
    <w:p w14:paraId="49E1FE18" w14:textId="3B0ECABA" w:rsidR="004B3D56" w:rsidRPr="00B369F7" w:rsidRDefault="004B3D56" w:rsidP="008D1844">
      <w:pPr>
        <w:pStyle w:val="Heading3"/>
        <w:numPr>
          <w:ilvl w:val="0"/>
          <w:numId w:val="12"/>
        </w:numPr>
        <w:rPr>
          <w:sz w:val="22"/>
          <w:szCs w:val="20"/>
        </w:rPr>
      </w:pPr>
      <w:r w:rsidRPr="00B369F7">
        <w:rPr>
          <w:sz w:val="22"/>
          <w:szCs w:val="20"/>
        </w:rPr>
        <w:lastRenderedPageBreak/>
        <w:t>District ecosystems</w:t>
      </w:r>
    </w:p>
    <w:p w14:paraId="0EB27468" w14:textId="104D3902" w:rsidR="004B3D56" w:rsidRPr="00974377" w:rsidRDefault="004B3D56" w:rsidP="00993875">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As detailed in Annex </w:t>
      </w:r>
      <w:r w:rsidR="00475A9D">
        <w:rPr>
          <w:rFonts w:asciiTheme="majorHAnsi" w:hAnsiTheme="majorHAnsi" w:cstheme="majorHAnsi"/>
          <w:sz w:val="22"/>
          <w:szCs w:val="22"/>
        </w:rPr>
        <w:t>1</w:t>
      </w:r>
      <w:r w:rsidRPr="00974377">
        <w:rPr>
          <w:rFonts w:asciiTheme="majorHAnsi" w:hAnsiTheme="majorHAnsi" w:cstheme="majorHAnsi"/>
          <w:sz w:val="22"/>
          <w:szCs w:val="22"/>
        </w:rPr>
        <w:t>, INOVASI Phase 3 will support</w:t>
      </w:r>
      <w:r w:rsidR="00F857BC">
        <w:rPr>
          <w:rFonts w:asciiTheme="majorHAnsi" w:hAnsiTheme="majorHAnsi" w:cstheme="majorHAnsi"/>
          <w:sz w:val="22"/>
          <w:szCs w:val="22"/>
        </w:rPr>
        <w:t xml:space="preserve"> the activation of education</w:t>
      </w:r>
      <w:r w:rsidRPr="00974377">
        <w:rPr>
          <w:rFonts w:asciiTheme="majorHAnsi" w:hAnsiTheme="majorHAnsi" w:cstheme="majorHAnsi"/>
          <w:sz w:val="22"/>
          <w:szCs w:val="22"/>
        </w:rPr>
        <w:t xml:space="preserve"> ecosystems at the district level that encompass a wider variety of stakeholders relevant to deliver the new reforms sustainably and at scale in all target districts. </w:t>
      </w:r>
      <w:r w:rsidR="00E14B48" w:rsidRPr="00974377">
        <w:rPr>
          <w:rFonts w:asciiTheme="majorHAnsi" w:hAnsiTheme="majorHAnsi" w:cstheme="majorHAnsi"/>
          <w:sz w:val="22"/>
          <w:szCs w:val="22"/>
        </w:rPr>
        <w:t>T</w:t>
      </w:r>
      <w:r w:rsidRPr="00974377">
        <w:rPr>
          <w:rFonts w:asciiTheme="majorHAnsi" w:hAnsiTheme="majorHAnsi" w:cstheme="majorHAnsi"/>
          <w:sz w:val="22"/>
          <w:szCs w:val="22"/>
        </w:rPr>
        <w:t xml:space="preserve">he district ecosystems will centre on the </w:t>
      </w:r>
      <w:r w:rsidR="005C223D">
        <w:rPr>
          <w:rFonts w:asciiTheme="majorHAnsi" w:hAnsiTheme="majorHAnsi" w:cstheme="majorHAnsi"/>
          <w:sz w:val="22"/>
          <w:szCs w:val="22"/>
        </w:rPr>
        <w:t>district</w:t>
      </w:r>
      <w:r w:rsidRPr="00974377">
        <w:rPr>
          <w:rFonts w:asciiTheme="majorHAnsi" w:hAnsiTheme="majorHAnsi" w:cstheme="majorHAnsi"/>
          <w:sz w:val="22"/>
          <w:szCs w:val="22"/>
        </w:rPr>
        <w:t xml:space="preserve"> education office as the main authoriser</w:t>
      </w:r>
      <w:r w:rsidR="001D42A0">
        <w:rPr>
          <w:rFonts w:asciiTheme="majorHAnsi" w:hAnsiTheme="majorHAnsi" w:cstheme="majorHAnsi"/>
          <w:sz w:val="22"/>
          <w:szCs w:val="22"/>
        </w:rPr>
        <w:t xml:space="preserve"> and </w:t>
      </w:r>
      <w:r w:rsidRPr="00974377">
        <w:rPr>
          <w:rFonts w:asciiTheme="majorHAnsi" w:hAnsiTheme="majorHAnsi" w:cstheme="majorHAnsi"/>
          <w:sz w:val="22"/>
          <w:szCs w:val="22"/>
        </w:rPr>
        <w:t>will include stakeholders at the community, district, provincial and national levels</w:t>
      </w:r>
      <w:r w:rsidR="005C223D">
        <w:rPr>
          <w:rFonts w:asciiTheme="majorHAnsi" w:hAnsiTheme="majorHAnsi" w:cstheme="majorHAnsi"/>
          <w:sz w:val="22"/>
          <w:szCs w:val="22"/>
        </w:rPr>
        <w:t>, including civil society organisations (OPDs, gender CSOs, environmental CSOs)</w:t>
      </w:r>
      <w:r w:rsidRPr="00974377">
        <w:rPr>
          <w:rFonts w:asciiTheme="majorHAnsi" w:hAnsiTheme="majorHAnsi" w:cstheme="majorHAnsi"/>
          <w:sz w:val="22"/>
          <w:szCs w:val="22"/>
        </w:rPr>
        <w:t xml:space="preserve">. </w:t>
      </w:r>
      <w:r w:rsidR="00F671CE" w:rsidRPr="00974377">
        <w:rPr>
          <w:rFonts w:asciiTheme="majorHAnsi" w:hAnsiTheme="majorHAnsi" w:cstheme="majorHAnsi"/>
          <w:sz w:val="22"/>
          <w:szCs w:val="22"/>
        </w:rPr>
        <w:t xml:space="preserve">Figure </w:t>
      </w:r>
      <w:r w:rsidR="00F23D72">
        <w:rPr>
          <w:rFonts w:asciiTheme="majorHAnsi" w:hAnsiTheme="majorHAnsi" w:cstheme="majorHAnsi"/>
          <w:sz w:val="22"/>
          <w:szCs w:val="22"/>
        </w:rPr>
        <w:t>3</w:t>
      </w:r>
      <w:r w:rsidR="00F671CE" w:rsidRPr="00974377">
        <w:rPr>
          <w:rFonts w:asciiTheme="majorHAnsi" w:hAnsiTheme="majorHAnsi" w:cstheme="majorHAnsi"/>
          <w:sz w:val="22"/>
          <w:szCs w:val="22"/>
        </w:rPr>
        <w:t xml:space="preserve"> </w:t>
      </w:r>
      <w:r w:rsidRPr="00974377">
        <w:rPr>
          <w:rFonts w:asciiTheme="majorHAnsi" w:hAnsiTheme="majorHAnsi" w:cstheme="majorHAnsi"/>
          <w:sz w:val="22"/>
          <w:szCs w:val="22"/>
        </w:rPr>
        <w:t>below illustrates a district ecosystem, with stakeholders of different size and role (the small clusters of circles are the</w:t>
      </w:r>
      <w:r w:rsidR="00F857BC">
        <w:rPr>
          <w:rFonts w:asciiTheme="majorHAnsi" w:hAnsiTheme="majorHAnsi" w:cstheme="majorHAnsi"/>
          <w:sz w:val="22"/>
          <w:szCs w:val="22"/>
        </w:rPr>
        <w:t xml:space="preserve"> </w:t>
      </w:r>
      <w:r w:rsidR="00DA2FAC">
        <w:rPr>
          <w:rFonts w:asciiTheme="majorHAnsi" w:hAnsiTheme="majorHAnsi" w:cstheme="majorHAnsi"/>
          <w:sz w:val="22"/>
          <w:szCs w:val="22"/>
        </w:rPr>
        <w:t>change agent</w:t>
      </w:r>
      <w:r w:rsidR="00F857BC">
        <w:rPr>
          <w:rFonts w:asciiTheme="majorHAnsi" w:hAnsiTheme="majorHAnsi" w:cstheme="majorHAnsi"/>
          <w:sz w:val="22"/>
          <w:szCs w:val="22"/>
        </w:rPr>
        <w:t xml:space="preserve"> schools or</w:t>
      </w:r>
      <w:r w:rsidRPr="00974377">
        <w:rPr>
          <w:rFonts w:asciiTheme="majorHAnsi" w:hAnsiTheme="majorHAnsi" w:cstheme="majorHAnsi"/>
          <w:sz w:val="22"/>
          <w:szCs w:val="22"/>
        </w:rPr>
        <w:t xml:space="preserve"> </w:t>
      </w:r>
      <w:proofErr w:type="spellStart"/>
      <w:r w:rsidR="004533F4" w:rsidRPr="004533F4">
        <w:rPr>
          <w:rFonts w:asciiTheme="majorHAnsi" w:hAnsiTheme="majorHAnsi" w:cstheme="majorHAnsi"/>
          <w:i/>
          <w:iCs/>
          <w:sz w:val="22"/>
          <w:szCs w:val="22"/>
        </w:rPr>
        <w:t>sekolah</w:t>
      </w:r>
      <w:proofErr w:type="spellEnd"/>
      <w:r w:rsidR="004533F4" w:rsidRPr="004533F4">
        <w:rPr>
          <w:rFonts w:asciiTheme="majorHAnsi" w:hAnsiTheme="majorHAnsi" w:cstheme="majorHAnsi"/>
          <w:i/>
          <w:iCs/>
          <w:sz w:val="22"/>
          <w:szCs w:val="22"/>
        </w:rPr>
        <w:t xml:space="preserve"> </w:t>
      </w:r>
      <w:proofErr w:type="spellStart"/>
      <w:r w:rsidR="004533F4" w:rsidRPr="004533F4">
        <w:rPr>
          <w:rFonts w:asciiTheme="majorHAnsi" w:hAnsiTheme="majorHAnsi" w:cstheme="majorHAnsi"/>
          <w:i/>
          <w:iCs/>
          <w:sz w:val="22"/>
          <w:szCs w:val="22"/>
        </w:rPr>
        <w:t>penggerak</w:t>
      </w:r>
      <w:proofErr w:type="spellEnd"/>
      <w:r w:rsidRPr="00974377">
        <w:rPr>
          <w:rFonts w:asciiTheme="majorHAnsi" w:hAnsiTheme="majorHAnsi" w:cstheme="majorHAnsi"/>
          <w:sz w:val="22"/>
          <w:szCs w:val="22"/>
        </w:rPr>
        <w:t xml:space="preserve"> and their learning communities</w:t>
      </w:r>
      <w:r w:rsidR="00F671CE" w:rsidRPr="00974377">
        <w:rPr>
          <w:rFonts w:asciiTheme="majorHAnsi" w:hAnsiTheme="majorHAnsi" w:cstheme="majorHAnsi"/>
          <w:sz w:val="22"/>
          <w:szCs w:val="22"/>
        </w:rPr>
        <w:t xml:space="preserve"> - </w:t>
      </w:r>
      <w:r w:rsidR="00065BEE" w:rsidRPr="00974377">
        <w:rPr>
          <w:rFonts w:asciiTheme="majorHAnsi" w:hAnsiTheme="majorHAnsi" w:cstheme="majorHAnsi"/>
          <w:sz w:val="22"/>
          <w:szCs w:val="22"/>
        </w:rPr>
        <w:t>local schools and madrasah in their neighbourhood</w:t>
      </w:r>
      <w:r w:rsidRPr="00974377">
        <w:rPr>
          <w:rFonts w:asciiTheme="majorHAnsi" w:hAnsiTheme="majorHAnsi" w:cstheme="majorHAnsi"/>
          <w:sz w:val="22"/>
          <w:szCs w:val="22"/>
        </w:rPr>
        <w:t xml:space="preserve">). </w:t>
      </w:r>
    </w:p>
    <w:p w14:paraId="6F287F50" w14:textId="0281A6DB" w:rsidR="004B3D56" w:rsidRPr="000B39E6" w:rsidRDefault="004B3D56" w:rsidP="00330887">
      <w:pPr>
        <w:pStyle w:val="BodyText"/>
        <w:spacing w:after="120" w:line="281" w:lineRule="auto"/>
        <w:jc w:val="center"/>
        <w:rPr>
          <w:rFonts w:asciiTheme="majorHAnsi" w:hAnsiTheme="majorHAnsi" w:cstheme="majorHAnsi"/>
          <w:b/>
          <w:sz w:val="22"/>
          <w:szCs w:val="22"/>
        </w:rPr>
      </w:pPr>
      <w:r w:rsidRPr="000B39E6">
        <w:rPr>
          <w:rFonts w:asciiTheme="majorHAnsi" w:hAnsiTheme="majorHAnsi" w:cstheme="majorHAnsi"/>
          <w:b/>
          <w:sz w:val="22"/>
          <w:szCs w:val="22"/>
        </w:rPr>
        <w:t xml:space="preserve">Figure </w:t>
      </w:r>
      <w:r w:rsidR="00F23D72" w:rsidRPr="000B39E6">
        <w:rPr>
          <w:rFonts w:asciiTheme="majorHAnsi" w:hAnsiTheme="majorHAnsi" w:cstheme="majorHAnsi"/>
          <w:b/>
          <w:sz w:val="22"/>
          <w:szCs w:val="22"/>
        </w:rPr>
        <w:t>3</w:t>
      </w:r>
      <w:r w:rsidRPr="000B39E6">
        <w:rPr>
          <w:rFonts w:asciiTheme="majorHAnsi" w:hAnsiTheme="majorHAnsi" w:cstheme="majorHAnsi"/>
          <w:b/>
          <w:sz w:val="22"/>
          <w:szCs w:val="22"/>
        </w:rPr>
        <w:t>: The district ecosystem</w:t>
      </w:r>
    </w:p>
    <w:p w14:paraId="7FA90F7A" w14:textId="3795D3B7" w:rsidR="004B3D56" w:rsidRPr="00974377" w:rsidRDefault="001D6A46" w:rsidP="00330887">
      <w:pPr>
        <w:pStyle w:val="BodyText"/>
        <w:spacing w:after="120" w:line="281" w:lineRule="auto"/>
        <w:jc w:val="cente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09E7ED79" wp14:editId="23F664BA">
            <wp:extent cx="6120130" cy="4292600"/>
            <wp:effectExtent l="0" t="0" r="0" b="0"/>
            <wp:docPr id="84276713" name="Picture 7" descr="A diagram of the district ecosystem. In the centre is the district government, surrounded by change agent schools, BPMP, BGP, MoRA Office, Gender CSOs, Environmental CSOs, other agencies, providers and CSOs, OPDs and T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6713" name="Picture 7" descr="A diagram of the district ecosystem. In the centre is the district government, surrounded by change agent schools, BPMP, BGP, MoRA Office, Gender CSOs, Environmental CSOs, other agencies, providers and CSOs, OPDs and TTI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130" cy="4292600"/>
                    </a:xfrm>
                    <a:prstGeom prst="rect">
                      <a:avLst/>
                    </a:prstGeom>
                  </pic:spPr>
                </pic:pic>
              </a:graphicData>
            </a:graphic>
          </wp:inline>
        </w:drawing>
      </w:r>
    </w:p>
    <w:p w14:paraId="493F1945" w14:textId="58A46FFA" w:rsidR="004B3D56" w:rsidRPr="00974377" w:rsidRDefault="002329DF" w:rsidP="008F7C47">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program will </w:t>
      </w:r>
      <w:r w:rsidR="00A22C23">
        <w:rPr>
          <w:rFonts w:asciiTheme="majorHAnsi" w:hAnsiTheme="majorHAnsi" w:cstheme="majorHAnsi"/>
          <w:sz w:val="22"/>
          <w:szCs w:val="22"/>
        </w:rPr>
        <w:t xml:space="preserve">support the </w:t>
      </w:r>
      <w:r w:rsidRPr="00974377">
        <w:rPr>
          <w:rFonts w:asciiTheme="majorHAnsi" w:hAnsiTheme="majorHAnsi" w:cstheme="majorHAnsi"/>
          <w:sz w:val="22"/>
          <w:szCs w:val="22"/>
        </w:rPr>
        <w:t>develop</w:t>
      </w:r>
      <w:r w:rsidR="00A22C23">
        <w:rPr>
          <w:rFonts w:asciiTheme="majorHAnsi" w:hAnsiTheme="majorHAnsi" w:cstheme="majorHAnsi"/>
          <w:sz w:val="22"/>
          <w:szCs w:val="22"/>
        </w:rPr>
        <w:t>ment of</w:t>
      </w:r>
      <w:r w:rsidRPr="00974377">
        <w:rPr>
          <w:rFonts w:asciiTheme="majorHAnsi" w:hAnsiTheme="majorHAnsi" w:cstheme="majorHAnsi"/>
          <w:sz w:val="22"/>
          <w:szCs w:val="22"/>
        </w:rPr>
        <w:t xml:space="preserve"> </w:t>
      </w:r>
      <w:r w:rsidR="00A22C23" w:rsidRPr="00974377">
        <w:rPr>
          <w:rFonts w:asciiTheme="majorHAnsi" w:hAnsiTheme="majorHAnsi" w:cstheme="majorHAnsi"/>
          <w:sz w:val="22"/>
          <w:szCs w:val="22"/>
        </w:rPr>
        <w:t xml:space="preserve">district </w:t>
      </w:r>
      <w:r w:rsidR="00287128" w:rsidRPr="00974377">
        <w:rPr>
          <w:rFonts w:asciiTheme="majorHAnsi" w:hAnsiTheme="majorHAnsi" w:cstheme="majorHAnsi"/>
          <w:sz w:val="22"/>
          <w:szCs w:val="22"/>
        </w:rPr>
        <w:t>authorities’</w:t>
      </w:r>
      <w:r w:rsidR="00A22C23" w:rsidRPr="00974377">
        <w:rPr>
          <w:rFonts w:asciiTheme="majorHAnsi" w:hAnsiTheme="majorHAnsi" w:cstheme="majorHAnsi"/>
          <w:sz w:val="22"/>
          <w:szCs w:val="22"/>
        </w:rPr>
        <w:t xml:space="preserve"> </w:t>
      </w:r>
      <w:r w:rsidR="004B3D56" w:rsidRPr="00974377">
        <w:rPr>
          <w:rFonts w:asciiTheme="majorHAnsi" w:hAnsiTheme="majorHAnsi" w:cstheme="majorHAnsi"/>
          <w:sz w:val="22"/>
          <w:szCs w:val="22"/>
        </w:rPr>
        <w:t xml:space="preserve">capacities </w:t>
      </w:r>
      <w:r w:rsidRPr="00974377">
        <w:rPr>
          <w:rFonts w:asciiTheme="majorHAnsi" w:hAnsiTheme="majorHAnsi" w:cstheme="majorHAnsi"/>
          <w:sz w:val="22"/>
          <w:szCs w:val="22"/>
        </w:rPr>
        <w:t>to integrate stakeholders in the ecosystem around shared priorities for education</w:t>
      </w:r>
      <w:r w:rsidR="00F671CE" w:rsidRPr="00974377">
        <w:rPr>
          <w:rFonts w:asciiTheme="majorHAnsi" w:hAnsiTheme="majorHAnsi" w:cstheme="majorHAnsi"/>
          <w:sz w:val="22"/>
          <w:szCs w:val="22"/>
        </w:rPr>
        <w:t>, as well as</w:t>
      </w:r>
      <w:r w:rsidRPr="00974377">
        <w:rPr>
          <w:rFonts w:asciiTheme="majorHAnsi" w:hAnsiTheme="majorHAnsi" w:cstheme="majorHAnsi"/>
          <w:sz w:val="22"/>
          <w:szCs w:val="22"/>
        </w:rPr>
        <w:t xml:space="preserve"> </w:t>
      </w:r>
      <w:r w:rsidR="00A22C23">
        <w:rPr>
          <w:rFonts w:asciiTheme="majorHAnsi" w:hAnsiTheme="majorHAnsi" w:cstheme="majorHAnsi"/>
          <w:sz w:val="22"/>
          <w:szCs w:val="22"/>
        </w:rPr>
        <w:t>work through relevant parts of the ecosystem to</w:t>
      </w:r>
      <w:r w:rsidR="00A22C23" w:rsidRPr="004F17B3">
        <w:rPr>
          <w:rFonts w:asciiTheme="majorHAnsi" w:hAnsiTheme="majorHAnsi" w:cstheme="majorHAnsi"/>
          <w:sz w:val="22"/>
          <w:szCs w:val="22"/>
        </w:rPr>
        <w:t xml:space="preserve"> </w:t>
      </w:r>
      <w:r w:rsidRPr="00974377">
        <w:rPr>
          <w:rFonts w:asciiTheme="majorHAnsi" w:hAnsiTheme="majorHAnsi" w:cstheme="majorHAnsi"/>
          <w:sz w:val="22"/>
          <w:szCs w:val="22"/>
        </w:rPr>
        <w:t xml:space="preserve">develop the capacities of </w:t>
      </w:r>
      <w:r w:rsidR="004B3D56" w:rsidRPr="00974377">
        <w:rPr>
          <w:rFonts w:asciiTheme="majorHAnsi" w:hAnsiTheme="majorHAnsi" w:cstheme="majorHAnsi"/>
          <w:sz w:val="22"/>
          <w:szCs w:val="22"/>
        </w:rPr>
        <w:t>specific categories of stakeholder</w:t>
      </w:r>
      <w:r w:rsidR="00F671CE" w:rsidRPr="00974377">
        <w:rPr>
          <w:rFonts w:asciiTheme="majorHAnsi" w:hAnsiTheme="majorHAnsi" w:cstheme="majorHAnsi"/>
          <w:sz w:val="22"/>
          <w:szCs w:val="22"/>
        </w:rPr>
        <w:t>s</w:t>
      </w:r>
      <w:r w:rsidR="005C223D">
        <w:rPr>
          <w:rFonts w:asciiTheme="majorHAnsi" w:hAnsiTheme="majorHAnsi" w:cstheme="majorHAnsi"/>
          <w:sz w:val="22"/>
          <w:szCs w:val="22"/>
        </w:rPr>
        <w:t xml:space="preserve"> to play their unique role</w:t>
      </w:r>
      <w:r w:rsidRPr="00974377">
        <w:rPr>
          <w:rFonts w:asciiTheme="majorHAnsi" w:hAnsiTheme="majorHAnsi" w:cstheme="majorHAnsi"/>
          <w:sz w:val="22"/>
          <w:szCs w:val="22"/>
        </w:rPr>
        <w:t xml:space="preserve">. </w:t>
      </w:r>
      <w:r w:rsidR="005C223D">
        <w:rPr>
          <w:rFonts w:asciiTheme="majorHAnsi" w:hAnsiTheme="majorHAnsi" w:cstheme="majorHAnsi"/>
          <w:sz w:val="22"/>
          <w:szCs w:val="22"/>
        </w:rPr>
        <w:t>T</w:t>
      </w:r>
      <w:r w:rsidR="004B3D56" w:rsidRPr="00974377">
        <w:rPr>
          <w:rFonts w:asciiTheme="majorHAnsi" w:hAnsiTheme="majorHAnsi" w:cstheme="majorHAnsi"/>
          <w:sz w:val="22"/>
          <w:szCs w:val="22"/>
        </w:rPr>
        <w:t xml:space="preserve">he program will </w:t>
      </w:r>
      <w:r w:rsidR="005C223D">
        <w:rPr>
          <w:rFonts w:asciiTheme="majorHAnsi" w:hAnsiTheme="majorHAnsi" w:cstheme="majorHAnsi"/>
          <w:sz w:val="22"/>
          <w:szCs w:val="22"/>
        </w:rPr>
        <w:t xml:space="preserve">play a facilitation role, supporting </w:t>
      </w:r>
      <w:r w:rsidR="004B3D56" w:rsidRPr="00974377">
        <w:rPr>
          <w:rFonts w:asciiTheme="majorHAnsi" w:hAnsiTheme="majorHAnsi" w:cstheme="majorHAnsi"/>
          <w:sz w:val="22"/>
          <w:szCs w:val="22"/>
        </w:rPr>
        <w:t>the collective potential to emerge and the group to cohere and work cohesively together.</w:t>
      </w:r>
      <w:r w:rsidR="00FB48CF">
        <w:rPr>
          <w:rFonts w:asciiTheme="majorHAnsi" w:hAnsiTheme="majorHAnsi" w:cstheme="majorHAnsi"/>
          <w:sz w:val="22"/>
          <w:szCs w:val="22"/>
        </w:rPr>
        <w:t xml:space="preserve"> </w:t>
      </w:r>
      <w:r w:rsidR="004B3D56" w:rsidRPr="00974377">
        <w:rPr>
          <w:rFonts w:asciiTheme="majorHAnsi" w:hAnsiTheme="majorHAnsi" w:cstheme="majorHAnsi"/>
          <w:sz w:val="22"/>
          <w:szCs w:val="22"/>
        </w:rPr>
        <w:t xml:space="preserve">This requires an ability to understand and support relationships and constant adjustment to the support provided. </w:t>
      </w:r>
    </w:p>
    <w:p w14:paraId="14B949A8" w14:textId="510B15A4" w:rsidR="004B3D56" w:rsidRPr="00974377" w:rsidRDefault="004B3D56" w:rsidP="008F7C47">
      <w:pPr>
        <w:pStyle w:val="BodyText"/>
        <w:spacing w:after="120" w:line="281" w:lineRule="auto"/>
        <w:rPr>
          <w:rFonts w:asciiTheme="majorHAnsi" w:hAnsiTheme="majorHAnsi" w:cstheme="majorHAnsi"/>
          <w:sz w:val="22"/>
          <w:szCs w:val="22"/>
        </w:rPr>
      </w:pPr>
      <w:r w:rsidRPr="00A72EED">
        <w:rPr>
          <w:rFonts w:asciiTheme="majorHAnsi" w:hAnsiTheme="majorHAnsi" w:cstheme="majorHAnsi"/>
          <w:sz w:val="22"/>
          <w:szCs w:val="22"/>
        </w:rPr>
        <w:t xml:space="preserve">Importantly, </w:t>
      </w:r>
      <w:proofErr w:type="spellStart"/>
      <w:r w:rsidRPr="00A72EED">
        <w:rPr>
          <w:rFonts w:asciiTheme="majorHAnsi" w:hAnsiTheme="majorHAnsi" w:cstheme="majorHAnsi"/>
          <w:sz w:val="22"/>
          <w:szCs w:val="22"/>
        </w:rPr>
        <w:t>MoECRT</w:t>
      </w:r>
      <w:proofErr w:type="spellEnd"/>
      <w:r w:rsidRPr="00A72EED">
        <w:rPr>
          <w:rFonts w:asciiTheme="majorHAnsi" w:hAnsiTheme="majorHAnsi" w:cstheme="majorHAnsi"/>
          <w:sz w:val="22"/>
          <w:szCs w:val="22"/>
        </w:rPr>
        <w:t xml:space="preserve"> is interested in learning lessons from INOVASI’s support and the evolution of ecosystems</w:t>
      </w:r>
      <w:r w:rsidR="00F671CE" w:rsidRPr="00A72EED">
        <w:rPr>
          <w:rFonts w:asciiTheme="majorHAnsi" w:hAnsiTheme="majorHAnsi" w:cstheme="majorHAnsi"/>
          <w:sz w:val="22"/>
          <w:szCs w:val="22"/>
        </w:rPr>
        <w:t>’</w:t>
      </w:r>
      <w:r w:rsidRPr="00A72EED">
        <w:rPr>
          <w:rFonts w:asciiTheme="majorHAnsi" w:hAnsiTheme="majorHAnsi" w:cstheme="majorHAnsi"/>
          <w:sz w:val="22"/>
          <w:szCs w:val="22"/>
        </w:rPr>
        <w:t xml:space="preserve"> dynamic</w:t>
      </w:r>
      <w:r w:rsidR="00F671CE" w:rsidRPr="00A72EED">
        <w:rPr>
          <w:rFonts w:asciiTheme="majorHAnsi" w:hAnsiTheme="majorHAnsi" w:cstheme="majorHAnsi"/>
          <w:sz w:val="22"/>
          <w:szCs w:val="22"/>
        </w:rPr>
        <w:t>s,</w:t>
      </w:r>
      <w:r w:rsidRPr="00A72EED">
        <w:rPr>
          <w:rFonts w:asciiTheme="majorHAnsi" w:hAnsiTheme="majorHAnsi" w:cstheme="majorHAnsi"/>
          <w:sz w:val="22"/>
          <w:szCs w:val="22"/>
        </w:rPr>
        <w:t xml:space="preserve"> with a view to continuously iterate policy improvement.</w:t>
      </w:r>
      <w:r w:rsidRPr="00974377">
        <w:rPr>
          <w:rFonts w:asciiTheme="majorHAnsi" w:hAnsiTheme="majorHAnsi" w:cstheme="majorHAnsi"/>
          <w:sz w:val="22"/>
          <w:szCs w:val="22"/>
        </w:rPr>
        <w:t xml:space="preserve"> The success of INOVASI’s </w:t>
      </w:r>
      <w:r w:rsidRPr="00974377">
        <w:rPr>
          <w:rFonts w:asciiTheme="majorHAnsi" w:hAnsiTheme="majorHAnsi" w:cstheme="majorHAnsi"/>
          <w:sz w:val="22"/>
          <w:szCs w:val="22"/>
        </w:rPr>
        <w:lastRenderedPageBreak/>
        <w:t>support is therefore not only contingent on ecosystems’ achievements</w:t>
      </w:r>
      <w:r w:rsidR="00F671CE" w:rsidRPr="00974377">
        <w:rPr>
          <w:rFonts w:asciiTheme="majorHAnsi" w:hAnsiTheme="majorHAnsi" w:cstheme="majorHAnsi"/>
          <w:sz w:val="22"/>
          <w:szCs w:val="22"/>
        </w:rPr>
        <w:t>,</w:t>
      </w:r>
      <w:r w:rsidRPr="00974377">
        <w:rPr>
          <w:rFonts w:asciiTheme="majorHAnsi" w:hAnsiTheme="majorHAnsi" w:cstheme="majorHAnsi"/>
          <w:sz w:val="22"/>
          <w:szCs w:val="22"/>
        </w:rPr>
        <w:t xml:space="preserve"> but also tethered to the program’s ability to observe, investigate, </w:t>
      </w:r>
      <w:r w:rsidR="005E0340" w:rsidRPr="00974377">
        <w:rPr>
          <w:rFonts w:asciiTheme="majorHAnsi" w:hAnsiTheme="majorHAnsi" w:cstheme="majorHAnsi"/>
          <w:sz w:val="22"/>
          <w:szCs w:val="22"/>
        </w:rPr>
        <w:t>learn,</w:t>
      </w:r>
      <w:r w:rsidRPr="00974377">
        <w:rPr>
          <w:rFonts w:asciiTheme="majorHAnsi" w:hAnsiTheme="majorHAnsi" w:cstheme="majorHAnsi"/>
          <w:sz w:val="22"/>
          <w:szCs w:val="22"/>
        </w:rPr>
        <w:t xml:space="preserve"> and disseminate lessons on the viability and effectiveness of the ecosystemic approach. </w:t>
      </w:r>
    </w:p>
    <w:p w14:paraId="1DC16691" w14:textId="3595B520" w:rsidR="004B3D56" w:rsidRPr="009E04A4" w:rsidRDefault="004B3D56" w:rsidP="008F7C47">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To support district ecosystems effectively, the program will </w:t>
      </w:r>
      <w:r w:rsidR="005C223D">
        <w:rPr>
          <w:rFonts w:asciiTheme="majorHAnsi" w:hAnsiTheme="majorHAnsi" w:cstheme="majorHAnsi"/>
          <w:sz w:val="22"/>
          <w:szCs w:val="22"/>
        </w:rPr>
        <w:t>first</w:t>
      </w:r>
      <w:r w:rsidRPr="00974377">
        <w:rPr>
          <w:rFonts w:asciiTheme="majorHAnsi" w:hAnsiTheme="majorHAnsi" w:cstheme="majorHAnsi"/>
          <w:sz w:val="22"/>
          <w:szCs w:val="22"/>
        </w:rPr>
        <w:t xml:space="preserve"> conduct a stakeholder analysis in each target district, e.g. using the authority, </w:t>
      </w:r>
      <w:proofErr w:type="gramStart"/>
      <w:r w:rsidRPr="00974377">
        <w:rPr>
          <w:rFonts w:asciiTheme="majorHAnsi" w:hAnsiTheme="majorHAnsi" w:cstheme="majorHAnsi"/>
          <w:sz w:val="22"/>
          <w:szCs w:val="22"/>
        </w:rPr>
        <w:t>acceptance</w:t>
      </w:r>
      <w:proofErr w:type="gramEnd"/>
      <w:r w:rsidRPr="00974377">
        <w:rPr>
          <w:rFonts w:asciiTheme="majorHAnsi" w:hAnsiTheme="majorHAnsi" w:cstheme="majorHAnsi"/>
          <w:sz w:val="22"/>
          <w:szCs w:val="22"/>
        </w:rPr>
        <w:t xml:space="preserve"> and ability (AAA) framework, </w:t>
      </w:r>
      <w:r w:rsidR="001D42A0">
        <w:rPr>
          <w:rFonts w:asciiTheme="majorHAnsi" w:hAnsiTheme="majorHAnsi" w:cstheme="majorHAnsi"/>
          <w:sz w:val="22"/>
          <w:szCs w:val="22"/>
        </w:rPr>
        <w:t xml:space="preserve">to </w:t>
      </w:r>
      <w:r w:rsidRPr="00974377">
        <w:rPr>
          <w:rFonts w:asciiTheme="majorHAnsi" w:hAnsiTheme="majorHAnsi" w:cstheme="majorHAnsi"/>
          <w:sz w:val="22"/>
          <w:szCs w:val="22"/>
        </w:rPr>
        <w:t>understand the political economy at play</w:t>
      </w:r>
      <w:r w:rsidR="001D42A0">
        <w:rPr>
          <w:rFonts w:asciiTheme="majorHAnsi" w:hAnsiTheme="majorHAnsi" w:cstheme="majorHAnsi"/>
          <w:sz w:val="22"/>
          <w:szCs w:val="22"/>
        </w:rPr>
        <w:t>,</w:t>
      </w:r>
      <w:r w:rsidR="00466F84">
        <w:rPr>
          <w:rFonts w:asciiTheme="majorHAnsi" w:hAnsiTheme="majorHAnsi" w:cstheme="majorHAnsi"/>
          <w:sz w:val="22"/>
          <w:szCs w:val="22"/>
        </w:rPr>
        <w:t xml:space="preserve"> </w:t>
      </w:r>
      <w:r w:rsidRPr="00974377">
        <w:rPr>
          <w:rFonts w:asciiTheme="majorHAnsi" w:hAnsiTheme="majorHAnsi" w:cstheme="majorHAnsi"/>
          <w:sz w:val="22"/>
          <w:szCs w:val="22"/>
        </w:rPr>
        <w:t xml:space="preserve">including the possibilities for change. </w:t>
      </w:r>
      <w:r w:rsidR="00DA5B9E">
        <w:rPr>
          <w:rFonts w:asciiTheme="majorHAnsi" w:hAnsiTheme="majorHAnsi" w:cstheme="majorHAnsi"/>
          <w:sz w:val="22"/>
          <w:szCs w:val="22"/>
        </w:rPr>
        <w:t xml:space="preserve">This analysis will be produced as soon as the district selection has been confirmed and, if possible, </w:t>
      </w:r>
      <w:r w:rsidR="00DA5B9E" w:rsidRPr="00DA5B9E">
        <w:rPr>
          <w:rFonts w:asciiTheme="majorHAnsi" w:hAnsiTheme="majorHAnsi" w:cstheme="majorHAnsi"/>
          <w:sz w:val="22"/>
          <w:szCs w:val="22"/>
        </w:rPr>
        <w:t xml:space="preserve">during the program inception period. It will highlight entry points to work adaptively in each district, given </w:t>
      </w:r>
      <w:r w:rsidR="00DA5B9E">
        <w:rPr>
          <w:rFonts w:asciiTheme="majorHAnsi" w:hAnsiTheme="majorHAnsi" w:cstheme="majorHAnsi"/>
          <w:sz w:val="22"/>
          <w:szCs w:val="22"/>
        </w:rPr>
        <w:t xml:space="preserve">local </w:t>
      </w:r>
      <w:r w:rsidR="00DA5B9E" w:rsidRPr="00DA5B9E">
        <w:rPr>
          <w:rFonts w:asciiTheme="majorHAnsi" w:hAnsiTheme="majorHAnsi" w:cstheme="majorHAnsi"/>
          <w:sz w:val="22"/>
          <w:szCs w:val="22"/>
        </w:rPr>
        <w:t xml:space="preserve">specificities. </w:t>
      </w:r>
      <w:r w:rsidRPr="00974377">
        <w:rPr>
          <w:rFonts w:asciiTheme="majorHAnsi" w:hAnsiTheme="majorHAnsi" w:cstheme="majorHAnsi"/>
          <w:sz w:val="22"/>
          <w:szCs w:val="22"/>
        </w:rPr>
        <w:t>Based on this understanding</w:t>
      </w:r>
      <w:r w:rsidR="00466F84">
        <w:rPr>
          <w:rFonts w:asciiTheme="majorHAnsi" w:hAnsiTheme="majorHAnsi" w:cstheme="majorHAnsi"/>
          <w:sz w:val="22"/>
          <w:szCs w:val="22"/>
        </w:rPr>
        <w:t>,</w:t>
      </w:r>
      <w:r w:rsidRPr="00974377">
        <w:rPr>
          <w:rFonts w:asciiTheme="majorHAnsi" w:hAnsiTheme="majorHAnsi" w:cstheme="majorHAnsi"/>
          <w:sz w:val="22"/>
          <w:szCs w:val="22"/>
        </w:rPr>
        <w:t xml:space="preserve"> the program will establish capacity needs, both for organisation</w:t>
      </w:r>
      <w:r w:rsidR="00DB4052">
        <w:rPr>
          <w:rFonts w:asciiTheme="majorHAnsi" w:hAnsiTheme="majorHAnsi" w:cstheme="majorHAnsi"/>
          <w:sz w:val="22"/>
          <w:szCs w:val="22"/>
        </w:rPr>
        <w:t>s</w:t>
      </w:r>
      <w:r w:rsidRPr="00974377">
        <w:rPr>
          <w:rFonts w:asciiTheme="majorHAnsi" w:hAnsiTheme="majorHAnsi" w:cstheme="majorHAnsi"/>
          <w:sz w:val="22"/>
          <w:szCs w:val="22"/>
        </w:rPr>
        <w:t xml:space="preserve"> and for the collective, and develop appropriate strategies to respond to these needs. As noted above, the</w:t>
      </w:r>
      <w:r w:rsidR="00466F84">
        <w:rPr>
          <w:rFonts w:asciiTheme="majorHAnsi" w:hAnsiTheme="majorHAnsi" w:cstheme="majorHAnsi"/>
          <w:sz w:val="22"/>
          <w:szCs w:val="22"/>
        </w:rPr>
        <w:t>se</w:t>
      </w:r>
      <w:r w:rsidRPr="00974377">
        <w:rPr>
          <w:rFonts w:asciiTheme="majorHAnsi" w:hAnsiTheme="majorHAnsi" w:cstheme="majorHAnsi"/>
          <w:sz w:val="22"/>
          <w:szCs w:val="22"/>
        </w:rPr>
        <w:t xml:space="preserve"> strategies will include bespoke GEDSI and climate change </w:t>
      </w:r>
      <w:r w:rsidR="001D42A0">
        <w:rPr>
          <w:rFonts w:asciiTheme="majorHAnsi" w:hAnsiTheme="majorHAnsi" w:cstheme="majorHAnsi"/>
          <w:sz w:val="22"/>
          <w:szCs w:val="22"/>
        </w:rPr>
        <w:t>sub-</w:t>
      </w:r>
      <w:r w:rsidRPr="00974377">
        <w:rPr>
          <w:rFonts w:asciiTheme="majorHAnsi" w:hAnsiTheme="majorHAnsi" w:cstheme="majorHAnsi"/>
          <w:sz w:val="22"/>
          <w:szCs w:val="22"/>
        </w:rPr>
        <w:t>strategies</w:t>
      </w:r>
      <w:r w:rsidR="00466F84">
        <w:rPr>
          <w:rFonts w:asciiTheme="majorHAnsi" w:hAnsiTheme="majorHAnsi" w:cstheme="majorHAnsi"/>
          <w:sz w:val="22"/>
          <w:szCs w:val="22"/>
        </w:rPr>
        <w:t xml:space="preserve"> in each district</w:t>
      </w:r>
      <w:r w:rsidRPr="00974377">
        <w:rPr>
          <w:rFonts w:asciiTheme="majorHAnsi" w:hAnsiTheme="majorHAnsi" w:cstheme="majorHAnsi"/>
          <w:sz w:val="22"/>
          <w:szCs w:val="22"/>
        </w:rPr>
        <w:t xml:space="preserve"> to ensure these themes are considered appropriately.  Each district ecosystem will adopt and evolve its own set of strategies, </w:t>
      </w:r>
      <w:r w:rsidR="005E0340" w:rsidRPr="00974377">
        <w:rPr>
          <w:rFonts w:asciiTheme="majorHAnsi" w:hAnsiTheme="majorHAnsi" w:cstheme="majorHAnsi"/>
          <w:sz w:val="22"/>
          <w:szCs w:val="22"/>
        </w:rPr>
        <w:t>tools,</w:t>
      </w:r>
      <w:r w:rsidRPr="00974377">
        <w:rPr>
          <w:rFonts w:asciiTheme="majorHAnsi" w:hAnsiTheme="majorHAnsi" w:cstheme="majorHAnsi"/>
          <w:sz w:val="22"/>
          <w:szCs w:val="22"/>
        </w:rPr>
        <w:t xml:space="preserve"> and timelines, based on local circumstances, needs and constraints. However, it is envisaged that all </w:t>
      </w:r>
      <w:r w:rsidR="001D42A0">
        <w:rPr>
          <w:rFonts w:asciiTheme="majorHAnsi" w:hAnsiTheme="majorHAnsi" w:cstheme="majorHAnsi"/>
          <w:sz w:val="22"/>
          <w:szCs w:val="22"/>
        </w:rPr>
        <w:t xml:space="preserve">ecosystems </w:t>
      </w:r>
      <w:r w:rsidRPr="00974377">
        <w:rPr>
          <w:rFonts w:asciiTheme="majorHAnsi" w:hAnsiTheme="majorHAnsi" w:cstheme="majorHAnsi"/>
          <w:sz w:val="22"/>
          <w:szCs w:val="22"/>
        </w:rPr>
        <w:t xml:space="preserve">engage in a continuous cycle of planning, </w:t>
      </w:r>
      <w:proofErr w:type="gramStart"/>
      <w:r w:rsidRPr="00974377">
        <w:rPr>
          <w:rFonts w:asciiTheme="majorHAnsi" w:hAnsiTheme="majorHAnsi" w:cstheme="majorHAnsi"/>
          <w:sz w:val="22"/>
          <w:szCs w:val="22"/>
        </w:rPr>
        <w:t>monitoring</w:t>
      </w:r>
      <w:proofErr w:type="gramEnd"/>
      <w:r w:rsidRPr="00974377">
        <w:rPr>
          <w:rFonts w:asciiTheme="majorHAnsi" w:hAnsiTheme="majorHAnsi" w:cstheme="majorHAnsi"/>
          <w:sz w:val="22"/>
          <w:szCs w:val="22"/>
        </w:rPr>
        <w:t xml:space="preserve"> and evaluati</w:t>
      </w:r>
      <w:r w:rsidR="00466F84">
        <w:rPr>
          <w:rFonts w:asciiTheme="majorHAnsi" w:hAnsiTheme="majorHAnsi" w:cstheme="majorHAnsi"/>
          <w:sz w:val="22"/>
          <w:szCs w:val="22"/>
        </w:rPr>
        <w:t xml:space="preserve">on </w:t>
      </w:r>
      <w:r w:rsidR="00466F84" w:rsidRPr="009E04A4">
        <w:rPr>
          <w:rFonts w:asciiTheme="majorHAnsi" w:hAnsiTheme="majorHAnsi" w:cstheme="majorHAnsi"/>
          <w:sz w:val="22"/>
          <w:szCs w:val="22"/>
        </w:rPr>
        <w:t xml:space="preserve">of an agreed </w:t>
      </w:r>
      <w:r w:rsidRPr="009E04A4">
        <w:rPr>
          <w:rFonts w:asciiTheme="majorHAnsi" w:hAnsiTheme="majorHAnsi" w:cstheme="majorHAnsi"/>
          <w:sz w:val="22"/>
          <w:szCs w:val="22"/>
        </w:rPr>
        <w:t xml:space="preserve">collective </w:t>
      </w:r>
      <w:r w:rsidR="00466F84" w:rsidRPr="009E04A4">
        <w:rPr>
          <w:rFonts w:asciiTheme="majorHAnsi" w:hAnsiTheme="majorHAnsi" w:cstheme="majorHAnsi"/>
          <w:sz w:val="22"/>
          <w:szCs w:val="22"/>
        </w:rPr>
        <w:t xml:space="preserve">agenda </w:t>
      </w:r>
      <w:r w:rsidRPr="009E04A4">
        <w:rPr>
          <w:rFonts w:asciiTheme="majorHAnsi" w:hAnsiTheme="majorHAnsi" w:cstheme="majorHAnsi"/>
          <w:sz w:val="22"/>
          <w:szCs w:val="22"/>
        </w:rPr>
        <w:t xml:space="preserve">for inclusive learning and </w:t>
      </w:r>
      <w:r w:rsidR="00431ECE">
        <w:rPr>
          <w:rFonts w:asciiTheme="majorHAnsi" w:hAnsiTheme="majorHAnsi" w:cstheme="majorHAnsi"/>
          <w:sz w:val="22"/>
          <w:szCs w:val="22"/>
        </w:rPr>
        <w:t>well-being</w:t>
      </w:r>
      <w:r w:rsidRPr="009E04A4">
        <w:rPr>
          <w:rFonts w:asciiTheme="majorHAnsi" w:hAnsiTheme="majorHAnsi" w:cstheme="majorHAnsi"/>
          <w:sz w:val="22"/>
          <w:szCs w:val="22"/>
        </w:rPr>
        <w:t xml:space="preserve"> in the district’s primary schools and madrasah.</w:t>
      </w:r>
    </w:p>
    <w:p w14:paraId="1F888346" w14:textId="77777777" w:rsidR="004B3D56" w:rsidRPr="005E2B0C" w:rsidRDefault="004B3D56" w:rsidP="008D1844">
      <w:pPr>
        <w:pStyle w:val="Heading3"/>
        <w:numPr>
          <w:ilvl w:val="0"/>
          <w:numId w:val="12"/>
        </w:numPr>
        <w:rPr>
          <w:sz w:val="22"/>
          <w:szCs w:val="20"/>
        </w:rPr>
      </w:pPr>
      <w:r w:rsidRPr="005E2B0C">
        <w:rPr>
          <w:sz w:val="22"/>
          <w:szCs w:val="20"/>
        </w:rPr>
        <w:t>Technical Assistance</w:t>
      </w:r>
    </w:p>
    <w:p w14:paraId="2BE11E1C" w14:textId="5D4BAB46" w:rsidR="004B3D56" w:rsidRPr="009E04A4" w:rsidRDefault="004B3D56" w:rsidP="008F7C47">
      <w:pPr>
        <w:pStyle w:val="BodyText"/>
        <w:spacing w:after="120" w:line="281" w:lineRule="auto"/>
        <w:rPr>
          <w:rFonts w:asciiTheme="majorHAnsi" w:hAnsiTheme="majorHAnsi" w:cstheme="majorHAnsi"/>
          <w:i/>
          <w:iCs/>
          <w:sz w:val="22"/>
          <w:szCs w:val="22"/>
        </w:rPr>
      </w:pPr>
      <w:r w:rsidRPr="009E04A4">
        <w:rPr>
          <w:rFonts w:asciiTheme="majorHAnsi" w:hAnsiTheme="majorHAnsi" w:cstheme="majorHAnsi"/>
          <w:sz w:val="22"/>
          <w:szCs w:val="22"/>
        </w:rPr>
        <w:t xml:space="preserve">The program will provide targeted technical assistance to </w:t>
      </w:r>
      <w:r w:rsidR="00A22C23">
        <w:rPr>
          <w:rFonts w:asciiTheme="majorHAnsi" w:hAnsiTheme="majorHAnsi" w:cstheme="majorHAnsi"/>
          <w:sz w:val="22"/>
          <w:szCs w:val="22"/>
        </w:rPr>
        <w:t xml:space="preserve">support the </w:t>
      </w:r>
      <w:r w:rsidRPr="009E04A4">
        <w:rPr>
          <w:rFonts w:asciiTheme="majorHAnsi" w:hAnsiTheme="majorHAnsi" w:cstheme="majorHAnsi"/>
          <w:sz w:val="22"/>
          <w:szCs w:val="22"/>
        </w:rPr>
        <w:t>develop</w:t>
      </w:r>
      <w:r w:rsidR="00A22C23">
        <w:rPr>
          <w:rFonts w:asciiTheme="majorHAnsi" w:hAnsiTheme="majorHAnsi" w:cstheme="majorHAnsi"/>
          <w:sz w:val="22"/>
          <w:szCs w:val="22"/>
        </w:rPr>
        <w:t>ment of</w:t>
      </w:r>
      <w:r w:rsidRPr="009E04A4">
        <w:rPr>
          <w:rFonts w:asciiTheme="majorHAnsi" w:hAnsiTheme="majorHAnsi" w:cstheme="majorHAnsi"/>
          <w:sz w:val="22"/>
          <w:szCs w:val="22"/>
        </w:rPr>
        <w:t xml:space="preserve"> institutional capacities of relevant national and provincial organisations, and non-target districts within targeted provinces. This will include INOVASI’s support to policy development in areas such as GEDSI, </w:t>
      </w:r>
      <w:r w:rsidR="00F671CE" w:rsidRPr="009E04A4">
        <w:rPr>
          <w:rFonts w:asciiTheme="majorHAnsi" w:hAnsiTheme="majorHAnsi" w:cstheme="majorHAnsi"/>
          <w:sz w:val="22"/>
          <w:szCs w:val="22"/>
        </w:rPr>
        <w:t>ECE</w:t>
      </w:r>
      <w:r w:rsidRPr="009E04A4">
        <w:rPr>
          <w:rFonts w:asciiTheme="majorHAnsi" w:hAnsiTheme="majorHAnsi" w:cstheme="majorHAnsi"/>
          <w:sz w:val="22"/>
          <w:szCs w:val="22"/>
        </w:rPr>
        <w:t xml:space="preserve"> </w:t>
      </w:r>
      <w:r w:rsidR="002474AE" w:rsidRPr="009E04A4">
        <w:rPr>
          <w:rFonts w:asciiTheme="majorHAnsi" w:hAnsiTheme="majorHAnsi" w:cstheme="majorHAnsi"/>
          <w:sz w:val="22"/>
          <w:szCs w:val="22"/>
        </w:rPr>
        <w:t xml:space="preserve">pre-service teacher education </w:t>
      </w:r>
      <w:r w:rsidRPr="009E04A4">
        <w:rPr>
          <w:rFonts w:asciiTheme="majorHAnsi" w:hAnsiTheme="majorHAnsi" w:cstheme="majorHAnsi"/>
          <w:sz w:val="22"/>
          <w:szCs w:val="22"/>
        </w:rPr>
        <w:t xml:space="preserve">and climate change. The nature and level of support provided will be assessed on a case-by case basis and integrated in the program annual planning process. It will invariably be designed so that it develops local capacities to promote and implement current education reforms. </w:t>
      </w:r>
    </w:p>
    <w:p w14:paraId="7EC54797" w14:textId="7CF86B00" w:rsidR="004B3D56" w:rsidRPr="005E2B0C" w:rsidRDefault="004B3D56" w:rsidP="008D1844">
      <w:pPr>
        <w:pStyle w:val="Heading3"/>
        <w:numPr>
          <w:ilvl w:val="0"/>
          <w:numId w:val="12"/>
        </w:numPr>
        <w:rPr>
          <w:i/>
          <w:iCs/>
          <w:sz w:val="22"/>
          <w:szCs w:val="20"/>
        </w:rPr>
      </w:pPr>
      <w:r w:rsidRPr="005E2B0C">
        <w:rPr>
          <w:sz w:val="22"/>
          <w:szCs w:val="20"/>
        </w:rPr>
        <w:t>Evidence</w:t>
      </w:r>
      <w:r w:rsidRPr="005E2B0C">
        <w:rPr>
          <w:i/>
          <w:iCs/>
          <w:sz w:val="22"/>
          <w:szCs w:val="20"/>
        </w:rPr>
        <w:t xml:space="preserve"> </w:t>
      </w:r>
      <w:r w:rsidRPr="005E2B0C">
        <w:rPr>
          <w:sz w:val="22"/>
          <w:szCs w:val="20"/>
        </w:rPr>
        <w:t>and</w:t>
      </w:r>
      <w:r w:rsidRPr="005E2B0C">
        <w:rPr>
          <w:i/>
          <w:iCs/>
          <w:sz w:val="22"/>
          <w:szCs w:val="20"/>
        </w:rPr>
        <w:t xml:space="preserve"> </w:t>
      </w:r>
      <w:r w:rsidRPr="005E2B0C">
        <w:rPr>
          <w:sz w:val="22"/>
          <w:szCs w:val="20"/>
        </w:rPr>
        <w:t>knowledge</w:t>
      </w:r>
    </w:p>
    <w:p w14:paraId="6602E68B" w14:textId="7B4A7A4B" w:rsidR="004B3D56" w:rsidRPr="009E04A4" w:rsidRDefault="004B3D56" w:rsidP="008F7C47">
      <w:pPr>
        <w:spacing w:after="120" w:line="281" w:lineRule="auto"/>
        <w:rPr>
          <w:rFonts w:asciiTheme="majorHAnsi" w:hAnsiTheme="majorHAnsi" w:cstheme="majorHAnsi"/>
          <w:sz w:val="22"/>
          <w:szCs w:val="22"/>
        </w:rPr>
      </w:pPr>
      <w:r w:rsidRPr="009E04A4">
        <w:rPr>
          <w:rFonts w:asciiTheme="majorHAnsi" w:hAnsiTheme="majorHAnsi" w:cstheme="majorHAnsi"/>
          <w:sz w:val="22"/>
          <w:szCs w:val="22"/>
        </w:rPr>
        <w:t xml:space="preserve">Beyond its own MERL needs, INOVASI Phase 3 will play a greater role in generating evidence and </w:t>
      </w:r>
      <w:r w:rsidR="00466F84" w:rsidRPr="009E04A4">
        <w:rPr>
          <w:rFonts w:asciiTheme="majorHAnsi" w:hAnsiTheme="majorHAnsi" w:cstheme="majorHAnsi"/>
          <w:sz w:val="22"/>
          <w:szCs w:val="22"/>
        </w:rPr>
        <w:t>lessons</w:t>
      </w:r>
      <w:r w:rsidRPr="009E04A4">
        <w:rPr>
          <w:rFonts w:asciiTheme="majorHAnsi" w:hAnsiTheme="majorHAnsi" w:cstheme="majorHAnsi"/>
          <w:sz w:val="22"/>
          <w:szCs w:val="22"/>
        </w:rPr>
        <w:t xml:space="preserve"> on current and potential reform implementation processes and </w:t>
      </w:r>
      <w:r w:rsidR="00466F84" w:rsidRPr="009E04A4">
        <w:rPr>
          <w:rFonts w:asciiTheme="majorHAnsi" w:hAnsiTheme="majorHAnsi" w:cstheme="majorHAnsi"/>
          <w:sz w:val="22"/>
          <w:szCs w:val="22"/>
        </w:rPr>
        <w:t xml:space="preserve">achievements, and </w:t>
      </w:r>
      <w:r w:rsidRPr="009E04A4">
        <w:rPr>
          <w:rFonts w:asciiTheme="majorHAnsi" w:hAnsiTheme="majorHAnsi" w:cstheme="majorHAnsi"/>
          <w:sz w:val="22"/>
          <w:szCs w:val="22"/>
        </w:rPr>
        <w:t>their uptake for nationwide scale</w:t>
      </w:r>
      <w:r w:rsidR="00466F84" w:rsidRPr="009E04A4">
        <w:rPr>
          <w:rFonts w:asciiTheme="majorHAnsi" w:hAnsiTheme="majorHAnsi" w:cstheme="majorHAnsi"/>
          <w:sz w:val="22"/>
          <w:szCs w:val="22"/>
        </w:rPr>
        <w:t>-</w:t>
      </w:r>
      <w:r w:rsidRPr="009E04A4">
        <w:rPr>
          <w:rFonts w:asciiTheme="majorHAnsi" w:hAnsiTheme="majorHAnsi" w:cstheme="majorHAnsi"/>
          <w:sz w:val="22"/>
          <w:szCs w:val="22"/>
        </w:rPr>
        <w:t xml:space="preserve">up. The program will focus on building </w:t>
      </w:r>
      <w:proofErr w:type="spellStart"/>
      <w:r w:rsidRPr="009E04A4">
        <w:rPr>
          <w:rFonts w:asciiTheme="majorHAnsi" w:hAnsiTheme="majorHAnsi" w:cstheme="majorHAnsi"/>
          <w:sz w:val="22"/>
          <w:szCs w:val="22"/>
        </w:rPr>
        <w:t>MoECRT</w:t>
      </w:r>
      <w:proofErr w:type="spellEnd"/>
      <w:r w:rsidRPr="009E04A4">
        <w:rPr>
          <w:rFonts w:asciiTheme="majorHAnsi" w:hAnsiTheme="majorHAnsi" w:cstheme="majorHAnsi"/>
          <w:sz w:val="22"/>
          <w:szCs w:val="22"/>
        </w:rPr>
        <w:t xml:space="preserve"> MERL capacity and </w:t>
      </w:r>
      <w:proofErr w:type="gramStart"/>
      <w:r w:rsidR="00466F84" w:rsidRPr="009E04A4">
        <w:rPr>
          <w:rFonts w:asciiTheme="majorHAnsi" w:hAnsiTheme="majorHAnsi" w:cstheme="majorHAnsi"/>
          <w:sz w:val="22"/>
          <w:szCs w:val="22"/>
        </w:rPr>
        <w:t>knowledge, and</w:t>
      </w:r>
      <w:proofErr w:type="gramEnd"/>
      <w:r w:rsidR="00466F84" w:rsidRPr="009E04A4">
        <w:rPr>
          <w:rFonts w:asciiTheme="majorHAnsi" w:hAnsiTheme="majorHAnsi" w:cstheme="majorHAnsi"/>
          <w:sz w:val="22"/>
          <w:szCs w:val="22"/>
        </w:rPr>
        <w:t xml:space="preserve"> </w:t>
      </w:r>
      <w:r w:rsidRPr="009E04A4">
        <w:rPr>
          <w:rFonts w:asciiTheme="majorHAnsi" w:hAnsiTheme="majorHAnsi" w:cstheme="majorHAnsi"/>
          <w:sz w:val="22"/>
          <w:szCs w:val="22"/>
        </w:rPr>
        <w:t xml:space="preserve">analysing the effectiveness of its primary education reforms. An underlying principle of the </w:t>
      </w:r>
      <w:r w:rsidRPr="009E04A4">
        <w:rPr>
          <w:rFonts w:asciiTheme="majorHAnsi" w:hAnsiTheme="majorHAnsi" w:cstheme="majorHAnsi"/>
          <w:i/>
          <w:iCs/>
          <w:sz w:val="22"/>
          <w:szCs w:val="22"/>
        </w:rPr>
        <w:t xml:space="preserve">Merdeka </w:t>
      </w:r>
      <w:proofErr w:type="spellStart"/>
      <w:r w:rsidRPr="009E04A4">
        <w:rPr>
          <w:rFonts w:asciiTheme="majorHAnsi" w:hAnsiTheme="majorHAnsi" w:cstheme="majorHAnsi"/>
          <w:i/>
          <w:iCs/>
          <w:sz w:val="22"/>
          <w:szCs w:val="22"/>
        </w:rPr>
        <w:t>Belajar</w:t>
      </w:r>
      <w:proofErr w:type="spellEnd"/>
      <w:r w:rsidRPr="009E04A4">
        <w:rPr>
          <w:rFonts w:asciiTheme="majorHAnsi" w:hAnsiTheme="majorHAnsi" w:cstheme="majorHAnsi"/>
          <w:sz w:val="22"/>
          <w:szCs w:val="22"/>
        </w:rPr>
        <w:t xml:space="preserve"> policy framework is the iterative improvement of the new curriculum rather than </w:t>
      </w:r>
      <w:r w:rsidR="00655D7B" w:rsidRPr="009E04A4">
        <w:rPr>
          <w:rFonts w:asciiTheme="majorHAnsi" w:hAnsiTheme="majorHAnsi" w:cstheme="majorHAnsi"/>
          <w:sz w:val="22"/>
          <w:szCs w:val="22"/>
        </w:rPr>
        <w:t>‘</w:t>
      </w:r>
      <w:r w:rsidRPr="009E04A4">
        <w:rPr>
          <w:rFonts w:asciiTheme="majorHAnsi" w:hAnsiTheme="majorHAnsi" w:cstheme="majorHAnsi"/>
          <w:sz w:val="22"/>
          <w:szCs w:val="22"/>
        </w:rPr>
        <w:t>big bang</w:t>
      </w:r>
      <w:r w:rsidR="00655D7B" w:rsidRPr="009E04A4">
        <w:rPr>
          <w:rFonts w:asciiTheme="majorHAnsi" w:hAnsiTheme="majorHAnsi" w:cstheme="majorHAnsi"/>
          <w:sz w:val="22"/>
          <w:szCs w:val="22"/>
        </w:rPr>
        <w:t>’</w:t>
      </w:r>
      <w:r w:rsidRPr="009E04A4">
        <w:rPr>
          <w:rFonts w:asciiTheme="majorHAnsi" w:hAnsiTheme="majorHAnsi" w:cstheme="majorHAnsi"/>
          <w:sz w:val="22"/>
          <w:szCs w:val="22"/>
        </w:rPr>
        <w:t xml:space="preserve"> change. Building on the current phase, the program will continue to monitor implementation of the </w:t>
      </w:r>
      <w:proofErr w:type="spellStart"/>
      <w:r w:rsidRPr="009E04A4">
        <w:rPr>
          <w:rFonts w:asciiTheme="majorHAnsi" w:hAnsiTheme="majorHAnsi" w:cstheme="majorHAnsi"/>
          <w:i/>
          <w:iCs/>
          <w:sz w:val="22"/>
          <w:szCs w:val="22"/>
        </w:rPr>
        <w:t>Kurikulum</w:t>
      </w:r>
      <w:proofErr w:type="spellEnd"/>
      <w:r w:rsidRPr="009E04A4">
        <w:rPr>
          <w:rFonts w:asciiTheme="majorHAnsi" w:hAnsiTheme="majorHAnsi" w:cstheme="majorHAnsi"/>
          <w:i/>
          <w:iCs/>
          <w:sz w:val="22"/>
          <w:szCs w:val="22"/>
        </w:rPr>
        <w:t xml:space="preserve"> Merdeka</w:t>
      </w:r>
      <w:r w:rsidRPr="009E04A4">
        <w:rPr>
          <w:rFonts w:asciiTheme="majorHAnsi" w:hAnsiTheme="majorHAnsi" w:cstheme="majorHAnsi"/>
          <w:sz w:val="22"/>
          <w:szCs w:val="22"/>
        </w:rPr>
        <w:t xml:space="preserve"> to inform </w:t>
      </w:r>
      <w:proofErr w:type="spellStart"/>
      <w:r w:rsidRPr="009E04A4">
        <w:rPr>
          <w:rFonts w:asciiTheme="majorHAnsi" w:hAnsiTheme="majorHAnsi" w:cstheme="majorHAnsi"/>
          <w:sz w:val="22"/>
          <w:szCs w:val="22"/>
        </w:rPr>
        <w:t>MoECRT’s</w:t>
      </w:r>
      <w:proofErr w:type="spellEnd"/>
      <w:r w:rsidRPr="009E04A4">
        <w:rPr>
          <w:rFonts w:asciiTheme="majorHAnsi" w:hAnsiTheme="majorHAnsi" w:cstheme="majorHAnsi"/>
          <w:sz w:val="22"/>
          <w:szCs w:val="22"/>
        </w:rPr>
        <w:t xml:space="preserve"> policy adjustments based on evidence and findings. Some important findings already call for further policy consideration to ensure the reforms meet their objectives - they will need attention into the next program. </w:t>
      </w:r>
      <w:r w:rsidR="00A22C23" w:rsidRPr="00A22C23">
        <w:rPr>
          <w:rFonts w:asciiTheme="majorHAnsi" w:hAnsiTheme="majorHAnsi" w:cstheme="majorHAnsi"/>
          <w:sz w:val="22"/>
          <w:szCs w:val="22"/>
        </w:rPr>
        <w:t xml:space="preserve">INOVASI Phase 3 will work with other significant programs development partners to produce joint evidence and </w:t>
      </w:r>
      <w:proofErr w:type="gramStart"/>
      <w:r w:rsidR="00A22C23" w:rsidRPr="00A22C23">
        <w:rPr>
          <w:rFonts w:asciiTheme="majorHAnsi" w:hAnsiTheme="majorHAnsi" w:cstheme="majorHAnsi"/>
          <w:sz w:val="22"/>
          <w:szCs w:val="22"/>
        </w:rPr>
        <w:t>lessons, and</w:t>
      </w:r>
      <w:proofErr w:type="gramEnd"/>
      <w:r w:rsidR="00A22C23" w:rsidRPr="00A22C23">
        <w:rPr>
          <w:rFonts w:asciiTheme="majorHAnsi" w:hAnsiTheme="majorHAnsi" w:cstheme="majorHAnsi"/>
          <w:sz w:val="22"/>
          <w:szCs w:val="22"/>
        </w:rPr>
        <w:t xml:space="preserve"> undertake coherent policy dialogue and advocacy (see Section D).</w:t>
      </w:r>
      <w:r w:rsidR="00CC6415">
        <w:rPr>
          <w:rFonts w:asciiTheme="majorHAnsi" w:hAnsiTheme="majorHAnsi" w:cstheme="majorHAnsi"/>
          <w:sz w:val="22"/>
          <w:szCs w:val="22"/>
        </w:rPr>
        <w:t xml:space="preserve"> </w:t>
      </w:r>
      <w:r w:rsidR="00CC6415" w:rsidRPr="00EA46CE">
        <w:rPr>
          <w:rFonts w:asciiTheme="majorHAnsi" w:hAnsiTheme="majorHAnsi" w:cstheme="majorHAnsi"/>
          <w:sz w:val="22"/>
          <w:szCs w:val="22"/>
        </w:rPr>
        <w:t xml:space="preserve">Through the district ecosystem, efforts will also be made to support the dissemination of evidence from learning assessments (including </w:t>
      </w:r>
      <w:proofErr w:type="spellStart"/>
      <w:r w:rsidR="00CC6415" w:rsidRPr="00EA46CE">
        <w:rPr>
          <w:rFonts w:asciiTheme="majorHAnsi" w:hAnsiTheme="majorHAnsi" w:cstheme="majorHAnsi"/>
          <w:i/>
          <w:iCs/>
          <w:sz w:val="22"/>
          <w:szCs w:val="22"/>
        </w:rPr>
        <w:t>Rapor</w:t>
      </w:r>
      <w:proofErr w:type="spellEnd"/>
      <w:r w:rsidR="00CC6415" w:rsidRPr="00EA46CE">
        <w:rPr>
          <w:rFonts w:asciiTheme="majorHAnsi" w:hAnsiTheme="majorHAnsi" w:cstheme="majorHAnsi"/>
          <w:i/>
          <w:iCs/>
          <w:sz w:val="22"/>
          <w:szCs w:val="22"/>
        </w:rPr>
        <w:t xml:space="preserve"> Pendidikan</w:t>
      </w:r>
      <w:r w:rsidR="00CC6415" w:rsidRPr="00EA46CE">
        <w:rPr>
          <w:rFonts w:asciiTheme="majorHAnsi" w:hAnsiTheme="majorHAnsi" w:cstheme="majorHAnsi"/>
          <w:sz w:val="22"/>
          <w:szCs w:val="22"/>
        </w:rPr>
        <w:t xml:space="preserve">) to schools and teachers to highlight </w:t>
      </w:r>
      <w:r w:rsidR="00BF3192">
        <w:rPr>
          <w:rFonts w:asciiTheme="majorHAnsi" w:hAnsiTheme="majorHAnsi" w:cstheme="majorHAnsi"/>
          <w:sz w:val="22"/>
          <w:szCs w:val="22"/>
        </w:rPr>
        <w:t>gaps</w:t>
      </w:r>
      <w:r w:rsidR="00CC6415" w:rsidRPr="00EA46CE">
        <w:rPr>
          <w:rFonts w:asciiTheme="majorHAnsi" w:hAnsiTheme="majorHAnsi" w:cstheme="majorHAnsi"/>
          <w:sz w:val="22"/>
          <w:szCs w:val="22"/>
        </w:rPr>
        <w:t xml:space="preserve"> </w:t>
      </w:r>
      <w:r w:rsidR="005B034A">
        <w:rPr>
          <w:rFonts w:asciiTheme="majorHAnsi" w:hAnsiTheme="majorHAnsi" w:cstheme="majorHAnsi"/>
          <w:sz w:val="22"/>
          <w:szCs w:val="22"/>
        </w:rPr>
        <w:t xml:space="preserve">in student learning </w:t>
      </w:r>
      <w:r w:rsidR="00CC6415" w:rsidRPr="00EA46CE">
        <w:rPr>
          <w:rFonts w:asciiTheme="majorHAnsi" w:hAnsiTheme="majorHAnsi" w:cstheme="majorHAnsi"/>
          <w:sz w:val="22"/>
          <w:szCs w:val="22"/>
        </w:rPr>
        <w:t xml:space="preserve">and enable continuous improvement </w:t>
      </w:r>
      <w:r w:rsidR="00BF3192">
        <w:rPr>
          <w:rFonts w:asciiTheme="majorHAnsi" w:hAnsiTheme="majorHAnsi" w:cstheme="majorHAnsi"/>
          <w:sz w:val="22"/>
          <w:szCs w:val="22"/>
        </w:rPr>
        <w:t>in</w:t>
      </w:r>
      <w:r w:rsidR="00CC6415" w:rsidRPr="00EA46CE">
        <w:rPr>
          <w:rFonts w:asciiTheme="majorHAnsi" w:hAnsiTheme="majorHAnsi" w:cstheme="majorHAnsi"/>
          <w:sz w:val="22"/>
          <w:szCs w:val="22"/>
        </w:rPr>
        <w:t xml:space="preserve"> teaching in the classroom</w:t>
      </w:r>
      <w:r w:rsidR="00DE2439">
        <w:rPr>
          <w:rFonts w:asciiTheme="majorHAnsi" w:hAnsiTheme="majorHAnsi" w:cstheme="majorHAnsi"/>
          <w:sz w:val="22"/>
          <w:szCs w:val="22"/>
        </w:rPr>
        <w:t>.</w:t>
      </w:r>
    </w:p>
    <w:p w14:paraId="4D8BF1E9" w14:textId="6D7F2589" w:rsidR="004B3D56" w:rsidRPr="005E2B0C" w:rsidRDefault="004B3D56" w:rsidP="008D1844">
      <w:pPr>
        <w:pStyle w:val="Heading3"/>
        <w:numPr>
          <w:ilvl w:val="0"/>
          <w:numId w:val="12"/>
        </w:numPr>
        <w:rPr>
          <w:sz w:val="22"/>
          <w:szCs w:val="20"/>
        </w:rPr>
      </w:pPr>
      <w:r w:rsidRPr="005E2B0C">
        <w:rPr>
          <w:sz w:val="22"/>
          <w:szCs w:val="20"/>
        </w:rPr>
        <w:lastRenderedPageBreak/>
        <w:t>Institutional partnerships</w:t>
      </w:r>
    </w:p>
    <w:p w14:paraId="1866F0CE" w14:textId="0BD6C88E" w:rsidR="004B3D56" w:rsidRPr="009E04A4" w:rsidRDefault="004B3D56" w:rsidP="008F7C47">
      <w:pPr>
        <w:pStyle w:val="BodyText"/>
        <w:spacing w:after="120" w:line="281" w:lineRule="auto"/>
        <w:rPr>
          <w:rFonts w:asciiTheme="majorHAnsi" w:hAnsiTheme="majorHAnsi" w:cstheme="majorHAnsi"/>
          <w:sz w:val="22"/>
          <w:szCs w:val="22"/>
        </w:rPr>
      </w:pPr>
      <w:r w:rsidRPr="009E04A4">
        <w:rPr>
          <w:rFonts w:asciiTheme="majorHAnsi" w:hAnsiTheme="majorHAnsi" w:cstheme="majorHAnsi"/>
          <w:sz w:val="22"/>
          <w:szCs w:val="22"/>
        </w:rPr>
        <w:t xml:space="preserve">Building on previous achievements and in line with </w:t>
      </w:r>
      <w:proofErr w:type="spellStart"/>
      <w:r w:rsidRPr="009E04A4">
        <w:rPr>
          <w:rFonts w:asciiTheme="majorHAnsi" w:hAnsiTheme="majorHAnsi" w:cstheme="majorHAnsi"/>
          <w:sz w:val="22"/>
          <w:szCs w:val="22"/>
        </w:rPr>
        <w:t>GoI</w:t>
      </w:r>
      <w:proofErr w:type="spellEnd"/>
      <w:r w:rsidRPr="009E04A4">
        <w:rPr>
          <w:rFonts w:asciiTheme="majorHAnsi" w:hAnsiTheme="majorHAnsi" w:cstheme="majorHAnsi"/>
          <w:sz w:val="22"/>
          <w:szCs w:val="22"/>
        </w:rPr>
        <w:t xml:space="preserve"> interest, the program will broker and facilitate institutional partnerships that</w:t>
      </w:r>
      <w:r w:rsidRPr="00974377">
        <w:rPr>
          <w:rFonts w:asciiTheme="majorHAnsi" w:hAnsiTheme="majorHAnsi" w:cstheme="majorHAnsi"/>
          <w:sz w:val="22"/>
          <w:szCs w:val="22"/>
        </w:rPr>
        <w:t xml:space="preserve"> will bring together suitable organisations to learn about each other and strengthen their own practices. Strategic partnerships will be developed at the provincial, </w:t>
      </w:r>
      <w:r w:rsidR="005E0340" w:rsidRPr="00974377">
        <w:rPr>
          <w:rFonts w:asciiTheme="majorHAnsi" w:hAnsiTheme="majorHAnsi" w:cstheme="majorHAnsi"/>
          <w:sz w:val="22"/>
          <w:szCs w:val="22"/>
        </w:rPr>
        <w:t>national,</w:t>
      </w:r>
      <w:r w:rsidRPr="00974377">
        <w:rPr>
          <w:rFonts w:asciiTheme="majorHAnsi" w:hAnsiTheme="majorHAnsi" w:cstheme="majorHAnsi"/>
          <w:sz w:val="22"/>
          <w:szCs w:val="22"/>
        </w:rPr>
        <w:t xml:space="preserve"> and international levels (with Australia and throughout the Indo-Pacific region) and include new, </w:t>
      </w:r>
      <w:r w:rsidR="00145483" w:rsidRPr="00974377">
        <w:rPr>
          <w:rFonts w:asciiTheme="majorHAnsi" w:hAnsiTheme="majorHAnsi" w:cstheme="majorHAnsi"/>
          <w:sz w:val="22"/>
          <w:szCs w:val="22"/>
        </w:rPr>
        <w:t>traditional,</w:t>
      </w:r>
      <w:r w:rsidRPr="00974377">
        <w:rPr>
          <w:rFonts w:asciiTheme="majorHAnsi" w:hAnsiTheme="majorHAnsi" w:cstheme="majorHAnsi"/>
          <w:sz w:val="22"/>
          <w:szCs w:val="22"/>
        </w:rPr>
        <w:t xml:space="preserve"> and non-traditional partners. They will be considered on a case-by-case basis during the annual planning process (and outside when needed). Support to partnerships will be strategically based on </w:t>
      </w:r>
      <w:r w:rsidR="00FB48CF" w:rsidRPr="00974377">
        <w:rPr>
          <w:rFonts w:asciiTheme="majorHAnsi" w:hAnsiTheme="majorHAnsi" w:cstheme="majorHAnsi"/>
          <w:sz w:val="22"/>
          <w:szCs w:val="22"/>
        </w:rPr>
        <w:t>politically informed</w:t>
      </w:r>
      <w:r w:rsidRPr="00974377">
        <w:rPr>
          <w:rFonts w:asciiTheme="majorHAnsi" w:hAnsiTheme="majorHAnsi" w:cstheme="majorHAnsi"/>
          <w:sz w:val="22"/>
          <w:szCs w:val="22"/>
        </w:rPr>
        <w:t xml:space="preserve"> connections and seek to deliver accelerated impacts by learning from other relevant initiatives and development partners across the region. Examples of international partnership may involve relevant Australian institutions such as the Australian Institute for Teaching and School Leadership (AITSL) and the statutory authority on curriculum and assessment (Australian Curriculum, Assessment and Reporting Authority - ACARA). It may also involve</w:t>
      </w:r>
      <w:r w:rsidR="00A22C23">
        <w:rPr>
          <w:rFonts w:asciiTheme="majorHAnsi" w:hAnsiTheme="majorHAnsi" w:cstheme="majorHAnsi"/>
          <w:sz w:val="22"/>
          <w:szCs w:val="22"/>
        </w:rPr>
        <w:t xml:space="preserve"> supporting </w:t>
      </w:r>
      <w:proofErr w:type="spellStart"/>
      <w:r w:rsidR="00A22C23">
        <w:rPr>
          <w:rFonts w:asciiTheme="majorHAnsi" w:hAnsiTheme="majorHAnsi" w:cstheme="majorHAnsi"/>
          <w:sz w:val="22"/>
          <w:szCs w:val="22"/>
        </w:rPr>
        <w:t>GoI</w:t>
      </w:r>
      <w:proofErr w:type="spellEnd"/>
      <w:r w:rsidR="00A22C23">
        <w:rPr>
          <w:rFonts w:asciiTheme="majorHAnsi" w:hAnsiTheme="majorHAnsi" w:cstheme="majorHAnsi"/>
          <w:sz w:val="22"/>
          <w:szCs w:val="22"/>
        </w:rPr>
        <w:t xml:space="preserve"> to engage in</w:t>
      </w:r>
      <w:r w:rsidRPr="00974377">
        <w:rPr>
          <w:rFonts w:asciiTheme="majorHAnsi" w:hAnsiTheme="majorHAnsi" w:cstheme="majorHAnsi"/>
          <w:sz w:val="22"/>
          <w:szCs w:val="22"/>
        </w:rPr>
        <w:t xml:space="preserve"> leading international educational forum such as the UNESCO supported Network </w:t>
      </w:r>
      <w:r w:rsidRPr="009E04A4">
        <w:rPr>
          <w:rFonts w:asciiTheme="majorHAnsi" w:hAnsiTheme="majorHAnsi" w:cstheme="majorHAnsi"/>
          <w:sz w:val="22"/>
          <w:szCs w:val="22"/>
        </w:rPr>
        <w:t xml:space="preserve">for Education Quality Monitoring in the Asia-Pacific (NEQMAP), the </w:t>
      </w:r>
      <w:r w:rsidR="00287128">
        <w:rPr>
          <w:rFonts w:asciiTheme="majorHAnsi" w:hAnsiTheme="majorHAnsi" w:cstheme="majorHAnsi"/>
          <w:sz w:val="22"/>
          <w:szCs w:val="22"/>
        </w:rPr>
        <w:t xml:space="preserve">Global </w:t>
      </w:r>
      <w:r w:rsidR="00CE1EA0">
        <w:rPr>
          <w:rFonts w:asciiTheme="majorHAnsi" w:hAnsiTheme="majorHAnsi" w:cstheme="majorHAnsi"/>
          <w:sz w:val="22"/>
          <w:szCs w:val="22"/>
        </w:rPr>
        <w:t>Partnership for Education (</w:t>
      </w:r>
      <w:r w:rsidRPr="009E04A4">
        <w:rPr>
          <w:rFonts w:asciiTheme="majorHAnsi" w:hAnsiTheme="majorHAnsi" w:cstheme="majorHAnsi"/>
          <w:sz w:val="22"/>
          <w:szCs w:val="22"/>
        </w:rPr>
        <w:t>GPE</w:t>
      </w:r>
      <w:r w:rsidR="00CE1EA0">
        <w:rPr>
          <w:rFonts w:asciiTheme="majorHAnsi" w:hAnsiTheme="majorHAnsi" w:cstheme="majorHAnsi"/>
          <w:sz w:val="22"/>
          <w:szCs w:val="22"/>
        </w:rPr>
        <w:t>)</w:t>
      </w:r>
      <w:r w:rsidRPr="009E04A4">
        <w:rPr>
          <w:rFonts w:asciiTheme="majorHAnsi" w:hAnsiTheme="majorHAnsi" w:cstheme="majorHAnsi"/>
          <w:sz w:val="22"/>
          <w:szCs w:val="22"/>
        </w:rPr>
        <w:t xml:space="preserve"> or the Southeast Asia Ministers of Education Organisation (SEAMEO).</w:t>
      </w:r>
    </w:p>
    <w:p w14:paraId="298449C5" w14:textId="7C4A53AB" w:rsidR="004B3D56" w:rsidRPr="005E2B0C" w:rsidRDefault="004B3D56" w:rsidP="008D1844">
      <w:pPr>
        <w:pStyle w:val="Heading3"/>
        <w:numPr>
          <w:ilvl w:val="0"/>
          <w:numId w:val="12"/>
        </w:numPr>
        <w:rPr>
          <w:sz w:val="22"/>
          <w:szCs w:val="20"/>
        </w:rPr>
      </w:pPr>
      <w:r w:rsidRPr="005E2B0C">
        <w:rPr>
          <w:sz w:val="22"/>
          <w:szCs w:val="20"/>
        </w:rPr>
        <w:t>Pilots and trials</w:t>
      </w:r>
    </w:p>
    <w:p w14:paraId="7C7D058A" w14:textId="23C6AC0D" w:rsidR="004B3D56" w:rsidRPr="00974377" w:rsidRDefault="004B3D56" w:rsidP="008F7C47">
      <w:pPr>
        <w:pStyle w:val="BodyText"/>
        <w:spacing w:after="120" w:line="281" w:lineRule="auto"/>
        <w:rPr>
          <w:rFonts w:asciiTheme="majorHAnsi" w:hAnsiTheme="majorHAnsi" w:cstheme="majorHAnsi"/>
          <w:sz w:val="22"/>
          <w:szCs w:val="22"/>
        </w:rPr>
      </w:pPr>
      <w:r w:rsidRPr="009E04A4">
        <w:rPr>
          <w:rFonts w:asciiTheme="majorHAnsi" w:hAnsiTheme="majorHAnsi" w:cstheme="majorHAnsi"/>
          <w:sz w:val="22"/>
          <w:szCs w:val="22"/>
        </w:rPr>
        <w:t>The program will continue</w:t>
      </w:r>
      <w:r w:rsidRPr="00974377">
        <w:rPr>
          <w:rFonts w:asciiTheme="majorHAnsi" w:hAnsiTheme="majorHAnsi" w:cstheme="majorHAnsi"/>
          <w:sz w:val="22"/>
          <w:szCs w:val="22"/>
        </w:rPr>
        <w:t xml:space="preserve"> to develop and fund relevant </w:t>
      </w:r>
      <w:r w:rsidR="00A22C23">
        <w:rPr>
          <w:rFonts w:asciiTheme="majorHAnsi" w:hAnsiTheme="majorHAnsi" w:cstheme="majorHAnsi"/>
          <w:sz w:val="22"/>
          <w:szCs w:val="22"/>
        </w:rPr>
        <w:t>local partners in the ecosystem to undertake</w:t>
      </w:r>
      <w:r w:rsidR="00A22C23" w:rsidRPr="004F17B3">
        <w:rPr>
          <w:rFonts w:asciiTheme="majorHAnsi" w:hAnsiTheme="majorHAnsi" w:cstheme="majorHAnsi"/>
          <w:sz w:val="22"/>
          <w:szCs w:val="22"/>
        </w:rPr>
        <w:t xml:space="preserve"> </w:t>
      </w:r>
      <w:r w:rsidRPr="00974377">
        <w:rPr>
          <w:rFonts w:asciiTheme="majorHAnsi" w:hAnsiTheme="majorHAnsi" w:cstheme="majorHAnsi"/>
          <w:sz w:val="22"/>
          <w:szCs w:val="22"/>
        </w:rPr>
        <w:t xml:space="preserve">pilots and trials that hold promises of lessons for effective implementation of </w:t>
      </w:r>
      <w:r w:rsidRPr="00431ECE">
        <w:rPr>
          <w:rFonts w:asciiTheme="majorHAnsi" w:hAnsiTheme="majorHAnsi" w:cstheme="majorHAnsi"/>
          <w:i/>
          <w:iCs/>
          <w:sz w:val="22"/>
          <w:szCs w:val="22"/>
        </w:rPr>
        <w:t xml:space="preserve">Merdeka </w:t>
      </w:r>
      <w:proofErr w:type="spellStart"/>
      <w:r w:rsidRPr="00431ECE">
        <w:rPr>
          <w:rFonts w:asciiTheme="majorHAnsi" w:hAnsiTheme="majorHAnsi" w:cstheme="majorHAnsi"/>
          <w:i/>
          <w:iCs/>
          <w:sz w:val="22"/>
          <w:szCs w:val="22"/>
        </w:rPr>
        <w:t>Belajar</w:t>
      </w:r>
      <w:proofErr w:type="spellEnd"/>
      <w:r w:rsidRPr="00974377">
        <w:rPr>
          <w:rFonts w:asciiTheme="majorHAnsi" w:hAnsiTheme="majorHAnsi" w:cstheme="majorHAnsi"/>
          <w:sz w:val="22"/>
          <w:szCs w:val="22"/>
        </w:rPr>
        <w:t xml:space="preserve"> reforms. These will always include convincing monitoring and evaluation approaches and strategic communication protocols to disseminate the findings and lessons. While pilots and trials will be considered during the annual planning process, the program will also consider these opportunistically. The program support to the pre-primary transition year (</w:t>
      </w:r>
      <w:r w:rsidR="00F671CE" w:rsidRPr="00974377">
        <w:rPr>
          <w:rFonts w:asciiTheme="majorHAnsi" w:hAnsiTheme="majorHAnsi" w:cstheme="majorHAnsi"/>
          <w:sz w:val="22"/>
          <w:szCs w:val="22"/>
        </w:rPr>
        <w:t>ECE</w:t>
      </w:r>
      <w:r w:rsidRPr="00974377">
        <w:rPr>
          <w:rFonts w:asciiTheme="majorHAnsi" w:hAnsiTheme="majorHAnsi" w:cstheme="majorHAnsi"/>
          <w:sz w:val="22"/>
          <w:szCs w:val="22"/>
        </w:rPr>
        <w:t>) provide</w:t>
      </w:r>
      <w:r w:rsidR="00DB4052">
        <w:rPr>
          <w:rFonts w:asciiTheme="majorHAnsi" w:hAnsiTheme="majorHAnsi" w:cstheme="majorHAnsi"/>
          <w:sz w:val="22"/>
          <w:szCs w:val="22"/>
        </w:rPr>
        <w:t>s</w:t>
      </w:r>
      <w:r w:rsidRPr="00974377">
        <w:rPr>
          <w:rFonts w:asciiTheme="majorHAnsi" w:hAnsiTheme="majorHAnsi" w:cstheme="majorHAnsi"/>
          <w:sz w:val="22"/>
          <w:szCs w:val="22"/>
        </w:rPr>
        <w:t xml:space="preserve"> an example of </w:t>
      </w:r>
      <w:r w:rsidR="00DB4052">
        <w:rPr>
          <w:rFonts w:asciiTheme="majorHAnsi" w:hAnsiTheme="majorHAnsi" w:cstheme="majorHAnsi"/>
          <w:sz w:val="22"/>
          <w:szCs w:val="22"/>
        </w:rPr>
        <w:t xml:space="preserve">an </w:t>
      </w:r>
      <w:r w:rsidRPr="00974377">
        <w:rPr>
          <w:rFonts w:asciiTheme="majorHAnsi" w:hAnsiTheme="majorHAnsi" w:cstheme="majorHAnsi"/>
          <w:sz w:val="22"/>
          <w:szCs w:val="22"/>
        </w:rPr>
        <w:t xml:space="preserve">area where a pilot could be considered, an exploration of how to improve the </w:t>
      </w:r>
      <w:r w:rsidR="00F671CE" w:rsidRPr="00974377">
        <w:rPr>
          <w:rFonts w:asciiTheme="majorHAnsi" w:hAnsiTheme="majorHAnsi" w:cstheme="majorHAnsi"/>
          <w:sz w:val="22"/>
          <w:szCs w:val="22"/>
        </w:rPr>
        <w:t>ECE</w:t>
      </w:r>
      <w:r w:rsidRPr="00974377">
        <w:rPr>
          <w:rFonts w:asciiTheme="majorHAnsi" w:hAnsiTheme="majorHAnsi" w:cstheme="majorHAnsi"/>
          <w:sz w:val="22"/>
          <w:szCs w:val="22"/>
        </w:rPr>
        <w:t xml:space="preserve"> year to best serve children’s readiness for Grade 1 learning at district level, based on the different </w:t>
      </w:r>
      <w:r w:rsidR="00BF3192">
        <w:rPr>
          <w:rFonts w:asciiTheme="majorHAnsi" w:hAnsiTheme="majorHAnsi" w:cstheme="majorHAnsi"/>
          <w:sz w:val="22"/>
          <w:szCs w:val="22"/>
        </w:rPr>
        <w:t xml:space="preserve">contextual </w:t>
      </w:r>
      <w:r w:rsidRPr="00974377">
        <w:rPr>
          <w:rFonts w:asciiTheme="majorHAnsi" w:hAnsiTheme="majorHAnsi" w:cstheme="majorHAnsi"/>
          <w:sz w:val="22"/>
          <w:szCs w:val="22"/>
        </w:rPr>
        <w:t xml:space="preserve">issues in the </w:t>
      </w:r>
      <w:r w:rsidR="00BF3192">
        <w:rPr>
          <w:rFonts w:asciiTheme="majorHAnsi" w:hAnsiTheme="majorHAnsi" w:cstheme="majorHAnsi"/>
          <w:sz w:val="22"/>
          <w:szCs w:val="22"/>
        </w:rPr>
        <w:t xml:space="preserve">school </w:t>
      </w:r>
      <w:r w:rsidRPr="00974377">
        <w:rPr>
          <w:rFonts w:asciiTheme="majorHAnsi" w:hAnsiTheme="majorHAnsi" w:cstheme="majorHAnsi"/>
          <w:sz w:val="22"/>
          <w:szCs w:val="22"/>
        </w:rPr>
        <w:t xml:space="preserve">community that impede it. The program’s compilation of findings from different district pilots would provide a strong basis for informing the development of a pre-school curriculum as </w:t>
      </w:r>
      <w:proofErr w:type="spellStart"/>
      <w:r w:rsidRPr="00974377">
        <w:rPr>
          <w:rFonts w:asciiTheme="majorHAnsi" w:hAnsiTheme="majorHAnsi" w:cstheme="majorHAnsi"/>
          <w:sz w:val="22"/>
          <w:szCs w:val="22"/>
        </w:rPr>
        <w:t>MoECRT</w:t>
      </w:r>
      <w:proofErr w:type="spellEnd"/>
      <w:r w:rsidRPr="00974377">
        <w:rPr>
          <w:rFonts w:asciiTheme="majorHAnsi" w:hAnsiTheme="majorHAnsi" w:cstheme="majorHAnsi"/>
          <w:sz w:val="22"/>
          <w:szCs w:val="22"/>
        </w:rPr>
        <w:t xml:space="preserve"> moves towards regulating the </w:t>
      </w:r>
      <w:r w:rsidR="00F671CE" w:rsidRPr="00974377">
        <w:rPr>
          <w:rFonts w:asciiTheme="majorHAnsi" w:hAnsiTheme="majorHAnsi" w:cstheme="majorHAnsi"/>
          <w:sz w:val="22"/>
          <w:szCs w:val="22"/>
        </w:rPr>
        <w:t>ECE</w:t>
      </w:r>
      <w:r w:rsidRPr="00974377">
        <w:rPr>
          <w:rFonts w:asciiTheme="majorHAnsi" w:hAnsiTheme="majorHAnsi" w:cstheme="majorHAnsi"/>
          <w:sz w:val="22"/>
          <w:szCs w:val="22"/>
        </w:rPr>
        <w:t xml:space="preserve"> sector. </w:t>
      </w:r>
    </w:p>
    <w:p w14:paraId="634A670E" w14:textId="7B5A88BF" w:rsidR="004B3D56" w:rsidRPr="00063F9D" w:rsidRDefault="00063F9D" w:rsidP="00760F94">
      <w:pPr>
        <w:pStyle w:val="Heading2"/>
        <w:rPr>
          <w:b/>
          <w:bCs/>
          <w:sz w:val="22"/>
          <w:szCs w:val="22"/>
        </w:rPr>
      </w:pPr>
      <w:r w:rsidRPr="00063F9D">
        <w:rPr>
          <w:b/>
          <w:bCs/>
          <w:caps w:val="0"/>
          <w:sz w:val="22"/>
          <w:szCs w:val="22"/>
        </w:rPr>
        <w:t>Principles</w:t>
      </w:r>
    </w:p>
    <w:p w14:paraId="386081E4" w14:textId="77777777" w:rsidR="004B3D56" w:rsidRPr="00974377" w:rsidRDefault="004B3D56" w:rsidP="00760F94">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In addition to its stated outcomes and strategies, INOVASI Phase 3 includes a set of principles (formerly defined as approaches) that guide how it will operate, as well as what it seeks to project externally. These principles provide core, stable elements of identity that should remain valid irrespective of changes in objectives. They are a key part of communicating the program’s value to external stakeholders and to drive decisions and behaviours within the program implementation and governance. These principles will be reflected in program activity design and MERL processes and products.</w:t>
      </w:r>
    </w:p>
    <w:p w14:paraId="6963E0B1" w14:textId="77777777" w:rsidR="004B3D56" w:rsidRPr="00974377" w:rsidRDefault="004B3D56" w:rsidP="00760F94">
      <w:pPr>
        <w:pStyle w:val="BodyText"/>
        <w:keepN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lastRenderedPageBreak/>
        <w:t>The six proposed principles are:</w:t>
      </w:r>
    </w:p>
    <w:p w14:paraId="37AFD07A" w14:textId="6E6B31B8" w:rsidR="004B3D56" w:rsidRPr="00974377" w:rsidRDefault="004B3D56" w:rsidP="008D1844">
      <w:pPr>
        <w:pStyle w:val="BodyText"/>
        <w:keepNext/>
        <w:numPr>
          <w:ilvl w:val="0"/>
          <w:numId w:val="24"/>
        </w:num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Problem Driven Iterative Adaptation (PDIA): the program will support local responses to local </w:t>
      </w:r>
      <w:proofErr w:type="gramStart"/>
      <w:r w:rsidRPr="00974377">
        <w:rPr>
          <w:rFonts w:asciiTheme="majorHAnsi" w:hAnsiTheme="majorHAnsi" w:cstheme="majorHAnsi"/>
          <w:sz w:val="22"/>
          <w:szCs w:val="22"/>
        </w:rPr>
        <w:t>problems, and</w:t>
      </w:r>
      <w:proofErr w:type="gramEnd"/>
      <w:r w:rsidRPr="00974377">
        <w:rPr>
          <w:rFonts w:asciiTheme="majorHAnsi" w:hAnsiTheme="majorHAnsi" w:cstheme="majorHAnsi"/>
          <w:sz w:val="22"/>
          <w:szCs w:val="22"/>
        </w:rPr>
        <w:t xml:space="preserve"> foster a culture of iterative learning and adaptation</w:t>
      </w:r>
      <w:r w:rsidR="00A22C23">
        <w:rPr>
          <w:rFonts w:asciiTheme="majorHAnsi" w:hAnsiTheme="majorHAnsi" w:cstheme="majorHAnsi"/>
          <w:sz w:val="22"/>
          <w:szCs w:val="22"/>
        </w:rPr>
        <w:t>.</w:t>
      </w:r>
    </w:p>
    <w:p w14:paraId="6EDD9A8E" w14:textId="22C65660" w:rsidR="004B3D56" w:rsidRPr="00974377" w:rsidRDefault="004B3D56" w:rsidP="008D1844">
      <w:pPr>
        <w:pStyle w:val="BodyText"/>
        <w:keepNext/>
        <w:numPr>
          <w:ilvl w:val="0"/>
          <w:numId w:val="24"/>
        </w:num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Thinking and Working Politically (TWP): the program will operate cognisant of power distribution and dynamic and work towards gaining political support for its activities and </w:t>
      </w:r>
      <w:r w:rsidR="00CE1EA0" w:rsidRPr="00974377">
        <w:rPr>
          <w:rFonts w:asciiTheme="majorHAnsi" w:hAnsiTheme="majorHAnsi" w:cstheme="majorHAnsi"/>
          <w:sz w:val="22"/>
          <w:szCs w:val="22"/>
        </w:rPr>
        <w:t>long-term</w:t>
      </w:r>
      <w:r w:rsidRPr="00974377">
        <w:rPr>
          <w:rFonts w:asciiTheme="majorHAnsi" w:hAnsiTheme="majorHAnsi" w:cstheme="majorHAnsi"/>
          <w:sz w:val="22"/>
          <w:szCs w:val="22"/>
        </w:rPr>
        <w:t xml:space="preserve"> benefits.</w:t>
      </w:r>
    </w:p>
    <w:p w14:paraId="467F294E" w14:textId="77777777" w:rsidR="004B3D56" w:rsidRPr="00974377" w:rsidRDefault="004B3D56" w:rsidP="008D1844">
      <w:pPr>
        <w:pStyle w:val="BodyText"/>
        <w:keepNext/>
        <w:numPr>
          <w:ilvl w:val="0"/>
          <w:numId w:val="24"/>
        </w:num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Collaboration: the program will build and encourage collaborative relationships between governmental and non-government agencies, between different levels of governance (national, provincial, district), and between ecosystems stakeholders.</w:t>
      </w:r>
    </w:p>
    <w:p w14:paraId="17606896" w14:textId="7A940554" w:rsidR="004B3D56" w:rsidRPr="00974377" w:rsidRDefault="00FB48CF" w:rsidP="008D1844">
      <w:pPr>
        <w:pStyle w:val="BodyText"/>
        <w:keepNext/>
        <w:numPr>
          <w:ilvl w:val="0"/>
          <w:numId w:val="24"/>
        </w:num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Locally led</w:t>
      </w:r>
      <w:r w:rsidR="004B3D56" w:rsidRPr="00974377">
        <w:rPr>
          <w:rFonts w:asciiTheme="majorHAnsi" w:hAnsiTheme="majorHAnsi" w:cstheme="majorHAnsi"/>
          <w:sz w:val="22"/>
          <w:szCs w:val="22"/>
        </w:rPr>
        <w:t>: the program will encourage and support</w:t>
      </w:r>
      <w:r w:rsidR="006F3F74" w:rsidRPr="00974377">
        <w:rPr>
          <w:rFonts w:asciiTheme="majorHAnsi" w:hAnsiTheme="majorHAnsi" w:cstheme="majorHAnsi"/>
          <w:sz w:val="22"/>
          <w:szCs w:val="22"/>
        </w:rPr>
        <w:t xml:space="preserve"> solutions that are driven by</w:t>
      </w:r>
      <w:r w:rsidR="004B3D56" w:rsidRPr="00974377">
        <w:rPr>
          <w:rFonts w:asciiTheme="majorHAnsi" w:hAnsiTheme="majorHAnsi" w:cstheme="majorHAnsi"/>
          <w:sz w:val="22"/>
          <w:szCs w:val="22"/>
        </w:rPr>
        <w:t xml:space="preserve"> local leadership, </w:t>
      </w:r>
      <w:r w:rsidR="006F3F74" w:rsidRPr="00974377">
        <w:rPr>
          <w:rFonts w:asciiTheme="majorHAnsi" w:hAnsiTheme="majorHAnsi" w:cstheme="majorHAnsi"/>
          <w:sz w:val="22"/>
          <w:szCs w:val="22"/>
        </w:rPr>
        <w:t xml:space="preserve">deployed through </w:t>
      </w:r>
      <w:r w:rsidR="004B3D56" w:rsidRPr="00974377">
        <w:rPr>
          <w:rFonts w:asciiTheme="majorHAnsi" w:hAnsiTheme="majorHAnsi" w:cstheme="majorHAnsi"/>
          <w:sz w:val="22"/>
          <w:szCs w:val="22"/>
        </w:rPr>
        <w:t xml:space="preserve">local strategies, and </w:t>
      </w:r>
      <w:r w:rsidR="006F3F74" w:rsidRPr="00974377">
        <w:rPr>
          <w:rFonts w:asciiTheme="majorHAnsi" w:hAnsiTheme="majorHAnsi" w:cstheme="majorHAnsi"/>
          <w:sz w:val="22"/>
          <w:szCs w:val="22"/>
        </w:rPr>
        <w:t xml:space="preserve">leveraged by </w:t>
      </w:r>
      <w:r w:rsidR="004B3D56" w:rsidRPr="00974377">
        <w:rPr>
          <w:rFonts w:asciiTheme="majorHAnsi" w:hAnsiTheme="majorHAnsi" w:cstheme="majorHAnsi"/>
          <w:sz w:val="22"/>
          <w:szCs w:val="22"/>
        </w:rPr>
        <w:t>local resources.</w:t>
      </w:r>
      <w:r w:rsidR="006F3F74" w:rsidRPr="00974377">
        <w:rPr>
          <w:rFonts w:asciiTheme="majorHAnsi" w:hAnsiTheme="majorHAnsi" w:cstheme="majorHAnsi"/>
          <w:sz w:val="22"/>
          <w:szCs w:val="22"/>
        </w:rPr>
        <w:t xml:space="preserve"> </w:t>
      </w:r>
    </w:p>
    <w:p w14:paraId="6898EE66" w14:textId="2DDA92B5" w:rsidR="004B3D56" w:rsidRPr="00974377" w:rsidRDefault="004B3D56" w:rsidP="008D1844">
      <w:pPr>
        <w:pStyle w:val="BodyText"/>
        <w:keepNext/>
        <w:numPr>
          <w:ilvl w:val="0"/>
          <w:numId w:val="24"/>
        </w:num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Diversity, </w:t>
      </w:r>
      <w:r w:rsidR="005E0340" w:rsidRPr="00974377">
        <w:rPr>
          <w:rFonts w:asciiTheme="majorHAnsi" w:hAnsiTheme="majorHAnsi" w:cstheme="majorHAnsi"/>
          <w:sz w:val="22"/>
          <w:szCs w:val="22"/>
        </w:rPr>
        <w:t>accessibility,</w:t>
      </w:r>
      <w:r w:rsidRPr="00974377">
        <w:rPr>
          <w:rFonts w:asciiTheme="majorHAnsi" w:hAnsiTheme="majorHAnsi" w:cstheme="majorHAnsi"/>
          <w:sz w:val="22"/>
          <w:szCs w:val="22"/>
        </w:rPr>
        <w:t xml:space="preserve"> and inclusion: the program will actively support behaviours and activities that promote the participation and benefits of people with different genders, people with a disability and others who may traditionally experience discrimination or exclusion. </w:t>
      </w:r>
    </w:p>
    <w:p w14:paraId="3DC5FDA3" w14:textId="17BC56DB" w:rsidR="004B3D56" w:rsidRPr="00974377" w:rsidRDefault="004B3D56" w:rsidP="008D1844">
      <w:pPr>
        <w:pStyle w:val="BodyText"/>
        <w:keepNext/>
        <w:numPr>
          <w:ilvl w:val="0"/>
          <w:numId w:val="24"/>
        </w:num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Evidence-based: the program will support the generation and encourage the use of credible evidence as the basis of operational and strategic decisions, within and outside the program’s scope.</w:t>
      </w:r>
    </w:p>
    <w:p w14:paraId="6FA024F6" w14:textId="01675924" w:rsidR="004B3D56" w:rsidRPr="004C0171" w:rsidRDefault="004334E2" w:rsidP="006412BB">
      <w:pPr>
        <w:pStyle w:val="Heading2"/>
        <w:rPr>
          <w:b/>
          <w:bCs/>
          <w:sz w:val="22"/>
          <w:szCs w:val="16"/>
        </w:rPr>
      </w:pPr>
      <w:r w:rsidRPr="004C0171">
        <w:rPr>
          <w:b/>
          <w:bCs/>
          <w:caps w:val="0"/>
          <w:sz w:val="22"/>
          <w:szCs w:val="16"/>
        </w:rPr>
        <w:t>Geographic Targeting</w:t>
      </w:r>
    </w:p>
    <w:p w14:paraId="79C435B2" w14:textId="371CE963" w:rsidR="002D0F72" w:rsidRPr="00974377" w:rsidRDefault="00663380" w:rsidP="00760F94">
      <w:pPr>
        <w:pStyle w:val="NormalWeb"/>
        <w:spacing w:before="0" w:beforeAutospacing="0" w:after="120" w:afterAutospacing="0" w:line="281" w:lineRule="auto"/>
        <w:rPr>
          <w:rFonts w:asciiTheme="majorHAnsi" w:hAnsiTheme="majorHAnsi" w:cstheme="majorHAnsi"/>
          <w:sz w:val="22"/>
          <w:szCs w:val="22"/>
        </w:rPr>
      </w:pPr>
      <w:r w:rsidRPr="00974377">
        <w:rPr>
          <w:rFonts w:asciiTheme="majorHAnsi" w:hAnsiTheme="majorHAnsi" w:cstheme="majorHAnsi"/>
          <w:sz w:val="22"/>
          <w:szCs w:val="22"/>
        </w:rPr>
        <w:t xml:space="preserve">INOVASI Phase 3 provides an opportunity to revisit the program targeting, </w:t>
      </w:r>
      <w:proofErr w:type="gramStart"/>
      <w:r w:rsidRPr="00974377">
        <w:rPr>
          <w:rFonts w:asciiTheme="majorHAnsi" w:hAnsiTheme="majorHAnsi" w:cstheme="majorHAnsi"/>
          <w:sz w:val="22"/>
          <w:szCs w:val="22"/>
        </w:rPr>
        <w:t>taking into account</w:t>
      </w:r>
      <w:proofErr w:type="gramEnd"/>
      <w:r w:rsidRPr="00974377">
        <w:rPr>
          <w:rFonts w:asciiTheme="majorHAnsi" w:hAnsiTheme="majorHAnsi" w:cstheme="majorHAnsi"/>
          <w:sz w:val="22"/>
          <w:szCs w:val="22"/>
        </w:rPr>
        <w:t xml:space="preserve"> the focus and delivery approach of the new program, and the current policy, technical and operational context. The INOVASI Phase 2 has a presence in four provinces, covering 14 key partner districts/cities. In addition, the program has varying degrees of engagement (though no permanent presence) in a further 32 districts located in the 4 provinces (‘support’ and ‘scale-out’ districts/cities). Given the policy implementation and subnational focus of the new program’s approach, it is suggested the ‘footprint’ of INOVASI Phase 3 increase</w:t>
      </w:r>
      <w:r w:rsidR="002D0F72">
        <w:rPr>
          <w:rFonts w:asciiTheme="majorHAnsi" w:hAnsiTheme="majorHAnsi" w:cstheme="majorHAnsi"/>
          <w:sz w:val="22"/>
          <w:szCs w:val="22"/>
        </w:rPr>
        <w:t>s</w:t>
      </w:r>
      <w:r w:rsidRPr="00974377">
        <w:rPr>
          <w:rFonts w:asciiTheme="majorHAnsi" w:hAnsiTheme="majorHAnsi" w:cstheme="majorHAnsi"/>
          <w:sz w:val="22"/>
          <w:szCs w:val="22"/>
        </w:rPr>
        <w:t xml:space="preserve"> to 25 districts across five or six provinces. While this design suggests a selection of provinces, the identification of target districts requires a more in-depth analysis. A comprehensive targeting strategy that include</w:t>
      </w:r>
      <w:r w:rsidR="00B01D76" w:rsidRPr="00974377">
        <w:rPr>
          <w:rFonts w:asciiTheme="majorHAnsi" w:hAnsiTheme="majorHAnsi" w:cstheme="majorHAnsi"/>
          <w:sz w:val="22"/>
          <w:szCs w:val="22"/>
        </w:rPr>
        <w:t>s</w:t>
      </w:r>
      <w:r w:rsidRPr="00974377">
        <w:rPr>
          <w:rFonts w:asciiTheme="majorHAnsi" w:hAnsiTheme="majorHAnsi" w:cstheme="majorHAnsi"/>
          <w:sz w:val="22"/>
          <w:szCs w:val="22"/>
        </w:rPr>
        <w:t xml:space="preserve"> necessary analysis and a list of target districts will be developed by the implementation team during the program inception period.</w:t>
      </w:r>
      <w:r w:rsidR="00980AB7">
        <w:rPr>
          <w:rFonts w:asciiTheme="majorHAnsi" w:hAnsiTheme="majorHAnsi" w:cstheme="majorHAnsi"/>
          <w:sz w:val="22"/>
          <w:szCs w:val="22"/>
        </w:rPr>
        <w:t xml:space="preserve"> </w:t>
      </w:r>
      <w:proofErr w:type="spellStart"/>
      <w:r w:rsidR="00980AB7" w:rsidRPr="00D615F4">
        <w:rPr>
          <w:rFonts w:asciiTheme="majorHAnsi" w:hAnsiTheme="majorHAnsi" w:cstheme="majorHAnsi"/>
          <w:sz w:val="22"/>
          <w:szCs w:val="22"/>
        </w:rPr>
        <w:t>MoECRT</w:t>
      </w:r>
      <w:proofErr w:type="spellEnd"/>
      <w:r w:rsidR="00980AB7" w:rsidRPr="00D615F4">
        <w:rPr>
          <w:rFonts w:asciiTheme="majorHAnsi" w:hAnsiTheme="majorHAnsi" w:cstheme="majorHAnsi"/>
          <w:sz w:val="22"/>
          <w:szCs w:val="22"/>
        </w:rPr>
        <w:t xml:space="preserve"> is keen to support the selection process and has already volunteered to share relevant data.</w:t>
      </w:r>
    </w:p>
    <w:p w14:paraId="08E024B9" w14:textId="5C0C5583" w:rsidR="00663380" w:rsidRPr="00D615F4" w:rsidRDefault="00663380" w:rsidP="00760F94">
      <w:pPr>
        <w:pStyle w:val="NormalWeb"/>
        <w:spacing w:before="0" w:beforeAutospacing="0" w:after="120" w:afterAutospacing="0" w:line="281" w:lineRule="auto"/>
      </w:pPr>
      <w:r w:rsidRPr="00974377">
        <w:rPr>
          <w:rFonts w:asciiTheme="majorHAnsi" w:hAnsiTheme="majorHAnsi" w:cstheme="majorHAnsi"/>
          <w:sz w:val="22"/>
          <w:szCs w:val="22"/>
        </w:rPr>
        <w:t xml:space="preserve">To have a broad </w:t>
      </w:r>
      <w:r w:rsidRPr="00980AB7">
        <w:rPr>
          <w:rFonts w:asciiTheme="majorHAnsi" w:hAnsiTheme="majorHAnsi" w:cstheme="majorHAnsi"/>
          <w:sz w:val="22"/>
          <w:szCs w:val="22"/>
        </w:rPr>
        <w:t xml:space="preserve">and relevant </w:t>
      </w:r>
      <w:r w:rsidR="00456887" w:rsidRPr="009707E9">
        <w:rPr>
          <w:rFonts w:asciiTheme="majorHAnsi" w:hAnsiTheme="majorHAnsi" w:cstheme="majorHAnsi"/>
          <w:sz w:val="22"/>
          <w:szCs w:val="22"/>
        </w:rPr>
        <w:t>selection</w:t>
      </w:r>
      <w:r w:rsidR="00456887" w:rsidRPr="00691ECB">
        <w:rPr>
          <w:rFonts w:asciiTheme="majorHAnsi" w:hAnsiTheme="majorHAnsi" w:cstheme="majorHAnsi"/>
          <w:sz w:val="22"/>
          <w:szCs w:val="22"/>
        </w:rPr>
        <w:t xml:space="preserve"> </w:t>
      </w:r>
      <w:r w:rsidRPr="00691ECB">
        <w:rPr>
          <w:rFonts w:asciiTheme="majorHAnsi" w:hAnsiTheme="majorHAnsi" w:cstheme="majorHAnsi"/>
          <w:sz w:val="22"/>
          <w:szCs w:val="22"/>
        </w:rPr>
        <w:t xml:space="preserve">of </w:t>
      </w:r>
      <w:r w:rsidR="00456887" w:rsidRPr="00DC0BD3">
        <w:rPr>
          <w:rFonts w:asciiTheme="majorHAnsi" w:hAnsiTheme="majorHAnsi" w:cstheme="majorHAnsi"/>
          <w:sz w:val="22"/>
          <w:szCs w:val="22"/>
        </w:rPr>
        <w:t>locations</w:t>
      </w:r>
      <w:r w:rsidRPr="00DC0BD3">
        <w:rPr>
          <w:rFonts w:asciiTheme="majorHAnsi" w:hAnsiTheme="majorHAnsi" w:cstheme="majorHAnsi"/>
          <w:sz w:val="22"/>
          <w:szCs w:val="22"/>
        </w:rPr>
        <w:t xml:space="preserve"> in which INOVASI can test and support its approach to </w:t>
      </w:r>
      <w:r w:rsidRPr="0004285F">
        <w:rPr>
          <w:rFonts w:asciiTheme="majorHAnsi" w:hAnsiTheme="majorHAnsi" w:cstheme="majorHAnsi"/>
          <w:sz w:val="22"/>
          <w:szCs w:val="22"/>
        </w:rPr>
        <w:t xml:space="preserve">reform implementation, </w:t>
      </w:r>
      <w:r w:rsidR="002D0F72" w:rsidRPr="00DB5F3F">
        <w:rPr>
          <w:rFonts w:asciiTheme="majorHAnsi" w:hAnsiTheme="majorHAnsi" w:cstheme="majorHAnsi"/>
          <w:sz w:val="22"/>
          <w:szCs w:val="22"/>
        </w:rPr>
        <w:t>the</w:t>
      </w:r>
      <w:r w:rsidR="00DB5F3F">
        <w:rPr>
          <w:rFonts w:asciiTheme="majorHAnsi" w:hAnsiTheme="majorHAnsi" w:cstheme="majorHAnsi"/>
          <w:sz w:val="22"/>
          <w:szCs w:val="22"/>
        </w:rPr>
        <w:t xml:space="preserve"> D</w:t>
      </w:r>
      <w:r w:rsidR="002D0F72" w:rsidRPr="00DB5F3F">
        <w:rPr>
          <w:rFonts w:asciiTheme="majorHAnsi" w:hAnsiTheme="majorHAnsi" w:cstheme="majorHAnsi"/>
          <w:sz w:val="22"/>
          <w:szCs w:val="22"/>
        </w:rPr>
        <w:t xml:space="preserve">esign </w:t>
      </w:r>
      <w:r w:rsidR="00BC4C81">
        <w:rPr>
          <w:rFonts w:asciiTheme="majorHAnsi" w:hAnsiTheme="majorHAnsi" w:cstheme="majorHAnsi"/>
          <w:sz w:val="22"/>
          <w:szCs w:val="22"/>
        </w:rPr>
        <w:t xml:space="preserve">Update </w:t>
      </w:r>
      <w:r w:rsidR="002D0F72" w:rsidRPr="00DB5F3F">
        <w:rPr>
          <w:rFonts w:asciiTheme="majorHAnsi" w:hAnsiTheme="majorHAnsi" w:cstheme="majorHAnsi"/>
          <w:sz w:val="22"/>
          <w:szCs w:val="22"/>
        </w:rPr>
        <w:t xml:space="preserve">process </w:t>
      </w:r>
      <w:r w:rsidR="00F63749" w:rsidRPr="00DB5F3F">
        <w:rPr>
          <w:rFonts w:asciiTheme="majorHAnsi" w:hAnsiTheme="majorHAnsi" w:cstheme="majorHAnsi"/>
          <w:sz w:val="22"/>
          <w:szCs w:val="22"/>
        </w:rPr>
        <w:t xml:space="preserve">has </w:t>
      </w:r>
      <w:r w:rsidR="00456887" w:rsidRPr="00DB5F3F">
        <w:rPr>
          <w:rFonts w:asciiTheme="majorHAnsi" w:hAnsiTheme="majorHAnsi" w:cstheme="majorHAnsi"/>
          <w:sz w:val="22"/>
          <w:szCs w:val="22"/>
        </w:rPr>
        <w:t>carefully considered the choice of provinces with a view to enable</w:t>
      </w:r>
      <w:r w:rsidR="00456887" w:rsidRPr="00C0294D">
        <w:rPr>
          <w:rFonts w:asciiTheme="majorHAnsi" w:hAnsiTheme="majorHAnsi" w:cstheme="majorHAnsi"/>
          <w:sz w:val="22"/>
          <w:szCs w:val="22"/>
        </w:rPr>
        <w:t xml:space="preserve">: </w:t>
      </w:r>
      <w:proofErr w:type="spellStart"/>
      <w:r w:rsidR="00456887" w:rsidRPr="00C0294D">
        <w:rPr>
          <w:rFonts w:asciiTheme="majorHAnsi" w:hAnsiTheme="majorHAnsi" w:cstheme="majorHAnsi"/>
          <w:sz w:val="22"/>
          <w:szCs w:val="22"/>
        </w:rPr>
        <w:t>i</w:t>
      </w:r>
      <w:proofErr w:type="spellEnd"/>
      <w:r w:rsidR="00456887" w:rsidRPr="00C0294D">
        <w:rPr>
          <w:rFonts w:asciiTheme="majorHAnsi" w:hAnsiTheme="majorHAnsi" w:cstheme="majorHAnsi"/>
          <w:sz w:val="22"/>
          <w:szCs w:val="22"/>
        </w:rPr>
        <w:t xml:space="preserve">) </w:t>
      </w:r>
      <w:r w:rsidR="00C0294D" w:rsidRPr="00C0294D">
        <w:rPr>
          <w:rFonts w:asciiTheme="majorHAnsi" w:hAnsiTheme="majorHAnsi" w:cstheme="majorHAnsi"/>
          <w:sz w:val="22"/>
          <w:szCs w:val="22"/>
        </w:rPr>
        <w:t xml:space="preserve">the intersection of inclusive learning outcomes and socio-economic disadvantage, ii) </w:t>
      </w:r>
      <w:r w:rsidR="00DB5F3F" w:rsidRPr="00C0294D">
        <w:rPr>
          <w:rFonts w:asciiTheme="majorHAnsi" w:hAnsiTheme="majorHAnsi" w:cstheme="majorHAnsi"/>
          <w:sz w:val="22"/>
          <w:szCs w:val="22"/>
        </w:rPr>
        <w:t xml:space="preserve">the </w:t>
      </w:r>
      <w:r w:rsidR="00456887" w:rsidRPr="00C0294D">
        <w:rPr>
          <w:rFonts w:asciiTheme="majorHAnsi" w:hAnsiTheme="majorHAnsi" w:cstheme="majorHAnsi"/>
          <w:sz w:val="22"/>
          <w:szCs w:val="22"/>
        </w:rPr>
        <w:t xml:space="preserve">representation of various </w:t>
      </w:r>
      <w:r w:rsidR="00DB5F3F" w:rsidRPr="00C0294D">
        <w:rPr>
          <w:rFonts w:asciiTheme="majorHAnsi" w:hAnsiTheme="majorHAnsi" w:cstheme="majorHAnsi"/>
          <w:sz w:val="22"/>
          <w:szCs w:val="22"/>
        </w:rPr>
        <w:t>geographic</w:t>
      </w:r>
      <w:r w:rsidR="00456887" w:rsidRPr="00C0294D">
        <w:rPr>
          <w:rFonts w:asciiTheme="majorHAnsi" w:hAnsiTheme="majorHAnsi" w:cstheme="majorHAnsi"/>
          <w:sz w:val="22"/>
          <w:szCs w:val="22"/>
        </w:rPr>
        <w:t xml:space="preserve"> typologies in Indonesia (in</w:t>
      </w:r>
      <w:r w:rsidR="00456887" w:rsidRPr="00D615F4">
        <w:rPr>
          <w:rFonts w:asciiTheme="majorHAnsi" w:hAnsiTheme="majorHAnsi"/>
          <w:sz w:val="22"/>
          <w:szCs w:val="22"/>
        </w:rPr>
        <w:t xml:space="preserve">cluding island </w:t>
      </w:r>
      <w:r w:rsidR="00DB5F3F">
        <w:rPr>
          <w:rFonts w:asciiTheme="majorHAnsi" w:hAnsiTheme="majorHAnsi"/>
          <w:sz w:val="22"/>
          <w:szCs w:val="22"/>
        </w:rPr>
        <w:t>regions</w:t>
      </w:r>
      <w:r w:rsidR="00456887" w:rsidRPr="00D615F4">
        <w:rPr>
          <w:rFonts w:asciiTheme="majorHAnsi" w:hAnsiTheme="majorHAnsi"/>
          <w:sz w:val="22"/>
          <w:szCs w:val="22"/>
        </w:rPr>
        <w:t>)</w:t>
      </w:r>
      <w:r w:rsidR="00221415">
        <w:rPr>
          <w:rFonts w:asciiTheme="majorHAnsi" w:hAnsiTheme="majorHAnsi"/>
          <w:sz w:val="22"/>
          <w:szCs w:val="22"/>
        </w:rPr>
        <w:t>,</w:t>
      </w:r>
      <w:r w:rsidR="00456887" w:rsidRPr="00D615F4">
        <w:rPr>
          <w:rFonts w:asciiTheme="majorHAnsi" w:hAnsiTheme="majorHAnsi"/>
          <w:sz w:val="22"/>
          <w:szCs w:val="22"/>
        </w:rPr>
        <w:t> </w:t>
      </w:r>
      <w:r w:rsidR="00C0294D">
        <w:rPr>
          <w:rFonts w:asciiTheme="majorHAnsi" w:hAnsiTheme="majorHAnsi"/>
          <w:sz w:val="22"/>
          <w:szCs w:val="22"/>
        </w:rPr>
        <w:t>i</w:t>
      </w:r>
      <w:r w:rsidR="00456887" w:rsidRPr="00D615F4">
        <w:rPr>
          <w:rFonts w:asciiTheme="majorHAnsi" w:hAnsiTheme="majorHAnsi"/>
          <w:sz w:val="22"/>
          <w:szCs w:val="22"/>
        </w:rPr>
        <w:t xml:space="preserve">ii) </w:t>
      </w:r>
      <w:r w:rsidR="00DB5F3F">
        <w:rPr>
          <w:rFonts w:asciiTheme="majorHAnsi" w:hAnsiTheme="majorHAnsi"/>
          <w:sz w:val="22"/>
          <w:szCs w:val="22"/>
        </w:rPr>
        <w:t xml:space="preserve">the </w:t>
      </w:r>
      <w:r w:rsidR="00456887" w:rsidRPr="00D615F4">
        <w:rPr>
          <w:rFonts w:asciiTheme="majorHAnsi" w:hAnsiTheme="majorHAnsi"/>
          <w:sz w:val="22"/>
          <w:szCs w:val="22"/>
        </w:rPr>
        <w:t>complementarity with other DFAT and non-DFAT funded programs</w:t>
      </w:r>
      <w:r w:rsidR="00456887" w:rsidRPr="00D615F4">
        <w:rPr>
          <w:rStyle w:val="FootnoteReference"/>
          <w:rFonts w:asciiTheme="majorHAnsi" w:hAnsiTheme="majorHAnsi"/>
          <w:sz w:val="22"/>
          <w:szCs w:val="22"/>
        </w:rPr>
        <w:footnoteReference w:id="33"/>
      </w:r>
      <w:r w:rsidR="00221415">
        <w:rPr>
          <w:rFonts w:asciiTheme="majorHAnsi" w:hAnsiTheme="majorHAnsi"/>
          <w:sz w:val="22"/>
          <w:szCs w:val="22"/>
        </w:rPr>
        <w:t>,</w:t>
      </w:r>
      <w:r w:rsidR="00456887" w:rsidRPr="00D615F4">
        <w:rPr>
          <w:rFonts w:asciiTheme="majorHAnsi" w:hAnsiTheme="majorHAnsi"/>
          <w:sz w:val="22"/>
          <w:szCs w:val="22"/>
        </w:rPr>
        <w:t xml:space="preserve"> i</w:t>
      </w:r>
      <w:r w:rsidR="00C0294D">
        <w:rPr>
          <w:rFonts w:asciiTheme="majorHAnsi" w:hAnsiTheme="majorHAnsi"/>
          <w:sz w:val="22"/>
          <w:szCs w:val="22"/>
        </w:rPr>
        <w:t>v</w:t>
      </w:r>
      <w:r w:rsidR="00456887" w:rsidRPr="00D615F4">
        <w:rPr>
          <w:rFonts w:asciiTheme="majorHAnsi" w:hAnsiTheme="majorHAnsi"/>
          <w:sz w:val="22"/>
          <w:szCs w:val="22"/>
        </w:rPr>
        <w:t xml:space="preserve">) </w:t>
      </w:r>
      <w:r w:rsidR="00DB5F3F">
        <w:rPr>
          <w:rFonts w:asciiTheme="majorHAnsi" w:hAnsiTheme="majorHAnsi"/>
          <w:sz w:val="22"/>
          <w:szCs w:val="22"/>
        </w:rPr>
        <w:t xml:space="preserve">the </w:t>
      </w:r>
      <w:r w:rsidR="00456887" w:rsidRPr="00D615F4">
        <w:rPr>
          <w:rFonts w:asciiTheme="majorHAnsi" w:hAnsiTheme="majorHAnsi"/>
          <w:sz w:val="22"/>
          <w:szCs w:val="22"/>
        </w:rPr>
        <w:t xml:space="preserve">continuation of INOVASI phase </w:t>
      </w:r>
      <w:r w:rsidR="00456887" w:rsidRPr="00D615F4">
        <w:rPr>
          <w:rFonts w:asciiTheme="majorHAnsi" w:hAnsiTheme="majorHAnsi"/>
          <w:sz w:val="22"/>
          <w:szCs w:val="22"/>
        </w:rPr>
        <w:lastRenderedPageBreak/>
        <w:t>2 innovative interventions</w:t>
      </w:r>
      <w:r w:rsidR="00456887" w:rsidRPr="00D615F4">
        <w:rPr>
          <w:rStyle w:val="FootnoteReference"/>
          <w:rFonts w:asciiTheme="majorHAnsi" w:hAnsiTheme="majorHAnsi"/>
          <w:sz w:val="22"/>
          <w:szCs w:val="22"/>
        </w:rPr>
        <w:footnoteReference w:id="34"/>
      </w:r>
      <w:r w:rsidR="00221415">
        <w:rPr>
          <w:rFonts w:asciiTheme="majorHAnsi" w:hAnsiTheme="majorHAnsi"/>
          <w:sz w:val="22"/>
          <w:szCs w:val="22"/>
        </w:rPr>
        <w:t>,</w:t>
      </w:r>
      <w:r w:rsidR="00F63749" w:rsidRPr="00D615F4">
        <w:rPr>
          <w:rFonts w:asciiTheme="majorHAnsi" w:hAnsiTheme="majorHAnsi"/>
          <w:sz w:val="22"/>
          <w:szCs w:val="22"/>
        </w:rPr>
        <w:t xml:space="preserve"> v) </w:t>
      </w:r>
      <w:r w:rsidR="00DB5F3F">
        <w:rPr>
          <w:rFonts w:asciiTheme="majorHAnsi" w:hAnsiTheme="majorHAnsi"/>
          <w:sz w:val="22"/>
          <w:szCs w:val="22"/>
        </w:rPr>
        <w:t xml:space="preserve">the </w:t>
      </w:r>
      <w:r w:rsidR="00F63749" w:rsidRPr="00D615F4">
        <w:rPr>
          <w:rFonts w:asciiTheme="majorHAnsi" w:hAnsiTheme="majorHAnsi"/>
          <w:sz w:val="22"/>
          <w:szCs w:val="22"/>
        </w:rPr>
        <w:t>inclusion of</w:t>
      </w:r>
      <w:r w:rsidR="00456887" w:rsidRPr="00D615F4">
        <w:rPr>
          <w:rFonts w:asciiTheme="majorHAnsi" w:hAnsiTheme="majorHAnsi"/>
          <w:sz w:val="22"/>
          <w:szCs w:val="22"/>
        </w:rPr>
        <w:t xml:space="preserve"> different types of</w:t>
      </w:r>
      <w:r w:rsidR="00F63749" w:rsidRPr="00D615F4">
        <w:rPr>
          <w:rFonts w:asciiTheme="majorHAnsi" w:hAnsiTheme="majorHAnsi"/>
          <w:sz w:val="22"/>
          <w:szCs w:val="22"/>
        </w:rPr>
        <w:t xml:space="preserve"> </w:t>
      </w:r>
      <w:r w:rsidR="00456887" w:rsidRPr="00D615F4">
        <w:rPr>
          <w:rFonts w:asciiTheme="majorHAnsi" w:hAnsiTheme="majorHAnsi"/>
          <w:sz w:val="22"/>
          <w:szCs w:val="22"/>
        </w:rPr>
        <w:t>local ecosystem</w:t>
      </w:r>
      <w:r w:rsidR="00BC4C81">
        <w:rPr>
          <w:rFonts w:asciiTheme="majorHAnsi" w:hAnsiTheme="majorHAnsi"/>
          <w:sz w:val="22"/>
          <w:szCs w:val="22"/>
        </w:rPr>
        <w:t>s</w:t>
      </w:r>
      <w:r w:rsidR="00F63749" w:rsidRPr="00D615F4">
        <w:rPr>
          <w:rFonts w:asciiTheme="majorHAnsi" w:hAnsiTheme="majorHAnsi"/>
          <w:sz w:val="22"/>
          <w:szCs w:val="22"/>
        </w:rPr>
        <w:t xml:space="preserve"> </w:t>
      </w:r>
      <w:r w:rsidR="00456887" w:rsidRPr="00D615F4">
        <w:rPr>
          <w:rFonts w:asciiTheme="majorHAnsi" w:hAnsiTheme="majorHAnsi"/>
          <w:sz w:val="22"/>
          <w:szCs w:val="22"/>
        </w:rPr>
        <w:t>that could become model</w:t>
      </w:r>
      <w:r w:rsidR="00BC4C81">
        <w:rPr>
          <w:rFonts w:asciiTheme="majorHAnsi" w:hAnsiTheme="majorHAnsi"/>
          <w:sz w:val="22"/>
          <w:szCs w:val="22"/>
        </w:rPr>
        <w:t>s</w:t>
      </w:r>
      <w:r w:rsidR="00456887" w:rsidRPr="00D615F4">
        <w:rPr>
          <w:rFonts w:asciiTheme="majorHAnsi" w:hAnsiTheme="majorHAnsi"/>
          <w:sz w:val="22"/>
          <w:szCs w:val="22"/>
        </w:rPr>
        <w:t xml:space="preserve"> for other ecosystems</w:t>
      </w:r>
      <w:r w:rsidR="00F63749" w:rsidRPr="00D615F4">
        <w:rPr>
          <w:rStyle w:val="FootnoteReference"/>
          <w:rFonts w:asciiTheme="majorHAnsi" w:hAnsiTheme="majorHAnsi"/>
          <w:sz w:val="22"/>
          <w:szCs w:val="22"/>
        </w:rPr>
        <w:footnoteReference w:id="35"/>
      </w:r>
      <w:r w:rsidR="00221415">
        <w:rPr>
          <w:rFonts w:asciiTheme="majorHAnsi" w:hAnsiTheme="majorHAnsi"/>
          <w:sz w:val="22"/>
          <w:szCs w:val="22"/>
        </w:rPr>
        <w:t>,</w:t>
      </w:r>
      <w:r w:rsidR="00980AB7" w:rsidRPr="00D615F4">
        <w:rPr>
          <w:rFonts w:asciiTheme="majorHAnsi" w:hAnsiTheme="majorHAnsi"/>
          <w:sz w:val="22"/>
          <w:szCs w:val="22"/>
        </w:rPr>
        <w:t xml:space="preserve"> and v</w:t>
      </w:r>
      <w:r w:rsidR="00C0294D">
        <w:rPr>
          <w:rFonts w:asciiTheme="majorHAnsi" w:hAnsiTheme="majorHAnsi"/>
          <w:sz w:val="22"/>
          <w:szCs w:val="22"/>
        </w:rPr>
        <w:t>i</w:t>
      </w:r>
      <w:r w:rsidR="00980AB7" w:rsidRPr="00D615F4">
        <w:rPr>
          <w:rFonts w:asciiTheme="majorHAnsi" w:hAnsiTheme="majorHAnsi"/>
          <w:sz w:val="22"/>
          <w:szCs w:val="22"/>
        </w:rPr>
        <w:t xml:space="preserve">) </w:t>
      </w:r>
      <w:r w:rsidR="00DB5F3F">
        <w:rPr>
          <w:rFonts w:asciiTheme="majorHAnsi" w:hAnsiTheme="majorHAnsi"/>
          <w:sz w:val="22"/>
          <w:szCs w:val="22"/>
        </w:rPr>
        <w:t xml:space="preserve">the </w:t>
      </w:r>
      <w:r w:rsidR="00980AB7" w:rsidRPr="00D615F4">
        <w:rPr>
          <w:rFonts w:asciiTheme="majorHAnsi" w:hAnsiTheme="majorHAnsi" w:cstheme="minorHAnsi"/>
          <w:sz w:val="22"/>
          <w:szCs w:val="22"/>
        </w:rPr>
        <w:t xml:space="preserve">potential for </w:t>
      </w:r>
      <w:r w:rsidR="00DB5F3F">
        <w:rPr>
          <w:rFonts w:asciiTheme="majorHAnsi" w:hAnsiTheme="majorHAnsi" w:cstheme="minorHAnsi"/>
          <w:sz w:val="22"/>
          <w:szCs w:val="22"/>
        </w:rPr>
        <w:t>leverag</w:t>
      </w:r>
      <w:r w:rsidR="003E1AB0">
        <w:rPr>
          <w:rFonts w:asciiTheme="majorHAnsi" w:hAnsiTheme="majorHAnsi" w:cstheme="minorHAnsi"/>
          <w:sz w:val="22"/>
          <w:szCs w:val="22"/>
        </w:rPr>
        <w:t>ing</w:t>
      </w:r>
      <w:r w:rsidR="00980AB7" w:rsidRPr="00D615F4">
        <w:rPr>
          <w:rFonts w:asciiTheme="majorHAnsi" w:hAnsiTheme="majorHAnsi" w:cstheme="minorHAnsi"/>
          <w:sz w:val="22"/>
          <w:szCs w:val="22"/>
        </w:rPr>
        <w:t xml:space="preserve"> work with existing</w:t>
      </w:r>
      <w:r w:rsidR="003E1AB0">
        <w:rPr>
          <w:rFonts w:asciiTheme="majorHAnsi" w:hAnsiTheme="majorHAnsi" w:cstheme="minorHAnsi"/>
          <w:sz w:val="22"/>
          <w:szCs w:val="22"/>
        </w:rPr>
        <w:t xml:space="preserve"> partners</w:t>
      </w:r>
      <w:r w:rsidR="00F63749" w:rsidRPr="00A72EED">
        <w:rPr>
          <w:rFonts w:asciiTheme="majorHAnsi" w:hAnsiTheme="majorHAnsi"/>
          <w:sz w:val="22"/>
          <w:szCs w:val="22"/>
        </w:rPr>
        <w:t>.</w:t>
      </w:r>
      <w:r w:rsidR="00F63749" w:rsidRPr="00D615F4">
        <w:rPr>
          <w:rFonts w:asciiTheme="majorHAnsi" w:hAnsiTheme="majorHAnsi"/>
          <w:sz w:val="22"/>
          <w:szCs w:val="22"/>
        </w:rPr>
        <w:t xml:space="preserve"> </w:t>
      </w:r>
      <w:r w:rsidR="00F63749" w:rsidRPr="00980AB7">
        <w:rPr>
          <w:rFonts w:asciiTheme="majorHAnsi" w:hAnsiTheme="majorHAnsi" w:cstheme="majorHAnsi"/>
          <w:sz w:val="22"/>
          <w:szCs w:val="22"/>
        </w:rPr>
        <w:t>C</w:t>
      </w:r>
      <w:r w:rsidRPr="009707E9">
        <w:rPr>
          <w:rFonts w:asciiTheme="majorHAnsi" w:hAnsiTheme="majorHAnsi" w:cstheme="majorHAnsi"/>
          <w:sz w:val="22"/>
          <w:szCs w:val="22"/>
        </w:rPr>
        <w:t xml:space="preserve">riteria </w:t>
      </w:r>
      <w:r w:rsidR="00F63749" w:rsidRPr="00691ECB">
        <w:rPr>
          <w:rFonts w:asciiTheme="majorHAnsi" w:hAnsiTheme="majorHAnsi" w:cstheme="majorHAnsi"/>
          <w:sz w:val="22"/>
          <w:szCs w:val="22"/>
        </w:rPr>
        <w:t xml:space="preserve">retained </w:t>
      </w:r>
      <w:r w:rsidRPr="00DC0BD3">
        <w:rPr>
          <w:rFonts w:asciiTheme="majorHAnsi" w:hAnsiTheme="majorHAnsi" w:cstheme="majorHAnsi"/>
          <w:sz w:val="22"/>
          <w:szCs w:val="22"/>
        </w:rPr>
        <w:t>for the selection of</w:t>
      </w:r>
      <w:r w:rsidRPr="00974377">
        <w:rPr>
          <w:rFonts w:asciiTheme="majorHAnsi" w:hAnsiTheme="majorHAnsi" w:cstheme="majorHAnsi"/>
          <w:sz w:val="22"/>
          <w:szCs w:val="22"/>
        </w:rPr>
        <w:t xml:space="preserve"> provinces include: </w:t>
      </w:r>
    </w:p>
    <w:p w14:paraId="19ED86C1" w14:textId="2798CB20" w:rsidR="00663380" w:rsidRPr="00974377" w:rsidRDefault="00663380" w:rsidP="008D1844">
      <w:pPr>
        <w:pStyle w:val="NormalWeb"/>
        <w:numPr>
          <w:ilvl w:val="0"/>
          <w:numId w:val="25"/>
        </w:numPr>
        <w:spacing w:before="0" w:beforeAutospacing="0" w:after="120" w:afterAutospacing="0" w:line="281" w:lineRule="auto"/>
        <w:rPr>
          <w:rFonts w:asciiTheme="majorHAnsi" w:hAnsiTheme="majorHAnsi" w:cstheme="majorHAnsi"/>
          <w:sz w:val="22"/>
          <w:szCs w:val="22"/>
        </w:rPr>
      </w:pPr>
      <w:r w:rsidRPr="00974377">
        <w:rPr>
          <w:rFonts w:asciiTheme="majorHAnsi" w:hAnsiTheme="majorHAnsi" w:cstheme="majorHAnsi"/>
          <w:sz w:val="22"/>
          <w:szCs w:val="22"/>
        </w:rPr>
        <w:t xml:space="preserve">Continuation between INOVASI Phase 2 and Phase 3  </w:t>
      </w:r>
    </w:p>
    <w:p w14:paraId="485760C5" w14:textId="77777777" w:rsidR="00663380" w:rsidRPr="00974377" w:rsidRDefault="00663380" w:rsidP="008D1844">
      <w:pPr>
        <w:pStyle w:val="NormalWeb"/>
        <w:numPr>
          <w:ilvl w:val="0"/>
          <w:numId w:val="25"/>
        </w:numPr>
        <w:spacing w:before="0" w:beforeAutospacing="0" w:after="120" w:afterAutospacing="0" w:line="281" w:lineRule="auto"/>
        <w:rPr>
          <w:rFonts w:asciiTheme="majorHAnsi" w:hAnsiTheme="majorHAnsi" w:cstheme="majorHAnsi"/>
          <w:sz w:val="22"/>
          <w:szCs w:val="22"/>
        </w:rPr>
      </w:pPr>
      <w:r w:rsidRPr="00974377">
        <w:rPr>
          <w:rFonts w:asciiTheme="majorHAnsi" w:hAnsiTheme="majorHAnsi" w:cstheme="majorHAnsi"/>
          <w:sz w:val="22"/>
          <w:szCs w:val="22"/>
        </w:rPr>
        <w:t>Complementarity with SKALA target provinces</w:t>
      </w:r>
    </w:p>
    <w:p w14:paraId="5B284A6B" w14:textId="3D809C25" w:rsidR="00663380" w:rsidRPr="00974377" w:rsidRDefault="00663380" w:rsidP="008D1844">
      <w:pPr>
        <w:pStyle w:val="NormalWeb"/>
        <w:numPr>
          <w:ilvl w:val="0"/>
          <w:numId w:val="25"/>
        </w:numPr>
        <w:spacing w:before="0" w:beforeAutospacing="0" w:after="120" w:afterAutospacing="0" w:line="281" w:lineRule="auto"/>
        <w:rPr>
          <w:rFonts w:asciiTheme="majorHAnsi" w:hAnsiTheme="majorHAnsi" w:cstheme="majorHAnsi"/>
          <w:sz w:val="22"/>
          <w:szCs w:val="22"/>
        </w:rPr>
      </w:pPr>
      <w:r w:rsidRPr="00974377">
        <w:rPr>
          <w:rFonts w:asciiTheme="majorHAnsi" w:hAnsiTheme="majorHAnsi" w:cstheme="majorHAnsi"/>
          <w:sz w:val="22"/>
          <w:szCs w:val="22"/>
        </w:rPr>
        <w:t>Focus on East</w:t>
      </w:r>
      <w:r w:rsidR="00BC4C81">
        <w:rPr>
          <w:rFonts w:asciiTheme="majorHAnsi" w:hAnsiTheme="majorHAnsi" w:cstheme="majorHAnsi"/>
          <w:sz w:val="22"/>
          <w:szCs w:val="22"/>
        </w:rPr>
        <w:t>ern</w:t>
      </w:r>
      <w:r w:rsidRPr="00974377">
        <w:rPr>
          <w:rFonts w:asciiTheme="majorHAnsi" w:hAnsiTheme="majorHAnsi" w:cstheme="majorHAnsi"/>
          <w:sz w:val="22"/>
          <w:szCs w:val="22"/>
        </w:rPr>
        <w:t xml:space="preserve"> Indonesia</w:t>
      </w:r>
    </w:p>
    <w:p w14:paraId="33BBD771" w14:textId="77777777" w:rsidR="00663380" w:rsidRPr="00974377" w:rsidRDefault="00663380" w:rsidP="008D1844">
      <w:pPr>
        <w:pStyle w:val="NormalWeb"/>
        <w:numPr>
          <w:ilvl w:val="0"/>
          <w:numId w:val="25"/>
        </w:numPr>
        <w:spacing w:before="0" w:beforeAutospacing="0" w:after="120" w:afterAutospacing="0" w:line="281" w:lineRule="auto"/>
        <w:rPr>
          <w:rFonts w:asciiTheme="majorHAnsi" w:hAnsiTheme="majorHAnsi" w:cstheme="majorHAnsi"/>
          <w:sz w:val="22"/>
          <w:szCs w:val="22"/>
        </w:rPr>
      </w:pPr>
      <w:r w:rsidRPr="00974377">
        <w:rPr>
          <w:rFonts w:asciiTheme="majorHAnsi" w:hAnsiTheme="majorHAnsi" w:cstheme="majorHAnsi"/>
          <w:sz w:val="22"/>
          <w:szCs w:val="22"/>
        </w:rPr>
        <w:t>Presence of madrasah and supporting organisations</w:t>
      </w:r>
    </w:p>
    <w:p w14:paraId="4844EB75" w14:textId="5FA63B46" w:rsidR="00663380" w:rsidRPr="00974377" w:rsidRDefault="00663380" w:rsidP="008D1844">
      <w:pPr>
        <w:pStyle w:val="NormalWeb"/>
        <w:numPr>
          <w:ilvl w:val="0"/>
          <w:numId w:val="25"/>
        </w:numPr>
        <w:spacing w:before="0" w:beforeAutospacing="0" w:after="120" w:afterAutospacing="0" w:line="281" w:lineRule="auto"/>
        <w:rPr>
          <w:rFonts w:asciiTheme="majorHAnsi" w:hAnsiTheme="majorHAnsi" w:cstheme="majorHAnsi"/>
          <w:sz w:val="22"/>
          <w:szCs w:val="22"/>
        </w:rPr>
      </w:pPr>
      <w:r w:rsidRPr="00974377">
        <w:rPr>
          <w:rFonts w:asciiTheme="majorHAnsi" w:hAnsiTheme="majorHAnsi" w:cstheme="majorHAnsi"/>
          <w:sz w:val="22"/>
          <w:szCs w:val="22"/>
        </w:rPr>
        <w:t xml:space="preserve">Presence of </w:t>
      </w:r>
      <w:r w:rsidR="00CE1EA0" w:rsidRPr="00974377">
        <w:rPr>
          <w:rFonts w:asciiTheme="majorHAnsi" w:hAnsiTheme="majorHAnsi" w:cstheme="majorHAnsi"/>
          <w:sz w:val="22"/>
          <w:szCs w:val="22"/>
        </w:rPr>
        <w:t>top-ranking</w:t>
      </w:r>
      <w:r w:rsidRPr="00974377">
        <w:rPr>
          <w:rFonts w:asciiTheme="majorHAnsi" w:hAnsiTheme="majorHAnsi" w:cstheme="majorHAnsi"/>
          <w:sz w:val="22"/>
          <w:szCs w:val="22"/>
        </w:rPr>
        <w:t xml:space="preserve"> education university that can influence the development and activities of TTI beyond their </w:t>
      </w:r>
      <w:proofErr w:type="gramStart"/>
      <w:r w:rsidRPr="00974377">
        <w:rPr>
          <w:rFonts w:asciiTheme="majorHAnsi" w:hAnsiTheme="majorHAnsi" w:cstheme="majorHAnsi"/>
          <w:sz w:val="22"/>
          <w:szCs w:val="22"/>
        </w:rPr>
        <w:t>province</w:t>
      </w:r>
      <w:proofErr w:type="gramEnd"/>
    </w:p>
    <w:p w14:paraId="1709C671" w14:textId="3E5624EC" w:rsidR="00663380" w:rsidRPr="00974377" w:rsidRDefault="00BF638E" w:rsidP="008D1844">
      <w:pPr>
        <w:pStyle w:val="NormalWeb"/>
        <w:numPr>
          <w:ilvl w:val="0"/>
          <w:numId w:val="25"/>
        </w:numPr>
        <w:spacing w:before="0" w:beforeAutospacing="0" w:after="120" w:afterAutospacing="0" w:line="281" w:lineRule="auto"/>
        <w:rPr>
          <w:rFonts w:asciiTheme="majorHAnsi" w:hAnsiTheme="majorHAnsi" w:cstheme="majorHAnsi"/>
          <w:sz w:val="22"/>
          <w:szCs w:val="22"/>
        </w:rPr>
      </w:pPr>
      <w:r>
        <w:rPr>
          <w:rFonts w:asciiTheme="majorHAnsi" w:hAnsiTheme="majorHAnsi" w:cstheme="majorHAnsi"/>
          <w:sz w:val="22"/>
          <w:szCs w:val="22"/>
        </w:rPr>
        <w:t xml:space="preserve">Island geography </w:t>
      </w:r>
    </w:p>
    <w:p w14:paraId="6D0E95D8" w14:textId="044E94B1" w:rsidR="00663380" w:rsidRPr="00974377" w:rsidRDefault="00C002FF" w:rsidP="008D1844">
      <w:pPr>
        <w:pStyle w:val="NormalWeb"/>
        <w:numPr>
          <w:ilvl w:val="0"/>
          <w:numId w:val="25"/>
        </w:numPr>
        <w:spacing w:before="0" w:beforeAutospacing="0" w:after="120" w:afterAutospacing="0" w:line="281" w:lineRule="auto"/>
        <w:rPr>
          <w:rFonts w:asciiTheme="majorHAnsi" w:hAnsiTheme="majorHAnsi" w:cstheme="majorHAnsi"/>
          <w:sz w:val="22"/>
          <w:szCs w:val="22"/>
        </w:rPr>
      </w:pPr>
      <w:r>
        <w:rPr>
          <w:rFonts w:asciiTheme="majorHAnsi" w:hAnsiTheme="majorHAnsi" w:cstheme="majorHAnsi"/>
          <w:sz w:val="22"/>
          <w:szCs w:val="22"/>
        </w:rPr>
        <w:t>A</w:t>
      </w:r>
      <w:r w:rsidR="00663380" w:rsidRPr="00974377">
        <w:rPr>
          <w:rFonts w:asciiTheme="majorHAnsi" w:hAnsiTheme="majorHAnsi" w:cstheme="majorHAnsi"/>
          <w:sz w:val="22"/>
          <w:szCs w:val="22"/>
        </w:rPr>
        <w:t>bsence of other development partners with a similar focus and approach than INOVASI</w:t>
      </w:r>
    </w:p>
    <w:p w14:paraId="2FD270DF" w14:textId="22046F3A" w:rsidR="00EC1345" w:rsidRPr="0074451C" w:rsidRDefault="00663380" w:rsidP="0074451C">
      <w:pPr>
        <w:pStyle w:val="NormalWeb"/>
        <w:spacing w:before="0" w:beforeAutospacing="0" w:after="120" w:afterAutospacing="0" w:line="281" w:lineRule="auto"/>
        <w:rPr>
          <w:rFonts w:asciiTheme="majorHAnsi" w:hAnsiTheme="majorHAnsi" w:cstheme="majorHAnsi"/>
          <w:b/>
          <w:bCs/>
          <w:sz w:val="22"/>
          <w:szCs w:val="22"/>
        </w:rPr>
      </w:pPr>
      <w:r w:rsidRPr="00974377">
        <w:rPr>
          <w:rFonts w:asciiTheme="majorHAnsi" w:hAnsiTheme="majorHAnsi" w:cstheme="majorHAnsi"/>
          <w:sz w:val="22"/>
          <w:szCs w:val="22"/>
        </w:rPr>
        <w:t xml:space="preserve">The application of the criteria above </w:t>
      </w:r>
      <w:r w:rsidR="00C0294D">
        <w:rPr>
          <w:rFonts w:asciiTheme="majorHAnsi" w:hAnsiTheme="majorHAnsi" w:cstheme="majorHAnsi"/>
          <w:sz w:val="22"/>
          <w:szCs w:val="22"/>
        </w:rPr>
        <w:t>combined with the</w:t>
      </w:r>
      <w:r w:rsidRPr="00974377">
        <w:rPr>
          <w:rFonts w:asciiTheme="majorHAnsi" w:hAnsiTheme="majorHAnsi" w:cstheme="majorHAnsi"/>
          <w:sz w:val="22"/>
          <w:szCs w:val="22"/>
        </w:rPr>
        <w:t xml:space="preserve"> </w:t>
      </w:r>
      <w:r w:rsidR="00C0294D">
        <w:rPr>
          <w:rFonts w:asciiTheme="majorHAnsi" w:hAnsiTheme="majorHAnsi" w:cstheme="majorHAnsi"/>
          <w:sz w:val="22"/>
          <w:szCs w:val="22"/>
        </w:rPr>
        <w:t>feedback</w:t>
      </w:r>
      <w:r w:rsidRPr="00974377">
        <w:rPr>
          <w:rFonts w:asciiTheme="majorHAnsi" w:hAnsiTheme="majorHAnsi" w:cstheme="majorHAnsi"/>
          <w:sz w:val="22"/>
          <w:szCs w:val="22"/>
        </w:rPr>
        <w:t xml:space="preserve"> received during the </w:t>
      </w:r>
      <w:r w:rsidR="00C0294D">
        <w:rPr>
          <w:rFonts w:asciiTheme="majorHAnsi" w:hAnsiTheme="majorHAnsi" w:cstheme="majorHAnsi"/>
          <w:sz w:val="22"/>
          <w:szCs w:val="22"/>
        </w:rPr>
        <w:t>D</w:t>
      </w:r>
      <w:r w:rsidRPr="00974377">
        <w:rPr>
          <w:rFonts w:asciiTheme="majorHAnsi" w:hAnsiTheme="majorHAnsi" w:cstheme="majorHAnsi"/>
          <w:sz w:val="22"/>
          <w:szCs w:val="22"/>
        </w:rPr>
        <w:t xml:space="preserve">esign </w:t>
      </w:r>
      <w:r w:rsidR="00C0294D">
        <w:rPr>
          <w:rFonts w:asciiTheme="majorHAnsi" w:hAnsiTheme="majorHAnsi" w:cstheme="majorHAnsi"/>
          <w:sz w:val="22"/>
          <w:szCs w:val="22"/>
        </w:rPr>
        <w:t xml:space="preserve">Update </w:t>
      </w:r>
      <w:r w:rsidRPr="00974377">
        <w:rPr>
          <w:rFonts w:asciiTheme="majorHAnsi" w:hAnsiTheme="majorHAnsi" w:cstheme="majorHAnsi"/>
          <w:sz w:val="22"/>
          <w:szCs w:val="22"/>
        </w:rPr>
        <w:t xml:space="preserve">process </w:t>
      </w:r>
      <w:r w:rsidR="00C0294D">
        <w:rPr>
          <w:rFonts w:asciiTheme="majorHAnsi" w:hAnsiTheme="majorHAnsi" w:cstheme="majorHAnsi"/>
          <w:sz w:val="22"/>
          <w:szCs w:val="22"/>
        </w:rPr>
        <w:t xml:space="preserve">has </w:t>
      </w:r>
      <w:r w:rsidR="00C0294D" w:rsidRPr="00974377">
        <w:rPr>
          <w:rFonts w:asciiTheme="majorHAnsi" w:hAnsiTheme="majorHAnsi" w:cstheme="majorHAnsi"/>
          <w:sz w:val="22"/>
          <w:szCs w:val="22"/>
        </w:rPr>
        <w:t>le</w:t>
      </w:r>
      <w:r w:rsidR="00C0294D">
        <w:rPr>
          <w:rFonts w:asciiTheme="majorHAnsi" w:hAnsiTheme="majorHAnsi" w:cstheme="majorHAnsi"/>
          <w:sz w:val="22"/>
          <w:szCs w:val="22"/>
        </w:rPr>
        <w:t>d</w:t>
      </w:r>
      <w:r w:rsidRPr="00974377">
        <w:rPr>
          <w:rFonts w:asciiTheme="majorHAnsi" w:hAnsiTheme="majorHAnsi" w:cstheme="majorHAnsi"/>
          <w:sz w:val="22"/>
          <w:szCs w:val="22"/>
        </w:rPr>
        <w:t xml:space="preserve"> to suggesting six target provinces for INOVASI Phase 3: East Nusa Tenggara (NTT), West Nusa Tenggara (NTB), North Kalimantan (</w:t>
      </w:r>
      <w:proofErr w:type="spellStart"/>
      <w:r w:rsidRPr="00974377">
        <w:rPr>
          <w:rFonts w:asciiTheme="majorHAnsi" w:hAnsiTheme="majorHAnsi" w:cstheme="majorHAnsi"/>
          <w:sz w:val="22"/>
          <w:szCs w:val="22"/>
        </w:rPr>
        <w:t>Kaltara</w:t>
      </w:r>
      <w:proofErr w:type="spellEnd"/>
      <w:r w:rsidRPr="00974377">
        <w:rPr>
          <w:rFonts w:asciiTheme="majorHAnsi" w:hAnsiTheme="majorHAnsi" w:cstheme="majorHAnsi"/>
          <w:sz w:val="22"/>
          <w:szCs w:val="22"/>
        </w:rPr>
        <w:t xml:space="preserve">), Maluku, East </w:t>
      </w:r>
      <w:r w:rsidR="003A0D39" w:rsidRPr="00974377">
        <w:rPr>
          <w:rFonts w:asciiTheme="majorHAnsi" w:hAnsiTheme="majorHAnsi" w:cstheme="majorHAnsi"/>
          <w:sz w:val="22"/>
          <w:szCs w:val="22"/>
        </w:rPr>
        <w:t>Java,</w:t>
      </w:r>
      <w:r w:rsidRPr="00974377">
        <w:rPr>
          <w:rFonts w:asciiTheme="majorHAnsi" w:hAnsiTheme="majorHAnsi" w:cstheme="majorHAnsi"/>
          <w:sz w:val="22"/>
          <w:szCs w:val="22"/>
        </w:rPr>
        <w:t xml:space="preserve"> and West Java.</w:t>
      </w:r>
      <w:r w:rsidRPr="00974377">
        <w:rPr>
          <w:rFonts w:asciiTheme="majorHAnsi" w:hAnsiTheme="majorHAnsi" w:cstheme="majorHAnsi"/>
          <w:b/>
          <w:bCs/>
          <w:sz w:val="22"/>
          <w:szCs w:val="22"/>
        </w:rPr>
        <w:t xml:space="preserve"> </w:t>
      </w:r>
    </w:p>
    <w:p w14:paraId="3DD83C5C" w14:textId="77777777" w:rsidR="00EC1345" w:rsidRPr="000B39E6" w:rsidRDefault="00EC1345" w:rsidP="005E0340">
      <w:pPr>
        <w:pStyle w:val="NormalWeb"/>
        <w:spacing w:before="0" w:beforeAutospacing="0" w:after="120" w:afterAutospacing="0" w:line="281" w:lineRule="auto"/>
        <w:rPr>
          <w:rFonts w:asciiTheme="majorHAnsi" w:hAnsiTheme="majorHAnsi" w:cstheme="majorHAnsi"/>
          <w:b/>
          <w:sz w:val="22"/>
          <w:szCs w:val="22"/>
        </w:rPr>
      </w:pPr>
    </w:p>
    <w:p w14:paraId="0B49C92A" w14:textId="49362939" w:rsidR="00663380" w:rsidRPr="000B39E6" w:rsidRDefault="00663380" w:rsidP="00330887">
      <w:pPr>
        <w:pStyle w:val="NormalWeb"/>
        <w:spacing w:before="0" w:beforeAutospacing="0" w:after="120" w:afterAutospacing="0" w:line="281" w:lineRule="auto"/>
        <w:jc w:val="center"/>
        <w:rPr>
          <w:rFonts w:asciiTheme="majorHAnsi" w:hAnsiTheme="majorHAnsi" w:cstheme="majorHAnsi"/>
          <w:b/>
          <w:sz w:val="22"/>
          <w:szCs w:val="22"/>
        </w:rPr>
      </w:pPr>
      <w:r w:rsidRPr="000B39E6">
        <w:rPr>
          <w:rFonts w:asciiTheme="majorHAnsi" w:hAnsiTheme="majorHAnsi" w:cstheme="majorHAnsi"/>
          <w:b/>
          <w:sz w:val="22"/>
          <w:szCs w:val="22"/>
        </w:rPr>
        <w:t xml:space="preserve">Figure </w:t>
      </w:r>
      <w:r w:rsidR="00F23D72" w:rsidRPr="000B39E6">
        <w:rPr>
          <w:rFonts w:asciiTheme="majorHAnsi" w:hAnsiTheme="majorHAnsi" w:cstheme="majorHAnsi"/>
          <w:b/>
          <w:sz w:val="22"/>
          <w:szCs w:val="22"/>
        </w:rPr>
        <w:t>4</w:t>
      </w:r>
      <w:r w:rsidRPr="000B39E6">
        <w:rPr>
          <w:rFonts w:asciiTheme="majorHAnsi" w:hAnsiTheme="majorHAnsi" w:cstheme="majorHAnsi"/>
          <w:b/>
          <w:sz w:val="22"/>
          <w:szCs w:val="22"/>
        </w:rPr>
        <w:t xml:space="preserve"> – Criteria for province selection</w:t>
      </w:r>
    </w:p>
    <w:tbl>
      <w:tblPr>
        <w:tblStyle w:val="TableGrid"/>
        <w:tblW w:w="0" w:type="auto"/>
        <w:jc w:val="center"/>
        <w:tblLook w:val="04A0" w:firstRow="1" w:lastRow="0" w:firstColumn="1" w:lastColumn="0" w:noHBand="0" w:noVBand="1"/>
      </w:tblPr>
      <w:tblGrid>
        <w:gridCol w:w="2122"/>
        <w:gridCol w:w="1134"/>
        <w:gridCol w:w="1134"/>
        <w:gridCol w:w="1134"/>
        <w:gridCol w:w="1095"/>
        <w:gridCol w:w="1195"/>
        <w:gridCol w:w="1196"/>
      </w:tblGrid>
      <w:tr w:rsidR="00663380" w:rsidRPr="00F23D72" w14:paraId="7B1D7145" w14:textId="77777777" w:rsidTr="00AE637B">
        <w:trPr>
          <w:tblHeader/>
          <w:jc w:val="center"/>
        </w:trPr>
        <w:tc>
          <w:tcPr>
            <w:tcW w:w="2122" w:type="dxa"/>
            <w:shd w:val="clear" w:color="auto" w:fill="008080"/>
          </w:tcPr>
          <w:p w14:paraId="4438102F" w14:textId="29F51BBA" w:rsidR="00663380" w:rsidRPr="004E7542" w:rsidRDefault="00663380" w:rsidP="00BF638E">
            <w:pPr>
              <w:pStyle w:val="NormalWeb"/>
              <w:spacing w:before="60" w:beforeAutospacing="0" w:after="60" w:afterAutospacing="0"/>
              <w:jc w:val="center"/>
              <w:rPr>
                <w:rFonts w:asciiTheme="minorHAnsi" w:hAnsiTheme="minorHAnsi" w:cstheme="minorHAnsi"/>
                <w:b/>
                <w:bCs/>
                <w:color w:val="FFFFFF" w:themeColor="background1"/>
                <w:sz w:val="22"/>
                <w:szCs w:val="22"/>
              </w:rPr>
            </w:pPr>
            <w:bookmarkStart w:id="15" w:name="Title_CriteriaForProvinceSelection"/>
            <w:r w:rsidRPr="004E7542">
              <w:rPr>
                <w:rFonts w:asciiTheme="minorHAnsi" w:hAnsiTheme="minorHAnsi" w:cstheme="minorHAnsi"/>
                <w:b/>
                <w:bCs/>
                <w:color w:val="FFFFFF" w:themeColor="background1"/>
                <w:sz w:val="22"/>
                <w:szCs w:val="22"/>
              </w:rPr>
              <w:t>Criteria</w:t>
            </w:r>
            <w:bookmarkEnd w:id="15"/>
          </w:p>
        </w:tc>
        <w:tc>
          <w:tcPr>
            <w:tcW w:w="1134" w:type="dxa"/>
            <w:shd w:val="clear" w:color="auto" w:fill="008080"/>
          </w:tcPr>
          <w:p w14:paraId="35D1A481" w14:textId="77777777" w:rsidR="00663380" w:rsidRPr="004E7542" w:rsidRDefault="00663380" w:rsidP="00BF638E">
            <w:pPr>
              <w:pStyle w:val="NormalWeb"/>
              <w:spacing w:before="60" w:beforeAutospacing="0" w:after="60" w:afterAutospacing="0"/>
              <w:jc w:val="center"/>
              <w:rPr>
                <w:rFonts w:asciiTheme="minorHAnsi" w:hAnsiTheme="minorHAnsi" w:cstheme="minorHAnsi"/>
                <w:b/>
                <w:bCs/>
                <w:color w:val="FFFFFF" w:themeColor="background1"/>
                <w:sz w:val="22"/>
                <w:szCs w:val="22"/>
              </w:rPr>
            </w:pPr>
            <w:bookmarkStart w:id="16" w:name="ColumnTitle_NTT"/>
            <w:r w:rsidRPr="004E7542">
              <w:rPr>
                <w:rFonts w:asciiTheme="minorHAnsi" w:hAnsiTheme="minorHAnsi" w:cstheme="minorHAnsi"/>
                <w:b/>
                <w:bCs/>
                <w:color w:val="FFFFFF" w:themeColor="background1"/>
                <w:sz w:val="22"/>
                <w:szCs w:val="22"/>
              </w:rPr>
              <w:t>NTT</w:t>
            </w:r>
            <w:bookmarkEnd w:id="16"/>
          </w:p>
        </w:tc>
        <w:tc>
          <w:tcPr>
            <w:tcW w:w="1134" w:type="dxa"/>
            <w:shd w:val="clear" w:color="auto" w:fill="008080"/>
          </w:tcPr>
          <w:p w14:paraId="46A0C300" w14:textId="77777777" w:rsidR="00663380" w:rsidRPr="004E7542" w:rsidRDefault="00663380" w:rsidP="00BF638E">
            <w:pPr>
              <w:pStyle w:val="NormalWeb"/>
              <w:spacing w:before="60" w:beforeAutospacing="0" w:after="60" w:afterAutospacing="0"/>
              <w:jc w:val="center"/>
              <w:rPr>
                <w:rFonts w:asciiTheme="minorHAnsi" w:hAnsiTheme="minorHAnsi" w:cstheme="minorHAnsi"/>
                <w:b/>
                <w:bCs/>
                <w:color w:val="FFFFFF" w:themeColor="background1"/>
                <w:sz w:val="22"/>
                <w:szCs w:val="22"/>
              </w:rPr>
            </w:pPr>
            <w:bookmarkStart w:id="17" w:name="ColumnTitle_NTB"/>
            <w:r w:rsidRPr="004E7542">
              <w:rPr>
                <w:rFonts w:asciiTheme="minorHAnsi" w:hAnsiTheme="minorHAnsi" w:cstheme="minorHAnsi"/>
                <w:b/>
                <w:bCs/>
                <w:color w:val="FFFFFF" w:themeColor="background1"/>
                <w:sz w:val="22"/>
                <w:szCs w:val="22"/>
              </w:rPr>
              <w:t>NTB</w:t>
            </w:r>
            <w:bookmarkEnd w:id="17"/>
          </w:p>
        </w:tc>
        <w:tc>
          <w:tcPr>
            <w:tcW w:w="1134" w:type="dxa"/>
            <w:shd w:val="clear" w:color="auto" w:fill="008080"/>
          </w:tcPr>
          <w:p w14:paraId="2065C48C" w14:textId="77777777" w:rsidR="00663380" w:rsidRPr="004E7542" w:rsidRDefault="00663380" w:rsidP="00BF638E">
            <w:pPr>
              <w:pStyle w:val="NormalWeb"/>
              <w:spacing w:before="60" w:beforeAutospacing="0" w:after="60" w:afterAutospacing="0"/>
              <w:jc w:val="center"/>
              <w:rPr>
                <w:rFonts w:asciiTheme="minorHAnsi" w:hAnsiTheme="minorHAnsi" w:cstheme="minorHAnsi"/>
                <w:b/>
                <w:bCs/>
                <w:color w:val="FFFFFF" w:themeColor="background1"/>
                <w:sz w:val="22"/>
                <w:szCs w:val="22"/>
              </w:rPr>
            </w:pPr>
            <w:bookmarkStart w:id="18" w:name="ColumnTitle_Kaltara"/>
            <w:proofErr w:type="spellStart"/>
            <w:r w:rsidRPr="004E7542">
              <w:rPr>
                <w:rFonts w:asciiTheme="minorHAnsi" w:hAnsiTheme="minorHAnsi" w:cstheme="minorHAnsi"/>
                <w:b/>
                <w:bCs/>
                <w:color w:val="FFFFFF" w:themeColor="background1"/>
                <w:sz w:val="22"/>
                <w:szCs w:val="22"/>
              </w:rPr>
              <w:t>Kaltara</w:t>
            </w:r>
            <w:bookmarkEnd w:id="18"/>
            <w:proofErr w:type="spellEnd"/>
          </w:p>
        </w:tc>
        <w:tc>
          <w:tcPr>
            <w:tcW w:w="1095" w:type="dxa"/>
            <w:shd w:val="clear" w:color="auto" w:fill="008080"/>
          </w:tcPr>
          <w:p w14:paraId="7B31F7C3" w14:textId="77777777" w:rsidR="00663380" w:rsidRPr="004E7542" w:rsidRDefault="00663380" w:rsidP="00BF638E">
            <w:pPr>
              <w:pStyle w:val="NormalWeb"/>
              <w:spacing w:before="60" w:beforeAutospacing="0" w:after="60" w:afterAutospacing="0"/>
              <w:jc w:val="center"/>
              <w:rPr>
                <w:rFonts w:asciiTheme="minorHAnsi" w:hAnsiTheme="minorHAnsi" w:cstheme="minorHAnsi"/>
                <w:b/>
                <w:bCs/>
                <w:color w:val="FFFFFF" w:themeColor="background1"/>
                <w:sz w:val="22"/>
                <w:szCs w:val="22"/>
              </w:rPr>
            </w:pPr>
            <w:bookmarkStart w:id="19" w:name="ColumnTitle_Maluku"/>
            <w:r w:rsidRPr="004E7542">
              <w:rPr>
                <w:rFonts w:asciiTheme="minorHAnsi" w:hAnsiTheme="minorHAnsi" w:cstheme="minorHAnsi"/>
                <w:b/>
                <w:bCs/>
                <w:color w:val="FFFFFF" w:themeColor="background1"/>
                <w:sz w:val="22"/>
                <w:szCs w:val="22"/>
              </w:rPr>
              <w:t>Maluku</w:t>
            </w:r>
            <w:bookmarkEnd w:id="19"/>
          </w:p>
        </w:tc>
        <w:tc>
          <w:tcPr>
            <w:tcW w:w="1195" w:type="dxa"/>
            <w:shd w:val="clear" w:color="auto" w:fill="008080"/>
          </w:tcPr>
          <w:p w14:paraId="46FAE9ED" w14:textId="77777777" w:rsidR="00663380" w:rsidRPr="004E7542" w:rsidRDefault="00663380" w:rsidP="00BF638E">
            <w:pPr>
              <w:pStyle w:val="NormalWeb"/>
              <w:spacing w:before="60" w:beforeAutospacing="0" w:after="60" w:afterAutospacing="0"/>
              <w:jc w:val="center"/>
              <w:rPr>
                <w:rFonts w:asciiTheme="minorHAnsi" w:hAnsiTheme="minorHAnsi" w:cstheme="minorHAnsi"/>
                <w:b/>
                <w:bCs/>
                <w:color w:val="FFFFFF" w:themeColor="background1"/>
                <w:sz w:val="22"/>
                <w:szCs w:val="22"/>
              </w:rPr>
            </w:pPr>
            <w:bookmarkStart w:id="20" w:name="ColumnTitle_EastJava"/>
            <w:r w:rsidRPr="004E7542">
              <w:rPr>
                <w:rFonts w:asciiTheme="minorHAnsi" w:hAnsiTheme="minorHAnsi" w:cstheme="minorHAnsi"/>
                <w:b/>
                <w:bCs/>
                <w:color w:val="FFFFFF" w:themeColor="background1"/>
                <w:sz w:val="22"/>
                <w:szCs w:val="22"/>
              </w:rPr>
              <w:t>East Java</w:t>
            </w:r>
            <w:bookmarkEnd w:id="20"/>
          </w:p>
        </w:tc>
        <w:tc>
          <w:tcPr>
            <w:tcW w:w="1196" w:type="dxa"/>
            <w:shd w:val="clear" w:color="auto" w:fill="008080"/>
          </w:tcPr>
          <w:p w14:paraId="22ED0D21" w14:textId="77777777" w:rsidR="00663380" w:rsidRPr="004E7542" w:rsidRDefault="00663380" w:rsidP="00BF638E">
            <w:pPr>
              <w:pStyle w:val="NormalWeb"/>
              <w:spacing w:before="60" w:beforeAutospacing="0" w:after="60" w:afterAutospacing="0"/>
              <w:jc w:val="center"/>
              <w:rPr>
                <w:rFonts w:asciiTheme="minorHAnsi" w:hAnsiTheme="minorHAnsi" w:cstheme="minorHAnsi"/>
                <w:b/>
                <w:bCs/>
                <w:color w:val="FFFFFF" w:themeColor="background1"/>
                <w:sz w:val="22"/>
                <w:szCs w:val="22"/>
              </w:rPr>
            </w:pPr>
            <w:bookmarkStart w:id="21" w:name="ColumnTitle_WestJava"/>
            <w:r w:rsidRPr="004E7542">
              <w:rPr>
                <w:rFonts w:asciiTheme="minorHAnsi" w:hAnsiTheme="minorHAnsi" w:cstheme="minorHAnsi"/>
                <w:b/>
                <w:bCs/>
                <w:color w:val="FFFFFF" w:themeColor="background1"/>
                <w:sz w:val="22"/>
                <w:szCs w:val="22"/>
              </w:rPr>
              <w:t>West Java</w:t>
            </w:r>
            <w:bookmarkEnd w:id="21"/>
          </w:p>
        </w:tc>
      </w:tr>
      <w:tr w:rsidR="00663380" w:rsidRPr="00F23D72" w14:paraId="41C0A4AC" w14:textId="77777777" w:rsidTr="00BC5CF9">
        <w:trPr>
          <w:jc w:val="center"/>
        </w:trPr>
        <w:tc>
          <w:tcPr>
            <w:tcW w:w="2122" w:type="dxa"/>
            <w:shd w:val="clear" w:color="auto" w:fill="008080"/>
            <w:vAlign w:val="center"/>
          </w:tcPr>
          <w:p w14:paraId="338F4C71" w14:textId="77777777" w:rsidR="00663380" w:rsidRPr="00BC5CF9" w:rsidRDefault="00663380" w:rsidP="00BF638E">
            <w:pPr>
              <w:pStyle w:val="NormalWeb"/>
              <w:spacing w:before="60" w:beforeAutospacing="0" w:after="60" w:afterAutospacing="0"/>
              <w:rPr>
                <w:rFonts w:asciiTheme="minorHAnsi" w:hAnsiTheme="minorHAnsi" w:cstheme="minorHAnsi"/>
                <w:b/>
                <w:bCs/>
                <w:color w:val="FFFFFF" w:themeColor="background1"/>
                <w:sz w:val="22"/>
                <w:szCs w:val="22"/>
              </w:rPr>
            </w:pPr>
            <w:bookmarkStart w:id="22" w:name="RowTitle_Phase2"/>
            <w:r w:rsidRPr="00BC5CF9">
              <w:rPr>
                <w:rFonts w:asciiTheme="minorHAnsi" w:hAnsiTheme="minorHAnsi" w:cstheme="minorHAnsi"/>
                <w:b/>
                <w:bCs/>
                <w:color w:val="FFFFFF" w:themeColor="background1"/>
                <w:sz w:val="22"/>
                <w:szCs w:val="22"/>
              </w:rPr>
              <w:t>Phase 2</w:t>
            </w:r>
            <w:bookmarkEnd w:id="22"/>
          </w:p>
        </w:tc>
        <w:tc>
          <w:tcPr>
            <w:tcW w:w="1134" w:type="dxa"/>
            <w:vAlign w:val="center"/>
          </w:tcPr>
          <w:p w14:paraId="1B7465F1" w14:textId="1A007CD9"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134" w:type="dxa"/>
            <w:vAlign w:val="center"/>
          </w:tcPr>
          <w:p w14:paraId="5B778EB0" w14:textId="5881E322"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134" w:type="dxa"/>
            <w:vAlign w:val="center"/>
          </w:tcPr>
          <w:p w14:paraId="14A9E25D" w14:textId="5D5BC8D6"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095" w:type="dxa"/>
            <w:vAlign w:val="center"/>
          </w:tcPr>
          <w:p w14:paraId="545DB6E4" w14:textId="740BE0AB"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c>
          <w:tcPr>
            <w:tcW w:w="1195" w:type="dxa"/>
            <w:vAlign w:val="center"/>
          </w:tcPr>
          <w:p w14:paraId="2A3E3002" w14:textId="713EBC8F"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196" w:type="dxa"/>
            <w:vAlign w:val="center"/>
          </w:tcPr>
          <w:p w14:paraId="2EC474C6" w14:textId="06B6F0F8"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r>
      <w:tr w:rsidR="00663380" w:rsidRPr="00F23D72" w14:paraId="42900745" w14:textId="77777777" w:rsidTr="00BC5CF9">
        <w:trPr>
          <w:jc w:val="center"/>
        </w:trPr>
        <w:tc>
          <w:tcPr>
            <w:tcW w:w="2122" w:type="dxa"/>
            <w:shd w:val="clear" w:color="auto" w:fill="008080"/>
            <w:vAlign w:val="center"/>
          </w:tcPr>
          <w:p w14:paraId="167A4509" w14:textId="77777777" w:rsidR="00663380" w:rsidRPr="00BC5CF9" w:rsidRDefault="00663380" w:rsidP="00BF638E">
            <w:pPr>
              <w:pStyle w:val="NormalWeb"/>
              <w:tabs>
                <w:tab w:val="left" w:pos="1077"/>
              </w:tabs>
              <w:spacing w:before="60" w:beforeAutospacing="0" w:after="60" w:afterAutospacing="0"/>
              <w:rPr>
                <w:rFonts w:asciiTheme="minorHAnsi" w:hAnsiTheme="minorHAnsi" w:cstheme="minorHAnsi"/>
                <w:b/>
                <w:bCs/>
                <w:color w:val="FFFFFF" w:themeColor="background1"/>
                <w:sz w:val="22"/>
                <w:szCs w:val="22"/>
              </w:rPr>
            </w:pPr>
            <w:bookmarkStart w:id="23" w:name="RowTitle_SKALA"/>
            <w:r w:rsidRPr="00BC5CF9">
              <w:rPr>
                <w:rFonts w:asciiTheme="minorHAnsi" w:hAnsiTheme="minorHAnsi" w:cstheme="minorHAnsi"/>
                <w:b/>
                <w:bCs/>
                <w:color w:val="FFFFFF" w:themeColor="background1"/>
                <w:sz w:val="22"/>
                <w:szCs w:val="22"/>
              </w:rPr>
              <w:t>SKALA</w:t>
            </w:r>
            <w:bookmarkEnd w:id="23"/>
          </w:p>
        </w:tc>
        <w:tc>
          <w:tcPr>
            <w:tcW w:w="1134" w:type="dxa"/>
            <w:vAlign w:val="center"/>
          </w:tcPr>
          <w:p w14:paraId="6BB728FB" w14:textId="78F76DD2"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134" w:type="dxa"/>
            <w:vAlign w:val="center"/>
          </w:tcPr>
          <w:p w14:paraId="6CAC26A8" w14:textId="79FC4A10"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134" w:type="dxa"/>
            <w:vAlign w:val="center"/>
          </w:tcPr>
          <w:p w14:paraId="2353F671" w14:textId="3363E6AF"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095" w:type="dxa"/>
            <w:vAlign w:val="center"/>
          </w:tcPr>
          <w:p w14:paraId="672206D2" w14:textId="693C51D4"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195" w:type="dxa"/>
            <w:vAlign w:val="center"/>
          </w:tcPr>
          <w:p w14:paraId="1F6C81DB" w14:textId="3346FC7D"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c>
          <w:tcPr>
            <w:tcW w:w="1196" w:type="dxa"/>
            <w:vAlign w:val="center"/>
          </w:tcPr>
          <w:p w14:paraId="20BE60B0" w14:textId="1180614C"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r>
      <w:tr w:rsidR="00663380" w:rsidRPr="00F23D72" w14:paraId="6DF83620" w14:textId="77777777" w:rsidTr="00BC5CF9">
        <w:trPr>
          <w:jc w:val="center"/>
        </w:trPr>
        <w:tc>
          <w:tcPr>
            <w:tcW w:w="2122" w:type="dxa"/>
            <w:shd w:val="clear" w:color="auto" w:fill="008080"/>
            <w:vAlign w:val="center"/>
          </w:tcPr>
          <w:p w14:paraId="2A73B8E9" w14:textId="77777777" w:rsidR="00663380" w:rsidRPr="00BC5CF9" w:rsidRDefault="00663380" w:rsidP="00BF638E">
            <w:pPr>
              <w:pStyle w:val="NormalWeb"/>
              <w:spacing w:before="60" w:beforeAutospacing="0" w:after="60" w:afterAutospacing="0"/>
              <w:rPr>
                <w:rFonts w:asciiTheme="minorHAnsi" w:hAnsiTheme="minorHAnsi" w:cstheme="minorHAnsi"/>
                <w:b/>
                <w:bCs/>
                <w:color w:val="FFFFFF" w:themeColor="background1"/>
                <w:sz w:val="22"/>
                <w:szCs w:val="22"/>
              </w:rPr>
            </w:pPr>
            <w:bookmarkStart w:id="24" w:name="RowTitle_EastIndonesia"/>
            <w:r w:rsidRPr="00BC5CF9">
              <w:rPr>
                <w:rFonts w:asciiTheme="minorHAnsi" w:hAnsiTheme="minorHAnsi" w:cstheme="minorHAnsi"/>
                <w:b/>
                <w:bCs/>
                <w:color w:val="FFFFFF" w:themeColor="background1"/>
                <w:sz w:val="22"/>
                <w:szCs w:val="22"/>
              </w:rPr>
              <w:t>East Indonesia</w:t>
            </w:r>
            <w:bookmarkEnd w:id="24"/>
          </w:p>
        </w:tc>
        <w:tc>
          <w:tcPr>
            <w:tcW w:w="1134" w:type="dxa"/>
            <w:vAlign w:val="center"/>
          </w:tcPr>
          <w:p w14:paraId="34898A21" w14:textId="0A709C25"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134" w:type="dxa"/>
            <w:vAlign w:val="center"/>
          </w:tcPr>
          <w:p w14:paraId="1B84D268" w14:textId="60F11BA7"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134" w:type="dxa"/>
            <w:vAlign w:val="center"/>
          </w:tcPr>
          <w:p w14:paraId="51889F05" w14:textId="3572113B"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c>
          <w:tcPr>
            <w:tcW w:w="1095" w:type="dxa"/>
            <w:vAlign w:val="center"/>
          </w:tcPr>
          <w:p w14:paraId="01496859" w14:textId="5B8DB251"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195" w:type="dxa"/>
            <w:vAlign w:val="center"/>
          </w:tcPr>
          <w:p w14:paraId="7834D686" w14:textId="45510932"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c>
          <w:tcPr>
            <w:tcW w:w="1196" w:type="dxa"/>
            <w:vAlign w:val="center"/>
          </w:tcPr>
          <w:p w14:paraId="1E16DBBA" w14:textId="50DAAF6F"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r>
      <w:tr w:rsidR="00663380" w:rsidRPr="00F23D72" w14:paraId="1F36E29F" w14:textId="77777777" w:rsidTr="00BC5CF9">
        <w:trPr>
          <w:jc w:val="center"/>
        </w:trPr>
        <w:tc>
          <w:tcPr>
            <w:tcW w:w="2122" w:type="dxa"/>
            <w:shd w:val="clear" w:color="auto" w:fill="008080"/>
            <w:vAlign w:val="center"/>
          </w:tcPr>
          <w:p w14:paraId="6641555F" w14:textId="77777777" w:rsidR="00663380" w:rsidRPr="00BC5CF9" w:rsidRDefault="00663380" w:rsidP="00BF638E">
            <w:pPr>
              <w:pStyle w:val="NormalWeb"/>
              <w:spacing w:before="60" w:beforeAutospacing="0" w:after="60" w:afterAutospacing="0"/>
              <w:rPr>
                <w:rFonts w:asciiTheme="minorHAnsi" w:hAnsiTheme="minorHAnsi" w:cstheme="minorHAnsi"/>
                <w:b/>
                <w:bCs/>
                <w:color w:val="FFFFFF" w:themeColor="background1"/>
                <w:sz w:val="22"/>
                <w:szCs w:val="22"/>
              </w:rPr>
            </w:pPr>
            <w:bookmarkStart w:id="25" w:name="RowTitle_IslamicEducation"/>
            <w:r w:rsidRPr="00BC5CF9">
              <w:rPr>
                <w:rFonts w:asciiTheme="minorHAnsi" w:hAnsiTheme="minorHAnsi" w:cstheme="minorHAnsi"/>
                <w:b/>
                <w:bCs/>
                <w:color w:val="FFFFFF" w:themeColor="background1"/>
                <w:sz w:val="22"/>
                <w:szCs w:val="22"/>
              </w:rPr>
              <w:t>Islamic education</w:t>
            </w:r>
            <w:bookmarkEnd w:id="25"/>
          </w:p>
        </w:tc>
        <w:tc>
          <w:tcPr>
            <w:tcW w:w="1134" w:type="dxa"/>
            <w:vAlign w:val="center"/>
          </w:tcPr>
          <w:p w14:paraId="7374FF24" w14:textId="7265742F"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c>
          <w:tcPr>
            <w:tcW w:w="1134" w:type="dxa"/>
            <w:vAlign w:val="center"/>
          </w:tcPr>
          <w:p w14:paraId="6A6CFBEA" w14:textId="5144AA48"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c>
          <w:tcPr>
            <w:tcW w:w="1134" w:type="dxa"/>
            <w:vAlign w:val="center"/>
          </w:tcPr>
          <w:p w14:paraId="72093950" w14:textId="4E0A3AEB"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c>
          <w:tcPr>
            <w:tcW w:w="1095" w:type="dxa"/>
            <w:vAlign w:val="center"/>
          </w:tcPr>
          <w:p w14:paraId="66E8B52F" w14:textId="70892138"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c>
          <w:tcPr>
            <w:tcW w:w="1195" w:type="dxa"/>
            <w:vAlign w:val="center"/>
          </w:tcPr>
          <w:p w14:paraId="087BC77C" w14:textId="6A2B9DFF"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196" w:type="dxa"/>
            <w:vAlign w:val="center"/>
          </w:tcPr>
          <w:p w14:paraId="0FA099BF" w14:textId="4465512E"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r>
      <w:tr w:rsidR="00663380" w:rsidRPr="00F23D72" w14:paraId="18A61870" w14:textId="77777777" w:rsidTr="00BC5CF9">
        <w:trPr>
          <w:jc w:val="center"/>
        </w:trPr>
        <w:tc>
          <w:tcPr>
            <w:tcW w:w="2122" w:type="dxa"/>
            <w:shd w:val="clear" w:color="auto" w:fill="008080"/>
            <w:vAlign w:val="center"/>
          </w:tcPr>
          <w:p w14:paraId="17A0A403" w14:textId="77777777" w:rsidR="00663380" w:rsidRPr="00BC5CF9" w:rsidRDefault="00663380" w:rsidP="00BF638E">
            <w:pPr>
              <w:pStyle w:val="NormalWeb"/>
              <w:spacing w:before="60" w:beforeAutospacing="0" w:after="60" w:afterAutospacing="0"/>
              <w:rPr>
                <w:rFonts w:asciiTheme="minorHAnsi" w:hAnsiTheme="minorHAnsi" w:cstheme="minorHAnsi"/>
                <w:b/>
                <w:bCs/>
                <w:color w:val="FFFFFF" w:themeColor="background1"/>
                <w:sz w:val="22"/>
                <w:szCs w:val="22"/>
              </w:rPr>
            </w:pPr>
            <w:bookmarkStart w:id="26" w:name="RowTitle_TopUniversities"/>
            <w:r w:rsidRPr="00BC5CF9">
              <w:rPr>
                <w:rFonts w:asciiTheme="minorHAnsi" w:hAnsiTheme="minorHAnsi" w:cstheme="minorHAnsi"/>
                <w:b/>
                <w:bCs/>
                <w:color w:val="FFFFFF" w:themeColor="background1"/>
                <w:sz w:val="22"/>
                <w:szCs w:val="22"/>
              </w:rPr>
              <w:t>Top universities</w:t>
            </w:r>
            <w:bookmarkEnd w:id="26"/>
          </w:p>
        </w:tc>
        <w:tc>
          <w:tcPr>
            <w:tcW w:w="1134" w:type="dxa"/>
            <w:vAlign w:val="center"/>
          </w:tcPr>
          <w:p w14:paraId="08C0CE0D" w14:textId="2908CA46"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c>
          <w:tcPr>
            <w:tcW w:w="1134" w:type="dxa"/>
            <w:vAlign w:val="center"/>
          </w:tcPr>
          <w:p w14:paraId="67AD7CB9" w14:textId="5245779A"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c>
          <w:tcPr>
            <w:tcW w:w="1134" w:type="dxa"/>
            <w:vAlign w:val="center"/>
          </w:tcPr>
          <w:p w14:paraId="0596A14C" w14:textId="79831964"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c>
          <w:tcPr>
            <w:tcW w:w="1095" w:type="dxa"/>
            <w:vAlign w:val="center"/>
          </w:tcPr>
          <w:p w14:paraId="7EB69D26" w14:textId="57CC50C3"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c>
          <w:tcPr>
            <w:tcW w:w="1195" w:type="dxa"/>
            <w:vAlign w:val="center"/>
          </w:tcPr>
          <w:p w14:paraId="3EB7B204" w14:textId="01155989"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196" w:type="dxa"/>
            <w:vAlign w:val="center"/>
          </w:tcPr>
          <w:p w14:paraId="28351CFF" w14:textId="79771E6D"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r>
      <w:tr w:rsidR="00663380" w:rsidRPr="00F23D72" w14:paraId="273873C0" w14:textId="77777777" w:rsidTr="00BC5CF9">
        <w:trPr>
          <w:jc w:val="center"/>
        </w:trPr>
        <w:tc>
          <w:tcPr>
            <w:tcW w:w="2122" w:type="dxa"/>
            <w:shd w:val="clear" w:color="auto" w:fill="008080"/>
            <w:vAlign w:val="center"/>
          </w:tcPr>
          <w:p w14:paraId="20059806" w14:textId="0586F91D" w:rsidR="00663380" w:rsidRPr="00BC5CF9" w:rsidRDefault="00BF638E" w:rsidP="00BF638E">
            <w:pPr>
              <w:pStyle w:val="NormalWeb"/>
              <w:spacing w:before="60" w:beforeAutospacing="0" w:after="60" w:afterAutospacing="0"/>
              <w:rPr>
                <w:rFonts w:asciiTheme="minorHAnsi" w:hAnsiTheme="minorHAnsi" w:cstheme="minorHAnsi"/>
                <w:b/>
                <w:bCs/>
                <w:color w:val="FFFFFF" w:themeColor="background1"/>
                <w:sz w:val="22"/>
                <w:szCs w:val="22"/>
              </w:rPr>
            </w:pPr>
            <w:bookmarkStart w:id="27" w:name="RowTitle_Islands"/>
            <w:r w:rsidRPr="00BC5CF9">
              <w:rPr>
                <w:rFonts w:asciiTheme="minorHAnsi" w:hAnsiTheme="minorHAnsi" w:cstheme="minorHAnsi"/>
                <w:b/>
                <w:bCs/>
                <w:color w:val="FFFFFF" w:themeColor="background1"/>
                <w:sz w:val="22"/>
                <w:szCs w:val="22"/>
              </w:rPr>
              <w:t>I</w:t>
            </w:r>
            <w:r w:rsidR="00663380" w:rsidRPr="00BC5CF9">
              <w:rPr>
                <w:rFonts w:asciiTheme="minorHAnsi" w:hAnsiTheme="minorHAnsi" w:cstheme="minorHAnsi"/>
                <w:b/>
                <w:bCs/>
                <w:color w:val="FFFFFF" w:themeColor="background1"/>
                <w:sz w:val="22"/>
                <w:szCs w:val="22"/>
              </w:rPr>
              <w:t>slands</w:t>
            </w:r>
            <w:bookmarkEnd w:id="27"/>
          </w:p>
        </w:tc>
        <w:tc>
          <w:tcPr>
            <w:tcW w:w="1134" w:type="dxa"/>
            <w:vAlign w:val="center"/>
          </w:tcPr>
          <w:p w14:paraId="11A5DA80" w14:textId="0196FAA7"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134" w:type="dxa"/>
            <w:vAlign w:val="center"/>
          </w:tcPr>
          <w:p w14:paraId="22BC1C72" w14:textId="32B48CCD"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134" w:type="dxa"/>
            <w:vAlign w:val="center"/>
          </w:tcPr>
          <w:p w14:paraId="259C00E1" w14:textId="54432693"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c>
          <w:tcPr>
            <w:tcW w:w="1095" w:type="dxa"/>
            <w:vAlign w:val="center"/>
          </w:tcPr>
          <w:p w14:paraId="6CDA8BCE" w14:textId="517C33A2"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included</w:t>
            </w:r>
          </w:p>
        </w:tc>
        <w:tc>
          <w:tcPr>
            <w:tcW w:w="1195" w:type="dxa"/>
            <w:vAlign w:val="center"/>
          </w:tcPr>
          <w:p w14:paraId="17325666" w14:textId="2F2BB829"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c>
          <w:tcPr>
            <w:tcW w:w="1196" w:type="dxa"/>
            <w:vAlign w:val="center"/>
          </w:tcPr>
          <w:p w14:paraId="01294493" w14:textId="3B44BFCE" w:rsidR="00663380" w:rsidRPr="00F23D72" w:rsidRDefault="0074451C" w:rsidP="00BF638E">
            <w:pPr>
              <w:pStyle w:val="NormalWeb"/>
              <w:spacing w:before="60" w:beforeAutospacing="0" w:after="60" w:afterAutospacing="0"/>
              <w:jc w:val="center"/>
              <w:rPr>
                <w:rFonts w:asciiTheme="minorHAnsi" w:hAnsiTheme="minorHAnsi" w:cstheme="minorHAnsi"/>
                <w:sz w:val="22"/>
                <w:szCs w:val="22"/>
              </w:rPr>
            </w:pPr>
            <w:r>
              <w:rPr>
                <w:rFonts w:asciiTheme="minorHAnsi" w:hAnsiTheme="minorHAnsi" w:cstheme="minorHAnsi"/>
                <w:sz w:val="22"/>
                <w:szCs w:val="22"/>
              </w:rPr>
              <w:t>not included</w:t>
            </w:r>
          </w:p>
        </w:tc>
      </w:tr>
    </w:tbl>
    <w:p w14:paraId="2408F766" w14:textId="77777777" w:rsidR="00330887" w:rsidRPr="00974377" w:rsidRDefault="00330887" w:rsidP="00330887">
      <w:pPr>
        <w:pStyle w:val="m6744904171630683777msolistparagraph"/>
        <w:spacing w:before="0" w:beforeAutospacing="0" w:after="120" w:afterAutospacing="0" w:line="281" w:lineRule="auto"/>
        <w:jc w:val="both"/>
        <w:rPr>
          <w:rFonts w:asciiTheme="majorHAnsi" w:hAnsiTheme="majorHAnsi" w:cstheme="majorHAnsi"/>
          <w:sz w:val="22"/>
          <w:szCs w:val="22"/>
        </w:rPr>
      </w:pPr>
    </w:p>
    <w:p w14:paraId="37044433" w14:textId="537BF862" w:rsidR="00663380" w:rsidRPr="00974377" w:rsidRDefault="00663380" w:rsidP="004A79D6">
      <w:pPr>
        <w:pStyle w:val="m6744904171630683777msolistparagraph"/>
        <w:spacing w:before="0" w:beforeAutospacing="0" w:after="120" w:afterAutospacing="0" w:line="281" w:lineRule="auto"/>
        <w:rPr>
          <w:rFonts w:asciiTheme="majorHAnsi" w:hAnsiTheme="majorHAnsi" w:cstheme="majorHAnsi"/>
          <w:sz w:val="22"/>
          <w:szCs w:val="22"/>
        </w:rPr>
      </w:pPr>
      <w:r w:rsidRPr="00974377">
        <w:rPr>
          <w:rFonts w:asciiTheme="majorHAnsi" w:hAnsiTheme="majorHAnsi" w:cstheme="majorHAnsi"/>
          <w:sz w:val="22"/>
          <w:szCs w:val="22"/>
        </w:rPr>
        <w:t>Based on this selection of provinces, it is suggested the program targets 25 districts in total: five districts per province</w:t>
      </w:r>
      <w:r w:rsidR="009217CD" w:rsidRPr="00974377">
        <w:rPr>
          <w:rFonts w:asciiTheme="majorHAnsi" w:hAnsiTheme="majorHAnsi" w:cstheme="majorHAnsi"/>
          <w:sz w:val="22"/>
          <w:szCs w:val="22"/>
        </w:rPr>
        <w:t xml:space="preserve"> (not </w:t>
      </w:r>
      <w:r w:rsidR="00D44EA4">
        <w:rPr>
          <w:rFonts w:asciiTheme="majorHAnsi" w:hAnsiTheme="majorHAnsi" w:cstheme="majorHAnsi"/>
          <w:sz w:val="22"/>
          <w:szCs w:val="22"/>
        </w:rPr>
        <w:t>necessarily</w:t>
      </w:r>
      <w:r w:rsidR="00F23D72">
        <w:rPr>
          <w:rFonts w:asciiTheme="majorHAnsi" w:hAnsiTheme="majorHAnsi" w:cstheme="majorHAnsi"/>
          <w:sz w:val="22"/>
          <w:szCs w:val="22"/>
        </w:rPr>
        <w:t xml:space="preserve"> </w:t>
      </w:r>
      <w:r w:rsidR="009217CD" w:rsidRPr="00974377">
        <w:rPr>
          <w:rFonts w:asciiTheme="majorHAnsi" w:hAnsiTheme="majorHAnsi" w:cstheme="majorHAnsi"/>
          <w:sz w:val="22"/>
          <w:szCs w:val="22"/>
        </w:rPr>
        <w:t>current</w:t>
      </w:r>
      <w:r w:rsidR="00D44EA4">
        <w:rPr>
          <w:rFonts w:asciiTheme="majorHAnsi" w:hAnsiTheme="majorHAnsi" w:cstheme="majorHAnsi"/>
          <w:sz w:val="22"/>
          <w:szCs w:val="22"/>
        </w:rPr>
        <w:t xml:space="preserve"> partner districts</w:t>
      </w:r>
      <w:r w:rsidR="009217CD" w:rsidRPr="00974377">
        <w:rPr>
          <w:rFonts w:asciiTheme="majorHAnsi" w:hAnsiTheme="majorHAnsi" w:cstheme="majorHAnsi"/>
          <w:sz w:val="22"/>
          <w:szCs w:val="22"/>
        </w:rPr>
        <w:t>)</w:t>
      </w:r>
      <w:r w:rsidRPr="00974377">
        <w:rPr>
          <w:rFonts w:asciiTheme="majorHAnsi" w:hAnsiTheme="majorHAnsi" w:cstheme="majorHAnsi"/>
          <w:sz w:val="22"/>
          <w:szCs w:val="22"/>
        </w:rPr>
        <w:t xml:space="preserve">, except for the East and West Java provinces across both of which five districts are selected together. The special treatment of East and West Java is justified by the fact that all Javanese provinces are generally performing much higher than the rest of Indonesia, and therefore do not require (nor desire) the same level of external support. However, it is important to keep </w:t>
      </w:r>
      <w:r w:rsidRPr="00974377">
        <w:rPr>
          <w:rFonts w:asciiTheme="majorHAnsi" w:hAnsiTheme="majorHAnsi" w:cstheme="majorHAnsi"/>
          <w:sz w:val="22"/>
          <w:szCs w:val="22"/>
        </w:rPr>
        <w:lastRenderedPageBreak/>
        <w:t>these two provinces in the selection for several reasons: 1) they house two influential universities – U</w:t>
      </w:r>
      <w:r w:rsidR="00292128">
        <w:rPr>
          <w:rFonts w:asciiTheme="majorHAnsi" w:hAnsiTheme="majorHAnsi" w:cstheme="majorHAnsi"/>
          <w:sz w:val="22"/>
          <w:szCs w:val="22"/>
        </w:rPr>
        <w:t xml:space="preserve">niversitas </w:t>
      </w:r>
      <w:r w:rsidRPr="00974377">
        <w:rPr>
          <w:rFonts w:asciiTheme="majorHAnsi" w:hAnsiTheme="majorHAnsi" w:cstheme="majorHAnsi"/>
          <w:sz w:val="22"/>
          <w:szCs w:val="22"/>
        </w:rPr>
        <w:t>P</w:t>
      </w:r>
      <w:r w:rsidR="00292128">
        <w:rPr>
          <w:rFonts w:asciiTheme="majorHAnsi" w:hAnsiTheme="majorHAnsi" w:cstheme="majorHAnsi"/>
          <w:sz w:val="22"/>
          <w:szCs w:val="22"/>
        </w:rPr>
        <w:t>endid</w:t>
      </w:r>
      <w:r w:rsidR="00512ECD">
        <w:rPr>
          <w:rFonts w:asciiTheme="majorHAnsi" w:hAnsiTheme="majorHAnsi" w:cstheme="majorHAnsi"/>
          <w:sz w:val="22"/>
          <w:szCs w:val="22"/>
        </w:rPr>
        <w:t>ikan Indonesia</w:t>
      </w:r>
      <w:r w:rsidRPr="00974377">
        <w:rPr>
          <w:rFonts w:asciiTheme="majorHAnsi" w:hAnsiTheme="majorHAnsi" w:cstheme="majorHAnsi"/>
          <w:sz w:val="22"/>
          <w:szCs w:val="22"/>
        </w:rPr>
        <w:t xml:space="preserve"> </w:t>
      </w:r>
      <w:r w:rsidR="00C0135D">
        <w:rPr>
          <w:rFonts w:asciiTheme="majorHAnsi" w:hAnsiTheme="majorHAnsi" w:cstheme="majorHAnsi"/>
          <w:sz w:val="22"/>
          <w:szCs w:val="22"/>
        </w:rPr>
        <w:t xml:space="preserve">or UPI </w:t>
      </w:r>
      <w:r w:rsidRPr="00974377">
        <w:rPr>
          <w:rFonts w:asciiTheme="majorHAnsi" w:hAnsiTheme="majorHAnsi" w:cstheme="majorHAnsi"/>
          <w:sz w:val="22"/>
          <w:szCs w:val="22"/>
        </w:rPr>
        <w:t>(West Java) and U</w:t>
      </w:r>
      <w:r w:rsidR="00EC0752">
        <w:rPr>
          <w:rFonts w:asciiTheme="majorHAnsi" w:hAnsiTheme="majorHAnsi" w:cstheme="majorHAnsi"/>
          <w:sz w:val="22"/>
          <w:szCs w:val="22"/>
        </w:rPr>
        <w:t>niversitas Negeri Surabaya or U</w:t>
      </w:r>
      <w:r w:rsidRPr="00974377">
        <w:rPr>
          <w:rFonts w:asciiTheme="majorHAnsi" w:hAnsiTheme="majorHAnsi" w:cstheme="majorHAnsi"/>
          <w:sz w:val="22"/>
          <w:szCs w:val="22"/>
        </w:rPr>
        <w:t>NESA (East Java) that could offer strong catalytic support for ecosystems development, 2) the widespread presence of madrasah and the current INOVASI work with Muhammadiyah and</w:t>
      </w:r>
      <w:r w:rsidR="009217CD" w:rsidRPr="00974377">
        <w:rPr>
          <w:rFonts w:asciiTheme="majorHAnsi" w:hAnsiTheme="majorHAnsi" w:cstheme="majorHAnsi"/>
          <w:sz w:val="22"/>
          <w:szCs w:val="22"/>
        </w:rPr>
        <w:t xml:space="preserve"> </w:t>
      </w:r>
      <w:r w:rsidRPr="00974377">
        <w:rPr>
          <w:rFonts w:asciiTheme="majorHAnsi" w:hAnsiTheme="majorHAnsi" w:cstheme="majorHAnsi"/>
          <w:sz w:val="22"/>
          <w:szCs w:val="22"/>
        </w:rPr>
        <w:t>NU schools in East Java offers an opportunity to infuse the INOVASI approach more widely in their school network</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and 3) the INOVASI work to date with UMSIDA on gender-responsive schooling is an important achievement and need to be continued for expansion to other districts/provinces.</w:t>
      </w:r>
    </w:p>
    <w:p w14:paraId="39B92541" w14:textId="0D9C5758" w:rsidR="00663380" w:rsidRPr="00974377" w:rsidRDefault="00DB5F3F" w:rsidP="004A79D6">
      <w:pPr>
        <w:spacing w:after="120" w:line="281" w:lineRule="auto"/>
        <w:rPr>
          <w:rFonts w:asciiTheme="majorHAnsi" w:hAnsiTheme="majorHAnsi" w:cstheme="majorHAnsi"/>
          <w:sz w:val="22"/>
          <w:szCs w:val="22"/>
        </w:rPr>
      </w:pPr>
      <w:r w:rsidRPr="00D615F4">
        <w:rPr>
          <w:rFonts w:asciiTheme="majorHAnsi" w:hAnsiTheme="majorHAnsi" w:cstheme="majorHAnsi"/>
          <w:sz w:val="22"/>
          <w:szCs w:val="22"/>
        </w:rPr>
        <w:t xml:space="preserve">INOVASI Phase 3 </w:t>
      </w:r>
      <w:r w:rsidR="009921D9">
        <w:rPr>
          <w:rFonts w:asciiTheme="majorHAnsi" w:hAnsiTheme="majorHAnsi" w:cstheme="majorHAnsi"/>
          <w:sz w:val="22"/>
          <w:szCs w:val="22"/>
        </w:rPr>
        <w:t>has</w:t>
      </w:r>
      <w:r w:rsidRPr="00D615F4">
        <w:rPr>
          <w:rFonts w:asciiTheme="majorHAnsi" w:hAnsiTheme="majorHAnsi" w:cstheme="majorHAnsi"/>
          <w:sz w:val="22"/>
          <w:szCs w:val="22"/>
        </w:rPr>
        <w:t xml:space="preserve"> an opportunity to </w:t>
      </w:r>
      <w:r w:rsidR="009921D9">
        <w:rPr>
          <w:rFonts w:asciiTheme="majorHAnsi" w:hAnsiTheme="majorHAnsi" w:cstheme="majorHAnsi"/>
          <w:sz w:val="22"/>
          <w:szCs w:val="22"/>
        </w:rPr>
        <w:t>produce valuable insights on</w:t>
      </w:r>
      <w:r w:rsidRPr="00D615F4">
        <w:rPr>
          <w:rFonts w:asciiTheme="majorHAnsi" w:hAnsiTheme="majorHAnsi" w:cstheme="majorHAnsi"/>
          <w:sz w:val="22"/>
          <w:szCs w:val="22"/>
        </w:rPr>
        <w:t xml:space="preserve"> the implementation of education reforms across districts with geographic and cultural differences. </w:t>
      </w:r>
      <w:r w:rsidR="00663380" w:rsidRPr="00974377">
        <w:rPr>
          <w:rFonts w:asciiTheme="majorHAnsi" w:hAnsiTheme="majorHAnsi" w:cstheme="majorHAnsi"/>
          <w:sz w:val="22"/>
          <w:szCs w:val="22"/>
        </w:rPr>
        <w:t xml:space="preserve">The list of target districts will be agreed with </w:t>
      </w:r>
      <w:proofErr w:type="spellStart"/>
      <w:r w:rsidR="00663380" w:rsidRPr="00974377">
        <w:rPr>
          <w:rFonts w:asciiTheme="majorHAnsi" w:hAnsiTheme="majorHAnsi" w:cstheme="majorHAnsi"/>
          <w:sz w:val="22"/>
          <w:szCs w:val="22"/>
        </w:rPr>
        <w:t>MoECRT</w:t>
      </w:r>
      <w:proofErr w:type="spellEnd"/>
      <w:r w:rsidR="00663380" w:rsidRPr="00974377">
        <w:rPr>
          <w:rFonts w:asciiTheme="majorHAnsi" w:hAnsiTheme="majorHAnsi" w:cstheme="majorHAnsi"/>
          <w:sz w:val="22"/>
          <w:szCs w:val="22"/>
        </w:rPr>
        <w:t xml:space="preserve">, prior to being endorsed by all NSC members. </w:t>
      </w:r>
      <w:r>
        <w:rPr>
          <w:rFonts w:asciiTheme="majorHAnsi" w:hAnsiTheme="majorHAnsi" w:cstheme="majorHAnsi"/>
          <w:sz w:val="22"/>
          <w:szCs w:val="22"/>
        </w:rPr>
        <w:t>The</w:t>
      </w:r>
      <w:r w:rsidR="00663380" w:rsidRPr="00974377">
        <w:rPr>
          <w:rFonts w:asciiTheme="majorHAnsi" w:hAnsiTheme="majorHAnsi" w:cstheme="majorHAnsi"/>
          <w:sz w:val="22"/>
          <w:szCs w:val="22"/>
        </w:rPr>
        <w:t xml:space="preserve"> selection </w:t>
      </w:r>
      <w:r>
        <w:rPr>
          <w:rFonts w:asciiTheme="majorHAnsi" w:hAnsiTheme="majorHAnsi" w:cstheme="majorHAnsi"/>
          <w:sz w:val="22"/>
          <w:szCs w:val="22"/>
        </w:rPr>
        <w:t xml:space="preserve">of the 25 </w:t>
      </w:r>
      <w:r w:rsidRPr="00974377">
        <w:rPr>
          <w:rFonts w:asciiTheme="majorHAnsi" w:hAnsiTheme="majorHAnsi" w:cstheme="majorHAnsi"/>
          <w:sz w:val="22"/>
          <w:szCs w:val="22"/>
        </w:rPr>
        <w:t xml:space="preserve">districts </w:t>
      </w:r>
      <w:r w:rsidR="00663380" w:rsidRPr="00974377">
        <w:rPr>
          <w:rFonts w:asciiTheme="majorHAnsi" w:hAnsiTheme="majorHAnsi" w:cstheme="majorHAnsi"/>
          <w:sz w:val="22"/>
          <w:szCs w:val="22"/>
        </w:rPr>
        <w:t xml:space="preserve">will </w:t>
      </w:r>
      <w:r w:rsidR="009707E9" w:rsidRPr="00D615F4">
        <w:rPr>
          <w:rFonts w:asciiTheme="majorHAnsi" w:hAnsiTheme="majorHAnsi" w:cstheme="majorHAnsi"/>
          <w:sz w:val="22"/>
          <w:szCs w:val="22"/>
        </w:rPr>
        <w:t xml:space="preserve">consider representativeness across the provinces on key development, education, and poverty </w:t>
      </w:r>
      <w:r>
        <w:rPr>
          <w:rFonts w:asciiTheme="majorHAnsi" w:hAnsiTheme="majorHAnsi" w:cstheme="majorHAnsi"/>
          <w:sz w:val="22"/>
          <w:szCs w:val="22"/>
        </w:rPr>
        <w:t>metrics</w:t>
      </w:r>
      <w:r w:rsidR="00D3210A">
        <w:rPr>
          <w:rFonts w:asciiTheme="majorHAnsi" w:hAnsiTheme="majorHAnsi" w:cstheme="majorHAnsi"/>
          <w:sz w:val="22"/>
          <w:szCs w:val="22"/>
        </w:rPr>
        <w:t xml:space="preserve">, as well as </w:t>
      </w:r>
      <w:r w:rsidR="00F56B92">
        <w:rPr>
          <w:rFonts w:asciiTheme="majorHAnsi" w:hAnsiTheme="majorHAnsi" w:cstheme="majorHAnsi"/>
          <w:sz w:val="22"/>
          <w:szCs w:val="22"/>
        </w:rPr>
        <w:t>the</w:t>
      </w:r>
      <w:r w:rsidR="00D3210A">
        <w:rPr>
          <w:rFonts w:asciiTheme="majorHAnsi" w:hAnsiTheme="majorHAnsi" w:cstheme="majorHAnsi"/>
          <w:sz w:val="22"/>
          <w:szCs w:val="22"/>
        </w:rPr>
        <w:t xml:space="preserve"> feasibility and resource</w:t>
      </w:r>
      <w:r w:rsidR="00BC4C81">
        <w:rPr>
          <w:rFonts w:asciiTheme="majorHAnsi" w:hAnsiTheme="majorHAnsi" w:cstheme="majorHAnsi"/>
          <w:sz w:val="22"/>
          <w:szCs w:val="22"/>
        </w:rPr>
        <w:t>s</w:t>
      </w:r>
      <w:r w:rsidR="00D3210A">
        <w:rPr>
          <w:rFonts w:asciiTheme="majorHAnsi" w:hAnsiTheme="majorHAnsi" w:cstheme="majorHAnsi"/>
          <w:sz w:val="22"/>
          <w:szCs w:val="22"/>
        </w:rPr>
        <w:t xml:space="preserve"> within available budget</w:t>
      </w:r>
      <w:r>
        <w:rPr>
          <w:rFonts w:asciiTheme="majorHAnsi" w:hAnsiTheme="majorHAnsi" w:cstheme="majorHAnsi"/>
          <w:sz w:val="22"/>
          <w:szCs w:val="22"/>
        </w:rPr>
        <w:t xml:space="preserve">. </w:t>
      </w:r>
      <w:r w:rsidR="00F56B92">
        <w:rPr>
          <w:rFonts w:asciiTheme="majorHAnsi" w:hAnsiTheme="majorHAnsi" w:cstheme="majorHAnsi"/>
          <w:sz w:val="22"/>
          <w:szCs w:val="22"/>
        </w:rPr>
        <w:t xml:space="preserve">A set of </w:t>
      </w:r>
      <w:r w:rsidR="00210ACA">
        <w:rPr>
          <w:rFonts w:asciiTheme="majorHAnsi" w:hAnsiTheme="majorHAnsi" w:cstheme="majorHAnsi"/>
          <w:sz w:val="22"/>
          <w:szCs w:val="22"/>
        </w:rPr>
        <w:t>criteria</w:t>
      </w:r>
      <w:r w:rsidR="00F56B92">
        <w:rPr>
          <w:rFonts w:asciiTheme="majorHAnsi" w:hAnsiTheme="majorHAnsi" w:cstheme="majorHAnsi"/>
          <w:sz w:val="22"/>
          <w:szCs w:val="22"/>
        </w:rPr>
        <w:t xml:space="preserve"> </w:t>
      </w:r>
      <w:r>
        <w:rPr>
          <w:rFonts w:asciiTheme="majorHAnsi" w:hAnsiTheme="majorHAnsi" w:cstheme="majorHAnsi"/>
          <w:sz w:val="22"/>
          <w:szCs w:val="22"/>
        </w:rPr>
        <w:t xml:space="preserve">will </w:t>
      </w:r>
      <w:r w:rsidR="00F56B92">
        <w:rPr>
          <w:rFonts w:asciiTheme="majorHAnsi" w:hAnsiTheme="majorHAnsi" w:cstheme="majorHAnsi"/>
          <w:sz w:val="22"/>
          <w:szCs w:val="22"/>
        </w:rPr>
        <w:t xml:space="preserve">be developed jointly with </w:t>
      </w:r>
      <w:proofErr w:type="spellStart"/>
      <w:r w:rsidR="00F56B92">
        <w:rPr>
          <w:rFonts w:asciiTheme="majorHAnsi" w:hAnsiTheme="majorHAnsi" w:cstheme="majorHAnsi"/>
          <w:sz w:val="22"/>
          <w:szCs w:val="22"/>
        </w:rPr>
        <w:t>MoECRT</w:t>
      </w:r>
      <w:proofErr w:type="spellEnd"/>
      <w:r w:rsidR="00F56B92">
        <w:rPr>
          <w:rFonts w:asciiTheme="majorHAnsi" w:hAnsiTheme="majorHAnsi" w:cstheme="majorHAnsi"/>
          <w:sz w:val="22"/>
          <w:szCs w:val="22"/>
        </w:rPr>
        <w:t xml:space="preserve"> and will </w:t>
      </w:r>
      <w:r w:rsidR="00663380" w:rsidRPr="00974377">
        <w:rPr>
          <w:rFonts w:asciiTheme="majorHAnsi" w:hAnsiTheme="majorHAnsi" w:cstheme="majorHAnsi"/>
          <w:sz w:val="22"/>
          <w:szCs w:val="22"/>
        </w:rPr>
        <w:t xml:space="preserve">necessarily include a high variance of education performance (learning and participation) within provinces and </w:t>
      </w:r>
      <w:r w:rsidR="00F56B92">
        <w:rPr>
          <w:rFonts w:asciiTheme="majorHAnsi" w:hAnsiTheme="majorHAnsi" w:cstheme="majorHAnsi"/>
          <w:sz w:val="22"/>
          <w:szCs w:val="22"/>
        </w:rPr>
        <w:t xml:space="preserve">the presence of </w:t>
      </w:r>
      <w:r w:rsidR="00663380" w:rsidRPr="00974377">
        <w:rPr>
          <w:rFonts w:asciiTheme="majorHAnsi" w:hAnsiTheme="majorHAnsi" w:cstheme="majorHAnsi"/>
          <w:sz w:val="22"/>
          <w:szCs w:val="22"/>
        </w:rPr>
        <w:t>reform-minded heads of district (or at least the display of some reform readiness</w:t>
      </w:r>
      <w:r w:rsidR="00F56B92">
        <w:rPr>
          <w:rFonts w:asciiTheme="majorHAnsi" w:hAnsiTheme="majorHAnsi" w:cstheme="majorHAnsi"/>
          <w:sz w:val="22"/>
          <w:szCs w:val="22"/>
        </w:rPr>
        <w:t>)</w:t>
      </w:r>
      <w:r w:rsidR="00DA5B9E">
        <w:rPr>
          <w:rFonts w:asciiTheme="majorHAnsi" w:hAnsiTheme="majorHAnsi" w:cstheme="majorHAnsi"/>
          <w:sz w:val="22"/>
          <w:szCs w:val="22"/>
        </w:rPr>
        <w:t xml:space="preserve">, possibly </w:t>
      </w:r>
      <w:r w:rsidR="00F56B92">
        <w:rPr>
          <w:rFonts w:asciiTheme="majorHAnsi" w:hAnsiTheme="majorHAnsi" w:cstheme="majorHAnsi"/>
          <w:sz w:val="22"/>
          <w:szCs w:val="22"/>
        </w:rPr>
        <w:t xml:space="preserve">assessed </w:t>
      </w:r>
      <w:proofErr w:type="gramStart"/>
      <w:r w:rsidR="00F56B92">
        <w:rPr>
          <w:rFonts w:asciiTheme="majorHAnsi" w:hAnsiTheme="majorHAnsi" w:cstheme="majorHAnsi"/>
          <w:sz w:val="22"/>
          <w:szCs w:val="22"/>
        </w:rPr>
        <w:t>on the basis of</w:t>
      </w:r>
      <w:proofErr w:type="gramEnd"/>
      <w:r w:rsidR="00F56B92">
        <w:rPr>
          <w:rFonts w:asciiTheme="majorHAnsi" w:hAnsiTheme="majorHAnsi" w:cstheme="majorHAnsi"/>
          <w:sz w:val="22"/>
          <w:szCs w:val="22"/>
        </w:rPr>
        <w:t xml:space="preserve"> </w:t>
      </w:r>
      <w:r w:rsidR="00DA5B9E">
        <w:rPr>
          <w:rFonts w:asciiTheme="majorHAnsi" w:hAnsiTheme="majorHAnsi" w:cstheme="majorHAnsi"/>
          <w:sz w:val="22"/>
          <w:szCs w:val="22"/>
        </w:rPr>
        <w:t>the</w:t>
      </w:r>
      <w:r w:rsidR="00DA5B9E" w:rsidRPr="00974377">
        <w:rPr>
          <w:rFonts w:asciiTheme="majorHAnsi" w:hAnsiTheme="majorHAnsi" w:cstheme="majorHAnsi"/>
          <w:sz w:val="22"/>
          <w:szCs w:val="22"/>
        </w:rPr>
        <w:t xml:space="preserve"> authority, acceptance and ability (AAA) framework</w:t>
      </w:r>
      <w:r w:rsidR="00663380" w:rsidRPr="00974377">
        <w:rPr>
          <w:rFonts w:asciiTheme="majorHAnsi" w:hAnsiTheme="majorHAnsi" w:cstheme="majorHAnsi"/>
          <w:sz w:val="22"/>
          <w:szCs w:val="22"/>
        </w:rPr>
        <w:t>. The former criterion speaks to the learning rationale of the program’s approach and the need to test it under different circumstances. The later criterion reflects the critical role of district authorities in activating and sustaining the district ecosystem model. The program targeting strategy will be reviewed during the MTR process, to ensure it continues to be fit for purpose. The districts</w:t>
      </w:r>
      <w:r w:rsidR="00077DEB">
        <w:rPr>
          <w:rFonts w:asciiTheme="majorHAnsi" w:hAnsiTheme="majorHAnsi" w:cstheme="majorHAnsi"/>
          <w:sz w:val="22"/>
          <w:szCs w:val="22"/>
        </w:rPr>
        <w:t>’</w:t>
      </w:r>
      <w:r w:rsidR="00663380" w:rsidRPr="00974377">
        <w:rPr>
          <w:rFonts w:asciiTheme="majorHAnsi" w:hAnsiTheme="majorHAnsi" w:cstheme="majorHAnsi"/>
          <w:sz w:val="22"/>
          <w:szCs w:val="22"/>
        </w:rPr>
        <w:t xml:space="preserve"> selection will require an analysis of </w:t>
      </w:r>
      <w:proofErr w:type="spellStart"/>
      <w:r w:rsidR="00663380" w:rsidRPr="00974377">
        <w:rPr>
          <w:rFonts w:asciiTheme="majorHAnsi" w:hAnsiTheme="majorHAnsi" w:cstheme="majorHAnsi"/>
          <w:sz w:val="22"/>
          <w:szCs w:val="22"/>
        </w:rPr>
        <w:t>MoECRT</w:t>
      </w:r>
      <w:proofErr w:type="spellEnd"/>
      <w:r w:rsidR="00663380" w:rsidRPr="00974377">
        <w:rPr>
          <w:rFonts w:asciiTheme="majorHAnsi" w:hAnsiTheme="majorHAnsi" w:cstheme="majorHAnsi"/>
          <w:sz w:val="22"/>
          <w:szCs w:val="22"/>
        </w:rPr>
        <w:t xml:space="preserve"> </w:t>
      </w:r>
      <w:proofErr w:type="spellStart"/>
      <w:r w:rsidR="00663380" w:rsidRPr="00974377">
        <w:rPr>
          <w:rFonts w:asciiTheme="majorHAnsi" w:hAnsiTheme="majorHAnsi" w:cstheme="majorHAnsi"/>
          <w:i/>
          <w:iCs/>
          <w:sz w:val="22"/>
          <w:szCs w:val="22"/>
        </w:rPr>
        <w:t>Rapor</w:t>
      </w:r>
      <w:proofErr w:type="spellEnd"/>
      <w:r w:rsidR="00663380" w:rsidRPr="00974377">
        <w:rPr>
          <w:rFonts w:asciiTheme="majorHAnsi" w:hAnsiTheme="majorHAnsi" w:cstheme="majorHAnsi"/>
          <w:i/>
          <w:iCs/>
          <w:sz w:val="22"/>
          <w:szCs w:val="22"/>
        </w:rPr>
        <w:t xml:space="preserve"> Pendidikan</w:t>
      </w:r>
      <w:r w:rsidR="00663380" w:rsidRPr="00974377">
        <w:rPr>
          <w:rFonts w:asciiTheme="majorHAnsi" w:hAnsiTheme="majorHAnsi" w:cstheme="majorHAnsi"/>
          <w:sz w:val="22"/>
          <w:szCs w:val="22"/>
        </w:rPr>
        <w:t xml:space="preserve"> data across the selected provinces – this analysis has already been discussed with </w:t>
      </w:r>
      <w:proofErr w:type="spellStart"/>
      <w:r w:rsidR="00663380" w:rsidRPr="00974377">
        <w:rPr>
          <w:rFonts w:asciiTheme="majorHAnsi" w:hAnsiTheme="majorHAnsi" w:cstheme="majorHAnsi"/>
          <w:sz w:val="22"/>
          <w:szCs w:val="22"/>
        </w:rPr>
        <w:t>MoECRT</w:t>
      </w:r>
      <w:proofErr w:type="spellEnd"/>
      <w:r w:rsidR="00663380" w:rsidRPr="00974377">
        <w:rPr>
          <w:rFonts w:asciiTheme="majorHAnsi" w:hAnsiTheme="majorHAnsi" w:cstheme="majorHAnsi"/>
          <w:sz w:val="22"/>
          <w:szCs w:val="22"/>
        </w:rPr>
        <w:t xml:space="preserve"> and could be jointly produced by </w:t>
      </w:r>
      <w:proofErr w:type="spellStart"/>
      <w:r w:rsidR="00663380" w:rsidRPr="00974377">
        <w:rPr>
          <w:rFonts w:asciiTheme="majorHAnsi" w:hAnsiTheme="majorHAnsi" w:cstheme="majorHAnsi"/>
          <w:sz w:val="22"/>
          <w:szCs w:val="22"/>
        </w:rPr>
        <w:t>MoECRT</w:t>
      </w:r>
      <w:proofErr w:type="spellEnd"/>
      <w:r w:rsidR="00663380" w:rsidRPr="00974377">
        <w:rPr>
          <w:rFonts w:asciiTheme="majorHAnsi" w:hAnsiTheme="majorHAnsi" w:cstheme="majorHAnsi"/>
          <w:sz w:val="22"/>
          <w:szCs w:val="22"/>
        </w:rPr>
        <w:t xml:space="preserve"> and the implementation team.</w:t>
      </w:r>
    </w:p>
    <w:p w14:paraId="314DB5FA" w14:textId="3A2841C5" w:rsidR="00C13EC5" w:rsidRDefault="00663380" w:rsidP="004A79D6">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As mentioned above, districts that are within selected provinces but not targeted may still receive INOVASI Phase 3 support through four of the five programmatic strategies. They will also be invited to attend relevant meetings of the program Provincial Steering Committee (PSC) to facilitate their understanding and encourage their uptake of the district ecosystemic approach. Existing target districts under Phase 2 that will not be retained in Phase 3 will be offered a phasing out strategy in the first implementation year (2024), with priority access to support under the four </w:t>
      </w:r>
      <w:r w:rsidR="00BC4C81">
        <w:rPr>
          <w:rFonts w:asciiTheme="majorHAnsi" w:hAnsiTheme="majorHAnsi" w:cstheme="majorHAnsi"/>
          <w:sz w:val="22"/>
          <w:szCs w:val="22"/>
        </w:rPr>
        <w:t xml:space="preserve">other </w:t>
      </w:r>
      <w:r w:rsidRPr="00974377">
        <w:rPr>
          <w:rFonts w:asciiTheme="majorHAnsi" w:hAnsiTheme="majorHAnsi" w:cstheme="majorHAnsi"/>
          <w:sz w:val="22"/>
          <w:szCs w:val="22"/>
        </w:rPr>
        <w:t>relevant strategies.</w:t>
      </w:r>
    </w:p>
    <w:p w14:paraId="7255CF5B" w14:textId="77777777" w:rsidR="00377325" w:rsidRPr="00974377" w:rsidRDefault="00377325" w:rsidP="004A79D6">
      <w:pPr>
        <w:spacing w:after="120" w:line="281" w:lineRule="auto"/>
        <w:rPr>
          <w:rFonts w:asciiTheme="majorHAnsi" w:hAnsiTheme="majorHAnsi" w:cstheme="majorHAnsi"/>
          <w:sz w:val="22"/>
          <w:szCs w:val="22"/>
        </w:rPr>
      </w:pPr>
    </w:p>
    <w:p w14:paraId="14C1ADD2" w14:textId="34EDC9B9" w:rsidR="009E6782" w:rsidRPr="00597B27" w:rsidRDefault="00A32858" w:rsidP="008D1844">
      <w:pPr>
        <w:pStyle w:val="Heading1"/>
        <w:numPr>
          <w:ilvl w:val="0"/>
          <w:numId w:val="59"/>
        </w:numPr>
        <w:rPr>
          <w:sz w:val="28"/>
          <w:u w:val="single"/>
        </w:rPr>
      </w:pPr>
      <w:r w:rsidRPr="00597B27">
        <w:rPr>
          <w:sz w:val="28"/>
          <w:u w:val="single"/>
        </w:rPr>
        <w:t>Implementation Arrangements (How will DFAT engage?)</w:t>
      </w:r>
    </w:p>
    <w:p w14:paraId="627250C9" w14:textId="01D8CBA2" w:rsidR="00102F6E" w:rsidRPr="00377325" w:rsidRDefault="00377325" w:rsidP="00F139B9">
      <w:pPr>
        <w:pStyle w:val="Heading2"/>
        <w:rPr>
          <w:b/>
          <w:bCs/>
          <w:sz w:val="22"/>
          <w:szCs w:val="22"/>
        </w:rPr>
      </w:pPr>
      <w:r w:rsidRPr="00377325">
        <w:rPr>
          <w:b/>
          <w:bCs/>
          <w:caps w:val="0"/>
          <w:sz w:val="22"/>
          <w:szCs w:val="22"/>
        </w:rPr>
        <w:t>Delivery Model</w:t>
      </w:r>
    </w:p>
    <w:p w14:paraId="60E8EA53" w14:textId="55F49860" w:rsidR="00102F6E" w:rsidRPr="00974377" w:rsidRDefault="00102F6E" w:rsidP="00ED50EB">
      <w:pPr>
        <w:spacing w:after="120" w:line="281" w:lineRule="auto"/>
        <w:rPr>
          <w:rFonts w:asciiTheme="majorHAnsi" w:eastAsia="Calibri" w:hAnsiTheme="majorHAnsi" w:cstheme="majorHAnsi"/>
          <w:sz w:val="22"/>
          <w:szCs w:val="22"/>
        </w:rPr>
      </w:pPr>
      <w:r w:rsidRPr="00974377">
        <w:rPr>
          <w:rFonts w:asciiTheme="majorHAnsi" w:eastAsia="Calibri" w:hAnsiTheme="majorHAnsi" w:cstheme="majorHAnsi"/>
          <w:sz w:val="22"/>
          <w:szCs w:val="22"/>
        </w:rPr>
        <w:t xml:space="preserve">Based on the performance of the current INOVASI </w:t>
      </w:r>
      <w:r w:rsidRPr="009C11F1">
        <w:rPr>
          <w:rFonts w:asciiTheme="majorHAnsi" w:eastAsia="Calibri" w:hAnsiTheme="majorHAnsi" w:cstheme="majorHAnsi"/>
          <w:sz w:val="22"/>
          <w:szCs w:val="22"/>
        </w:rPr>
        <w:t xml:space="preserve">model, Phase 3 will continue to be </w:t>
      </w:r>
      <w:r w:rsidR="00DB727A" w:rsidRPr="009C11F1">
        <w:rPr>
          <w:rFonts w:asciiTheme="majorHAnsi" w:eastAsia="Calibri" w:hAnsiTheme="majorHAnsi" w:cstheme="majorHAnsi"/>
          <w:sz w:val="22"/>
          <w:szCs w:val="22"/>
        </w:rPr>
        <w:t>implemented</w:t>
      </w:r>
      <w:r w:rsidRPr="009C11F1">
        <w:rPr>
          <w:rFonts w:asciiTheme="majorHAnsi" w:eastAsia="Calibri" w:hAnsiTheme="majorHAnsi" w:cstheme="majorHAnsi"/>
          <w:sz w:val="22"/>
          <w:szCs w:val="22"/>
        </w:rPr>
        <w:t xml:space="preserve"> by a Managing Contractor (MC) who will </w:t>
      </w:r>
      <w:r w:rsidR="00DB727A" w:rsidRPr="009C11F1">
        <w:rPr>
          <w:rFonts w:asciiTheme="majorHAnsi" w:eastAsia="Calibri" w:hAnsiTheme="majorHAnsi" w:cstheme="majorHAnsi"/>
          <w:sz w:val="22"/>
          <w:szCs w:val="22"/>
        </w:rPr>
        <w:t xml:space="preserve">deliver and </w:t>
      </w:r>
      <w:r w:rsidRPr="009C11F1">
        <w:rPr>
          <w:rFonts w:asciiTheme="majorHAnsi" w:eastAsia="Calibri" w:hAnsiTheme="majorHAnsi" w:cstheme="majorHAnsi"/>
          <w:sz w:val="22"/>
          <w:szCs w:val="22"/>
        </w:rPr>
        <w:t xml:space="preserve">coordinate </w:t>
      </w:r>
      <w:r w:rsidR="00DB727A" w:rsidRPr="009C11F1">
        <w:rPr>
          <w:rFonts w:asciiTheme="majorHAnsi" w:eastAsia="Calibri" w:hAnsiTheme="majorHAnsi" w:cstheme="majorHAnsi"/>
          <w:sz w:val="22"/>
          <w:szCs w:val="22"/>
        </w:rPr>
        <w:t xml:space="preserve">all aspects of </w:t>
      </w:r>
      <w:r w:rsidRPr="009C11F1">
        <w:rPr>
          <w:rFonts w:asciiTheme="majorHAnsi" w:eastAsia="Calibri" w:hAnsiTheme="majorHAnsi" w:cstheme="majorHAnsi"/>
          <w:sz w:val="22"/>
          <w:szCs w:val="22"/>
        </w:rPr>
        <w:t>program implementation. The use of a managing contractor as implementing partner</w:t>
      </w:r>
      <w:r w:rsidR="00691ECB" w:rsidRPr="009C11F1">
        <w:rPr>
          <w:rFonts w:asciiTheme="majorHAnsi" w:eastAsia="Calibri" w:hAnsiTheme="majorHAnsi" w:cstheme="majorHAnsi"/>
          <w:sz w:val="22"/>
          <w:szCs w:val="22"/>
        </w:rPr>
        <w:t xml:space="preserve"> </w:t>
      </w:r>
      <w:r w:rsidRPr="009C11F1">
        <w:rPr>
          <w:rFonts w:asciiTheme="majorHAnsi" w:eastAsia="Calibri" w:hAnsiTheme="majorHAnsi" w:cstheme="majorHAnsi"/>
          <w:sz w:val="22"/>
          <w:szCs w:val="22"/>
        </w:rPr>
        <w:t>is a proven delivery mechanism for DFAT investments in Indonesia</w:t>
      </w:r>
      <w:r w:rsidR="00245AF3" w:rsidRPr="009C11F1">
        <w:rPr>
          <w:rFonts w:asciiTheme="majorHAnsi" w:eastAsia="Calibri" w:hAnsiTheme="majorHAnsi" w:cstheme="majorHAnsi"/>
          <w:sz w:val="22"/>
          <w:szCs w:val="22"/>
        </w:rPr>
        <w:t>, one that generally increases the visibility of DFAT’s assistance, enables a flexible and adaptive programming approach, and offers efficiency and the ability to implement different activities at central and provincial levels</w:t>
      </w:r>
      <w:r w:rsidRPr="009C11F1">
        <w:rPr>
          <w:rFonts w:asciiTheme="majorHAnsi" w:eastAsia="Calibri" w:hAnsiTheme="majorHAnsi" w:cstheme="majorHAnsi"/>
          <w:sz w:val="22"/>
          <w:szCs w:val="22"/>
        </w:rPr>
        <w:t xml:space="preserve">. </w:t>
      </w:r>
      <w:r w:rsidR="00220797">
        <w:rPr>
          <w:rFonts w:asciiTheme="majorHAnsi" w:eastAsia="Calibri" w:hAnsiTheme="majorHAnsi" w:cstheme="majorHAnsi"/>
          <w:sz w:val="22"/>
          <w:szCs w:val="22"/>
        </w:rPr>
        <w:t xml:space="preserve">The </w:t>
      </w:r>
      <w:r w:rsidR="00220797" w:rsidRPr="009C11F1">
        <w:rPr>
          <w:rFonts w:asciiTheme="majorHAnsi" w:eastAsia="Calibri" w:hAnsiTheme="majorHAnsi" w:cstheme="majorHAnsi"/>
          <w:sz w:val="22"/>
          <w:szCs w:val="22"/>
        </w:rPr>
        <w:t>ISR</w:t>
      </w:r>
      <w:r w:rsidR="00220797">
        <w:rPr>
          <w:rFonts w:asciiTheme="majorHAnsi" w:eastAsia="Calibri" w:hAnsiTheme="majorHAnsi" w:cstheme="majorHAnsi"/>
          <w:sz w:val="22"/>
          <w:szCs w:val="22"/>
        </w:rPr>
        <w:t xml:space="preserve"> </w:t>
      </w:r>
      <w:r w:rsidR="00220797" w:rsidRPr="009C11F1">
        <w:rPr>
          <w:rFonts w:asciiTheme="majorHAnsi" w:eastAsia="Calibri" w:hAnsiTheme="majorHAnsi" w:cstheme="majorHAnsi"/>
          <w:sz w:val="22"/>
          <w:szCs w:val="22"/>
        </w:rPr>
        <w:t>(2022</w:t>
      </w:r>
      <w:r w:rsidR="00220797">
        <w:rPr>
          <w:rFonts w:asciiTheme="majorHAnsi" w:eastAsia="Calibri" w:hAnsiTheme="majorHAnsi" w:cstheme="majorHAnsi"/>
          <w:sz w:val="22"/>
          <w:szCs w:val="22"/>
        </w:rPr>
        <w:t xml:space="preserve">) has compared and discussed the deliver models of INOVASI and UNICEF Papua investments. It </w:t>
      </w:r>
      <w:r w:rsidR="00D222B0">
        <w:rPr>
          <w:rFonts w:asciiTheme="majorHAnsi" w:eastAsia="Calibri" w:hAnsiTheme="majorHAnsi" w:cstheme="majorHAnsi"/>
          <w:sz w:val="22"/>
          <w:szCs w:val="22"/>
        </w:rPr>
        <w:t>state</w:t>
      </w:r>
      <w:r w:rsidR="00220797" w:rsidRPr="00220797">
        <w:rPr>
          <w:rFonts w:asciiTheme="majorHAnsi" w:eastAsia="Calibri" w:hAnsiTheme="majorHAnsi" w:cstheme="majorHAnsi"/>
          <w:sz w:val="22"/>
          <w:szCs w:val="22"/>
        </w:rPr>
        <w:t xml:space="preserve">s that the current </w:t>
      </w:r>
      <w:r w:rsidR="00E034EB">
        <w:rPr>
          <w:rFonts w:asciiTheme="majorHAnsi" w:eastAsia="Calibri" w:hAnsiTheme="majorHAnsi" w:cstheme="majorHAnsi"/>
          <w:sz w:val="22"/>
          <w:szCs w:val="22"/>
        </w:rPr>
        <w:t xml:space="preserve">INOVASI </w:t>
      </w:r>
      <w:r w:rsidR="00220797" w:rsidRPr="00220797">
        <w:rPr>
          <w:rFonts w:asciiTheme="majorHAnsi" w:eastAsia="Calibri" w:hAnsiTheme="majorHAnsi" w:cstheme="majorHAnsi"/>
          <w:sz w:val="22"/>
          <w:szCs w:val="22"/>
        </w:rPr>
        <w:t>modality ‘</w:t>
      </w:r>
      <w:r w:rsidR="00220797" w:rsidRPr="00220797">
        <w:rPr>
          <w:rFonts w:asciiTheme="majorHAnsi" w:eastAsia="Calibri" w:hAnsiTheme="majorHAnsi" w:cstheme="majorHAnsi"/>
          <w:i/>
          <w:iCs/>
          <w:sz w:val="22"/>
          <w:szCs w:val="22"/>
        </w:rPr>
        <w:t>has benefitted from a close relationship with DFAT management and the flexible and adaptive programming that marks DFAT out among development partners in Indonesia</w:t>
      </w:r>
      <w:r w:rsidR="00220797">
        <w:rPr>
          <w:rFonts w:asciiTheme="majorHAnsi" w:eastAsia="Calibri" w:hAnsiTheme="majorHAnsi" w:cstheme="majorHAnsi"/>
          <w:i/>
          <w:iCs/>
          <w:sz w:val="22"/>
          <w:szCs w:val="22"/>
        </w:rPr>
        <w:t>’</w:t>
      </w:r>
      <w:r w:rsidR="00220797" w:rsidRPr="00220797">
        <w:rPr>
          <w:rFonts w:asciiTheme="majorHAnsi" w:eastAsia="Calibri" w:hAnsiTheme="majorHAnsi" w:cstheme="majorHAnsi"/>
          <w:sz w:val="22"/>
          <w:szCs w:val="22"/>
        </w:rPr>
        <w:t xml:space="preserve"> (</w:t>
      </w:r>
      <w:proofErr w:type="spellStart"/>
      <w:r w:rsidR="00220797" w:rsidRPr="00220797">
        <w:rPr>
          <w:rFonts w:asciiTheme="majorHAnsi" w:eastAsia="Calibri" w:hAnsiTheme="majorHAnsi" w:cstheme="majorHAnsi"/>
          <w:sz w:val="22"/>
          <w:szCs w:val="22"/>
        </w:rPr>
        <w:t>p.iii</w:t>
      </w:r>
      <w:proofErr w:type="spellEnd"/>
      <w:r w:rsidR="00220797" w:rsidRPr="00220797">
        <w:rPr>
          <w:rFonts w:asciiTheme="majorHAnsi" w:eastAsia="Calibri" w:hAnsiTheme="majorHAnsi" w:cstheme="majorHAnsi"/>
          <w:sz w:val="22"/>
          <w:szCs w:val="22"/>
        </w:rPr>
        <w:t>), and further suggests that ‘</w:t>
      </w:r>
      <w:r w:rsidR="00220797" w:rsidRPr="00220797">
        <w:rPr>
          <w:rFonts w:asciiTheme="majorHAnsi" w:eastAsia="Calibri" w:hAnsiTheme="majorHAnsi" w:cstheme="majorHAnsi"/>
          <w:i/>
          <w:iCs/>
          <w:sz w:val="22"/>
          <w:szCs w:val="22"/>
        </w:rPr>
        <w:t xml:space="preserve">using a managing contractor program </w:t>
      </w:r>
      <w:r w:rsidR="00220797" w:rsidRPr="00220797">
        <w:rPr>
          <w:rFonts w:asciiTheme="majorHAnsi" w:eastAsia="Calibri" w:hAnsiTheme="majorHAnsi" w:cstheme="majorHAnsi"/>
          <w:i/>
          <w:iCs/>
          <w:sz w:val="22"/>
          <w:szCs w:val="22"/>
        </w:rPr>
        <w:lastRenderedPageBreak/>
        <w:t xml:space="preserve">model to deliver INOVASI is likely to be congruent with DFAT’s public diplomacy objectives in Indonesia. Generally, this approach increases the visibility of DFAT’s assistance and in principle creates more opportunity for engagement with senior Indonesian bureaucrats’ </w:t>
      </w:r>
      <w:r w:rsidR="00220797" w:rsidRPr="00220797">
        <w:rPr>
          <w:rFonts w:asciiTheme="majorHAnsi" w:eastAsia="Calibri" w:hAnsiTheme="majorHAnsi" w:cstheme="majorHAnsi"/>
          <w:sz w:val="22"/>
          <w:szCs w:val="22"/>
        </w:rPr>
        <w:t xml:space="preserve">(p.39). </w:t>
      </w:r>
      <w:r w:rsidR="002124F7">
        <w:rPr>
          <w:rFonts w:asciiTheme="majorHAnsi" w:eastAsia="Calibri" w:hAnsiTheme="majorHAnsi" w:cstheme="majorHAnsi"/>
          <w:sz w:val="22"/>
          <w:szCs w:val="22"/>
        </w:rPr>
        <w:t>Based on the experience of Phase 2 and</w:t>
      </w:r>
      <w:r w:rsidR="00D222B0">
        <w:rPr>
          <w:rFonts w:asciiTheme="majorHAnsi" w:eastAsia="Calibri" w:hAnsiTheme="majorHAnsi" w:cstheme="majorHAnsi"/>
          <w:sz w:val="22"/>
          <w:szCs w:val="22"/>
        </w:rPr>
        <w:t xml:space="preserve"> </w:t>
      </w:r>
      <w:r w:rsidR="002124F7">
        <w:rPr>
          <w:rFonts w:asciiTheme="majorHAnsi" w:eastAsia="Calibri" w:hAnsiTheme="majorHAnsi" w:cstheme="majorHAnsi"/>
          <w:sz w:val="22"/>
          <w:szCs w:val="22"/>
        </w:rPr>
        <w:t>the ISR</w:t>
      </w:r>
      <w:r w:rsidR="00957358" w:rsidRPr="009C11F1">
        <w:rPr>
          <w:rFonts w:asciiTheme="majorHAnsi" w:eastAsia="Calibri" w:hAnsiTheme="majorHAnsi" w:cstheme="majorHAnsi"/>
          <w:sz w:val="22"/>
          <w:szCs w:val="22"/>
        </w:rPr>
        <w:t xml:space="preserve"> </w:t>
      </w:r>
      <w:r w:rsidR="00D222B0">
        <w:rPr>
          <w:rFonts w:asciiTheme="majorHAnsi" w:eastAsia="Calibri" w:hAnsiTheme="majorHAnsi" w:cstheme="majorHAnsi"/>
          <w:sz w:val="22"/>
          <w:szCs w:val="22"/>
        </w:rPr>
        <w:t>conclusion</w:t>
      </w:r>
      <w:r w:rsidR="002124F7">
        <w:rPr>
          <w:rFonts w:asciiTheme="majorHAnsi" w:eastAsia="Calibri" w:hAnsiTheme="majorHAnsi" w:cstheme="majorHAnsi"/>
          <w:sz w:val="22"/>
          <w:szCs w:val="22"/>
        </w:rPr>
        <w:t>, it</w:t>
      </w:r>
      <w:r w:rsidRPr="009C11F1">
        <w:rPr>
          <w:rFonts w:asciiTheme="majorHAnsi" w:eastAsia="Calibri" w:hAnsiTheme="majorHAnsi" w:cstheme="majorHAnsi"/>
          <w:sz w:val="22"/>
          <w:szCs w:val="22"/>
        </w:rPr>
        <w:t xml:space="preserve"> is the preferred model for Phase 3 given the size of the investment, </w:t>
      </w:r>
      <w:r w:rsidR="00D222B0">
        <w:rPr>
          <w:rFonts w:asciiTheme="majorHAnsi" w:eastAsia="Calibri" w:hAnsiTheme="majorHAnsi" w:cstheme="majorHAnsi"/>
          <w:sz w:val="22"/>
          <w:szCs w:val="22"/>
        </w:rPr>
        <w:t>its</w:t>
      </w:r>
      <w:r w:rsidR="002124F7" w:rsidRPr="00220797">
        <w:rPr>
          <w:rFonts w:asciiTheme="majorHAnsi" w:eastAsia="Calibri" w:hAnsiTheme="majorHAnsi" w:cstheme="majorHAnsi"/>
          <w:sz w:val="22"/>
          <w:szCs w:val="22"/>
        </w:rPr>
        <w:t xml:space="preserve"> dynamic environment, </w:t>
      </w:r>
      <w:r w:rsidRPr="009C11F1">
        <w:rPr>
          <w:rFonts w:asciiTheme="majorHAnsi" w:eastAsia="Calibri" w:hAnsiTheme="majorHAnsi" w:cstheme="majorHAnsi"/>
          <w:sz w:val="22"/>
          <w:szCs w:val="22"/>
        </w:rPr>
        <w:t>the complexity of the engagement with stakeholders</w:t>
      </w:r>
      <w:r w:rsidR="00245AF3" w:rsidRPr="009C11F1">
        <w:rPr>
          <w:rFonts w:asciiTheme="majorHAnsi" w:eastAsia="Calibri" w:hAnsiTheme="majorHAnsi" w:cstheme="majorHAnsi"/>
          <w:sz w:val="22"/>
          <w:szCs w:val="22"/>
        </w:rPr>
        <w:t xml:space="preserve"> nationally and sub-nationally</w:t>
      </w:r>
      <w:r w:rsidRPr="009C11F1">
        <w:rPr>
          <w:rFonts w:asciiTheme="majorHAnsi" w:eastAsia="Calibri" w:hAnsiTheme="majorHAnsi" w:cstheme="majorHAnsi"/>
          <w:sz w:val="22"/>
          <w:szCs w:val="22"/>
        </w:rPr>
        <w:t>, and the administrative require</w:t>
      </w:r>
      <w:r w:rsidR="00245AF3" w:rsidRPr="009C11F1">
        <w:rPr>
          <w:rFonts w:asciiTheme="majorHAnsi" w:eastAsia="Calibri" w:hAnsiTheme="majorHAnsi" w:cstheme="majorHAnsi"/>
          <w:sz w:val="22"/>
          <w:szCs w:val="22"/>
        </w:rPr>
        <w:t>ments</w:t>
      </w:r>
      <w:r w:rsidRPr="009C11F1">
        <w:rPr>
          <w:rFonts w:asciiTheme="majorHAnsi" w:eastAsia="Calibri" w:hAnsiTheme="majorHAnsi" w:cstheme="majorHAnsi"/>
          <w:sz w:val="22"/>
          <w:szCs w:val="22"/>
        </w:rPr>
        <w:t xml:space="preserve"> to manage the</w:t>
      </w:r>
      <w:r w:rsidRPr="00974377">
        <w:rPr>
          <w:rFonts w:asciiTheme="majorHAnsi" w:eastAsia="Calibri" w:hAnsiTheme="majorHAnsi" w:cstheme="majorHAnsi"/>
          <w:sz w:val="22"/>
          <w:szCs w:val="22"/>
        </w:rPr>
        <w:t xml:space="preserve"> investment in line with DFAT fiduciary and service delivery standards. </w:t>
      </w:r>
    </w:p>
    <w:p w14:paraId="147AC54F" w14:textId="7ADB25BD" w:rsidR="00853FB9" w:rsidRPr="00ED50EB" w:rsidRDefault="00ED50EB" w:rsidP="00ED50EB">
      <w:pPr>
        <w:pStyle w:val="Heading2"/>
        <w:rPr>
          <w:b/>
          <w:bCs/>
          <w:sz w:val="22"/>
          <w:szCs w:val="22"/>
        </w:rPr>
      </w:pPr>
      <w:r w:rsidRPr="00ED50EB">
        <w:rPr>
          <w:b/>
          <w:bCs/>
          <w:caps w:val="0"/>
          <w:sz w:val="22"/>
          <w:szCs w:val="22"/>
        </w:rPr>
        <w:t>Governance Arrangements</w:t>
      </w:r>
    </w:p>
    <w:p w14:paraId="12AFD6EC" w14:textId="23866D60" w:rsidR="00C0502C" w:rsidRPr="00974377" w:rsidRDefault="00C0502C" w:rsidP="00ED50EB">
      <w:pPr>
        <w:spacing w:after="120" w:line="281" w:lineRule="auto"/>
        <w:rPr>
          <w:rFonts w:asciiTheme="majorHAnsi" w:eastAsia="Calibri" w:hAnsiTheme="majorHAnsi" w:cstheme="majorHAnsi"/>
          <w:sz w:val="22"/>
          <w:szCs w:val="22"/>
        </w:rPr>
      </w:pPr>
      <w:r w:rsidRPr="00974377">
        <w:rPr>
          <w:rFonts w:asciiTheme="majorHAnsi" w:eastAsia="Calibri" w:hAnsiTheme="majorHAnsi" w:cstheme="majorHAnsi"/>
          <w:sz w:val="22"/>
          <w:szCs w:val="22"/>
        </w:rPr>
        <w:t xml:space="preserve">Building on the strong collaborative relationships established in previous phases, INOVASI Phase 3 will continue to work with </w:t>
      </w:r>
      <w:proofErr w:type="spellStart"/>
      <w:r w:rsidRPr="00974377">
        <w:rPr>
          <w:rFonts w:asciiTheme="majorHAnsi" w:eastAsia="Calibri" w:hAnsiTheme="majorHAnsi" w:cstheme="majorHAnsi"/>
          <w:sz w:val="22"/>
          <w:szCs w:val="22"/>
        </w:rPr>
        <w:t>MoECRT</w:t>
      </w:r>
      <w:proofErr w:type="spellEnd"/>
      <w:r w:rsidRPr="00974377">
        <w:rPr>
          <w:rFonts w:asciiTheme="majorHAnsi" w:eastAsia="Calibri" w:hAnsiTheme="majorHAnsi" w:cstheme="majorHAnsi"/>
          <w:sz w:val="22"/>
          <w:szCs w:val="22"/>
        </w:rPr>
        <w:t xml:space="preserve"> and </w:t>
      </w:r>
      <w:proofErr w:type="spellStart"/>
      <w:r w:rsidRPr="00974377">
        <w:rPr>
          <w:rFonts w:asciiTheme="majorHAnsi" w:eastAsia="Calibri" w:hAnsiTheme="majorHAnsi" w:cstheme="majorHAnsi"/>
          <w:sz w:val="22"/>
          <w:szCs w:val="22"/>
        </w:rPr>
        <w:t>MoRA</w:t>
      </w:r>
      <w:proofErr w:type="spellEnd"/>
      <w:r w:rsidRPr="00974377">
        <w:rPr>
          <w:rFonts w:asciiTheme="majorHAnsi" w:eastAsia="Calibri" w:hAnsiTheme="majorHAnsi" w:cstheme="majorHAnsi"/>
          <w:sz w:val="22"/>
          <w:szCs w:val="22"/>
        </w:rPr>
        <w:t xml:space="preserve"> as key partners and will retain capacity to support </w:t>
      </w:r>
      <w:proofErr w:type="spellStart"/>
      <w:r w:rsidRPr="00974377">
        <w:rPr>
          <w:rFonts w:asciiTheme="majorHAnsi" w:eastAsia="Calibri" w:hAnsiTheme="majorHAnsi" w:cstheme="majorHAnsi"/>
          <w:sz w:val="22"/>
          <w:szCs w:val="22"/>
        </w:rPr>
        <w:t>Bappenas</w:t>
      </w:r>
      <w:proofErr w:type="spellEnd"/>
      <w:r w:rsidRPr="00974377">
        <w:rPr>
          <w:rFonts w:asciiTheme="majorHAnsi" w:eastAsia="Calibri" w:hAnsiTheme="majorHAnsi" w:cstheme="majorHAnsi"/>
          <w:sz w:val="22"/>
          <w:szCs w:val="22"/>
        </w:rPr>
        <w:t xml:space="preserve">.  Considering its role in developing policies for </w:t>
      </w:r>
      <w:r w:rsidR="009217CD" w:rsidRPr="00974377">
        <w:rPr>
          <w:rFonts w:asciiTheme="majorHAnsi" w:eastAsia="Calibri" w:hAnsiTheme="majorHAnsi" w:cstheme="majorHAnsi"/>
          <w:sz w:val="22"/>
          <w:szCs w:val="22"/>
        </w:rPr>
        <w:t>d</w:t>
      </w:r>
      <w:r w:rsidRPr="00974377">
        <w:rPr>
          <w:rFonts w:asciiTheme="majorHAnsi" w:eastAsia="Calibri" w:hAnsiTheme="majorHAnsi" w:cstheme="majorHAnsi"/>
          <w:sz w:val="22"/>
          <w:szCs w:val="22"/>
        </w:rPr>
        <w:t xml:space="preserve">istrict </w:t>
      </w:r>
      <w:r w:rsidR="009217CD" w:rsidRPr="00974377">
        <w:rPr>
          <w:rFonts w:asciiTheme="majorHAnsi" w:eastAsia="Calibri" w:hAnsiTheme="majorHAnsi" w:cstheme="majorHAnsi"/>
          <w:sz w:val="22"/>
          <w:szCs w:val="22"/>
        </w:rPr>
        <w:t>p</w:t>
      </w:r>
      <w:r w:rsidRPr="00974377">
        <w:rPr>
          <w:rFonts w:asciiTheme="majorHAnsi" w:eastAsia="Calibri" w:hAnsiTheme="majorHAnsi" w:cstheme="majorHAnsi"/>
          <w:sz w:val="22"/>
          <w:szCs w:val="22"/>
        </w:rPr>
        <w:t xml:space="preserve">lanning and </w:t>
      </w:r>
      <w:r w:rsidR="009217CD" w:rsidRPr="00974377">
        <w:rPr>
          <w:rFonts w:asciiTheme="majorHAnsi" w:eastAsia="Calibri" w:hAnsiTheme="majorHAnsi" w:cstheme="majorHAnsi"/>
          <w:sz w:val="22"/>
          <w:szCs w:val="22"/>
        </w:rPr>
        <w:t>b</w:t>
      </w:r>
      <w:r w:rsidRPr="00974377">
        <w:rPr>
          <w:rFonts w:asciiTheme="majorHAnsi" w:eastAsia="Calibri" w:hAnsiTheme="majorHAnsi" w:cstheme="majorHAnsi"/>
          <w:sz w:val="22"/>
          <w:szCs w:val="22"/>
        </w:rPr>
        <w:t>udgeting</w:t>
      </w:r>
      <w:r w:rsidR="009217CD" w:rsidRPr="00974377">
        <w:rPr>
          <w:rFonts w:asciiTheme="majorHAnsi" w:eastAsia="Calibri" w:hAnsiTheme="majorHAnsi" w:cstheme="majorHAnsi"/>
          <w:sz w:val="22"/>
          <w:szCs w:val="22"/>
        </w:rPr>
        <w:t xml:space="preserve"> (</w:t>
      </w:r>
      <w:r w:rsidR="001F37BD" w:rsidRPr="00974377">
        <w:rPr>
          <w:rFonts w:asciiTheme="majorHAnsi" w:eastAsia="Calibri" w:hAnsiTheme="majorHAnsi" w:cstheme="majorHAnsi"/>
          <w:sz w:val="22"/>
          <w:szCs w:val="22"/>
        </w:rPr>
        <w:t xml:space="preserve">including compliance with </w:t>
      </w:r>
      <w:r w:rsidR="009F4B5D">
        <w:rPr>
          <w:rFonts w:asciiTheme="majorHAnsi" w:eastAsia="Calibri" w:hAnsiTheme="majorHAnsi" w:cstheme="majorHAnsi"/>
          <w:sz w:val="22"/>
          <w:szCs w:val="22"/>
        </w:rPr>
        <w:t>MSS</w:t>
      </w:r>
      <w:r w:rsidR="001F37BD" w:rsidRPr="00974377">
        <w:rPr>
          <w:rFonts w:asciiTheme="majorHAnsi" w:eastAsia="Calibri" w:hAnsiTheme="majorHAnsi" w:cstheme="majorHAnsi"/>
          <w:sz w:val="22"/>
          <w:szCs w:val="22"/>
        </w:rPr>
        <w:t xml:space="preserve"> for literacy and numeracy</w:t>
      </w:r>
      <w:r w:rsidR="009217CD" w:rsidRPr="00974377">
        <w:rPr>
          <w:rFonts w:asciiTheme="majorHAnsi" w:eastAsia="Calibri" w:hAnsiTheme="majorHAnsi" w:cstheme="majorHAnsi"/>
          <w:sz w:val="22"/>
          <w:szCs w:val="22"/>
        </w:rPr>
        <w:t>),</w:t>
      </w:r>
      <w:r w:rsidR="001F37BD" w:rsidRPr="00974377">
        <w:rPr>
          <w:rFonts w:asciiTheme="majorHAnsi" w:eastAsia="Calibri" w:hAnsiTheme="majorHAnsi" w:cstheme="majorHAnsi"/>
          <w:sz w:val="22"/>
          <w:szCs w:val="22"/>
        </w:rPr>
        <w:t xml:space="preserve"> </w:t>
      </w:r>
      <w:r w:rsidRPr="00974377">
        <w:rPr>
          <w:rFonts w:asciiTheme="majorHAnsi" w:eastAsia="Calibri" w:hAnsiTheme="majorHAnsi" w:cstheme="majorHAnsi"/>
          <w:sz w:val="22"/>
          <w:szCs w:val="22"/>
        </w:rPr>
        <w:t>involvement of the Ministry of Home Affairs (</w:t>
      </w:r>
      <w:proofErr w:type="spellStart"/>
      <w:r w:rsidRPr="00974377">
        <w:rPr>
          <w:rFonts w:asciiTheme="majorHAnsi" w:eastAsia="Calibri" w:hAnsiTheme="majorHAnsi" w:cstheme="majorHAnsi"/>
          <w:sz w:val="22"/>
          <w:szCs w:val="22"/>
        </w:rPr>
        <w:t>MoHA</w:t>
      </w:r>
      <w:proofErr w:type="spellEnd"/>
      <w:r w:rsidRPr="00974377">
        <w:rPr>
          <w:rFonts w:asciiTheme="majorHAnsi" w:eastAsia="Calibri" w:hAnsiTheme="majorHAnsi" w:cstheme="majorHAnsi"/>
          <w:sz w:val="22"/>
          <w:szCs w:val="22"/>
        </w:rPr>
        <w:t>) in the new program should also be considered, for instance as a member of the National Steering Committee or through involvement in joint monitoring visits. This will be explored further during the establishment of the new program’s Subsidiary Arrangement (SA).</w:t>
      </w:r>
    </w:p>
    <w:p w14:paraId="7ED4E8D5" w14:textId="4ADFA6E2" w:rsidR="00C0502C" w:rsidRPr="00974377" w:rsidRDefault="00C0502C" w:rsidP="00ED50EB">
      <w:pPr>
        <w:spacing w:after="120" w:line="281" w:lineRule="auto"/>
        <w:rPr>
          <w:rFonts w:asciiTheme="majorHAnsi" w:eastAsia="Calibri" w:hAnsiTheme="majorHAnsi" w:cstheme="majorHAnsi"/>
          <w:sz w:val="22"/>
          <w:szCs w:val="22"/>
        </w:rPr>
      </w:pPr>
      <w:r w:rsidRPr="00974377">
        <w:rPr>
          <w:rFonts w:asciiTheme="majorHAnsi" w:eastAsia="Calibri" w:hAnsiTheme="majorHAnsi" w:cstheme="majorHAnsi"/>
          <w:sz w:val="22"/>
          <w:szCs w:val="22"/>
        </w:rPr>
        <w:t xml:space="preserve">Program governance arrangements will ensure strategic discussions are held and lessons are shared regularly with key counterparts, with a view to adapting and improving program implementation. The current INOVASI governance arrangements are considered effective by stakeholders both at the national and subnational level. They remain a relevant means for coordination and will be continued under the new program. As such, the program will be governed by a National Steering Committee (NSC) that will provide oversight and strategic guidance on the program’s broad directions and risks, and six Provincial Steering Committees (PSC) that will act as accountability, risk management and decision-making bodies for program implementation in targeted provinces. As illustrated in Figure </w:t>
      </w:r>
      <w:r w:rsidR="000C1DC2">
        <w:rPr>
          <w:rFonts w:asciiTheme="majorHAnsi" w:eastAsia="Calibri" w:hAnsiTheme="majorHAnsi" w:cstheme="majorHAnsi"/>
          <w:sz w:val="22"/>
          <w:szCs w:val="22"/>
        </w:rPr>
        <w:t>5</w:t>
      </w:r>
      <w:r w:rsidRPr="00974377">
        <w:rPr>
          <w:rFonts w:asciiTheme="majorHAnsi" w:eastAsia="Calibri" w:hAnsiTheme="majorHAnsi" w:cstheme="majorHAnsi"/>
          <w:sz w:val="22"/>
          <w:szCs w:val="22"/>
        </w:rPr>
        <w:t xml:space="preserve">, these committees will be chaired by </w:t>
      </w:r>
      <w:proofErr w:type="spellStart"/>
      <w:r w:rsidRPr="00974377">
        <w:rPr>
          <w:rFonts w:asciiTheme="majorHAnsi" w:eastAsia="Calibri" w:hAnsiTheme="majorHAnsi" w:cstheme="majorHAnsi"/>
          <w:sz w:val="22"/>
          <w:szCs w:val="22"/>
        </w:rPr>
        <w:t>GoI</w:t>
      </w:r>
      <w:proofErr w:type="spellEnd"/>
      <w:r w:rsidRPr="00974377">
        <w:rPr>
          <w:rFonts w:asciiTheme="majorHAnsi" w:eastAsia="Calibri" w:hAnsiTheme="majorHAnsi" w:cstheme="majorHAnsi"/>
          <w:sz w:val="22"/>
          <w:szCs w:val="22"/>
        </w:rPr>
        <w:t xml:space="preserve"> representatives and will meet six-monthly, with the possibility of organising online meetings for the PSC. Meetings of both national and provincial committees will include resource persons relevant to the issues being discussed. At the NSC, this could include representatives from the six target provinces (TBD), as well as representatives from </w:t>
      </w:r>
      <w:r w:rsidR="008D38C7" w:rsidRPr="00974377">
        <w:rPr>
          <w:rFonts w:asciiTheme="majorHAnsi" w:eastAsia="Calibri" w:hAnsiTheme="majorHAnsi" w:cstheme="majorHAnsi"/>
          <w:sz w:val="22"/>
          <w:szCs w:val="22"/>
        </w:rPr>
        <w:t>OPDs and gender equality advocacy groups</w:t>
      </w:r>
      <w:r w:rsidRPr="00974377">
        <w:rPr>
          <w:rFonts w:asciiTheme="majorHAnsi" w:eastAsia="Calibri" w:hAnsiTheme="majorHAnsi" w:cstheme="majorHAnsi"/>
          <w:sz w:val="22"/>
          <w:szCs w:val="22"/>
        </w:rPr>
        <w:t xml:space="preserve">. </w:t>
      </w:r>
      <w:r w:rsidR="00EF6FEA">
        <w:rPr>
          <w:rFonts w:asciiTheme="majorHAnsi" w:eastAsia="Calibri" w:hAnsiTheme="majorHAnsi" w:cstheme="majorHAnsi"/>
          <w:sz w:val="22"/>
          <w:szCs w:val="22"/>
        </w:rPr>
        <w:t>N</w:t>
      </w:r>
      <w:r w:rsidRPr="00974377">
        <w:rPr>
          <w:rFonts w:asciiTheme="majorHAnsi" w:eastAsia="Calibri" w:hAnsiTheme="majorHAnsi" w:cstheme="majorHAnsi"/>
          <w:sz w:val="22"/>
          <w:szCs w:val="22"/>
        </w:rPr>
        <w:t>on-target district representatives will be invited to attend PSC meetings as observers to enable non-target districts to learn from the process and progress of the local ecosystems work. Other relevant local stakeholders (including from universities, private sector</w:t>
      </w:r>
      <w:r w:rsidR="00F14036" w:rsidRPr="00974377">
        <w:rPr>
          <w:rFonts w:asciiTheme="majorHAnsi" w:eastAsia="Calibri" w:hAnsiTheme="majorHAnsi" w:cstheme="majorHAnsi"/>
          <w:sz w:val="22"/>
          <w:szCs w:val="22"/>
        </w:rPr>
        <w:t xml:space="preserve"> organisations and representatives from relevant DFAT-funded programs</w:t>
      </w:r>
      <w:r w:rsidRPr="00974377">
        <w:rPr>
          <w:rFonts w:asciiTheme="majorHAnsi" w:eastAsia="Calibri" w:hAnsiTheme="majorHAnsi" w:cstheme="majorHAnsi"/>
          <w:sz w:val="22"/>
          <w:szCs w:val="22"/>
        </w:rPr>
        <w:t xml:space="preserve">) will be also invited to participate as resource persons in NSC and PSC meetings, as relevant. </w:t>
      </w:r>
    </w:p>
    <w:p w14:paraId="0E4FA189" w14:textId="1FF4B27A" w:rsidR="00330887" w:rsidRPr="00974377" w:rsidRDefault="00C0502C" w:rsidP="00ED50EB">
      <w:pPr>
        <w:spacing w:after="120" w:line="281" w:lineRule="auto"/>
        <w:rPr>
          <w:rFonts w:asciiTheme="majorHAnsi" w:eastAsia="Calibri" w:hAnsiTheme="majorHAnsi" w:cstheme="majorHAnsi"/>
          <w:sz w:val="22"/>
          <w:szCs w:val="22"/>
        </w:rPr>
      </w:pPr>
      <w:r w:rsidRPr="00974377">
        <w:rPr>
          <w:rFonts w:asciiTheme="majorHAnsi" w:eastAsia="Calibri" w:hAnsiTheme="majorHAnsi" w:cstheme="majorHAnsi"/>
          <w:sz w:val="22"/>
          <w:szCs w:val="22"/>
        </w:rPr>
        <w:t xml:space="preserve">The program governance arrangements will be confirmed with </w:t>
      </w:r>
      <w:proofErr w:type="spellStart"/>
      <w:r w:rsidRPr="00974377">
        <w:rPr>
          <w:rFonts w:asciiTheme="majorHAnsi" w:eastAsia="Calibri" w:hAnsiTheme="majorHAnsi" w:cstheme="majorHAnsi"/>
          <w:sz w:val="22"/>
          <w:szCs w:val="22"/>
        </w:rPr>
        <w:t>GoI</w:t>
      </w:r>
      <w:proofErr w:type="spellEnd"/>
      <w:r w:rsidRPr="00974377">
        <w:rPr>
          <w:rFonts w:asciiTheme="majorHAnsi" w:eastAsia="Calibri" w:hAnsiTheme="majorHAnsi" w:cstheme="majorHAnsi"/>
          <w:sz w:val="22"/>
          <w:szCs w:val="22"/>
        </w:rPr>
        <w:t xml:space="preserve"> and be ultimately detailed in the relevant subsidiary arrangement document and program implementation manual.</w:t>
      </w:r>
    </w:p>
    <w:p w14:paraId="3D70BE98" w14:textId="158EAA10" w:rsidR="00C0502C" w:rsidRPr="000B39E6" w:rsidRDefault="00C0502C" w:rsidP="00330887">
      <w:pPr>
        <w:pStyle w:val="gmail-msocaption"/>
        <w:spacing w:before="240" w:beforeAutospacing="0" w:after="180" w:afterAutospacing="0"/>
        <w:jc w:val="center"/>
        <w:rPr>
          <w:rFonts w:ascii="Times New Roman" w:hAnsi="Times New Roman" w:cs="Times New Roman"/>
          <w:b/>
          <w:sz w:val="20"/>
          <w:szCs w:val="20"/>
        </w:rPr>
      </w:pPr>
      <w:r w:rsidRPr="000B39E6">
        <w:rPr>
          <w:b/>
        </w:rPr>
        <w:t xml:space="preserve">Figure </w:t>
      </w:r>
      <w:r w:rsidR="00F23D72" w:rsidRPr="000B39E6">
        <w:rPr>
          <w:b/>
        </w:rPr>
        <w:t>5</w:t>
      </w:r>
      <w:r w:rsidRPr="000B39E6">
        <w:rPr>
          <w:b/>
        </w:rPr>
        <w:t xml:space="preserve"> – Governance Mechanisms</w:t>
      </w:r>
    </w:p>
    <w:tbl>
      <w:tblPr>
        <w:tblStyle w:val="GridTable5Dark-Accent1"/>
        <w:tblW w:w="5000" w:type="pct"/>
        <w:tblLook w:val="04A0" w:firstRow="1" w:lastRow="0" w:firstColumn="1" w:lastColumn="0" w:noHBand="0" w:noVBand="1"/>
      </w:tblPr>
      <w:tblGrid>
        <w:gridCol w:w="1446"/>
        <w:gridCol w:w="3227"/>
        <w:gridCol w:w="4955"/>
      </w:tblGrid>
      <w:tr w:rsidR="00C0502C" w:rsidRPr="00F23D72" w14:paraId="725A66E0" w14:textId="77777777" w:rsidTr="00AE637B">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000" w:firstRow="0" w:lastRow="0" w:firstColumn="1" w:lastColumn="0" w:oddVBand="0" w:evenVBand="0" w:oddHBand="0" w:evenHBand="0" w:firstRowFirstColumn="0" w:firstRowLastColumn="0" w:lastRowFirstColumn="0" w:lastRowLastColumn="0"/>
            <w:tcW w:w="751" w:type="pct"/>
            <w:tcBorders>
              <w:top w:val="single" w:sz="4" w:space="0" w:color="auto"/>
              <w:left w:val="single" w:sz="4" w:space="0" w:color="auto"/>
              <w:bottom w:val="single" w:sz="4" w:space="0" w:color="auto"/>
              <w:right w:val="single" w:sz="4" w:space="0" w:color="auto"/>
            </w:tcBorders>
            <w:hideMark/>
          </w:tcPr>
          <w:p w14:paraId="294CB2D3" w14:textId="77777777" w:rsidR="00C0502C" w:rsidRPr="000F6932" w:rsidRDefault="00C0502C" w:rsidP="00C0502C">
            <w:pPr>
              <w:pStyle w:val="gmail-tableheaderrow"/>
              <w:spacing w:before="60" w:beforeAutospacing="0" w:after="60" w:afterAutospacing="0"/>
              <w:jc w:val="center"/>
              <w:rPr>
                <w:rFonts w:asciiTheme="minorHAnsi" w:hAnsiTheme="minorHAnsi" w:cstheme="minorHAnsi"/>
                <w:color w:val="auto"/>
                <w:sz w:val="24"/>
                <w:szCs w:val="24"/>
              </w:rPr>
            </w:pPr>
            <w:bookmarkStart w:id="28" w:name="TitleMechanisms"/>
            <w:bookmarkStart w:id="29" w:name="Title_Mechanisms"/>
            <w:r w:rsidRPr="000F6932">
              <w:rPr>
                <w:rFonts w:asciiTheme="minorHAnsi" w:hAnsiTheme="minorHAnsi" w:cstheme="minorHAnsi"/>
                <w:color w:val="auto"/>
              </w:rPr>
              <w:t>Mechanisms</w:t>
            </w:r>
            <w:bookmarkEnd w:id="28"/>
            <w:bookmarkEnd w:id="29"/>
          </w:p>
        </w:tc>
        <w:tc>
          <w:tcPr>
            <w:tcW w:w="1676" w:type="pct"/>
            <w:tcBorders>
              <w:top w:val="single" w:sz="4" w:space="0" w:color="auto"/>
              <w:left w:val="single" w:sz="4" w:space="0" w:color="auto"/>
              <w:bottom w:val="single" w:sz="4" w:space="0" w:color="auto"/>
              <w:right w:val="single" w:sz="4" w:space="0" w:color="auto"/>
            </w:tcBorders>
            <w:hideMark/>
          </w:tcPr>
          <w:p w14:paraId="7E7507D0" w14:textId="77777777" w:rsidR="00C0502C" w:rsidRPr="000F6932" w:rsidRDefault="00C0502C" w:rsidP="00C0502C">
            <w:pPr>
              <w:pStyle w:val="gmail-tableheaderrow"/>
              <w:spacing w:before="60" w:beforeAutospacing="0" w:after="6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bookmarkStart w:id="30" w:name="ColumnTitle_Responsibilities"/>
            <w:r w:rsidRPr="000F6932">
              <w:rPr>
                <w:rFonts w:asciiTheme="minorHAnsi" w:hAnsiTheme="minorHAnsi" w:cstheme="minorHAnsi"/>
                <w:color w:val="auto"/>
              </w:rPr>
              <w:t>Responsibilities</w:t>
            </w:r>
            <w:bookmarkEnd w:id="30"/>
          </w:p>
        </w:tc>
        <w:tc>
          <w:tcPr>
            <w:tcW w:w="2573" w:type="pct"/>
            <w:tcBorders>
              <w:top w:val="single" w:sz="4" w:space="0" w:color="auto"/>
              <w:left w:val="single" w:sz="4" w:space="0" w:color="auto"/>
              <w:bottom w:val="single" w:sz="4" w:space="0" w:color="auto"/>
              <w:right w:val="single" w:sz="4" w:space="0" w:color="auto"/>
            </w:tcBorders>
            <w:hideMark/>
          </w:tcPr>
          <w:p w14:paraId="6AB9BB7C" w14:textId="77777777" w:rsidR="00C0502C" w:rsidRPr="000F6932" w:rsidRDefault="00C0502C" w:rsidP="00C0502C">
            <w:pPr>
              <w:pStyle w:val="gmail-tableheaderrow"/>
              <w:spacing w:before="60" w:beforeAutospacing="0" w:after="6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bookmarkStart w:id="31" w:name="ColumnTitle_Membership"/>
            <w:r w:rsidRPr="000F6932">
              <w:rPr>
                <w:rFonts w:asciiTheme="minorHAnsi" w:hAnsiTheme="minorHAnsi" w:cstheme="minorHAnsi"/>
                <w:color w:val="auto"/>
              </w:rPr>
              <w:t>Membership</w:t>
            </w:r>
            <w:bookmarkEnd w:id="31"/>
          </w:p>
        </w:tc>
      </w:tr>
      <w:tr w:rsidR="00C0502C" w:rsidRPr="00F23D72" w14:paraId="5D67E151" w14:textId="77777777" w:rsidTr="000F693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1" w:type="pct"/>
            <w:tcBorders>
              <w:top w:val="single" w:sz="4" w:space="0" w:color="auto"/>
              <w:left w:val="single" w:sz="4" w:space="0" w:color="auto"/>
              <w:bottom w:val="single" w:sz="4" w:space="0" w:color="auto"/>
              <w:right w:val="single" w:sz="4" w:space="0" w:color="auto"/>
            </w:tcBorders>
            <w:hideMark/>
          </w:tcPr>
          <w:p w14:paraId="11298F9F" w14:textId="68AE09BD" w:rsidR="00C0502C" w:rsidRPr="000F6932" w:rsidRDefault="00C0502C" w:rsidP="00ED50EB">
            <w:pPr>
              <w:pStyle w:val="gmail-tabletext"/>
              <w:spacing w:before="60" w:beforeAutospacing="0" w:after="60" w:afterAutospacing="0"/>
              <w:ind w:left="77" w:right="55"/>
              <w:rPr>
                <w:rFonts w:asciiTheme="minorHAnsi" w:hAnsiTheme="minorHAnsi" w:cstheme="minorHAnsi"/>
                <w:color w:val="auto"/>
                <w:sz w:val="24"/>
                <w:szCs w:val="24"/>
              </w:rPr>
            </w:pPr>
            <w:bookmarkStart w:id="32" w:name="RowTitle_NationalSC"/>
            <w:r w:rsidRPr="000F6932">
              <w:rPr>
                <w:rFonts w:asciiTheme="minorHAnsi" w:hAnsiTheme="minorHAnsi" w:cstheme="minorHAnsi"/>
                <w:color w:val="auto"/>
              </w:rPr>
              <w:t>National Steering Committee</w:t>
            </w:r>
            <w:bookmarkEnd w:id="32"/>
          </w:p>
        </w:tc>
        <w:tc>
          <w:tcPr>
            <w:tcW w:w="1676" w:type="pct"/>
            <w:tcBorders>
              <w:top w:val="single" w:sz="4" w:space="0" w:color="auto"/>
              <w:left w:val="single" w:sz="4" w:space="0" w:color="auto"/>
              <w:bottom w:val="single" w:sz="4" w:space="0" w:color="auto"/>
              <w:right w:val="single" w:sz="4" w:space="0" w:color="auto"/>
            </w:tcBorders>
            <w:hideMark/>
          </w:tcPr>
          <w:p w14:paraId="02777E23" w14:textId="444C589D" w:rsidR="00C0502C" w:rsidRPr="00F23D72" w:rsidRDefault="00C0502C" w:rsidP="008D1844">
            <w:pPr>
              <w:pStyle w:val="gmail-msolistbullet3"/>
              <w:numPr>
                <w:ilvl w:val="0"/>
                <w:numId w:val="21"/>
              </w:numPr>
              <w:tabs>
                <w:tab w:val="left" w:pos="231"/>
              </w:tabs>
              <w:spacing w:before="60" w:beforeAutospacing="0" w:after="60" w:afterAutospacing="0"/>
              <w:ind w:left="184" w:hanging="14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sz w:val="14"/>
                <w:szCs w:val="14"/>
              </w:rPr>
              <w:t xml:space="preserve"> </w:t>
            </w:r>
            <w:r w:rsidRPr="00F23D72">
              <w:rPr>
                <w:rFonts w:asciiTheme="minorHAnsi" w:hAnsiTheme="minorHAnsi" w:cstheme="minorHAnsi"/>
              </w:rPr>
              <w:t>Oversight of INOVASI strategic directions and risks</w:t>
            </w:r>
            <w:r w:rsidR="00E915F4">
              <w:rPr>
                <w:rFonts w:asciiTheme="minorHAnsi" w:hAnsiTheme="minorHAnsi" w:cstheme="minorHAnsi"/>
              </w:rPr>
              <w:t>, including with respect to inclusiveness agenda</w:t>
            </w:r>
            <w:r w:rsidR="00B12E77">
              <w:rPr>
                <w:rFonts w:asciiTheme="minorHAnsi" w:hAnsiTheme="minorHAnsi" w:cstheme="minorHAnsi"/>
              </w:rPr>
              <w:t>.</w:t>
            </w:r>
          </w:p>
          <w:p w14:paraId="3D2EC11C" w14:textId="3FF0632D" w:rsidR="00C0502C" w:rsidRPr="00F23D72" w:rsidRDefault="00C0502C" w:rsidP="008D1844">
            <w:pPr>
              <w:pStyle w:val="gmail-msolistbullet3"/>
              <w:numPr>
                <w:ilvl w:val="0"/>
                <w:numId w:val="21"/>
              </w:numPr>
              <w:tabs>
                <w:tab w:val="left" w:pos="231"/>
              </w:tabs>
              <w:spacing w:before="60" w:beforeAutospacing="0" w:after="60" w:afterAutospacing="0"/>
              <w:ind w:left="184" w:hanging="14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lastRenderedPageBreak/>
              <w:t>Endorsement of program strategies, including the annual workplan, MEL strategy, GEDSI strategy</w:t>
            </w:r>
            <w:r w:rsidR="00B12E77">
              <w:rPr>
                <w:rFonts w:asciiTheme="minorHAnsi" w:hAnsiTheme="minorHAnsi" w:cstheme="minorHAnsi"/>
              </w:rPr>
              <w:t>.</w:t>
            </w:r>
            <w:r w:rsidRPr="00F23D72">
              <w:rPr>
                <w:rFonts w:asciiTheme="minorHAnsi" w:hAnsiTheme="minorHAnsi" w:cstheme="minorHAnsi"/>
              </w:rPr>
              <w:t xml:space="preserve"> </w:t>
            </w:r>
          </w:p>
          <w:p w14:paraId="45B31216" w14:textId="0419994E" w:rsidR="00C0502C" w:rsidRPr="00F23D72" w:rsidRDefault="00C0502C" w:rsidP="008D1844">
            <w:pPr>
              <w:pStyle w:val="gmail-msolistbullet3"/>
              <w:numPr>
                <w:ilvl w:val="0"/>
                <w:numId w:val="21"/>
              </w:numPr>
              <w:tabs>
                <w:tab w:val="left" w:pos="231"/>
              </w:tabs>
              <w:spacing w:before="60" w:beforeAutospacing="0" w:after="60" w:afterAutospacing="0"/>
              <w:ind w:left="184" w:hanging="14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Endorsement of INOVASI progress reports</w:t>
            </w:r>
            <w:r w:rsidR="00B12E77">
              <w:rPr>
                <w:rFonts w:asciiTheme="minorHAnsi" w:hAnsiTheme="minorHAnsi" w:cstheme="minorHAnsi"/>
              </w:rPr>
              <w:t>.</w:t>
            </w:r>
            <w:r w:rsidRPr="00F23D72">
              <w:rPr>
                <w:rFonts w:asciiTheme="minorHAnsi" w:hAnsiTheme="minorHAnsi" w:cstheme="minorHAnsi"/>
              </w:rPr>
              <w:t xml:space="preserve"> </w:t>
            </w:r>
          </w:p>
          <w:p w14:paraId="01C9A858" w14:textId="651B04A6" w:rsidR="00C0502C" w:rsidRPr="00F23D72" w:rsidRDefault="00C0502C" w:rsidP="008D1844">
            <w:pPr>
              <w:pStyle w:val="gmail-msolistbullet3"/>
              <w:numPr>
                <w:ilvl w:val="0"/>
                <w:numId w:val="21"/>
              </w:numPr>
              <w:tabs>
                <w:tab w:val="left" w:pos="231"/>
              </w:tabs>
              <w:spacing w:before="60" w:beforeAutospacing="0" w:after="60" w:afterAutospacing="0"/>
              <w:ind w:left="184" w:hanging="14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Discussion of key policy and systemic issues</w:t>
            </w:r>
            <w:r w:rsidR="00B12E77">
              <w:rPr>
                <w:rFonts w:asciiTheme="minorHAnsi" w:hAnsiTheme="minorHAnsi" w:cstheme="minorHAnsi"/>
              </w:rPr>
              <w:t>.</w:t>
            </w:r>
          </w:p>
          <w:p w14:paraId="304BDCFC" w14:textId="588E40CD" w:rsidR="00C0502C" w:rsidRPr="00F23D72" w:rsidRDefault="00C0502C" w:rsidP="008D1844">
            <w:pPr>
              <w:pStyle w:val="gmail-msolistbullet3"/>
              <w:numPr>
                <w:ilvl w:val="0"/>
                <w:numId w:val="21"/>
              </w:numPr>
              <w:tabs>
                <w:tab w:val="left" w:pos="231"/>
              </w:tabs>
              <w:spacing w:before="60" w:beforeAutospacing="0" w:after="60" w:afterAutospacing="0"/>
              <w:ind w:left="184" w:hanging="14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Participation in joint monitoring activities and the Education Innovation Forum</w:t>
            </w:r>
            <w:r w:rsidR="00B12E77">
              <w:rPr>
                <w:rFonts w:asciiTheme="minorHAnsi" w:hAnsiTheme="minorHAnsi" w:cstheme="minorHAnsi"/>
              </w:rPr>
              <w:t>.</w:t>
            </w:r>
            <w:r w:rsidRPr="00F23D72">
              <w:rPr>
                <w:rFonts w:asciiTheme="minorHAnsi" w:hAnsiTheme="minorHAnsi" w:cstheme="minorHAnsi"/>
              </w:rPr>
              <w:t xml:space="preserve"> </w:t>
            </w:r>
          </w:p>
          <w:p w14:paraId="69697F0C" w14:textId="6458D2E9" w:rsidR="00C0502C" w:rsidRPr="00F23D72" w:rsidRDefault="00C0502C" w:rsidP="008D1844">
            <w:pPr>
              <w:pStyle w:val="gmail-msolistbullet3"/>
              <w:numPr>
                <w:ilvl w:val="0"/>
                <w:numId w:val="21"/>
              </w:numPr>
              <w:tabs>
                <w:tab w:val="left" w:pos="231"/>
              </w:tabs>
              <w:spacing w:before="60" w:beforeAutospacing="0" w:after="60" w:afterAutospacing="0"/>
              <w:ind w:left="184" w:hanging="14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23D72">
              <w:rPr>
                <w:rFonts w:asciiTheme="minorHAnsi" w:hAnsiTheme="minorHAnsi" w:cstheme="minorHAnsi"/>
              </w:rPr>
              <w:t xml:space="preserve">Strategic coordination between </w:t>
            </w:r>
            <w:proofErr w:type="spellStart"/>
            <w:r w:rsidRPr="00F23D72">
              <w:rPr>
                <w:rFonts w:asciiTheme="minorHAnsi" w:hAnsiTheme="minorHAnsi" w:cstheme="minorHAnsi"/>
              </w:rPr>
              <w:t>GoI</w:t>
            </w:r>
            <w:proofErr w:type="spellEnd"/>
            <w:r w:rsidRPr="00F23D72">
              <w:rPr>
                <w:rFonts w:asciiTheme="minorHAnsi" w:hAnsiTheme="minorHAnsi" w:cstheme="minorHAnsi"/>
              </w:rPr>
              <w:t xml:space="preserve"> agencies involved in INOVASI</w:t>
            </w:r>
            <w:r w:rsidR="00B12E77">
              <w:rPr>
                <w:rFonts w:asciiTheme="minorHAnsi" w:hAnsiTheme="minorHAnsi" w:cstheme="minorHAnsi"/>
              </w:rPr>
              <w:t>.</w:t>
            </w:r>
          </w:p>
        </w:tc>
        <w:tc>
          <w:tcPr>
            <w:tcW w:w="2573" w:type="pct"/>
            <w:tcBorders>
              <w:top w:val="single" w:sz="4" w:space="0" w:color="auto"/>
              <w:left w:val="single" w:sz="4" w:space="0" w:color="auto"/>
              <w:bottom w:val="single" w:sz="4" w:space="0" w:color="auto"/>
              <w:right w:val="single" w:sz="4" w:space="0" w:color="auto"/>
            </w:tcBorders>
            <w:hideMark/>
          </w:tcPr>
          <w:p w14:paraId="0F3BD57D" w14:textId="5E5EA91C" w:rsidR="00C0502C" w:rsidRPr="00F23D72" w:rsidRDefault="00C0502C" w:rsidP="008D1844">
            <w:pPr>
              <w:pStyle w:val="gmail-msolistbullet3"/>
              <w:numPr>
                <w:ilvl w:val="0"/>
                <w:numId w:val="58"/>
              </w:numPr>
              <w:spacing w:before="60" w:beforeAutospacing="0" w:after="60" w:afterAutospacing="0"/>
              <w:ind w:hanging="27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lastRenderedPageBreak/>
              <w:t xml:space="preserve">Co-Chairs: </w:t>
            </w:r>
          </w:p>
          <w:p w14:paraId="0579E5FE" w14:textId="7D89FB9B"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 xml:space="preserve">Head of Standards, Curriculum, Assessment and Books, </w:t>
            </w:r>
            <w:proofErr w:type="spellStart"/>
            <w:r w:rsidRPr="00F23D72">
              <w:rPr>
                <w:rFonts w:asciiTheme="minorHAnsi" w:hAnsiTheme="minorHAnsi" w:cstheme="minorHAnsi"/>
              </w:rPr>
              <w:t>MoECRT</w:t>
            </w:r>
            <w:proofErr w:type="spellEnd"/>
          </w:p>
          <w:p w14:paraId="307902FD" w14:textId="13BE2AD0"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lastRenderedPageBreak/>
              <w:t xml:space="preserve">Director General (DG) Islamic Education, </w:t>
            </w:r>
            <w:proofErr w:type="spellStart"/>
            <w:r w:rsidRPr="00F23D72">
              <w:rPr>
                <w:rFonts w:asciiTheme="minorHAnsi" w:hAnsiTheme="minorHAnsi" w:cstheme="minorHAnsi"/>
              </w:rPr>
              <w:t>MoRA</w:t>
            </w:r>
            <w:proofErr w:type="spellEnd"/>
          </w:p>
          <w:p w14:paraId="2D7462DA" w14:textId="77777777" w:rsidR="00C0502C" w:rsidRPr="00F23D72" w:rsidRDefault="00C0502C" w:rsidP="008D1844">
            <w:pPr>
              <w:pStyle w:val="gmail-msolistbullet3"/>
              <w:numPr>
                <w:ilvl w:val="0"/>
                <w:numId w:val="58"/>
              </w:numPr>
              <w:spacing w:before="60" w:beforeAutospacing="0" w:after="60" w:afterAutospacing="0"/>
              <w:ind w:hanging="27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Members:</w:t>
            </w:r>
          </w:p>
          <w:p w14:paraId="65010ED9" w14:textId="12DB2331"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 xml:space="preserve">Secretary General, </w:t>
            </w:r>
            <w:proofErr w:type="spellStart"/>
            <w:r w:rsidRPr="00F23D72">
              <w:rPr>
                <w:rFonts w:asciiTheme="minorHAnsi" w:hAnsiTheme="minorHAnsi" w:cstheme="minorHAnsi"/>
              </w:rPr>
              <w:t>MoECRT</w:t>
            </w:r>
            <w:proofErr w:type="spellEnd"/>
          </w:p>
          <w:p w14:paraId="74A389DF" w14:textId="7BE1D78E"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 xml:space="preserve">DG ECE, Basic and Secondary Education, </w:t>
            </w:r>
            <w:proofErr w:type="spellStart"/>
            <w:r w:rsidRPr="00F23D72">
              <w:rPr>
                <w:rFonts w:asciiTheme="minorHAnsi" w:hAnsiTheme="minorHAnsi" w:cstheme="minorHAnsi"/>
              </w:rPr>
              <w:t>MoECRT</w:t>
            </w:r>
            <w:proofErr w:type="spellEnd"/>
          </w:p>
          <w:p w14:paraId="40ED378F" w14:textId="22174ABD"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 xml:space="preserve">DG Teachers and Education Personnel, </w:t>
            </w:r>
            <w:proofErr w:type="spellStart"/>
            <w:r w:rsidRPr="00F23D72">
              <w:rPr>
                <w:rFonts w:asciiTheme="minorHAnsi" w:hAnsiTheme="minorHAnsi" w:cstheme="minorHAnsi"/>
              </w:rPr>
              <w:t>MoECRT</w:t>
            </w:r>
            <w:proofErr w:type="spellEnd"/>
          </w:p>
          <w:p w14:paraId="6779330D" w14:textId="729AFAB7"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Deputy Minister for Human Development, BAPPENAS</w:t>
            </w:r>
          </w:p>
          <w:p w14:paraId="2FA86C37" w14:textId="3E913850"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Minister Counsellor for Governance and Human Development, DFAT</w:t>
            </w:r>
          </w:p>
          <w:p w14:paraId="679D8EF6" w14:textId="642A3C63"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Program Director, INOVASI</w:t>
            </w:r>
          </w:p>
          <w:p w14:paraId="22827046" w14:textId="64A3DCBA" w:rsidR="00C0502C" w:rsidRPr="00F23D72" w:rsidRDefault="00C0502C" w:rsidP="008D1844">
            <w:pPr>
              <w:pStyle w:val="gmail-msolistbullet3"/>
              <w:numPr>
                <w:ilvl w:val="0"/>
                <w:numId w:val="58"/>
              </w:numPr>
              <w:spacing w:before="60" w:beforeAutospacing="0" w:after="60" w:afterAutospacing="0"/>
              <w:ind w:hanging="27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 xml:space="preserve">Secretariat: </w:t>
            </w:r>
          </w:p>
          <w:p w14:paraId="0119FF68" w14:textId="435B8E50"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 xml:space="preserve">Secretary of Standards, Curriculum, Assessment and Books Agency, </w:t>
            </w:r>
            <w:proofErr w:type="spellStart"/>
            <w:r w:rsidRPr="00F23D72">
              <w:rPr>
                <w:rFonts w:asciiTheme="minorHAnsi" w:hAnsiTheme="minorHAnsi" w:cstheme="minorHAnsi"/>
              </w:rPr>
              <w:t>MoECRT</w:t>
            </w:r>
            <w:proofErr w:type="spellEnd"/>
          </w:p>
        </w:tc>
      </w:tr>
      <w:tr w:rsidR="00C0502C" w:rsidRPr="00F23D72" w14:paraId="66F97504" w14:textId="77777777" w:rsidTr="000F6932">
        <w:trPr>
          <w:trHeight w:val="397"/>
        </w:trPr>
        <w:tc>
          <w:tcPr>
            <w:cnfStyle w:val="001000000000" w:firstRow="0" w:lastRow="0" w:firstColumn="1" w:lastColumn="0" w:oddVBand="0" w:evenVBand="0" w:oddHBand="0" w:evenHBand="0" w:firstRowFirstColumn="0" w:firstRowLastColumn="0" w:lastRowFirstColumn="0" w:lastRowLastColumn="0"/>
            <w:tcW w:w="751" w:type="pct"/>
            <w:tcBorders>
              <w:top w:val="single" w:sz="4" w:space="0" w:color="auto"/>
              <w:left w:val="single" w:sz="4" w:space="0" w:color="auto"/>
              <w:bottom w:val="single" w:sz="4" w:space="0" w:color="auto"/>
              <w:right w:val="single" w:sz="4" w:space="0" w:color="auto"/>
            </w:tcBorders>
            <w:hideMark/>
          </w:tcPr>
          <w:p w14:paraId="753BC487" w14:textId="50E49FE6" w:rsidR="00C0502C" w:rsidRPr="000F6932" w:rsidRDefault="00C0502C" w:rsidP="00C0502C">
            <w:pPr>
              <w:pStyle w:val="gmail-tabletext"/>
              <w:spacing w:before="60" w:beforeAutospacing="0" w:after="60" w:afterAutospacing="0"/>
              <w:ind w:left="77" w:right="55"/>
              <w:rPr>
                <w:rFonts w:asciiTheme="minorHAnsi" w:hAnsiTheme="minorHAnsi" w:cstheme="minorHAnsi"/>
                <w:color w:val="auto"/>
                <w:sz w:val="24"/>
                <w:szCs w:val="24"/>
              </w:rPr>
            </w:pPr>
            <w:bookmarkStart w:id="33" w:name="RowTitle_ProvincialSC"/>
            <w:r w:rsidRPr="000F6932">
              <w:rPr>
                <w:rFonts w:asciiTheme="minorHAnsi" w:hAnsiTheme="minorHAnsi" w:cstheme="minorHAnsi"/>
                <w:color w:val="auto"/>
              </w:rPr>
              <w:lastRenderedPageBreak/>
              <w:t>Provincial Steering Committee</w:t>
            </w:r>
            <w:bookmarkEnd w:id="33"/>
          </w:p>
        </w:tc>
        <w:tc>
          <w:tcPr>
            <w:tcW w:w="1676" w:type="pct"/>
            <w:tcBorders>
              <w:top w:val="single" w:sz="4" w:space="0" w:color="auto"/>
              <w:left w:val="single" w:sz="4" w:space="0" w:color="auto"/>
              <w:bottom w:val="single" w:sz="4" w:space="0" w:color="auto"/>
              <w:right w:val="single" w:sz="4" w:space="0" w:color="auto"/>
            </w:tcBorders>
            <w:hideMark/>
          </w:tcPr>
          <w:p w14:paraId="10EF6E20" w14:textId="3EA017B3" w:rsidR="00C0502C" w:rsidRPr="00F23D72" w:rsidRDefault="00C0502C" w:rsidP="008D1844">
            <w:pPr>
              <w:pStyle w:val="gmail-msolistbullet3"/>
              <w:numPr>
                <w:ilvl w:val="0"/>
                <w:numId w:val="21"/>
              </w:numPr>
              <w:tabs>
                <w:tab w:val="left" w:pos="231"/>
              </w:tabs>
              <w:spacing w:before="60" w:beforeAutospacing="0" w:after="60" w:afterAutospacing="0"/>
              <w:ind w:left="184" w:hanging="1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Strategic guidance for and endorsement of INOVASI agenda in target province, including GEDSI strategy</w:t>
            </w:r>
            <w:r w:rsidR="00B12E77">
              <w:rPr>
                <w:rFonts w:asciiTheme="minorHAnsi" w:hAnsiTheme="minorHAnsi" w:cstheme="minorHAnsi"/>
              </w:rPr>
              <w:t>.</w:t>
            </w:r>
            <w:r w:rsidR="00E915F4">
              <w:rPr>
                <w:rFonts w:asciiTheme="minorHAnsi" w:hAnsiTheme="minorHAnsi" w:cstheme="minorHAnsi"/>
              </w:rPr>
              <w:t xml:space="preserve"> </w:t>
            </w:r>
          </w:p>
          <w:p w14:paraId="4C60777F" w14:textId="1EBA0CD0" w:rsidR="00C0502C" w:rsidRPr="00F23D72" w:rsidRDefault="00C0502C" w:rsidP="008D1844">
            <w:pPr>
              <w:pStyle w:val="gmail-msolistbullet3"/>
              <w:numPr>
                <w:ilvl w:val="0"/>
                <w:numId w:val="21"/>
              </w:numPr>
              <w:tabs>
                <w:tab w:val="left" w:pos="231"/>
              </w:tabs>
              <w:spacing w:before="60" w:beforeAutospacing="0" w:after="60" w:afterAutospacing="0"/>
              <w:ind w:left="184" w:hanging="1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Discussion of achievements, technical and implementation issues, including key risks, relating to INOVASI activities in the province</w:t>
            </w:r>
            <w:r w:rsidR="00B12E77">
              <w:rPr>
                <w:rFonts w:asciiTheme="minorHAnsi" w:hAnsiTheme="minorHAnsi" w:cstheme="minorHAnsi"/>
              </w:rPr>
              <w:t>.</w:t>
            </w:r>
            <w:r w:rsidRPr="00F23D72">
              <w:rPr>
                <w:rFonts w:asciiTheme="minorHAnsi" w:hAnsiTheme="minorHAnsi" w:cstheme="minorHAnsi"/>
              </w:rPr>
              <w:t xml:space="preserve"> </w:t>
            </w:r>
          </w:p>
          <w:p w14:paraId="2BD533FB" w14:textId="628A58C8" w:rsidR="00C0502C" w:rsidRPr="00F23D72" w:rsidRDefault="00F14036" w:rsidP="008D1844">
            <w:pPr>
              <w:pStyle w:val="gmail-msolistbullet3"/>
              <w:numPr>
                <w:ilvl w:val="0"/>
                <w:numId w:val="21"/>
              </w:numPr>
              <w:tabs>
                <w:tab w:val="left" w:pos="231"/>
              </w:tabs>
              <w:spacing w:before="60" w:beforeAutospacing="0" w:after="60" w:afterAutospacing="0"/>
              <w:ind w:left="184" w:hanging="1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C</w:t>
            </w:r>
            <w:r w:rsidR="00C0502C" w:rsidRPr="00F23D72">
              <w:rPr>
                <w:rFonts w:asciiTheme="minorHAnsi" w:hAnsiTheme="minorHAnsi" w:cstheme="minorHAnsi"/>
              </w:rPr>
              <w:t>ommunication of findings from monitoring and evaluation activities to local stakeholders</w:t>
            </w:r>
            <w:r w:rsidR="00B12E77">
              <w:rPr>
                <w:rFonts w:asciiTheme="minorHAnsi" w:hAnsiTheme="minorHAnsi" w:cstheme="minorHAnsi"/>
              </w:rPr>
              <w:t>.</w:t>
            </w:r>
          </w:p>
          <w:p w14:paraId="3E8C4ABC" w14:textId="707CECF6" w:rsidR="00C0502C" w:rsidRPr="00F23D72" w:rsidRDefault="00F14036" w:rsidP="008D1844">
            <w:pPr>
              <w:pStyle w:val="gmail-msolistbullet3"/>
              <w:numPr>
                <w:ilvl w:val="0"/>
                <w:numId w:val="21"/>
              </w:numPr>
              <w:tabs>
                <w:tab w:val="left" w:pos="231"/>
              </w:tabs>
              <w:spacing w:before="60" w:beforeAutospacing="0" w:after="60" w:afterAutospacing="0"/>
              <w:ind w:left="184" w:hanging="1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23D72">
              <w:rPr>
                <w:rFonts w:asciiTheme="minorHAnsi" w:hAnsiTheme="minorHAnsi" w:cstheme="minorHAnsi"/>
              </w:rPr>
              <w:t>F</w:t>
            </w:r>
            <w:r w:rsidR="00C0502C" w:rsidRPr="00F23D72">
              <w:rPr>
                <w:rFonts w:asciiTheme="minorHAnsi" w:hAnsiTheme="minorHAnsi" w:cstheme="minorHAnsi"/>
              </w:rPr>
              <w:t>acilitation of mobilisation of counterpart resource, both financial and in-kind to support work under this partnership</w:t>
            </w:r>
            <w:r w:rsidR="00B12E77">
              <w:rPr>
                <w:rFonts w:asciiTheme="minorHAnsi" w:hAnsiTheme="minorHAnsi" w:cstheme="minorHAnsi"/>
              </w:rPr>
              <w:t>.</w:t>
            </w:r>
          </w:p>
        </w:tc>
        <w:tc>
          <w:tcPr>
            <w:tcW w:w="2573" w:type="pct"/>
            <w:tcBorders>
              <w:top w:val="single" w:sz="4" w:space="0" w:color="auto"/>
              <w:left w:val="single" w:sz="4" w:space="0" w:color="auto"/>
              <w:bottom w:val="single" w:sz="4" w:space="0" w:color="auto"/>
              <w:right w:val="single" w:sz="4" w:space="0" w:color="auto"/>
            </w:tcBorders>
            <w:hideMark/>
          </w:tcPr>
          <w:p w14:paraId="717D9CB9" w14:textId="553EFC71" w:rsidR="00C0502C" w:rsidRPr="00951A4E" w:rsidRDefault="00C0502C" w:rsidP="008D1844">
            <w:pPr>
              <w:pStyle w:val="gmail-msolistbullet3"/>
              <w:numPr>
                <w:ilvl w:val="0"/>
                <w:numId w:val="58"/>
              </w:numPr>
              <w:spacing w:before="60" w:beforeAutospacing="0" w:after="60" w:afterAutospacing="0"/>
              <w:ind w:hanging="27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Chair:</w:t>
            </w:r>
            <w:r w:rsidR="00951A4E">
              <w:rPr>
                <w:rFonts w:asciiTheme="minorHAnsi" w:hAnsiTheme="minorHAnsi" w:cstheme="minorHAnsi"/>
              </w:rPr>
              <w:t xml:space="preserve"> </w:t>
            </w:r>
            <w:r w:rsidRPr="00951A4E">
              <w:rPr>
                <w:rFonts w:asciiTheme="minorHAnsi" w:hAnsiTheme="minorHAnsi" w:cstheme="minorHAnsi"/>
              </w:rPr>
              <w:t>Vice-Governor</w:t>
            </w:r>
            <w:r w:rsidRPr="00F23D72">
              <w:rPr>
                <w:rStyle w:val="FootnoteReference"/>
                <w:rFonts w:asciiTheme="minorHAnsi" w:hAnsiTheme="minorHAnsi" w:cstheme="minorHAnsi"/>
              </w:rPr>
              <w:footnoteReference w:id="36"/>
            </w:r>
            <w:r w:rsidRPr="00951A4E">
              <w:rPr>
                <w:rFonts w:asciiTheme="minorHAnsi" w:hAnsiTheme="minorHAnsi" w:cstheme="minorHAnsi"/>
              </w:rPr>
              <w:tab/>
            </w:r>
          </w:p>
          <w:p w14:paraId="7AF26C13" w14:textId="307D387C" w:rsidR="00C0502C" w:rsidRPr="00F23D72" w:rsidRDefault="00C0502C" w:rsidP="008D1844">
            <w:pPr>
              <w:pStyle w:val="gmail-msolistbullet3"/>
              <w:numPr>
                <w:ilvl w:val="0"/>
                <w:numId w:val="58"/>
              </w:numPr>
              <w:spacing w:before="60" w:beforeAutospacing="0" w:after="60" w:afterAutospacing="0"/>
              <w:ind w:hanging="27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 xml:space="preserve">Members: </w:t>
            </w:r>
          </w:p>
          <w:p w14:paraId="4129134E" w14:textId="1826CBA0"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 xml:space="preserve">Regional Secretary </w:t>
            </w:r>
          </w:p>
          <w:p w14:paraId="5FD681A8" w14:textId="2A47AFDB"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Head of the Education and Culture Office</w:t>
            </w:r>
          </w:p>
          <w:p w14:paraId="43390091" w14:textId="4D4DA2A3"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 xml:space="preserve">Head of </w:t>
            </w:r>
            <w:r w:rsidR="00524D25">
              <w:rPr>
                <w:rFonts w:asciiTheme="minorHAnsi" w:hAnsiTheme="minorHAnsi" w:cstheme="minorHAnsi"/>
              </w:rPr>
              <w:t>Development Planning (</w:t>
            </w:r>
            <w:proofErr w:type="spellStart"/>
            <w:r w:rsidRPr="00F23D72">
              <w:rPr>
                <w:rFonts w:asciiTheme="minorHAnsi" w:hAnsiTheme="minorHAnsi" w:cstheme="minorHAnsi"/>
              </w:rPr>
              <w:t>Bappeda</w:t>
            </w:r>
            <w:proofErr w:type="spellEnd"/>
            <w:r w:rsidR="00524D25">
              <w:rPr>
                <w:rFonts w:asciiTheme="minorHAnsi" w:hAnsiTheme="minorHAnsi" w:cstheme="minorHAnsi"/>
              </w:rPr>
              <w:t>)</w:t>
            </w:r>
            <w:r w:rsidRPr="00F23D72">
              <w:rPr>
                <w:rFonts w:asciiTheme="minorHAnsi" w:hAnsiTheme="minorHAnsi" w:cstheme="minorHAnsi"/>
              </w:rPr>
              <w:t xml:space="preserve"> and Regional R&amp;D Office</w:t>
            </w:r>
          </w:p>
          <w:p w14:paraId="7CD7A226" w14:textId="63D3C7D0"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 xml:space="preserve">Head of </w:t>
            </w:r>
            <w:proofErr w:type="spellStart"/>
            <w:r w:rsidRPr="00F23D72">
              <w:rPr>
                <w:rFonts w:asciiTheme="minorHAnsi" w:hAnsiTheme="minorHAnsi" w:cstheme="minorHAnsi"/>
              </w:rPr>
              <w:t>MoRA</w:t>
            </w:r>
            <w:proofErr w:type="spellEnd"/>
            <w:r w:rsidRPr="00F23D72">
              <w:rPr>
                <w:rFonts w:asciiTheme="minorHAnsi" w:hAnsiTheme="minorHAnsi" w:cstheme="minorHAnsi"/>
              </w:rPr>
              <w:t xml:space="preserve"> Regional Office</w:t>
            </w:r>
          </w:p>
          <w:p w14:paraId="77748616" w14:textId="4EA56070"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Head of the BPMP and BGP</w:t>
            </w:r>
          </w:p>
          <w:p w14:paraId="11D3B1D6" w14:textId="1C14AFB6"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Regent or Major of target districts</w:t>
            </w:r>
            <w:r w:rsidRPr="00F23D72">
              <w:rPr>
                <w:rStyle w:val="FootnoteReference"/>
                <w:rFonts w:asciiTheme="minorHAnsi" w:hAnsiTheme="minorHAnsi" w:cstheme="minorHAnsi"/>
              </w:rPr>
              <w:footnoteReference w:id="37"/>
            </w:r>
          </w:p>
          <w:p w14:paraId="2A237156" w14:textId="77777777" w:rsidR="00E915F4" w:rsidRPr="00F23D72" w:rsidRDefault="00E915F4" w:rsidP="008D1844">
            <w:pPr>
              <w:pStyle w:val="gmail-msolistbullet3"/>
              <w:numPr>
                <w:ilvl w:val="0"/>
                <w:numId w:val="21"/>
              </w:numPr>
              <w:tabs>
                <w:tab w:val="left" w:pos="231"/>
              </w:tabs>
              <w:spacing w:before="60" w:beforeAutospacing="0" w:after="60" w:afterAutospacing="0"/>
              <w:ind w:left="373"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Representatives from OPDs and CSOs</w:t>
            </w:r>
          </w:p>
          <w:p w14:paraId="67D6FB70" w14:textId="00A2ED14"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 xml:space="preserve">Counsellor </w:t>
            </w:r>
            <w:r w:rsidR="00F14036" w:rsidRPr="00F23D72">
              <w:rPr>
                <w:rFonts w:asciiTheme="minorHAnsi" w:hAnsiTheme="minorHAnsi" w:cstheme="minorHAnsi"/>
              </w:rPr>
              <w:t>for Human Development</w:t>
            </w:r>
            <w:r w:rsidRPr="00F23D72">
              <w:rPr>
                <w:rFonts w:asciiTheme="minorHAnsi" w:hAnsiTheme="minorHAnsi" w:cstheme="minorHAnsi"/>
              </w:rPr>
              <w:t>, DFAT</w:t>
            </w:r>
          </w:p>
          <w:p w14:paraId="23774729" w14:textId="4A20CFF6"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Provincial Manager, INOVASI</w:t>
            </w:r>
          </w:p>
          <w:p w14:paraId="31F1A77E" w14:textId="519EFEF3" w:rsidR="00C0502C" w:rsidRPr="00F23D72" w:rsidRDefault="00C0502C" w:rsidP="008D1844">
            <w:pPr>
              <w:pStyle w:val="gmail-msolistbullet3"/>
              <w:numPr>
                <w:ilvl w:val="0"/>
                <w:numId w:val="58"/>
              </w:numPr>
              <w:spacing w:before="60" w:beforeAutospacing="0" w:after="60" w:afterAutospacing="0"/>
              <w:ind w:hanging="27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 xml:space="preserve">Observers: </w:t>
            </w:r>
          </w:p>
          <w:p w14:paraId="1EB35E13" w14:textId="28AA66CF"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Heads of District Education Office (target)</w:t>
            </w:r>
          </w:p>
          <w:p w14:paraId="622CB573" w14:textId="2319B807"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 xml:space="preserve">Heads of </w:t>
            </w:r>
            <w:proofErr w:type="spellStart"/>
            <w:r w:rsidRPr="00F23D72">
              <w:rPr>
                <w:rFonts w:asciiTheme="minorHAnsi" w:hAnsiTheme="minorHAnsi" w:cstheme="minorHAnsi"/>
              </w:rPr>
              <w:t>MoRA</w:t>
            </w:r>
            <w:proofErr w:type="spellEnd"/>
            <w:r w:rsidRPr="00F23D72">
              <w:rPr>
                <w:rFonts w:asciiTheme="minorHAnsi" w:hAnsiTheme="minorHAnsi" w:cstheme="minorHAnsi"/>
              </w:rPr>
              <w:t xml:space="preserve"> District Office (target)</w:t>
            </w:r>
          </w:p>
          <w:p w14:paraId="6839DF9B" w14:textId="118ED4BA" w:rsidR="00C0502C" w:rsidRPr="00F23D72" w:rsidRDefault="00C0502C" w:rsidP="008D1844">
            <w:pPr>
              <w:pStyle w:val="gmail-msolistbullet3"/>
              <w:numPr>
                <w:ilvl w:val="0"/>
                <w:numId w:val="21"/>
              </w:numPr>
              <w:tabs>
                <w:tab w:val="left" w:pos="231"/>
              </w:tabs>
              <w:spacing w:before="60" w:beforeAutospacing="0" w:after="60" w:afterAutospacing="0"/>
              <w:ind w:left="373"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Representatives from non-target districts</w:t>
            </w:r>
          </w:p>
          <w:p w14:paraId="5F567365" w14:textId="042C5891" w:rsidR="00F14036" w:rsidRPr="00F23D72" w:rsidRDefault="00F14036" w:rsidP="008D1844">
            <w:pPr>
              <w:pStyle w:val="gmail-msolistbullet3"/>
              <w:numPr>
                <w:ilvl w:val="0"/>
                <w:numId w:val="21"/>
              </w:numPr>
              <w:tabs>
                <w:tab w:val="left" w:pos="231"/>
              </w:tabs>
              <w:spacing w:before="60" w:beforeAutospacing="0" w:after="60" w:afterAutospacing="0"/>
              <w:ind w:left="373"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23D72">
              <w:rPr>
                <w:rFonts w:asciiTheme="minorHAnsi" w:hAnsiTheme="minorHAnsi" w:cstheme="minorHAnsi"/>
              </w:rPr>
              <w:t>Representatives from</w:t>
            </w:r>
            <w:r w:rsidR="0033012B">
              <w:rPr>
                <w:rFonts w:asciiTheme="minorHAnsi" w:hAnsiTheme="minorHAnsi" w:cstheme="minorHAnsi"/>
              </w:rPr>
              <w:t xml:space="preserve"> </w:t>
            </w:r>
            <w:r w:rsidR="00951A4E">
              <w:rPr>
                <w:rFonts w:asciiTheme="minorHAnsi" w:hAnsiTheme="minorHAnsi" w:cstheme="minorHAnsi"/>
              </w:rPr>
              <w:t>relevant</w:t>
            </w:r>
            <w:r w:rsidRPr="00F23D72">
              <w:rPr>
                <w:rFonts w:asciiTheme="minorHAnsi" w:hAnsiTheme="minorHAnsi" w:cstheme="minorHAnsi"/>
              </w:rPr>
              <w:t xml:space="preserve"> DFAT programs</w:t>
            </w:r>
          </w:p>
          <w:p w14:paraId="459457CF" w14:textId="7B75A217" w:rsidR="00C0502C" w:rsidRPr="00F23D72" w:rsidRDefault="00C0502C" w:rsidP="008D1844">
            <w:pPr>
              <w:pStyle w:val="gmail-msolistbullet3"/>
              <w:numPr>
                <w:ilvl w:val="0"/>
                <w:numId w:val="64"/>
              </w:numPr>
              <w:spacing w:before="60" w:beforeAutospacing="0" w:after="60" w:afterAutospacing="0"/>
              <w:ind w:left="321" w:right="55"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23D72">
              <w:rPr>
                <w:rFonts w:asciiTheme="minorHAnsi" w:hAnsiTheme="minorHAnsi" w:cstheme="minorHAnsi"/>
              </w:rPr>
              <w:t>Secretariat: INOVASI Team</w:t>
            </w:r>
          </w:p>
        </w:tc>
      </w:tr>
    </w:tbl>
    <w:p w14:paraId="63C20DEF" w14:textId="76CDF30D" w:rsidR="0076015C" w:rsidRPr="00237726" w:rsidRDefault="00237726" w:rsidP="00237726">
      <w:pPr>
        <w:pStyle w:val="Heading2"/>
        <w:rPr>
          <w:b/>
          <w:bCs/>
          <w:sz w:val="22"/>
          <w:szCs w:val="22"/>
        </w:rPr>
      </w:pPr>
      <w:r w:rsidRPr="00237726">
        <w:rPr>
          <w:b/>
          <w:bCs/>
          <w:caps w:val="0"/>
          <w:sz w:val="22"/>
          <w:szCs w:val="22"/>
        </w:rPr>
        <w:t>D</w:t>
      </w:r>
      <w:r>
        <w:rPr>
          <w:b/>
          <w:bCs/>
          <w:caps w:val="0"/>
          <w:sz w:val="22"/>
          <w:szCs w:val="22"/>
        </w:rPr>
        <w:t>FAT</w:t>
      </w:r>
      <w:r w:rsidRPr="00237726">
        <w:rPr>
          <w:b/>
          <w:bCs/>
          <w:caps w:val="0"/>
          <w:sz w:val="22"/>
          <w:szCs w:val="22"/>
        </w:rPr>
        <w:t xml:space="preserve"> Oversight </w:t>
      </w:r>
      <w:r>
        <w:rPr>
          <w:b/>
          <w:bCs/>
          <w:caps w:val="0"/>
          <w:sz w:val="22"/>
          <w:szCs w:val="22"/>
        </w:rPr>
        <w:t>a</w:t>
      </w:r>
      <w:r w:rsidRPr="00237726">
        <w:rPr>
          <w:b/>
          <w:bCs/>
          <w:caps w:val="0"/>
          <w:sz w:val="22"/>
          <w:szCs w:val="22"/>
        </w:rPr>
        <w:t>nd Management</w:t>
      </w:r>
      <w:bookmarkStart w:id="34" w:name="_heading=h.1fob9te" w:colFirst="0" w:colLast="0"/>
      <w:bookmarkEnd w:id="34"/>
    </w:p>
    <w:p w14:paraId="77A68705" w14:textId="61684234" w:rsidR="00544435" w:rsidRPr="00974377" w:rsidRDefault="00544435" w:rsidP="00237726">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DFAT will continue to adopt a partnership approach to program oversight and management</w:t>
      </w:r>
      <w:r w:rsidR="00A03364" w:rsidRPr="00974377">
        <w:rPr>
          <w:rFonts w:asciiTheme="majorHAnsi" w:hAnsiTheme="majorHAnsi" w:cstheme="majorHAnsi"/>
          <w:sz w:val="22"/>
          <w:szCs w:val="22"/>
        </w:rPr>
        <w:t>.</w:t>
      </w:r>
      <w:r w:rsidRPr="00974377">
        <w:rPr>
          <w:rFonts w:asciiTheme="majorHAnsi" w:hAnsiTheme="majorHAnsi" w:cstheme="majorHAnsi"/>
          <w:sz w:val="22"/>
          <w:szCs w:val="22"/>
        </w:rPr>
        <w:t xml:space="preserve"> </w:t>
      </w:r>
      <w:r w:rsidR="0076015C" w:rsidRPr="00974377">
        <w:rPr>
          <w:rFonts w:asciiTheme="majorHAnsi" w:hAnsiTheme="majorHAnsi" w:cstheme="majorHAnsi"/>
          <w:sz w:val="22"/>
          <w:szCs w:val="22"/>
        </w:rPr>
        <w:t>Post’s Basic Education Unit (BEU) team will maintain the oversight of program implementation</w:t>
      </w:r>
      <w:r w:rsidR="003D63BD" w:rsidRPr="00974377">
        <w:rPr>
          <w:rFonts w:asciiTheme="majorHAnsi" w:hAnsiTheme="majorHAnsi" w:cstheme="majorHAnsi"/>
          <w:sz w:val="22"/>
          <w:szCs w:val="22"/>
        </w:rPr>
        <w:t xml:space="preserve"> </w:t>
      </w:r>
      <w:r w:rsidR="004128B1">
        <w:rPr>
          <w:rFonts w:asciiTheme="majorHAnsi" w:hAnsiTheme="majorHAnsi" w:cstheme="majorHAnsi"/>
          <w:sz w:val="22"/>
          <w:szCs w:val="22"/>
        </w:rPr>
        <w:t>and</w:t>
      </w:r>
      <w:r w:rsidR="0076015C" w:rsidRPr="00974377">
        <w:rPr>
          <w:rFonts w:asciiTheme="majorHAnsi" w:hAnsiTheme="majorHAnsi" w:cstheme="majorHAnsi"/>
          <w:sz w:val="22"/>
          <w:szCs w:val="22"/>
        </w:rPr>
        <w:t xml:space="preserve"> ensure quality, </w:t>
      </w:r>
      <w:r w:rsidR="003F2704" w:rsidRPr="00974377">
        <w:rPr>
          <w:rFonts w:asciiTheme="majorHAnsi" w:hAnsiTheme="majorHAnsi" w:cstheme="majorHAnsi"/>
          <w:sz w:val="22"/>
          <w:szCs w:val="22"/>
        </w:rPr>
        <w:t>visibility,</w:t>
      </w:r>
      <w:r w:rsidR="0076015C" w:rsidRPr="00974377">
        <w:rPr>
          <w:rFonts w:asciiTheme="majorHAnsi" w:hAnsiTheme="majorHAnsi" w:cstheme="majorHAnsi"/>
          <w:sz w:val="22"/>
          <w:szCs w:val="22"/>
        </w:rPr>
        <w:t xml:space="preserve"> and compliance with DFAT standards</w:t>
      </w:r>
      <w:r w:rsidRPr="00974377">
        <w:rPr>
          <w:rFonts w:asciiTheme="majorHAnsi" w:hAnsiTheme="majorHAnsi" w:cstheme="majorHAnsi"/>
          <w:sz w:val="22"/>
          <w:szCs w:val="22"/>
        </w:rPr>
        <w:t>,</w:t>
      </w:r>
      <w:r w:rsidR="0076015C" w:rsidRPr="00974377">
        <w:rPr>
          <w:rFonts w:asciiTheme="majorHAnsi" w:hAnsiTheme="majorHAnsi" w:cstheme="majorHAnsi"/>
          <w:sz w:val="22"/>
          <w:szCs w:val="22"/>
        </w:rPr>
        <w:t xml:space="preserve"> </w:t>
      </w:r>
      <w:r w:rsidR="00AD7829" w:rsidRPr="00974377">
        <w:rPr>
          <w:rFonts w:asciiTheme="majorHAnsi" w:hAnsiTheme="majorHAnsi" w:cstheme="majorHAnsi"/>
          <w:sz w:val="22"/>
          <w:szCs w:val="22"/>
        </w:rPr>
        <w:t xml:space="preserve">while </w:t>
      </w:r>
      <w:r w:rsidR="000301A6" w:rsidRPr="00974377">
        <w:rPr>
          <w:rFonts w:asciiTheme="majorHAnsi" w:hAnsiTheme="majorHAnsi" w:cstheme="majorHAnsi"/>
          <w:sz w:val="22"/>
          <w:szCs w:val="22"/>
        </w:rPr>
        <w:t xml:space="preserve">focusing on </w:t>
      </w:r>
      <w:r w:rsidRPr="00974377">
        <w:rPr>
          <w:rFonts w:asciiTheme="majorHAnsi" w:hAnsiTheme="majorHAnsi" w:cstheme="majorHAnsi"/>
          <w:sz w:val="22"/>
          <w:szCs w:val="22"/>
        </w:rPr>
        <w:t>stakeholders</w:t>
      </w:r>
      <w:r w:rsidR="008D38C7" w:rsidRPr="00974377">
        <w:rPr>
          <w:rFonts w:asciiTheme="majorHAnsi" w:hAnsiTheme="majorHAnsi" w:cstheme="majorHAnsi"/>
          <w:sz w:val="22"/>
          <w:szCs w:val="22"/>
        </w:rPr>
        <w:t>’</w:t>
      </w:r>
      <w:r w:rsidRPr="00974377">
        <w:rPr>
          <w:rFonts w:asciiTheme="majorHAnsi" w:hAnsiTheme="majorHAnsi" w:cstheme="majorHAnsi"/>
          <w:sz w:val="22"/>
          <w:szCs w:val="22"/>
        </w:rPr>
        <w:t xml:space="preserve"> engagement </w:t>
      </w:r>
      <w:r w:rsidRPr="00974377">
        <w:rPr>
          <w:rFonts w:asciiTheme="majorHAnsi" w:hAnsiTheme="majorHAnsi" w:cs="Arial"/>
          <w:sz w:val="22"/>
          <w:szCs w:val="22"/>
          <w:lang w:eastAsia="en-AU"/>
        </w:rPr>
        <w:t xml:space="preserve">to set program </w:t>
      </w:r>
      <w:r w:rsidRPr="00974377">
        <w:rPr>
          <w:rFonts w:asciiTheme="majorHAnsi" w:hAnsiTheme="majorHAnsi" w:cstheme="majorHAnsi"/>
          <w:sz w:val="22"/>
          <w:szCs w:val="22"/>
        </w:rPr>
        <w:lastRenderedPageBreak/>
        <w:t>directions,</w:t>
      </w:r>
      <w:r w:rsidR="003D63BD" w:rsidRPr="00974377">
        <w:rPr>
          <w:rFonts w:asciiTheme="majorHAnsi" w:hAnsiTheme="majorHAnsi" w:cstheme="majorHAnsi"/>
          <w:sz w:val="22"/>
          <w:szCs w:val="22"/>
        </w:rPr>
        <w:t xml:space="preserve"> monitor and</w:t>
      </w:r>
      <w:r w:rsidRPr="00974377">
        <w:rPr>
          <w:rFonts w:asciiTheme="majorHAnsi" w:hAnsiTheme="majorHAnsi" w:cstheme="majorHAnsi"/>
          <w:sz w:val="22"/>
          <w:szCs w:val="22"/>
        </w:rPr>
        <w:t xml:space="preserve"> manage risks, support collaboration with other DFAT programs and development partners, </w:t>
      </w:r>
      <w:r w:rsidRPr="00974377">
        <w:rPr>
          <w:rFonts w:asciiTheme="majorHAnsi" w:hAnsiTheme="majorHAnsi" w:cs="Arial"/>
          <w:sz w:val="22"/>
          <w:szCs w:val="22"/>
          <w:lang w:eastAsia="en-AU"/>
        </w:rPr>
        <w:t xml:space="preserve">and ensure effective dialogue </w:t>
      </w:r>
      <w:r w:rsidR="00AD7829" w:rsidRPr="00974377">
        <w:rPr>
          <w:rFonts w:asciiTheme="majorHAnsi" w:hAnsiTheme="majorHAnsi" w:cstheme="majorHAnsi"/>
          <w:sz w:val="22"/>
          <w:szCs w:val="22"/>
        </w:rPr>
        <w:t xml:space="preserve">around key issues linked to reforms and program implementation. </w:t>
      </w:r>
      <w:r w:rsidR="00C97DB2" w:rsidRPr="00974377">
        <w:rPr>
          <w:rFonts w:asciiTheme="majorHAnsi" w:hAnsiTheme="majorHAnsi" w:cstheme="majorHAnsi"/>
          <w:sz w:val="22"/>
          <w:szCs w:val="22"/>
        </w:rPr>
        <w:t xml:space="preserve">The staffing needs of the BEU team are not expected to change: the team will continue to include one LE7, one LE6, 2 LE5s and 1 LE4. It is expected a minimum of 3 FTE staff members </w:t>
      </w:r>
      <w:r w:rsidR="00A03364" w:rsidRPr="00974377">
        <w:rPr>
          <w:rFonts w:asciiTheme="majorHAnsi" w:hAnsiTheme="majorHAnsi" w:cstheme="majorHAnsi"/>
          <w:sz w:val="22"/>
          <w:szCs w:val="22"/>
        </w:rPr>
        <w:t xml:space="preserve">from the BEU </w:t>
      </w:r>
      <w:r w:rsidR="00C97DB2" w:rsidRPr="00974377">
        <w:rPr>
          <w:rFonts w:asciiTheme="majorHAnsi" w:hAnsiTheme="majorHAnsi" w:cstheme="majorHAnsi"/>
          <w:sz w:val="22"/>
          <w:szCs w:val="22"/>
        </w:rPr>
        <w:t xml:space="preserve">(0.5 FTE LE7, 1 FTE LE6 and 0.5 FTE LE5 for GEDSI and 1 FTE LE4) will be required to </w:t>
      </w:r>
      <w:r w:rsidR="00A03364" w:rsidRPr="00974377">
        <w:rPr>
          <w:rFonts w:asciiTheme="majorHAnsi" w:hAnsiTheme="majorHAnsi" w:cstheme="majorHAnsi"/>
          <w:sz w:val="22"/>
          <w:szCs w:val="22"/>
        </w:rPr>
        <w:t xml:space="preserve">manage and </w:t>
      </w:r>
      <w:r w:rsidR="00C97DB2" w:rsidRPr="00974377">
        <w:rPr>
          <w:rFonts w:asciiTheme="majorHAnsi" w:hAnsiTheme="majorHAnsi" w:cstheme="majorHAnsi"/>
          <w:sz w:val="22"/>
          <w:szCs w:val="22"/>
        </w:rPr>
        <w:t xml:space="preserve">administer the </w:t>
      </w:r>
      <w:r w:rsidR="004128B1">
        <w:rPr>
          <w:rFonts w:asciiTheme="majorHAnsi" w:hAnsiTheme="majorHAnsi" w:cstheme="majorHAnsi"/>
          <w:sz w:val="22"/>
          <w:szCs w:val="22"/>
        </w:rPr>
        <w:t xml:space="preserve">new </w:t>
      </w:r>
      <w:r w:rsidR="00C97DB2" w:rsidRPr="00974377">
        <w:rPr>
          <w:rFonts w:asciiTheme="majorHAnsi" w:hAnsiTheme="majorHAnsi" w:cstheme="majorHAnsi"/>
          <w:sz w:val="22"/>
          <w:szCs w:val="22"/>
        </w:rPr>
        <w:t>program.</w:t>
      </w:r>
    </w:p>
    <w:p w14:paraId="387BB3C4" w14:textId="797CAEC8" w:rsidR="000301A6" w:rsidRPr="00974377" w:rsidRDefault="00544435" w:rsidP="00237726">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Post will continue to rely on a managing contractor for the day-to-day management of the program</w:t>
      </w:r>
      <w:r w:rsidR="00A934CA" w:rsidRPr="00974377">
        <w:rPr>
          <w:rFonts w:asciiTheme="majorHAnsi" w:hAnsiTheme="majorHAnsi" w:cstheme="majorHAnsi"/>
          <w:sz w:val="22"/>
          <w:szCs w:val="22"/>
        </w:rPr>
        <w:t xml:space="preserve">, including the recruitment, </w:t>
      </w:r>
      <w:r w:rsidR="00872281" w:rsidRPr="00974377">
        <w:rPr>
          <w:rFonts w:asciiTheme="majorHAnsi" w:hAnsiTheme="majorHAnsi" w:cstheme="majorHAnsi"/>
          <w:sz w:val="22"/>
          <w:szCs w:val="22"/>
        </w:rPr>
        <w:t>mobilisation,</w:t>
      </w:r>
      <w:r w:rsidR="00A934CA" w:rsidRPr="00974377">
        <w:rPr>
          <w:rFonts w:asciiTheme="majorHAnsi" w:hAnsiTheme="majorHAnsi" w:cstheme="majorHAnsi"/>
          <w:sz w:val="22"/>
          <w:szCs w:val="22"/>
        </w:rPr>
        <w:t xml:space="preserve"> and management of </w:t>
      </w:r>
      <w:r w:rsidR="00A03364" w:rsidRPr="00974377">
        <w:rPr>
          <w:rFonts w:asciiTheme="majorHAnsi" w:hAnsiTheme="majorHAnsi" w:cstheme="majorHAnsi"/>
          <w:sz w:val="22"/>
          <w:szCs w:val="22"/>
        </w:rPr>
        <w:t>the</w:t>
      </w:r>
      <w:r w:rsidR="00A934CA" w:rsidRPr="00974377">
        <w:rPr>
          <w:rFonts w:asciiTheme="majorHAnsi" w:hAnsiTheme="majorHAnsi" w:cstheme="majorHAnsi"/>
          <w:sz w:val="22"/>
          <w:szCs w:val="22"/>
        </w:rPr>
        <w:t xml:space="preserve"> implementation team</w:t>
      </w:r>
      <w:r w:rsidR="004128B1">
        <w:rPr>
          <w:rFonts w:asciiTheme="majorHAnsi" w:hAnsiTheme="majorHAnsi" w:cstheme="majorHAnsi"/>
          <w:sz w:val="22"/>
          <w:szCs w:val="22"/>
        </w:rPr>
        <w:t>,</w:t>
      </w:r>
      <w:r w:rsidR="00A934CA" w:rsidRPr="00974377">
        <w:rPr>
          <w:rFonts w:asciiTheme="majorHAnsi" w:hAnsiTheme="majorHAnsi" w:cstheme="majorHAnsi"/>
          <w:sz w:val="22"/>
          <w:szCs w:val="22"/>
        </w:rPr>
        <w:t xml:space="preserve"> who will be </w:t>
      </w:r>
      <w:r w:rsidR="00DA08ED" w:rsidRPr="00974377">
        <w:rPr>
          <w:rFonts w:asciiTheme="majorHAnsi" w:hAnsiTheme="majorHAnsi" w:cstheme="majorHAnsi"/>
          <w:sz w:val="22"/>
          <w:szCs w:val="22"/>
        </w:rPr>
        <w:t>responsible</w:t>
      </w:r>
      <w:r w:rsidR="00A934CA" w:rsidRPr="00974377">
        <w:rPr>
          <w:rFonts w:asciiTheme="majorHAnsi" w:hAnsiTheme="majorHAnsi" w:cstheme="majorHAnsi"/>
          <w:sz w:val="22"/>
          <w:szCs w:val="22"/>
        </w:rPr>
        <w:t xml:space="preserve"> for the </w:t>
      </w:r>
      <w:r w:rsidRPr="00974377">
        <w:rPr>
          <w:rFonts w:asciiTheme="majorHAnsi" w:hAnsiTheme="majorHAnsi" w:cstheme="majorHAnsi"/>
          <w:sz w:val="22"/>
          <w:szCs w:val="22"/>
        </w:rPr>
        <w:t>planning</w:t>
      </w:r>
      <w:r w:rsidR="00A934CA" w:rsidRPr="00974377">
        <w:rPr>
          <w:rFonts w:asciiTheme="majorHAnsi" w:hAnsiTheme="majorHAnsi" w:cstheme="majorHAnsi"/>
          <w:sz w:val="22"/>
          <w:szCs w:val="22"/>
        </w:rPr>
        <w:t>, implementation</w:t>
      </w:r>
      <w:r w:rsidR="000A1567" w:rsidRPr="00974377">
        <w:rPr>
          <w:rFonts w:asciiTheme="majorHAnsi" w:hAnsiTheme="majorHAnsi"/>
          <w:sz w:val="22"/>
          <w:szCs w:val="22"/>
        </w:rPr>
        <w:t>, and</w:t>
      </w:r>
      <w:r w:rsidR="000A1567" w:rsidRPr="00974377">
        <w:rPr>
          <w:rFonts w:asciiTheme="majorHAnsi" w:hAnsiTheme="majorHAnsi" w:cstheme="majorHAnsi"/>
          <w:sz w:val="22"/>
          <w:szCs w:val="22"/>
        </w:rPr>
        <w:t xml:space="preserve"> </w:t>
      </w:r>
      <w:r w:rsidR="00A934CA" w:rsidRPr="00974377">
        <w:rPr>
          <w:rFonts w:asciiTheme="majorHAnsi" w:hAnsiTheme="majorHAnsi" w:cstheme="majorHAnsi"/>
          <w:sz w:val="22"/>
          <w:szCs w:val="22"/>
        </w:rPr>
        <w:t>monitoring and evaluation of program activities</w:t>
      </w:r>
      <w:r w:rsidRPr="00974377">
        <w:rPr>
          <w:rFonts w:asciiTheme="majorHAnsi" w:hAnsiTheme="majorHAnsi" w:cstheme="majorHAnsi"/>
          <w:sz w:val="22"/>
          <w:szCs w:val="22"/>
        </w:rPr>
        <w:t xml:space="preserve">. </w:t>
      </w:r>
      <w:r w:rsidR="00557B25" w:rsidRPr="00974377">
        <w:rPr>
          <w:rFonts w:asciiTheme="majorHAnsi" w:hAnsiTheme="majorHAnsi"/>
          <w:sz w:val="22"/>
          <w:szCs w:val="22"/>
        </w:rPr>
        <w:t>Recurrent (</w:t>
      </w:r>
      <w:r w:rsidR="003F2704" w:rsidRPr="00974377">
        <w:rPr>
          <w:rFonts w:asciiTheme="majorHAnsi" w:hAnsiTheme="majorHAnsi"/>
          <w:sz w:val="22"/>
          <w:szCs w:val="22"/>
        </w:rPr>
        <w:t>e.g.,</w:t>
      </w:r>
      <w:r w:rsidR="00557B25" w:rsidRPr="00974377">
        <w:rPr>
          <w:rFonts w:asciiTheme="majorHAnsi" w:hAnsiTheme="majorHAnsi"/>
          <w:sz w:val="22"/>
          <w:szCs w:val="22"/>
        </w:rPr>
        <w:t xml:space="preserve"> monthly) coordination meetings between the BEU and implementation team</w:t>
      </w:r>
      <w:r w:rsidR="00A03364" w:rsidRPr="00974377">
        <w:rPr>
          <w:rFonts w:asciiTheme="majorHAnsi" w:hAnsiTheme="majorHAnsi"/>
          <w:sz w:val="22"/>
          <w:szCs w:val="22"/>
        </w:rPr>
        <w:t>s</w:t>
      </w:r>
      <w:r w:rsidR="00557B25" w:rsidRPr="00974377">
        <w:rPr>
          <w:rFonts w:asciiTheme="majorHAnsi" w:hAnsiTheme="majorHAnsi"/>
          <w:sz w:val="22"/>
          <w:szCs w:val="22"/>
        </w:rPr>
        <w:t xml:space="preserve"> will enable effective flow of information and swift decision making around emergent issues and opportunities</w:t>
      </w:r>
      <w:r w:rsidR="000A1567" w:rsidRPr="00974377">
        <w:rPr>
          <w:rFonts w:asciiTheme="majorHAnsi" w:hAnsiTheme="majorHAnsi"/>
          <w:sz w:val="22"/>
          <w:szCs w:val="22"/>
        </w:rPr>
        <w:t>, including risks management</w:t>
      </w:r>
      <w:r w:rsidR="00557B25" w:rsidRPr="00974377">
        <w:rPr>
          <w:rFonts w:asciiTheme="majorHAnsi" w:hAnsiTheme="majorHAnsi"/>
          <w:sz w:val="22"/>
          <w:szCs w:val="22"/>
        </w:rPr>
        <w:t xml:space="preserve">. These will include </w:t>
      </w:r>
      <w:r w:rsidR="00557B25" w:rsidRPr="00974377">
        <w:rPr>
          <w:rFonts w:asciiTheme="majorHAnsi" w:hAnsiTheme="majorHAnsi" w:cs="Arial"/>
          <w:sz w:val="22"/>
          <w:szCs w:val="22"/>
          <w:lang w:eastAsia="en-AU"/>
        </w:rPr>
        <w:t>monthly meetings with the Program Director and</w:t>
      </w:r>
      <w:r w:rsidR="00A03364" w:rsidRPr="00974377">
        <w:rPr>
          <w:rFonts w:asciiTheme="majorHAnsi" w:hAnsiTheme="majorHAnsi" w:cs="Arial"/>
          <w:sz w:val="22"/>
          <w:szCs w:val="22"/>
          <w:lang w:eastAsia="en-AU"/>
        </w:rPr>
        <w:t>/or leadership</w:t>
      </w:r>
      <w:r w:rsidR="00557B25" w:rsidRPr="00974377">
        <w:rPr>
          <w:rFonts w:asciiTheme="majorHAnsi" w:hAnsiTheme="majorHAnsi" w:cstheme="majorHAnsi"/>
          <w:sz w:val="22"/>
          <w:szCs w:val="22"/>
        </w:rPr>
        <w:t xml:space="preserve"> team, as well as regular informal updates. It is proposed these arrangements be complemented by six-monthly strategy testing workshops to help guide the program direction and feedback learning</w:t>
      </w:r>
      <w:r w:rsidR="004128B1">
        <w:rPr>
          <w:rFonts w:asciiTheme="majorHAnsi" w:hAnsiTheme="majorHAnsi" w:cstheme="majorHAnsi"/>
          <w:sz w:val="22"/>
          <w:szCs w:val="22"/>
        </w:rPr>
        <w:t xml:space="preserve"> (see Section F)</w:t>
      </w:r>
      <w:r w:rsidR="00557B25" w:rsidRPr="00974377">
        <w:rPr>
          <w:rFonts w:asciiTheme="majorHAnsi" w:hAnsiTheme="majorHAnsi" w:cstheme="majorHAnsi"/>
          <w:sz w:val="22"/>
          <w:szCs w:val="22"/>
        </w:rPr>
        <w:t>.</w:t>
      </w:r>
    </w:p>
    <w:p w14:paraId="6B7CF076" w14:textId="023E1633" w:rsidR="004A102E" w:rsidRPr="00974377" w:rsidRDefault="00A934CA" w:rsidP="00237726">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In addition, to support the strategic oversight of the program, Post’s education team will</w:t>
      </w:r>
      <w:r w:rsidR="00EF2955" w:rsidRPr="00974377">
        <w:rPr>
          <w:rFonts w:asciiTheme="majorHAnsi" w:hAnsiTheme="majorHAnsi" w:cstheme="majorHAnsi"/>
          <w:sz w:val="22"/>
          <w:szCs w:val="22"/>
        </w:rPr>
        <w:t xml:space="preserve"> continue to access independent support from the Quality Investment Support Services (QISS) facility and/or draw on the support from an Independent Strategic Advisory Team (ISAT) with high-level expertise in education policy and programming, and Monitoring, Evaluation and Learning</w:t>
      </w:r>
      <w:r w:rsidR="00083973" w:rsidRPr="00974377">
        <w:rPr>
          <w:rFonts w:asciiTheme="majorHAnsi" w:hAnsiTheme="majorHAnsi" w:cstheme="majorHAnsi"/>
          <w:sz w:val="22"/>
          <w:szCs w:val="22"/>
        </w:rPr>
        <w:t xml:space="preserve">. The </w:t>
      </w:r>
      <w:r w:rsidR="004A102E" w:rsidRPr="00974377">
        <w:rPr>
          <w:rFonts w:asciiTheme="majorHAnsi" w:hAnsiTheme="majorHAnsi" w:cstheme="majorHAnsi"/>
          <w:sz w:val="22"/>
          <w:szCs w:val="22"/>
        </w:rPr>
        <w:t xml:space="preserve">purpose of </w:t>
      </w:r>
      <w:r w:rsidR="00083973" w:rsidRPr="00974377">
        <w:rPr>
          <w:rFonts w:asciiTheme="majorHAnsi" w:hAnsiTheme="majorHAnsi" w:cstheme="majorHAnsi"/>
          <w:sz w:val="22"/>
          <w:szCs w:val="22"/>
        </w:rPr>
        <w:t>such support</w:t>
      </w:r>
      <w:r w:rsidR="004A102E" w:rsidRPr="00974377">
        <w:rPr>
          <w:rFonts w:asciiTheme="majorHAnsi" w:hAnsiTheme="majorHAnsi" w:cstheme="majorHAnsi"/>
          <w:sz w:val="22"/>
          <w:szCs w:val="22"/>
        </w:rPr>
        <w:t xml:space="preserve"> is to ensure sufficient credible performance information </w:t>
      </w:r>
      <w:r w:rsidR="00A03364" w:rsidRPr="00974377">
        <w:rPr>
          <w:rFonts w:asciiTheme="majorHAnsi" w:hAnsiTheme="majorHAnsi" w:cstheme="majorHAnsi"/>
          <w:sz w:val="22"/>
          <w:szCs w:val="22"/>
        </w:rPr>
        <w:t xml:space="preserve">is generated and </w:t>
      </w:r>
      <w:r w:rsidR="004A102E" w:rsidRPr="00974377">
        <w:rPr>
          <w:rFonts w:asciiTheme="majorHAnsi" w:hAnsiTheme="majorHAnsi" w:cstheme="majorHAnsi"/>
          <w:sz w:val="22"/>
          <w:szCs w:val="22"/>
        </w:rPr>
        <w:t xml:space="preserve">informs strategic and operational decisions to maximise the chance of achieving </w:t>
      </w:r>
      <w:r w:rsidRPr="00974377">
        <w:rPr>
          <w:rFonts w:asciiTheme="majorHAnsi" w:hAnsiTheme="majorHAnsi" w:cstheme="majorHAnsi"/>
          <w:sz w:val="22"/>
          <w:szCs w:val="22"/>
        </w:rPr>
        <w:t xml:space="preserve">program </w:t>
      </w:r>
      <w:r w:rsidR="004A102E" w:rsidRPr="00974377">
        <w:rPr>
          <w:rFonts w:asciiTheme="majorHAnsi" w:hAnsiTheme="majorHAnsi" w:cstheme="majorHAnsi"/>
          <w:sz w:val="22"/>
          <w:szCs w:val="22"/>
        </w:rPr>
        <w:t>objectives</w:t>
      </w:r>
      <w:r w:rsidR="00A03364" w:rsidRPr="00974377">
        <w:rPr>
          <w:rFonts w:asciiTheme="majorHAnsi" w:hAnsiTheme="majorHAnsi" w:cstheme="majorHAnsi"/>
          <w:sz w:val="22"/>
          <w:szCs w:val="22"/>
        </w:rPr>
        <w:t>, including policy dialogue and advocacy at national level</w:t>
      </w:r>
      <w:r w:rsidR="004A102E" w:rsidRPr="00974377">
        <w:rPr>
          <w:rFonts w:asciiTheme="majorHAnsi" w:hAnsiTheme="majorHAnsi" w:cstheme="majorHAnsi"/>
          <w:sz w:val="22"/>
          <w:szCs w:val="22"/>
        </w:rPr>
        <w:t xml:space="preserve">. </w:t>
      </w:r>
      <w:r w:rsidR="00083973" w:rsidRPr="00974377">
        <w:rPr>
          <w:rFonts w:asciiTheme="majorHAnsi" w:hAnsiTheme="majorHAnsi" w:cstheme="majorHAnsi"/>
          <w:sz w:val="22"/>
          <w:szCs w:val="22"/>
        </w:rPr>
        <w:t xml:space="preserve">External support, provided through an </w:t>
      </w:r>
      <w:r w:rsidRPr="00974377">
        <w:rPr>
          <w:rFonts w:asciiTheme="majorHAnsi" w:hAnsiTheme="majorHAnsi" w:cstheme="majorHAnsi"/>
          <w:sz w:val="22"/>
          <w:szCs w:val="22"/>
        </w:rPr>
        <w:t>I</w:t>
      </w:r>
      <w:r w:rsidR="004A102E" w:rsidRPr="00974377">
        <w:rPr>
          <w:rFonts w:asciiTheme="majorHAnsi" w:hAnsiTheme="majorHAnsi" w:cstheme="majorHAnsi"/>
          <w:sz w:val="22"/>
          <w:szCs w:val="22"/>
        </w:rPr>
        <w:t xml:space="preserve">SAT </w:t>
      </w:r>
      <w:r w:rsidR="00083973" w:rsidRPr="00974377">
        <w:rPr>
          <w:rFonts w:asciiTheme="majorHAnsi" w:hAnsiTheme="majorHAnsi" w:cstheme="majorHAnsi"/>
          <w:sz w:val="22"/>
          <w:szCs w:val="22"/>
        </w:rPr>
        <w:t xml:space="preserve">or individual consultants, </w:t>
      </w:r>
      <w:r w:rsidR="004A102E" w:rsidRPr="00974377">
        <w:rPr>
          <w:rFonts w:asciiTheme="majorHAnsi" w:hAnsiTheme="majorHAnsi" w:cstheme="majorHAnsi"/>
          <w:sz w:val="22"/>
          <w:szCs w:val="22"/>
        </w:rPr>
        <w:t xml:space="preserve">will be directly </w:t>
      </w:r>
      <w:r w:rsidR="003F2704" w:rsidRPr="00974377">
        <w:rPr>
          <w:rFonts w:asciiTheme="majorHAnsi" w:hAnsiTheme="majorHAnsi" w:cstheme="majorHAnsi"/>
          <w:sz w:val="22"/>
          <w:szCs w:val="22"/>
        </w:rPr>
        <w:t>engaged,</w:t>
      </w:r>
      <w:r w:rsidR="004A102E" w:rsidRPr="00974377">
        <w:rPr>
          <w:rFonts w:asciiTheme="majorHAnsi" w:hAnsiTheme="majorHAnsi" w:cstheme="majorHAnsi"/>
          <w:sz w:val="22"/>
          <w:szCs w:val="22"/>
        </w:rPr>
        <w:t xml:space="preserve"> </w:t>
      </w:r>
      <w:r w:rsidR="00A03364" w:rsidRPr="00974377">
        <w:rPr>
          <w:rFonts w:asciiTheme="majorHAnsi" w:hAnsiTheme="majorHAnsi" w:cstheme="majorHAnsi"/>
          <w:sz w:val="22"/>
          <w:szCs w:val="22"/>
        </w:rPr>
        <w:t xml:space="preserve">and managed </w:t>
      </w:r>
      <w:r w:rsidR="004A102E" w:rsidRPr="00974377">
        <w:rPr>
          <w:rFonts w:asciiTheme="majorHAnsi" w:hAnsiTheme="majorHAnsi" w:cstheme="majorHAnsi"/>
          <w:sz w:val="22"/>
          <w:szCs w:val="22"/>
        </w:rPr>
        <w:t>by DFAT and will function as an ad-hoc ‘help desk’ for enquiries</w:t>
      </w:r>
      <w:r w:rsidR="004A102E" w:rsidRPr="00974377">
        <w:rPr>
          <w:rFonts w:asciiTheme="majorHAnsi" w:hAnsiTheme="majorHAnsi" w:cs="Arial"/>
          <w:sz w:val="22"/>
          <w:szCs w:val="22"/>
          <w:lang w:eastAsia="en-AU"/>
        </w:rPr>
        <w:t xml:space="preserve"> related to issues such as program strategic planning, </w:t>
      </w:r>
      <w:r w:rsidR="00774FD1" w:rsidRPr="00974377">
        <w:rPr>
          <w:rFonts w:asciiTheme="majorHAnsi" w:hAnsiTheme="majorHAnsi" w:cs="Arial"/>
          <w:sz w:val="22"/>
          <w:szCs w:val="22"/>
          <w:lang w:eastAsia="en-AU"/>
        </w:rPr>
        <w:t>MERL</w:t>
      </w:r>
      <w:r w:rsidR="004A102E" w:rsidRPr="00974377">
        <w:rPr>
          <w:rFonts w:asciiTheme="majorHAnsi" w:hAnsiTheme="majorHAnsi" w:cs="Arial"/>
          <w:sz w:val="22"/>
          <w:szCs w:val="22"/>
          <w:lang w:eastAsia="en-AU"/>
        </w:rPr>
        <w:t>, stakeholder</w:t>
      </w:r>
      <w:r w:rsidR="009F4B5D">
        <w:rPr>
          <w:rFonts w:asciiTheme="majorHAnsi" w:hAnsiTheme="majorHAnsi" w:cs="Arial"/>
          <w:sz w:val="22"/>
          <w:szCs w:val="22"/>
          <w:lang w:eastAsia="en-AU"/>
        </w:rPr>
        <w:t xml:space="preserve"> </w:t>
      </w:r>
      <w:r w:rsidR="004A102E" w:rsidRPr="00974377">
        <w:rPr>
          <w:rFonts w:asciiTheme="majorHAnsi" w:hAnsiTheme="majorHAnsi" w:cs="Arial"/>
          <w:sz w:val="22"/>
          <w:szCs w:val="22"/>
          <w:lang w:eastAsia="en-AU"/>
        </w:rPr>
        <w:t>engagement, policy dialogue, and/or public diplomacy</w:t>
      </w:r>
      <w:r w:rsidR="004128B1">
        <w:rPr>
          <w:rFonts w:asciiTheme="majorHAnsi" w:hAnsiTheme="majorHAnsi" w:cs="Arial"/>
          <w:sz w:val="22"/>
          <w:szCs w:val="22"/>
          <w:lang w:eastAsia="en-AU"/>
        </w:rPr>
        <w:t xml:space="preserve"> (see Section F)</w:t>
      </w:r>
      <w:r w:rsidR="004A102E" w:rsidRPr="00974377">
        <w:rPr>
          <w:rFonts w:asciiTheme="majorHAnsi" w:hAnsiTheme="majorHAnsi" w:cs="Arial"/>
          <w:sz w:val="22"/>
          <w:szCs w:val="22"/>
          <w:lang w:eastAsia="en-AU"/>
        </w:rPr>
        <w:t xml:space="preserve">. </w:t>
      </w:r>
    </w:p>
    <w:p w14:paraId="5F194F1C" w14:textId="7361964F" w:rsidR="00102F6E" w:rsidRPr="00237726" w:rsidRDefault="00237726" w:rsidP="00237726">
      <w:pPr>
        <w:pStyle w:val="Heading2"/>
        <w:rPr>
          <w:b/>
          <w:bCs/>
          <w:sz w:val="22"/>
          <w:szCs w:val="22"/>
        </w:rPr>
      </w:pPr>
      <w:r w:rsidRPr="00237726">
        <w:rPr>
          <w:b/>
          <w:bCs/>
          <w:caps w:val="0"/>
          <w:sz w:val="22"/>
          <w:szCs w:val="22"/>
        </w:rPr>
        <w:t>Implementation Team</w:t>
      </w:r>
    </w:p>
    <w:p w14:paraId="23FA39C8" w14:textId="4C97EC34" w:rsidR="00395F79" w:rsidRPr="00974377" w:rsidRDefault="00DA08ED" w:rsidP="00237726">
      <w:pPr>
        <w:tabs>
          <w:tab w:val="left" w:pos="284"/>
        </w:tabs>
        <w:spacing w:after="120" w:line="281" w:lineRule="auto"/>
        <w:ind w:hanging="2"/>
        <w:rPr>
          <w:rFonts w:asciiTheme="majorHAnsi" w:hAnsiTheme="majorHAnsi"/>
          <w:sz w:val="22"/>
          <w:szCs w:val="22"/>
        </w:rPr>
      </w:pPr>
      <w:r w:rsidRPr="00974377">
        <w:rPr>
          <w:rFonts w:asciiTheme="majorHAnsi" w:hAnsiTheme="majorHAnsi"/>
          <w:sz w:val="22"/>
          <w:szCs w:val="22"/>
        </w:rPr>
        <w:t>The program implementation team will be responsible for the coordination and man</w:t>
      </w:r>
      <w:r w:rsidR="00395F79" w:rsidRPr="00974377">
        <w:rPr>
          <w:rFonts w:asciiTheme="majorHAnsi" w:hAnsiTheme="majorHAnsi"/>
          <w:sz w:val="22"/>
          <w:szCs w:val="22"/>
        </w:rPr>
        <w:t>a</w:t>
      </w:r>
      <w:r w:rsidRPr="00974377">
        <w:rPr>
          <w:rFonts w:asciiTheme="majorHAnsi" w:hAnsiTheme="majorHAnsi"/>
          <w:sz w:val="22"/>
          <w:szCs w:val="22"/>
        </w:rPr>
        <w:t xml:space="preserve">gement of INOVASI Phase 3 activities. </w:t>
      </w:r>
      <w:r w:rsidR="00395F79" w:rsidRPr="00974377">
        <w:rPr>
          <w:rFonts w:asciiTheme="majorHAnsi" w:hAnsiTheme="majorHAnsi"/>
          <w:sz w:val="22"/>
          <w:szCs w:val="22"/>
        </w:rPr>
        <w:t xml:space="preserve">The </w:t>
      </w:r>
      <w:proofErr w:type="gramStart"/>
      <w:r w:rsidR="00395F79" w:rsidRPr="00974377">
        <w:rPr>
          <w:rFonts w:asciiTheme="majorHAnsi" w:hAnsiTheme="majorHAnsi"/>
          <w:sz w:val="22"/>
          <w:szCs w:val="22"/>
        </w:rPr>
        <w:t>team’s</w:t>
      </w:r>
      <w:proofErr w:type="gramEnd"/>
      <w:r w:rsidR="00395F79" w:rsidRPr="00974377">
        <w:rPr>
          <w:rFonts w:asciiTheme="majorHAnsi" w:hAnsiTheme="majorHAnsi"/>
          <w:sz w:val="22"/>
          <w:szCs w:val="22"/>
        </w:rPr>
        <w:t xml:space="preserve"> </w:t>
      </w:r>
      <w:r w:rsidRPr="00974377">
        <w:rPr>
          <w:rFonts w:asciiTheme="majorHAnsi" w:hAnsiTheme="majorHAnsi"/>
          <w:sz w:val="22"/>
          <w:szCs w:val="22"/>
        </w:rPr>
        <w:t>headquarte</w:t>
      </w:r>
      <w:r w:rsidR="00395F79" w:rsidRPr="00974377">
        <w:rPr>
          <w:rFonts w:asciiTheme="majorHAnsi" w:hAnsiTheme="majorHAnsi"/>
          <w:sz w:val="22"/>
          <w:szCs w:val="22"/>
        </w:rPr>
        <w:t>r</w:t>
      </w:r>
      <w:r w:rsidRPr="00974377">
        <w:rPr>
          <w:rFonts w:asciiTheme="majorHAnsi" w:hAnsiTheme="majorHAnsi"/>
          <w:sz w:val="22"/>
          <w:szCs w:val="22"/>
        </w:rPr>
        <w:t xml:space="preserve"> </w:t>
      </w:r>
      <w:r w:rsidR="00395F79" w:rsidRPr="00974377">
        <w:rPr>
          <w:rFonts w:asciiTheme="majorHAnsi" w:hAnsiTheme="majorHAnsi"/>
          <w:sz w:val="22"/>
          <w:szCs w:val="22"/>
        </w:rPr>
        <w:t xml:space="preserve">will be based </w:t>
      </w:r>
      <w:r w:rsidRPr="00974377">
        <w:rPr>
          <w:rFonts w:asciiTheme="majorHAnsi" w:hAnsiTheme="majorHAnsi"/>
          <w:sz w:val="22"/>
          <w:szCs w:val="22"/>
        </w:rPr>
        <w:t>in Jakarta</w:t>
      </w:r>
      <w:r w:rsidR="00395F79" w:rsidRPr="00974377">
        <w:rPr>
          <w:rFonts w:asciiTheme="majorHAnsi" w:hAnsiTheme="majorHAnsi"/>
          <w:sz w:val="22"/>
          <w:szCs w:val="22"/>
        </w:rPr>
        <w:t xml:space="preserve"> and provincial offices will be established strategically to efficiently service </w:t>
      </w:r>
      <w:r w:rsidR="009F4B5D">
        <w:rPr>
          <w:rFonts w:asciiTheme="majorHAnsi" w:hAnsiTheme="majorHAnsi"/>
          <w:sz w:val="22"/>
          <w:szCs w:val="22"/>
        </w:rPr>
        <w:t xml:space="preserve">the </w:t>
      </w:r>
      <w:r w:rsidR="00395F79" w:rsidRPr="00974377">
        <w:rPr>
          <w:rFonts w:asciiTheme="majorHAnsi" w:hAnsiTheme="majorHAnsi"/>
          <w:sz w:val="22"/>
          <w:szCs w:val="22"/>
        </w:rPr>
        <w:t xml:space="preserve">program’s subnational needs and activities. Provincial offices will be based in regional </w:t>
      </w:r>
      <w:r w:rsidR="009F4B5D" w:rsidRPr="00974377">
        <w:rPr>
          <w:rFonts w:asciiTheme="majorHAnsi" w:hAnsiTheme="majorHAnsi"/>
          <w:sz w:val="22"/>
          <w:szCs w:val="22"/>
        </w:rPr>
        <w:t>centres</w:t>
      </w:r>
      <w:r w:rsidR="009F4B5D">
        <w:rPr>
          <w:rFonts w:asciiTheme="majorHAnsi" w:hAnsiTheme="majorHAnsi"/>
          <w:sz w:val="22"/>
          <w:szCs w:val="22"/>
        </w:rPr>
        <w:t xml:space="preserve">, </w:t>
      </w:r>
      <w:r w:rsidR="00395F79" w:rsidRPr="00974377">
        <w:rPr>
          <w:rFonts w:asciiTheme="majorHAnsi" w:hAnsiTheme="majorHAnsi"/>
          <w:sz w:val="22"/>
          <w:szCs w:val="22"/>
        </w:rPr>
        <w:t>well connected logistically, where provincial stakeholders (</w:t>
      </w:r>
      <w:r w:rsidR="00060161" w:rsidRPr="00974377">
        <w:rPr>
          <w:rFonts w:asciiTheme="majorHAnsi" w:hAnsiTheme="majorHAnsi"/>
          <w:sz w:val="22"/>
          <w:szCs w:val="22"/>
        </w:rPr>
        <w:t>e.g.,</w:t>
      </w:r>
      <w:r w:rsidR="00395F79" w:rsidRPr="00974377">
        <w:rPr>
          <w:rFonts w:asciiTheme="majorHAnsi" w:hAnsiTheme="majorHAnsi"/>
          <w:sz w:val="22"/>
          <w:szCs w:val="22"/>
        </w:rPr>
        <w:t xml:space="preserve"> TTI, BGP and BPMP) are located</w:t>
      </w:r>
      <w:r w:rsidR="00A03364" w:rsidRPr="00974377">
        <w:rPr>
          <w:rFonts w:asciiTheme="majorHAnsi" w:hAnsiTheme="majorHAnsi"/>
          <w:sz w:val="22"/>
          <w:szCs w:val="22"/>
        </w:rPr>
        <w:t>,</w:t>
      </w:r>
      <w:r w:rsidR="00395F79" w:rsidRPr="00974377">
        <w:rPr>
          <w:rFonts w:asciiTheme="majorHAnsi" w:hAnsiTheme="majorHAnsi"/>
          <w:sz w:val="22"/>
          <w:szCs w:val="22"/>
        </w:rPr>
        <w:t xml:space="preserve"> and from where a decent pool of local consultants can be mobilised. </w:t>
      </w:r>
      <w:r w:rsidR="00A03364" w:rsidRPr="00974377">
        <w:rPr>
          <w:rFonts w:asciiTheme="majorHAnsi" w:hAnsiTheme="majorHAnsi"/>
          <w:sz w:val="22"/>
          <w:szCs w:val="22"/>
        </w:rPr>
        <w:t>Cognisant of the six target provinces, t</w:t>
      </w:r>
      <w:r w:rsidR="00395F79" w:rsidRPr="00974377">
        <w:rPr>
          <w:rFonts w:asciiTheme="majorHAnsi" w:hAnsiTheme="majorHAnsi"/>
          <w:sz w:val="22"/>
          <w:szCs w:val="22"/>
        </w:rPr>
        <w:t xml:space="preserve">he number and location of provincial offices will be suggested by the managing contractor and approved by Post. </w:t>
      </w:r>
    </w:p>
    <w:p w14:paraId="66D90AC1" w14:textId="1C49C70F" w:rsidR="00DC7461" w:rsidRPr="00974377" w:rsidRDefault="000A1567" w:rsidP="00237726">
      <w:pPr>
        <w:tabs>
          <w:tab w:val="left" w:pos="284"/>
        </w:tabs>
        <w:spacing w:after="120" w:line="281" w:lineRule="auto"/>
        <w:ind w:left="-2"/>
        <w:rPr>
          <w:rFonts w:asciiTheme="majorHAnsi" w:eastAsia="Calibri" w:hAnsiTheme="majorHAnsi" w:cstheme="majorHAnsi"/>
          <w:sz w:val="22"/>
          <w:szCs w:val="22"/>
        </w:rPr>
      </w:pPr>
      <w:r w:rsidRPr="00974377">
        <w:rPr>
          <w:rFonts w:asciiTheme="majorHAnsi" w:hAnsiTheme="majorHAnsi"/>
          <w:sz w:val="22"/>
          <w:szCs w:val="22"/>
        </w:rPr>
        <w:t xml:space="preserve">The initial structure and composition of the implementation team will be agreed prior to team </w:t>
      </w:r>
      <w:r w:rsidR="00AE637B" w:rsidRPr="00974377">
        <w:rPr>
          <w:rFonts w:asciiTheme="majorHAnsi" w:hAnsiTheme="majorHAnsi"/>
          <w:sz w:val="22"/>
          <w:szCs w:val="22"/>
        </w:rPr>
        <w:t>mobilisation and</w:t>
      </w:r>
      <w:r w:rsidRPr="00974377">
        <w:rPr>
          <w:rFonts w:asciiTheme="majorHAnsi" w:hAnsiTheme="majorHAnsi"/>
          <w:sz w:val="22"/>
          <w:szCs w:val="22"/>
        </w:rPr>
        <w:t xml:space="preserve"> be subject to changes as the program evolves. It will be led by a full-time Program Director </w:t>
      </w:r>
      <w:r w:rsidR="00DC7461" w:rsidRPr="00974377">
        <w:rPr>
          <w:rFonts w:asciiTheme="majorHAnsi" w:eastAsia="Calibri" w:hAnsiTheme="majorHAnsi" w:cstheme="majorHAnsi"/>
          <w:sz w:val="22"/>
          <w:szCs w:val="22"/>
        </w:rPr>
        <w:t xml:space="preserve">who will have overall responsibility for the delivery of program implementation. </w:t>
      </w:r>
      <w:r w:rsidR="004F0FF1" w:rsidRPr="00974377">
        <w:rPr>
          <w:rFonts w:asciiTheme="majorHAnsi" w:eastAsia="Calibri" w:hAnsiTheme="majorHAnsi" w:cstheme="majorHAnsi"/>
          <w:sz w:val="22"/>
          <w:szCs w:val="22"/>
        </w:rPr>
        <w:t xml:space="preserve">In addition to the Program Director, the leadership team will necessarily include senior </w:t>
      </w:r>
      <w:r w:rsidR="00774FD1" w:rsidRPr="00974377">
        <w:rPr>
          <w:rFonts w:asciiTheme="majorHAnsi" w:eastAsia="Calibri" w:hAnsiTheme="majorHAnsi" w:cstheme="majorHAnsi"/>
          <w:sz w:val="22"/>
          <w:szCs w:val="22"/>
        </w:rPr>
        <w:t>MERL</w:t>
      </w:r>
      <w:r w:rsidR="009217CD" w:rsidRPr="00974377">
        <w:rPr>
          <w:rFonts w:asciiTheme="majorHAnsi" w:eastAsia="Calibri" w:hAnsiTheme="majorHAnsi" w:cstheme="majorHAnsi"/>
          <w:sz w:val="22"/>
          <w:szCs w:val="22"/>
        </w:rPr>
        <w:t>, gender equality and disability inclusion</w:t>
      </w:r>
      <w:r w:rsidR="004F0FF1" w:rsidRPr="00974377">
        <w:rPr>
          <w:rFonts w:asciiTheme="majorHAnsi" w:eastAsia="Calibri" w:hAnsiTheme="majorHAnsi" w:cstheme="majorHAnsi"/>
          <w:sz w:val="22"/>
          <w:szCs w:val="22"/>
        </w:rPr>
        <w:t xml:space="preserve"> specialists. In addition, t</w:t>
      </w:r>
      <w:r w:rsidR="00DC7461" w:rsidRPr="00974377">
        <w:rPr>
          <w:rFonts w:asciiTheme="majorHAnsi" w:eastAsia="Calibri" w:hAnsiTheme="majorHAnsi" w:cstheme="majorHAnsi"/>
          <w:sz w:val="22"/>
          <w:szCs w:val="22"/>
        </w:rPr>
        <w:t xml:space="preserve">he team will be </w:t>
      </w:r>
      <w:r w:rsidR="00DC7461" w:rsidRPr="00974377">
        <w:rPr>
          <w:rFonts w:asciiTheme="majorHAnsi" w:hAnsiTheme="majorHAnsi"/>
          <w:sz w:val="22"/>
          <w:szCs w:val="22"/>
        </w:rPr>
        <w:t xml:space="preserve">staffed by professionals with appropriate technical expertise in </w:t>
      </w:r>
      <w:r w:rsidR="00EF0A7A" w:rsidRPr="00974377">
        <w:rPr>
          <w:rFonts w:asciiTheme="majorHAnsi" w:hAnsiTheme="majorHAnsi"/>
          <w:sz w:val="22"/>
          <w:szCs w:val="22"/>
        </w:rPr>
        <w:t xml:space="preserve">education and </w:t>
      </w:r>
      <w:r w:rsidR="00DC7461" w:rsidRPr="00974377">
        <w:rPr>
          <w:rFonts w:asciiTheme="majorHAnsi" w:hAnsiTheme="majorHAnsi"/>
          <w:sz w:val="22"/>
          <w:szCs w:val="22"/>
        </w:rPr>
        <w:t>Indonesia education policy, system</w:t>
      </w:r>
      <w:r w:rsidR="004F0FF1" w:rsidRPr="00974377">
        <w:rPr>
          <w:rFonts w:asciiTheme="majorHAnsi" w:hAnsiTheme="majorHAnsi"/>
          <w:sz w:val="22"/>
          <w:szCs w:val="22"/>
        </w:rPr>
        <w:t>s</w:t>
      </w:r>
      <w:r w:rsidR="00DC7461" w:rsidRPr="00974377">
        <w:rPr>
          <w:rFonts w:asciiTheme="majorHAnsi" w:hAnsiTheme="majorHAnsi"/>
          <w:sz w:val="22"/>
          <w:szCs w:val="22"/>
        </w:rPr>
        <w:t xml:space="preserve"> and practices</w:t>
      </w:r>
      <w:r w:rsidR="004F0FF1" w:rsidRPr="00974377">
        <w:rPr>
          <w:rFonts w:asciiTheme="majorHAnsi" w:hAnsiTheme="majorHAnsi"/>
          <w:sz w:val="22"/>
          <w:szCs w:val="22"/>
        </w:rPr>
        <w:t>,</w:t>
      </w:r>
      <w:r w:rsidR="00DC7461" w:rsidRPr="00974377">
        <w:rPr>
          <w:rFonts w:asciiTheme="majorHAnsi" w:hAnsiTheme="majorHAnsi"/>
          <w:sz w:val="22"/>
          <w:szCs w:val="22"/>
        </w:rPr>
        <w:t xml:space="preserve"> </w:t>
      </w:r>
      <w:r w:rsidR="00774FD1" w:rsidRPr="00974377">
        <w:rPr>
          <w:rFonts w:asciiTheme="majorHAnsi" w:hAnsiTheme="majorHAnsi"/>
          <w:sz w:val="22"/>
          <w:szCs w:val="22"/>
        </w:rPr>
        <w:t>MERL</w:t>
      </w:r>
      <w:r w:rsidR="004F0FF1" w:rsidRPr="00974377">
        <w:rPr>
          <w:rFonts w:asciiTheme="majorHAnsi" w:hAnsiTheme="majorHAnsi"/>
          <w:sz w:val="22"/>
          <w:szCs w:val="22"/>
        </w:rPr>
        <w:t>,</w:t>
      </w:r>
      <w:r w:rsidR="00DC7461" w:rsidRPr="00974377">
        <w:rPr>
          <w:rFonts w:asciiTheme="majorHAnsi" w:hAnsiTheme="majorHAnsi"/>
          <w:sz w:val="22"/>
          <w:szCs w:val="22"/>
        </w:rPr>
        <w:t xml:space="preserve"> GEDSI</w:t>
      </w:r>
      <w:r w:rsidR="004F0FF1" w:rsidRPr="00974377">
        <w:rPr>
          <w:rFonts w:asciiTheme="majorHAnsi" w:hAnsiTheme="majorHAnsi"/>
          <w:sz w:val="22"/>
          <w:szCs w:val="22"/>
        </w:rPr>
        <w:t>,</w:t>
      </w:r>
      <w:r w:rsidR="00DC7461" w:rsidRPr="00974377">
        <w:rPr>
          <w:rFonts w:asciiTheme="majorHAnsi" w:hAnsiTheme="majorHAnsi"/>
          <w:sz w:val="22"/>
          <w:szCs w:val="22"/>
        </w:rPr>
        <w:t xml:space="preserve"> climate change</w:t>
      </w:r>
      <w:r w:rsidR="004F0FF1" w:rsidRPr="00974377">
        <w:rPr>
          <w:rFonts w:asciiTheme="majorHAnsi" w:hAnsiTheme="majorHAnsi"/>
          <w:sz w:val="22"/>
          <w:szCs w:val="22"/>
        </w:rPr>
        <w:t>,</w:t>
      </w:r>
      <w:r w:rsidR="00DC7461" w:rsidRPr="00974377">
        <w:rPr>
          <w:rFonts w:asciiTheme="majorHAnsi" w:hAnsiTheme="majorHAnsi"/>
          <w:sz w:val="22"/>
          <w:szCs w:val="22"/>
        </w:rPr>
        <w:t xml:space="preserve"> communications</w:t>
      </w:r>
      <w:r w:rsidR="004F0FF1" w:rsidRPr="00974377">
        <w:rPr>
          <w:rFonts w:asciiTheme="majorHAnsi" w:hAnsiTheme="majorHAnsi"/>
          <w:sz w:val="22"/>
          <w:szCs w:val="22"/>
        </w:rPr>
        <w:t>,</w:t>
      </w:r>
      <w:r w:rsidR="00DC7461" w:rsidRPr="00974377">
        <w:rPr>
          <w:rFonts w:asciiTheme="majorHAnsi" w:hAnsiTheme="majorHAnsi"/>
          <w:sz w:val="22"/>
          <w:szCs w:val="22"/>
        </w:rPr>
        <w:t xml:space="preserve"> as well as </w:t>
      </w:r>
      <w:r w:rsidR="00DC7461" w:rsidRPr="00974377">
        <w:rPr>
          <w:rFonts w:asciiTheme="majorHAnsi" w:hAnsiTheme="majorHAnsi" w:cstheme="majorHAnsi"/>
          <w:sz w:val="22"/>
          <w:szCs w:val="22"/>
        </w:rPr>
        <w:t xml:space="preserve">appropriate management expertise in </w:t>
      </w:r>
      <w:r w:rsidR="00DC7461" w:rsidRPr="00974377">
        <w:rPr>
          <w:rFonts w:asciiTheme="majorHAnsi" w:eastAsia="Calibri" w:hAnsiTheme="majorHAnsi" w:cstheme="majorHAnsi"/>
          <w:sz w:val="22"/>
          <w:szCs w:val="22"/>
        </w:rPr>
        <w:t xml:space="preserve">planning, administration, finance, </w:t>
      </w:r>
      <w:r w:rsidR="00A81A47">
        <w:rPr>
          <w:rFonts w:asciiTheme="majorHAnsi" w:hAnsiTheme="majorHAnsi"/>
          <w:sz w:val="22"/>
          <w:szCs w:val="22"/>
        </w:rPr>
        <w:t xml:space="preserve">risks </w:t>
      </w:r>
      <w:r w:rsidR="00A81A47">
        <w:rPr>
          <w:rFonts w:asciiTheme="majorHAnsi" w:hAnsiTheme="majorHAnsi"/>
          <w:sz w:val="22"/>
          <w:szCs w:val="22"/>
        </w:rPr>
        <w:lastRenderedPageBreak/>
        <w:t>and safeguards,</w:t>
      </w:r>
      <w:r w:rsidR="00A81A47" w:rsidRPr="00974377">
        <w:rPr>
          <w:rFonts w:asciiTheme="majorHAnsi" w:eastAsia="Calibri" w:hAnsiTheme="majorHAnsi" w:cstheme="majorHAnsi"/>
          <w:sz w:val="22"/>
          <w:szCs w:val="22"/>
        </w:rPr>
        <w:t xml:space="preserve"> </w:t>
      </w:r>
      <w:r w:rsidR="00DC7461" w:rsidRPr="00974377">
        <w:rPr>
          <w:rFonts w:asciiTheme="majorHAnsi" w:eastAsia="Calibri" w:hAnsiTheme="majorHAnsi" w:cstheme="majorHAnsi"/>
          <w:sz w:val="22"/>
          <w:szCs w:val="22"/>
        </w:rPr>
        <w:t>and human resource management</w:t>
      </w:r>
      <w:r w:rsidR="00DC7461" w:rsidRPr="00974377">
        <w:rPr>
          <w:rFonts w:asciiTheme="majorHAnsi" w:hAnsiTheme="majorHAnsi"/>
          <w:sz w:val="22"/>
          <w:szCs w:val="22"/>
        </w:rPr>
        <w:t xml:space="preserve">. </w:t>
      </w:r>
      <w:r w:rsidR="00C24E0C" w:rsidRPr="00974377">
        <w:rPr>
          <w:rFonts w:asciiTheme="majorHAnsi" w:eastAsia="Calibri" w:hAnsiTheme="majorHAnsi" w:cstheme="majorHAnsi"/>
          <w:sz w:val="22"/>
          <w:szCs w:val="22"/>
        </w:rPr>
        <w:t>Given the program’s substantial engagement at sub-national level, it is expected the implementation team includes s</w:t>
      </w:r>
      <w:r w:rsidR="004F0FF1" w:rsidRPr="00974377">
        <w:rPr>
          <w:rFonts w:asciiTheme="majorHAnsi" w:eastAsia="Calibri" w:hAnsiTheme="majorHAnsi" w:cstheme="majorHAnsi"/>
          <w:sz w:val="22"/>
          <w:szCs w:val="22"/>
        </w:rPr>
        <w:t xml:space="preserve">ubstantial </w:t>
      </w:r>
      <w:r w:rsidR="00C24E0C" w:rsidRPr="00974377">
        <w:rPr>
          <w:rFonts w:asciiTheme="majorHAnsi" w:eastAsia="Calibri" w:hAnsiTheme="majorHAnsi" w:cstheme="majorHAnsi"/>
          <w:sz w:val="22"/>
          <w:szCs w:val="22"/>
        </w:rPr>
        <w:t xml:space="preserve">resources at provincial level: provincial offices will be led by dedicated provincial managers and staffed appropriately to develop and implement the activities in targeted districts. There will be a high degree of technical coordination across the provincial teams, with lesson learned and shared from one province to the other. </w:t>
      </w:r>
      <w:r w:rsidR="004F0FF1" w:rsidRPr="00974377">
        <w:rPr>
          <w:rFonts w:asciiTheme="majorHAnsi" w:hAnsiTheme="majorHAnsi"/>
          <w:sz w:val="22"/>
          <w:szCs w:val="22"/>
        </w:rPr>
        <w:t>Both</w:t>
      </w:r>
      <w:r w:rsidR="00DC7461" w:rsidRPr="00974377">
        <w:rPr>
          <w:rFonts w:asciiTheme="majorHAnsi" w:hAnsiTheme="majorHAnsi"/>
          <w:sz w:val="22"/>
          <w:szCs w:val="22"/>
        </w:rPr>
        <w:t xml:space="preserve"> </w:t>
      </w:r>
      <w:r w:rsidR="00C24E0C" w:rsidRPr="00974377">
        <w:rPr>
          <w:rFonts w:asciiTheme="majorHAnsi" w:hAnsiTheme="majorHAnsi"/>
          <w:sz w:val="22"/>
          <w:szCs w:val="22"/>
        </w:rPr>
        <w:t xml:space="preserve">central and provincial </w:t>
      </w:r>
      <w:r w:rsidR="00DC7461" w:rsidRPr="00974377">
        <w:rPr>
          <w:rFonts w:asciiTheme="majorHAnsi" w:hAnsiTheme="majorHAnsi"/>
          <w:sz w:val="22"/>
          <w:szCs w:val="22"/>
        </w:rPr>
        <w:t>team</w:t>
      </w:r>
      <w:r w:rsidR="00C24E0C" w:rsidRPr="00974377">
        <w:rPr>
          <w:rFonts w:asciiTheme="majorHAnsi" w:hAnsiTheme="majorHAnsi"/>
          <w:sz w:val="22"/>
          <w:szCs w:val="22"/>
        </w:rPr>
        <w:t>s</w:t>
      </w:r>
      <w:r w:rsidR="00DC7461" w:rsidRPr="00974377">
        <w:rPr>
          <w:rFonts w:asciiTheme="majorHAnsi" w:eastAsia="Calibri" w:hAnsiTheme="majorHAnsi" w:cstheme="majorHAnsi"/>
          <w:sz w:val="22"/>
          <w:szCs w:val="22"/>
        </w:rPr>
        <w:t xml:space="preserve"> will primarily </w:t>
      </w:r>
      <w:r w:rsidR="00EF6FEA">
        <w:rPr>
          <w:rFonts w:asciiTheme="majorHAnsi" w:eastAsia="Calibri" w:hAnsiTheme="majorHAnsi" w:cstheme="majorHAnsi"/>
          <w:sz w:val="22"/>
          <w:szCs w:val="22"/>
        </w:rPr>
        <w:t xml:space="preserve">be </w:t>
      </w:r>
      <w:r w:rsidR="00DC7461" w:rsidRPr="00974377">
        <w:rPr>
          <w:rFonts w:asciiTheme="majorHAnsi" w:eastAsia="Calibri" w:hAnsiTheme="majorHAnsi" w:cstheme="majorHAnsi"/>
          <w:sz w:val="22"/>
          <w:szCs w:val="22"/>
        </w:rPr>
        <w:t>comprise</w:t>
      </w:r>
      <w:r w:rsidR="00EF6FEA">
        <w:rPr>
          <w:rFonts w:asciiTheme="majorHAnsi" w:eastAsia="Calibri" w:hAnsiTheme="majorHAnsi" w:cstheme="majorHAnsi"/>
          <w:sz w:val="22"/>
          <w:szCs w:val="22"/>
        </w:rPr>
        <w:t>d of</w:t>
      </w:r>
      <w:r w:rsidR="00DC7461" w:rsidRPr="00974377">
        <w:rPr>
          <w:rFonts w:asciiTheme="majorHAnsi" w:eastAsia="Calibri" w:hAnsiTheme="majorHAnsi" w:cstheme="majorHAnsi"/>
          <w:sz w:val="22"/>
          <w:szCs w:val="22"/>
        </w:rPr>
        <w:t xml:space="preserve"> national staff members who will draw on short-term international expertise when needed. </w:t>
      </w:r>
      <w:r w:rsidR="00DC7461" w:rsidRPr="00974377">
        <w:rPr>
          <w:rFonts w:asciiTheme="majorHAnsi" w:hAnsiTheme="majorHAnsi"/>
          <w:sz w:val="22"/>
          <w:szCs w:val="22"/>
        </w:rPr>
        <w:t xml:space="preserve">Intentional efforts will be made to mobilise a team that models inclusive practice and includes women and people with disability, especially in key roles. </w:t>
      </w:r>
    </w:p>
    <w:p w14:paraId="7DE95B8C" w14:textId="255A1170" w:rsidR="004F0FF1" w:rsidRPr="00974377" w:rsidRDefault="004F0FF1" w:rsidP="00237726">
      <w:pPr>
        <w:tabs>
          <w:tab w:val="left" w:pos="284"/>
        </w:tabs>
        <w:spacing w:after="120" w:line="281" w:lineRule="auto"/>
        <w:rPr>
          <w:rFonts w:asciiTheme="majorHAnsi" w:hAnsiTheme="majorHAnsi"/>
          <w:sz w:val="22"/>
          <w:szCs w:val="22"/>
        </w:rPr>
      </w:pPr>
      <w:r w:rsidRPr="00974377">
        <w:rPr>
          <w:rFonts w:asciiTheme="majorHAnsi" w:hAnsiTheme="majorHAnsi"/>
          <w:sz w:val="22"/>
          <w:szCs w:val="22"/>
        </w:rPr>
        <w:t xml:space="preserve">The implementation team will support DFAT in their broader policy dialogue with </w:t>
      </w:r>
      <w:proofErr w:type="spellStart"/>
      <w:r w:rsidRPr="00974377">
        <w:rPr>
          <w:rFonts w:asciiTheme="majorHAnsi" w:hAnsiTheme="majorHAnsi"/>
          <w:sz w:val="22"/>
          <w:szCs w:val="22"/>
        </w:rPr>
        <w:t>GoI</w:t>
      </w:r>
      <w:proofErr w:type="spellEnd"/>
      <w:r w:rsidRPr="00974377">
        <w:rPr>
          <w:rFonts w:asciiTheme="majorHAnsi" w:hAnsiTheme="majorHAnsi"/>
          <w:sz w:val="22"/>
          <w:szCs w:val="22"/>
        </w:rPr>
        <w:t xml:space="preserve"> and will need to work closely and in a collaborative manner with Post and</w:t>
      </w:r>
      <w:r w:rsidRPr="00974377">
        <w:rPr>
          <w:rFonts w:asciiTheme="majorHAnsi" w:hAnsiTheme="majorHAnsi" w:cstheme="majorHAnsi"/>
          <w:sz w:val="22"/>
          <w:szCs w:val="22"/>
        </w:rPr>
        <w:t xml:space="preserve"> </w:t>
      </w:r>
      <w:r w:rsidRPr="00974377">
        <w:rPr>
          <w:rFonts w:asciiTheme="majorHAnsi" w:hAnsiTheme="majorHAnsi"/>
          <w:sz w:val="22"/>
          <w:szCs w:val="22"/>
        </w:rPr>
        <w:t xml:space="preserve">display a responsive attitude. The team will include sufficient knowledge of and experience with DFAT management systems and processes, and a capacity to ensure program implementation is in line with all DFAT guidelines and requirements, including related to fraud control, child protection, and </w:t>
      </w:r>
      <w:r w:rsidR="00C6076C">
        <w:rPr>
          <w:rFonts w:asciiTheme="majorHAnsi" w:hAnsiTheme="majorHAnsi"/>
          <w:sz w:val="22"/>
          <w:szCs w:val="22"/>
        </w:rPr>
        <w:t>protection from sexual exploitation, abuse</w:t>
      </w:r>
      <w:r w:rsidR="00607269">
        <w:rPr>
          <w:rFonts w:asciiTheme="majorHAnsi" w:hAnsiTheme="majorHAnsi"/>
          <w:sz w:val="22"/>
          <w:szCs w:val="22"/>
        </w:rPr>
        <w:t>,</w:t>
      </w:r>
      <w:r w:rsidR="00C6076C">
        <w:rPr>
          <w:rFonts w:asciiTheme="majorHAnsi" w:hAnsiTheme="majorHAnsi"/>
          <w:sz w:val="22"/>
          <w:szCs w:val="22"/>
        </w:rPr>
        <w:t xml:space="preserve"> and harassment (PS</w:t>
      </w:r>
      <w:r w:rsidRPr="00974377">
        <w:rPr>
          <w:rFonts w:asciiTheme="majorHAnsi" w:hAnsiTheme="majorHAnsi"/>
          <w:sz w:val="22"/>
          <w:szCs w:val="22"/>
        </w:rPr>
        <w:t>EAH</w:t>
      </w:r>
      <w:r w:rsidR="00C6076C">
        <w:rPr>
          <w:rFonts w:asciiTheme="majorHAnsi" w:hAnsiTheme="majorHAnsi"/>
          <w:sz w:val="22"/>
          <w:szCs w:val="22"/>
        </w:rPr>
        <w:t>)</w:t>
      </w:r>
      <w:r w:rsidRPr="00974377">
        <w:rPr>
          <w:rFonts w:asciiTheme="majorHAnsi" w:hAnsiTheme="majorHAnsi"/>
          <w:sz w:val="22"/>
          <w:szCs w:val="22"/>
        </w:rPr>
        <w:t xml:space="preserve">. During the first three months of implementation, the Managing Contractor will be required to review and update the program Operations Manual, which will set out standard operating procedures for implementing the program in compliance with DFAT standards and form the basis for oversight by the BEU team at post. </w:t>
      </w:r>
    </w:p>
    <w:p w14:paraId="240F64A3" w14:textId="2EA9DB9D" w:rsidR="00C24E0C" w:rsidRPr="00974377" w:rsidRDefault="004F0FF1" w:rsidP="00237726">
      <w:pPr>
        <w:tabs>
          <w:tab w:val="left" w:pos="284"/>
        </w:tabs>
        <w:spacing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 xml:space="preserve">The implementation team will have and/or </w:t>
      </w:r>
      <w:r w:rsidR="0003210E" w:rsidRPr="00974377">
        <w:rPr>
          <w:rFonts w:asciiTheme="majorHAnsi" w:hAnsiTheme="majorHAnsi" w:cstheme="majorHAnsi"/>
          <w:sz w:val="22"/>
          <w:szCs w:val="22"/>
        </w:rPr>
        <w:t xml:space="preserve">rapidly </w:t>
      </w:r>
      <w:r w:rsidRPr="00974377">
        <w:rPr>
          <w:rFonts w:asciiTheme="majorHAnsi" w:hAnsiTheme="majorHAnsi" w:cstheme="majorHAnsi"/>
          <w:sz w:val="22"/>
          <w:szCs w:val="22"/>
        </w:rPr>
        <w:t xml:space="preserve">develop an in-depth understanding of </w:t>
      </w:r>
      <w:r w:rsidRPr="00974377">
        <w:rPr>
          <w:rFonts w:asciiTheme="majorHAnsi" w:hAnsiTheme="majorHAnsi"/>
          <w:sz w:val="22"/>
          <w:szCs w:val="22"/>
        </w:rPr>
        <w:t xml:space="preserve">current education reforms in Indonesia, including </w:t>
      </w:r>
      <w:r w:rsidR="0003210E" w:rsidRPr="00974377">
        <w:rPr>
          <w:rFonts w:asciiTheme="majorHAnsi" w:hAnsiTheme="majorHAnsi"/>
          <w:sz w:val="22"/>
          <w:szCs w:val="22"/>
        </w:rPr>
        <w:t xml:space="preserve">the role and composition of stakeholders </w:t>
      </w:r>
      <w:r w:rsidRPr="00974377">
        <w:rPr>
          <w:rFonts w:asciiTheme="majorHAnsi" w:hAnsiTheme="majorHAnsi"/>
          <w:sz w:val="22"/>
          <w:szCs w:val="22"/>
        </w:rPr>
        <w:t>a</w:t>
      </w:r>
      <w:r w:rsidR="0003210E" w:rsidRPr="00974377">
        <w:rPr>
          <w:rFonts w:asciiTheme="majorHAnsi" w:hAnsiTheme="majorHAnsi"/>
          <w:sz w:val="22"/>
          <w:szCs w:val="22"/>
        </w:rPr>
        <w:t>t</w:t>
      </w:r>
      <w:r w:rsidRPr="00974377">
        <w:rPr>
          <w:rFonts w:asciiTheme="majorHAnsi" w:hAnsiTheme="majorHAnsi"/>
          <w:sz w:val="22"/>
          <w:szCs w:val="22"/>
        </w:rPr>
        <w:t xml:space="preserve"> subnational level. The team will liaise regularly with a range of Indonesian stakeholders, including NSC and PSC members, subnational partners, other DFAT programs’ teams, NGOs and OPDs, and</w:t>
      </w:r>
      <w:r w:rsidR="00C0294D" w:rsidRPr="00C0294D">
        <w:rPr>
          <w:rFonts w:asciiTheme="majorHAnsi" w:hAnsiTheme="majorHAnsi"/>
          <w:sz w:val="22"/>
          <w:szCs w:val="22"/>
        </w:rPr>
        <w:t xml:space="preserve"> other key development partners such as UNICEF in Papua, </w:t>
      </w:r>
      <w:proofErr w:type="spellStart"/>
      <w:r w:rsidR="00C0294D" w:rsidRPr="00C0294D">
        <w:rPr>
          <w:rFonts w:asciiTheme="majorHAnsi" w:hAnsiTheme="majorHAnsi"/>
          <w:sz w:val="22"/>
          <w:szCs w:val="22"/>
        </w:rPr>
        <w:t>Tano</w:t>
      </w:r>
      <w:r w:rsidR="00F4470E">
        <w:rPr>
          <w:rFonts w:asciiTheme="majorHAnsi" w:hAnsiTheme="majorHAnsi"/>
          <w:sz w:val="22"/>
          <w:szCs w:val="22"/>
        </w:rPr>
        <w:t>to</w:t>
      </w:r>
      <w:proofErr w:type="spellEnd"/>
      <w:r w:rsidR="00C0294D" w:rsidRPr="00C0294D">
        <w:rPr>
          <w:rFonts w:asciiTheme="majorHAnsi" w:hAnsiTheme="majorHAnsi"/>
          <w:sz w:val="22"/>
          <w:szCs w:val="22"/>
        </w:rPr>
        <w:t xml:space="preserve"> </w:t>
      </w:r>
      <w:r w:rsidR="00F3315B">
        <w:rPr>
          <w:rFonts w:asciiTheme="majorHAnsi" w:hAnsiTheme="majorHAnsi"/>
          <w:sz w:val="22"/>
          <w:szCs w:val="22"/>
        </w:rPr>
        <w:t xml:space="preserve">Foundation </w:t>
      </w:r>
      <w:r w:rsidR="00C0294D" w:rsidRPr="00C0294D">
        <w:rPr>
          <w:rFonts w:asciiTheme="majorHAnsi" w:hAnsiTheme="majorHAnsi"/>
          <w:sz w:val="22"/>
          <w:szCs w:val="22"/>
        </w:rPr>
        <w:t>in Sumatra, and the World Bank for joined up lessons and policy dialogue</w:t>
      </w:r>
      <w:r w:rsidRPr="00974377">
        <w:rPr>
          <w:rFonts w:asciiTheme="majorHAnsi" w:hAnsiTheme="majorHAnsi"/>
          <w:sz w:val="22"/>
          <w:szCs w:val="22"/>
        </w:rPr>
        <w:t>. As such, the team will need to demonstrate an ability to form, nurture and consolidate effective relationships with a</w:t>
      </w:r>
      <w:r w:rsidR="0003210E" w:rsidRPr="00974377">
        <w:rPr>
          <w:rFonts w:asciiTheme="majorHAnsi" w:hAnsiTheme="majorHAnsi"/>
          <w:sz w:val="22"/>
          <w:szCs w:val="22"/>
        </w:rPr>
        <w:t xml:space="preserve">ll these </w:t>
      </w:r>
      <w:r w:rsidRPr="00974377">
        <w:rPr>
          <w:rFonts w:asciiTheme="majorHAnsi" w:hAnsiTheme="majorHAnsi"/>
          <w:sz w:val="22"/>
          <w:szCs w:val="22"/>
        </w:rPr>
        <w:t>stakeholders and to</w:t>
      </w:r>
      <w:r w:rsidR="00C24E0C" w:rsidRPr="00974377">
        <w:rPr>
          <w:rFonts w:asciiTheme="majorHAnsi" w:hAnsiTheme="majorHAnsi" w:cstheme="majorHAnsi"/>
          <w:sz w:val="22"/>
          <w:szCs w:val="22"/>
        </w:rPr>
        <w:t xml:space="preserve"> consistently think and work politically as it supports </w:t>
      </w:r>
      <w:r w:rsidR="0003210E" w:rsidRPr="00974377">
        <w:rPr>
          <w:rFonts w:asciiTheme="majorHAnsi" w:hAnsiTheme="majorHAnsi" w:cstheme="majorHAnsi"/>
          <w:sz w:val="22"/>
          <w:szCs w:val="22"/>
        </w:rPr>
        <w:t>them</w:t>
      </w:r>
      <w:r w:rsidR="00C24E0C" w:rsidRPr="00974377">
        <w:rPr>
          <w:rFonts w:asciiTheme="majorHAnsi" w:hAnsiTheme="majorHAnsi" w:cstheme="majorHAnsi"/>
          <w:sz w:val="22"/>
          <w:szCs w:val="22"/>
        </w:rPr>
        <w:t xml:space="preserve"> to develop </w:t>
      </w:r>
      <w:r w:rsidR="0003210E" w:rsidRPr="00974377">
        <w:rPr>
          <w:rFonts w:asciiTheme="majorHAnsi" w:hAnsiTheme="majorHAnsi" w:cstheme="majorHAnsi"/>
          <w:sz w:val="22"/>
          <w:szCs w:val="22"/>
        </w:rPr>
        <w:t xml:space="preserve">and deploy </w:t>
      </w:r>
      <w:r w:rsidRPr="00974377">
        <w:rPr>
          <w:rFonts w:asciiTheme="majorHAnsi" w:hAnsiTheme="majorHAnsi" w:cstheme="majorHAnsi"/>
          <w:sz w:val="22"/>
          <w:szCs w:val="22"/>
        </w:rPr>
        <w:t xml:space="preserve">their own </w:t>
      </w:r>
      <w:r w:rsidR="00C24E0C" w:rsidRPr="00974377">
        <w:rPr>
          <w:rFonts w:asciiTheme="majorHAnsi" w:hAnsiTheme="majorHAnsi" w:cstheme="majorHAnsi"/>
          <w:sz w:val="22"/>
          <w:szCs w:val="22"/>
        </w:rPr>
        <w:t>solutions</w:t>
      </w:r>
      <w:r w:rsidRPr="00974377">
        <w:rPr>
          <w:rFonts w:asciiTheme="majorHAnsi" w:hAnsiTheme="majorHAnsi" w:cstheme="majorHAnsi"/>
          <w:sz w:val="22"/>
          <w:szCs w:val="22"/>
        </w:rPr>
        <w:t xml:space="preserve"> to implement education reforms</w:t>
      </w:r>
      <w:r w:rsidR="00C24E0C" w:rsidRPr="00974377">
        <w:rPr>
          <w:rFonts w:asciiTheme="majorHAnsi" w:hAnsiTheme="majorHAnsi" w:cstheme="majorHAnsi"/>
          <w:sz w:val="22"/>
          <w:szCs w:val="22"/>
        </w:rPr>
        <w:t xml:space="preserve">. </w:t>
      </w:r>
    </w:p>
    <w:p w14:paraId="69C9C481" w14:textId="5A8B88EB" w:rsidR="007E1662" w:rsidRPr="00237726" w:rsidRDefault="00237726" w:rsidP="00237726">
      <w:pPr>
        <w:pStyle w:val="Heading2"/>
        <w:rPr>
          <w:b/>
          <w:bCs/>
          <w:sz w:val="22"/>
          <w:szCs w:val="22"/>
        </w:rPr>
      </w:pPr>
      <w:r w:rsidRPr="00237726">
        <w:rPr>
          <w:b/>
          <w:bCs/>
          <w:caps w:val="0"/>
          <w:sz w:val="22"/>
          <w:szCs w:val="22"/>
        </w:rPr>
        <w:t>Coordination With Other Investments</w:t>
      </w:r>
    </w:p>
    <w:p w14:paraId="025BD607" w14:textId="290BAAAD" w:rsidR="008200F1" w:rsidRPr="00974377" w:rsidRDefault="008200F1" w:rsidP="00237726">
      <w:pPr>
        <w:tabs>
          <w:tab w:val="left" w:pos="284"/>
        </w:tabs>
        <w:spacing w:after="120" w:line="281" w:lineRule="auto"/>
        <w:rPr>
          <w:rFonts w:asciiTheme="majorHAnsi" w:hAnsiTheme="majorHAnsi"/>
          <w:sz w:val="22"/>
          <w:szCs w:val="22"/>
        </w:rPr>
      </w:pPr>
      <w:r w:rsidRPr="00974377">
        <w:rPr>
          <w:rFonts w:asciiTheme="majorHAnsi" w:hAnsiTheme="majorHAnsi"/>
          <w:sz w:val="22"/>
          <w:szCs w:val="22"/>
        </w:rPr>
        <w:t xml:space="preserve">INOVASI is designed as a vehicle to support education policy development where needed and test approaches for education policy and reforms implementation. Given their engagement with policy development processes and their natural alignment on priorities of mutual interest, effective </w:t>
      </w:r>
      <w:r w:rsidR="00060161" w:rsidRPr="00974377">
        <w:rPr>
          <w:rFonts w:asciiTheme="majorHAnsi" w:hAnsiTheme="majorHAnsi"/>
          <w:sz w:val="22"/>
          <w:szCs w:val="22"/>
        </w:rPr>
        <w:t>engagement,</w:t>
      </w:r>
      <w:r w:rsidRPr="00974377">
        <w:rPr>
          <w:rFonts w:asciiTheme="majorHAnsi" w:hAnsiTheme="majorHAnsi"/>
          <w:sz w:val="22"/>
          <w:szCs w:val="22"/>
        </w:rPr>
        <w:t xml:space="preserve"> and coordination with other DFAT</w:t>
      </w:r>
      <w:r w:rsidR="009217CD" w:rsidRPr="00974377">
        <w:rPr>
          <w:rFonts w:asciiTheme="majorHAnsi" w:hAnsiTheme="majorHAnsi"/>
          <w:sz w:val="22"/>
          <w:szCs w:val="22"/>
        </w:rPr>
        <w:t>-</w:t>
      </w:r>
      <w:r w:rsidR="00EF0A7A" w:rsidRPr="00974377">
        <w:rPr>
          <w:rFonts w:asciiTheme="majorHAnsi" w:hAnsiTheme="majorHAnsi"/>
          <w:sz w:val="22"/>
          <w:szCs w:val="22"/>
        </w:rPr>
        <w:t>funded</w:t>
      </w:r>
      <w:r w:rsidRPr="00974377">
        <w:rPr>
          <w:rFonts w:asciiTheme="majorHAnsi" w:hAnsiTheme="majorHAnsi"/>
          <w:sz w:val="22"/>
          <w:szCs w:val="22"/>
        </w:rPr>
        <w:t xml:space="preserve"> programs in Indonesia (such as SKALA, INKLUSI, KONEKSI</w:t>
      </w:r>
      <w:r w:rsidR="00EF0A7A" w:rsidRPr="00974377">
        <w:rPr>
          <w:rFonts w:asciiTheme="majorHAnsi" w:hAnsiTheme="majorHAnsi"/>
          <w:sz w:val="22"/>
          <w:szCs w:val="22"/>
        </w:rPr>
        <w:t>, UNICEF Papua</w:t>
      </w:r>
      <w:r w:rsidRPr="00974377">
        <w:rPr>
          <w:rFonts w:asciiTheme="majorHAnsi" w:hAnsiTheme="majorHAnsi"/>
          <w:sz w:val="22"/>
          <w:szCs w:val="22"/>
        </w:rPr>
        <w:t>) are important and will underpin INOVASI impact, particularly at sub-national level. This engagement and coordination will primarily focus on INOVASI’s support to district ecosystems</w:t>
      </w:r>
      <w:r w:rsidR="009217CD" w:rsidRPr="00974377">
        <w:rPr>
          <w:rFonts w:asciiTheme="majorHAnsi" w:hAnsiTheme="majorHAnsi"/>
          <w:sz w:val="22"/>
          <w:szCs w:val="22"/>
        </w:rPr>
        <w:t xml:space="preserve"> and</w:t>
      </w:r>
      <w:r w:rsidRPr="00974377">
        <w:rPr>
          <w:rFonts w:asciiTheme="majorHAnsi" w:hAnsiTheme="majorHAnsi"/>
          <w:sz w:val="22"/>
          <w:szCs w:val="22"/>
        </w:rPr>
        <w:t xml:space="preserve"> the necessary subnational capacity to implement national </w:t>
      </w:r>
      <w:r w:rsidR="00AE637B" w:rsidRPr="00974377">
        <w:rPr>
          <w:rFonts w:asciiTheme="majorHAnsi" w:hAnsiTheme="majorHAnsi"/>
          <w:sz w:val="22"/>
          <w:szCs w:val="22"/>
        </w:rPr>
        <w:t>reforms and</w:t>
      </w:r>
      <w:r w:rsidR="009217CD" w:rsidRPr="00974377">
        <w:rPr>
          <w:rFonts w:asciiTheme="majorHAnsi" w:hAnsiTheme="majorHAnsi"/>
          <w:sz w:val="22"/>
          <w:szCs w:val="22"/>
        </w:rPr>
        <w:t xml:space="preserve"> include </w:t>
      </w:r>
      <w:r w:rsidRPr="00974377">
        <w:rPr>
          <w:rFonts w:asciiTheme="majorHAnsi" w:hAnsiTheme="majorHAnsi"/>
          <w:sz w:val="22"/>
          <w:szCs w:val="22"/>
        </w:rPr>
        <w:t xml:space="preserve">the critical </w:t>
      </w:r>
      <w:r w:rsidR="00294BDC">
        <w:rPr>
          <w:rFonts w:asciiTheme="majorHAnsi" w:hAnsiTheme="majorHAnsi"/>
          <w:sz w:val="22"/>
          <w:szCs w:val="22"/>
        </w:rPr>
        <w:t>issue</w:t>
      </w:r>
      <w:r w:rsidRPr="00974377">
        <w:rPr>
          <w:rFonts w:asciiTheme="majorHAnsi" w:hAnsiTheme="majorHAnsi"/>
          <w:sz w:val="22"/>
          <w:szCs w:val="22"/>
        </w:rPr>
        <w:t xml:space="preserve"> of fiscal transfer and </w:t>
      </w:r>
      <w:r w:rsidR="00294BDC">
        <w:rPr>
          <w:rFonts w:asciiTheme="majorHAnsi" w:hAnsiTheme="majorHAnsi"/>
          <w:sz w:val="22"/>
          <w:szCs w:val="22"/>
        </w:rPr>
        <w:t xml:space="preserve">public </w:t>
      </w:r>
      <w:r w:rsidRPr="00974377">
        <w:rPr>
          <w:rFonts w:asciiTheme="majorHAnsi" w:hAnsiTheme="majorHAnsi"/>
          <w:sz w:val="22"/>
          <w:szCs w:val="22"/>
        </w:rPr>
        <w:t>financial resource management at district level. Also, some studies under the INOVASI research agenda may be relevant to other DFAT-funded initiatives</w:t>
      </w:r>
      <w:r w:rsidR="009217CD" w:rsidRPr="00974377">
        <w:rPr>
          <w:rFonts w:asciiTheme="majorHAnsi" w:hAnsiTheme="majorHAnsi"/>
          <w:sz w:val="22"/>
          <w:szCs w:val="22"/>
        </w:rPr>
        <w:t>,</w:t>
      </w:r>
      <w:r w:rsidRPr="00974377">
        <w:rPr>
          <w:rFonts w:asciiTheme="majorHAnsi" w:hAnsiTheme="majorHAnsi"/>
          <w:sz w:val="22"/>
          <w:szCs w:val="22"/>
        </w:rPr>
        <w:t xml:space="preserve"> </w:t>
      </w:r>
      <w:proofErr w:type="gramStart"/>
      <w:r w:rsidRPr="00974377">
        <w:rPr>
          <w:rFonts w:asciiTheme="majorHAnsi" w:hAnsiTheme="majorHAnsi"/>
          <w:sz w:val="22"/>
          <w:szCs w:val="22"/>
        </w:rPr>
        <w:t>if and when</w:t>
      </w:r>
      <w:proofErr w:type="gramEnd"/>
      <w:r w:rsidRPr="00974377">
        <w:rPr>
          <w:rFonts w:asciiTheme="majorHAnsi" w:hAnsiTheme="majorHAnsi"/>
          <w:sz w:val="22"/>
          <w:szCs w:val="22"/>
        </w:rPr>
        <w:t xml:space="preserve"> for instance they investigate issues linked to the broader decentralisation </w:t>
      </w:r>
      <w:r w:rsidR="00294BDC">
        <w:rPr>
          <w:rFonts w:asciiTheme="majorHAnsi" w:hAnsiTheme="majorHAnsi"/>
          <w:sz w:val="22"/>
          <w:szCs w:val="22"/>
        </w:rPr>
        <w:t xml:space="preserve">and PFM </w:t>
      </w:r>
      <w:r w:rsidRPr="00974377">
        <w:rPr>
          <w:rFonts w:asciiTheme="majorHAnsi" w:hAnsiTheme="majorHAnsi"/>
          <w:sz w:val="22"/>
          <w:szCs w:val="22"/>
        </w:rPr>
        <w:t>agenda (SKALA)</w:t>
      </w:r>
      <w:r w:rsidR="009217CD" w:rsidRPr="00974377">
        <w:rPr>
          <w:rFonts w:asciiTheme="majorHAnsi" w:hAnsiTheme="majorHAnsi"/>
          <w:sz w:val="22"/>
          <w:szCs w:val="22"/>
        </w:rPr>
        <w:t xml:space="preserve">, </w:t>
      </w:r>
      <w:r w:rsidRPr="00974377">
        <w:rPr>
          <w:rFonts w:asciiTheme="majorHAnsi" w:hAnsiTheme="majorHAnsi"/>
          <w:sz w:val="22"/>
          <w:szCs w:val="22"/>
        </w:rPr>
        <w:t>inclusive norms and practices (INKLUSI)</w:t>
      </w:r>
      <w:r w:rsidR="00EF0A7A" w:rsidRPr="00974377">
        <w:rPr>
          <w:rFonts w:asciiTheme="majorHAnsi" w:hAnsiTheme="majorHAnsi"/>
          <w:sz w:val="22"/>
          <w:szCs w:val="22"/>
        </w:rPr>
        <w:t xml:space="preserve"> </w:t>
      </w:r>
      <w:r w:rsidR="009217CD" w:rsidRPr="00974377">
        <w:rPr>
          <w:rFonts w:asciiTheme="majorHAnsi" w:hAnsiTheme="majorHAnsi"/>
          <w:sz w:val="22"/>
          <w:szCs w:val="22"/>
        </w:rPr>
        <w:t>and/</w:t>
      </w:r>
      <w:r w:rsidR="00EF0A7A" w:rsidRPr="00974377">
        <w:rPr>
          <w:rFonts w:asciiTheme="majorHAnsi" w:hAnsiTheme="majorHAnsi"/>
          <w:sz w:val="22"/>
          <w:szCs w:val="22"/>
        </w:rPr>
        <w:t>or to ECE transition to school and language transition (UNICEF Papua)</w:t>
      </w:r>
      <w:r w:rsidRPr="00974377">
        <w:rPr>
          <w:rFonts w:asciiTheme="majorHAnsi" w:hAnsiTheme="majorHAnsi"/>
          <w:sz w:val="22"/>
          <w:szCs w:val="22"/>
        </w:rPr>
        <w:t xml:space="preserve">. </w:t>
      </w:r>
      <w:r w:rsidR="009217CD" w:rsidRPr="00974377">
        <w:rPr>
          <w:rFonts w:asciiTheme="majorHAnsi" w:hAnsiTheme="majorHAnsi"/>
          <w:sz w:val="22"/>
          <w:szCs w:val="22"/>
        </w:rPr>
        <w:t>C</w:t>
      </w:r>
      <w:r w:rsidRPr="00974377">
        <w:rPr>
          <w:rFonts w:asciiTheme="majorHAnsi" w:hAnsiTheme="majorHAnsi"/>
          <w:sz w:val="22"/>
          <w:szCs w:val="22"/>
        </w:rPr>
        <w:t xml:space="preserve">ollaboration will </w:t>
      </w:r>
      <w:r w:rsidR="009217CD" w:rsidRPr="00974377">
        <w:rPr>
          <w:rFonts w:asciiTheme="majorHAnsi" w:hAnsiTheme="majorHAnsi"/>
          <w:sz w:val="22"/>
          <w:szCs w:val="22"/>
        </w:rPr>
        <w:t xml:space="preserve">also </w:t>
      </w:r>
      <w:r w:rsidRPr="00974377">
        <w:rPr>
          <w:rFonts w:asciiTheme="majorHAnsi" w:hAnsiTheme="majorHAnsi"/>
          <w:sz w:val="22"/>
          <w:szCs w:val="22"/>
        </w:rPr>
        <w:t xml:space="preserve">be </w:t>
      </w:r>
      <w:r w:rsidRPr="00974377">
        <w:rPr>
          <w:rFonts w:asciiTheme="majorHAnsi" w:hAnsiTheme="majorHAnsi"/>
          <w:sz w:val="22"/>
          <w:szCs w:val="22"/>
        </w:rPr>
        <w:lastRenderedPageBreak/>
        <w:t>encouraged around INOVASI’s development and support of institutional partnerships, as these may draw form lessons from and/or involve stakeholders from other DFAT programs (KONEKSI).</w:t>
      </w:r>
      <w:r w:rsidRPr="00974377">
        <w:rPr>
          <w:rStyle w:val="FootnoteReference"/>
          <w:rFonts w:asciiTheme="majorHAnsi" w:hAnsiTheme="majorHAnsi"/>
          <w:sz w:val="22"/>
          <w:szCs w:val="22"/>
        </w:rPr>
        <w:footnoteReference w:id="38"/>
      </w:r>
    </w:p>
    <w:p w14:paraId="2EB81AD7" w14:textId="4F044FB9" w:rsidR="007D407E" w:rsidRDefault="008200F1" w:rsidP="00237726">
      <w:pPr>
        <w:tabs>
          <w:tab w:val="left" w:pos="284"/>
        </w:tabs>
        <w:spacing w:after="120" w:line="281" w:lineRule="auto"/>
        <w:rPr>
          <w:rFonts w:asciiTheme="majorHAnsi" w:hAnsiTheme="majorHAnsi"/>
          <w:sz w:val="22"/>
          <w:szCs w:val="22"/>
        </w:rPr>
      </w:pPr>
      <w:r w:rsidRPr="00974377">
        <w:rPr>
          <w:rFonts w:asciiTheme="majorHAnsi" w:hAnsiTheme="majorHAnsi"/>
          <w:sz w:val="22"/>
          <w:szCs w:val="22"/>
        </w:rPr>
        <w:t xml:space="preserve">Cross-program collaboration will require Post BEU to liaise closely with relevant </w:t>
      </w:r>
      <w:proofErr w:type="spellStart"/>
      <w:r w:rsidRPr="00974377">
        <w:rPr>
          <w:rFonts w:asciiTheme="majorHAnsi" w:hAnsiTheme="majorHAnsi"/>
          <w:sz w:val="22"/>
          <w:szCs w:val="22"/>
        </w:rPr>
        <w:t>GoA</w:t>
      </w:r>
      <w:proofErr w:type="spellEnd"/>
      <w:r w:rsidRPr="00974377">
        <w:rPr>
          <w:rFonts w:asciiTheme="majorHAnsi" w:hAnsiTheme="majorHAnsi"/>
          <w:sz w:val="22"/>
          <w:szCs w:val="22"/>
        </w:rPr>
        <w:t xml:space="preserve"> programs’ management teams through formal and informal mechanisms to ensure respective priorities and activities are aligned and coordinated upstream. Fortunately, most relevant initiatives are overseen by DFAT Human Development Counsellor at Post, which </w:t>
      </w:r>
      <w:proofErr w:type="gramStart"/>
      <w:r w:rsidRPr="00974377">
        <w:rPr>
          <w:rFonts w:asciiTheme="majorHAnsi" w:hAnsiTheme="majorHAnsi"/>
          <w:sz w:val="22"/>
          <w:szCs w:val="22"/>
        </w:rPr>
        <w:t>in itself guarantees</w:t>
      </w:r>
      <w:proofErr w:type="gramEnd"/>
      <w:r w:rsidRPr="00974377">
        <w:rPr>
          <w:rFonts w:asciiTheme="majorHAnsi" w:hAnsiTheme="majorHAnsi"/>
          <w:sz w:val="22"/>
          <w:szCs w:val="22"/>
        </w:rPr>
        <w:t xml:space="preserve"> a level of strategic visibility. </w:t>
      </w:r>
      <w:r w:rsidR="007D407E" w:rsidRPr="00974377">
        <w:rPr>
          <w:rFonts w:asciiTheme="majorHAnsi" w:hAnsiTheme="majorHAnsi"/>
          <w:sz w:val="22"/>
          <w:szCs w:val="22"/>
        </w:rPr>
        <w:t xml:space="preserve">DFAT representatives on INOVASI governance bodies (Minister-Counsellor and Counsellor) will be also able to feed priorities, challenges, </w:t>
      </w:r>
      <w:r w:rsidR="00872281" w:rsidRPr="00974377">
        <w:rPr>
          <w:rFonts w:asciiTheme="majorHAnsi" w:hAnsiTheme="majorHAnsi"/>
          <w:sz w:val="22"/>
          <w:szCs w:val="22"/>
        </w:rPr>
        <w:t>lessons,</w:t>
      </w:r>
      <w:r w:rsidR="007D407E" w:rsidRPr="00974377">
        <w:rPr>
          <w:rFonts w:asciiTheme="majorHAnsi" w:hAnsiTheme="majorHAnsi"/>
          <w:sz w:val="22"/>
          <w:szCs w:val="22"/>
        </w:rPr>
        <w:t xml:space="preserve"> and interest of other Australian ODA-funded programs into the INOVASI agenda and to encourage cross program fertilisation and shared policy engagement around key reform processes.</w:t>
      </w:r>
      <w:r w:rsidR="007D407E">
        <w:rPr>
          <w:rFonts w:asciiTheme="majorHAnsi" w:hAnsiTheme="majorHAnsi"/>
          <w:sz w:val="22"/>
          <w:szCs w:val="22"/>
        </w:rPr>
        <w:t xml:space="preserve"> </w:t>
      </w:r>
      <w:r w:rsidR="008F353A">
        <w:rPr>
          <w:rFonts w:asciiTheme="majorHAnsi" w:hAnsiTheme="majorHAnsi"/>
          <w:sz w:val="22"/>
          <w:szCs w:val="22"/>
        </w:rPr>
        <w:t xml:space="preserve">The collaboration with SKALA is particularly relevant: </w:t>
      </w:r>
      <w:r w:rsidR="008F353A" w:rsidRPr="009C11F1">
        <w:rPr>
          <w:rFonts w:asciiTheme="majorHAnsi" w:hAnsiTheme="majorHAnsi"/>
          <w:sz w:val="22"/>
          <w:szCs w:val="22"/>
        </w:rPr>
        <w:t>while SKALA is currently still in mobilisation mode, the scope and m</w:t>
      </w:r>
      <w:r w:rsidR="009C11F1">
        <w:rPr>
          <w:rFonts w:asciiTheme="majorHAnsi" w:hAnsiTheme="majorHAnsi"/>
          <w:sz w:val="22"/>
          <w:szCs w:val="22"/>
        </w:rPr>
        <w:t>echanism</w:t>
      </w:r>
      <w:r w:rsidR="008F353A" w:rsidRPr="009C11F1">
        <w:rPr>
          <w:rFonts w:asciiTheme="majorHAnsi" w:hAnsiTheme="majorHAnsi"/>
          <w:sz w:val="22"/>
          <w:szCs w:val="22"/>
        </w:rPr>
        <w:t xml:space="preserve"> </w:t>
      </w:r>
      <w:r w:rsidR="007D407E">
        <w:rPr>
          <w:rFonts w:asciiTheme="majorHAnsi" w:hAnsiTheme="majorHAnsi"/>
          <w:sz w:val="22"/>
          <w:szCs w:val="22"/>
        </w:rPr>
        <w:t xml:space="preserve">of </w:t>
      </w:r>
      <w:r w:rsidR="008F353A" w:rsidRPr="009C11F1">
        <w:rPr>
          <w:rFonts w:asciiTheme="majorHAnsi" w:hAnsiTheme="majorHAnsi"/>
          <w:sz w:val="22"/>
          <w:szCs w:val="22"/>
        </w:rPr>
        <w:t xml:space="preserve">this collaboration will be further explored by </w:t>
      </w:r>
      <w:r w:rsidR="009C11F1">
        <w:rPr>
          <w:rFonts w:asciiTheme="majorHAnsi" w:hAnsiTheme="majorHAnsi"/>
          <w:sz w:val="22"/>
          <w:szCs w:val="22"/>
        </w:rPr>
        <w:t xml:space="preserve">Post’s </w:t>
      </w:r>
      <w:r w:rsidR="008F353A" w:rsidRPr="009C11F1">
        <w:rPr>
          <w:rFonts w:asciiTheme="majorHAnsi" w:hAnsiTheme="majorHAnsi"/>
          <w:sz w:val="22"/>
          <w:szCs w:val="22"/>
        </w:rPr>
        <w:t xml:space="preserve">BEU </w:t>
      </w:r>
      <w:proofErr w:type="gramStart"/>
      <w:r w:rsidR="008F353A" w:rsidRPr="009C11F1">
        <w:rPr>
          <w:rFonts w:asciiTheme="majorHAnsi" w:hAnsiTheme="majorHAnsi"/>
          <w:sz w:val="22"/>
          <w:szCs w:val="22"/>
        </w:rPr>
        <w:t>team, and</w:t>
      </w:r>
      <w:proofErr w:type="gramEnd"/>
      <w:r w:rsidR="008F353A" w:rsidRPr="009C11F1">
        <w:rPr>
          <w:rFonts w:asciiTheme="majorHAnsi" w:hAnsiTheme="majorHAnsi"/>
          <w:sz w:val="22"/>
          <w:szCs w:val="22"/>
        </w:rPr>
        <w:t xml:space="preserve"> solidified during INOVASI Phase 3 inception period. </w:t>
      </w:r>
      <w:r w:rsidR="007D407E">
        <w:rPr>
          <w:rFonts w:asciiTheme="majorHAnsi" w:hAnsiTheme="majorHAnsi" w:cstheme="majorHAnsi"/>
          <w:sz w:val="22"/>
          <w:szCs w:val="22"/>
        </w:rPr>
        <w:t xml:space="preserve">The program will also link closely with INKLUSI which addresses social norms and gender-based violence and child marriage (amongst other issues) through supporting gender and disability civil society groups and developing partnerships between GOI and civil society organisations. Again, </w:t>
      </w:r>
      <w:r w:rsidR="007D407E" w:rsidRPr="009C11F1">
        <w:rPr>
          <w:rFonts w:asciiTheme="majorHAnsi" w:hAnsiTheme="majorHAnsi"/>
          <w:sz w:val="22"/>
          <w:szCs w:val="22"/>
        </w:rPr>
        <w:t>the scope and m</w:t>
      </w:r>
      <w:r w:rsidR="007D407E">
        <w:rPr>
          <w:rFonts w:asciiTheme="majorHAnsi" w:hAnsiTheme="majorHAnsi"/>
          <w:sz w:val="22"/>
          <w:szCs w:val="22"/>
        </w:rPr>
        <w:t>echanism</w:t>
      </w:r>
      <w:r w:rsidR="007D407E" w:rsidRPr="009C11F1">
        <w:rPr>
          <w:rFonts w:asciiTheme="majorHAnsi" w:hAnsiTheme="majorHAnsi"/>
          <w:sz w:val="22"/>
          <w:szCs w:val="22"/>
        </w:rPr>
        <w:t xml:space="preserve"> </w:t>
      </w:r>
      <w:r w:rsidR="007D407E">
        <w:rPr>
          <w:rFonts w:asciiTheme="majorHAnsi" w:hAnsiTheme="majorHAnsi"/>
          <w:sz w:val="22"/>
          <w:szCs w:val="22"/>
        </w:rPr>
        <w:t xml:space="preserve">of </w:t>
      </w:r>
      <w:r w:rsidR="007D407E" w:rsidRPr="009C11F1">
        <w:rPr>
          <w:rFonts w:asciiTheme="majorHAnsi" w:hAnsiTheme="majorHAnsi"/>
          <w:sz w:val="22"/>
          <w:szCs w:val="22"/>
        </w:rPr>
        <w:t>this collaboration will be further during INOVASI Phase 3 inception period.</w:t>
      </w:r>
      <w:r w:rsidR="00060591">
        <w:rPr>
          <w:rStyle w:val="FootnoteReference"/>
          <w:rFonts w:asciiTheme="majorHAnsi" w:hAnsiTheme="majorHAnsi"/>
          <w:sz w:val="22"/>
          <w:szCs w:val="22"/>
        </w:rPr>
        <w:footnoteReference w:id="39"/>
      </w:r>
    </w:p>
    <w:p w14:paraId="688F7C26" w14:textId="02DFA761" w:rsidR="008200F1" w:rsidRPr="00974377" w:rsidRDefault="008200F1" w:rsidP="00237726">
      <w:pPr>
        <w:tabs>
          <w:tab w:val="left" w:pos="284"/>
        </w:tabs>
        <w:spacing w:after="120" w:line="281" w:lineRule="auto"/>
        <w:rPr>
          <w:rFonts w:asciiTheme="majorHAnsi" w:hAnsiTheme="majorHAnsi"/>
          <w:sz w:val="22"/>
          <w:szCs w:val="22"/>
        </w:rPr>
      </w:pPr>
      <w:r w:rsidRPr="00974377">
        <w:rPr>
          <w:rFonts w:asciiTheme="majorHAnsi" w:hAnsiTheme="majorHAnsi"/>
          <w:sz w:val="22"/>
          <w:szCs w:val="22"/>
        </w:rPr>
        <w:t xml:space="preserve">Post BEU team will also seek synergies between INOVASI and other </w:t>
      </w:r>
      <w:r w:rsidR="00330887" w:rsidRPr="00974377">
        <w:rPr>
          <w:rFonts w:asciiTheme="majorHAnsi" w:hAnsiTheme="majorHAnsi"/>
          <w:sz w:val="22"/>
          <w:szCs w:val="22"/>
        </w:rPr>
        <w:t>Australia</w:t>
      </w:r>
      <w:r w:rsidRPr="00974377">
        <w:rPr>
          <w:rFonts w:asciiTheme="majorHAnsi" w:hAnsiTheme="majorHAnsi"/>
          <w:sz w:val="22"/>
          <w:szCs w:val="22"/>
        </w:rPr>
        <w:t xml:space="preserve">-funded initiatives through its participation in the Embassy Education Roundtable - an existing whole-of-government coordination mechanism hosted by the DoE and chaired by the DHOM. Improved coordination of strategies and approaches with those agencies at Post will clarify complementarities between INOVASI and other Australian initiatives, particularly those targeting institutional partnerships. </w:t>
      </w:r>
    </w:p>
    <w:p w14:paraId="5CE15D9C" w14:textId="3AE007FA" w:rsidR="000F5117" w:rsidRPr="00974377" w:rsidRDefault="008200F1" w:rsidP="00237726">
      <w:pPr>
        <w:tabs>
          <w:tab w:val="left" w:pos="284"/>
        </w:tabs>
        <w:spacing w:after="120" w:line="281" w:lineRule="auto"/>
        <w:rPr>
          <w:rFonts w:asciiTheme="majorHAnsi" w:hAnsiTheme="majorHAnsi"/>
          <w:sz w:val="22"/>
          <w:szCs w:val="22"/>
        </w:rPr>
      </w:pPr>
      <w:r w:rsidRPr="00974377">
        <w:rPr>
          <w:rFonts w:asciiTheme="majorHAnsi" w:hAnsiTheme="majorHAnsi"/>
          <w:sz w:val="22"/>
          <w:szCs w:val="22"/>
        </w:rPr>
        <w:t xml:space="preserve">Beyond </w:t>
      </w:r>
      <w:r w:rsidR="00330887" w:rsidRPr="00974377">
        <w:rPr>
          <w:rFonts w:asciiTheme="majorHAnsi" w:hAnsiTheme="majorHAnsi"/>
          <w:sz w:val="22"/>
          <w:szCs w:val="22"/>
        </w:rPr>
        <w:t>Australian</w:t>
      </w:r>
      <w:r w:rsidRPr="00974377">
        <w:rPr>
          <w:rFonts w:asciiTheme="majorHAnsi" w:hAnsiTheme="majorHAnsi"/>
          <w:sz w:val="22"/>
          <w:szCs w:val="22"/>
        </w:rPr>
        <w:t xml:space="preserve"> investments and partners, Post will continue to support improved collaboration with other development partners in basic education, mainly but not uniquely through the Basic Education Working Group</w:t>
      </w:r>
      <w:r w:rsidR="002330F6">
        <w:rPr>
          <w:rFonts w:asciiTheme="majorHAnsi" w:hAnsiTheme="majorHAnsi"/>
          <w:sz w:val="22"/>
          <w:szCs w:val="22"/>
        </w:rPr>
        <w:t xml:space="preserve"> (BEWG)</w:t>
      </w:r>
      <w:r w:rsidRPr="00974377">
        <w:rPr>
          <w:rFonts w:asciiTheme="majorHAnsi" w:hAnsiTheme="majorHAnsi"/>
          <w:sz w:val="22"/>
          <w:szCs w:val="22"/>
        </w:rPr>
        <w:t xml:space="preserve">. This group usually meets quarterly with a focus on improved </w:t>
      </w:r>
      <w:proofErr w:type="gramStart"/>
      <w:r w:rsidRPr="00974377">
        <w:rPr>
          <w:rFonts w:asciiTheme="majorHAnsi" w:hAnsiTheme="majorHAnsi"/>
          <w:sz w:val="22"/>
          <w:szCs w:val="22"/>
        </w:rPr>
        <w:t>collaboration, and</w:t>
      </w:r>
      <w:proofErr w:type="gramEnd"/>
      <w:r w:rsidRPr="00974377">
        <w:rPr>
          <w:rFonts w:asciiTheme="majorHAnsi" w:hAnsiTheme="majorHAnsi"/>
          <w:sz w:val="22"/>
          <w:szCs w:val="22"/>
        </w:rPr>
        <w:t xml:space="preserve"> includes as regular participants representatives from the World Bank, UNICEF, SMERU Research Institute and </w:t>
      </w:r>
      <w:proofErr w:type="spellStart"/>
      <w:r w:rsidRPr="00974377">
        <w:rPr>
          <w:rFonts w:asciiTheme="majorHAnsi" w:hAnsiTheme="majorHAnsi"/>
          <w:sz w:val="22"/>
          <w:szCs w:val="22"/>
        </w:rPr>
        <w:t>Tanoto</w:t>
      </w:r>
      <w:proofErr w:type="spellEnd"/>
      <w:r w:rsidRPr="00974377">
        <w:rPr>
          <w:rFonts w:asciiTheme="majorHAnsi" w:hAnsiTheme="majorHAnsi"/>
          <w:sz w:val="22"/>
          <w:szCs w:val="22"/>
        </w:rPr>
        <w:t xml:space="preserve"> Foundation</w:t>
      </w:r>
      <w:r w:rsidR="00330887" w:rsidRPr="00974377">
        <w:rPr>
          <w:rStyle w:val="FootnoteReference"/>
          <w:rFonts w:asciiTheme="majorHAnsi" w:hAnsiTheme="majorHAnsi"/>
          <w:sz w:val="22"/>
          <w:szCs w:val="22"/>
        </w:rPr>
        <w:footnoteReference w:id="40"/>
      </w:r>
      <w:r w:rsidRPr="00974377">
        <w:rPr>
          <w:rFonts w:asciiTheme="majorHAnsi" w:hAnsiTheme="majorHAnsi"/>
          <w:sz w:val="22"/>
          <w:szCs w:val="22"/>
        </w:rPr>
        <w:t>. The aim is to maximise effectiveness and efficiency and leverage the comparative advantage</w:t>
      </w:r>
      <w:r w:rsidR="008845E1">
        <w:rPr>
          <w:rFonts w:asciiTheme="majorHAnsi" w:hAnsiTheme="majorHAnsi"/>
          <w:sz w:val="22"/>
          <w:szCs w:val="22"/>
        </w:rPr>
        <w:t xml:space="preserve"> </w:t>
      </w:r>
      <w:r w:rsidRPr="00974377">
        <w:rPr>
          <w:rFonts w:asciiTheme="majorHAnsi" w:hAnsiTheme="majorHAnsi"/>
          <w:sz w:val="22"/>
          <w:szCs w:val="22"/>
        </w:rPr>
        <w:t xml:space="preserve">of individual partners towards common goals. Different partners/programs also have different sets of relationships and networks which the Program can draw on. </w:t>
      </w:r>
      <w:r w:rsidR="000F5117" w:rsidRPr="00974377">
        <w:rPr>
          <w:rFonts w:asciiTheme="majorHAnsi" w:hAnsiTheme="majorHAnsi"/>
          <w:sz w:val="22"/>
          <w:szCs w:val="22"/>
        </w:rPr>
        <w:t xml:space="preserve"> </w:t>
      </w:r>
    </w:p>
    <w:p w14:paraId="010D9482" w14:textId="0B35D1DF" w:rsidR="00655D7B" w:rsidRPr="00974377" w:rsidRDefault="00655D7B" w:rsidP="00237726">
      <w:pPr>
        <w:spacing w:after="120" w:line="281" w:lineRule="auto"/>
      </w:pPr>
      <w:r w:rsidRPr="00F363B0">
        <w:rPr>
          <w:rFonts w:asciiTheme="majorHAnsi" w:hAnsiTheme="majorHAnsi" w:cstheme="majorHAnsi"/>
          <w:sz w:val="22"/>
          <w:szCs w:val="22"/>
        </w:rPr>
        <w:lastRenderedPageBreak/>
        <w:t xml:space="preserve">At the time of the design, Post is involved in a discussion about using the new INOVASI program to leverage a GPE grant for </w:t>
      </w:r>
      <w:proofErr w:type="spellStart"/>
      <w:r w:rsidRPr="00F363B0">
        <w:rPr>
          <w:rFonts w:asciiTheme="majorHAnsi" w:hAnsiTheme="majorHAnsi" w:cstheme="majorHAnsi"/>
          <w:sz w:val="22"/>
          <w:szCs w:val="22"/>
        </w:rPr>
        <w:t>MoECRT</w:t>
      </w:r>
      <w:proofErr w:type="spellEnd"/>
      <w:r w:rsidRPr="00F363B0">
        <w:rPr>
          <w:rFonts w:asciiTheme="majorHAnsi" w:hAnsiTheme="majorHAnsi" w:cstheme="majorHAnsi"/>
          <w:sz w:val="22"/>
          <w:szCs w:val="22"/>
        </w:rPr>
        <w:t>, through the GPE multiplier mechanism</w:t>
      </w:r>
      <w:r w:rsidRPr="00F363B0">
        <w:rPr>
          <w:rFonts w:asciiTheme="minorHAnsi" w:hAnsiTheme="minorHAnsi" w:cstheme="minorHAnsi"/>
          <w:vertAlign w:val="superscript"/>
        </w:rPr>
        <w:footnoteReference w:id="41"/>
      </w:r>
      <w:r w:rsidRPr="00F363B0">
        <w:rPr>
          <w:rFonts w:asciiTheme="minorHAnsi" w:hAnsiTheme="minorHAnsi" w:cstheme="minorHAnsi"/>
          <w:sz w:val="22"/>
          <w:szCs w:val="22"/>
        </w:rPr>
        <w:t>.</w:t>
      </w:r>
      <w:r w:rsidRPr="00F363B0">
        <w:rPr>
          <w:rFonts w:asciiTheme="majorHAnsi" w:hAnsiTheme="majorHAnsi" w:cstheme="majorHAnsi"/>
          <w:sz w:val="22"/>
          <w:szCs w:val="22"/>
        </w:rPr>
        <w:t xml:space="preserve"> If </w:t>
      </w:r>
      <w:proofErr w:type="spellStart"/>
      <w:r w:rsidRPr="00F363B0">
        <w:rPr>
          <w:rFonts w:asciiTheme="majorHAnsi" w:hAnsiTheme="majorHAnsi" w:cstheme="majorHAnsi"/>
          <w:sz w:val="22"/>
          <w:szCs w:val="22"/>
        </w:rPr>
        <w:t>MoECRT’s</w:t>
      </w:r>
      <w:proofErr w:type="spellEnd"/>
      <w:r w:rsidRPr="00F363B0">
        <w:rPr>
          <w:rFonts w:asciiTheme="majorHAnsi" w:hAnsiTheme="majorHAnsi" w:cstheme="majorHAnsi"/>
          <w:sz w:val="22"/>
          <w:szCs w:val="22"/>
        </w:rPr>
        <w:t xml:space="preserve"> application for the GPE grant is successful, the additional funding (which could amount </w:t>
      </w:r>
      <w:r w:rsidR="009F4B5D" w:rsidRPr="00F363B0">
        <w:rPr>
          <w:rFonts w:asciiTheme="majorHAnsi" w:hAnsiTheme="majorHAnsi" w:cstheme="majorHAnsi"/>
          <w:sz w:val="22"/>
          <w:szCs w:val="22"/>
        </w:rPr>
        <w:t xml:space="preserve">to </w:t>
      </w:r>
      <w:r w:rsidRPr="00F363B0">
        <w:rPr>
          <w:rFonts w:asciiTheme="majorHAnsi" w:hAnsiTheme="majorHAnsi" w:cstheme="majorHAnsi"/>
          <w:sz w:val="22"/>
          <w:szCs w:val="22"/>
        </w:rPr>
        <w:t>up to a third of the INOVASI budget) will be provided to and managed by a GPE authorised Grant Agent (GA) organisation</w:t>
      </w:r>
      <w:r w:rsidR="00F3315B" w:rsidRPr="00F363B0">
        <w:rPr>
          <w:rFonts w:asciiTheme="majorHAnsi" w:hAnsiTheme="majorHAnsi" w:cstheme="majorHAnsi"/>
          <w:sz w:val="22"/>
          <w:szCs w:val="22"/>
        </w:rPr>
        <w:t>,</w:t>
      </w:r>
      <w:r w:rsidRPr="00F363B0">
        <w:rPr>
          <w:rFonts w:asciiTheme="majorHAnsi" w:hAnsiTheme="majorHAnsi" w:cstheme="majorHAnsi"/>
          <w:sz w:val="22"/>
          <w:szCs w:val="22"/>
        </w:rPr>
        <w:t xml:space="preserve"> assigned by the GPE Local Education Group in Indonesia. DFAT does not qualify as a GA</w:t>
      </w:r>
      <w:r w:rsidR="009F4B5D" w:rsidRPr="00F363B0">
        <w:rPr>
          <w:rFonts w:asciiTheme="majorHAnsi" w:hAnsiTheme="majorHAnsi" w:cstheme="majorHAnsi"/>
          <w:sz w:val="22"/>
          <w:szCs w:val="22"/>
        </w:rPr>
        <w:t xml:space="preserve"> in Indonesia</w:t>
      </w:r>
      <w:r w:rsidRPr="00F363B0">
        <w:rPr>
          <w:rFonts w:asciiTheme="majorHAnsi" w:hAnsiTheme="majorHAnsi" w:cstheme="majorHAnsi"/>
          <w:sz w:val="22"/>
          <w:szCs w:val="22"/>
        </w:rPr>
        <w:t>, and nor is it likely its managing contractor will. It is yet unclear who would be the authorised GA, whether a multilateral organisation (</w:t>
      </w:r>
      <w:r w:rsidR="00060161" w:rsidRPr="00F363B0">
        <w:rPr>
          <w:rFonts w:asciiTheme="majorHAnsi" w:hAnsiTheme="majorHAnsi" w:cstheme="majorHAnsi"/>
          <w:sz w:val="22"/>
          <w:szCs w:val="22"/>
        </w:rPr>
        <w:t>e.g.,</w:t>
      </w:r>
      <w:r w:rsidRPr="00F363B0">
        <w:rPr>
          <w:rFonts w:asciiTheme="majorHAnsi" w:hAnsiTheme="majorHAnsi" w:cstheme="majorHAnsi"/>
          <w:sz w:val="22"/>
          <w:szCs w:val="22"/>
        </w:rPr>
        <w:t xml:space="preserve"> UNICEF) or an international NGO, and whether that organisation will be able to channel GPE funds back to the DFAT program. As such, any additional GPE funds will probably be managed separately and independently from INOVASI Phase 3, with the intention to replicate similar approaches and activities in other regions. The program will likely need to coordinate with the GA organisation, to support </w:t>
      </w:r>
      <w:r w:rsidR="00887D83" w:rsidRPr="00F363B0">
        <w:rPr>
          <w:rFonts w:asciiTheme="majorHAnsi" w:hAnsiTheme="majorHAnsi" w:cstheme="majorHAnsi"/>
          <w:sz w:val="22"/>
          <w:szCs w:val="22"/>
        </w:rPr>
        <w:t xml:space="preserve">emulation </w:t>
      </w:r>
      <w:r w:rsidR="00457CAF" w:rsidRPr="00F363B0">
        <w:rPr>
          <w:rFonts w:asciiTheme="majorHAnsi" w:hAnsiTheme="majorHAnsi" w:cstheme="majorHAnsi"/>
          <w:sz w:val="22"/>
          <w:szCs w:val="22"/>
        </w:rPr>
        <w:t xml:space="preserve">of </w:t>
      </w:r>
      <w:r w:rsidRPr="00F363B0">
        <w:rPr>
          <w:rFonts w:asciiTheme="majorHAnsi" w:hAnsiTheme="majorHAnsi" w:cstheme="majorHAnsi"/>
          <w:sz w:val="22"/>
          <w:szCs w:val="22"/>
        </w:rPr>
        <w:t xml:space="preserve">INOVASI phase 3 activities in other geographical areas </w:t>
      </w:r>
      <w:r w:rsidR="00887D83" w:rsidRPr="00F363B0">
        <w:rPr>
          <w:rFonts w:asciiTheme="majorHAnsi" w:hAnsiTheme="majorHAnsi" w:cstheme="majorHAnsi"/>
          <w:sz w:val="22"/>
          <w:szCs w:val="22"/>
        </w:rPr>
        <w:t>of</w:t>
      </w:r>
      <w:r w:rsidRPr="00F363B0">
        <w:rPr>
          <w:rFonts w:asciiTheme="majorHAnsi" w:hAnsiTheme="majorHAnsi" w:cstheme="majorHAnsi"/>
          <w:sz w:val="22"/>
          <w:szCs w:val="22"/>
        </w:rPr>
        <w:t xml:space="preserve"> Indonesia.</w:t>
      </w:r>
      <w:r w:rsidRPr="00974377">
        <w:rPr>
          <w:rFonts w:asciiTheme="majorHAnsi" w:hAnsiTheme="majorHAnsi" w:cstheme="majorHAnsi"/>
          <w:sz w:val="22"/>
          <w:szCs w:val="22"/>
        </w:rPr>
        <w:t xml:space="preserve"> </w:t>
      </w:r>
    </w:p>
    <w:p w14:paraId="42B9ED7F" w14:textId="64CD75CE" w:rsidR="007E1662" w:rsidRPr="009E04A4" w:rsidRDefault="00947F08" w:rsidP="003E1C1F">
      <w:pPr>
        <w:pStyle w:val="Heading2"/>
        <w:rPr>
          <w:rFonts w:cstheme="majorHAnsi"/>
          <w:b/>
          <w:bCs/>
          <w:sz w:val="22"/>
          <w:szCs w:val="22"/>
        </w:rPr>
      </w:pPr>
      <w:r w:rsidRPr="003E1C1F">
        <w:rPr>
          <w:b/>
          <w:bCs/>
          <w:caps w:val="0"/>
          <w:sz w:val="22"/>
          <w:szCs w:val="22"/>
        </w:rPr>
        <w:t>Sustainability</w:t>
      </w:r>
    </w:p>
    <w:p w14:paraId="0220FEE7" w14:textId="0B5BB109" w:rsidR="00463EA3" w:rsidRPr="00982672" w:rsidRDefault="00463EA3" w:rsidP="00237726">
      <w:pPr>
        <w:pStyle w:val="BodyText"/>
        <w:spacing w:after="120" w:line="281" w:lineRule="auto"/>
        <w:rPr>
          <w:rFonts w:asciiTheme="majorHAnsi" w:hAnsiTheme="majorHAnsi" w:cstheme="majorHAnsi"/>
          <w:sz w:val="22"/>
          <w:szCs w:val="22"/>
        </w:rPr>
      </w:pPr>
      <w:r w:rsidRPr="00974377">
        <w:rPr>
          <w:rFonts w:asciiTheme="majorHAnsi" w:eastAsiaTheme="minorEastAsia" w:hAnsiTheme="majorHAnsi" w:cstheme="majorHAnsi"/>
          <w:sz w:val="22"/>
          <w:szCs w:val="22"/>
        </w:rPr>
        <w:t xml:space="preserve">The INOVASI Phase 3 offers a laboratory to test, study, adapt and iteratively improve the feasibility of implementing current education </w:t>
      </w:r>
      <w:r>
        <w:rPr>
          <w:rFonts w:asciiTheme="majorHAnsi" w:eastAsiaTheme="minorEastAsia" w:hAnsiTheme="majorHAnsi" w:cstheme="majorHAnsi"/>
          <w:sz w:val="22"/>
          <w:szCs w:val="22"/>
        </w:rPr>
        <w:t xml:space="preserve">reforms </w:t>
      </w:r>
      <w:r w:rsidRPr="00974377">
        <w:rPr>
          <w:rFonts w:asciiTheme="majorHAnsi" w:eastAsiaTheme="minorEastAsia" w:hAnsiTheme="majorHAnsi" w:cstheme="majorHAnsi"/>
          <w:sz w:val="22"/>
          <w:szCs w:val="22"/>
        </w:rPr>
        <w:t xml:space="preserve">through a </w:t>
      </w:r>
      <w:r w:rsidR="00FA49B1" w:rsidRPr="00974377">
        <w:rPr>
          <w:rFonts w:asciiTheme="majorHAnsi" w:eastAsiaTheme="minorEastAsia" w:hAnsiTheme="majorHAnsi" w:cstheme="majorHAnsi"/>
          <w:sz w:val="22"/>
          <w:szCs w:val="22"/>
        </w:rPr>
        <w:t>district’s</w:t>
      </w:r>
      <w:r w:rsidRPr="00974377">
        <w:rPr>
          <w:rFonts w:asciiTheme="majorHAnsi" w:eastAsiaTheme="minorEastAsia" w:hAnsiTheme="majorHAnsi" w:cstheme="majorHAnsi"/>
          <w:sz w:val="22"/>
          <w:szCs w:val="22"/>
        </w:rPr>
        <w:t xml:space="preserve"> ecosystem approach, and in doing so their impact on students learning and achievement of foundational skills. </w:t>
      </w:r>
      <w:r w:rsidRPr="00974377">
        <w:rPr>
          <w:rFonts w:asciiTheme="majorHAnsi" w:hAnsiTheme="majorHAnsi" w:cstheme="majorHAnsi"/>
          <w:sz w:val="22"/>
          <w:szCs w:val="22"/>
        </w:rPr>
        <w:t xml:space="preserve">The sustainability of the program’s outcomes </w:t>
      </w:r>
      <w:r>
        <w:rPr>
          <w:rFonts w:asciiTheme="majorHAnsi" w:hAnsiTheme="majorHAnsi" w:cstheme="majorHAnsi"/>
          <w:sz w:val="22"/>
          <w:szCs w:val="22"/>
        </w:rPr>
        <w:t>will</w:t>
      </w:r>
      <w:r w:rsidRPr="00974377">
        <w:rPr>
          <w:rFonts w:asciiTheme="majorHAnsi" w:hAnsiTheme="majorHAnsi" w:cstheme="majorHAnsi"/>
          <w:sz w:val="22"/>
          <w:szCs w:val="22"/>
        </w:rPr>
        <w:t xml:space="preserve"> be largely </w:t>
      </w:r>
      <w:r w:rsidRPr="00E94B2A">
        <w:rPr>
          <w:rFonts w:asciiTheme="majorHAnsi" w:hAnsiTheme="majorHAnsi" w:cstheme="majorHAnsi"/>
          <w:sz w:val="22"/>
          <w:szCs w:val="22"/>
        </w:rPr>
        <w:t xml:space="preserve">influenced by the program’s ability to demonstrate the effectiveness and impact of </w:t>
      </w:r>
      <w:r w:rsidR="00F3315B" w:rsidRPr="00E94B2A">
        <w:rPr>
          <w:rFonts w:asciiTheme="majorHAnsi" w:hAnsiTheme="majorHAnsi" w:cstheme="majorHAnsi"/>
          <w:sz w:val="22"/>
          <w:szCs w:val="22"/>
        </w:rPr>
        <w:t>its</w:t>
      </w:r>
      <w:r w:rsidRPr="00E94B2A">
        <w:rPr>
          <w:rFonts w:asciiTheme="majorHAnsi" w:hAnsiTheme="majorHAnsi" w:cstheme="majorHAnsi"/>
          <w:sz w:val="22"/>
          <w:szCs w:val="22"/>
        </w:rPr>
        <w:t xml:space="preserve"> approach on improving learning outcomes for children, and to convince </w:t>
      </w:r>
      <w:proofErr w:type="spellStart"/>
      <w:r w:rsidRPr="00E94B2A">
        <w:rPr>
          <w:rFonts w:asciiTheme="majorHAnsi" w:hAnsiTheme="majorHAnsi" w:cstheme="majorHAnsi"/>
          <w:sz w:val="22"/>
          <w:szCs w:val="22"/>
        </w:rPr>
        <w:t>GoI</w:t>
      </w:r>
      <w:proofErr w:type="spellEnd"/>
      <w:r w:rsidRPr="00E94B2A">
        <w:rPr>
          <w:rFonts w:asciiTheme="majorHAnsi" w:hAnsiTheme="majorHAnsi" w:cstheme="majorHAnsi"/>
          <w:sz w:val="22"/>
          <w:szCs w:val="22"/>
        </w:rPr>
        <w:t xml:space="preserve"> to scale it up while respecting contextual parameters. </w:t>
      </w:r>
      <w:r w:rsidR="00EE1C5E" w:rsidRPr="00E94B2A">
        <w:rPr>
          <w:rFonts w:asciiTheme="majorHAnsi" w:hAnsiTheme="majorHAnsi" w:cstheme="majorHAnsi"/>
          <w:sz w:val="22"/>
          <w:szCs w:val="22"/>
        </w:rPr>
        <w:t>The program long</w:t>
      </w:r>
      <w:r w:rsidR="00EE1C5E" w:rsidRPr="006D30F5">
        <w:rPr>
          <w:rFonts w:asciiTheme="majorHAnsi" w:hAnsiTheme="majorHAnsi" w:cstheme="majorHAnsi"/>
          <w:sz w:val="22"/>
          <w:szCs w:val="22"/>
        </w:rPr>
        <w:t xml:space="preserve"> term impact will </w:t>
      </w:r>
      <w:r w:rsidR="00EE1C5E">
        <w:rPr>
          <w:rFonts w:asciiTheme="majorHAnsi" w:hAnsiTheme="majorHAnsi" w:cstheme="majorHAnsi"/>
          <w:sz w:val="22"/>
          <w:szCs w:val="22"/>
        </w:rPr>
        <w:t xml:space="preserve">also </w:t>
      </w:r>
      <w:r w:rsidR="00EE1C5E" w:rsidRPr="006D30F5">
        <w:rPr>
          <w:rFonts w:asciiTheme="majorHAnsi" w:hAnsiTheme="majorHAnsi" w:cstheme="majorHAnsi"/>
          <w:sz w:val="22"/>
          <w:szCs w:val="22"/>
        </w:rPr>
        <w:t xml:space="preserve">be reflected in potential changes to the current system and processes for education reforms delivery. </w:t>
      </w:r>
      <w:r w:rsidR="00EE1C5E" w:rsidRPr="00974377">
        <w:rPr>
          <w:rFonts w:asciiTheme="majorHAnsi" w:hAnsiTheme="majorHAnsi" w:cstheme="majorHAnsi"/>
          <w:sz w:val="22"/>
          <w:szCs w:val="22"/>
        </w:rPr>
        <w:t xml:space="preserve">These legacies are beyond the sphere of control and influence of the program. However, they are within its sphere of interest and will be investigated as part of the program MERL efforts to incentivise the uptake and scale-up of INOVASI ecosystemic approach (see </w:t>
      </w:r>
      <w:r w:rsidR="00EE1C5E">
        <w:rPr>
          <w:rFonts w:asciiTheme="majorHAnsi" w:hAnsiTheme="majorHAnsi" w:cstheme="majorHAnsi"/>
          <w:sz w:val="22"/>
          <w:szCs w:val="22"/>
        </w:rPr>
        <w:t>Section</w:t>
      </w:r>
      <w:r w:rsidR="00EE1C5E" w:rsidRPr="00974377">
        <w:rPr>
          <w:rFonts w:asciiTheme="majorHAnsi" w:hAnsiTheme="majorHAnsi" w:cstheme="majorHAnsi"/>
          <w:sz w:val="22"/>
          <w:szCs w:val="22"/>
        </w:rPr>
        <w:t xml:space="preserve"> F). </w:t>
      </w:r>
      <w:r w:rsidR="00982672">
        <w:rPr>
          <w:rFonts w:asciiTheme="majorHAnsi" w:hAnsiTheme="majorHAnsi" w:cstheme="majorHAnsi"/>
          <w:sz w:val="22"/>
          <w:szCs w:val="22"/>
        </w:rPr>
        <w:t xml:space="preserve">As such, </w:t>
      </w:r>
      <w:r w:rsidR="00982672">
        <w:rPr>
          <w:rFonts w:asciiTheme="majorHAnsi" w:eastAsiaTheme="minorEastAsia" w:hAnsiTheme="majorHAnsi" w:cstheme="majorHAnsi"/>
          <w:sz w:val="22"/>
          <w:szCs w:val="22"/>
        </w:rPr>
        <w:t>t</w:t>
      </w:r>
      <w:r w:rsidR="00EE1C5E">
        <w:rPr>
          <w:rFonts w:asciiTheme="majorHAnsi" w:eastAsiaTheme="minorEastAsia" w:hAnsiTheme="majorHAnsi" w:cstheme="majorHAnsi"/>
          <w:sz w:val="22"/>
          <w:szCs w:val="22"/>
        </w:rPr>
        <w:t xml:space="preserve">wo </w:t>
      </w:r>
      <w:r>
        <w:rPr>
          <w:rFonts w:asciiTheme="majorHAnsi" w:eastAsiaTheme="minorEastAsia" w:hAnsiTheme="majorHAnsi" w:cstheme="majorHAnsi"/>
          <w:sz w:val="22"/>
          <w:szCs w:val="22"/>
        </w:rPr>
        <w:t>factors of sustainability will require close attention from the program from the start of operations</w:t>
      </w:r>
      <w:r w:rsidR="00AB2048">
        <w:rPr>
          <w:rFonts w:asciiTheme="majorHAnsi" w:eastAsiaTheme="minorEastAsia" w:hAnsiTheme="majorHAnsi" w:cstheme="majorHAnsi"/>
          <w:sz w:val="22"/>
          <w:szCs w:val="22"/>
        </w:rPr>
        <w:t xml:space="preserve">: </w:t>
      </w:r>
      <w:proofErr w:type="spellStart"/>
      <w:r w:rsidR="00AB2048">
        <w:rPr>
          <w:rFonts w:asciiTheme="majorHAnsi" w:eastAsiaTheme="minorEastAsia" w:hAnsiTheme="majorHAnsi" w:cstheme="majorHAnsi"/>
          <w:sz w:val="22"/>
          <w:szCs w:val="22"/>
        </w:rPr>
        <w:t>i</w:t>
      </w:r>
      <w:proofErr w:type="spellEnd"/>
      <w:r w:rsidR="00AB2048">
        <w:rPr>
          <w:rFonts w:asciiTheme="majorHAnsi" w:eastAsiaTheme="minorEastAsia" w:hAnsiTheme="majorHAnsi" w:cstheme="majorHAnsi"/>
          <w:sz w:val="22"/>
          <w:szCs w:val="22"/>
        </w:rPr>
        <w:t xml:space="preserve">) the </w:t>
      </w:r>
      <w:r w:rsidR="00EA686A">
        <w:rPr>
          <w:rFonts w:asciiTheme="majorHAnsi" w:eastAsiaTheme="minorEastAsia" w:hAnsiTheme="majorHAnsi" w:cstheme="majorHAnsi"/>
          <w:sz w:val="22"/>
          <w:szCs w:val="22"/>
        </w:rPr>
        <w:t xml:space="preserve">continuation of </w:t>
      </w:r>
      <w:r w:rsidR="00AB2048">
        <w:rPr>
          <w:rFonts w:asciiTheme="majorHAnsi" w:eastAsiaTheme="minorEastAsia" w:hAnsiTheme="majorHAnsi" w:cstheme="majorHAnsi"/>
          <w:sz w:val="22"/>
          <w:szCs w:val="22"/>
        </w:rPr>
        <w:t xml:space="preserve">the reforms, </w:t>
      </w:r>
      <w:r w:rsidR="00EE1C5E">
        <w:rPr>
          <w:rFonts w:asciiTheme="majorHAnsi" w:eastAsiaTheme="minorEastAsia" w:hAnsiTheme="majorHAnsi" w:cstheme="majorHAnsi"/>
          <w:sz w:val="22"/>
          <w:szCs w:val="22"/>
        </w:rPr>
        <w:t xml:space="preserve">and </w:t>
      </w:r>
      <w:r w:rsidR="00AB2048">
        <w:rPr>
          <w:rFonts w:asciiTheme="majorHAnsi" w:eastAsiaTheme="minorEastAsia" w:hAnsiTheme="majorHAnsi" w:cstheme="majorHAnsi"/>
          <w:sz w:val="22"/>
          <w:szCs w:val="22"/>
        </w:rPr>
        <w:t xml:space="preserve">ii) the capability of district authorities to sustain improvement in teaching and learning at scale in target districts. </w:t>
      </w:r>
    </w:p>
    <w:p w14:paraId="53AD3508" w14:textId="77777777" w:rsidR="00AB2048" w:rsidRPr="00AB2048" w:rsidRDefault="00AB2048" w:rsidP="008D1844">
      <w:pPr>
        <w:pStyle w:val="Heading3"/>
        <w:numPr>
          <w:ilvl w:val="0"/>
          <w:numId w:val="12"/>
        </w:numPr>
        <w:rPr>
          <w:rFonts w:eastAsiaTheme="minorEastAsia" w:cstheme="majorHAnsi"/>
          <w:sz w:val="22"/>
          <w:szCs w:val="22"/>
        </w:rPr>
      </w:pPr>
      <w:r w:rsidRPr="003E1C1F">
        <w:rPr>
          <w:rFonts w:eastAsiaTheme="minorEastAsia"/>
          <w:b/>
          <w:bCs w:val="0"/>
          <w:sz w:val="22"/>
          <w:szCs w:val="22"/>
        </w:rPr>
        <w:t xml:space="preserve">Sustaining the direction of the reforms </w:t>
      </w:r>
    </w:p>
    <w:p w14:paraId="543CA0C0" w14:textId="07EFDA11" w:rsidR="005B2670" w:rsidRDefault="005B2670" w:rsidP="00237726">
      <w:pPr>
        <w:pStyle w:val="BodyText"/>
        <w:spacing w:after="120" w:line="281" w:lineRule="auto"/>
        <w:rPr>
          <w:rFonts w:asciiTheme="majorHAnsi" w:hAnsiTheme="majorHAnsi" w:cstheme="majorHAnsi"/>
          <w:sz w:val="22"/>
          <w:szCs w:val="22"/>
        </w:rPr>
      </w:pPr>
      <w:r w:rsidRPr="00E8547C">
        <w:rPr>
          <w:rFonts w:asciiTheme="majorHAnsi" w:hAnsiTheme="majorHAnsi" w:cstheme="majorHAnsi"/>
          <w:i/>
          <w:iCs/>
          <w:sz w:val="22"/>
          <w:szCs w:val="22"/>
        </w:rPr>
        <w:t>Over the first two years</w:t>
      </w:r>
      <w:r w:rsidRPr="00E8547C">
        <w:rPr>
          <w:rFonts w:asciiTheme="majorHAnsi" w:hAnsiTheme="majorHAnsi" w:cstheme="majorHAnsi"/>
          <w:sz w:val="22"/>
          <w:szCs w:val="22"/>
        </w:rPr>
        <w:t xml:space="preserve">, the program </w:t>
      </w:r>
      <w:r w:rsidR="00F3315B" w:rsidRPr="00E8547C">
        <w:rPr>
          <w:rFonts w:asciiTheme="majorHAnsi" w:hAnsiTheme="majorHAnsi" w:cstheme="majorHAnsi"/>
          <w:sz w:val="22"/>
          <w:szCs w:val="22"/>
        </w:rPr>
        <w:t xml:space="preserve">will </w:t>
      </w:r>
      <w:r w:rsidRPr="00E8547C">
        <w:rPr>
          <w:rFonts w:asciiTheme="majorHAnsi" w:hAnsiTheme="majorHAnsi" w:cstheme="majorHAnsi"/>
          <w:sz w:val="22"/>
          <w:szCs w:val="22"/>
        </w:rPr>
        <w:t xml:space="preserve">need to monitor the </w:t>
      </w:r>
      <w:r w:rsidR="00F3315B" w:rsidRPr="00E8547C">
        <w:rPr>
          <w:rFonts w:asciiTheme="majorHAnsi" w:hAnsiTheme="majorHAnsi" w:cstheme="majorHAnsi"/>
          <w:sz w:val="22"/>
          <w:szCs w:val="22"/>
        </w:rPr>
        <w:t>risk that</w:t>
      </w:r>
      <w:r w:rsidRPr="00E8547C">
        <w:rPr>
          <w:rFonts w:asciiTheme="majorHAnsi" w:hAnsiTheme="majorHAnsi" w:cstheme="majorHAnsi"/>
          <w:sz w:val="22"/>
          <w:szCs w:val="22"/>
        </w:rPr>
        <w:t xml:space="preserve"> the reform could </w:t>
      </w:r>
      <w:r w:rsidR="002802F4" w:rsidRPr="00EA46CE">
        <w:rPr>
          <w:rFonts w:asciiTheme="majorHAnsi" w:hAnsiTheme="majorHAnsi" w:cstheme="majorHAnsi"/>
          <w:sz w:val="22"/>
          <w:szCs w:val="22"/>
        </w:rPr>
        <w:t>lead to</w:t>
      </w:r>
      <w:r w:rsidR="002802F4" w:rsidRPr="00E8547C">
        <w:rPr>
          <w:rFonts w:asciiTheme="majorHAnsi" w:hAnsiTheme="majorHAnsi" w:cstheme="majorHAnsi"/>
          <w:sz w:val="22"/>
          <w:szCs w:val="22"/>
        </w:rPr>
        <w:t xml:space="preserve"> </w:t>
      </w:r>
      <w:r w:rsidRPr="00E8547C">
        <w:rPr>
          <w:rFonts w:asciiTheme="majorHAnsi" w:hAnsiTheme="majorHAnsi" w:cstheme="majorHAnsi"/>
          <w:sz w:val="22"/>
          <w:szCs w:val="22"/>
        </w:rPr>
        <w:t>teacher and district discouragement</w:t>
      </w:r>
      <w:r w:rsidR="00F3315B" w:rsidRPr="00E8547C">
        <w:rPr>
          <w:rFonts w:asciiTheme="majorHAnsi" w:hAnsiTheme="majorHAnsi" w:cstheme="majorHAnsi"/>
          <w:sz w:val="22"/>
          <w:szCs w:val="22"/>
        </w:rPr>
        <w:t>, around issues such as</w:t>
      </w:r>
      <w:r w:rsidRPr="00E8547C">
        <w:rPr>
          <w:rFonts w:asciiTheme="majorHAnsi" w:hAnsiTheme="majorHAnsi" w:cstheme="majorHAnsi"/>
          <w:sz w:val="22"/>
          <w:szCs w:val="22"/>
        </w:rPr>
        <w:t xml:space="preserve"> the access and utility issues of the digital platform, the availability of printed resources especially for schools without </w:t>
      </w:r>
      <w:r w:rsidR="0042127B" w:rsidRPr="00E8547C">
        <w:rPr>
          <w:rFonts w:asciiTheme="majorHAnsi" w:hAnsiTheme="majorHAnsi" w:cstheme="majorHAnsi"/>
          <w:sz w:val="22"/>
          <w:szCs w:val="22"/>
        </w:rPr>
        <w:t>Internet</w:t>
      </w:r>
      <w:r w:rsidRPr="00E8547C">
        <w:rPr>
          <w:rFonts w:asciiTheme="majorHAnsi" w:hAnsiTheme="majorHAnsi" w:cstheme="majorHAnsi"/>
          <w:sz w:val="22"/>
          <w:szCs w:val="22"/>
        </w:rPr>
        <w:t xml:space="preserve">, the adequacy of professional development support </w:t>
      </w:r>
      <w:r w:rsidR="00F3315B" w:rsidRPr="00E8547C">
        <w:rPr>
          <w:rFonts w:asciiTheme="majorHAnsi" w:hAnsiTheme="majorHAnsi" w:cstheme="majorHAnsi"/>
          <w:sz w:val="22"/>
          <w:szCs w:val="22"/>
        </w:rPr>
        <w:t>and</w:t>
      </w:r>
      <w:r w:rsidRPr="00E8547C">
        <w:rPr>
          <w:rFonts w:asciiTheme="majorHAnsi" w:hAnsiTheme="majorHAnsi" w:cstheme="majorHAnsi"/>
          <w:sz w:val="22"/>
          <w:szCs w:val="22"/>
        </w:rPr>
        <w:t xml:space="preserve"> core </w:t>
      </w:r>
      <w:r w:rsidR="002802F4" w:rsidRPr="00EA46CE">
        <w:rPr>
          <w:rFonts w:asciiTheme="majorHAnsi" w:hAnsiTheme="majorHAnsi" w:cstheme="majorHAnsi"/>
          <w:sz w:val="22"/>
          <w:szCs w:val="22"/>
        </w:rPr>
        <w:t>up</w:t>
      </w:r>
      <w:r w:rsidRPr="00E8547C">
        <w:rPr>
          <w:rFonts w:asciiTheme="majorHAnsi" w:hAnsiTheme="majorHAnsi" w:cstheme="majorHAnsi"/>
          <w:sz w:val="22"/>
          <w:szCs w:val="22"/>
        </w:rPr>
        <w:t xml:space="preserve">skilling requirements of teachers and principals. Through </w:t>
      </w:r>
      <w:r w:rsidR="00BF3CC9" w:rsidRPr="00E8547C">
        <w:rPr>
          <w:rFonts w:asciiTheme="majorHAnsi" w:hAnsiTheme="majorHAnsi" w:cstheme="majorHAnsi"/>
          <w:sz w:val="22"/>
          <w:szCs w:val="22"/>
        </w:rPr>
        <w:t xml:space="preserve">recurrent </w:t>
      </w:r>
      <w:r w:rsidRPr="00E8547C">
        <w:rPr>
          <w:rFonts w:asciiTheme="majorHAnsi" w:hAnsiTheme="majorHAnsi" w:cstheme="majorHAnsi"/>
          <w:sz w:val="22"/>
          <w:szCs w:val="22"/>
        </w:rPr>
        <w:t>analyses</w:t>
      </w:r>
      <w:r w:rsidR="00F3315B" w:rsidRPr="00E8547C">
        <w:rPr>
          <w:rFonts w:asciiTheme="majorHAnsi" w:hAnsiTheme="majorHAnsi" w:cstheme="majorHAnsi"/>
          <w:sz w:val="22"/>
          <w:szCs w:val="22"/>
        </w:rPr>
        <w:t>,</w:t>
      </w:r>
      <w:r w:rsidRPr="00E8547C">
        <w:rPr>
          <w:rFonts w:asciiTheme="majorHAnsi" w:hAnsiTheme="majorHAnsi" w:cstheme="majorHAnsi"/>
          <w:sz w:val="22"/>
          <w:szCs w:val="22"/>
        </w:rPr>
        <w:t xml:space="preserve"> the program needs to monitor the quality of the interface between district authorit</w:t>
      </w:r>
      <w:r w:rsidR="00F3315B" w:rsidRPr="00E8547C">
        <w:rPr>
          <w:rFonts w:asciiTheme="majorHAnsi" w:hAnsiTheme="majorHAnsi" w:cstheme="majorHAnsi"/>
          <w:sz w:val="22"/>
          <w:szCs w:val="22"/>
        </w:rPr>
        <w:t>ies</w:t>
      </w:r>
      <w:r w:rsidRPr="00E8547C">
        <w:rPr>
          <w:rFonts w:asciiTheme="majorHAnsi" w:hAnsiTheme="majorHAnsi" w:cstheme="majorHAnsi"/>
          <w:sz w:val="22"/>
          <w:szCs w:val="22"/>
        </w:rPr>
        <w:t xml:space="preserve"> and the national organisations introduced into the district context (</w:t>
      </w:r>
      <w:proofErr w:type="spellStart"/>
      <w:r w:rsidRPr="00E8547C">
        <w:rPr>
          <w:rFonts w:asciiTheme="majorHAnsi" w:hAnsiTheme="majorHAnsi" w:cstheme="majorHAnsi"/>
          <w:i/>
          <w:iCs/>
          <w:sz w:val="22"/>
          <w:szCs w:val="22"/>
        </w:rPr>
        <w:t>sekolah</w:t>
      </w:r>
      <w:proofErr w:type="spellEnd"/>
      <w:r w:rsidRPr="00E8547C">
        <w:rPr>
          <w:rFonts w:asciiTheme="majorHAnsi" w:hAnsiTheme="majorHAnsi" w:cstheme="majorHAnsi"/>
          <w:i/>
          <w:iCs/>
          <w:sz w:val="22"/>
          <w:szCs w:val="22"/>
        </w:rPr>
        <w:t xml:space="preserve"> </w:t>
      </w:r>
      <w:proofErr w:type="spellStart"/>
      <w:r w:rsidRPr="00E8547C">
        <w:rPr>
          <w:rFonts w:asciiTheme="majorHAnsi" w:hAnsiTheme="majorHAnsi" w:cstheme="majorHAnsi"/>
          <w:i/>
          <w:iCs/>
          <w:sz w:val="22"/>
          <w:szCs w:val="22"/>
        </w:rPr>
        <w:t>penggerak</w:t>
      </w:r>
      <w:proofErr w:type="spellEnd"/>
      <w:r w:rsidRPr="00E8547C">
        <w:rPr>
          <w:rFonts w:asciiTheme="majorHAnsi" w:hAnsiTheme="majorHAnsi" w:cstheme="majorHAnsi"/>
          <w:sz w:val="22"/>
          <w:szCs w:val="22"/>
        </w:rPr>
        <w:t xml:space="preserve">, BPMP and BGP and the </w:t>
      </w:r>
      <w:proofErr w:type="spellStart"/>
      <w:r w:rsidRPr="00E8547C">
        <w:rPr>
          <w:rFonts w:asciiTheme="majorHAnsi" w:hAnsiTheme="majorHAnsi" w:cstheme="majorHAnsi"/>
          <w:i/>
          <w:iCs/>
          <w:sz w:val="22"/>
          <w:szCs w:val="22"/>
        </w:rPr>
        <w:t>Rapor</w:t>
      </w:r>
      <w:proofErr w:type="spellEnd"/>
      <w:r w:rsidRPr="00E8547C">
        <w:rPr>
          <w:rFonts w:asciiTheme="majorHAnsi" w:hAnsiTheme="majorHAnsi" w:cstheme="majorHAnsi"/>
          <w:i/>
          <w:iCs/>
          <w:sz w:val="22"/>
          <w:szCs w:val="22"/>
        </w:rPr>
        <w:t xml:space="preserve"> Pendidikan</w:t>
      </w:r>
      <w:r w:rsidRPr="00E8547C">
        <w:rPr>
          <w:rFonts w:asciiTheme="majorHAnsi" w:hAnsiTheme="majorHAnsi" w:cstheme="majorHAnsi"/>
          <w:sz w:val="22"/>
          <w:szCs w:val="22"/>
        </w:rPr>
        <w:t xml:space="preserve">). Issues arising from any of these </w:t>
      </w:r>
      <w:r w:rsidR="00F3315B" w:rsidRPr="00E8547C">
        <w:rPr>
          <w:rFonts w:asciiTheme="majorHAnsi" w:hAnsiTheme="majorHAnsi" w:cstheme="majorHAnsi"/>
          <w:sz w:val="22"/>
          <w:szCs w:val="22"/>
        </w:rPr>
        <w:t>risks</w:t>
      </w:r>
      <w:r w:rsidRPr="00E8547C">
        <w:rPr>
          <w:rFonts w:asciiTheme="majorHAnsi" w:hAnsiTheme="majorHAnsi" w:cstheme="majorHAnsi"/>
          <w:sz w:val="22"/>
          <w:szCs w:val="22"/>
        </w:rPr>
        <w:t xml:space="preserve"> need to be deliberated in the </w:t>
      </w:r>
      <w:r w:rsidR="00BF3CC9" w:rsidRPr="00E8547C">
        <w:rPr>
          <w:rFonts w:asciiTheme="majorHAnsi" w:hAnsiTheme="majorHAnsi" w:cstheme="majorHAnsi"/>
          <w:sz w:val="22"/>
          <w:szCs w:val="22"/>
        </w:rPr>
        <w:t>n</w:t>
      </w:r>
      <w:r w:rsidRPr="00E8547C">
        <w:rPr>
          <w:rFonts w:asciiTheme="majorHAnsi" w:hAnsiTheme="majorHAnsi" w:cstheme="majorHAnsi"/>
          <w:sz w:val="22"/>
          <w:szCs w:val="22"/>
        </w:rPr>
        <w:t>ational and</w:t>
      </w:r>
      <w:r w:rsidR="00BF3CC9" w:rsidRPr="00E8547C">
        <w:rPr>
          <w:rFonts w:asciiTheme="majorHAnsi" w:hAnsiTheme="majorHAnsi" w:cstheme="majorHAnsi"/>
          <w:sz w:val="22"/>
          <w:szCs w:val="22"/>
        </w:rPr>
        <w:t>/or</w:t>
      </w:r>
      <w:r w:rsidRPr="00E8547C">
        <w:rPr>
          <w:rFonts w:asciiTheme="majorHAnsi" w:hAnsiTheme="majorHAnsi" w:cstheme="majorHAnsi"/>
          <w:sz w:val="22"/>
          <w:szCs w:val="22"/>
        </w:rPr>
        <w:t xml:space="preserve"> provincial steering committees, and by </w:t>
      </w:r>
      <w:r w:rsidR="00BF3CC9" w:rsidRPr="00E8547C">
        <w:rPr>
          <w:rFonts w:asciiTheme="majorHAnsi" w:hAnsiTheme="majorHAnsi" w:cstheme="majorHAnsi"/>
          <w:sz w:val="22"/>
          <w:szCs w:val="22"/>
        </w:rPr>
        <w:t xml:space="preserve">members of the implementation </w:t>
      </w:r>
      <w:r w:rsidRPr="00E8547C">
        <w:rPr>
          <w:rFonts w:asciiTheme="majorHAnsi" w:hAnsiTheme="majorHAnsi" w:cstheme="majorHAnsi"/>
          <w:sz w:val="22"/>
          <w:szCs w:val="22"/>
        </w:rPr>
        <w:t>team closely engaged in policy work.</w:t>
      </w:r>
    </w:p>
    <w:p w14:paraId="34EFB793" w14:textId="7EDE7885" w:rsidR="005B2670" w:rsidRDefault="005B2670" w:rsidP="00237726">
      <w:pPr>
        <w:pStyle w:val="BodyText"/>
        <w:spacing w:after="120" w:line="281" w:lineRule="auto"/>
        <w:rPr>
          <w:rFonts w:asciiTheme="majorHAnsi" w:hAnsiTheme="majorHAnsi" w:cstheme="majorHAnsi"/>
          <w:sz w:val="22"/>
          <w:szCs w:val="22"/>
        </w:rPr>
      </w:pPr>
      <w:r w:rsidRPr="00FF214E">
        <w:rPr>
          <w:rFonts w:asciiTheme="majorHAnsi" w:hAnsiTheme="majorHAnsi" w:cstheme="majorHAnsi"/>
          <w:i/>
          <w:iCs/>
          <w:sz w:val="22"/>
          <w:szCs w:val="22"/>
        </w:rPr>
        <w:t>Over the long</w:t>
      </w:r>
      <w:r>
        <w:rPr>
          <w:rFonts w:asciiTheme="majorHAnsi" w:hAnsiTheme="majorHAnsi" w:cstheme="majorHAnsi"/>
          <w:i/>
          <w:iCs/>
          <w:sz w:val="22"/>
          <w:szCs w:val="22"/>
        </w:rPr>
        <w:t>er</w:t>
      </w:r>
      <w:r w:rsidRPr="00FF214E">
        <w:rPr>
          <w:rFonts w:asciiTheme="majorHAnsi" w:hAnsiTheme="majorHAnsi" w:cstheme="majorHAnsi"/>
          <w:i/>
          <w:iCs/>
          <w:sz w:val="22"/>
          <w:szCs w:val="22"/>
        </w:rPr>
        <w:t>-term</w:t>
      </w:r>
      <w:r>
        <w:rPr>
          <w:rFonts w:asciiTheme="majorHAnsi" w:hAnsiTheme="majorHAnsi" w:cstheme="majorHAnsi"/>
          <w:sz w:val="22"/>
          <w:szCs w:val="22"/>
        </w:rPr>
        <w:t xml:space="preserve"> improved learning outcomes will be sustained nationally by the reform of pre-service preparation of teachers in literacy, </w:t>
      </w:r>
      <w:r w:rsidR="00872281">
        <w:rPr>
          <w:rFonts w:asciiTheme="majorHAnsi" w:hAnsiTheme="majorHAnsi" w:cstheme="majorHAnsi"/>
          <w:sz w:val="22"/>
          <w:szCs w:val="22"/>
        </w:rPr>
        <w:t>numeracy,</w:t>
      </w:r>
      <w:r>
        <w:rPr>
          <w:rFonts w:asciiTheme="majorHAnsi" w:hAnsiTheme="majorHAnsi" w:cstheme="majorHAnsi"/>
          <w:sz w:val="22"/>
          <w:szCs w:val="22"/>
        </w:rPr>
        <w:t xml:space="preserve"> and inclusive teaching practices</w:t>
      </w:r>
      <w:r w:rsidR="00F3315B">
        <w:rPr>
          <w:rFonts w:asciiTheme="majorHAnsi" w:hAnsiTheme="majorHAnsi" w:cstheme="majorHAnsi"/>
          <w:sz w:val="22"/>
          <w:szCs w:val="22"/>
        </w:rPr>
        <w:t>,</w:t>
      </w:r>
      <w:r>
        <w:rPr>
          <w:rFonts w:asciiTheme="majorHAnsi" w:hAnsiTheme="majorHAnsi" w:cstheme="majorHAnsi"/>
          <w:sz w:val="22"/>
          <w:szCs w:val="22"/>
        </w:rPr>
        <w:t xml:space="preserve"> especially f</w:t>
      </w:r>
      <w:r w:rsidR="00F3315B">
        <w:rPr>
          <w:rFonts w:asciiTheme="majorHAnsi" w:hAnsiTheme="majorHAnsi" w:cstheme="majorHAnsi"/>
          <w:sz w:val="22"/>
          <w:szCs w:val="22"/>
        </w:rPr>
        <w:t>or</w:t>
      </w:r>
      <w:r>
        <w:rPr>
          <w:rFonts w:asciiTheme="majorHAnsi" w:hAnsiTheme="majorHAnsi" w:cstheme="majorHAnsi"/>
          <w:sz w:val="22"/>
          <w:szCs w:val="22"/>
        </w:rPr>
        <w:t xml:space="preserve"> students with disabilities.  The </w:t>
      </w:r>
      <w:r w:rsidR="00BF3CC9">
        <w:rPr>
          <w:rFonts w:asciiTheme="majorHAnsi" w:hAnsiTheme="majorHAnsi" w:cstheme="majorHAnsi"/>
          <w:sz w:val="22"/>
          <w:szCs w:val="22"/>
        </w:rPr>
        <w:t>upcoming</w:t>
      </w:r>
      <w:r>
        <w:rPr>
          <w:rFonts w:asciiTheme="majorHAnsi" w:hAnsiTheme="majorHAnsi" w:cstheme="majorHAnsi"/>
          <w:sz w:val="22"/>
          <w:szCs w:val="22"/>
        </w:rPr>
        <w:t xml:space="preserve"> retirement of thousands of civil servant teachers makes a start on these reforms </w:t>
      </w:r>
      <w:r>
        <w:rPr>
          <w:rFonts w:asciiTheme="majorHAnsi" w:hAnsiTheme="majorHAnsi" w:cstheme="majorHAnsi"/>
          <w:sz w:val="22"/>
          <w:szCs w:val="22"/>
        </w:rPr>
        <w:lastRenderedPageBreak/>
        <w:t>timely. The program will have a role in tailoring pre-service curricular reform to classroom practice, in course components on literacy numeracy and inclusion</w:t>
      </w:r>
      <w:r w:rsidR="00BF3CC9">
        <w:rPr>
          <w:rFonts w:asciiTheme="majorHAnsi" w:hAnsiTheme="majorHAnsi" w:cstheme="majorHAnsi"/>
          <w:sz w:val="22"/>
          <w:szCs w:val="22"/>
        </w:rPr>
        <w:t>,</w:t>
      </w:r>
      <w:r>
        <w:rPr>
          <w:rFonts w:asciiTheme="majorHAnsi" w:hAnsiTheme="majorHAnsi" w:cstheme="majorHAnsi"/>
          <w:sz w:val="22"/>
          <w:szCs w:val="22"/>
        </w:rPr>
        <w:t xml:space="preserve"> and particularly in the professional certificate program, the PPG. It will have a role in helping partner </w:t>
      </w:r>
      <w:r w:rsidR="00BF3CC9">
        <w:rPr>
          <w:rFonts w:asciiTheme="majorHAnsi" w:hAnsiTheme="majorHAnsi" w:cstheme="majorHAnsi"/>
          <w:sz w:val="22"/>
          <w:szCs w:val="22"/>
        </w:rPr>
        <w:t>u</w:t>
      </w:r>
      <w:r>
        <w:rPr>
          <w:rFonts w:asciiTheme="majorHAnsi" w:hAnsiTheme="majorHAnsi" w:cstheme="majorHAnsi"/>
          <w:sz w:val="22"/>
          <w:szCs w:val="22"/>
        </w:rPr>
        <w:t xml:space="preserve">niversities develop pre-service modules on supporting children with a disability. In all three domains it can use established relationships with influential faculties to help </w:t>
      </w:r>
      <w:proofErr w:type="spellStart"/>
      <w:r w:rsidR="00BF3CC9">
        <w:rPr>
          <w:rFonts w:asciiTheme="majorHAnsi" w:hAnsiTheme="majorHAnsi" w:cstheme="majorHAnsi"/>
          <w:sz w:val="22"/>
          <w:szCs w:val="22"/>
        </w:rPr>
        <w:t>MoECRT</w:t>
      </w:r>
      <w:proofErr w:type="spellEnd"/>
      <w:r>
        <w:rPr>
          <w:rFonts w:asciiTheme="majorHAnsi" w:hAnsiTheme="majorHAnsi" w:cstheme="majorHAnsi"/>
          <w:sz w:val="22"/>
          <w:szCs w:val="22"/>
        </w:rPr>
        <w:t xml:space="preserve"> scale these innovations across the sector. </w:t>
      </w:r>
    </w:p>
    <w:p w14:paraId="6362BBB9" w14:textId="178D7D91" w:rsidR="00BF3CC9" w:rsidRPr="00EE1C5E" w:rsidRDefault="005B2670" w:rsidP="008D1844">
      <w:pPr>
        <w:pStyle w:val="Heading3"/>
        <w:numPr>
          <w:ilvl w:val="0"/>
          <w:numId w:val="12"/>
        </w:numPr>
        <w:rPr>
          <w:rFonts w:eastAsiaTheme="minorEastAsia" w:cstheme="majorHAnsi"/>
          <w:sz w:val="22"/>
          <w:szCs w:val="22"/>
        </w:rPr>
      </w:pPr>
      <w:r w:rsidRPr="003E1C1F">
        <w:rPr>
          <w:rFonts w:eastAsiaTheme="minorEastAsia"/>
          <w:b/>
          <w:bCs w:val="0"/>
          <w:sz w:val="22"/>
          <w:szCs w:val="22"/>
        </w:rPr>
        <w:t>Sustaining learning improvement in target districts</w:t>
      </w:r>
    </w:p>
    <w:p w14:paraId="49196C01" w14:textId="6428C017" w:rsidR="005B2670" w:rsidRDefault="005B2670" w:rsidP="00237726">
      <w:pPr>
        <w:pStyle w:val="BodyText"/>
        <w:spacing w:after="120" w:line="281" w:lineRule="auto"/>
        <w:rPr>
          <w:rFonts w:asciiTheme="majorHAnsi" w:hAnsiTheme="majorHAnsi" w:cstheme="majorHAnsi"/>
          <w:sz w:val="22"/>
          <w:szCs w:val="22"/>
        </w:rPr>
      </w:pPr>
      <w:r>
        <w:rPr>
          <w:rFonts w:asciiTheme="majorHAnsi" w:hAnsiTheme="majorHAnsi" w:cstheme="majorHAnsi"/>
          <w:sz w:val="22"/>
          <w:szCs w:val="22"/>
        </w:rPr>
        <w:t xml:space="preserve">The sustainability of improved outcomes at scale in the target districts will come from the effective functioning of the systems of learner, </w:t>
      </w:r>
      <w:r w:rsidR="00872281">
        <w:rPr>
          <w:rFonts w:asciiTheme="majorHAnsi" w:hAnsiTheme="majorHAnsi" w:cstheme="majorHAnsi"/>
          <w:sz w:val="22"/>
          <w:szCs w:val="22"/>
        </w:rPr>
        <w:t>teacher,</w:t>
      </w:r>
      <w:r>
        <w:rPr>
          <w:rFonts w:asciiTheme="majorHAnsi" w:hAnsiTheme="majorHAnsi" w:cstheme="majorHAnsi"/>
          <w:sz w:val="22"/>
          <w:szCs w:val="22"/>
        </w:rPr>
        <w:t xml:space="preserve"> and school support, as outlined in Section D. </w:t>
      </w:r>
      <w:r w:rsidR="00EA686A">
        <w:rPr>
          <w:rFonts w:asciiTheme="majorHAnsi" w:hAnsiTheme="majorHAnsi" w:cstheme="majorHAnsi"/>
          <w:sz w:val="22"/>
          <w:szCs w:val="22"/>
        </w:rPr>
        <w:t>D</w:t>
      </w:r>
      <w:r>
        <w:rPr>
          <w:rFonts w:asciiTheme="majorHAnsi" w:hAnsiTheme="majorHAnsi" w:cstheme="majorHAnsi"/>
          <w:sz w:val="22"/>
          <w:szCs w:val="22"/>
        </w:rPr>
        <w:t xml:space="preserve">istricts have some of these support systems in place, namely the teacher and principals’ working groups. </w:t>
      </w:r>
      <w:r w:rsidR="00EA686A">
        <w:rPr>
          <w:rFonts w:asciiTheme="majorHAnsi" w:hAnsiTheme="majorHAnsi" w:cstheme="majorHAnsi"/>
          <w:sz w:val="22"/>
          <w:szCs w:val="22"/>
        </w:rPr>
        <w:t>With the support of INOVASI Phase 2, some</w:t>
      </w:r>
      <w:r>
        <w:rPr>
          <w:rFonts w:asciiTheme="majorHAnsi" w:hAnsiTheme="majorHAnsi" w:cstheme="majorHAnsi"/>
          <w:sz w:val="22"/>
          <w:szCs w:val="22"/>
        </w:rPr>
        <w:t xml:space="preserve"> also have a new realisation of the value of these systems for professional skilling in literacy and numeracy</w:t>
      </w:r>
      <w:r w:rsidR="00EA686A">
        <w:rPr>
          <w:rFonts w:asciiTheme="majorHAnsi" w:hAnsiTheme="majorHAnsi" w:cstheme="majorHAnsi"/>
          <w:sz w:val="22"/>
          <w:szCs w:val="22"/>
        </w:rPr>
        <w:t>, and</w:t>
      </w:r>
      <w:r>
        <w:rPr>
          <w:rFonts w:asciiTheme="majorHAnsi" w:hAnsiTheme="majorHAnsi" w:cstheme="majorHAnsi"/>
          <w:sz w:val="22"/>
          <w:szCs w:val="22"/>
        </w:rPr>
        <w:t xml:space="preserve"> of the need </w:t>
      </w:r>
      <w:r w:rsidR="00F3315B">
        <w:rPr>
          <w:rFonts w:asciiTheme="majorHAnsi" w:hAnsiTheme="majorHAnsi" w:cstheme="majorHAnsi"/>
          <w:sz w:val="22"/>
          <w:szCs w:val="22"/>
        </w:rPr>
        <w:t>to</w:t>
      </w:r>
      <w:r>
        <w:rPr>
          <w:rFonts w:asciiTheme="majorHAnsi" w:hAnsiTheme="majorHAnsi" w:cstheme="majorHAnsi"/>
          <w:sz w:val="22"/>
          <w:szCs w:val="22"/>
        </w:rPr>
        <w:t xml:space="preserve"> facilitat</w:t>
      </w:r>
      <w:r w:rsidR="00F3315B">
        <w:rPr>
          <w:rFonts w:asciiTheme="majorHAnsi" w:hAnsiTheme="majorHAnsi" w:cstheme="majorHAnsi"/>
          <w:sz w:val="22"/>
          <w:szCs w:val="22"/>
        </w:rPr>
        <w:t>e</w:t>
      </w:r>
      <w:r>
        <w:rPr>
          <w:rFonts w:asciiTheme="majorHAnsi" w:hAnsiTheme="majorHAnsi" w:cstheme="majorHAnsi"/>
          <w:sz w:val="22"/>
          <w:szCs w:val="22"/>
        </w:rPr>
        <w:t xml:space="preserve"> their sessions, </w:t>
      </w:r>
      <w:r w:rsidR="00F3315B">
        <w:rPr>
          <w:rFonts w:asciiTheme="majorHAnsi" w:hAnsiTheme="majorHAnsi" w:cstheme="majorHAnsi"/>
          <w:sz w:val="22"/>
          <w:szCs w:val="22"/>
        </w:rPr>
        <w:t xml:space="preserve">to </w:t>
      </w:r>
      <w:r>
        <w:rPr>
          <w:rFonts w:asciiTheme="majorHAnsi" w:hAnsiTheme="majorHAnsi" w:cstheme="majorHAnsi"/>
          <w:sz w:val="22"/>
          <w:szCs w:val="22"/>
        </w:rPr>
        <w:t>monitor change in classroom</w:t>
      </w:r>
      <w:r w:rsidR="00F3315B">
        <w:rPr>
          <w:rFonts w:asciiTheme="majorHAnsi" w:hAnsiTheme="majorHAnsi" w:cstheme="majorHAnsi"/>
          <w:sz w:val="22"/>
          <w:szCs w:val="22"/>
        </w:rPr>
        <w:t>s,</w:t>
      </w:r>
      <w:r>
        <w:rPr>
          <w:rFonts w:asciiTheme="majorHAnsi" w:hAnsiTheme="majorHAnsi" w:cstheme="majorHAnsi"/>
          <w:sz w:val="22"/>
          <w:szCs w:val="22"/>
        </w:rPr>
        <w:t xml:space="preserve"> and</w:t>
      </w:r>
      <w:r w:rsidR="00EA686A">
        <w:rPr>
          <w:rFonts w:asciiTheme="majorHAnsi" w:hAnsiTheme="majorHAnsi" w:cstheme="majorHAnsi"/>
          <w:sz w:val="22"/>
          <w:szCs w:val="22"/>
        </w:rPr>
        <w:t xml:space="preserve"> </w:t>
      </w:r>
      <w:r w:rsidR="00F3315B">
        <w:rPr>
          <w:rFonts w:asciiTheme="majorHAnsi" w:hAnsiTheme="majorHAnsi" w:cstheme="majorHAnsi"/>
          <w:sz w:val="22"/>
          <w:szCs w:val="22"/>
        </w:rPr>
        <w:t xml:space="preserve">to </w:t>
      </w:r>
      <w:r w:rsidR="00EA686A">
        <w:rPr>
          <w:rFonts w:asciiTheme="majorHAnsi" w:hAnsiTheme="majorHAnsi" w:cstheme="majorHAnsi"/>
          <w:sz w:val="22"/>
          <w:szCs w:val="22"/>
        </w:rPr>
        <w:t>provid</w:t>
      </w:r>
      <w:r w:rsidR="00F3315B">
        <w:rPr>
          <w:rFonts w:asciiTheme="majorHAnsi" w:hAnsiTheme="majorHAnsi" w:cstheme="majorHAnsi"/>
          <w:sz w:val="22"/>
          <w:szCs w:val="22"/>
        </w:rPr>
        <w:t>e</w:t>
      </w:r>
      <w:r>
        <w:rPr>
          <w:rFonts w:asciiTheme="majorHAnsi" w:hAnsiTheme="majorHAnsi" w:cstheme="majorHAnsi"/>
          <w:sz w:val="22"/>
          <w:szCs w:val="22"/>
        </w:rPr>
        <w:t xml:space="preserve"> funding support from district (BOS). Most districts do not yet have in place the systems required by the Reasonable Accommodations Regulation 13/2020, and </w:t>
      </w:r>
      <w:proofErr w:type="gramStart"/>
      <w:r>
        <w:rPr>
          <w:rFonts w:asciiTheme="majorHAnsi" w:hAnsiTheme="majorHAnsi" w:cstheme="majorHAnsi"/>
          <w:sz w:val="22"/>
          <w:szCs w:val="22"/>
        </w:rPr>
        <w:t>in particular the</w:t>
      </w:r>
      <w:proofErr w:type="gramEnd"/>
      <w:r>
        <w:rPr>
          <w:rFonts w:asciiTheme="majorHAnsi" w:hAnsiTheme="majorHAnsi" w:cstheme="majorHAnsi"/>
          <w:sz w:val="22"/>
          <w:szCs w:val="22"/>
        </w:rPr>
        <w:t xml:space="preserve"> ULD hubs</w:t>
      </w:r>
      <w:r w:rsidR="00F3315B">
        <w:rPr>
          <w:rFonts w:asciiTheme="majorHAnsi" w:hAnsiTheme="majorHAnsi" w:cstheme="majorHAnsi"/>
          <w:sz w:val="22"/>
          <w:szCs w:val="22"/>
        </w:rPr>
        <w:t>,</w:t>
      </w:r>
      <w:r>
        <w:rPr>
          <w:rFonts w:asciiTheme="majorHAnsi" w:hAnsiTheme="majorHAnsi" w:cstheme="majorHAnsi"/>
          <w:sz w:val="22"/>
          <w:szCs w:val="22"/>
        </w:rPr>
        <w:t xml:space="preserve"> which this program </w:t>
      </w:r>
      <w:r w:rsidR="00F3315B">
        <w:rPr>
          <w:rFonts w:asciiTheme="majorHAnsi" w:hAnsiTheme="majorHAnsi" w:cstheme="majorHAnsi"/>
          <w:sz w:val="22"/>
          <w:szCs w:val="22"/>
        </w:rPr>
        <w:t>could</w:t>
      </w:r>
      <w:r>
        <w:rPr>
          <w:rFonts w:asciiTheme="majorHAnsi" w:hAnsiTheme="majorHAnsi" w:cstheme="majorHAnsi"/>
          <w:sz w:val="22"/>
          <w:szCs w:val="22"/>
        </w:rPr>
        <w:t xml:space="preserve"> support as part of </w:t>
      </w:r>
      <w:r w:rsidR="00F3315B">
        <w:rPr>
          <w:rFonts w:asciiTheme="majorHAnsi" w:hAnsiTheme="majorHAnsi" w:cstheme="majorHAnsi"/>
          <w:sz w:val="22"/>
          <w:szCs w:val="22"/>
        </w:rPr>
        <w:t>its ecosystem strategy in target districts</w:t>
      </w:r>
      <w:r>
        <w:rPr>
          <w:rFonts w:asciiTheme="majorHAnsi" w:hAnsiTheme="majorHAnsi" w:cstheme="majorHAnsi"/>
          <w:sz w:val="22"/>
          <w:szCs w:val="22"/>
        </w:rPr>
        <w:t xml:space="preserve">.  </w:t>
      </w:r>
    </w:p>
    <w:p w14:paraId="787D2CBE" w14:textId="58B830F6" w:rsidR="00463EA3" w:rsidRDefault="005B2670" w:rsidP="00237726">
      <w:pPr>
        <w:pStyle w:val="BodyText"/>
        <w:spacing w:after="120" w:line="281" w:lineRule="auto"/>
        <w:rPr>
          <w:rFonts w:asciiTheme="majorHAnsi" w:hAnsiTheme="majorHAnsi" w:cstheme="majorHAnsi"/>
          <w:sz w:val="22"/>
          <w:szCs w:val="22"/>
        </w:rPr>
      </w:pPr>
      <w:r>
        <w:rPr>
          <w:rFonts w:asciiTheme="majorHAnsi" w:hAnsiTheme="majorHAnsi" w:cstheme="majorHAnsi"/>
          <w:sz w:val="22"/>
          <w:szCs w:val="22"/>
        </w:rPr>
        <w:t>The demand on all these systems</w:t>
      </w:r>
      <w:r w:rsidR="00EA686A">
        <w:rPr>
          <w:rFonts w:asciiTheme="majorHAnsi" w:hAnsiTheme="majorHAnsi" w:cstheme="majorHAnsi"/>
          <w:sz w:val="22"/>
          <w:szCs w:val="22"/>
        </w:rPr>
        <w:t xml:space="preserve"> makes </w:t>
      </w:r>
      <w:r w:rsidR="00EE1C5E">
        <w:rPr>
          <w:rFonts w:asciiTheme="majorHAnsi" w:hAnsiTheme="majorHAnsi" w:cstheme="majorHAnsi"/>
          <w:sz w:val="22"/>
          <w:szCs w:val="22"/>
        </w:rPr>
        <w:t xml:space="preserve">district education </w:t>
      </w:r>
      <w:r w:rsidR="00EA686A">
        <w:rPr>
          <w:rFonts w:asciiTheme="majorHAnsi" w:hAnsiTheme="majorHAnsi" w:cstheme="majorHAnsi"/>
          <w:sz w:val="22"/>
          <w:szCs w:val="22"/>
        </w:rPr>
        <w:t xml:space="preserve">funding and </w:t>
      </w:r>
      <w:r>
        <w:rPr>
          <w:rFonts w:asciiTheme="majorHAnsi" w:hAnsiTheme="majorHAnsi" w:cstheme="majorHAnsi"/>
          <w:sz w:val="22"/>
          <w:szCs w:val="22"/>
        </w:rPr>
        <w:t xml:space="preserve">PFM a </w:t>
      </w:r>
      <w:r w:rsidR="00EA686A">
        <w:rPr>
          <w:rFonts w:asciiTheme="majorHAnsi" w:hAnsiTheme="majorHAnsi" w:cstheme="majorHAnsi"/>
          <w:sz w:val="22"/>
          <w:szCs w:val="22"/>
        </w:rPr>
        <w:t xml:space="preserve">central </w:t>
      </w:r>
      <w:r>
        <w:rPr>
          <w:rFonts w:asciiTheme="majorHAnsi" w:hAnsiTheme="majorHAnsi" w:cstheme="majorHAnsi"/>
          <w:sz w:val="22"/>
          <w:szCs w:val="22"/>
        </w:rPr>
        <w:t xml:space="preserve">issue for sustainability.  </w:t>
      </w:r>
      <w:r w:rsidR="00EE1C5E">
        <w:rPr>
          <w:rFonts w:asciiTheme="majorHAnsi" w:hAnsiTheme="majorHAnsi" w:cstheme="majorHAnsi"/>
          <w:sz w:val="22"/>
          <w:szCs w:val="22"/>
        </w:rPr>
        <w:t>At the national level, t</w:t>
      </w:r>
      <w:r>
        <w:rPr>
          <w:rFonts w:asciiTheme="majorHAnsi" w:hAnsiTheme="majorHAnsi" w:cstheme="majorHAnsi"/>
          <w:sz w:val="22"/>
          <w:szCs w:val="22"/>
        </w:rPr>
        <w:t xml:space="preserve">he program will work with SKALA and UNICEF to influence </w:t>
      </w:r>
      <w:r w:rsidR="00F3315B">
        <w:rPr>
          <w:rFonts w:asciiTheme="majorHAnsi" w:hAnsiTheme="majorHAnsi" w:cstheme="majorHAnsi"/>
          <w:sz w:val="22"/>
          <w:szCs w:val="22"/>
        </w:rPr>
        <w:t xml:space="preserve">policies and </w:t>
      </w:r>
      <w:r>
        <w:rPr>
          <w:rFonts w:asciiTheme="majorHAnsi" w:hAnsiTheme="majorHAnsi" w:cstheme="majorHAnsi"/>
          <w:sz w:val="22"/>
          <w:szCs w:val="22"/>
        </w:rPr>
        <w:t xml:space="preserve">incentives in the new </w:t>
      </w:r>
      <w:r w:rsidRPr="007C3F90">
        <w:rPr>
          <w:rFonts w:asciiTheme="majorHAnsi" w:hAnsiTheme="majorHAnsi" w:cstheme="majorHAnsi"/>
          <w:sz w:val="22"/>
          <w:szCs w:val="22"/>
        </w:rPr>
        <w:t xml:space="preserve">fiscal transfers law (HKPD-Law 1/2022) to flow in the direction </w:t>
      </w:r>
      <w:r w:rsidR="00F3315B">
        <w:rPr>
          <w:rFonts w:asciiTheme="majorHAnsi" w:hAnsiTheme="majorHAnsi" w:cstheme="majorHAnsi"/>
          <w:sz w:val="22"/>
          <w:szCs w:val="22"/>
        </w:rPr>
        <w:t>of</w:t>
      </w:r>
      <w:r w:rsidRPr="007C3F90">
        <w:rPr>
          <w:rFonts w:asciiTheme="majorHAnsi" w:hAnsiTheme="majorHAnsi" w:cstheme="majorHAnsi"/>
          <w:sz w:val="22"/>
          <w:szCs w:val="22"/>
        </w:rPr>
        <w:t xml:space="preserve"> </w:t>
      </w:r>
      <w:r>
        <w:rPr>
          <w:rFonts w:asciiTheme="majorHAnsi" w:hAnsiTheme="majorHAnsi" w:cstheme="majorHAnsi"/>
          <w:sz w:val="22"/>
          <w:szCs w:val="22"/>
        </w:rPr>
        <w:t>district</w:t>
      </w:r>
      <w:r w:rsidR="00F3315B">
        <w:rPr>
          <w:rFonts w:asciiTheme="majorHAnsi" w:hAnsiTheme="majorHAnsi" w:cstheme="majorHAnsi"/>
          <w:sz w:val="22"/>
          <w:szCs w:val="22"/>
        </w:rPr>
        <w:t>s, for them to meet</w:t>
      </w:r>
      <w:r>
        <w:rPr>
          <w:rFonts w:asciiTheme="majorHAnsi" w:hAnsiTheme="majorHAnsi" w:cstheme="majorHAnsi"/>
          <w:sz w:val="22"/>
          <w:szCs w:val="22"/>
        </w:rPr>
        <w:t xml:space="preserve"> </w:t>
      </w:r>
      <w:r w:rsidRPr="007C3F90">
        <w:rPr>
          <w:rFonts w:asciiTheme="majorHAnsi" w:hAnsiTheme="majorHAnsi" w:cstheme="majorHAnsi"/>
          <w:sz w:val="22"/>
          <w:szCs w:val="22"/>
        </w:rPr>
        <w:t xml:space="preserve">MSS standards in literacy and numeracy, teacher quality development and </w:t>
      </w:r>
      <w:r w:rsidR="00F3315B">
        <w:rPr>
          <w:rFonts w:asciiTheme="majorHAnsi" w:hAnsiTheme="majorHAnsi" w:cstheme="majorHAnsi"/>
          <w:sz w:val="22"/>
          <w:szCs w:val="22"/>
        </w:rPr>
        <w:t>requirements to</w:t>
      </w:r>
      <w:r w:rsidR="00F3315B" w:rsidRPr="007C3F90">
        <w:rPr>
          <w:rFonts w:asciiTheme="majorHAnsi" w:hAnsiTheme="majorHAnsi" w:cstheme="majorHAnsi"/>
          <w:sz w:val="22"/>
          <w:szCs w:val="22"/>
        </w:rPr>
        <w:t xml:space="preserve"> </w:t>
      </w:r>
      <w:r w:rsidRPr="007C3F90">
        <w:rPr>
          <w:rFonts w:asciiTheme="majorHAnsi" w:hAnsiTheme="majorHAnsi" w:cstheme="majorHAnsi"/>
          <w:sz w:val="22"/>
          <w:szCs w:val="22"/>
        </w:rPr>
        <w:t>implement</w:t>
      </w:r>
      <w:r w:rsidR="00F3315B">
        <w:rPr>
          <w:rFonts w:asciiTheme="majorHAnsi" w:hAnsiTheme="majorHAnsi" w:cstheme="majorHAnsi"/>
          <w:sz w:val="22"/>
          <w:szCs w:val="22"/>
        </w:rPr>
        <w:t xml:space="preserve"> the </w:t>
      </w:r>
      <w:r w:rsidRPr="007C3F90">
        <w:rPr>
          <w:rFonts w:asciiTheme="majorHAnsi" w:hAnsiTheme="majorHAnsi" w:cstheme="majorHAnsi"/>
          <w:sz w:val="22"/>
          <w:szCs w:val="22"/>
        </w:rPr>
        <w:t xml:space="preserve">Regulation 13/2020. At the </w:t>
      </w:r>
      <w:r w:rsidR="00EE1C5E">
        <w:rPr>
          <w:rFonts w:asciiTheme="majorHAnsi" w:hAnsiTheme="majorHAnsi" w:cstheme="majorHAnsi"/>
          <w:sz w:val="22"/>
          <w:szCs w:val="22"/>
        </w:rPr>
        <w:t xml:space="preserve">subnational </w:t>
      </w:r>
      <w:r w:rsidRPr="007C3F90">
        <w:rPr>
          <w:rFonts w:asciiTheme="majorHAnsi" w:hAnsiTheme="majorHAnsi" w:cstheme="majorHAnsi"/>
          <w:sz w:val="22"/>
          <w:szCs w:val="22"/>
        </w:rPr>
        <w:t>level</w:t>
      </w:r>
      <w:r w:rsidR="00EE1C5E">
        <w:rPr>
          <w:rFonts w:asciiTheme="majorHAnsi" w:hAnsiTheme="majorHAnsi" w:cstheme="majorHAnsi"/>
          <w:sz w:val="22"/>
          <w:szCs w:val="22"/>
        </w:rPr>
        <w:t>, the program</w:t>
      </w:r>
      <w:r w:rsidRPr="007C3F90">
        <w:rPr>
          <w:rFonts w:asciiTheme="majorHAnsi" w:hAnsiTheme="majorHAnsi" w:cstheme="majorHAnsi"/>
          <w:sz w:val="22"/>
          <w:szCs w:val="22"/>
        </w:rPr>
        <w:t xml:space="preserve"> will </w:t>
      </w:r>
      <w:r w:rsidR="00EE1C5E">
        <w:rPr>
          <w:rFonts w:asciiTheme="majorHAnsi" w:hAnsiTheme="majorHAnsi" w:cstheme="majorHAnsi"/>
          <w:sz w:val="22"/>
          <w:szCs w:val="22"/>
        </w:rPr>
        <w:t>support</w:t>
      </w:r>
      <w:r w:rsidRPr="007C3F90">
        <w:rPr>
          <w:rFonts w:asciiTheme="majorHAnsi" w:hAnsiTheme="majorHAnsi" w:cstheme="majorHAnsi"/>
          <w:sz w:val="22"/>
          <w:szCs w:val="22"/>
        </w:rPr>
        <w:t xml:space="preserve"> </w:t>
      </w:r>
      <w:r w:rsidR="00EE1C5E">
        <w:rPr>
          <w:rFonts w:asciiTheme="majorHAnsi" w:hAnsiTheme="majorHAnsi" w:cstheme="majorHAnsi"/>
          <w:sz w:val="22"/>
          <w:szCs w:val="22"/>
        </w:rPr>
        <w:t>district and v</w:t>
      </w:r>
      <w:r w:rsidR="00EE1C5E" w:rsidRPr="007C3F90">
        <w:rPr>
          <w:rFonts w:asciiTheme="majorHAnsi" w:hAnsiTheme="majorHAnsi" w:cstheme="majorHAnsi"/>
          <w:sz w:val="22"/>
          <w:szCs w:val="22"/>
        </w:rPr>
        <w:t xml:space="preserve">illage </w:t>
      </w:r>
      <w:r w:rsidR="00EE1C5E">
        <w:rPr>
          <w:rFonts w:asciiTheme="majorHAnsi" w:hAnsiTheme="majorHAnsi" w:cstheme="majorHAnsi"/>
          <w:sz w:val="22"/>
          <w:szCs w:val="22"/>
        </w:rPr>
        <w:t>authorities with</w:t>
      </w:r>
      <w:r w:rsidR="00EE1C5E" w:rsidRPr="007C3F90">
        <w:rPr>
          <w:rFonts w:asciiTheme="majorHAnsi" w:hAnsiTheme="majorHAnsi" w:cstheme="majorHAnsi"/>
          <w:sz w:val="22"/>
          <w:szCs w:val="22"/>
        </w:rPr>
        <w:t xml:space="preserve"> </w:t>
      </w:r>
      <w:r w:rsidRPr="007C3F90">
        <w:rPr>
          <w:rFonts w:asciiTheme="majorHAnsi" w:hAnsiTheme="majorHAnsi" w:cstheme="majorHAnsi"/>
          <w:sz w:val="22"/>
          <w:szCs w:val="22"/>
        </w:rPr>
        <w:t>planning and budgeting processes</w:t>
      </w:r>
      <w:r w:rsidR="00EE1C5E">
        <w:rPr>
          <w:rFonts w:asciiTheme="majorHAnsi" w:hAnsiTheme="majorHAnsi" w:cstheme="majorHAnsi"/>
          <w:sz w:val="22"/>
          <w:szCs w:val="22"/>
        </w:rPr>
        <w:t>,</w:t>
      </w:r>
      <w:r w:rsidRPr="007C3F90">
        <w:rPr>
          <w:rFonts w:asciiTheme="majorHAnsi" w:hAnsiTheme="majorHAnsi" w:cstheme="majorHAnsi"/>
          <w:sz w:val="22"/>
          <w:szCs w:val="22"/>
        </w:rPr>
        <w:t xml:space="preserve"> to secure recurrent expenditure commitments to teacher quality development, </w:t>
      </w:r>
      <w:r w:rsidR="00F3315B">
        <w:rPr>
          <w:rFonts w:asciiTheme="majorHAnsi" w:hAnsiTheme="majorHAnsi" w:cstheme="majorHAnsi"/>
          <w:sz w:val="22"/>
          <w:szCs w:val="22"/>
        </w:rPr>
        <w:t xml:space="preserve">develop </w:t>
      </w:r>
      <w:r w:rsidRPr="007C3F90">
        <w:rPr>
          <w:rFonts w:asciiTheme="majorHAnsi" w:hAnsiTheme="majorHAnsi" w:cstheme="majorHAnsi"/>
          <w:sz w:val="22"/>
          <w:szCs w:val="22"/>
        </w:rPr>
        <w:t>district regulation</w:t>
      </w:r>
      <w:r w:rsidR="00F3315B">
        <w:rPr>
          <w:rFonts w:asciiTheme="majorHAnsi" w:hAnsiTheme="majorHAnsi" w:cstheme="majorHAnsi"/>
          <w:sz w:val="22"/>
          <w:szCs w:val="22"/>
        </w:rPr>
        <w:t>s</w:t>
      </w:r>
      <w:r w:rsidRPr="007C3F90">
        <w:rPr>
          <w:rFonts w:asciiTheme="majorHAnsi" w:hAnsiTheme="majorHAnsi" w:cstheme="majorHAnsi"/>
          <w:sz w:val="22"/>
          <w:szCs w:val="22"/>
        </w:rPr>
        <w:t xml:space="preserve"> to channel </w:t>
      </w:r>
      <w:r w:rsidR="00E8547C">
        <w:rPr>
          <w:rFonts w:asciiTheme="majorHAnsi" w:hAnsiTheme="majorHAnsi" w:cstheme="majorHAnsi"/>
          <w:sz w:val="22"/>
          <w:szCs w:val="22"/>
        </w:rPr>
        <w:t>school operational funds (</w:t>
      </w:r>
      <w:r w:rsidRPr="007C3F90">
        <w:rPr>
          <w:rFonts w:asciiTheme="majorHAnsi" w:hAnsiTheme="majorHAnsi" w:cstheme="majorHAnsi"/>
          <w:sz w:val="22"/>
          <w:szCs w:val="22"/>
        </w:rPr>
        <w:t>BOS</w:t>
      </w:r>
      <w:r w:rsidR="00E8547C">
        <w:rPr>
          <w:rFonts w:asciiTheme="majorHAnsi" w:hAnsiTheme="majorHAnsi" w:cstheme="majorHAnsi"/>
          <w:sz w:val="22"/>
          <w:szCs w:val="22"/>
        </w:rPr>
        <w:t>)</w:t>
      </w:r>
      <w:r w:rsidRPr="007C3F90">
        <w:rPr>
          <w:rFonts w:asciiTheme="majorHAnsi" w:hAnsiTheme="majorHAnsi" w:cstheme="majorHAnsi"/>
          <w:sz w:val="22"/>
          <w:szCs w:val="22"/>
        </w:rPr>
        <w:t xml:space="preserve"> to support teacher and learner needs, and </w:t>
      </w:r>
      <w:r w:rsidR="00F3315B">
        <w:rPr>
          <w:rFonts w:asciiTheme="majorHAnsi" w:hAnsiTheme="majorHAnsi" w:cstheme="majorHAnsi"/>
          <w:sz w:val="22"/>
          <w:szCs w:val="22"/>
        </w:rPr>
        <w:t xml:space="preserve">develop </w:t>
      </w:r>
      <w:r>
        <w:rPr>
          <w:rFonts w:asciiTheme="majorHAnsi" w:hAnsiTheme="majorHAnsi" w:cstheme="majorHAnsi"/>
          <w:sz w:val="22"/>
          <w:szCs w:val="22"/>
        </w:rPr>
        <w:t>village funds (</w:t>
      </w:r>
      <w:r w:rsidRPr="00EA46CE">
        <w:rPr>
          <w:rFonts w:asciiTheme="majorHAnsi" w:hAnsiTheme="majorHAnsi" w:cstheme="majorHAnsi"/>
          <w:i/>
          <w:iCs/>
          <w:sz w:val="22"/>
          <w:szCs w:val="22"/>
        </w:rPr>
        <w:t xml:space="preserve">dana </w:t>
      </w:r>
      <w:proofErr w:type="spellStart"/>
      <w:r w:rsidRPr="00EA46CE">
        <w:rPr>
          <w:rFonts w:asciiTheme="majorHAnsi" w:hAnsiTheme="majorHAnsi" w:cstheme="majorHAnsi"/>
          <w:i/>
          <w:iCs/>
          <w:sz w:val="22"/>
          <w:szCs w:val="22"/>
        </w:rPr>
        <w:t>desa</w:t>
      </w:r>
      <w:proofErr w:type="spellEnd"/>
      <w:r>
        <w:rPr>
          <w:rFonts w:asciiTheme="majorHAnsi" w:hAnsiTheme="majorHAnsi" w:cstheme="majorHAnsi"/>
          <w:sz w:val="22"/>
          <w:szCs w:val="22"/>
        </w:rPr>
        <w:t>)</w:t>
      </w:r>
      <w:r w:rsidRPr="007C3F90">
        <w:rPr>
          <w:rFonts w:asciiTheme="majorHAnsi" w:hAnsiTheme="majorHAnsi" w:cstheme="majorHAnsi"/>
          <w:sz w:val="22"/>
          <w:szCs w:val="22"/>
        </w:rPr>
        <w:t xml:space="preserve"> to support digital hubs in village libraries and book supply for pre-school PAUD. </w:t>
      </w:r>
      <w:r>
        <w:rPr>
          <w:rFonts w:asciiTheme="minorHAnsi" w:hAnsiTheme="minorHAnsi" w:cstheme="minorHAnsi"/>
          <w:sz w:val="22"/>
          <w:szCs w:val="22"/>
        </w:rPr>
        <w:t xml:space="preserve"> </w:t>
      </w:r>
    </w:p>
    <w:p w14:paraId="34C2046A" w14:textId="28C088BB" w:rsidR="00FF6350" w:rsidRPr="00974377" w:rsidRDefault="00FF6350" w:rsidP="00237726">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In addition, the proposed </w:t>
      </w:r>
      <w:r w:rsidR="00F3315B">
        <w:rPr>
          <w:rFonts w:asciiTheme="majorHAnsi" w:hAnsiTheme="majorHAnsi" w:cstheme="majorHAnsi"/>
          <w:sz w:val="22"/>
          <w:szCs w:val="22"/>
        </w:rPr>
        <w:t>D</w:t>
      </w:r>
      <w:r w:rsidRPr="00974377">
        <w:rPr>
          <w:rFonts w:asciiTheme="majorHAnsi" w:hAnsiTheme="majorHAnsi" w:cstheme="majorHAnsi"/>
          <w:sz w:val="22"/>
          <w:szCs w:val="22"/>
        </w:rPr>
        <w:t xml:space="preserve">esign </w:t>
      </w:r>
      <w:r w:rsidR="00F3315B">
        <w:rPr>
          <w:rFonts w:asciiTheme="majorHAnsi" w:hAnsiTheme="majorHAnsi" w:cstheme="majorHAnsi"/>
          <w:sz w:val="22"/>
          <w:szCs w:val="22"/>
        </w:rPr>
        <w:t xml:space="preserve">Update </w:t>
      </w:r>
      <w:r w:rsidRPr="00974377">
        <w:rPr>
          <w:rFonts w:asciiTheme="majorHAnsi" w:hAnsiTheme="majorHAnsi" w:cstheme="majorHAnsi"/>
          <w:sz w:val="22"/>
          <w:szCs w:val="22"/>
        </w:rPr>
        <w:t>encourages the sustainability of program’s outcomes</w:t>
      </w:r>
      <w:r w:rsidR="00EE1C5E">
        <w:rPr>
          <w:rFonts w:asciiTheme="majorHAnsi" w:hAnsiTheme="majorHAnsi" w:cstheme="majorHAnsi"/>
          <w:sz w:val="22"/>
          <w:szCs w:val="22"/>
        </w:rPr>
        <w:t xml:space="preserve"> through</w:t>
      </w:r>
      <w:r w:rsidRPr="00974377">
        <w:rPr>
          <w:rFonts w:asciiTheme="majorHAnsi" w:hAnsiTheme="majorHAnsi" w:cstheme="majorHAnsi"/>
          <w:sz w:val="22"/>
          <w:szCs w:val="22"/>
        </w:rPr>
        <w:t xml:space="preserve"> the following </w:t>
      </w:r>
      <w:r w:rsidR="003818FC">
        <w:rPr>
          <w:rFonts w:asciiTheme="majorHAnsi" w:hAnsiTheme="majorHAnsi" w:cstheme="majorHAnsi"/>
          <w:sz w:val="22"/>
          <w:szCs w:val="22"/>
        </w:rPr>
        <w:t>ways</w:t>
      </w:r>
      <w:r w:rsidRPr="00974377">
        <w:rPr>
          <w:rFonts w:asciiTheme="majorHAnsi" w:hAnsiTheme="majorHAnsi" w:cstheme="majorHAnsi"/>
          <w:sz w:val="22"/>
          <w:szCs w:val="22"/>
        </w:rPr>
        <w:t>:</w:t>
      </w:r>
    </w:p>
    <w:p w14:paraId="6A516EC5" w14:textId="4D1FD89C" w:rsidR="002C28F7" w:rsidRPr="00974377" w:rsidRDefault="00FF6350" w:rsidP="008D1844">
      <w:pPr>
        <w:pStyle w:val="Bullet1"/>
        <w:numPr>
          <w:ilvl w:val="0"/>
          <w:numId w:val="44"/>
        </w:numPr>
        <w:suppressAutoHyphens/>
        <w:spacing w:after="120" w:line="281" w:lineRule="auto"/>
        <w:ind w:left="567" w:hanging="283"/>
        <w:rPr>
          <w:rFonts w:asciiTheme="majorHAnsi" w:hAnsiTheme="majorHAnsi" w:cstheme="majorHAnsi"/>
          <w:sz w:val="22"/>
          <w:szCs w:val="22"/>
        </w:rPr>
      </w:pPr>
      <w:r w:rsidRPr="00974377">
        <w:rPr>
          <w:rFonts w:asciiTheme="majorHAnsi" w:hAnsiTheme="majorHAnsi" w:cstheme="majorHAnsi"/>
          <w:sz w:val="22"/>
          <w:szCs w:val="22"/>
        </w:rPr>
        <w:t>The program’s mechanisms that provide flexibility so that it remains</w:t>
      </w:r>
      <w:r w:rsidR="00655D7B" w:rsidRPr="00974377">
        <w:rPr>
          <w:rFonts w:asciiTheme="majorHAnsi" w:hAnsiTheme="majorHAnsi" w:cstheme="majorHAnsi"/>
          <w:sz w:val="22"/>
          <w:szCs w:val="22"/>
        </w:rPr>
        <w:t xml:space="preserve"> agile and resilient in an evolving context </w:t>
      </w:r>
      <w:r w:rsidR="00A75025" w:rsidRPr="00974377">
        <w:rPr>
          <w:rFonts w:asciiTheme="majorHAnsi" w:hAnsiTheme="majorHAnsi" w:cstheme="majorHAnsi"/>
          <w:sz w:val="22"/>
          <w:szCs w:val="22"/>
        </w:rPr>
        <w:t>– a necessity demonstrated by the COVID-19 pandemic</w:t>
      </w:r>
      <w:r w:rsidR="00655D7B" w:rsidRPr="00974377">
        <w:rPr>
          <w:rFonts w:asciiTheme="majorHAnsi" w:hAnsiTheme="majorHAnsi" w:cstheme="majorHAnsi"/>
          <w:sz w:val="22"/>
          <w:szCs w:val="22"/>
        </w:rPr>
        <w:t xml:space="preserve">. </w:t>
      </w:r>
      <w:r w:rsidR="00A75025" w:rsidRPr="00974377">
        <w:rPr>
          <w:rFonts w:asciiTheme="majorHAnsi" w:hAnsiTheme="majorHAnsi" w:cstheme="majorHAnsi"/>
          <w:sz w:val="22"/>
          <w:szCs w:val="22"/>
        </w:rPr>
        <w:t xml:space="preserve">These </w:t>
      </w:r>
      <w:r w:rsidR="009E5729">
        <w:rPr>
          <w:rFonts w:asciiTheme="majorHAnsi" w:hAnsiTheme="majorHAnsi" w:cstheme="majorHAnsi"/>
          <w:sz w:val="22"/>
          <w:szCs w:val="22"/>
        </w:rPr>
        <w:t xml:space="preserve">mechanisms </w:t>
      </w:r>
      <w:r w:rsidR="00655D7B" w:rsidRPr="00974377">
        <w:rPr>
          <w:rFonts w:asciiTheme="majorHAnsi" w:hAnsiTheme="majorHAnsi" w:cstheme="majorHAnsi"/>
          <w:sz w:val="22"/>
          <w:szCs w:val="22"/>
        </w:rPr>
        <w:t>include</w:t>
      </w:r>
      <w:r w:rsidR="00A75025" w:rsidRPr="00974377">
        <w:rPr>
          <w:rFonts w:asciiTheme="majorHAnsi" w:hAnsiTheme="majorHAnsi" w:cstheme="majorHAnsi"/>
          <w:sz w:val="22"/>
          <w:szCs w:val="22"/>
        </w:rPr>
        <w:t xml:space="preserve"> the multiple</w:t>
      </w:r>
      <w:r w:rsidR="00536533">
        <w:rPr>
          <w:rFonts w:asciiTheme="majorHAnsi" w:hAnsiTheme="majorHAnsi" w:cstheme="majorHAnsi"/>
          <w:sz w:val="22"/>
          <w:szCs w:val="22"/>
        </w:rPr>
        <w:t xml:space="preserve"> </w:t>
      </w:r>
      <w:r w:rsidR="00EE67F4" w:rsidRPr="00974377">
        <w:rPr>
          <w:rFonts w:asciiTheme="majorHAnsi" w:hAnsiTheme="majorHAnsi" w:cstheme="majorHAnsi"/>
          <w:sz w:val="22"/>
          <w:szCs w:val="22"/>
        </w:rPr>
        <w:t>strategies that</w:t>
      </w:r>
      <w:r w:rsidR="00457CAF" w:rsidRPr="00974377">
        <w:rPr>
          <w:rFonts w:asciiTheme="majorHAnsi" w:hAnsiTheme="majorHAnsi" w:cstheme="majorHAnsi"/>
          <w:sz w:val="22"/>
          <w:szCs w:val="22"/>
        </w:rPr>
        <w:t xml:space="preserve"> </w:t>
      </w:r>
      <w:r w:rsidR="00A75025" w:rsidRPr="00974377">
        <w:rPr>
          <w:rFonts w:asciiTheme="majorHAnsi" w:hAnsiTheme="majorHAnsi" w:cstheme="majorHAnsi"/>
          <w:sz w:val="22"/>
          <w:szCs w:val="22"/>
        </w:rPr>
        <w:t xml:space="preserve">can be </w:t>
      </w:r>
      <w:r w:rsidR="00EE67F4" w:rsidRPr="00974377">
        <w:rPr>
          <w:rFonts w:asciiTheme="majorHAnsi" w:hAnsiTheme="majorHAnsi" w:cstheme="majorHAnsi"/>
          <w:sz w:val="22"/>
          <w:szCs w:val="22"/>
        </w:rPr>
        <w:t xml:space="preserve">tailored to different stakeholders </w:t>
      </w:r>
      <w:r w:rsidR="00A75025" w:rsidRPr="00974377">
        <w:rPr>
          <w:rFonts w:asciiTheme="majorHAnsi" w:hAnsiTheme="majorHAnsi" w:cstheme="majorHAnsi"/>
          <w:sz w:val="22"/>
          <w:szCs w:val="22"/>
        </w:rPr>
        <w:t xml:space="preserve">needs </w:t>
      </w:r>
      <w:r w:rsidR="00EE67F4" w:rsidRPr="00974377">
        <w:rPr>
          <w:rFonts w:asciiTheme="majorHAnsi" w:hAnsiTheme="majorHAnsi" w:cstheme="majorHAnsi"/>
          <w:sz w:val="22"/>
          <w:szCs w:val="22"/>
        </w:rPr>
        <w:t>(districts, provincial and national agencies),</w:t>
      </w:r>
      <w:r w:rsidR="00655D7B" w:rsidRPr="00974377">
        <w:rPr>
          <w:rFonts w:asciiTheme="majorHAnsi" w:hAnsiTheme="majorHAnsi" w:cstheme="majorHAnsi"/>
          <w:sz w:val="22"/>
          <w:szCs w:val="22"/>
        </w:rPr>
        <w:t xml:space="preserve"> an annual cycle of planning, </w:t>
      </w:r>
      <w:r w:rsidR="00D44EA4" w:rsidRPr="00974377">
        <w:rPr>
          <w:rFonts w:asciiTheme="majorHAnsi" w:hAnsiTheme="majorHAnsi" w:cstheme="majorHAnsi"/>
          <w:sz w:val="22"/>
          <w:szCs w:val="22"/>
        </w:rPr>
        <w:t xml:space="preserve">and </w:t>
      </w:r>
      <w:r w:rsidR="00655D7B" w:rsidRPr="00974377">
        <w:rPr>
          <w:rFonts w:asciiTheme="majorHAnsi" w:hAnsiTheme="majorHAnsi" w:cstheme="majorHAnsi"/>
          <w:sz w:val="22"/>
          <w:szCs w:val="22"/>
        </w:rPr>
        <w:t>a flexible activity budget.</w:t>
      </w:r>
      <w:r w:rsidR="00EE67F4" w:rsidRPr="00974377">
        <w:rPr>
          <w:rFonts w:asciiTheme="majorHAnsi" w:hAnsiTheme="majorHAnsi" w:cstheme="majorHAnsi"/>
          <w:sz w:val="22"/>
          <w:szCs w:val="22"/>
        </w:rPr>
        <w:t xml:space="preserve"> </w:t>
      </w:r>
    </w:p>
    <w:p w14:paraId="717F69B2" w14:textId="57A5BB31" w:rsidR="00FB40FB" w:rsidRPr="00974377" w:rsidRDefault="00245AF3" w:rsidP="008D1844">
      <w:pPr>
        <w:pStyle w:val="Bullet1"/>
        <w:numPr>
          <w:ilvl w:val="0"/>
          <w:numId w:val="44"/>
        </w:numPr>
        <w:suppressAutoHyphens/>
        <w:spacing w:after="120" w:line="281" w:lineRule="auto"/>
        <w:ind w:left="567" w:hanging="283"/>
        <w:rPr>
          <w:rFonts w:asciiTheme="majorHAnsi" w:hAnsiTheme="majorHAnsi" w:cstheme="majorHAnsi"/>
          <w:sz w:val="22"/>
          <w:szCs w:val="22"/>
        </w:rPr>
      </w:pPr>
      <w:r w:rsidRPr="00974377">
        <w:rPr>
          <w:rFonts w:asciiTheme="majorHAnsi" w:hAnsiTheme="majorHAnsi" w:cstheme="majorHAnsi"/>
          <w:sz w:val="22"/>
          <w:szCs w:val="22"/>
        </w:rPr>
        <w:t>The potential for</w:t>
      </w:r>
      <w:r w:rsidR="00705256" w:rsidRPr="00974377">
        <w:rPr>
          <w:rFonts w:asciiTheme="majorHAnsi" w:hAnsiTheme="majorHAnsi" w:cstheme="majorHAnsi"/>
          <w:sz w:val="22"/>
          <w:szCs w:val="22"/>
        </w:rPr>
        <w:t xml:space="preserve"> </w:t>
      </w:r>
      <w:r w:rsidR="00A75025" w:rsidRPr="00974377">
        <w:rPr>
          <w:rFonts w:asciiTheme="majorHAnsi" w:hAnsiTheme="majorHAnsi" w:cstheme="majorHAnsi"/>
          <w:sz w:val="22"/>
          <w:szCs w:val="22"/>
        </w:rPr>
        <w:t>the program</w:t>
      </w:r>
      <w:r w:rsidR="00705256" w:rsidRPr="00974377">
        <w:rPr>
          <w:rFonts w:asciiTheme="majorHAnsi" w:hAnsiTheme="majorHAnsi" w:cstheme="majorHAnsi"/>
          <w:sz w:val="22"/>
          <w:szCs w:val="22"/>
        </w:rPr>
        <w:t xml:space="preserve"> to generate evidence and insights </w:t>
      </w:r>
      <w:r w:rsidR="00FB40FB" w:rsidRPr="00974377">
        <w:rPr>
          <w:rFonts w:asciiTheme="majorHAnsi" w:hAnsiTheme="majorHAnsi" w:cstheme="majorHAnsi"/>
          <w:sz w:val="22"/>
          <w:szCs w:val="22"/>
        </w:rPr>
        <w:t>about</w:t>
      </w:r>
      <w:r w:rsidR="00A75025" w:rsidRPr="00974377">
        <w:rPr>
          <w:rFonts w:asciiTheme="majorHAnsi" w:hAnsiTheme="majorHAnsi" w:cstheme="majorHAnsi"/>
          <w:sz w:val="22"/>
          <w:szCs w:val="22"/>
        </w:rPr>
        <w:t xml:space="preserve"> external</w:t>
      </w:r>
      <w:r w:rsidRPr="00974377">
        <w:rPr>
          <w:rFonts w:asciiTheme="majorHAnsi" w:hAnsiTheme="majorHAnsi" w:cstheme="majorHAnsi"/>
          <w:sz w:val="22"/>
          <w:szCs w:val="22"/>
        </w:rPr>
        <w:t xml:space="preserve"> </w:t>
      </w:r>
      <w:r w:rsidR="00705256" w:rsidRPr="00974377">
        <w:rPr>
          <w:rFonts w:asciiTheme="majorHAnsi" w:hAnsiTheme="majorHAnsi" w:cstheme="majorHAnsi"/>
          <w:sz w:val="22"/>
          <w:szCs w:val="22"/>
        </w:rPr>
        <w:t>initiatives and approaches to reform implementation</w:t>
      </w:r>
      <w:r w:rsidR="00FB40FB" w:rsidRPr="00974377">
        <w:rPr>
          <w:rFonts w:asciiTheme="majorHAnsi" w:hAnsiTheme="majorHAnsi" w:cstheme="majorHAnsi"/>
          <w:sz w:val="22"/>
          <w:szCs w:val="22"/>
        </w:rPr>
        <w:t xml:space="preserve"> </w:t>
      </w:r>
      <w:r w:rsidR="00655D7B" w:rsidRPr="00974377">
        <w:rPr>
          <w:rFonts w:asciiTheme="majorHAnsi" w:hAnsiTheme="majorHAnsi" w:cstheme="majorHAnsi"/>
          <w:sz w:val="22"/>
          <w:szCs w:val="22"/>
        </w:rPr>
        <w:t xml:space="preserve">- </w:t>
      </w:r>
      <w:r w:rsidRPr="00974377">
        <w:rPr>
          <w:rFonts w:asciiTheme="majorHAnsi" w:hAnsiTheme="majorHAnsi" w:cstheme="majorHAnsi"/>
          <w:sz w:val="22"/>
          <w:szCs w:val="22"/>
        </w:rPr>
        <w:t xml:space="preserve">for instance through </w:t>
      </w:r>
      <w:r w:rsidR="00705256" w:rsidRPr="00974377">
        <w:rPr>
          <w:rFonts w:asciiTheme="majorHAnsi" w:hAnsiTheme="majorHAnsi" w:cstheme="majorHAnsi"/>
          <w:sz w:val="22"/>
          <w:szCs w:val="22"/>
        </w:rPr>
        <w:t xml:space="preserve">evaluation studies of </w:t>
      </w:r>
      <w:proofErr w:type="spellStart"/>
      <w:r w:rsidR="00705256" w:rsidRPr="00974377">
        <w:rPr>
          <w:rFonts w:asciiTheme="majorHAnsi" w:hAnsiTheme="majorHAnsi" w:cstheme="majorHAnsi"/>
          <w:sz w:val="22"/>
          <w:szCs w:val="22"/>
        </w:rPr>
        <w:t>MoECRT</w:t>
      </w:r>
      <w:proofErr w:type="spellEnd"/>
      <w:r w:rsidR="009E5729">
        <w:rPr>
          <w:rFonts w:asciiTheme="majorHAnsi" w:hAnsiTheme="majorHAnsi" w:cstheme="majorHAnsi"/>
          <w:sz w:val="22"/>
          <w:szCs w:val="22"/>
        </w:rPr>
        <w:t>-</w:t>
      </w:r>
      <w:r w:rsidR="00705256" w:rsidRPr="00974377">
        <w:rPr>
          <w:rFonts w:asciiTheme="majorHAnsi" w:hAnsiTheme="majorHAnsi" w:cstheme="majorHAnsi"/>
          <w:sz w:val="22"/>
          <w:szCs w:val="22"/>
        </w:rPr>
        <w:t xml:space="preserve">managed initiatives </w:t>
      </w:r>
      <w:r w:rsidRPr="00974377">
        <w:rPr>
          <w:rFonts w:asciiTheme="majorHAnsi" w:hAnsiTheme="majorHAnsi" w:cstheme="majorHAnsi"/>
          <w:sz w:val="22"/>
          <w:szCs w:val="22"/>
        </w:rPr>
        <w:t>- will ensure</w:t>
      </w:r>
      <w:r w:rsidR="00FB40FB" w:rsidRPr="00974377">
        <w:rPr>
          <w:rFonts w:asciiTheme="majorHAnsi" w:hAnsiTheme="majorHAnsi" w:cstheme="majorHAnsi"/>
          <w:sz w:val="22"/>
          <w:szCs w:val="22"/>
        </w:rPr>
        <w:t xml:space="preserve"> benefits go beyond the sphere of targeted district ecosystems and touch a greater number and diversity o</w:t>
      </w:r>
      <w:r w:rsidR="00655D7B" w:rsidRPr="00974377">
        <w:rPr>
          <w:rFonts w:asciiTheme="majorHAnsi" w:hAnsiTheme="majorHAnsi" w:cstheme="majorHAnsi"/>
          <w:sz w:val="22"/>
          <w:szCs w:val="22"/>
        </w:rPr>
        <w:t>f</w:t>
      </w:r>
      <w:r w:rsidR="00FB40FB" w:rsidRPr="00974377">
        <w:rPr>
          <w:rFonts w:asciiTheme="majorHAnsi" w:hAnsiTheme="majorHAnsi" w:cstheme="majorHAnsi"/>
          <w:sz w:val="22"/>
          <w:szCs w:val="22"/>
        </w:rPr>
        <w:t xml:space="preserve"> education stakeholders, including at national and provincial level.</w:t>
      </w:r>
    </w:p>
    <w:p w14:paraId="43E71DEC" w14:textId="59C5BC1A" w:rsidR="00EE1C5E" w:rsidRDefault="00FF6350" w:rsidP="008D1844">
      <w:pPr>
        <w:pStyle w:val="Bullet1"/>
        <w:numPr>
          <w:ilvl w:val="0"/>
          <w:numId w:val="44"/>
        </w:numPr>
        <w:suppressAutoHyphens/>
        <w:spacing w:after="120" w:line="281" w:lineRule="auto"/>
        <w:ind w:left="567" w:hanging="283"/>
        <w:rPr>
          <w:rFonts w:asciiTheme="majorHAnsi" w:hAnsiTheme="majorHAnsi" w:cstheme="majorHAnsi"/>
          <w:sz w:val="22"/>
          <w:szCs w:val="22"/>
        </w:rPr>
      </w:pPr>
      <w:r w:rsidRPr="00974377">
        <w:rPr>
          <w:rFonts w:asciiTheme="majorHAnsi" w:hAnsiTheme="majorHAnsi" w:cstheme="majorHAnsi"/>
          <w:sz w:val="22"/>
          <w:szCs w:val="22"/>
        </w:rPr>
        <w:t xml:space="preserve">The development and strengthening of institutional partnerships </w:t>
      </w:r>
      <w:r w:rsidR="00EE1C5E" w:rsidRPr="00713633">
        <w:rPr>
          <w:rFonts w:asciiTheme="majorHAnsi" w:hAnsiTheme="majorHAnsi" w:cstheme="majorHAnsi"/>
          <w:sz w:val="22"/>
          <w:szCs w:val="22"/>
        </w:rPr>
        <w:t xml:space="preserve">both at national and local levels </w:t>
      </w:r>
      <w:r w:rsidRPr="00974377">
        <w:rPr>
          <w:rFonts w:asciiTheme="majorHAnsi" w:hAnsiTheme="majorHAnsi" w:cstheme="majorHAnsi"/>
          <w:sz w:val="22"/>
          <w:szCs w:val="22"/>
        </w:rPr>
        <w:t>will provide benefits for partners beyond the lifetime of the program. These relationships will enable partners to observe and learn about each other’s service</w:t>
      </w:r>
      <w:r w:rsidR="00A75025" w:rsidRPr="00974377">
        <w:rPr>
          <w:rFonts w:asciiTheme="majorHAnsi" w:hAnsiTheme="majorHAnsi" w:cstheme="majorHAnsi"/>
          <w:sz w:val="22"/>
          <w:szCs w:val="22"/>
        </w:rPr>
        <w:t xml:space="preserve"> delivery </w:t>
      </w:r>
      <w:r w:rsidRPr="00974377">
        <w:rPr>
          <w:rFonts w:asciiTheme="majorHAnsi" w:hAnsiTheme="majorHAnsi" w:cstheme="majorHAnsi"/>
          <w:sz w:val="22"/>
          <w:szCs w:val="22"/>
        </w:rPr>
        <w:t xml:space="preserve">and management </w:t>
      </w:r>
      <w:proofErr w:type="gramStart"/>
      <w:r w:rsidRPr="00974377">
        <w:rPr>
          <w:rFonts w:asciiTheme="majorHAnsi" w:hAnsiTheme="majorHAnsi" w:cstheme="majorHAnsi"/>
          <w:sz w:val="22"/>
          <w:szCs w:val="22"/>
        </w:rPr>
        <w:t>practices, and</w:t>
      </w:r>
      <w:proofErr w:type="gramEnd"/>
      <w:r w:rsidRPr="00974377">
        <w:rPr>
          <w:rFonts w:asciiTheme="majorHAnsi" w:hAnsiTheme="majorHAnsi" w:cstheme="majorHAnsi"/>
          <w:sz w:val="22"/>
          <w:szCs w:val="22"/>
        </w:rPr>
        <w:t xml:space="preserve"> will lead to sustained improvements in partners’ capacity to identify problems and develop solutions.</w:t>
      </w:r>
      <w:r w:rsidR="00EE1C5E">
        <w:rPr>
          <w:rFonts w:asciiTheme="majorHAnsi" w:hAnsiTheme="majorHAnsi" w:cstheme="majorHAnsi"/>
          <w:sz w:val="22"/>
          <w:szCs w:val="22"/>
        </w:rPr>
        <w:t xml:space="preserve"> They will be </w:t>
      </w:r>
      <w:r w:rsidR="00EE1C5E" w:rsidRPr="00713633">
        <w:rPr>
          <w:rFonts w:asciiTheme="majorHAnsi" w:hAnsiTheme="majorHAnsi" w:cstheme="majorHAnsi"/>
          <w:sz w:val="22"/>
          <w:szCs w:val="22"/>
        </w:rPr>
        <w:t xml:space="preserve">particularly </w:t>
      </w:r>
      <w:r w:rsidR="00EE1C5E">
        <w:rPr>
          <w:rFonts w:asciiTheme="majorHAnsi" w:hAnsiTheme="majorHAnsi" w:cstheme="majorHAnsi"/>
          <w:sz w:val="22"/>
          <w:szCs w:val="22"/>
        </w:rPr>
        <w:t xml:space="preserve">valuable </w:t>
      </w:r>
      <w:r w:rsidR="00EE1C5E" w:rsidRPr="00713633">
        <w:rPr>
          <w:rFonts w:asciiTheme="majorHAnsi" w:hAnsiTheme="majorHAnsi" w:cstheme="majorHAnsi"/>
          <w:sz w:val="22"/>
          <w:szCs w:val="22"/>
        </w:rPr>
        <w:t xml:space="preserve">for program initiatives related to the empowerment of women and girls and persons with a disability; and the CSOs and OPDs that support them.  </w:t>
      </w:r>
    </w:p>
    <w:p w14:paraId="4F421146" w14:textId="076EDD80" w:rsidR="00FB40FB" w:rsidRDefault="00FB40FB" w:rsidP="008D1844">
      <w:pPr>
        <w:pStyle w:val="Bullet1"/>
        <w:numPr>
          <w:ilvl w:val="0"/>
          <w:numId w:val="44"/>
        </w:numPr>
        <w:suppressAutoHyphens/>
        <w:spacing w:after="120" w:line="281" w:lineRule="auto"/>
        <w:ind w:left="567" w:hanging="283"/>
        <w:rPr>
          <w:rFonts w:asciiTheme="majorHAnsi" w:hAnsiTheme="majorHAnsi" w:cstheme="majorHAnsi"/>
          <w:sz w:val="22"/>
          <w:szCs w:val="22"/>
        </w:rPr>
      </w:pPr>
      <w:r w:rsidRPr="00475A9D">
        <w:rPr>
          <w:rFonts w:asciiTheme="majorHAnsi" w:hAnsiTheme="majorHAnsi" w:cstheme="majorHAnsi"/>
          <w:sz w:val="22"/>
          <w:szCs w:val="22"/>
        </w:rPr>
        <w:lastRenderedPageBreak/>
        <w:t xml:space="preserve">The </w:t>
      </w:r>
      <w:r w:rsidR="00655D7B" w:rsidRPr="00475A9D">
        <w:rPr>
          <w:rFonts w:asciiTheme="majorHAnsi" w:hAnsiTheme="majorHAnsi" w:cstheme="majorHAnsi"/>
          <w:sz w:val="22"/>
          <w:szCs w:val="22"/>
        </w:rPr>
        <w:t>p</w:t>
      </w:r>
      <w:r w:rsidRPr="00475A9D">
        <w:rPr>
          <w:rFonts w:asciiTheme="majorHAnsi" w:hAnsiTheme="majorHAnsi" w:cstheme="majorHAnsi"/>
          <w:sz w:val="22"/>
          <w:szCs w:val="22"/>
        </w:rPr>
        <w:t xml:space="preserve">rogram will continue to encourage increased </w:t>
      </w:r>
      <w:proofErr w:type="spellStart"/>
      <w:r w:rsidRPr="00475A9D">
        <w:rPr>
          <w:rFonts w:asciiTheme="majorHAnsi" w:hAnsiTheme="majorHAnsi" w:cstheme="majorHAnsi"/>
          <w:sz w:val="22"/>
          <w:szCs w:val="22"/>
        </w:rPr>
        <w:t>GoI</w:t>
      </w:r>
      <w:proofErr w:type="spellEnd"/>
      <w:r w:rsidRPr="00475A9D">
        <w:rPr>
          <w:rFonts w:asciiTheme="majorHAnsi" w:hAnsiTheme="majorHAnsi" w:cstheme="majorHAnsi"/>
          <w:sz w:val="22"/>
          <w:szCs w:val="22"/>
        </w:rPr>
        <w:t xml:space="preserve"> </w:t>
      </w:r>
      <w:r w:rsidR="00F363B0" w:rsidRPr="00475A9D">
        <w:rPr>
          <w:rFonts w:asciiTheme="majorHAnsi" w:hAnsiTheme="majorHAnsi" w:cstheme="majorHAnsi"/>
          <w:sz w:val="22"/>
          <w:szCs w:val="22"/>
        </w:rPr>
        <w:t>support</w:t>
      </w:r>
      <w:r w:rsidRPr="00475A9D">
        <w:rPr>
          <w:rFonts w:asciiTheme="majorHAnsi" w:hAnsiTheme="majorHAnsi" w:cstheme="majorHAnsi"/>
          <w:sz w:val="22"/>
          <w:szCs w:val="22"/>
        </w:rPr>
        <w:t xml:space="preserve"> </w:t>
      </w:r>
      <w:r w:rsidR="00457CAF" w:rsidRPr="00475A9D">
        <w:rPr>
          <w:rFonts w:asciiTheme="majorHAnsi" w:hAnsiTheme="majorHAnsi" w:cstheme="majorHAnsi"/>
          <w:sz w:val="22"/>
          <w:szCs w:val="22"/>
        </w:rPr>
        <w:t xml:space="preserve">and </w:t>
      </w:r>
      <w:r w:rsidRPr="00475A9D">
        <w:rPr>
          <w:rFonts w:asciiTheme="majorHAnsi" w:hAnsiTheme="majorHAnsi" w:cstheme="majorHAnsi"/>
          <w:sz w:val="22"/>
          <w:szCs w:val="22"/>
        </w:rPr>
        <w:t>collaborative approaches,</w:t>
      </w:r>
      <w:r w:rsidR="00A75025" w:rsidRPr="00974377">
        <w:rPr>
          <w:rFonts w:asciiTheme="majorHAnsi" w:hAnsiTheme="majorHAnsi" w:cstheme="majorHAnsi"/>
          <w:sz w:val="22"/>
          <w:szCs w:val="22"/>
        </w:rPr>
        <w:t xml:space="preserve"> particularly for pilots and trials,</w:t>
      </w:r>
      <w:r w:rsidRPr="00974377">
        <w:rPr>
          <w:rFonts w:asciiTheme="majorHAnsi" w:hAnsiTheme="majorHAnsi" w:cstheme="majorHAnsi"/>
          <w:sz w:val="22"/>
          <w:szCs w:val="22"/>
        </w:rPr>
        <w:t xml:space="preserve"> to foster greater local ownership and sustainability. Pilot funding can be multi-source</w:t>
      </w:r>
      <w:r w:rsidR="00F3315B">
        <w:rPr>
          <w:rFonts w:asciiTheme="majorHAnsi" w:hAnsiTheme="majorHAnsi" w:cstheme="majorHAnsi"/>
          <w:sz w:val="22"/>
          <w:szCs w:val="22"/>
        </w:rPr>
        <w:t>s</w:t>
      </w:r>
      <w:r w:rsidRPr="00974377">
        <w:rPr>
          <w:rFonts w:asciiTheme="majorHAnsi" w:hAnsiTheme="majorHAnsi" w:cstheme="majorHAnsi"/>
          <w:sz w:val="22"/>
          <w:szCs w:val="22"/>
        </w:rPr>
        <w:t xml:space="preserve">, including provincial, district, </w:t>
      </w:r>
      <w:r w:rsidR="00805E00" w:rsidRPr="00974377">
        <w:rPr>
          <w:rFonts w:asciiTheme="majorHAnsi" w:hAnsiTheme="majorHAnsi" w:cstheme="majorHAnsi"/>
          <w:sz w:val="22"/>
          <w:szCs w:val="22"/>
        </w:rPr>
        <w:t>village,</w:t>
      </w:r>
      <w:r w:rsidRPr="00974377">
        <w:rPr>
          <w:rFonts w:asciiTheme="majorHAnsi" w:hAnsiTheme="majorHAnsi" w:cstheme="majorHAnsi"/>
          <w:sz w:val="22"/>
          <w:szCs w:val="22"/>
        </w:rPr>
        <w:t xml:space="preserve"> and </w:t>
      </w:r>
      <w:r w:rsidR="00A75025" w:rsidRPr="00974377">
        <w:rPr>
          <w:rFonts w:asciiTheme="majorHAnsi" w:hAnsiTheme="majorHAnsi" w:cstheme="majorHAnsi"/>
          <w:sz w:val="22"/>
          <w:szCs w:val="22"/>
        </w:rPr>
        <w:t>education units</w:t>
      </w:r>
      <w:r w:rsidRPr="00974377">
        <w:rPr>
          <w:rFonts w:asciiTheme="majorHAnsi" w:hAnsiTheme="majorHAnsi" w:cstheme="majorHAnsi"/>
          <w:sz w:val="22"/>
          <w:szCs w:val="22"/>
        </w:rPr>
        <w:t xml:space="preserve">. </w:t>
      </w:r>
      <w:r w:rsidR="00F363B0">
        <w:rPr>
          <w:rFonts w:asciiTheme="majorHAnsi" w:hAnsiTheme="majorHAnsi" w:cstheme="majorHAnsi"/>
          <w:sz w:val="22"/>
          <w:szCs w:val="22"/>
        </w:rPr>
        <w:t>Support</w:t>
      </w:r>
      <w:r w:rsidR="00F363B0" w:rsidRPr="00974377">
        <w:rPr>
          <w:rFonts w:asciiTheme="majorHAnsi" w:hAnsiTheme="majorHAnsi" w:cstheme="majorHAnsi"/>
          <w:sz w:val="22"/>
          <w:szCs w:val="22"/>
        </w:rPr>
        <w:t xml:space="preserve"> </w:t>
      </w:r>
      <w:r w:rsidRPr="00974377">
        <w:rPr>
          <w:rFonts w:asciiTheme="majorHAnsi" w:hAnsiTheme="majorHAnsi" w:cstheme="majorHAnsi"/>
          <w:sz w:val="22"/>
          <w:szCs w:val="22"/>
        </w:rPr>
        <w:t xml:space="preserve">from </w:t>
      </w:r>
      <w:proofErr w:type="spellStart"/>
      <w:r w:rsidR="00A75025" w:rsidRPr="00974377">
        <w:rPr>
          <w:rFonts w:asciiTheme="majorHAnsi" w:hAnsiTheme="majorHAnsi" w:cstheme="majorHAnsi"/>
          <w:sz w:val="22"/>
          <w:szCs w:val="22"/>
        </w:rPr>
        <w:t>GoI</w:t>
      </w:r>
      <w:proofErr w:type="spellEnd"/>
      <w:r w:rsidR="00A75025" w:rsidRPr="00974377">
        <w:rPr>
          <w:rFonts w:asciiTheme="majorHAnsi" w:hAnsiTheme="majorHAnsi" w:cstheme="majorHAnsi"/>
          <w:sz w:val="22"/>
          <w:szCs w:val="22"/>
        </w:rPr>
        <w:t xml:space="preserve"> </w:t>
      </w:r>
      <w:r w:rsidRPr="00974377">
        <w:rPr>
          <w:rFonts w:asciiTheme="majorHAnsi" w:hAnsiTheme="majorHAnsi" w:cstheme="majorHAnsi"/>
          <w:sz w:val="22"/>
          <w:szCs w:val="22"/>
        </w:rPr>
        <w:t>national partners could cover workshops, research and analytical activities, and travel</w:t>
      </w:r>
      <w:r w:rsidR="00F3315B">
        <w:rPr>
          <w:rFonts w:asciiTheme="majorHAnsi" w:hAnsiTheme="majorHAnsi" w:cstheme="majorHAnsi"/>
          <w:sz w:val="22"/>
          <w:szCs w:val="22"/>
        </w:rPr>
        <w:t xml:space="preserve"> costs</w:t>
      </w:r>
      <w:r w:rsidRPr="00974377">
        <w:rPr>
          <w:rFonts w:asciiTheme="majorHAnsi" w:hAnsiTheme="majorHAnsi" w:cstheme="majorHAnsi"/>
          <w:sz w:val="22"/>
          <w:szCs w:val="22"/>
        </w:rPr>
        <w:t xml:space="preserve">. </w:t>
      </w:r>
    </w:p>
    <w:p w14:paraId="12700F48" w14:textId="3963FD4F" w:rsidR="00463EA3" w:rsidRPr="00CE7911" w:rsidRDefault="00463EA3" w:rsidP="00237726">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Implementation team will develop and submit a sustainability plan </w:t>
      </w:r>
      <w:r>
        <w:rPr>
          <w:rFonts w:asciiTheme="majorHAnsi" w:hAnsiTheme="majorHAnsi" w:cstheme="majorHAnsi"/>
          <w:sz w:val="22"/>
          <w:szCs w:val="22"/>
        </w:rPr>
        <w:t>in the first twelve months of</w:t>
      </w:r>
      <w:r w:rsidRPr="00974377">
        <w:rPr>
          <w:rFonts w:asciiTheme="majorHAnsi" w:hAnsiTheme="majorHAnsi" w:cstheme="majorHAnsi"/>
          <w:sz w:val="22"/>
          <w:szCs w:val="22"/>
        </w:rPr>
        <w:t xml:space="preserve"> the program to ensure </w:t>
      </w:r>
      <w:r w:rsidR="00C0294D" w:rsidRPr="00974377">
        <w:rPr>
          <w:rFonts w:asciiTheme="majorHAnsi" w:hAnsiTheme="majorHAnsi" w:cstheme="majorHAnsi"/>
          <w:sz w:val="22"/>
          <w:szCs w:val="22"/>
        </w:rPr>
        <w:t>effective</w:t>
      </w:r>
      <w:r w:rsidR="00C0294D">
        <w:rPr>
          <w:rFonts w:asciiTheme="majorHAnsi" w:hAnsiTheme="majorHAnsi" w:cstheme="majorHAnsi"/>
          <w:sz w:val="22"/>
          <w:szCs w:val="22"/>
        </w:rPr>
        <w:t xml:space="preserve"> </w:t>
      </w:r>
      <w:r>
        <w:rPr>
          <w:rFonts w:asciiTheme="majorHAnsi" w:hAnsiTheme="majorHAnsi" w:cstheme="majorHAnsi"/>
          <w:sz w:val="22"/>
          <w:szCs w:val="22"/>
        </w:rPr>
        <w:t xml:space="preserve">measures including those suggested above are </w:t>
      </w:r>
      <w:r w:rsidRPr="00974377">
        <w:rPr>
          <w:rFonts w:asciiTheme="majorHAnsi" w:hAnsiTheme="majorHAnsi" w:cstheme="majorHAnsi"/>
          <w:sz w:val="22"/>
          <w:szCs w:val="22"/>
        </w:rPr>
        <w:t>put in place and</w:t>
      </w:r>
      <w:r w:rsidR="00F3315B">
        <w:rPr>
          <w:rFonts w:asciiTheme="majorHAnsi" w:hAnsiTheme="majorHAnsi" w:cstheme="majorHAnsi"/>
          <w:sz w:val="22"/>
          <w:szCs w:val="22"/>
        </w:rPr>
        <w:t xml:space="preserve"> are</w:t>
      </w:r>
      <w:r w:rsidRPr="00974377">
        <w:rPr>
          <w:rFonts w:asciiTheme="majorHAnsi" w:hAnsiTheme="majorHAnsi" w:cstheme="majorHAnsi"/>
          <w:sz w:val="22"/>
          <w:szCs w:val="22"/>
        </w:rPr>
        <w:t xml:space="preserve"> </w:t>
      </w:r>
      <w:r w:rsidR="00C0294D">
        <w:rPr>
          <w:rFonts w:asciiTheme="majorHAnsi" w:hAnsiTheme="majorHAnsi" w:cstheme="majorHAnsi"/>
          <w:sz w:val="22"/>
          <w:szCs w:val="22"/>
        </w:rPr>
        <w:t>integrated in relevant workplans and strategies</w:t>
      </w:r>
      <w:r w:rsidRPr="00974377">
        <w:rPr>
          <w:rFonts w:asciiTheme="majorHAnsi" w:hAnsiTheme="majorHAnsi" w:cstheme="majorHAnsi"/>
          <w:sz w:val="22"/>
          <w:szCs w:val="22"/>
        </w:rPr>
        <w:t>.</w:t>
      </w:r>
    </w:p>
    <w:p w14:paraId="0F8CC095" w14:textId="77777777" w:rsidR="003E1C1F" w:rsidRPr="00CE7911" w:rsidRDefault="003E1C1F" w:rsidP="00237726">
      <w:pPr>
        <w:pStyle w:val="BodyText"/>
        <w:spacing w:after="120" w:line="281" w:lineRule="auto"/>
        <w:rPr>
          <w:rFonts w:asciiTheme="majorHAnsi" w:hAnsiTheme="majorHAnsi" w:cstheme="majorHAnsi"/>
          <w:sz w:val="22"/>
          <w:szCs w:val="22"/>
        </w:rPr>
      </w:pPr>
    </w:p>
    <w:p w14:paraId="24EE21DC" w14:textId="6F23D91F" w:rsidR="00A32858" w:rsidRPr="0074451C" w:rsidRDefault="00A32858" w:rsidP="008D1844">
      <w:pPr>
        <w:pStyle w:val="Heading1"/>
        <w:numPr>
          <w:ilvl w:val="0"/>
          <w:numId w:val="59"/>
        </w:numPr>
        <w:rPr>
          <w:sz w:val="28"/>
          <w:u w:val="single"/>
        </w:rPr>
      </w:pPr>
      <w:r w:rsidRPr="0074451C">
        <w:rPr>
          <w:sz w:val="28"/>
          <w:u w:val="single"/>
        </w:rPr>
        <w:t>Monitoring and Evaluation (How will DFAT measure performance?)</w:t>
      </w:r>
    </w:p>
    <w:p w14:paraId="1D0B5247" w14:textId="45A9DC9F" w:rsidR="000F42BF" w:rsidRPr="00974377" w:rsidRDefault="00D21AE0" w:rsidP="009223CC">
      <w:pPr>
        <w:tabs>
          <w:tab w:val="left" w:pos="284"/>
        </w:tabs>
        <w:spacing w:after="120" w:line="281" w:lineRule="auto"/>
        <w:rPr>
          <w:rFonts w:asciiTheme="majorHAnsi" w:hAnsiTheme="majorHAnsi"/>
          <w:sz w:val="22"/>
          <w:szCs w:val="22"/>
        </w:rPr>
      </w:pPr>
      <w:r w:rsidRPr="00974377">
        <w:rPr>
          <w:rFonts w:asciiTheme="majorHAnsi" w:hAnsiTheme="majorHAnsi"/>
          <w:sz w:val="22"/>
          <w:szCs w:val="22"/>
        </w:rPr>
        <w:t>As with all development programs</w:t>
      </w:r>
      <w:r w:rsidR="00D87E0F" w:rsidRPr="00974377">
        <w:rPr>
          <w:rFonts w:asciiTheme="majorHAnsi" w:hAnsiTheme="majorHAnsi"/>
          <w:sz w:val="22"/>
          <w:szCs w:val="22"/>
        </w:rPr>
        <w:t>,</w:t>
      </w:r>
      <w:r w:rsidRPr="00974377">
        <w:rPr>
          <w:rFonts w:asciiTheme="majorHAnsi" w:hAnsiTheme="majorHAnsi"/>
          <w:sz w:val="22"/>
          <w:szCs w:val="22"/>
        </w:rPr>
        <w:t xml:space="preserve"> </w:t>
      </w:r>
      <w:r w:rsidR="00655B63" w:rsidRPr="00974377">
        <w:rPr>
          <w:rFonts w:asciiTheme="majorHAnsi" w:hAnsiTheme="majorHAnsi"/>
          <w:sz w:val="22"/>
          <w:szCs w:val="22"/>
        </w:rPr>
        <w:t xml:space="preserve">a robust MERL approach </w:t>
      </w:r>
      <w:r w:rsidRPr="00974377">
        <w:rPr>
          <w:rFonts w:asciiTheme="majorHAnsi" w:hAnsiTheme="majorHAnsi"/>
          <w:sz w:val="22"/>
          <w:szCs w:val="22"/>
        </w:rPr>
        <w:t>is important to</w:t>
      </w:r>
      <w:r w:rsidR="001C2C38" w:rsidRPr="00974377">
        <w:rPr>
          <w:rFonts w:asciiTheme="majorHAnsi" w:hAnsiTheme="majorHAnsi"/>
          <w:sz w:val="22"/>
          <w:szCs w:val="22"/>
        </w:rPr>
        <w:t xml:space="preserve"> </w:t>
      </w:r>
      <w:r w:rsidR="00655B63" w:rsidRPr="00974377">
        <w:rPr>
          <w:rFonts w:asciiTheme="majorHAnsi" w:hAnsiTheme="majorHAnsi"/>
          <w:sz w:val="22"/>
          <w:szCs w:val="22"/>
        </w:rPr>
        <w:t xml:space="preserve">assess achievements, </w:t>
      </w:r>
      <w:r w:rsidR="001C2C38" w:rsidRPr="00974377">
        <w:rPr>
          <w:rFonts w:asciiTheme="majorHAnsi" w:hAnsiTheme="majorHAnsi"/>
          <w:sz w:val="22"/>
          <w:szCs w:val="22"/>
        </w:rPr>
        <w:t xml:space="preserve">regularly review program strategies, </w:t>
      </w:r>
      <w:r w:rsidRPr="00974377">
        <w:rPr>
          <w:rFonts w:asciiTheme="majorHAnsi" w:hAnsiTheme="majorHAnsi"/>
          <w:sz w:val="22"/>
          <w:szCs w:val="22"/>
        </w:rPr>
        <w:t>learn lessons from ongoing implementation</w:t>
      </w:r>
      <w:r w:rsidR="00D87E0F" w:rsidRPr="00974377">
        <w:rPr>
          <w:rFonts w:asciiTheme="majorHAnsi" w:hAnsiTheme="majorHAnsi"/>
          <w:sz w:val="22"/>
          <w:szCs w:val="22"/>
        </w:rPr>
        <w:t>,</w:t>
      </w:r>
      <w:r w:rsidRPr="00974377">
        <w:rPr>
          <w:rFonts w:asciiTheme="majorHAnsi" w:hAnsiTheme="majorHAnsi"/>
          <w:sz w:val="22"/>
          <w:szCs w:val="22"/>
        </w:rPr>
        <w:t xml:space="preserve"> and seek to </w:t>
      </w:r>
      <w:r w:rsidR="001C2C38" w:rsidRPr="00974377">
        <w:rPr>
          <w:rFonts w:asciiTheme="majorHAnsi" w:hAnsiTheme="majorHAnsi"/>
          <w:sz w:val="22"/>
          <w:szCs w:val="22"/>
        </w:rPr>
        <w:t xml:space="preserve">adjust and </w:t>
      </w:r>
      <w:r w:rsidRPr="00974377">
        <w:rPr>
          <w:rFonts w:asciiTheme="majorHAnsi" w:hAnsiTheme="majorHAnsi"/>
          <w:sz w:val="22"/>
          <w:szCs w:val="22"/>
        </w:rPr>
        <w:t>strengthen approaches for improved results.</w:t>
      </w:r>
      <w:r w:rsidR="00D87E0F" w:rsidRPr="00974377">
        <w:rPr>
          <w:rFonts w:asciiTheme="majorHAnsi" w:hAnsiTheme="majorHAnsi"/>
          <w:sz w:val="22"/>
          <w:szCs w:val="22"/>
        </w:rPr>
        <w:t xml:space="preserve"> In the case of</w:t>
      </w:r>
      <w:r w:rsidR="00E736F1" w:rsidRPr="00974377">
        <w:rPr>
          <w:rFonts w:asciiTheme="majorHAnsi" w:hAnsiTheme="majorHAnsi"/>
          <w:sz w:val="22"/>
          <w:szCs w:val="22"/>
        </w:rPr>
        <w:t xml:space="preserve"> </w:t>
      </w:r>
      <w:r w:rsidR="00D87E0F" w:rsidRPr="00974377">
        <w:rPr>
          <w:rFonts w:asciiTheme="majorHAnsi" w:hAnsiTheme="majorHAnsi"/>
          <w:sz w:val="22"/>
          <w:szCs w:val="22"/>
        </w:rPr>
        <w:t xml:space="preserve">INOVASI, such approach is fundamental to the program rationale: at its core, the program can be envisaged </w:t>
      </w:r>
      <w:r w:rsidR="00D521CA" w:rsidRPr="00974377">
        <w:rPr>
          <w:rFonts w:asciiTheme="majorHAnsi" w:hAnsiTheme="majorHAnsi"/>
          <w:sz w:val="22"/>
          <w:szCs w:val="22"/>
        </w:rPr>
        <w:t xml:space="preserve">as </w:t>
      </w:r>
      <w:r w:rsidR="00D87E0F" w:rsidRPr="00974377">
        <w:rPr>
          <w:rFonts w:asciiTheme="majorHAnsi" w:hAnsiTheme="majorHAnsi"/>
          <w:sz w:val="22"/>
          <w:szCs w:val="22"/>
        </w:rPr>
        <w:t xml:space="preserve">a vehicle to trial, test, learn from and improve localised ecosystemic approaches for implementing relevant education policies and systems. This requires </w:t>
      </w:r>
      <w:r w:rsidR="00D521CA" w:rsidRPr="00974377">
        <w:rPr>
          <w:rFonts w:asciiTheme="majorHAnsi" w:hAnsiTheme="majorHAnsi"/>
          <w:sz w:val="22"/>
          <w:szCs w:val="22"/>
        </w:rPr>
        <w:t xml:space="preserve">an innovative, </w:t>
      </w:r>
      <w:r w:rsidR="00C97E15" w:rsidRPr="00974377">
        <w:rPr>
          <w:rFonts w:asciiTheme="majorHAnsi" w:hAnsiTheme="majorHAnsi"/>
          <w:sz w:val="22"/>
          <w:szCs w:val="22"/>
        </w:rPr>
        <w:t>strategic,</w:t>
      </w:r>
      <w:r w:rsidR="00D521CA" w:rsidRPr="00974377">
        <w:rPr>
          <w:rFonts w:asciiTheme="majorHAnsi" w:hAnsiTheme="majorHAnsi"/>
          <w:sz w:val="22"/>
          <w:szCs w:val="22"/>
        </w:rPr>
        <w:t xml:space="preserve"> and convincing MERL approach, that mixes rigor and creativity to capture and understand localised systemic changes. </w:t>
      </w:r>
      <w:r w:rsidRPr="00974377">
        <w:rPr>
          <w:rFonts w:asciiTheme="majorHAnsi" w:hAnsiTheme="majorHAnsi"/>
          <w:sz w:val="22"/>
          <w:szCs w:val="22"/>
        </w:rPr>
        <w:t xml:space="preserve">A summary of core elements of the </w:t>
      </w:r>
      <w:r w:rsidR="00E736F1" w:rsidRPr="00974377">
        <w:rPr>
          <w:rFonts w:asciiTheme="majorHAnsi" w:hAnsiTheme="majorHAnsi"/>
          <w:sz w:val="22"/>
          <w:szCs w:val="22"/>
        </w:rPr>
        <w:t xml:space="preserve">INOVASI Phase 3 </w:t>
      </w:r>
      <w:r w:rsidRPr="00974377">
        <w:rPr>
          <w:rFonts w:asciiTheme="majorHAnsi" w:hAnsiTheme="majorHAnsi"/>
          <w:sz w:val="22"/>
          <w:szCs w:val="22"/>
        </w:rPr>
        <w:t>ME</w:t>
      </w:r>
      <w:r w:rsidR="00D76B53" w:rsidRPr="00974377">
        <w:rPr>
          <w:rFonts w:asciiTheme="majorHAnsi" w:hAnsiTheme="majorHAnsi"/>
          <w:sz w:val="22"/>
          <w:szCs w:val="22"/>
        </w:rPr>
        <w:t>R</w:t>
      </w:r>
      <w:r w:rsidRPr="00974377">
        <w:rPr>
          <w:rFonts w:asciiTheme="majorHAnsi" w:hAnsiTheme="majorHAnsi"/>
          <w:sz w:val="22"/>
          <w:szCs w:val="22"/>
        </w:rPr>
        <w:t>L approach is provided below</w:t>
      </w:r>
      <w:r w:rsidR="00E736F1" w:rsidRPr="00974377">
        <w:rPr>
          <w:rFonts w:asciiTheme="majorHAnsi" w:hAnsiTheme="majorHAnsi"/>
          <w:sz w:val="22"/>
          <w:szCs w:val="22"/>
        </w:rPr>
        <w:t xml:space="preserve">, </w:t>
      </w:r>
      <w:r w:rsidR="001C2C38" w:rsidRPr="00974377">
        <w:rPr>
          <w:rFonts w:asciiTheme="majorHAnsi" w:hAnsiTheme="majorHAnsi"/>
          <w:sz w:val="22"/>
          <w:szCs w:val="22"/>
        </w:rPr>
        <w:t xml:space="preserve">distinguishing between the Program </w:t>
      </w:r>
      <w:r w:rsidR="00774FD1" w:rsidRPr="00974377">
        <w:rPr>
          <w:rFonts w:asciiTheme="majorHAnsi" w:hAnsiTheme="majorHAnsi"/>
          <w:sz w:val="22"/>
          <w:szCs w:val="22"/>
        </w:rPr>
        <w:t>MERL</w:t>
      </w:r>
      <w:r w:rsidR="001C2C38" w:rsidRPr="00974377">
        <w:rPr>
          <w:rFonts w:asciiTheme="majorHAnsi" w:hAnsiTheme="majorHAnsi"/>
          <w:sz w:val="22"/>
          <w:szCs w:val="22"/>
        </w:rPr>
        <w:t xml:space="preserve"> system, the servicing of partners ME</w:t>
      </w:r>
      <w:r w:rsidR="00D76B53" w:rsidRPr="00974377">
        <w:rPr>
          <w:rFonts w:asciiTheme="majorHAnsi" w:hAnsiTheme="majorHAnsi"/>
          <w:sz w:val="22"/>
          <w:szCs w:val="22"/>
        </w:rPr>
        <w:t>R</w:t>
      </w:r>
      <w:r w:rsidR="001C2C38" w:rsidRPr="00974377">
        <w:rPr>
          <w:rFonts w:asciiTheme="majorHAnsi" w:hAnsiTheme="majorHAnsi"/>
          <w:sz w:val="22"/>
          <w:szCs w:val="22"/>
        </w:rPr>
        <w:t>L needs, and DFAT mechanisms to review and enhance the program’s strategic performance</w:t>
      </w:r>
      <w:r w:rsidR="00AD2E2A">
        <w:rPr>
          <w:rFonts w:asciiTheme="majorHAnsi" w:hAnsiTheme="majorHAnsi"/>
          <w:sz w:val="22"/>
          <w:szCs w:val="22"/>
        </w:rPr>
        <w:t>.</w:t>
      </w:r>
    </w:p>
    <w:p w14:paraId="39D2B732" w14:textId="19A95F0B" w:rsidR="007E1662" w:rsidRPr="009E04A4" w:rsidRDefault="007E1662" w:rsidP="003E1C1F">
      <w:pPr>
        <w:pStyle w:val="Heading2"/>
        <w:rPr>
          <w:rFonts w:cstheme="majorHAnsi"/>
          <w:b/>
          <w:bCs/>
          <w:sz w:val="22"/>
          <w:szCs w:val="22"/>
        </w:rPr>
      </w:pPr>
      <w:r w:rsidRPr="003E1C1F">
        <w:rPr>
          <w:b/>
          <w:bCs/>
          <w:caps w:val="0"/>
          <w:sz w:val="22"/>
          <w:szCs w:val="22"/>
        </w:rPr>
        <w:t>Program M</w:t>
      </w:r>
      <w:r w:rsidRPr="009E04A4">
        <w:rPr>
          <w:rFonts w:cstheme="majorHAnsi"/>
          <w:b/>
          <w:bCs/>
          <w:sz w:val="22"/>
          <w:szCs w:val="22"/>
        </w:rPr>
        <w:t>E</w:t>
      </w:r>
      <w:r w:rsidR="00D87E0F" w:rsidRPr="009E04A4">
        <w:rPr>
          <w:rFonts w:cstheme="majorHAnsi"/>
          <w:b/>
          <w:bCs/>
          <w:sz w:val="22"/>
          <w:szCs w:val="22"/>
        </w:rPr>
        <w:t>R</w:t>
      </w:r>
      <w:r w:rsidRPr="009E04A4">
        <w:rPr>
          <w:rFonts w:cstheme="majorHAnsi"/>
          <w:b/>
          <w:bCs/>
          <w:sz w:val="22"/>
          <w:szCs w:val="22"/>
        </w:rPr>
        <w:t>L System</w:t>
      </w:r>
    </w:p>
    <w:p w14:paraId="537D6406" w14:textId="28CA5EBC" w:rsidR="004128B1" w:rsidRDefault="00D21AE0" w:rsidP="009223CC">
      <w:pPr>
        <w:tabs>
          <w:tab w:val="left" w:pos="284"/>
        </w:tabs>
        <w:spacing w:after="120" w:line="281" w:lineRule="auto"/>
        <w:rPr>
          <w:rFonts w:asciiTheme="majorHAnsi" w:hAnsiTheme="majorHAnsi"/>
          <w:sz w:val="22"/>
          <w:szCs w:val="22"/>
        </w:rPr>
      </w:pPr>
      <w:r w:rsidRPr="00974377">
        <w:rPr>
          <w:rFonts w:asciiTheme="majorHAnsi" w:hAnsiTheme="majorHAnsi"/>
          <w:sz w:val="22"/>
          <w:szCs w:val="22"/>
        </w:rPr>
        <w:t xml:space="preserve">A </w:t>
      </w:r>
      <w:r w:rsidR="00D66206" w:rsidRPr="00974377">
        <w:rPr>
          <w:rFonts w:asciiTheme="majorHAnsi" w:hAnsiTheme="majorHAnsi"/>
          <w:sz w:val="22"/>
          <w:szCs w:val="22"/>
        </w:rPr>
        <w:t xml:space="preserve">program </w:t>
      </w:r>
      <w:r w:rsidRPr="00974377">
        <w:rPr>
          <w:rFonts w:asciiTheme="majorHAnsi" w:hAnsiTheme="majorHAnsi"/>
          <w:sz w:val="22"/>
          <w:szCs w:val="22"/>
        </w:rPr>
        <w:t>Monitoring</w:t>
      </w:r>
      <w:r w:rsidR="00D76B53" w:rsidRPr="00974377">
        <w:rPr>
          <w:rFonts w:asciiTheme="majorHAnsi" w:hAnsiTheme="majorHAnsi"/>
          <w:sz w:val="22"/>
          <w:szCs w:val="22"/>
        </w:rPr>
        <w:t>,</w:t>
      </w:r>
      <w:r w:rsidRPr="00974377">
        <w:rPr>
          <w:rFonts w:asciiTheme="majorHAnsi" w:hAnsiTheme="majorHAnsi"/>
          <w:sz w:val="22"/>
          <w:szCs w:val="22"/>
        </w:rPr>
        <w:t xml:space="preserve"> Evaluation </w:t>
      </w:r>
      <w:r w:rsidR="00D76B53" w:rsidRPr="00974377">
        <w:rPr>
          <w:rFonts w:asciiTheme="majorHAnsi" w:hAnsiTheme="majorHAnsi"/>
          <w:sz w:val="22"/>
          <w:szCs w:val="22"/>
        </w:rPr>
        <w:t xml:space="preserve">Research </w:t>
      </w:r>
      <w:r w:rsidRPr="00974377">
        <w:rPr>
          <w:rFonts w:asciiTheme="majorHAnsi" w:hAnsiTheme="majorHAnsi"/>
          <w:sz w:val="22"/>
          <w:szCs w:val="22"/>
        </w:rPr>
        <w:t>and Learning (ME</w:t>
      </w:r>
      <w:r w:rsidR="00D76B53" w:rsidRPr="00974377">
        <w:rPr>
          <w:rFonts w:asciiTheme="majorHAnsi" w:hAnsiTheme="majorHAnsi"/>
          <w:sz w:val="22"/>
          <w:szCs w:val="22"/>
        </w:rPr>
        <w:t>R</w:t>
      </w:r>
      <w:r w:rsidRPr="00974377">
        <w:rPr>
          <w:rFonts w:asciiTheme="majorHAnsi" w:hAnsiTheme="majorHAnsi"/>
          <w:sz w:val="22"/>
          <w:szCs w:val="22"/>
        </w:rPr>
        <w:t xml:space="preserve">L) system will be developed by the Managing Contractor and submitted within six-months of </w:t>
      </w:r>
      <w:r w:rsidRPr="0094721A">
        <w:rPr>
          <w:rFonts w:asciiTheme="majorHAnsi" w:hAnsiTheme="majorHAnsi"/>
          <w:sz w:val="22"/>
          <w:szCs w:val="22"/>
        </w:rPr>
        <w:t xml:space="preserve">INOVASI Phase 3 commencement. </w:t>
      </w:r>
      <w:r w:rsidR="00D66206" w:rsidRPr="0094721A">
        <w:rPr>
          <w:rFonts w:asciiTheme="majorHAnsi" w:hAnsiTheme="majorHAnsi"/>
          <w:sz w:val="22"/>
          <w:szCs w:val="22"/>
        </w:rPr>
        <w:t xml:space="preserve">It will be shared with NSC members during the first year of implementation and it will be updated annually on a </w:t>
      </w:r>
      <w:r w:rsidR="00536533" w:rsidRPr="0094721A">
        <w:rPr>
          <w:rFonts w:asciiTheme="majorHAnsi" w:hAnsiTheme="majorHAnsi"/>
          <w:sz w:val="22"/>
          <w:szCs w:val="22"/>
        </w:rPr>
        <w:t>need’s</w:t>
      </w:r>
      <w:r w:rsidR="00D66206" w:rsidRPr="0094721A">
        <w:rPr>
          <w:rFonts w:asciiTheme="majorHAnsi" w:hAnsiTheme="majorHAnsi"/>
          <w:sz w:val="22"/>
          <w:szCs w:val="22"/>
        </w:rPr>
        <w:t xml:space="preserve"> basis, as part of the annual planning process.</w:t>
      </w:r>
    </w:p>
    <w:p w14:paraId="71D5BBDD" w14:textId="0D8F74B8" w:rsidR="008C0515" w:rsidRPr="0094721A" w:rsidRDefault="008C0515" w:rsidP="008D1844">
      <w:pPr>
        <w:pStyle w:val="Heading3"/>
        <w:numPr>
          <w:ilvl w:val="0"/>
          <w:numId w:val="12"/>
        </w:numPr>
        <w:rPr>
          <w:sz w:val="22"/>
          <w:szCs w:val="22"/>
        </w:rPr>
      </w:pPr>
      <w:r w:rsidRPr="00250992">
        <w:rPr>
          <w:b/>
          <w:sz w:val="22"/>
          <w:szCs w:val="22"/>
        </w:rPr>
        <w:t xml:space="preserve">Purposes </w:t>
      </w:r>
    </w:p>
    <w:p w14:paraId="518AC15F" w14:textId="647F1236" w:rsidR="008C0515" w:rsidRPr="0094721A" w:rsidRDefault="00D21AE0" w:rsidP="009223CC">
      <w:pPr>
        <w:tabs>
          <w:tab w:val="left" w:pos="284"/>
        </w:tabs>
        <w:spacing w:after="120" w:line="281" w:lineRule="auto"/>
        <w:rPr>
          <w:rFonts w:asciiTheme="majorHAnsi" w:hAnsiTheme="majorHAnsi"/>
          <w:sz w:val="22"/>
          <w:szCs w:val="22"/>
        </w:rPr>
      </w:pPr>
      <w:r w:rsidRPr="0094721A">
        <w:rPr>
          <w:rFonts w:asciiTheme="majorHAnsi" w:hAnsiTheme="majorHAnsi"/>
          <w:sz w:val="22"/>
          <w:szCs w:val="22"/>
        </w:rPr>
        <w:t xml:space="preserve">As an important management tool, the </w:t>
      </w:r>
      <w:r w:rsidR="00774FD1" w:rsidRPr="0094721A">
        <w:rPr>
          <w:rFonts w:asciiTheme="majorHAnsi" w:hAnsiTheme="majorHAnsi"/>
          <w:sz w:val="22"/>
          <w:szCs w:val="22"/>
        </w:rPr>
        <w:t>MERL</w:t>
      </w:r>
      <w:r w:rsidRPr="0094721A">
        <w:rPr>
          <w:rFonts w:asciiTheme="majorHAnsi" w:hAnsiTheme="majorHAnsi"/>
          <w:sz w:val="22"/>
          <w:szCs w:val="22"/>
        </w:rPr>
        <w:t xml:space="preserve"> system will </w:t>
      </w:r>
      <w:r w:rsidR="008C0515" w:rsidRPr="0094721A">
        <w:rPr>
          <w:rFonts w:asciiTheme="majorHAnsi" w:hAnsiTheme="majorHAnsi"/>
          <w:sz w:val="22"/>
          <w:szCs w:val="22"/>
        </w:rPr>
        <w:t>be user-driven and focused on delivering convincing and timely information for decision makers (DFAT,</w:t>
      </w:r>
      <w:r w:rsidR="00BD22D5" w:rsidRPr="0094721A">
        <w:rPr>
          <w:rFonts w:asciiTheme="majorHAnsi" w:hAnsiTheme="majorHAnsi"/>
          <w:sz w:val="22"/>
          <w:szCs w:val="22"/>
        </w:rPr>
        <w:t xml:space="preserve"> </w:t>
      </w:r>
      <w:r w:rsidR="008C0515" w:rsidRPr="0094721A">
        <w:rPr>
          <w:rFonts w:asciiTheme="majorHAnsi" w:hAnsiTheme="majorHAnsi"/>
          <w:sz w:val="22"/>
          <w:szCs w:val="22"/>
        </w:rPr>
        <w:t xml:space="preserve">NSC and PSC members). It will serve three main objectives: </w:t>
      </w:r>
    </w:p>
    <w:p w14:paraId="44B4595B" w14:textId="7B126378" w:rsidR="00BD22D5" w:rsidRPr="0094721A" w:rsidRDefault="00BD22D5" w:rsidP="008D1844">
      <w:pPr>
        <w:pStyle w:val="ListParagraph"/>
        <w:numPr>
          <w:ilvl w:val="0"/>
          <w:numId w:val="17"/>
        </w:numPr>
        <w:tabs>
          <w:tab w:val="left" w:pos="284"/>
        </w:tabs>
        <w:spacing w:before="120" w:after="120" w:line="281" w:lineRule="auto"/>
        <w:ind w:left="641" w:hanging="357"/>
        <w:contextualSpacing w:val="0"/>
        <w:rPr>
          <w:rFonts w:asciiTheme="majorHAnsi" w:hAnsiTheme="majorHAnsi"/>
          <w:sz w:val="22"/>
          <w:szCs w:val="22"/>
        </w:rPr>
      </w:pPr>
      <w:r w:rsidRPr="0094721A">
        <w:rPr>
          <w:rFonts w:asciiTheme="majorHAnsi" w:hAnsiTheme="majorHAnsi"/>
          <w:sz w:val="22"/>
          <w:szCs w:val="22"/>
        </w:rPr>
        <w:t xml:space="preserve">Enable strategic decision-making: high level monitoring of the program’s context, political economy, and opportunities will enable </w:t>
      </w:r>
      <w:r w:rsidR="00B54E17" w:rsidRPr="0094721A">
        <w:rPr>
          <w:rFonts w:asciiTheme="majorHAnsi" w:hAnsiTheme="majorHAnsi"/>
          <w:sz w:val="22"/>
          <w:szCs w:val="22"/>
        </w:rPr>
        <w:t xml:space="preserve">DFAT and </w:t>
      </w:r>
      <w:r w:rsidRPr="0094721A">
        <w:rPr>
          <w:rFonts w:asciiTheme="majorHAnsi" w:hAnsiTheme="majorHAnsi"/>
          <w:sz w:val="22"/>
          <w:szCs w:val="22"/>
        </w:rPr>
        <w:t xml:space="preserve">NSC members to determine program directions and priorities and ensure engagement with potential users of program performance information. </w:t>
      </w:r>
    </w:p>
    <w:p w14:paraId="55D4E17B" w14:textId="583C2C69" w:rsidR="00BD22D5" w:rsidRPr="0094721A" w:rsidRDefault="00BD22D5" w:rsidP="008D1844">
      <w:pPr>
        <w:pStyle w:val="ListParagraph"/>
        <w:numPr>
          <w:ilvl w:val="0"/>
          <w:numId w:val="17"/>
        </w:numPr>
        <w:tabs>
          <w:tab w:val="left" w:pos="284"/>
        </w:tabs>
        <w:spacing w:before="120" w:after="120" w:line="281" w:lineRule="auto"/>
        <w:ind w:left="641" w:hanging="357"/>
        <w:contextualSpacing w:val="0"/>
        <w:rPr>
          <w:rFonts w:asciiTheme="majorHAnsi" w:hAnsiTheme="majorHAnsi"/>
          <w:sz w:val="22"/>
          <w:szCs w:val="22"/>
        </w:rPr>
      </w:pPr>
      <w:r w:rsidRPr="0094721A">
        <w:rPr>
          <w:rFonts w:asciiTheme="majorHAnsi" w:hAnsiTheme="majorHAnsi"/>
          <w:sz w:val="22"/>
          <w:szCs w:val="22"/>
        </w:rPr>
        <w:t xml:space="preserve">Understand and learn from results: much of </w:t>
      </w:r>
      <w:r w:rsidR="002D1F95" w:rsidRPr="0094721A">
        <w:rPr>
          <w:rFonts w:asciiTheme="majorHAnsi" w:hAnsiTheme="majorHAnsi"/>
          <w:sz w:val="22"/>
          <w:szCs w:val="22"/>
        </w:rPr>
        <w:t>the program’s</w:t>
      </w:r>
      <w:r w:rsidRPr="0094721A">
        <w:rPr>
          <w:rFonts w:asciiTheme="majorHAnsi" w:hAnsiTheme="majorHAnsi"/>
          <w:sz w:val="22"/>
          <w:szCs w:val="22"/>
        </w:rPr>
        <w:t xml:space="preserve"> </w:t>
      </w:r>
      <w:r w:rsidR="00774FD1" w:rsidRPr="0094721A">
        <w:rPr>
          <w:rFonts w:asciiTheme="majorHAnsi" w:hAnsiTheme="majorHAnsi"/>
          <w:sz w:val="22"/>
          <w:szCs w:val="22"/>
        </w:rPr>
        <w:t>MERL</w:t>
      </w:r>
      <w:r w:rsidRPr="0094721A">
        <w:rPr>
          <w:rFonts w:asciiTheme="majorHAnsi" w:hAnsiTheme="majorHAnsi"/>
          <w:sz w:val="22"/>
          <w:szCs w:val="22"/>
        </w:rPr>
        <w:t xml:space="preserve"> efforts will focus on assessing the appropriateness and sufficiency of the achievement</w:t>
      </w:r>
      <w:r w:rsidR="00B54E17" w:rsidRPr="0094721A">
        <w:rPr>
          <w:rFonts w:asciiTheme="majorHAnsi" w:hAnsiTheme="majorHAnsi"/>
          <w:sz w:val="22"/>
          <w:szCs w:val="22"/>
        </w:rPr>
        <w:t>s, particularly against high level</w:t>
      </w:r>
      <w:r w:rsidRPr="0094721A">
        <w:rPr>
          <w:rFonts w:asciiTheme="majorHAnsi" w:hAnsiTheme="majorHAnsi"/>
          <w:sz w:val="22"/>
          <w:szCs w:val="22"/>
        </w:rPr>
        <w:t xml:space="preserve"> outcomes</w:t>
      </w:r>
      <w:r w:rsidR="00B54E17" w:rsidRPr="0094721A">
        <w:rPr>
          <w:rFonts w:asciiTheme="majorHAnsi" w:hAnsiTheme="majorHAnsi"/>
          <w:sz w:val="22"/>
          <w:szCs w:val="22"/>
        </w:rPr>
        <w:t xml:space="preserve"> (IOs and EOPOs)</w:t>
      </w:r>
      <w:r w:rsidRPr="0094721A">
        <w:rPr>
          <w:rFonts w:asciiTheme="majorHAnsi" w:hAnsiTheme="majorHAnsi"/>
          <w:sz w:val="22"/>
          <w:szCs w:val="22"/>
        </w:rPr>
        <w:t>. While the program accountability is to the level of inclusive education policies and practices</w:t>
      </w:r>
      <w:r w:rsidR="00027062" w:rsidRPr="0094721A">
        <w:rPr>
          <w:rFonts w:asciiTheme="majorHAnsi" w:hAnsiTheme="majorHAnsi"/>
          <w:sz w:val="22"/>
          <w:szCs w:val="22"/>
        </w:rPr>
        <w:t xml:space="preserve"> and learning improvement in target areas</w:t>
      </w:r>
      <w:r w:rsidRPr="0094721A">
        <w:rPr>
          <w:rFonts w:asciiTheme="majorHAnsi" w:hAnsiTheme="majorHAnsi"/>
          <w:sz w:val="22"/>
          <w:szCs w:val="22"/>
        </w:rPr>
        <w:t xml:space="preserve">, </w:t>
      </w:r>
      <w:r w:rsidR="00C97E15" w:rsidRPr="0094721A">
        <w:rPr>
          <w:rFonts w:asciiTheme="majorHAnsi" w:hAnsiTheme="majorHAnsi"/>
          <w:sz w:val="22"/>
          <w:szCs w:val="22"/>
        </w:rPr>
        <w:t>tracking,</w:t>
      </w:r>
      <w:r w:rsidRPr="0094721A">
        <w:rPr>
          <w:rFonts w:asciiTheme="majorHAnsi" w:hAnsiTheme="majorHAnsi"/>
          <w:sz w:val="22"/>
          <w:szCs w:val="22"/>
        </w:rPr>
        <w:t xml:space="preserve"> and learning from examples of students’ learning improvement </w:t>
      </w:r>
      <w:r w:rsidR="00027062" w:rsidRPr="0094721A">
        <w:rPr>
          <w:rFonts w:asciiTheme="majorHAnsi" w:hAnsiTheme="majorHAnsi"/>
          <w:sz w:val="22"/>
          <w:szCs w:val="22"/>
        </w:rPr>
        <w:t xml:space="preserve">nationwide </w:t>
      </w:r>
      <w:r w:rsidRPr="0094721A">
        <w:rPr>
          <w:rFonts w:asciiTheme="majorHAnsi" w:hAnsiTheme="majorHAnsi"/>
          <w:sz w:val="22"/>
          <w:szCs w:val="22"/>
        </w:rPr>
        <w:t>(</w:t>
      </w:r>
      <w:r w:rsidR="00B54E17" w:rsidRPr="0094721A">
        <w:rPr>
          <w:rFonts w:asciiTheme="majorHAnsi" w:hAnsiTheme="majorHAnsi"/>
          <w:sz w:val="22"/>
          <w:szCs w:val="22"/>
        </w:rPr>
        <w:t>G</w:t>
      </w:r>
      <w:r w:rsidRPr="0094721A">
        <w:rPr>
          <w:rFonts w:asciiTheme="majorHAnsi" w:hAnsiTheme="majorHAnsi"/>
          <w:sz w:val="22"/>
          <w:szCs w:val="22"/>
        </w:rPr>
        <w:t>oal) will be important to inform scale up and continuous improvement.</w:t>
      </w:r>
    </w:p>
    <w:p w14:paraId="28D25949" w14:textId="572E0C4A" w:rsidR="00951A4E" w:rsidRPr="00794390" w:rsidRDefault="00BD22D5" w:rsidP="008D1844">
      <w:pPr>
        <w:pStyle w:val="ListParagraph"/>
        <w:numPr>
          <w:ilvl w:val="0"/>
          <w:numId w:val="17"/>
        </w:numPr>
        <w:tabs>
          <w:tab w:val="left" w:pos="284"/>
        </w:tabs>
        <w:spacing w:before="120" w:after="120" w:line="281" w:lineRule="auto"/>
        <w:ind w:left="641" w:hanging="357"/>
        <w:contextualSpacing w:val="0"/>
        <w:rPr>
          <w:rFonts w:asciiTheme="majorHAnsi" w:hAnsiTheme="majorHAnsi"/>
          <w:sz w:val="22"/>
          <w:szCs w:val="22"/>
        </w:rPr>
      </w:pPr>
      <w:r w:rsidRPr="0094721A">
        <w:rPr>
          <w:rFonts w:asciiTheme="majorHAnsi" w:hAnsiTheme="majorHAnsi"/>
          <w:sz w:val="22"/>
          <w:szCs w:val="22"/>
        </w:rPr>
        <w:lastRenderedPageBreak/>
        <w:t xml:space="preserve">Ensure efficient management: INOVASI’s </w:t>
      </w:r>
      <w:r w:rsidR="00774FD1" w:rsidRPr="0094721A">
        <w:rPr>
          <w:rFonts w:asciiTheme="majorHAnsi" w:hAnsiTheme="majorHAnsi"/>
          <w:sz w:val="22"/>
          <w:szCs w:val="22"/>
        </w:rPr>
        <w:t>MERL</w:t>
      </w:r>
      <w:r w:rsidRPr="0094721A">
        <w:rPr>
          <w:rFonts w:asciiTheme="majorHAnsi" w:hAnsiTheme="majorHAnsi"/>
          <w:sz w:val="22"/>
          <w:szCs w:val="22"/>
        </w:rPr>
        <w:t xml:space="preserve"> function will provide information on inputs, activities, and outputs as required to fulfil public resource accountability requirements, ensure value for money, manage risk, and prepare annual plans and budgets.</w:t>
      </w:r>
    </w:p>
    <w:p w14:paraId="67252D40" w14:textId="0C0F9D81" w:rsidR="00D21AE0" w:rsidRPr="0094721A" w:rsidRDefault="00BD22D5" w:rsidP="008D1844">
      <w:pPr>
        <w:pStyle w:val="Heading3"/>
        <w:numPr>
          <w:ilvl w:val="0"/>
          <w:numId w:val="12"/>
        </w:numPr>
        <w:rPr>
          <w:sz w:val="22"/>
          <w:szCs w:val="22"/>
        </w:rPr>
      </w:pPr>
      <w:r w:rsidRPr="00250992">
        <w:rPr>
          <w:b/>
          <w:sz w:val="22"/>
          <w:szCs w:val="20"/>
        </w:rPr>
        <w:t>Approach</w:t>
      </w:r>
    </w:p>
    <w:p w14:paraId="2792C0D4" w14:textId="62909393" w:rsidR="00FB7438" w:rsidRPr="008824CC" w:rsidRDefault="00D21AE0" w:rsidP="009223CC">
      <w:pPr>
        <w:tabs>
          <w:tab w:val="left" w:pos="284"/>
        </w:tabs>
        <w:spacing w:after="120" w:line="281" w:lineRule="auto"/>
        <w:textDirection w:val="btLr"/>
        <w:rPr>
          <w:color w:val="FF0000"/>
        </w:rPr>
      </w:pPr>
      <w:r w:rsidRPr="0094721A">
        <w:rPr>
          <w:rFonts w:asciiTheme="majorHAnsi" w:hAnsiTheme="majorHAnsi"/>
          <w:sz w:val="22"/>
          <w:szCs w:val="22"/>
        </w:rPr>
        <w:t xml:space="preserve">The </w:t>
      </w:r>
      <w:r w:rsidR="00774FD1" w:rsidRPr="0094721A">
        <w:rPr>
          <w:rFonts w:asciiTheme="majorHAnsi" w:hAnsiTheme="majorHAnsi"/>
          <w:sz w:val="22"/>
          <w:szCs w:val="22"/>
        </w:rPr>
        <w:t>MERL</w:t>
      </w:r>
      <w:r w:rsidRPr="0094721A">
        <w:rPr>
          <w:rFonts w:asciiTheme="majorHAnsi" w:hAnsiTheme="majorHAnsi"/>
          <w:sz w:val="22"/>
          <w:szCs w:val="22"/>
        </w:rPr>
        <w:t xml:space="preserve"> system </w:t>
      </w:r>
      <w:r w:rsidR="00BD22D5" w:rsidRPr="0094721A">
        <w:rPr>
          <w:rFonts w:asciiTheme="majorHAnsi" w:hAnsiTheme="majorHAnsi"/>
          <w:sz w:val="22"/>
          <w:szCs w:val="22"/>
        </w:rPr>
        <w:t xml:space="preserve">will </w:t>
      </w:r>
      <w:r w:rsidR="008E5EC3" w:rsidRPr="0094721A">
        <w:rPr>
          <w:rFonts w:asciiTheme="majorHAnsi" w:hAnsiTheme="majorHAnsi"/>
          <w:sz w:val="22"/>
          <w:szCs w:val="22"/>
        </w:rPr>
        <w:t xml:space="preserve">follow DFAT relevant M&amp;E standards and </w:t>
      </w:r>
      <w:r w:rsidR="00BD22D5" w:rsidRPr="0094721A">
        <w:rPr>
          <w:rFonts w:asciiTheme="majorHAnsi" w:hAnsiTheme="majorHAnsi"/>
          <w:sz w:val="22"/>
          <w:szCs w:val="22"/>
        </w:rPr>
        <w:t>be strategic by design</w:t>
      </w:r>
      <w:r w:rsidRPr="0094721A">
        <w:rPr>
          <w:rFonts w:asciiTheme="majorHAnsi" w:hAnsiTheme="majorHAnsi"/>
          <w:sz w:val="22"/>
          <w:szCs w:val="22"/>
        </w:rPr>
        <w:t>.</w:t>
      </w:r>
      <w:r w:rsidR="00BD22D5" w:rsidRPr="0094721A">
        <w:rPr>
          <w:rFonts w:asciiTheme="majorHAnsi" w:hAnsiTheme="majorHAnsi"/>
          <w:sz w:val="22"/>
          <w:szCs w:val="22"/>
        </w:rPr>
        <w:t xml:space="preserve"> </w:t>
      </w:r>
      <w:r w:rsidR="0096333E" w:rsidRPr="0094721A">
        <w:rPr>
          <w:rFonts w:asciiTheme="majorHAnsi" w:hAnsiTheme="majorHAnsi"/>
          <w:sz w:val="22"/>
          <w:szCs w:val="22"/>
        </w:rPr>
        <w:t xml:space="preserve">It will </w:t>
      </w:r>
      <w:r w:rsidR="00FB7438" w:rsidRPr="0094721A">
        <w:rPr>
          <w:rFonts w:asciiTheme="majorHAnsi" w:hAnsiTheme="majorHAnsi"/>
          <w:sz w:val="22"/>
          <w:szCs w:val="22"/>
        </w:rPr>
        <w:t>be practical and utilisation</w:t>
      </w:r>
      <w:r w:rsidR="00B54E17" w:rsidRPr="0094721A">
        <w:rPr>
          <w:rFonts w:asciiTheme="majorHAnsi" w:hAnsiTheme="majorHAnsi"/>
          <w:sz w:val="22"/>
          <w:szCs w:val="22"/>
        </w:rPr>
        <w:t>-</w:t>
      </w:r>
      <w:r w:rsidR="00FB7438" w:rsidRPr="0094721A">
        <w:rPr>
          <w:rFonts w:asciiTheme="majorHAnsi" w:hAnsiTheme="majorHAnsi"/>
          <w:sz w:val="22"/>
          <w:szCs w:val="22"/>
        </w:rPr>
        <w:t>focused</w:t>
      </w:r>
      <w:r w:rsidR="00B54E17" w:rsidRPr="0094721A">
        <w:rPr>
          <w:rFonts w:asciiTheme="majorHAnsi" w:hAnsiTheme="majorHAnsi"/>
          <w:sz w:val="22"/>
          <w:szCs w:val="22"/>
        </w:rPr>
        <w:t>,</w:t>
      </w:r>
      <w:r w:rsidR="00FB7438" w:rsidRPr="0094721A">
        <w:rPr>
          <w:rFonts w:asciiTheme="majorHAnsi" w:hAnsiTheme="majorHAnsi"/>
          <w:sz w:val="22"/>
          <w:szCs w:val="22"/>
        </w:rPr>
        <w:t xml:space="preserve"> to infuse a culture of results and learning amongst INOVASI </w:t>
      </w:r>
      <w:r w:rsidR="008E5EC3" w:rsidRPr="0094721A">
        <w:rPr>
          <w:rFonts w:asciiTheme="majorHAnsi" w:hAnsiTheme="majorHAnsi"/>
          <w:sz w:val="22"/>
          <w:szCs w:val="22"/>
        </w:rPr>
        <w:t>implementation team</w:t>
      </w:r>
      <w:r w:rsidR="00D66206" w:rsidRPr="0094721A">
        <w:rPr>
          <w:rFonts w:asciiTheme="majorHAnsi" w:hAnsiTheme="majorHAnsi"/>
          <w:sz w:val="22"/>
          <w:szCs w:val="22"/>
        </w:rPr>
        <w:t xml:space="preserve"> and </w:t>
      </w:r>
      <w:r w:rsidR="00FB7438" w:rsidRPr="0094721A">
        <w:rPr>
          <w:rFonts w:asciiTheme="majorHAnsi" w:hAnsiTheme="majorHAnsi"/>
          <w:sz w:val="22"/>
          <w:szCs w:val="22"/>
        </w:rPr>
        <w:t>stakeholders</w:t>
      </w:r>
      <w:r w:rsidR="0096333E" w:rsidRPr="0094721A">
        <w:rPr>
          <w:rFonts w:asciiTheme="majorHAnsi" w:hAnsiTheme="majorHAnsi"/>
          <w:sz w:val="22"/>
          <w:szCs w:val="22"/>
        </w:rPr>
        <w:t xml:space="preserve">. It will generate evidence of contextual and program performance that can be acted upon </w:t>
      </w:r>
      <w:r w:rsidR="00FB7438" w:rsidRPr="0094721A">
        <w:rPr>
          <w:rFonts w:asciiTheme="majorHAnsi" w:hAnsiTheme="majorHAnsi"/>
          <w:sz w:val="22"/>
          <w:szCs w:val="22"/>
        </w:rPr>
        <w:t xml:space="preserve">and describe ways in which different stakeholders can use </w:t>
      </w:r>
      <w:r w:rsidR="0096333E" w:rsidRPr="0094721A">
        <w:rPr>
          <w:rFonts w:asciiTheme="majorHAnsi" w:hAnsiTheme="majorHAnsi"/>
          <w:sz w:val="22"/>
          <w:szCs w:val="22"/>
        </w:rPr>
        <w:t>such</w:t>
      </w:r>
      <w:r w:rsidR="00FB7438" w:rsidRPr="0094721A">
        <w:rPr>
          <w:rFonts w:asciiTheme="majorHAnsi" w:hAnsiTheme="majorHAnsi"/>
          <w:sz w:val="22"/>
          <w:szCs w:val="22"/>
        </w:rPr>
        <w:t xml:space="preserve"> information. </w:t>
      </w:r>
      <w:r w:rsidR="00303618">
        <w:rPr>
          <w:rFonts w:asciiTheme="majorHAnsi" w:hAnsiTheme="majorHAnsi"/>
          <w:sz w:val="22"/>
          <w:szCs w:val="22"/>
        </w:rPr>
        <w:t xml:space="preserve">It will utilise existing </w:t>
      </w:r>
      <w:r w:rsidR="008824CC">
        <w:rPr>
          <w:rFonts w:asciiTheme="majorHAnsi" w:hAnsiTheme="majorHAnsi"/>
          <w:sz w:val="22"/>
          <w:szCs w:val="22"/>
        </w:rPr>
        <w:t xml:space="preserve">dataset when relevant, </w:t>
      </w:r>
      <w:r w:rsidR="008824CC">
        <w:rPr>
          <w:rFonts w:asciiTheme="majorHAnsi" w:hAnsiTheme="majorHAnsi" w:cstheme="majorHAnsi"/>
          <w:sz w:val="22"/>
          <w:szCs w:val="22"/>
        </w:rPr>
        <w:t>including student</w:t>
      </w:r>
      <w:r w:rsidR="00E51341">
        <w:rPr>
          <w:rFonts w:asciiTheme="majorHAnsi" w:hAnsiTheme="majorHAnsi" w:cstheme="majorHAnsi"/>
          <w:sz w:val="22"/>
          <w:szCs w:val="22"/>
        </w:rPr>
        <w:t>s</w:t>
      </w:r>
      <w:r w:rsidR="008824CC">
        <w:rPr>
          <w:rFonts w:asciiTheme="majorHAnsi" w:hAnsiTheme="majorHAnsi" w:cstheme="majorHAnsi"/>
          <w:sz w:val="22"/>
          <w:szCs w:val="22"/>
        </w:rPr>
        <w:t xml:space="preserve"> and </w:t>
      </w:r>
      <w:r w:rsidR="00536533">
        <w:rPr>
          <w:rFonts w:asciiTheme="majorHAnsi" w:hAnsiTheme="majorHAnsi" w:cstheme="majorHAnsi"/>
          <w:sz w:val="22"/>
          <w:szCs w:val="22"/>
        </w:rPr>
        <w:t>schools’</w:t>
      </w:r>
      <w:r w:rsidR="008824CC">
        <w:rPr>
          <w:rFonts w:asciiTheme="majorHAnsi" w:hAnsiTheme="majorHAnsi" w:cstheme="majorHAnsi"/>
          <w:sz w:val="22"/>
          <w:szCs w:val="22"/>
        </w:rPr>
        <w:t xml:space="preserve"> data (</w:t>
      </w:r>
      <w:r w:rsidR="00C97E15">
        <w:rPr>
          <w:rFonts w:asciiTheme="majorHAnsi" w:hAnsiTheme="majorHAnsi" w:cstheme="majorHAnsi"/>
          <w:sz w:val="22"/>
          <w:szCs w:val="22"/>
        </w:rPr>
        <w:t>e.g.,</w:t>
      </w:r>
      <w:r w:rsidR="008824CC">
        <w:rPr>
          <w:rFonts w:asciiTheme="majorHAnsi" w:hAnsiTheme="majorHAnsi" w:cstheme="majorHAnsi"/>
          <w:sz w:val="22"/>
          <w:szCs w:val="22"/>
        </w:rPr>
        <w:t xml:space="preserve"> the AKM surveys of literacy, numeracy and character outcomes and the survey of the school learning environment), and </w:t>
      </w:r>
      <w:r w:rsidR="00E51341">
        <w:rPr>
          <w:rFonts w:asciiTheme="majorHAnsi" w:hAnsiTheme="majorHAnsi" w:cstheme="majorHAnsi"/>
          <w:sz w:val="22"/>
          <w:szCs w:val="22"/>
        </w:rPr>
        <w:t>undertake</w:t>
      </w:r>
      <w:r w:rsidR="008824CC">
        <w:rPr>
          <w:rFonts w:asciiTheme="majorHAnsi" w:hAnsiTheme="majorHAnsi" w:cstheme="majorHAnsi"/>
          <w:sz w:val="22"/>
          <w:szCs w:val="22"/>
        </w:rPr>
        <w:t xml:space="preserve"> data collection when necessary. </w:t>
      </w:r>
    </w:p>
    <w:p w14:paraId="39653ADF" w14:textId="7188F768" w:rsidR="00096B64" w:rsidRPr="0094721A" w:rsidRDefault="002D1F95" w:rsidP="009223CC">
      <w:pPr>
        <w:tabs>
          <w:tab w:val="left" w:pos="284"/>
        </w:tabs>
        <w:spacing w:after="120" w:line="281" w:lineRule="auto"/>
        <w:rPr>
          <w:rFonts w:asciiTheme="majorHAnsi" w:hAnsiTheme="majorHAnsi"/>
          <w:sz w:val="22"/>
          <w:szCs w:val="22"/>
        </w:rPr>
      </w:pPr>
      <w:r w:rsidRPr="0094721A">
        <w:rPr>
          <w:rFonts w:asciiTheme="majorHAnsi" w:hAnsiTheme="majorHAnsi"/>
          <w:sz w:val="22"/>
          <w:szCs w:val="22"/>
        </w:rPr>
        <w:t xml:space="preserve">The system will </w:t>
      </w:r>
      <w:r w:rsidR="00D66206" w:rsidRPr="0094721A">
        <w:rPr>
          <w:rFonts w:asciiTheme="majorHAnsi" w:hAnsiTheme="majorHAnsi"/>
          <w:sz w:val="22"/>
          <w:szCs w:val="22"/>
        </w:rPr>
        <w:t>include Key Performance Questions and describe the overall methodology to answer them. Th</w:t>
      </w:r>
      <w:r w:rsidR="00E736F1" w:rsidRPr="0094721A">
        <w:rPr>
          <w:rFonts w:asciiTheme="majorHAnsi" w:hAnsiTheme="majorHAnsi"/>
          <w:sz w:val="22"/>
          <w:szCs w:val="22"/>
        </w:rPr>
        <w:t>e</w:t>
      </w:r>
      <w:r w:rsidR="00D66206" w:rsidRPr="0094721A">
        <w:rPr>
          <w:rFonts w:asciiTheme="majorHAnsi" w:hAnsiTheme="majorHAnsi"/>
          <w:sz w:val="22"/>
          <w:szCs w:val="22"/>
        </w:rPr>
        <w:t xml:space="preserve"> </w:t>
      </w:r>
      <w:r w:rsidR="003435C3" w:rsidRPr="0094721A">
        <w:rPr>
          <w:rFonts w:asciiTheme="majorHAnsi" w:hAnsiTheme="majorHAnsi"/>
          <w:sz w:val="22"/>
          <w:szCs w:val="22"/>
        </w:rPr>
        <w:t xml:space="preserve">methodology </w:t>
      </w:r>
      <w:r w:rsidR="00D66206" w:rsidRPr="0094721A">
        <w:rPr>
          <w:rFonts w:asciiTheme="majorHAnsi" w:hAnsiTheme="majorHAnsi"/>
          <w:sz w:val="22"/>
          <w:szCs w:val="22"/>
        </w:rPr>
        <w:t xml:space="preserve">will </w:t>
      </w:r>
      <w:r w:rsidR="00096B64" w:rsidRPr="0094721A">
        <w:rPr>
          <w:rFonts w:asciiTheme="majorHAnsi" w:hAnsiTheme="majorHAnsi"/>
          <w:sz w:val="22"/>
          <w:szCs w:val="22"/>
        </w:rPr>
        <w:t>necessarily include:</w:t>
      </w:r>
    </w:p>
    <w:p w14:paraId="7A9B7175" w14:textId="2D9B6013" w:rsidR="00096B64" w:rsidRPr="0094721A" w:rsidRDefault="00096B64" w:rsidP="008D1844">
      <w:pPr>
        <w:pStyle w:val="ListParagraph"/>
        <w:numPr>
          <w:ilvl w:val="0"/>
          <w:numId w:val="43"/>
        </w:numPr>
        <w:tabs>
          <w:tab w:val="left" w:pos="284"/>
        </w:tabs>
        <w:spacing w:after="120" w:line="281" w:lineRule="auto"/>
        <w:rPr>
          <w:rFonts w:asciiTheme="majorHAnsi" w:hAnsiTheme="majorHAnsi"/>
          <w:sz w:val="22"/>
          <w:szCs w:val="22"/>
        </w:rPr>
      </w:pPr>
      <w:r w:rsidRPr="0094721A">
        <w:rPr>
          <w:rFonts w:asciiTheme="majorHAnsi" w:hAnsiTheme="majorHAnsi"/>
          <w:sz w:val="22"/>
          <w:szCs w:val="22"/>
        </w:rPr>
        <w:t xml:space="preserve">A </w:t>
      </w:r>
      <w:r w:rsidR="0034285A" w:rsidRPr="0094721A">
        <w:rPr>
          <w:rFonts w:asciiTheme="majorHAnsi" w:hAnsiTheme="majorHAnsi"/>
          <w:sz w:val="22"/>
          <w:szCs w:val="22"/>
        </w:rPr>
        <w:t>r</w:t>
      </w:r>
      <w:r w:rsidRPr="0094721A">
        <w:rPr>
          <w:rFonts w:asciiTheme="majorHAnsi" w:hAnsiTheme="majorHAnsi"/>
          <w:sz w:val="22"/>
          <w:szCs w:val="22"/>
        </w:rPr>
        <w:t xml:space="preserve">esults </w:t>
      </w:r>
      <w:r w:rsidR="0034285A" w:rsidRPr="0094721A">
        <w:rPr>
          <w:rFonts w:asciiTheme="majorHAnsi" w:hAnsiTheme="majorHAnsi"/>
          <w:sz w:val="22"/>
          <w:szCs w:val="22"/>
        </w:rPr>
        <w:t>f</w:t>
      </w:r>
      <w:r w:rsidRPr="0094721A">
        <w:rPr>
          <w:rFonts w:asciiTheme="majorHAnsi" w:hAnsiTheme="majorHAnsi"/>
          <w:sz w:val="22"/>
          <w:szCs w:val="22"/>
        </w:rPr>
        <w:t xml:space="preserve">ramework with key performance indicators, </w:t>
      </w:r>
      <w:r w:rsidR="0096333E" w:rsidRPr="0094721A">
        <w:rPr>
          <w:rFonts w:asciiTheme="majorHAnsi" w:hAnsiTheme="majorHAnsi"/>
          <w:sz w:val="22"/>
          <w:szCs w:val="22"/>
        </w:rPr>
        <w:t xml:space="preserve">baseline measures and </w:t>
      </w:r>
      <w:r w:rsidRPr="0094721A">
        <w:rPr>
          <w:rFonts w:asciiTheme="majorHAnsi" w:hAnsiTheme="majorHAnsi"/>
          <w:sz w:val="22"/>
          <w:szCs w:val="22"/>
        </w:rPr>
        <w:t>targ</w:t>
      </w:r>
      <w:r w:rsidR="008E5EC3" w:rsidRPr="0094721A">
        <w:rPr>
          <w:rFonts w:asciiTheme="majorHAnsi" w:hAnsiTheme="majorHAnsi"/>
          <w:sz w:val="22"/>
          <w:szCs w:val="22"/>
        </w:rPr>
        <w:t>e</w:t>
      </w:r>
      <w:r w:rsidRPr="0094721A">
        <w:rPr>
          <w:rFonts w:asciiTheme="majorHAnsi" w:hAnsiTheme="majorHAnsi"/>
          <w:sz w:val="22"/>
          <w:szCs w:val="22"/>
        </w:rPr>
        <w:t>ts</w:t>
      </w:r>
      <w:r w:rsidR="002F7F96" w:rsidRPr="0094721A">
        <w:rPr>
          <w:rFonts w:asciiTheme="majorHAnsi" w:hAnsiTheme="majorHAnsi"/>
          <w:sz w:val="22"/>
          <w:szCs w:val="22"/>
        </w:rPr>
        <w:t>,</w:t>
      </w:r>
      <w:r w:rsidR="0096333E" w:rsidRPr="0094721A">
        <w:rPr>
          <w:rFonts w:asciiTheme="majorHAnsi" w:hAnsiTheme="majorHAnsi"/>
          <w:sz w:val="22"/>
          <w:szCs w:val="22"/>
        </w:rPr>
        <w:t xml:space="preserve"> against which progress at each level of the program logic can be assessed</w:t>
      </w:r>
      <w:r w:rsidRPr="0094721A">
        <w:rPr>
          <w:rFonts w:asciiTheme="majorHAnsi" w:hAnsiTheme="majorHAnsi"/>
          <w:sz w:val="22"/>
          <w:szCs w:val="22"/>
        </w:rPr>
        <w:t xml:space="preserve"> (see preliminary </w:t>
      </w:r>
      <w:r w:rsidR="0034285A" w:rsidRPr="0094721A">
        <w:rPr>
          <w:rFonts w:asciiTheme="majorHAnsi" w:hAnsiTheme="majorHAnsi"/>
          <w:sz w:val="22"/>
          <w:szCs w:val="22"/>
        </w:rPr>
        <w:t>r</w:t>
      </w:r>
      <w:r w:rsidRPr="0094721A">
        <w:rPr>
          <w:rFonts w:asciiTheme="majorHAnsi" w:hAnsiTheme="majorHAnsi"/>
          <w:sz w:val="22"/>
          <w:szCs w:val="22"/>
        </w:rPr>
        <w:t xml:space="preserve">esults </w:t>
      </w:r>
      <w:r w:rsidR="0034285A" w:rsidRPr="0094721A">
        <w:rPr>
          <w:rFonts w:asciiTheme="majorHAnsi" w:hAnsiTheme="majorHAnsi"/>
          <w:sz w:val="22"/>
          <w:szCs w:val="22"/>
        </w:rPr>
        <w:t>f</w:t>
      </w:r>
      <w:r w:rsidRPr="0094721A">
        <w:rPr>
          <w:rFonts w:asciiTheme="majorHAnsi" w:hAnsiTheme="majorHAnsi"/>
          <w:sz w:val="22"/>
          <w:szCs w:val="22"/>
        </w:rPr>
        <w:t xml:space="preserve">ramework in Annex </w:t>
      </w:r>
      <w:r w:rsidR="00475A9D">
        <w:rPr>
          <w:rFonts w:asciiTheme="majorHAnsi" w:hAnsiTheme="majorHAnsi"/>
          <w:sz w:val="22"/>
          <w:szCs w:val="22"/>
        </w:rPr>
        <w:t>2</w:t>
      </w:r>
      <w:r w:rsidR="00391382" w:rsidRPr="0094721A">
        <w:rPr>
          <w:rStyle w:val="FootnoteReference"/>
          <w:rFonts w:asciiTheme="majorHAnsi" w:hAnsiTheme="majorHAnsi"/>
          <w:sz w:val="22"/>
          <w:szCs w:val="22"/>
        </w:rPr>
        <w:footnoteReference w:id="42"/>
      </w:r>
      <w:r w:rsidRPr="0094721A">
        <w:rPr>
          <w:rFonts w:asciiTheme="majorHAnsi" w:hAnsiTheme="majorHAnsi"/>
          <w:sz w:val="22"/>
          <w:szCs w:val="22"/>
        </w:rPr>
        <w:t>)</w:t>
      </w:r>
      <w:r w:rsidR="00774FD1" w:rsidRPr="0094721A">
        <w:rPr>
          <w:rFonts w:asciiTheme="majorHAnsi" w:hAnsiTheme="majorHAnsi"/>
          <w:sz w:val="22"/>
          <w:szCs w:val="22"/>
        </w:rPr>
        <w:t>.</w:t>
      </w:r>
    </w:p>
    <w:p w14:paraId="3FCD17DB" w14:textId="527BE4B4" w:rsidR="00774FD1" w:rsidRPr="0094721A" w:rsidRDefault="00F36615" w:rsidP="008D1844">
      <w:pPr>
        <w:pStyle w:val="ListParagraph"/>
        <w:numPr>
          <w:ilvl w:val="0"/>
          <w:numId w:val="43"/>
        </w:numPr>
        <w:tabs>
          <w:tab w:val="left" w:pos="284"/>
        </w:tabs>
        <w:spacing w:after="120" w:line="281" w:lineRule="auto"/>
        <w:rPr>
          <w:rFonts w:asciiTheme="majorHAnsi" w:hAnsiTheme="majorHAnsi"/>
          <w:sz w:val="22"/>
          <w:szCs w:val="22"/>
        </w:rPr>
      </w:pPr>
      <w:r w:rsidRPr="0094721A">
        <w:rPr>
          <w:rFonts w:asciiTheme="majorHAnsi" w:hAnsiTheme="majorHAnsi"/>
          <w:sz w:val="22"/>
          <w:szCs w:val="22"/>
        </w:rPr>
        <w:t>M</w:t>
      </w:r>
      <w:r w:rsidR="00774FD1" w:rsidRPr="0094721A">
        <w:rPr>
          <w:rFonts w:asciiTheme="majorHAnsi" w:hAnsiTheme="majorHAnsi"/>
          <w:sz w:val="22"/>
          <w:szCs w:val="22"/>
        </w:rPr>
        <w:t xml:space="preserve">onitoring activities, including data collection tools and analytical processes, to measure, describe </w:t>
      </w:r>
      <w:r w:rsidRPr="0094721A">
        <w:rPr>
          <w:rFonts w:asciiTheme="majorHAnsi" w:hAnsiTheme="majorHAnsi"/>
          <w:sz w:val="22"/>
          <w:szCs w:val="22"/>
        </w:rPr>
        <w:t xml:space="preserve">program inputs, </w:t>
      </w:r>
      <w:r w:rsidR="00E41FC5" w:rsidRPr="0094721A">
        <w:rPr>
          <w:rFonts w:asciiTheme="majorHAnsi" w:hAnsiTheme="majorHAnsi"/>
          <w:sz w:val="22"/>
          <w:szCs w:val="22"/>
        </w:rPr>
        <w:t>activities,</w:t>
      </w:r>
      <w:r w:rsidRPr="0094721A">
        <w:rPr>
          <w:rFonts w:asciiTheme="majorHAnsi" w:hAnsiTheme="majorHAnsi"/>
          <w:sz w:val="22"/>
          <w:szCs w:val="22"/>
        </w:rPr>
        <w:t xml:space="preserve"> and outputs</w:t>
      </w:r>
      <w:r w:rsidR="00C97E15">
        <w:rPr>
          <w:rFonts w:asciiTheme="majorHAnsi" w:hAnsiTheme="majorHAnsi"/>
          <w:sz w:val="22"/>
          <w:szCs w:val="22"/>
        </w:rPr>
        <w:t>.</w:t>
      </w:r>
    </w:p>
    <w:p w14:paraId="2BF58C15" w14:textId="4BF986F5" w:rsidR="00096B64" w:rsidRPr="00974377" w:rsidRDefault="00F36615" w:rsidP="008D1844">
      <w:pPr>
        <w:pStyle w:val="ListParagraph"/>
        <w:numPr>
          <w:ilvl w:val="0"/>
          <w:numId w:val="43"/>
        </w:numPr>
        <w:tabs>
          <w:tab w:val="left" w:pos="284"/>
        </w:tabs>
        <w:spacing w:after="120" w:line="281" w:lineRule="auto"/>
        <w:rPr>
          <w:rFonts w:asciiTheme="majorHAnsi" w:hAnsiTheme="majorHAnsi"/>
          <w:sz w:val="22"/>
          <w:szCs w:val="22"/>
        </w:rPr>
      </w:pPr>
      <w:r w:rsidRPr="0094721A">
        <w:rPr>
          <w:rFonts w:asciiTheme="majorHAnsi" w:hAnsiTheme="majorHAnsi"/>
          <w:sz w:val="22"/>
          <w:szCs w:val="22"/>
        </w:rPr>
        <w:t>E</w:t>
      </w:r>
      <w:r w:rsidR="002F7F96" w:rsidRPr="0094721A">
        <w:rPr>
          <w:rFonts w:asciiTheme="majorHAnsi" w:hAnsiTheme="majorHAnsi"/>
          <w:sz w:val="22"/>
          <w:szCs w:val="22"/>
        </w:rPr>
        <w:t>valuation studies</w:t>
      </w:r>
      <w:r w:rsidR="00774FD1" w:rsidRPr="0094721A">
        <w:rPr>
          <w:rFonts w:asciiTheme="majorHAnsi" w:hAnsiTheme="majorHAnsi"/>
          <w:sz w:val="22"/>
          <w:szCs w:val="22"/>
        </w:rPr>
        <w:t xml:space="preserve"> </w:t>
      </w:r>
      <w:r w:rsidR="00D66206" w:rsidRPr="0094721A">
        <w:rPr>
          <w:rFonts w:asciiTheme="majorHAnsi" w:hAnsiTheme="majorHAnsi"/>
          <w:sz w:val="22"/>
          <w:szCs w:val="22"/>
        </w:rPr>
        <w:t xml:space="preserve">to </w:t>
      </w:r>
      <w:r w:rsidR="00774FD1" w:rsidRPr="0094721A">
        <w:rPr>
          <w:rFonts w:asciiTheme="majorHAnsi" w:hAnsiTheme="majorHAnsi"/>
          <w:sz w:val="22"/>
          <w:szCs w:val="22"/>
        </w:rPr>
        <w:t>assess</w:t>
      </w:r>
      <w:r w:rsidR="00D66206" w:rsidRPr="0094721A">
        <w:rPr>
          <w:rFonts w:asciiTheme="majorHAnsi" w:hAnsiTheme="majorHAnsi"/>
          <w:sz w:val="22"/>
          <w:szCs w:val="22"/>
        </w:rPr>
        <w:t xml:space="preserve"> the program’s contribution to </w:t>
      </w:r>
      <w:r w:rsidR="002F7F96" w:rsidRPr="0094721A">
        <w:rPr>
          <w:rFonts w:asciiTheme="majorHAnsi" w:hAnsiTheme="majorHAnsi"/>
          <w:sz w:val="22"/>
          <w:szCs w:val="22"/>
        </w:rPr>
        <w:t>the implementation of relevant inclusive education policies and systems and the occurrence of inclusive teaching and management practices in targeted</w:t>
      </w:r>
      <w:r w:rsidR="002F7F96" w:rsidRPr="00974377">
        <w:rPr>
          <w:rFonts w:asciiTheme="majorHAnsi" w:hAnsiTheme="majorHAnsi"/>
          <w:sz w:val="22"/>
          <w:szCs w:val="22"/>
        </w:rPr>
        <w:t xml:space="preserve"> </w:t>
      </w:r>
      <w:r w:rsidR="00C0294D">
        <w:rPr>
          <w:rFonts w:asciiTheme="majorHAnsi" w:hAnsiTheme="majorHAnsi"/>
          <w:sz w:val="22"/>
          <w:szCs w:val="22"/>
        </w:rPr>
        <w:t>districts</w:t>
      </w:r>
      <w:r w:rsidR="00D66206" w:rsidRPr="00974377">
        <w:rPr>
          <w:rFonts w:asciiTheme="majorHAnsi" w:hAnsiTheme="majorHAnsi"/>
          <w:sz w:val="22"/>
          <w:szCs w:val="22"/>
        </w:rPr>
        <w:t xml:space="preserve">, and ultimately to the extent to which, and how Indonesian students’ learning and achievements of foundational skills improve. </w:t>
      </w:r>
    </w:p>
    <w:p w14:paraId="0F5A3094" w14:textId="1E3A2965" w:rsidR="00774FD1" w:rsidRPr="00974377" w:rsidRDefault="00E736F1" w:rsidP="008D1844">
      <w:pPr>
        <w:pStyle w:val="ListParagraph"/>
        <w:numPr>
          <w:ilvl w:val="0"/>
          <w:numId w:val="43"/>
        </w:numPr>
        <w:tabs>
          <w:tab w:val="left" w:pos="284"/>
        </w:tabs>
        <w:spacing w:after="120" w:line="281" w:lineRule="auto"/>
        <w:rPr>
          <w:rFonts w:asciiTheme="majorHAnsi" w:hAnsiTheme="majorHAnsi"/>
          <w:sz w:val="22"/>
          <w:szCs w:val="22"/>
        </w:rPr>
      </w:pPr>
      <w:r w:rsidRPr="00974377">
        <w:rPr>
          <w:rFonts w:asciiTheme="majorHAnsi" w:hAnsiTheme="majorHAnsi"/>
          <w:sz w:val="22"/>
          <w:szCs w:val="22"/>
        </w:rPr>
        <w:t>A</w:t>
      </w:r>
      <w:r w:rsidR="00096B64" w:rsidRPr="00974377">
        <w:rPr>
          <w:rFonts w:asciiTheme="majorHAnsi" w:hAnsiTheme="majorHAnsi"/>
          <w:sz w:val="22"/>
          <w:szCs w:val="22"/>
        </w:rPr>
        <w:t xml:space="preserve"> research agenda that outlines </w:t>
      </w:r>
      <w:r w:rsidR="00774FD1" w:rsidRPr="00974377">
        <w:rPr>
          <w:rFonts w:asciiTheme="majorHAnsi" w:hAnsiTheme="majorHAnsi"/>
          <w:sz w:val="22"/>
          <w:szCs w:val="22"/>
        </w:rPr>
        <w:t xml:space="preserve">contextual </w:t>
      </w:r>
      <w:r w:rsidR="00096B64" w:rsidRPr="00974377">
        <w:rPr>
          <w:rFonts w:asciiTheme="majorHAnsi" w:hAnsiTheme="majorHAnsi"/>
          <w:sz w:val="22"/>
          <w:szCs w:val="22"/>
        </w:rPr>
        <w:t xml:space="preserve">studies </w:t>
      </w:r>
      <w:r w:rsidR="00774FD1" w:rsidRPr="00974377">
        <w:rPr>
          <w:rFonts w:asciiTheme="majorHAnsi" w:hAnsiTheme="majorHAnsi"/>
          <w:sz w:val="22"/>
          <w:szCs w:val="22"/>
        </w:rPr>
        <w:t>to analyse relevant issues and trends at national and subnational levels</w:t>
      </w:r>
      <w:r w:rsidR="00C0294D">
        <w:rPr>
          <w:rFonts w:asciiTheme="majorHAnsi" w:hAnsiTheme="majorHAnsi"/>
          <w:sz w:val="22"/>
          <w:szCs w:val="22"/>
        </w:rPr>
        <w:t xml:space="preserve">, </w:t>
      </w:r>
      <w:r w:rsidR="00C0294D" w:rsidRPr="00C0294D">
        <w:rPr>
          <w:rFonts w:asciiTheme="majorHAnsi" w:hAnsiTheme="majorHAnsi"/>
          <w:sz w:val="22"/>
          <w:szCs w:val="22"/>
        </w:rPr>
        <w:t xml:space="preserve">some of </w:t>
      </w:r>
      <w:r w:rsidR="00C0294D">
        <w:rPr>
          <w:rFonts w:asciiTheme="majorHAnsi" w:hAnsiTheme="majorHAnsi"/>
          <w:sz w:val="22"/>
          <w:szCs w:val="22"/>
        </w:rPr>
        <w:t>which</w:t>
      </w:r>
      <w:r w:rsidR="00C0294D" w:rsidRPr="00C0294D">
        <w:rPr>
          <w:rFonts w:asciiTheme="majorHAnsi" w:hAnsiTheme="majorHAnsi"/>
          <w:sz w:val="22"/>
          <w:szCs w:val="22"/>
        </w:rPr>
        <w:t xml:space="preserve"> could be undertaken in collaboration with </w:t>
      </w:r>
      <w:r w:rsidR="00C0294D">
        <w:rPr>
          <w:rFonts w:asciiTheme="majorHAnsi" w:hAnsiTheme="majorHAnsi"/>
          <w:sz w:val="22"/>
          <w:szCs w:val="22"/>
        </w:rPr>
        <w:t xml:space="preserve">other development partners such as </w:t>
      </w:r>
      <w:r w:rsidR="00C0294D" w:rsidRPr="00C0294D">
        <w:rPr>
          <w:rFonts w:asciiTheme="majorHAnsi" w:hAnsiTheme="majorHAnsi"/>
          <w:sz w:val="22"/>
          <w:szCs w:val="22"/>
        </w:rPr>
        <w:t xml:space="preserve">UNCIEF, </w:t>
      </w:r>
      <w:proofErr w:type="spellStart"/>
      <w:r w:rsidR="00C0294D" w:rsidRPr="00C0294D">
        <w:rPr>
          <w:rFonts w:asciiTheme="majorHAnsi" w:hAnsiTheme="majorHAnsi"/>
          <w:sz w:val="22"/>
          <w:szCs w:val="22"/>
        </w:rPr>
        <w:t>Tanoto</w:t>
      </w:r>
      <w:proofErr w:type="spellEnd"/>
      <w:r w:rsidR="00C0294D" w:rsidRPr="00C0294D">
        <w:rPr>
          <w:rFonts w:asciiTheme="majorHAnsi" w:hAnsiTheme="majorHAnsi"/>
          <w:sz w:val="22"/>
          <w:szCs w:val="22"/>
        </w:rPr>
        <w:t xml:space="preserve"> </w:t>
      </w:r>
      <w:r w:rsidR="00C0294D">
        <w:rPr>
          <w:rFonts w:asciiTheme="majorHAnsi" w:hAnsiTheme="majorHAnsi"/>
          <w:sz w:val="22"/>
          <w:szCs w:val="22"/>
        </w:rPr>
        <w:t xml:space="preserve">Foundation </w:t>
      </w:r>
      <w:r w:rsidR="00C0294D" w:rsidRPr="00C0294D">
        <w:rPr>
          <w:rFonts w:asciiTheme="majorHAnsi" w:hAnsiTheme="majorHAnsi"/>
          <w:sz w:val="22"/>
          <w:szCs w:val="22"/>
        </w:rPr>
        <w:t>and World Bank</w:t>
      </w:r>
      <w:r w:rsidR="00096B64" w:rsidRPr="00974377">
        <w:rPr>
          <w:rFonts w:asciiTheme="majorHAnsi" w:hAnsiTheme="majorHAnsi"/>
          <w:sz w:val="22"/>
          <w:szCs w:val="22"/>
        </w:rPr>
        <w:t>.</w:t>
      </w:r>
      <w:r w:rsidR="00774FD1" w:rsidRPr="00974377">
        <w:rPr>
          <w:rFonts w:asciiTheme="majorHAnsi" w:hAnsiTheme="majorHAnsi"/>
          <w:sz w:val="22"/>
          <w:szCs w:val="22"/>
        </w:rPr>
        <w:t xml:space="preserve"> </w:t>
      </w:r>
    </w:p>
    <w:p w14:paraId="49F19DE7" w14:textId="7FEBD5D3" w:rsidR="00774FD1" w:rsidRPr="00974377" w:rsidRDefault="00774FD1" w:rsidP="008D1844">
      <w:pPr>
        <w:pStyle w:val="ListParagraph"/>
        <w:numPr>
          <w:ilvl w:val="0"/>
          <w:numId w:val="43"/>
        </w:numPr>
        <w:tabs>
          <w:tab w:val="left" w:pos="284"/>
        </w:tabs>
        <w:spacing w:after="120" w:line="281" w:lineRule="auto"/>
        <w:rPr>
          <w:rFonts w:asciiTheme="majorHAnsi" w:hAnsiTheme="majorHAnsi"/>
          <w:sz w:val="22"/>
          <w:szCs w:val="22"/>
        </w:rPr>
      </w:pPr>
      <w:r w:rsidRPr="00974377">
        <w:rPr>
          <w:rFonts w:asciiTheme="majorHAnsi" w:hAnsiTheme="majorHAnsi"/>
          <w:sz w:val="22"/>
          <w:szCs w:val="22"/>
        </w:rPr>
        <w:t xml:space="preserve">A schedule of learning and reflection events, including </w:t>
      </w:r>
      <w:r w:rsidR="00F36615" w:rsidRPr="00974377">
        <w:rPr>
          <w:rFonts w:asciiTheme="majorHAnsi" w:hAnsiTheme="majorHAnsi"/>
          <w:sz w:val="22"/>
          <w:szCs w:val="22"/>
        </w:rPr>
        <w:t xml:space="preserve">specific outputs and/or protocols to </w:t>
      </w:r>
      <w:r w:rsidR="006F7781" w:rsidRPr="00974377">
        <w:rPr>
          <w:rFonts w:asciiTheme="majorHAnsi" w:hAnsiTheme="majorHAnsi"/>
          <w:sz w:val="22"/>
          <w:szCs w:val="22"/>
        </w:rPr>
        <w:t>disseminate lessons</w:t>
      </w:r>
      <w:r w:rsidR="00027062" w:rsidRPr="00974377">
        <w:rPr>
          <w:rFonts w:asciiTheme="majorHAnsi" w:hAnsiTheme="majorHAnsi"/>
          <w:sz w:val="22"/>
          <w:szCs w:val="22"/>
        </w:rPr>
        <w:t xml:space="preserve"> (</w:t>
      </w:r>
      <w:r w:rsidR="00805E00" w:rsidRPr="00974377">
        <w:rPr>
          <w:rFonts w:asciiTheme="majorHAnsi" w:hAnsiTheme="majorHAnsi"/>
          <w:sz w:val="22"/>
          <w:szCs w:val="22"/>
        </w:rPr>
        <w:t>e.g.,</w:t>
      </w:r>
      <w:r w:rsidR="00027062" w:rsidRPr="00974377">
        <w:rPr>
          <w:rFonts w:asciiTheme="majorHAnsi" w:hAnsiTheme="majorHAnsi"/>
          <w:sz w:val="22"/>
          <w:szCs w:val="22"/>
        </w:rPr>
        <w:t xml:space="preserve"> Strategy Testing Exercise – see below)</w:t>
      </w:r>
      <w:r w:rsidRPr="00974377">
        <w:rPr>
          <w:rFonts w:asciiTheme="majorHAnsi" w:hAnsiTheme="majorHAnsi"/>
          <w:sz w:val="22"/>
          <w:szCs w:val="22"/>
        </w:rPr>
        <w:t xml:space="preserve">. </w:t>
      </w:r>
    </w:p>
    <w:p w14:paraId="3BA128D9" w14:textId="2E78A7FC" w:rsidR="00096B64" w:rsidRPr="00974377" w:rsidRDefault="00F36615" w:rsidP="008D1844">
      <w:pPr>
        <w:pStyle w:val="ListParagraph"/>
        <w:numPr>
          <w:ilvl w:val="0"/>
          <w:numId w:val="43"/>
        </w:numPr>
        <w:tabs>
          <w:tab w:val="left" w:pos="284"/>
        </w:tabs>
        <w:spacing w:after="120" w:line="281" w:lineRule="auto"/>
        <w:rPr>
          <w:rFonts w:asciiTheme="majorHAnsi" w:hAnsiTheme="majorHAnsi"/>
          <w:sz w:val="22"/>
          <w:szCs w:val="22"/>
        </w:rPr>
      </w:pPr>
      <w:r w:rsidRPr="00974377">
        <w:rPr>
          <w:rFonts w:asciiTheme="majorHAnsi" w:hAnsiTheme="majorHAnsi"/>
          <w:sz w:val="22"/>
          <w:szCs w:val="22"/>
        </w:rPr>
        <w:t>Specific responsibilities, r</w:t>
      </w:r>
      <w:r w:rsidR="002D1F95" w:rsidRPr="00974377">
        <w:rPr>
          <w:rFonts w:asciiTheme="majorHAnsi" w:hAnsiTheme="majorHAnsi"/>
          <w:sz w:val="22"/>
          <w:szCs w:val="22"/>
        </w:rPr>
        <w:t>esources</w:t>
      </w:r>
      <w:r w:rsidR="0096333E" w:rsidRPr="00974377">
        <w:rPr>
          <w:rFonts w:asciiTheme="majorHAnsi" w:hAnsiTheme="majorHAnsi"/>
          <w:sz w:val="22"/>
          <w:szCs w:val="22"/>
        </w:rPr>
        <w:t xml:space="preserve"> requirement</w:t>
      </w:r>
      <w:r w:rsidRPr="00974377">
        <w:rPr>
          <w:rFonts w:asciiTheme="majorHAnsi" w:hAnsiTheme="majorHAnsi"/>
          <w:sz w:val="22"/>
          <w:szCs w:val="22"/>
        </w:rPr>
        <w:t>s</w:t>
      </w:r>
      <w:r w:rsidR="00096B64" w:rsidRPr="00974377">
        <w:rPr>
          <w:rFonts w:asciiTheme="majorHAnsi" w:hAnsiTheme="majorHAnsi"/>
          <w:sz w:val="22"/>
          <w:szCs w:val="22"/>
        </w:rPr>
        <w:t xml:space="preserve"> and</w:t>
      </w:r>
      <w:r w:rsidR="002D1F95" w:rsidRPr="00974377">
        <w:rPr>
          <w:rFonts w:asciiTheme="majorHAnsi" w:hAnsiTheme="majorHAnsi"/>
          <w:sz w:val="22"/>
          <w:szCs w:val="22"/>
        </w:rPr>
        <w:t xml:space="preserve"> </w:t>
      </w:r>
      <w:r w:rsidR="0096333E" w:rsidRPr="00974377">
        <w:rPr>
          <w:rFonts w:asciiTheme="majorHAnsi" w:hAnsiTheme="majorHAnsi"/>
          <w:sz w:val="22"/>
          <w:szCs w:val="22"/>
        </w:rPr>
        <w:t xml:space="preserve">a </w:t>
      </w:r>
      <w:r w:rsidR="002D1F95" w:rsidRPr="00974377">
        <w:rPr>
          <w:rFonts w:asciiTheme="majorHAnsi" w:hAnsiTheme="majorHAnsi"/>
          <w:sz w:val="22"/>
          <w:szCs w:val="22"/>
        </w:rPr>
        <w:t>budget</w:t>
      </w:r>
      <w:r w:rsidR="002F7F96" w:rsidRPr="00974377">
        <w:rPr>
          <w:rFonts w:asciiTheme="majorHAnsi" w:hAnsiTheme="majorHAnsi"/>
          <w:sz w:val="22"/>
          <w:szCs w:val="22"/>
        </w:rPr>
        <w:t>.</w:t>
      </w:r>
    </w:p>
    <w:p w14:paraId="6A06F689" w14:textId="77777777" w:rsidR="0095529A" w:rsidRPr="00974377" w:rsidRDefault="0095529A" w:rsidP="008D1844">
      <w:pPr>
        <w:pStyle w:val="ListParagraph"/>
        <w:numPr>
          <w:ilvl w:val="0"/>
          <w:numId w:val="43"/>
        </w:numPr>
        <w:tabs>
          <w:tab w:val="left" w:pos="284"/>
        </w:tabs>
        <w:spacing w:after="120" w:line="281" w:lineRule="auto"/>
        <w:rPr>
          <w:rFonts w:asciiTheme="majorHAnsi" w:hAnsiTheme="majorHAnsi"/>
          <w:sz w:val="22"/>
          <w:szCs w:val="22"/>
        </w:rPr>
      </w:pPr>
      <w:r w:rsidRPr="00974377">
        <w:rPr>
          <w:rFonts w:asciiTheme="majorHAnsi" w:hAnsiTheme="majorHAnsi"/>
          <w:sz w:val="22"/>
          <w:szCs w:val="22"/>
        </w:rPr>
        <w:t>A timeline with key activities and deliverables.</w:t>
      </w:r>
    </w:p>
    <w:p w14:paraId="58004051" w14:textId="77777777" w:rsidR="00F36615" w:rsidRPr="00974377" w:rsidRDefault="002F7F96" w:rsidP="008D1844">
      <w:pPr>
        <w:pStyle w:val="ListParagraph"/>
        <w:numPr>
          <w:ilvl w:val="0"/>
          <w:numId w:val="43"/>
        </w:numPr>
        <w:tabs>
          <w:tab w:val="left" w:pos="284"/>
        </w:tabs>
        <w:spacing w:after="120" w:line="281" w:lineRule="auto"/>
        <w:rPr>
          <w:rFonts w:asciiTheme="majorHAnsi" w:hAnsiTheme="majorHAnsi"/>
          <w:sz w:val="22"/>
          <w:szCs w:val="22"/>
        </w:rPr>
      </w:pPr>
      <w:r w:rsidRPr="00974377">
        <w:rPr>
          <w:rFonts w:asciiTheme="majorHAnsi" w:hAnsiTheme="majorHAnsi"/>
          <w:sz w:val="22"/>
          <w:szCs w:val="22"/>
        </w:rPr>
        <w:t>A</w:t>
      </w:r>
      <w:r w:rsidR="008413E4" w:rsidRPr="00974377">
        <w:rPr>
          <w:rFonts w:asciiTheme="majorHAnsi" w:hAnsiTheme="majorHAnsi"/>
          <w:sz w:val="22"/>
          <w:szCs w:val="22"/>
        </w:rPr>
        <w:t xml:space="preserve"> </w:t>
      </w:r>
      <w:r w:rsidRPr="00974377">
        <w:rPr>
          <w:rFonts w:asciiTheme="majorHAnsi" w:hAnsiTheme="majorHAnsi"/>
          <w:sz w:val="22"/>
          <w:szCs w:val="22"/>
        </w:rPr>
        <w:t>reporting framework that include</w:t>
      </w:r>
      <w:r w:rsidR="00D87E0F" w:rsidRPr="00974377">
        <w:rPr>
          <w:rFonts w:asciiTheme="majorHAnsi" w:hAnsiTheme="majorHAnsi"/>
          <w:sz w:val="22"/>
          <w:szCs w:val="22"/>
        </w:rPr>
        <w:t>s</w:t>
      </w:r>
      <w:r w:rsidRPr="00974377">
        <w:rPr>
          <w:rFonts w:asciiTheme="majorHAnsi" w:hAnsiTheme="majorHAnsi"/>
          <w:sz w:val="22"/>
          <w:szCs w:val="22"/>
        </w:rPr>
        <w:t xml:space="preserve"> a </w:t>
      </w:r>
      <w:r w:rsidR="008413E4" w:rsidRPr="00974377">
        <w:rPr>
          <w:rFonts w:asciiTheme="majorHAnsi" w:hAnsiTheme="majorHAnsi"/>
          <w:sz w:val="22"/>
          <w:szCs w:val="22"/>
        </w:rPr>
        <w:t>list of deliverables</w:t>
      </w:r>
      <w:r w:rsidRPr="00974377">
        <w:rPr>
          <w:rFonts w:asciiTheme="majorHAnsi" w:hAnsiTheme="majorHAnsi"/>
          <w:sz w:val="22"/>
          <w:szCs w:val="22"/>
        </w:rPr>
        <w:t xml:space="preserve"> and information sharing event</w:t>
      </w:r>
      <w:r w:rsidR="00D87E0F" w:rsidRPr="00974377">
        <w:rPr>
          <w:rFonts w:asciiTheme="majorHAnsi" w:hAnsiTheme="majorHAnsi"/>
          <w:sz w:val="22"/>
          <w:szCs w:val="22"/>
        </w:rPr>
        <w:t>s</w:t>
      </w:r>
      <w:r w:rsidR="008413E4" w:rsidRPr="00974377">
        <w:rPr>
          <w:rFonts w:asciiTheme="majorHAnsi" w:hAnsiTheme="majorHAnsi"/>
          <w:sz w:val="22"/>
          <w:szCs w:val="22"/>
        </w:rPr>
        <w:t>, including periodic reports for the NSC</w:t>
      </w:r>
      <w:r w:rsidRPr="00974377">
        <w:rPr>
          <w:rFonts w:asciiTheme="majorHAnsi" w:hAnsiTheme="majorHAnsi"/>
          <w:sz w:val="22"/>
          <w:szCs w:val="22"/>
        </w:rPr>
        <w:t>.</w:t>
      </w:r>
    </w:p>
    <w:p w14:paraId="792035FE" w14:textId="3B866ECF" w:rsidR="002F7F96" w:rsidRPr="0094721A" w:rsidRDefault="0095529A" w:rsidP="009223CC">
      <w:pPr>
        <w:tabs>
          <w:tab w:val="left" w:pos="284"/>
        </w:tabs>
        <w:spacing w:after="120" w:line="281" w:lineRule="auto"/>
        <w:rPr>
          <w:rFonts w:asciiTheme="majorHAnsi" w:hAnsiTheme="majorHAnsi"/>
          <w:sz w:val="22"/>
          <w:szCs w:val="22"/>
        </w:rPr>
      </w:pPr>
      <w:r>
        <w:rPr>
          <w:rFonts w:asciiTheme="majorHAnsi" w:hAnsiTheme="majorHAnsi"/>
          <w:sz w:val="22"/>
          <w:szCs w:val="22"/>
        </w:rPr>
        <w:t>B</w:t>
      </w:r>
      <w:r w:rsidR="00D66206" w:rsidRPr="00974377">
        <w:rPr>
          <w:rFonts w:asciiTheme="majorHAnsi" w:hAnsiTheme="majorHAnsi"/>
          <w:sz w:val="22"/>
          <w:szCs w:val="22"/>
        </w:rPr>
        <w:t xml:space="preserve">eyond producing disaggregated data by gender, disability and ethnicity, the </w:t>
      </w:r>
      <w:r w:rsidR="00774FD1" w:rsidRPr="00974377">
        <w:rPr>
          <w:rFonts w:asciiTheme="majorHAnsi" w:hAnsiTheme="majorHAnsi"/>
          <w:sz w:val="22"/>
          <w:szCs w:val="22"/>
        </w:rPr>
        <w:t>MERL</w:t>
      </w:r>
      <w:r w:rsidR="00D66206" w:rsidRPr="00974377">
        <w:rPr>
          <w:rFonts w:asciiTheme="majorHAnsi" w:hAnsiTheme="majorHAnsi"/>
          <w:sz w:val="22"/>
          <w:szCs w:val="22"/>
        </w:rPr>
        <w:t xml:space="preserve"> system will enable the tracking of the intended and unintended gender equality and inclusion dimensions of the program, including changes in gender norms and power distribution</w:t>
      </w:r>
      <w:r>
        <w:rPr>
          <w:rFonts w:asciiTheme="majorHAnsi" w:hAnsiTheme="majorHAnsi"/>
          <w:sz w:val="22"/>
          <w:szCs w:val="22"/>
        </w:rPr>
        <w:t>,</w:t>
      </w:r>
      <w:r w:rsidR="00D66206" w:rsidRPr="00974377">
        <w:rPr>
          <w:rFonts w:asciiTheme="majorHAnsi" w:hAnsiTheme="majorHAnsi"/>
          <w:sz w:val="22"/>
          <w:szCs w:val="22"/>
        </w:rPr>
        <w:t xml:space="preserve"> and the extent to which people with disabilities </w:t>
      </w:r>
      <w:r w:rsidR="00D66206" w:rsidRPr="0094721A">
        <w:rPr>
          <w:rFonts w:asciiTheme="majorHAnsi" w:hAnsiTheme="majorHAnsi"/>
          <w:sz w:val="22"/>
          <w:szCs w:val="22"/>
        </w:rPr>
        <w:t xml:space="preserve">are actively participating in and benefiting from the program. Based on the GEDSI findings, it will identify actions to improve and address unintended consequences and risks. </w:t>
      </w:r>
    </w:p>
    <w:p w14:paraId="41C9625B" w14:textId="77777777" w:rsidR="008932BF" w:rsidRPr="0094721A" w:rsidRDefault="008932BF" w:rsidP="008D1844">
      <w:pPr>
        <w:pStyle w:val="ListParagraph"/>
        <w:numPr>
          <w:ilvl w:val="0"/>
          <w:numId w:val="16"/>
        </w:numPr>
        <w:tabs>
          <w:tab w:val="left" w:pos="284"/>
        </w:tabs>
        <w:spacing w:after="120" w:line="281" w:lineRule="auto"/>
        <w:rPr>
          <w:rFonts w:asciiTheme="majorHAnsi" w:hAnsiTheme="majorHAnsi"/>
          <w:sz w:val="22"/>
          <w:szCs w:val="22"/>
        </w:rPr>
      </w:pPr>
      <w:r w:rsidRPr="0094721A">
        <w:rPr>
          <w:rFonts w:asciiTheme="majorHAnsi" w:hAnsiTheme="majorHAnsi"/>
          <w:sz w:val="22"/>
          <w:szCs w:val="22"/>
        </w:rPr>
        <w:t xml:space="preserve">Key Performance Questions </w:t>
      </w:r>
    </w:p>
    <w:p w14:paraId="51896B70" w14:textId="73A5E061" w:rsidR="008932BF" w:rsidRPr="00974377" w:rsidRDefault="008932BF" w:rsidP="009223CC">
      <w:pPr>
        <w:tabs>
          <w:tab w:val="left" w:pos="284"/>
        </w:tabs>
        <w:spacing w:after="120" w:line="281" w:lineRule="auto"/>
        <w:rPr>
          <w:rFonts w:asciiTheme="majorHAnsi" w:hAnsiTheme="majorHAnsi"/>
          <w:sz w:val="22"/>
          <w:szCs w:val="22"/>
        </w:rPr>
      </w:pPr>
      <w:r w:rsidRPr="0094721A">
        <w:rPr>
          <w:rFonts w:asciiTheme="majorHAnsi" w:hAnsiTheme="majorHAnsi"/>
          <w:sz w:val="22"/>
          <w:szCs w:val="22"/>
        </w:rPr>
        <w:lastRenderedPageBreak/>
        <w:t xml:space="preserve">The </w:t>
      </w:r>
      <w:r w:rsidR="00774FD1" w:rsidRPr="0094721A">
        <w:rPr>
          <w:rFonts w:asciiTheme="majorHAnsi" w:hAnsiTheme="majorHAnsi"/>
          <w:sz w:val="22"/>
          <w:szCs w:val="22"/>
        </w:rPr>
        <w:t>MERL</w:t>
      </w:r>
      <w:r w:rsidRPr="0094721A">
        <w:rPr>
          <w:rFonts w:asciiTheme="majorHAnsi" w:hAnsiTheme="majorHAnsi"/>
          <w:sz w:val="22"/>
          <w:szCs w:val="22"/>
        </w:rPr>
        <w:t xml:space="preserve"> system will be</w:t>
      </w:r>
      <w:r w:rsidRPr="00974377">
        <w:rPr>
          <w:rFonts w:asciiTheme="majorHAnsi" w:hAnsiTheme="majorHAnsi"/>
          <w:sz w:val="22"/>
          <w:szCs w:val="22"/>
        </w:rPr>
        <w:t xml:space="preserve"> structured around a set of Key Performance Questions (KPQs) that will guide the analysis</w:t>
      </w:r>
      <w:r w:rsidR="002F7F96" w:rsidRPr="00974377">
        <w:rPr>
          <w:rFonts w:asciiTheme="majorHAnsi" w:hAnsiTheme="majorHAnsi"/>
          <w:sz w:val="22"/>
          <w:szCs w:val="22"/>
        </w:rPr>
        <w:t xml:space="preserve"> and</w:t>
      </w:r>
      <w:r w:rsidRPr="00974377">
        <w:rPr>
          <w:rFonts w:asciiTheme="majorHAnsi" w:hAnsiTheme="majorHAnsi"/>
          <w:sz w:val="22"/>
          <w:szCs w:val="22"/>
        </w:rPr>
        <w:t xml:space="preserve"> synthesi</w:t>
      </w:r>
      <w:r w:rsidR="002F7F96" w:rsidRPr="00974377">
        <w:rPr>
          <w:rFonts w:asciiTheme="majorHAnsi" w:hAnsiTheme="majorHAnsi"/>
          <w:sz w:val="22"/>
          <w:szCs w:val="22"/>
        </w:rPr>
        <w:t xml:space="preserve">s </w:t>
      </w:r>
      <w:r w:rsidRPr="00974377">
        <w:rPr>
          <w:rFonts w:asciiTheme="majorHAnsi" w:hAnsiTheme="majorHAnsi"/>
          <w:sz w:val="22"/>
          <w:szCs w:val="22"/>
        </w:rPr>
        <w:t>of program performance information</w:t>
      </w:r>
      <w:r w:rsidR="00D87E0F" w:rsidRPr="00974377">
        <w:rPr>
          <w:rFonts w:asciiTheme="majorHAnsi" w:hAnsiTheme="majorHAnsi"/>
          <w:sz w:val="22"/>
          <w:szCs w:val="22"/>
        </w:rPr>
        <w:t>,</w:t>
      </w:r>
      <w:r w:rsidR="002F7F96" w:rsidRPr="00974377">
        <w:rPr>
          <w:rFonts w:asciiTheme="majorHAnsi" w:hAnsiTheme="majorHAnsi"/>
          <w:sz w:val="22"/>
          <w:szCs w:val="22"/>
        </w:rPr>
        <w:t xml:space="preserve"> and </w:t>
      </w:r>
      <w:r w:rsidR="00D87E0F" w:rsidRPr="00974377">
        <w:rPr>
          <w:rFonts w:asciiTheme="majorHAnsi" w:hAnsiTheme="majorHAnsi"/>
          <w:sz w:val="22"/>
          <w:szCs w:val="22"/>
        </w:rPr>
        <w:t xml:space="preserve">over time </w:t>
      </w:r>
      <w:r w:rsidR="002F7F96" w:rsidRPr="00974377">
        <w:rPr>
          <w:rFonts w:asciiTheme="majorHAnsi" w:hAnsiTheme="majorHAnsi"/>
          <w:sz w:val="22"/>
          <w:szCs w:val="22"/>
        </w:rPr>
        <w:t>the construct of a program performance story</w:t>
      </w:r>
      <w:r w:rsidRPr="00974377">
        <w:rPr>
          <w:rFonts w:asciiTheme="majorHAnsi" w:hAnsiTheme="majorHAnsi"/>
          <w:sz w:val="22"/>
          <w:szCs w:val="22"/>
        </w:rPr>
        <w:t xml:space="preserve">. These will provide a structure for the program’s annual report, and any learning or reflection events. The preliminary questions suggested below align with the current design and </w:t>
      </w:r>
      <w:r w:rsidR="004463D5">
        <w:rPr>
          <w:rFonts w:asciiTheme="majorHAnsi" w:hAnsiTheme="majorHAnsi"/>
          <w:sz w:val="22"/>
          <w:szCs w:val="22"/>
        </w:rPr>
        <w:t xml:space="preserve">the </w:t>
      </w:r>
      <w:r w:rsidRPr="00974377">
        <w:rPr>
          <w:rFonts w:asciiTheme="majorHAnsi" w:hAnsiTheme="majorHAnsi"/>
          <w:sz w:val="22"/>
          <w:szCs w:val="22"/>
        </w:rPr>
        <w:t xml:space="preserve">criteria </w:t>
      </w:r>
      <w:r w:rsidR="0095529A">
        <w:rPr>
          <w:rFonts w:asciiTheme="majorHAnsi" w:hAnsiTheme="majorHAnsi"/>
          <w:sz w:val="22"/>
          <w:szCs w:val="22"/>
        </w:rPr>
        <w:t xml:space="preserve">used in the </w:t>
      </w:r>
      <w:r w:rsidRPr="00974377">
        <w:rPr>
          <w:rFonts w:asciiTheme="majorHAnsi" w:hAnsiTheme="majorHAnsi"/>
          <w:sz w:val="22"/>
          <w:szCs w:val="22"/>
        </w:rPr>
        <w:t>DFAT Investment Monitoring Report (IMR)</w:t>
      </w:r>
      <w:r w:rsidR="007A2381">
        <w:rPr>
          <w:rFonts w:asciiTheme="majorHAnsi" w:hAnsiTheme="majorHAnsi"/>
          <w:sz w:val="22"/>
          <w:szCs w:val="22"/>
        </w:rPr>
        <w:t>.</w:t>
      </w:r>
      <w:r w:rsidRPr="00974377">
        <w:rPr>
          <w:rFonts w:asciiTheme="majorHAnsi" w:hAnsiTheme="majorHAnsi"/>
          <w:sz w:val="22"/>
          <w:szCs w:val="22"/>
        </w:rPr>
        <w:t xml:space="preserve"> </w:t>
      </w:r>
      <w:r w:rsidR="007A2381">
        <w:rPr>
          <w:rFonts w:asciiTheme="majorHAnsi" w:hAnsiTheme="majorHAnsi"/>
          <w:sz w:val="22"/>
          <w:szCs w:val="22"/>
        </w:rPr>
        <w:t>T</w:t>
      </w:r>
      <w:r w:rsidR="007A2381" w:rsidRPr="00974377">
        <w:rPr>
          <w:rFonts w:asciiTheme="majorHAnsi" w:hAnsiTheme="majorHAnsi"/>
          <w:sz w:val="22"/>
          <w:szCs w:val="22"/>
        </w:rPr>
        <w:t xml:space="preserve">hey </w:t>
      </w:r>
      <w:r w:rsidRPr="00974377">
        <w:rPr>
          <w:rFonts w:asciiTheme="majorHAnsi" w:hAnsiTheme="majorHAnsi"/>
          <w:sz w:val="22"/>
          <w:szCs w:val="22"/>
        </w:rPr>
        <w:t>will be refined and agreed during the development of the</w:t>
      </w:r>
      <w:r w:rsidR="0095529A">
        <w:rPr>
          <w:rFonts w:asciiTheme="majorHAnsi" w:hAnsiTheme="majorHAnsi"/>
          <w:sz w:val="22"/>
          <w:szCs w:val="22"/>
        </w:rPr>
        <w:t xml:space="preserve"> MERL</w:t>
      </w:r>
      <w:r w:rsidRPr="00974377">
        <w:rPr>
          <w:rFonts w:asciiTheme="majorHAnsi" w:hAnsiTheme="majorHAnsi"/>
          <w:sz w:val="22"/>
          <w:szCs w:val="22"/>
        </w:rPr>
        <w:t xml:space="preserve"> system</w:t>
      </w:r>
      <w:r w:rsidR="00D3210A">
        <w:rPr>
          <w:rStyle w:val="FootnoteReference"/>
          <w:rFonts w:asciiTheme="majorHAnsi" w:hAnsiTheme="majorHAnsi"/>
          <w:sz w:val="22"/>
          <w:szCs w:val="22"/>
        </w:rPr>
        <w:footnoteReference w:id="43"/>
      </w:r>
      <w:r w:rsidRPr="00974377">
        <w:rPr>
          <w:rFonts w:asciiTheme="majorHAnsi" w:hAnsiTheme="majorHAnsi"/>
          <w:sz w:val="22"/>
          <w:szCs w:val="22"/>
        </w:rPr>
        <w:t xml:space="preserve">. </w:t>
      </w:r>
    </w:p>
    <w:p w14:paraId="1FEB8414" w14:textId="5ADE1047" w:rsidR="008932BF" w:rsidRPr="00974377" w:rsidRDefault="008932BF" w:rsidP="008D1844">
      <w:pPr>
        <w:pStyle w:val="ListParagraph"/>
        <w:numPr>
          <w:ilvl w:val="0"/>
          <w:numId w:val="18"/>
        </w:numPr>
        <w:spacing w:after="120" w:line="281" w:lineRule="auto"/>
        <w:ind w:left="567" w:hanging="283"/>
        <w:contextualSpacing w:val="0"/>
        <w:rPr>
          <w:rFonts w:asciiTheme="majorHAnsi" w:hAnsiTheme="majorHAnsi"/>
          <w:sz w:val="22"/>
          <w:szCs w:val="22"/>
        </w:rPr>
      </w:pPr>
      <w:r w:rsidRPr="00974377">
        <w:rPr>
          <w:rFonts w:asciiTheme="majorHAnsi" w:hAnsiTheme="majorHAnsi"/>
          <w:sz w:val="22"/>
          <w:szCs w:val="22"/>
        </w:rPr>
        <w:t xml:space="preserve">Relevance </w:t>
      </w:r>
      <w:r w:rsidR="00D87E0F" w:rsidRPr="00974377">
        <w:rPr>
          <w:rFonts w:asciiTheme="majorHAnsi" w:hAnsiTheme="majorHAnsi"/>
          <w:sz w:val="22"/>
          <w:szCs w:val="22"/>
        </w:rPr>
        <w:t>-</w:t>
      </w:r>
      <w:r w:rsidRPr="00974377">
        <w:rPr>
          <w:rFonts w:asciiTheme="majorHAnsi" w:hAnsiTheme="majorHAnsi"/>
          <w:sz w:val="22"/>
          <w:szCs w:val="22"/>
        </w:rPr>
        <w:t xml:space="preserve"> Is the program still aligned with Indonesia’s education policies and priorities and the interests of the bilateral relationship?</w:t>
      </w:r>
    </w:p>
    <w:p w14:paraId="2936A552" w14:textId="356D1C06" w:rsidR="008932BF" w:rsidRPr="00974377" w:rsidRDefault="008932BF" w:rsidP="008D1844">
      <w:pPr>
        <w:pStyle w:val="ListParagraph"/>
        <w:numPr>
          <w:ilvl w:val="0"/>
          <w:numId w:val="18"/>
        </w:numPr>
        <w:spacing w:after="120" w:line="281" w:lineRule="auto"/>
        <w:ind w:left="567" w:hanging="283"/>
        <w:contextualSpacing w:val="0"/>
        <w:rPr>
          <w:rFonts w:asciiTheme="majorHAnsi" w:hAnsiTheme="majorHAnsi"/>
          <w:sz w:val="22"/>
          <w:szCs w:val="22"/>
        </w:rPr>
      </w:pPr>
      <w:r w:rsidRPr="00974377">
        <w:rPr>
          <w:rFonts w:asciiTheme="majorHAnsi" w:hAnsiTheme="majorHAnsi"/>
          <w:sz w:val="22"/>
          <w:szCs w:val="22"/>
        </w:rPr>
        <w:t xml:space="preserve">Effectiveness </w:t>
      </w:r>
      <w:r w:rsidR="00D87E0F" w:rsidRPr="00974377">
        <w:rPr>
          <w:rFonts w:asciiTheme="majorHAnsi" w:hAnsiTheme="majorHAnsi"/>
          <w:sz w:val="22"/>
          <w:szCs w:val="22"/>
        </w:rPr>
        <w:t>-</w:t>
      </w:r>
      <w:r w:rsidRPr="00974377">
        <w:rPr>
          <w:rFonts w:asciiTheme="majorHAnsi" w:hAnsiTheme="majorHAnsi"/>
          <w:sz w:val="22"/>
          <w:szCs w:val="22"/>
        </w:rPr>
        <w:t xml:space="preserve"> To what extent and how is the program achieving its expected outcomes?</w:t>
      </w:r>
    </w:p>
    <w:p w14:paraId="3070FB27" w14:textId="28BC7928" w:rsidR="008932BF" w:rsidRPr="00974377" w:rsidRDefault="008932BF" w:rsidP="008D1844">
      <w:pPr>
        <w:pStyle w:val="ListParagraph"/>
        <w:numPr>
          <w:ilvl w:val="0"/>
          <w:numId w:val="18"/>
        </w:numPr>
        <w:spacing w:after="120" w:line="281" w:lineRule="auto"/>
        <w:ind w:left="567" w:hanging="283"/>
        <w:contextualSpacing w:val="0"/>
        <w:rPr>
          <w:rFonts w:asciiTheme="majorHAnsi" w:hAnsiTheme="majorHAnsi"/>
          <w:sz w:val="22"/>
          <w:szCs w:val="22"/>
        </w:rPr>
      </w:pPr>
      <w:r w:rsidRPr="00974377">
        <w:rPr>
          <w:rFonts w:asciiTheme="majorHAnsi" w:hAnsiTheme="majorHAnsi"/>
          <w:sz w:val="22"/>
          <w:szCs w:val="22"/>
        </w:rPr>
        <w:t xml:space="preserve">Efficiency </w:t>
      </w:r>
      <w:r w:rsidR="00D87E0F" w:rsidRPr="00974377">
        <w:rPr>
          <w:rFonts w:asciiTheme="majorHAnsi" w:hAnsiTheme="majorHAnsi"/>
          <w:sz w:val="22"/>
          <w:szCs w:val="22"/>
        </w:rPr>
        <w:t>-</w:t>
      </w:r>
      <w:r w:rsidRPr="00974377">
        <w:rPr>
          <w:rFonts w:asciiTheme="majorHAnsi" w:hAnsiTheme="majorHAnsi"/>
          <w:sz w:val="22"/>
          <w:szCs w:val="22"/>
        </w:rPr>
        <w:t xml:space="preserve"> To what extent and how is the program making appropriate use of resources and services at the right time and in the right way to achieve the intended outcomes? </w:t>
      </w:r>
    </w:p>
    <w:p w14:paraId="795FE221" w14:textId="6D7993A5" w:rsidR="008932BF" w:rsidRPr="006A08C3" w:rsidRDefault="008932BF" w:rsidP="008D1844">
      <w:pPr>
        <w:pStyle w:val="ListParagraph"/>
        <w:numPr>
          <w:ilvl w:val="0"/>
          <w:numId w:val="18"/>
        </w:numPr>
        <w:spacing w:after="120" w:line="281" w:lineRule="auto"/>
        <w:ind w:left="567" w:hanging="283"/>
        <w:contextualSpacing w:val="0"/>
        <w:rPr>
          <w:rFonts w:asciiTheme="majorHAnsi" w:hAnsiTheme="majorHAnsi"/>
          <w:sz w:val="22"/>
          <w:szCs w:val="22"/>
        </w:rPr>
      </w:pPr>
      <w:r w:rsidRPr="00974377">
        <w:rPr>
          <w:rFonts w:asciiTheme="majorHAnsi" w:hAnsiTheme="majorHAnsi"/>
          <w:sz w:val="22"/>
          <w:szCs w:val="22"/>
        </w:rPr>
        <w:t xml:space="preserve">Monitoring and </w:t>
      </w:r>
      <w:r w:rsidR="006A08C3">
        <w:rPr>
          <w:rFonts w:asciiTheme="majorHAnsi" w:hAnsiTheme="majorHAnsi"/>
          <w:sz w:val="22"/>
          <w:szCs w:val="22"/>
        </w:rPr>
        <w:t>e</w:t>
      </w:r>
      <w:r w:rsidRPr="00974377">
        <w:rPr>
          <w:rFonts w:asciiTheme="majorHAnsi" w:hAnsiTheme="majorHAnsi"/>
          <w:sz w:val="22"/>
          <w:szCs w:val="22"/>
        </w:rPr>
        <w:t xml:space="preserve">valuation </w:t>
      </w:r>
      <w:r w:rsidR="00D87E0F" w:rsidRPr="00974377">
        <w:rPr>
          <w:rFonts w:asciiTheme="majorHAnsi" w:hAnsiTheme="majorHAnsi"/>
          <w:sz w:val="22"/>
          <w:szCs w:val="22"/>
        </w:rPr>
        <w:t>-</w:t>
      </w:r>
      <w:r w:rsidRPr="00974377">
        <w:rPr>
          <w:rFonts w:asciiTheme="majorHAnsi" w:hAnsiTheme="majorHAnsi"/>
          <w:sz w:val="22"/>
          <w:szCs w:val="22"/>
        </w:rPr>
        <w:t xml:space="preserve"> Is the ME</w:t>
      </w:r>
      <w:r w:rsidR="00D87E0F" w:rsidRPr="00974377">
        <w:rPr>
          <w:rFonts w:asciiTheme="majorHAnsi" w:hAnsiTheme="majorHAnsi"/>
          <w:sz w:val="22"/>
          <w:szCs w:val="22"/>
        </w:rPr>
        <w:t>R</w:t>
      </w:r>
      <w:r w:rsidRPr="00974377">
        <w:rPr>
          <w:rFonts w:asciiTheme="majorHAnsi" w:hAnsiTheme="majorHAnsi"/>
          <w:sz w:val="22"/>
          <w:szCs w:val="22"/>
        </w:rPr>
        <w:t xml:space="preserve">L system generating credible information that is being used for strategic </w:t>
      </w:r>
      <w:r w:rsidRPr="006A08C3">
        <w:rPr>
          <w:rFonts w:asciiTheme="majorHAnsi" w:hAnsiTheme="majorHAnsi"/>
          <w:sz w:val="22"/>
          <w:szCs w:val="22"/>
        </w:rPr>
        <w:t>decision-making, learning and accountability purposes?</w:t>
      </w:r>
    </w:p>
    <w:p w14:paraId="6E72F975" w14:textId="4BD50425" w:rsidR="008932BF" w:rsidRPr="006A08C3" w:rsidRDefault="008932BF" w:rsidP="008D1844">
      <w:pPr>
        <w:pStyle w:val="ListParagraph"/>
        <w:numPr>
          <w:ilvl w:val="0"/>
          <w:numId w:val="18"/>
        </w:numPr>
        <w:spacing w:after="120" w:line="281" w:lineRule="auto"/>
        <w:ind w:left="567" w:hanging="283"/>
        <w:contextualSpacing w:val="0"/>
        <w:rPr>
          <w:rFonts w:asciiTheme="majorHAnsi" w:hAnsiTheme="majorHAnsi"/>
          <w:sz w:val="22"/>
          <w:szCs w:val="22"/>
        </w:rPr>
      </w:pPr>
      <w:r w:rsidRPr="006A08C3">
        <w:rPr>
          <w:rFonts w:asciiTheme="majorHAnsi" w:hAnsiTheme="majorHAnsi"/>
          <w:sz w:val="22"/>
          <w:szCs w:val="22"/>
        </w:rPr>
        <w:t>GEDSI – How and how well does the program identify and address gaps in and opportunities for promoting gender equality, disability, and social inclusion?</w:t>
      </w:r>
    </w:p>
    <w:p w14:paraId="460CE8F1" w14:textId="303BBF3B" w:rsidR="006A08C3" w:rsidRPr="006A08C3" w:rsidRDefault="006A08C3" w:rsidP="008D1844">
      <w:pPr>
        <w:pStyle w:val="ListParagraph"/>
        <w:numPr>
          <w:ilvl w:val="0"/>
          <w:numId w:val="18"/>
        </w:numPr>
        <w:spacing w:after="120" w:line="281" w:lineRule="auto"/>
        <w:ind w:left="567" w:hanging="283"/>
        <w:contextualSpacing w:val="0"/>
        <w:rPr>
          <w:rFonts w:asciiTheme="majorHAnsi" w:hAnsiTheme="majorHAnsi"/>
          <w:sz w:val="22"/>
          <w:szCs w:val="22"/>
        </w:rPr>
      </w:pPr>
      <w:r w:rsidRPr="006A08C3">
        <w:rPr>
          <w:rFonts w:asciiTheme="majorHAnsi" w:hAnsiTheme="majorHAnsi"/>
          <w:sz w:val="22"/>
          <w:szCs w:val="22"/>
        </w:rPr>
        <w:t>Climate change - How and how well does the program identify and address risk</w:t>
      </w:r>
      <w:r w:rsidR="0033012B">
        <w:rPr>
          <w:rFonts w:asciiTheme="majorHAnsi" w:hAnsiTheme="majorHAnsi"/>
          <w:sz w:val="22"/>
          <w:szCs w:val="22"/>
        </w:rPr>
        <w:t>s</w:t>
      </w:r>
      <w:r w:rsidRPr="006A08C3">
        <w:rPr>
          <w:rFonts w:asciiTheme="majorHAnsi" w:hAnsiTheme="majorHAnsi"/>
          <w:sz w:val="22"/>
          <w:szCs w:val="22"/>
        </w:rPr>
        <w:t xml:space="preserve"> and opportunities for climate resilience and mitigation</w:t>
      </w:r>
      <w:r>
        <w:rPr>
          <w:rFonts w:asciiTheme="majorHAnsi" w:hAnsiTheme="majorHAnsi"/>
          <w:sz w:val="22"/>
          <w:szCs w:val="22"/>
        </w:rPr>
        <w:t xml:space="preserve"> of primary education services</w:t>
      </w:r>
      <w:r w:rsidRPr="006A08C3">
        <w:rPr>
          <w:rFonts w:asciiTheme="majorHAnsi" w:hAnsiTheme="majorHAnsi"/>
          <w:sz w:val="22"/>
          <w:szCs w:val="22"/>
        </w:rPr>
        <w:t>?</w:t>
      </w:r>
    </w:p>
    <w:p w14:paraId="4BD8E5E1" w14:textId="77777777" w:rsidR="008932BF" w:rsidRPr="00974377" w:rsidRDefault="008932BF" w:rsidP="008D1844">
      <w:pPr>
        <w:pStyle w:val="ListParagraph"/>
        <w:numPr>
          <w:ilvl w:val="0"/>
          <w:numId w:val="18"/>
        </w:numPr>
        <w:spacing w:after="120" w:line="281" w:lineRule="auto"/>
        <w:ind w:left="567" w:hanging="283"/>
        <w:contextualSpacing w:val="0"/>
        <w:rPr>
          <w:rFonts w:asciiTheme="majorHAnsi" w:hAnsiTheme="majorHAnsi"/>
          <w:sz w:val="22"/>
          <w:szCs w:val="22"/>
        </w:rPr>
      </w:pPr>
      <w:r w:rsidRPr="006A08C3">
        <w:rPr>
          <w:rFonts w:asciiTheme="majorHAnsi" w:hAnsiTheme="majorHAnsi"/>
          <w:sz w:val="22"/>
          <w:szCs w:val="22"/>
        </w:rPr>
        <w:t>Sustainability – What evidence is there that the approach and benefits of the program will last beyond the program</w:t>
      </w:r>
      <w:r w:rsidRPr="00974377">
        <w:rPr>
          <w:rFonts w:asciiTheme="majorHAnsi" w:hAnsiTheme="majorHAnsi"/>
          <w:sz w:val="22"/>
          <w:szCs w:val="22"/>
        </w:rPr>
        <w:t xml:space="preserve"> timeframe?</w:t>
      </w:r>
    </w:p>
    <w:p w14:paraId="5AF7C3A0" w14:textId="588FCF35" w:rsidR="008932BF" w:rsidRPr="00974377" w:rsidRDefault="008932BF" w:rsidP="008D1844">
      <w:pPr>
        <w:pStyle w:val="ListParagraph"/>
        <w:numPr>
          <w:ilvl w:val="0"/>
          <w:numId w:val="18"/>
        </w:numPr>
        <w:spacing w:after="120" w:line="281" w:lineRule="auto"/>
        <w:ind w:left="567" w:hanging="283"/>
        <w:contextualSpacing w:val="0"/>
        <w:rPr>
          <w:rFonts w:asciiTheme="majorHAnsi" w:hAnsiTheme="majorHAnsi"/>
          <w:sz w:val="22"/>
          <w:szCs w:val="22"/>
        </w:rPr>
      </w:pPr>
      <w:r w:rsidRPr="00974377">
        <w:rPr>
          <w:rFonts w:asciiTheme="majorHAnsi" w:hAnsiTheme="majorHAnsi"/>
          <w:sz w:val="22"/>
          <w:szCs w:val="22"/>
        </w:rPr>
        <w:t>Impact - What examples are there of uptake of the district ecosystemic approach for education reforms’ implementation</w:t>
      </w:r>
      <w:r w:rsidR="006714F5" w:rsidRPr="00974377">
        <w:rPr>
          <w:rFonts w:asciiTheme="majorHAnsi" w:hAnsiTheme="majorHAnsi"/>
          <w:sz w:val="22"/>
          <w:szCs w:val="22"/>
        </w:rPr>
        <w:t xml:space="preserve"> outside targeted districts</w:t>
      </w:r>
      <w:r w:rsidRPr="00974377">
        <w:rPr>
          <w:rFonts w:asciiTheme="majorHAnsi" w:hAnsiTheme="majorHAnsi"/>
          <w:sz w:val="22"/>
          <w:szCs w:val="22"/>
        </w:rPr>
        <w:t>? What factors have brought this about?</w:t>
      </w:r>
    </w:p>
    <w:p w14:paraId="50F6DB85" w14:textId="5A70B0CE" w:rsidR="00E736F1" w:rsidRPr="00974377" w:rsidRDefault="008932BF" w:rsidP="008D1844">
      <w:pPr>
        <w:pStyle w:val="ListParagraph"/>
        <w:numPr>
          <w:ilvl w:val="0"/>
          <w:numId w:val="18"/>
        </w:numPr>
        <w:spacing w:after="120" w:line="281" w:lineRule="auto"/>
        <w:ind w:left="567" w:hanging="283"/>
        <w:contextualSpacing w:val="0"/>
        <w:rPr>
          <w:rFonts w:asciiTheme="majorHAnsi" w:hAnsiTheme="majorHAnsi"/>
          <w:sz w:val="22"/>
          <w:szCs w:val="22"/>
        </w:rPr>
      </w:pPr>
      <w:r w:rsidRPr="00974377">
        <w:rPr>
          <w:rFonts w:asciiTheme="majorHAnsi" w:hAnsiTheme="majorHAnsi"/>
          <w:sz w:val="22"/>
          <w:szCs w:val="22"/>
        </w:rPr>
        <w:t xml:space="preserve">Risk and </w:t>
      </w:r>
      <w:r w:rsidR="006A08C3">
        <w:rPr>
          <w:rFonts w:asciiTheme="majorHAnsi" w:hAnsiTheme="majorHAnsi"/>
          <w:sz w:val="22"/>
          <w:szCs w:val="22"/>
        </w:rPr>
        <w:t>s</w:t>
      </w:r>
      <w:r w:rsidRPr="00974377">
        <w:rPr>
          <w:rFonts w:asciiTheme="majorHAnsi" w:hAnsiTheme="majorHAnsi"/>
          <w:sz w:val="22"/>
          <w:szCs w:val="22"/>
        </w:rPr>
        <w:t xml:space="preserve">afeguards – </w:t>
      </w:r>
      <w:r w:rsidR="00E94416">
        <w:rPr>
          <w:rFonts w:asciiTheme="majorHAnsi" w:hAnsiTheme="majorHAnsi"/>
          <w:sz w:val="22"/>
          <w:szCs w:val="22"/>
        </w:rPr>
        <w:t xml:space="preserve">How and how well </w:t>
      </w:r>
      <w:r w:rsidR="0033012B">
        <w:rPr>
          <w:rFonts w:asciiTheme="majorHAnsi" w:hAnsiTheme="majorHAnsi"/>
          <w:sz w:val="22"/>
          <w:szCs w:val="22"/>
        </w:rPr>
        <w:t>does</w:t>
      </w:r>
      <w:r w:rsidRPr="00974377">
        <w:rPr>
          <w:rFonts w:asciiTheme="majorHAnsi" w:hAnsiTheme="majorHAnsi"/>
          <w:sz w:val="22"/>
          <w:szCs w:val="22"/>
        </w:rPr>
        <w:t xml:space="preserve"> the program actively identif</w:t>
      </w:r>
      <w:r w:rsidR="0033012B">
        <w:rPr>
          <w:rFonts w:asciiTheme="majorHAnsi" w:hAnsiTheme="majorHAnsi"/>
          <w:sz w:val="22"/>
          <w:szCs w:val="22"/>
        </w:rPr>
        <w:t>y</w:t>
      </w:r>
      <w:r w:rsidRPr="00974377">
        <w:rPr>
          <w:rFonts w:asciiTheme="majorHAnsi" w:hAnsiTheme="majorHAnsi"/>
          <w:sz w:val="22"/>
          <w:szCs w:val="22"/>
        </w:rPr>
        <w:t xml:space="preserve"> and manag</w:t>
      </w:r>
      <w:r w:rsidR="0033012B">
        <w:rPr>
          <w:rFonts w:asciiTheme="majorHAnsi" w:hAnsiTheme="majorHAnsi"/>
          <w:sz w:val="22"/>
          <w:szCs w:val="22"/>
        </w:rPr>
        <w:t>e</w:t>
      </w:r>
      <w:r w:rsidRPr="00974377">
        <w:rPr>
          <w:rFonts w:asciiTheme="majorHAnsi" w:hAnsiTheme="majorHAnsi"/>
          <w:sz w:val="22"/>
          <w:szCs w:val="22"/>
        </w:rPr>
        <w:t xml:space="preserve"> risks related to the delivery of the program and the achievement of expected outcomes?</w:t>
      </w:r>
    </w:p>
    <w:p w14:paraId="3A829FEF" w14:textId="504E86E0" w:rsidR="00801C31" w:rsidRPr="0094721A" w:rsidRDefault="0094721A" w:rsidP="008D1844">
      <w:pPr>
        <w:pStyle w:val="Heading3"/>
        <w:numPr>
          <w:ilvl w:val="0"/>
          <w:numId w:val="12"/>
        </w:numPr>
        <w:rPr>
          <w:sz w:val="22"/>
          <w:szCs w:val="22"/>
        </w:rPr>
      </w:pPr>
      <w:r w:rsidRPr="00D204F4">
        <w:rPr>
          <w:b/>
          <w:sz w:val="22"/>
          <w:szCs w:val="20"/>
        </w:rPr>
        <w:t xml:space="preserve">MERL </w:t>
      </w:r>
      <w:r w:rsidR="00E736F1" w:rsidRPr="00690913">
        <w:rPr>
          <w:b/>
          <w:bCs w:val="0"/>
          <w:sz w:val="22"/>
          <w:szCs w:val="22"/>
        </w:rPr>
        <w:t>Functions</w:t>
      </w:r>
      <w:r w:rsidR="007E1662" w:rsidRPr="0094721A">
        <w:rPr>
          <w:sz w:val="22"/>
          <w:szCs w:val="22"/>
        </w:rPr>
        <w:t xml:space="preserve"> </w:t>
      </w:r>
    </w:p>
    <w:p w14:paraId="3973709D" w14:textId="62A4FF68" w:rsidR="0096333E" w:rsidRPr="00EA46CE" w:rsidRDefault="0096333E" w:rsidP="009223CC">
      <w:pPr>
        <w:pStyle w:val="ListParagraph"/>
        <w:tabs>
          <w:tab w:val="left" w:pos="284"/>
        </w:tabs>
        <w:spacing w:after="120" w:line="281" w:lineRule="auto"/>
        <w:ind w:left="0"/>
        <w:textDirection w:val="btLr"/>
        <w:rPr>
          <w:rFonts w:asciiTheme="majorHAnsi" w:hAnsiTheme="majorHAnsi"/>
          <w:sz w:val="22"/>
          <w:szCs w:val="22"/>
        </w:rPr>
      </w:pPr>
      <w:r w:rsidRPr="00EA46CE">
        <w:rPr>
          <w:rFonts w:asciiTheme="majorHAnsi" w:hAnsiTheme="majorHAnsi"/>
          <w:sz w:val="22"/>
          <w:szCs w:val="22"/>
        </w:rPr>
        <w:t xml:space="preserve">To </w:t>
      </w:r>
      <w:r w:rsidR="00887CA6" w:rsidRPr="00EA46CE">
        <w:rPr>
          <w:rFonts w:asciiTheme="majorHAnsi" w:hAnsiTheme="majorHAnsi"/>
          <w:sz w:val="22"/>
          <w:szCs w:val="22"/>
        </w:rPr>
        <w:t xml:space="preserve">provide the basis of information for </w:t>
      </w:r>
      <w:r w:rsidRPr="00EA46CE">
        <w:rPr>
          <w:rFonts w:asciiTheme="majorHAnsi" w:hAnsiTheme="majorHAnsi"/>
          <w:sz w:val="22"/>
          <w:szCs w:val="22"/>
        </w:rPr>
        <w:t>answer</w:t>
      </w:r>
      <w:r w:rsidR="00887CA6" w:rsidRPr="00EA46CE">
        <w:rPr>
          <w:rFonts w:asciiTheme="majorHAnsi" w:hAnsiTheme="majorHAnsi"/>
          <w:sz w:val="22"/>
          <w:szCs w:val="22"/>
        </w:rPr>
        <w:t>s to</w:t>
      </w:r>
      <w:r w:rsidRPr="00EA46CE">
        <w:rPr>
          <w:rFonts w:asciiTheme="majorHAnsi" w:hAnsiTheme="majorHAnsi"/>
          <w:sz w:val="22"/>
          <w:szCs w:val="22"/>
        </w:rPr>
        <w:t xml:space="preserve"> these questions, the </w:t>
      </w:r>
      <w:r w:rsidR="00774FD1" w:rsidRPr="00EA46CE">
        <w:rPr>
          <w:rFonts w:asciiTheme="majorHAnsi" w:hAnsiTheme="majorHAnsi"/>
          <w:sz w:val="22"/>
          <w:szCs w:val="22"/>
        </w:rPr>
        <w:t>MERL</w:t>
      </w:r>
      <w:r w:rsidRPr="00EA46CE">
        <w:rPr>
          <w:rFonts w:asciiTheme="majorHAnsi" w:hAnsiTheme="majorHAnsi"/>
          <w:sz w:val="22"/>
          <w:szCs w:val="22"/>
        </w:rPr>
        <w:t xml:space="preserve"> system will clearly articulate </w:t>
      </w:r>
      <w:r w:rsidR="00887CA6" w:rsidRPr="00EA46CE">
        <w:rPr>
          <w:rFonts w:asciiTheme="majorHAnsi" w:hAnsiTheme="majorHAnsi"/>
          <w:sz w:val="22"/>
          <w:szCs w:val="22"/>
        </w:rPr>
        <w:t>four</w:t>
      </w:r>
      <w:r w:rsidRPr="00EA46CE">
        <w:rPr>
          <w:rFonts w:asciiTheme="majorHAnsi" w:hAnsiTheme="majorHAnsi"/>
          <w:sz w:val="22"/>
          <w:szCs w:val="22"/>
        </w:rPr>
        <w:t xml:space="preserve"> distinct and complementary functions: a monitoring, evaluation</w:t>
      </w:r>
      <w:r w:rsidR="00887CA6" w:rsidRPr="00EA46CE">
        <w:rPr>
          <w:rFonts w:asciiTheme="majorHAnsi" w:hAnsiTheme="majorHAnsi"/>
          <w:sz w:val="22"/>
          <w:szCs w:val="22"/>
        </w:rPr>
        <w:t>, research</w:t>
      </w:r>
      <w:r w:rsidR="00E94B2A" w:rsidRPr="00EA46CE">
        <w:rPr>
          <w:rFonts w:asciiTheme="majorHAnsi" w:hAnsiTheme="majorHAnsi"/>
          <w:sz w:val="22"/>
          <w:szCs w:val="22"/>
        </w:rPr>
        <w:t>,</w:t>
      </w:r>
      <w:r w:rsidRPr="00EA46CE">
        <w:rPr>
          <w:rFonts w:asciiTheme="majorHAnsi" w:hAnsiTheme="majorHAnsi"/>
          <w:sz w:val="22"/>
          <w:szCs w:val="22"/>
        </w:rPr>
        <w:t xml:space="preserve"> and a learning function</w:t>
      </w:r>
      <w:r w:rsidR="008C6BA4" w:rsidRPr="00EA46CE">
        <w:rPr>
          <w:rFonts w:asciiTheme="majorHAnsi" w:hAnsiTheme="majorHAnsi"/>
          <w:sz w:val="22"/>
          <w:szCs w:val="22"/>
        </w:rPr>
        <w:t xml:space="preserve"> respectively</w:t>
      </w:r>
      <w:r w:rsidRPr="00EA46CE">
        <w:rPr>
          <w:rFonts w:asciiTheme="majorHAnsi" w:hAnsiTheme="majorHAnsi"/>
          <w:sz w:val="22"/>
          <w:szCs w:val="22"/>
        </w:rPr>
        <w:t>.</w:t>
      </w:r>
    </w:p>
    <w:p w14:paraId="0CE856A3" w14:textId="7B8A0CEA" w:rsidR="007E1662" w:rsidRPr="00974377" w:rsidRDefault="00096B64" w:rsidP="008D1844">
      <w:pPr>
        <w:pStyle w:val="ListParagraph"/>
        <w:numPr>
          <w:ilvl w:val="0"/>
          <w:numId w:val="50"/>
        </w:numPr>
        <w:tabs>
          <w:tab w:val="left" w:pos="284"/>
        </w:tabs>
        <w:spacing w:before="120" w:after="120" w:line="281" w:lineRule="auto"/>
        <w:ind w:left="567" w:hanging="283"/>
        <w:contextualSpacing w:val="0"/>
        <w:textDirection w:val="btLr"/>
        <w:rPr>
          <w:rFonts w:asciiTheme="majorHAnsi" w:hAnsiTheme="majorHAnsi"/>
          <w:sz w:val="22"/>
          <w:szCs w:val="22"/>
        </w:rPr>
      </w:pPr>
      <w:r w:rsidRPr="00974377">
        <w:rPr>
          <w:rFonts w:asciiTheme="majorHAnsi" w:hAnsiTheme="majorHAnsi"/>
          <w:sz w:val="22"/>
          <w:szCs w:val="22"/>
        </w:rPr>
        <w:t>The m</w:t>
      </w:r>
      <w:r w:rsidR="007E1662" w:rsidRPr="00974377">
        <w:rPr>
          <w:rFonts w:asciiTheme="majorHAnsi" w:hAnsiTheme="majorHAnsi"/>
          <w:sz w:val="22"/>
          <w:szCs w:val="22"/>
        </w:rPr>
        <w:t>onitoring</w:t>
      </w:r>
      <w:r w:rsidRPr="00974377">
        <w:rPr>
          <w:rFonts w:asciiTheme="majorHAnsi" w:hAnsiTheme="majorHAnsi"/>
          <w:sz w:val="22"/>
          <w:szCs w:val="22"/>
        </w:rPr>
        <w:t xml:space="preserve"> function will include the routine collection of data relevant to the key performance indicators compiled in the results framework</w:t>
      </w:r>
      <w:r w:rsidR="0034285A">
        <w:rPr>
          <w:rFonts w:asciiTheme="majorHAnsi" w:hAnsiTheme="majorHAnsi"/>
          <w:sz w:val="22"/>
          <w:szCs w:val="22"/>
        </w:rPr>
        <w:t xml:space="preserve"> (see indicative framework in Annex </w:t>
      </w:r>
      <w:r w:rsidR="00475A9D">
        <w:rPr>
          <w:rFonts w:asciiTheme="majorHAnsi" w:hAnsiTheme="majorHAnsi"/>
          <w:sz w:val="22"/>
          <w:szCs w:val="22"/>
        </w:rPr>
        <w:t>2</w:t>
      </w:r>
      <w:r w:rsidR="0034285A">
        <w:rPr>
          <w:rFonts w:asciiTheme="majorHAnsi" w:hAnsiTheme="majorHAnsi"/>
          <w:sz w:val="22"/>
          <w:szCs w:val="22"/>
        </w:rPr>
        <w:t>)</w:t>
      </w:r>
      <w:r w:rsidR="008E5EC3" w:rsidRPr="00974377">
        <w:rPr>
          <w:rFonts w:asciiTheme="majorHAnsi" w:hAnsiTheme="majorHAnsi"/>
          <w:sz w:val="22"/>
          <w:szCs w:val="22"/>
        </w:rPr>
        <w:t xml:space="preserve">, including specific metrics to track </w:t>
      </w:r>
      <w:r w:rsidR="00F36615" w:rsidRPr="00974377">
        <w:rPr>
          <w:rFonts w:asciiTheme="majorHAnsi" w:hAnsiTheme="majorHAnsi"/>
          <w:sz w:val="22"/>
          <w:szCs w:val="22"/>
        </w:rPr>
        <w:t xml:space="preserve">the progress and capacities of districts education </w:t>
      </w:r>
      <w:r w:rsidR="008E5EC3" w:rsidRPr="00974377">
        <w:rPr>
          <w:rFonts w:asciiTheme="majorHAnsi" w:hAnsiTheme="majorHAnsi"/>
          <w:sz w:val="22"/>
          <w:szCs w:val="22"/>
        </w:rPr>
        <w:t xml:space="preserve">ecosystems. </w:t>
      </w:r>
      <w:r w:rsidR="00D4095E" w:rsidRPr="00974377">
        <w:rPr>
          <w:rFonts w:asciiTheme="majorHAnsi" w:hAnsiTheme="majorHAnsi"/>
          <w:sz w:val="22"/>
          <w:szCs w:val="22"/>
        </w:rPr>
        <w:t>It will also include operational information such as level of inputs and activities.</w:t>
      </w:r>
    </w:p>
    <w:p w14:paraId="1C515B9C" w14:textId="764F72A8" w:rsidR="007E1662" w:rsidRPr="00974377" w:rsidRDefault="00096B64" w:rsidP="008D1844">
      <w:pPr>
        <w:pStyle w:val="ListParagraph"/>
        <w:numPr>
          <w:ilvl w:val="0"/>
          <w:numId w:val="50"/>
        </w:numPr>
        <w:tabs>
          <w:tab w:val="left" w:pos="284"/>
        </w:tabs>
        <w:spacing w:before="120" w:after="120" w:line="281" w:lineRule="auto"/>
        <w:ind w:left="567" w:hanging="283"/>
        <w:contextualSpacing w:val="0"/>
        <w:textDirection w:val="btLr"/>
        <w:rPr>
          <w:rFonts w:asciiTheme="majorHAnsi" w:hAnsiTheme="majorHAnsi"/>
          <w:sz w:val="22"/>
          <w:szCs w:val="22"/>
        </w:rPr>
      </w:pPr>
      <w:r w:rsidRPr="00974377">
        <w:rPr>
          <w:rFonts w:asciiTheme="majorHAnsi" w:hAnsiTheme="majorHAnsi"/>
          <w:sz w:val="22"/>
          <w:szCs w:val="22"/>
        </w:rPr>
        <w:t>The e</w:t>
      </w:r>
      <w:r w:rsidR="007E1662" w:rsidRPr="00974377">
        <w:rPr>
          <w:rFonts w:asciiTheme="majorHAnsi" w:hAnsiTheme="majorHAnsi"/>
          <w:sz w:val="22"/>
          <w:szCs w:val="22"/>
        </w:rPr>
        <w:t xml:space="preserve">valuation </w:t>
      </w:r>
      <w:r w:rsidRPr="00974377">
        <w:rPr>
          <w:rFonts w:asciiTheme="majorHAnsi" w:hAnsiTheme="majorHAnsi"/>
          <w:sz w:val="22"/>
          <w:szCs w:val="22"/>
        </w:rPr>
        <w:t xml:space="preserve">function will include </w:t>
      </w:r>
      <w:r w:rsidR="007E1662" w:rsidRPr="00974377">
        <w:rPr>
          <w:rFonts w:asciiTheme="majorHAnsi" w:hAnsiTheme="majorHAnsi"/>
          <w:sz w:val="22"/>
          <w:szCs w:val="22"/>
        </w:rPr>
        <w:t xml:space="preserve">operational reviews, </w:t>
      </w:r>
      <w:r w:rsidRPr="00974377">
        <w:rPr>
          <w:rFonts w:asciiTheme="majorHAnsi" w:hAnsiTheme="majorHAnsi"/>
          <w:sz w:val="22"/>
          <w:szCs w:val="22"/>
        </w:rPr>
        <w:t xml:space="preserve">outcome </w:t>
      </w:r>
      <w:r w:rsidR="007E1662" w:rsidRPr="00974377">
        <w:rPr>
          <w:rFonts w:asciiTheme="majorHAnsi" w:hAnsiTheme="majorHAnsi"/>
          <w:sz w:val="22"/>
          <w:szCs w:val="22"/>
        </w:rPr>
        <w:t xml:space="preserve">evaluations, case studies, and annual surveys. </w:t>
      </w:r>
      <w:r w:rsidR="008E5EC3" w:rsidRPr="00974377">
        <w:rPr>
          <w:rFonts w:asciiTheme="majorHAnsi" w:hAnsiTheme="majorHAnsi"/>
          <w:sz w:val="22"/>
          <w:szCs w:val="22"/>
        </w:rPr>
        <w:t>Specific evaluation studies will investigate progress at EOPO levels and</w:t>
      </w:r>
      <w:r w:rsidR="00D4095E" w:rsidRPr="00974377">
        <w:rPr>
          <w:rFonts w:asciiTheme="majorHAnsi" w:hAnsiTheme="majorHAnsi"/>
          <w:sz w:val="22"/>
          <w:szCs w:val="22"/>
        </w:rPr>
        <w:t xml:space="preserve"> will be identified and designed early on, cognisant of existing </w:t>
      </w:r>
      <w:r w:rsidR="00774FD1" w:rsidRPr="00974377">
        <w:rPr>
          <w:rFonts w:asciiTheme="majorHAnsi" w:hAnsiTheme="majorHAnsi"/>
          <w:sz w:val="22"/>
          <w:szCs w:val="22"/>
        </w:rPr>
        <w:t>datasets</w:t>
      </w:r>
      <w:r w:rsidR="00D4095E" w:rsidRPr="00974377">
        <w:rPr>
          <w:rFonts w:asciiTheme="majorHAnsi" w:hAnsiTheme="majorHAnsi"/>
          <w:sz w:val="22"/>
          <w:szCs w:val="22"/>
        </w:rPr>
        <w:t xml:space="preserve">, </w:t>
      </w:r>
      <w:r w:rsidR="00E41FC5" w:rsidRPr="00974377">
        <w:rPr>
          <w:rFonts w:asciiTheme="majorHAnsi" w:hAnsiTheme="majorHAnsi"/>
          <w:sz w:val="22"/>
          <w:szCs w:val="22"/>
        </w:rPr>
        <w:t>tools,</w:t>
      </w:r>
      <w:r w:rsidR="00D4095E" w:rsidRPr="00974377">
        <w:rPr>
          <w:rFonts w:asciiTheme="majorHAnsi" w:hAnsiTheme="majorHAnsi"/>
          <w:sz w:val="22"/>
          <w:szCs w:val="22"/>
        </w:rPr>
        <w:t xml:space="preserve"> and processes.</w:t>
      </w:r>
      <w:r w:rsidR="008E5EC3" w:rsidRPr="00974377">
        <w:rPr>
          <w:rFonts w:asciiTheme="majorHAnsi" w:hAnsiTheme="majorHAnsi"/>
          <w:sz w:val="22"/>
          <w:szCs w:val="22"/>
        </w:rPr>
        <w:t xml:space="preserve"> </w:t>
      </w:r>
    </w:p>
    <w:p w14:paraId="05C8B4B4" w14:textId="77E6D85E" w:rsidR="00887CA6" w:rsidRPr="00974377" w:rsidRDefault="00887CA6" w:rsidP="008D1844">
      <w:pPr>
        <w:pStyle w:val="ListParagraph"/>
        <w:numPr>
          <w:ilvl w:val="0"/>
          <w:numId w:val="50"/>
        </w:numPr>
        <w:tabs>
          <w:tab w:val="left" w:pos="284"/>
        </w:tabs>
        <w:spacing w:before="120" w:after="120" w:line="281" w:lineRule="auto"/>
        <w:ind w:left="567" w:hanging="283"/>
        <w:contextualSpacing w:val="0"/>
        <w:textDirection w:val="btLr"/>
        <w:rPr>
          <w:rFonts w:asciiTheme="majorHAnsi" w:hAnsiTheme="majorHAnsi"/>
          <w:sz w:val="22"/>
          <w:szCs w:val="22"/>
        </w:rPr>
      </w:pPr>
      <w:r w:rsidRPr="00974377">
        <w:rPr>
          <w:rFonts w:asciiTheme="majorHAnsi" w:hAnsiTheme="majorHAnsi"/>
          <w:sz w:val="22"/>
          <w:szCs w:val="22"/>
        </w:rPr>
        <w:lastRenderedPageBreak/>
        <w:t xml:space="preserve">The research function will include thematic and contextual studies on issues of direct relevance to the program. </w:t>
      </w:r>
      <w:r w:rsidR="000B1CD4">
        <w:rPr>
          <w:rFonts w:asciiTheme="majorHAnsi" w:hAnsiTheme="majorHAnsi"/>
          <w:sz w:val="22"/>
          <w:szCs w:val="22"/>
        </w:rPr>
        <w:t>Some priority studies have been identified in the Policy Dialogue Matrix. Others</w:t>
      </w:r>
      <w:r w:rsidRPr="00974377">
        <w:rPr>
          <w:rFonts w:asciiTheme="majorHAnsi" w:hAnsiTheme="majorHAnsi"/>
          <w:sz w:val="22"/>
          <w:szCs w:val="22"/>
        </w:rPr>
        <w:t xml:space="preserve"> will be identified in a research agenda that will be updated and agreed annually</w:t>
      </w:r>
      <w:r w:rsidR="000A3221" w:rsidRPr="00974377">
        <w:rPr>
          <w:rFonts w:asciiTheme="majorHAnsi" w:hAnsiTheme="majorHAnsi"/>
          <w:sz w:val="22"/>
          <w:szCs w:val="22"/>
        </w:rPr>
        <w:t xml:space="preserve">, noting some </w:t>
      </w:r>
      <w:r w:rsidRPr="00974377">
        <w:rPr>
          <w:rFonts w:asciiTheme="majorHAnsi" w:hAnsiTheme="majorHAnsi"/>
          <w:sz w:val="22"/>
          <w:szCs w:val="22"/>
        </w:rPr>
        <w:t>studies will need to be mobilised rapidly and outside of the planning cycle to respond to opportunity windows and prompt information needs. Examples of</w:t>
      </w:r>
      <w:r w:rsidR="000A3221" w:rsidRPr="00974377">
        <w:rPr>
          <w:rFonts w:asciiTheme="majorHAnsi" w:hAnsiTheme="majorHAnsi"/>
          <w:sz w:val="22"/>
          <w:szCs w:val="22"/>
        </w:rPr>
        <w:t xml:space="preserve"> relevant </w:t>
      </w:r>
      <w:r w:rsidRPr="00974377">
        <w:rPr>
          <w:rFonts w:asciiTheme="majorHAnsi" w:hAnsiTheme="majorHAnsi"/>
          <w:sz w:val="22"/>
          <w:szCs w:val="22"/>
        </w:rPr>
        <w:t>studies include:</w:t>
      </w:r>
    </w:p>
    <w:p w14:paraId="5002FFDC" w14:textId="07A375EF" w:rsidR="000A3221" w:rsidRPr="00974377" w:rsidRDefault="000A3221" w:rsidP="008D1844">
      <w:pPr>
        <w:pStyle w:val="ListParagraph"/>
        <w:numPr>
          <w:ilvl w:val="2"/>
          <w:numId w:val="27"/>
        </w:numPr>
        <w:tabs>
          <w:tab w:val="left" w:pos="284"/>
        </w:tabs>
        <w:spacing w:before="120" w:after="120" w:line="281" w:lineRule="auto"/>
        <w:ind w:left="1134" w:hanging="283"/>
        <w:contextualSpacing w:val="0"/>
        <w:rPr>
          <w:rFonts w:asciiTheme="majorHAnsi" w:hAnsiTheme="majorHAnsi"/>
          <w:sz w:val="22"/>
          <w:szCs w:val="22"/>
        </w:rPr>
      </w:pPr>
      <w:r w:rsidRPr="00974377">
        <w:rPr>
          <w:rFonts w:asciiTheme="majorHAnsi" w:hAnsiTheme="majorHAnsi"/>
          <w:sz w:val="22"/>
          <w:szCs w:val="22"/>
        </w:rPr>
        <w:t>Intersectional analysis of disadvantage</w:t>
      </w:r>
      <w:r w:rsidR="007A2381">
        <w:rPr>
          <w:rFonts w:asciiTheme="majorHAnsi" w:hAnsiTheme="majorHAnsi"/>
          <w:sz w:val="22"/>
          <w:szCs w:val="22"/>
        </w:rPr>
        <w:t>d</w:t>
      </w:r>
      <w:r w:rsidRPr="00974377">
        <w:rPr>
          <w:rFonts w:asciiTheme="majorHAnsi" w:hAnsiTheme="majorHAnsi"/>
          <w:sz w:val="22"/>
          <w:szCs w:val="22"/>
        </w:rPr>
        <w:t xml:space="preserve"> children in target districts to inform the priorities of district ecosystem GEDSI strategies</w:t>
      </w:r>
      <w:r w:rsidR="00495AFB">
        <w:rPr>
          <w:rFonts w:asciiTheme="majorHAnsi" w:hAnsiTheme="majorHAnsi"/>
          <w:sz w:val="22"/>
          <w:szCs w:val="22"/>
        </w:rPr>
        <w:t>.</w:t>
      </w:r>
    </w:p>
    <w:p w14:paraId="3A3485C4" w14:textId="27E06AD5" w:rsidR="00F47635" w:rsidRPr="00974377" w:rsidRDefault="00887CA6" w:rsidP="008D1844">
      <w:pPr>
        <w:pStyle w:val="ListParagraph"/>
        <w:numPr>
          <w:ilvl w:val="2"/>
          <w:numId w:val="27"/>
        </w:numPr>
        <w:tabs>
          <w:tab w:val="left" w:pos="284"/>
        </w:tabs>
        <w:spacing w:before="120" w:after="120" w:line="281" w:lineRule="auto"/>
        <w:ind w:left="1134" w:hanging="283"/>
        <w:contextualSpacing w:val="0"/>
        <w:rPr>
          <w:rFonts w:asciiTheme="majorHAnsi" w:hAnsiTheme="majorHAnsi"/>
          <w:sz w:val="22"/>
          <w:szCs w:val="22"/>
        </w:rPr>
      </w:pPr>
      <w:r w:rsidRPr="00974377">
        <w:rPr>
          <w:rFonts w:asciiTheme="majorHAnsi" w:hAnsiTheme="majorHAnsi"/>
          <w:sz w:val="22"/>
          <w:szCs w:val="22"/>
        </w:rPr>
        <w:t xml:space="preserve">Analysis of </w:t>
      </w:r>
      <w:r w:rsidR="00F47635" w:rsidRPr="00974377">
        <w:rPr>
          <w:rFonts w:asciiTheme="majorHAnsi" w:hAnsiTheme="majorHAnsi"/>
          <w:sz w:val="22"/>
          <w:szCs w:val="22"/>
        </w:rPr>
        <w:t xml:space="preserve">the </w:t>
      </w:r>
      <w:r w:rsidRPr="00974377">
        <w:rPr>
          <w:rFonts w:asciiTheme="majorHAnsi" w:hAnsiTheme="majorHAnsi"/>
          <w:sz w:val="22"/>
          <w:szCs w:val="22"/>
        </w:rPr>
        <w:t xml:space="preserve">gender composition of </w:t>
      </w:r>
      <w:r w:rsidR="00F47635" w:rsidRPr="00974377">
        <w:rPr>
          <w:rFonts w:asciiTheme="majorHAnsi" w:hAnsiTheme="majorHAnsi"/>
          <w:sz w:val="22"/>
          <w:szCs w:val="22"/>
        </w:rPr>
        <w:t>BPMP and BGP who influence school head appointments in target district</w:t>
      </w:r>
      <w:r w:rsidR="000A3221" w:rsidRPr="00974377">
        <w:rPr>
          <w:rFonts w:asciiTheme="majorHAnsi" w:hAnsiTheme="majorHAnsi"/>
          <w:sz w:val="22"/>
          <w:szCs w:val="22"/>
        </w:rPr>
        <w:t>s</w:t>
      </w:r>
      <w:r w:rsidR="00495AFB">
        <w:rPr>
          <w:rFonts w:asciiTheme="majorHAnsi" w:hAnsiTheme="majorHAnsi"/>
          <w:sz w:val="22"/>
          <w:szCs w:val="22"/>
        </w:rPr>
        <w:t>.</w:t>
      </w:r>
    </w:p>
    <w:p w14:paraId="0E5835F8" w14:textId="0DF2D974" w:rsidR="000A3221" w:rsidRPr="00974377" w:rsidRDefault="000A3221" w:rsidP="008D1844">
      <w:pPr>
        <w:pStyle w:val="ListParagraph"/>
        <w:numPr>
          <w:ilvl w:val="2"/>
          <w:numId w:val="27"/>
        </w:numPr>
        <w:tabs>
          <w:tab w:val="left" w:pos="284"/>
        </w:tabs>
        <w:spacing w:before="120" w:after="120" w:line="281" w:lineRule="auto"/>
        <w:ind w:left="1134" w:hanging="283"/>
        <w:contextualSpacing w:val="0"/>
        <w:rPr>
          <w:rFonts w:asciiTheme="majorHAnsi" w:hAnsiTheme="majorHAnsi"/>
          <w:sz w:val="22"/>
          <w:szCs w:val="22"/>
        </w:rPr>
      </w:pPr>
      <w:r w:rsidRPr="00974377">
        <w:rPr>
          <w:rFonts w:asciiTheme="majorHAnsi" w:hAnsiTheme="majorHAnsi"/>
          <w:sz w:val="22"/>
          <w:szCs w:val="22"/>
        </w:rPr>
        <w:t>Readiness and needs analysis of teachers to facilitate learning of children with disabilities in target districts</w:t>
      </w:r>
      <w:r w:rsidR="00495AFB">
        <w:rPr>
          <w:rFonts w:asciiTheme="majorHAnsi" w:hAnsiTheme="majorHAnsi"/>
          <w:sz w:val="22"/>
          <w:szCs w:val="22"/>
        </w:rPr>
        <w:t>.</w:t>
      </w:r>
    </w:p>
    <w:p w14:paraId="25B2E1B2" w14:textId="115623CE" w:rsidR="00887CA6" w:rsidRDefault="00F47635" w:rsidP="008D1844">
      <w:pPr>
        <w:pStyle w:val="ListParagraph"/>
        <w:numPr>
          <w:ilvl w:val="2"/>
          <w:numId w:val="27"/>
        </w:numPr>
        <w:tabs>
          <w:tab w:val="left" w:pos="284"/>
        </w:tabs>
        <w:spacing w:before="120" w:after="120" w:line="281" w:lineRule="auto"/>
        <w:ind w:left="1134" w:hanging="283"/>
        <w:contextualSpacing w:val="0"/>
        <w:rPr>
          <w:rFonts w:asciiTheme="majorHAnsi" w:hAnsiTheme="majorHAnsi"/>
          <w:sz w:val="22"/>
          <w:szCs w:val="22"/>
        </w:rPr>
      </w:pPr>
      <w:r w:rsidRPr="00974377">
        <w:rPr>
          <w:rFonts w:asciiTheme="majorHAnsi" w:hAnsiTheme="majorHAnsi"/>
          <w:sz w:val="22"/>
          <w:szCs w:val="22"/>
        </w:rPr>
        <w:t>G</w:t>
      </w:r>
      <w:r w:rsidR="00887CA6" w:rsidRPr="00974377">
        <w:rPr>
          <w:rFonts w:asciiTheme="majorHAnsi" w:hAnsiTheme="majorHAnsi"/>
          <w:sz w:val="22"/>
          <w:szCs w:val="22"/>
        </w:rPr>
        <w:t xml:space="preserve">ender gap analysis </w:t>
      </w:r>
      <w:r w:rsidRPr="00974377">
        <w:rPr>
          <w:rFonts w:asciiTheme="majorHAnsi" w:hAnsiTheme="majorHAnsi"/>
          <w:sz w:val="22"/>
          <w:szCs w:val="22"/>
        </w:rPr>
        <w:t>of</w:t>
      </w:r>
      <w:r w:rsidR="00887CA6" w:rsidRPr="00974377">
        <w:rPr>
          <w:rFonts w:asciiTheme="majorHAnsi" w:hAnsiTheme="majorHAnsi"/>
          <w:sz w:val="22"/>
          <w:szCs w:val="22"/>
        </w:rPr>
        <w:t xml:space="preserve"> recruitment and career promotion </w:t>
      </w:r>
      <w:r w:rsidRPr="00974377">
        <w:rPr>
          <w:rFonts w:asciiTheme="majorHAnsi" w:hAnsiTheme="majorHAnsi"/>
          <w:sz w:val="22"/>
          <w:szCs w:val="22"/>
        </w:rPr>
        <w:t xml:space="preserve">process </w:t>
      </w:r>
      <w:r w:rsidR="00887CA6" w:rsidRPr="00974377">
        <w:rPr>
          <w:rFonts w:asciiTheme="majorHAnsi" w:hAnsiTheme="majorHAnsi"/>
          <w:sz w:val="22"/>
          <w:szCs w:val="22"/>
        </w:rPr>
        <w:t>f</w:t>
      </w:r>
      <w:r w:rsidRPr="00974377">
        <w:rPr>
          <w:rFonts w:asciiTheme="majorHAnsi" w:hAnsiTheme="majorHAnsi"/>
          <w:sz w:val="22"/>
          <w:szCs w:val="22"/>
        </w:rPr>
        <w:t>or</w:t>
      </w:r>
      <w:r w:rsidR="00887CA6" w:rsidRPr="00974377">
        <w:rPr>
          <w:rFonts w:asciiTheme="majorHAnsi" w:hAnsiTheme="majorHAnsi"/>
          <w:sz w:val="22"/>
          <w:szCs w:val="22"/>
        </w:rPr>
        <w:t xml:space="preserve"> teachers and principals </w:t>
      </w:r>
      <w:r w:rsidRPr="00974377">
        <w:rPr>
          <w:rFonts w:asciiTheme="majorHAnsi" w:hAnsiTheme="majorHAnsi"/>
          <w:sz w:val="22"/>
          <w:szCs w:val="22"/>
        </w:rPr>
        <w:t>in target districts</w:t>
      </w:r>
      <w:r w:rsidR="00495AFB">
        <w:rPr>
          <w:rFonts w:asciiTheme="majorHAnsi" w:hAnsiTheme="majorHAnsi"/>
          <w:sz w:val="22"/>
          <w:szCs w:val="22"/>
        </w:rPr>
        <w:t>.</w:t>
      </w:r>
    </w:p>
    <w:p w14:paraId="2656EB8C" w14:textId="55592E1A" w:rsidR="002A0D58" w:rsidRPr="00974377" w:rsidRDefault="002A0D58" w:rsidP="008D1844">
      <w:pPr>
        <w:pStyle w:val="ListParagraph"/>
        <w:numPr>
          <w:ilvl w:val="2"/>
          <w:numId w:val="27"/>
        </w:numPr>
        <w:tabs>
          <w:tab w:val="left" w:pos="284"/>
        </w:tabs>
        <w:spacing w:before="120" w:after="120" w:line="281" w:lineRule="auto"/>
        <w:ind w:left="1134" w:hanging="283"/>
        <w:contextualSpacing w:val="0"/>
        <w:rPr>
          <w:rFonts w:asciiTheme="majorHAnsi" w:hAnsiTheme="majorHAnsi"/>
          <w:sz w:val="22"/>
          <w:szCs w:val="22"/>
        </w:rPr>
      </w:pPr>
      <w:r w:rsidRPr="00974377">
        <w:rPr>
          <w:rFonts w:asciiTheme="majorHAnsi" w:hAnsiTheme="majorHAnsi"/>
          <w:sz w:val="22"/>
          <w:szCs w:val="22"/>
        </w:rPr>
        <w:t>Tracer study of women’ leadership journey’s to and in schools, including once they are in leadership roles, focusing on the nature, scale and significance of issues</w:t>
      </w:r>
      <w:r w:rsidR="00982672">
        <w:rPr>
          <w:rFonts w:asciiTheme="majorHAnsi" w:hAnsiTheme="majorHAnsi"/>
          <w:sz w:val="22"/>
          <w:szCs w:val="22"/>
        </w:rPr>
        <w:t xml:space="preserve"> and gender norms</w:t>
      </w:r>
      <w:r w:rsidRPr="00974377">
        <w:rPr>
          <w:rFonts w:asciiTheme="majorHAnsi" w:hAnsiTheme="majorHAnsi"/>
          <w:sz w:val="22"/>
          <w:szCs w:val="22"/>
        </w:rPr>
        <w:t xml:space="preserve"> impacting on women and gender equality in school settings</w:t>
      </w:r>
      <w:r w:rsidR="00495AFB">
        <w:rPr>
          <w:rFonts w:asciiTheme="majorHAnsi" w:hAnsiTheme="majorHAnsi"/>
          <w:sz w:val="22"/>
          <w:szCs w:val="22"/>
        </w:rPr>
        <w:t>.</w:t>
      </w:r>
    </w:p>
    <w:p w14:paraId="345B42BF" w14:textId="7D02CF4F" w:rsidR="0095529A" w:rsidRDefault="00F47635" w:rsidP="008D1844">
      <w:pPr>
        <w:pStyle w:val="ListParagraph"/>
        <w:numPr>
          <w:ilvl w:val="2"/>
          <w:numId w:val="27"/>
        </w:numPr>
        <w:tabs>
          <w:tab w:val="left" w:pos="284"/>
        </w:tabs>
        <w:spacing w:before="120" w:after="120" w:line="281" w:lineRule="auto"/>
        <w:ind w:left="1134" w:hanging="283"/>
        <w:contextualSpacing w:val="0"/>
        <w:rPr>
          <w:rFonts w:asciiTheme="majorHAnsi" w:hAnsiTheme="majorHAnsi"/>
          <w:sz w:val="22"/>
          <w:szCs w:val="22"/>
        </w:rPr>
      </w:pPr>
      <w:r w:rsidRPr="00974377">
        <w:rPr>
          <w:rFonts w:asciiTheme="majorHAnsi" w:hAnsiTheme="majorHAnsi"/>
          <w:sz w:val="22"/>
          <w:szCs w:val="22"/>
        </w:rPr>
        <w:t>Study</w:t>
      </w:r>
      <w:r w:rsidR="00887CA6" w:rsidRPr="00974377">
        <w:rPr>
          <w:rFonts w:asciiTheme="majorHAnsi" w:hAnsiTheme="majorHAnsi"/>
          <w:sz w:val="22"/>
          <w:szCs w:val="22"/>
        </w:rPr>
        <w:t xml:space="preserve"> o</w:t>
      </w:r>
      <w:r w:rsidRPr="00974377">
        <w:rPr>
          <w:rFonts w:asciiTheme="majorHAnsi" w:hAnsiTheme="majorHAnsi"/>
          <w:sz w:val="22"/>
          <w:szCs w:val="22"/>
        </w:rPr>
        <w:t>n</w:t>
      </w:r>
      <w:r w:rsidR="00887CA6" w:rsidRPr="00974377">
        <w:rPr>
          <w:rFonts w:asciiTheme="majorHAnsi" w:hAnsiTheme="majorHAnsi"/>
          <w:sz w:val="22"/>
          <w:szCs w:val="22"/>
        </w:rPr>
        <w:t xml:space="preserve"> the digital divide in t</w:t>
      </w:r>
      <w:r w:rsidRPr="00974377">
        <w:rPr>
          <w:rFonts w:asciiTheme="majorHAnsi" w:hAnsiTheme="majorHAnsi"/>
          <w:sz w:val="22"/>
          <w:szCs w:val="22"/>
        </w:rPr>
        <w:t xml:space="preserve">arget </w:t>
      </w:r>
      <w:r w:rsidR="00887CA6" w:rsidRPr="00974377">
        <w:rPr>
          <w:rFonts w:asciiTheme="majorHAnsi" w:hAnsiTheme="majorHAnsi"/>
          <w:sz w:val="22"/>
          <w:szCs w:val="22"/>
        </w:rPr>
        <w:t>districts</w:t>
      </w:r>
      <w:r w:rsidRPr="00974377">
        <w:rPr>
          <w:rFonts w:asciiTheme="majorHAnsi" w:hAnsiTheme="majorHAnsi"/>
          <w:sz w:val="22"/>
          <w:szCs w:val="22"/>
        </w:rPr>
        <w:t xml:space="preserve"> focused on </w:t>
      </w:r>
      <w:r w:rsidR="00887CA6" w:rsidRPr="00974377">
        <w:rPr>
          <w:rFonts w:asciiTheme="majorHAnsi" w:hAnsiTheme="majorHAnsi"/>
          <w:sz w:val="22"/>
          <w:szCs w:val="22"/>
        </w:rPr>
        <w:t xml:space="preserve">the level of </w:t>
      </w:r>
      <w:r w:rsidRPr="00974377">
        <w:rPr>
          <w:rFonts w:asciiTheme="majorHAnsi" w:hAnsiTheme="majorHAnsi"/>
          <w:sz w:val="22"/>
          <w:szCs w:val="22"/>
        </w:rPr>
        <w:t>teachers</w:t>
      </w:r>
      <w:r w:rsidR="00B56BEE" w:rsidRPr="00974377">
        <w:rPr>
          <w:rFonts w:asciiTheme="majorHAnsi" w:hAnsiTheme="majorHAnsi"/>
          <w:sz w:val="22"/>
          <w:szCs w:val="22"/>
        </w:rPr>
        <w:t>’</w:t>
      </w:r>
      <w:r w:rsidRPr="00974377">
        <w:rPr>
          <w:rFonts w:asciiTheme="majorHAnsi" w:hAnsiTheme="majorHAnsi"/>
          <w:sz w:val="22"/>
          <w:szCs w:val="22"/>
        </w:rPr>
        <w:t xml:space="preserve"> </w:t>
      </w:r>
      <w:r w:rsidR="00887CA6" w:rsidRPr="00974377">
        <w:rPr>
          <w:rFonts w:asciiTheme="majorHAnsi" w:hAnsiTheme="majorHAnsi"/>
          <w:sz w:val="22"/>
          <w:szCs w:val="22"/>
        </w:rPr>
        <w:t xml:space="preserve">access to </w:t>
      </w:r>
      <w:proofErr w:type="spellStart"/>
      <w:r w:rsidR="00B56BEE" w:rsidRPr="00974377">
        <w:rPr>
          <w:rFonts w:asciiTheme="majorHAnsi" w:hAnsiTheme="majorHAnsi"/>
          <w:sz w:val="22"/>
          <w:szCs w:val="22"/>
        </w:rPr>
        <w:t>MoECRT’s</w:t>
      </w:r>
      <w:proofErr w:type="spellEnd"/>
      <w:r w:rsidR="00B56BEE" w:rsidRPr="00974377">
        <w:rPr>
          <w:rFonts w:asciiTheme="majorHAnsi" w:hAnsiTheme="majorHAnsi"/>
          <w:sz w:val="22"/>
          <w:szCs w:val="22"/>
        </w:rPr>
        <w:t xml:space="preserve"> digital resource platform (</w:t>
      </w:r>
      <w:r w:rsidR="00887CA6" w:rsidRPr="00974377">
        <w:rPr>
          <w:rFonts w:asciiTheme="majorHAnsi" w:hAnsiTheme="majorHAnsi"/>
          <w:sz w:val="22"/>
          <w:szCs w:val="22"/>
        </w:rPr>
        <w:t>PMM</w:t>
      </w:r>
      <w:r w:rsidR="00B56BEE" w:rsidRPr="00974377">
        <w:rPr>
          <w:rFonts w:asciiTheme="majorHAnsi" w:hAnsiTheme="majorHAnsi"/>
          <w:sz w:val="22"/>
          <w:szCs w:val="22"/>
        </w:rPr>
        <w:t>)</w:t>
      </w:r>
      <w:r w:rsidR="00495AFB">
        <w:rPr>
          <w:rFonts w:asciiTheme="majorHAnsi" w:hAnsiTheme="majorHAnsi"/>
          <w:sz w:val="22"/>
          <w:szCs w:val="22"/>
        </w:rPr>
        <w:t>.</w:t>
      </w:r>
      <w:r w:rsidR="006D30F5" w:rsidRPr="006D30F5">
        <w:rPr>
          <w:rFonts w:asciiTheme="majorHAnsi" w:hAnsiTheme="majorHAnsi"/>
          <w:sz w:val="22"/>
          <w:szCs w:val="22"/>
        </w:rPr>
        <w:t xml:space="preserve"> </w:t>
      </w:r>
    </w:p>
    <w:p w14:paraId="6639DC89" w14:textId="30A85620" w:rsidR="006D30F5" w:rsidRPr="0095529A" w:rsidRDefault="0095529A" w:rsidP="008D1844">
      <w:pPr>
        <w:pStyle w:val="ListParagraph"/>
        <w:numPr>
          <w:ilvl w:val="2"/>
          <w:numId w:val="27"/>
        </w:numPr>
        <w:tabs>
          <w:tab w:val="left" w:pos="284"/>
        </w:tabs>
        <w:spacing w:before="120" w:after="120" w:line="281" w:lineRule="auto"/>
        <w:ind w:left="1134" w:hanging="283"/>
        <w:contextualSpacing w:val="0"/>
        <w:rPr>
          <w:rFonts w:asciiTheme="majorHAnsi" w:hAnsiTheme="majorHAnsi"/>
          <w:sz w:val="22"/>
          <w:szCs w:val="22"/>
        </w:rPr>
      </w:pPr>
      <w:r w:rsidRPr="00974377">
        <w:rPr>
          <w:rFonts w:asciiTheme="majorHAnsi" w:hAnsiTheme="majorHAnsi"/>
          <w:sz w:val="22"/>
          <w:szCs w:val="22"/>
        </w:rPr>
        <w:t>Analysis of fiscal flow and district financial resources to support reforms implementation in target districts</w:t>
      </w:r>
      <w:r>
        <w:rPr>
          <w:rFonts w:asciiTheme="majorHAnsi" w:hAnsiTheme="majorHAnsi"/>
          <w:sz w:val="22"/>
          <w:szCs w:val="22"/>
        </w:rPr>
        <w:t>, including district capacities for implementation of Regulation 13/2020 on Reasonable Accommodation, and resourcing schools without connectivity to access digital resources, with textbooks and printed resources</w:t>
      </w:r>
      <w:r w:rsidR="00495AFB">
        <w:rPr>
          <w:rFonts w:asciiTheme="majorHAnsi" w:hAnsiTheme="majorHAnsi"/>
          <w:sz w:val="22"/>
          <w:szCs w:val="22"/>
        </w:rPr>
        <w:t>.</w:t>
      </w:r>
    </w:p>
    <w:p w14:paraId="666336D7" w14:textId="23A6BCD6" w:rsidR="00E736F1" w:rsidRPr="00974377" w:rsidRDefault="00096B64" w:rsidP="008D1844">
      <w:pPr>
        <w:pStyle w:val="ListParagraph"/>
        <w:numPr>
          <w:ilvl w:val="0"/>
          <w:numId w:val="50"/>
        </w:numPr>
        <w:tabs>
          <w:tab w:val="left" w:pos="284"/>
        </w:tabs>
        <w:spacing w:before="120" w:after="120" w:line="281" w:lineRule="auto"/>
        <w:ind w:left="567" w:hanging="283"/>
        <w:contextualSpacing w:val="0"/>
        <w:textDirection w:val="btLr"/>
        <w:rPr>
          <w:rFonts w:asciiTheme="majorHAnsi" w:hAnsiTheme="majorHAnsi"/>
          <w:sz w:val="22"/>
          <w:szCs w:val="22"/>
        </w:rPr>
      </w:pPr>
      <w:r w:rsidRPr="00974377">
        <w:rPr>
          <w:rFonts w:asciiTheme="majorHAnsi" w:hAnsiTheme="majorHAnsi"/>
          <w:sz w:val="22"/>
          <w:szCs w:val="22"/>
        </w:rPr>
        <w:t>The l</w:t>
      </w:r>
      <w:r w:rsidR="007E1662" w:rsidRPr="00974377">
        <w:rPr>
          <w:rFonts w:asciiTheme="majorHAnsi" w:hAnsiTheme="majorHAnsi"/>
          <w:sz w:val="22"/>
          <w:szCs w:val="22"/>
        </w:rPr>
        <w:t>earning</w:t>
      </w:r>
      <w:r w:rsidR="008E5EC3" w:rsidRPr="00974377">
        <w:rPr>
          <w:rFonts w:asciiTheme="majorHAnsi" w:hAnsiTheme="majorHAnsi"/>
          <w:sz w:val="22"/>
          <w:szCs w:val="22"/>
        </w:rPr>
        <w:t xml:space="preserve"> function is central for INOVASI and </w:t>
      </w:r>
      <w:r w:rsidR="00D4095E" w:rsidRPr="00974377">
        <w:rPr>
          <w:rFonts w:asciiTheme="majorHAnsi" w:hAnsiTheme="majorHAnsi"/>
          <w:sz w:val="22"/>
          <w:szCs w:val="22"/>
        </w:rPr>
        <w:t>will</w:t>
      </w:r>
      <w:r w:rsidR="008E5EC3" w:rsidRPr="00974377">
        <w:rPr>
          <w:rFonts w:asciiTheme="majorHAnsi" w:hAnsiTheme="majorHAnsi"/>
          <w:sz w:val="22"/>
          <w:szCs w:val="22"/>
        </w:rPr>
        <w:t xml:space="preserve"> </w:t>
      </w:r>
      <w:r w:rsidR="00D4095E" w:rsidRPr="00974377">
        <w:rPr>
          <w:rFonts w:asciiTheme="majorHAnsi" w:hAnsiTheme="majorHAnsi"/>
          <w:sz w:val="22"/>
          <w:szCs w:val="22"/>
        </w:rPr>
        <w:t>generate</w:t>
      </w:r>
      <w:r w:rsidR="008E5EC3" w:rsidRPr="00974377">
        <w:rPr>
          <w:rFonts w:asciiTheme="majorHAnsi" w:hAnsiTheme="majorHAnsi"/>
          <w:sz w:val="22"/>
          <w:szCs w:val="22"/>
        </w:rPr>
        <w:t xml:space="preserve"> two levels</w:t>
      </w:r>
      <w:r w:rsidR="00D4095E" w:rsidRPr="00974377">
        <w:rPr>
          <w:rFonts w:asciiTheme="majorHAnsi" w:hAnsiTheme="majorHAnsi"/>
          <w:sz w:val="22"/>
          <w:szCs w:val="22"/>
        </w:rPr>
        <w:t xml:space="preserve"> of</w:t>
      </w:r>
      <w:r w:rsidR="008E5EC3" w:rsidRPr="00974377">
        <w:rPr>
          <w:rFonts w:asciiTheme="majorHAnsi" w:hAnsiTheme="majorHAnsi"/>
          <w:sz w:val="22"/>
          <w:szCs w:val="22"/>
        </w:rPr>
        <w:t xml:space="preserve"> lessons</w:t>
      </w:r>
      <w:r w:rsidR="00D4095E" w:rsidRPr="00974377">
        <w:rPr>
          <w:rFonts w:asciiTheme="majorHAnsi" w:hAnsiTheme="majorHAnsi"/>
          <w:sz w:val="22"/>
          <w:szCs w:val="22"/>
        </w:rPr>
        <w:t>: lessons</w:t>
      </w:r>
      <w:r w:rsidR="008E5EC3" w:rsidRPr="00974377">
        <w:rPr>
          <w:rFonts w:asciiTheme="majorHAnsi" w:hAnsiTheme="majorHAnsi"/>
          <w:sz w:val="22"/>
          <w:szCs w:val="22"/>
        </w:rPr>
        <w:t xml:space="preserve"> for programmatic improvement (operational learning) and lessons for sector improvement (strategic learning)</w:t>
      </w:r>
      <w:r w:rsidR="007E1662" w:rsidRPr="00974377">
        <w:rPr>
          <w:rFonts w:asciiTheme="majorHAnsi" w:hAnsiTheme="majorHAnsi"/>
          <w:sz w:val="22"/>
          <w:szCs w:val="22"/>
        </w:rPr>
        <w:t xml:space="preserve">. </w:t>
      </w:r>
      <w:r w:rsidR="008E5EC3" w:rsidRPr="00974377">
        <w:rPr>
          <w:rFonts w:asciiTheme="majorHAnsi" w:hAnsiTheme="majorHAnsi"/>
          <w:sz w:val="22"/>
          <w:szCs w:val="22"/>
        </w:rPr>
        <w:t>Wh</w:t>
      </w:r>
      <w:r w:rsidR="00F47635" w:rsidRPr="00974377">
        <w:rPr>
          <w:rFonts w:asciiTheme="majorHAnsi" w:hAnsiTheme="majorHAnsi"/>
          <w:sz w:val="22"/>
          <w:szCs w:val="22"/>
        </w:rPr>
        <w:t>ile</w:t>
      </w:r>
      <w:r w:rsidR="008E5EC3" w:rsidRPr="00974377">
        <w:rPr>
          <w:rFonts w:asciiTheme="majorHAnsi" w:hAnsiTheme="majorHAnsi"/>
          <w:sz w:val="22"/>
          <w:szCs w:val="22"/>
        </w:rPr>
        <w:t xml:space="preserve"> the former </w:t>
      </w:r>
      <w:r w:rsidR="00D4095E" w:rsidRPr="00974377">
        <w:rPr>
          <w:rFonts w:asciiTheme="majorHAnsi" w:hAnsiTheme="majorHAnsi"/>
          <w:sz w:val="22"/>
          <w:szCs w:val="22"/>
        </w:rPr>
        <w:t>level necessitates a reflective process on the program operations, the la</w:t>
      </w:r>
      <w:r w:rsidR="00A8328B" w:rsidRPr="00974377">
        <w:rPr>
          <w:rFonts w:asciiTheme="majorHAnsi" w:hAnsiTheme="majorHAnsi"/>
          <w:sz w:val="22"/>
          <w:szCs w:val="22"/>
        </w:rPr>
        <w:t>t</w:t>
      </w:r>
      <w:r w:rsidR="00D4095E" w:rsidRPr="00974377">
        <w:rPr>
          <w:rFonts w:asciiTheme="majorHAnsi" w:hAnsiTheme="majorHAnsi"/>
          <w:sz w:val="22"/>
          <w:szCs w:val="22"/>
        </w:rPr>
        <w:t xml:space="preserve">ter </w:t>
      </w:r>
      <w:r w:rsidR="00F47635" w:rsidRPr="00974377">
        <w:rPr>
          <w:rFonts w:asciiTheme="majorHAnsi" w:hAnsiTheme="majorHAnsi"/>
          <w:sz w:val="22"/>
          <w:szCs w:val="22"/>
        </w:rPr>
        <w:t>focuses on</w:t>
      </w:r>
      <w:r w:rsidR="00D4095E" w:rsidRPr="00974377">
        <w:rPr>
          <w:rFonts w:asciiTheme="majorHAnsi" w:hAnsiTheme="majorHAnsi"/>
          <w:sz w:val="22"/>
          <w:szCs w:val="22"/>
        </w:rPr>
        <w:t xml:space="preserve"> the reforms and issues the program cares about – it uses program experiences to generate key insights about the context in which it operates. The strategic level of learning is a fundamental underpinning of the program rationale</w:t>
      </w:r>
      <w:r w:rsidR="00F47635" w:rsidRPr="00974377">
        <w:rPr>
          <w:rFonts w:asciiTheme="majorHAnsi" w:hAnsiTheme="majorHAnsi"/>
          <w:sz w:val="22"/>
          <w:szCs w:val="22"/>
        </w:rPr>
        <w:t>:</w:t>
      </w:r>
      <w:r w:rsidR="00D4095E" w:rsidRPr="00974377">
        <w:rPr>
          <w:rFonts w:asciiTheme="majorHAnsi" w:hAnsiTheme="majorHAnsi"/>
          <w:sz w:val="22"/>
          <w:szCs w:val="22"/>
        </w:rPr>
        <w:t xml:space="preserve"> it is a necessary condition for the scale up of the program’s approach</w:t>
      </w:r>
      <w:r w:rsidR="000A3221" w:rsidRPr="00974377">
        <w:rPr>
          <w:rFonts w:asciiTheme="majorHAnsi" w:hAnsiTheme="majorHAnsi"/>
          <w:sz w:val="22"/>
          <w:szCs w:val="22"/>
        </w:rPr>
        <w:t xml:space="preserve">, and as </w:t>
      </w:r>
      <w:r w:rsidR="00F47635" w:rsidRPr="00974377">
        <w:rPr>
          <w:rFonts w:asciiTheme="majorHAnsi" w:hAnsiTheme="majorHAnsi"/>
          <w:sz w:val="22"/>
          <w:szCs w:val="22"/>
        </w:rPr>
        <w:t xml:space="preserve">such </w:t>
      </w:r>
      <w:r w:rsidR="0095529A">
        <w:rPr>
          <w:rFonts w:asciiTheme="majorHAnsi" w:hAnsiTheme="majorHAnsi"/>
          <w:sz w:val="22"/>
          <w:szCs w:val="22"/>
        </w:rPr>
        <w:t xml:space="preserve">a </w:t>
      </w:r>
      <w:r w:rsidR="00F47635" w:rsidRPr="00974377">
        <w:rPr>
          <w:rFonts w:asciiTheme="majorHAnsi" w:hAnsiTheme="majorHAnsi"/>
          <w:sz w:val="22"/>
          <w:szCs w:val="22"/>
        </w:rPr>
        <w:t xml:space="preserve">critical </w:t>
      </w:r>
      <w:r w:rsidR="000A3221" w:rsidRPr="00974377">
        <w:rPr>
          <w:rFonts w:asciiTheme="majorHAnsi" w:hAnsiTheme="majorHAnsi"/>
          <w:sz w:val="22"/>
          <w:szCs w:val="22"/>
        </w:rPr>
        <w:t>factor f</w:t>
      </w:r>
      <w:r w:rsidR="0095529A">
        <w:rPr>
          <w:rFonts w:asciiTheme="majorHAnsi" w:hAnsiTheme="majorHAnsi"/>
          <w:sz w:val="22"/>
          <w:szCs w:val="22"/>
        </w:rPr>
        <w:t>or</w:t>
      </w:r>
      <w:r w:rsidR="000A3221" w:rsidRPr="00974377">
        <w:rPr>
          <w:rFonts w:asciiTheme="majorHAnsi" w:hAnsiTheme="majorHAnsi"/>
          <w:sz w:val="22"/>
          <w:szCs w:val="22"/>
        </w:rPr>
        <w:t xml:space="preserve"> long-term impact. The learning function will</w:t>
      </w:r>
      <w:r w:rsidR="00F47635" w:rsidRPr="00974377">
        <w:rPr>
          <w:rFonts w:asciiTheme="majorHAnsi" w:hAnsiTheme="majorHAnsi"/>
          <w:sz w:val="22"/>
          <w:szCs w:val="22"/>
        </w:rPr>
        <w:t xml:space="preserve"> </w:t>
      </w:r>
      <w:r w:rsidR="000A3221" w:rsidRPr="00974377">
        <w:rPr>
          <w:rFonts w:asciiTheme="majorHAnsi" w:hAnsiTheme="majorHAnsi"/>
          <w:sz w:val="22"/>
          <w:szCs w:val="22"/>
        </w:rPr>
        <w:t xml:space="preserve">feature </w:t>
      </w:r>
      <w:r w:rsidR="00F47635" w:rsidRPr="00974377">
        <w:rPr>
          <w:rFonts w:asciiTheme="majorHAnsi" w:hAnsiTheme="majorHAnsi"/>
          <w:sz w:val="22"/>
          <w:szCs w:val="22"/>
        </w:rPr>
        <w:t>prominent</w:t>
      </w:r>
      <w:r w:rsidR="000A3221" w:rsidRPr="00974377">
        <w:rPr>
          <w:rFonts w:asciiTheme="majorHAnsi" w:hAnsiTheme="majorHAnsi"/>
          <w:sz w:val="22"/>
          <w:szCs w:val="22"/>
        </w:rPr>
        <w:t>ly in the MERL system</w:t>
      </w:r>
      <w:r w:rsidR="0095529A">
        <w:rPr>
          <w:rFonts w:asciiTheme="majorHAnsi" w:hAnsiTheme="majorHAnsi"/>
          <w:sz w:val="22"/>
          <w:szCs w:val="22"/>
        </w:rPr>
        <w:t xml:space="preserve">. It </w:t>
      </w:r>
      <w:r w:rsidR="000A3221" w:rsidRPr="00974377">
        <w:rPr>
          <w:rFonts w:asciiTheme="majorHAnsi" w:hAnsiTheme="majorHAnsi"/>
          <w:sz w:val="22"/>
          <w:szCs w:val="22"/>
        </w:rPr>
        <w:t>will facilitate a culture of learning within the implementation team</w:t>
      </w:r>
      <w:r w:rsidR="00E94416">
        <w:rPr>
          <w:rFonts w:asciiTheme="majorHAnsi" w:hAnsiTheme="majorHAnsi"/>
          <w:sz w:val="22"/>
          <w:szCs w:val="22"/>
        </w:rPr>
        <w:t xml:space="preserve"> and </w:t>
      </w:r>
      <w:r w:rsidR="00E94416" w:rsidRPr="00E94416">
        <w:rPr>
          <w:rFonts w:asciiTheme="majorHAnsi" w:hAnsiTheme="majorHAnsi"/>
          <w:sz w:val="22"/>
          <w:szCs w:val="22"/>
        </w:rPr>
        <w:t>support a culture of evidence</w:t>
      </w:r>
      <w:r w:rsidR="0095529A">
        <w:rPr>
          <w:rFonts w:asciiTheme="majorHAnsi" w:hAnsiTheme="majorHAnsi"/>
          <w:sz w:val="22"/>
          <w:szCs w:val="22"/>
        </w:rPr>
        <w:t>-</w:t>
      </w:r>
      <w:r w:rsidR="00E94416" w:rsidRPr="00E94416">
        <w:rPr>
          <w:rFonts w:asciiTheme="majorHAnsi" w:hAnsiTheme="majorHAnsi"/>
          <w:sz w:val="22"/>
          <w:szCs w:val="22"/>
        </w:rPr>
        <w:t xml:space="preserve">based policy making in </w:t>
      </w:r>
      <w:proofErr w:type="spellStart"/>
      <w:r w:rsidR="00E94416" w:rsidRPr="00E94416">
        <w:rPr>
          <w:rFonts w:asciiTheme="majorHAnsi" w:hAnsiTheme="majorHAnsi"/>
          <w:sz w:val="22"/>
          <w:szCs w:val="22"/>
        </w:rPr>
        <w:t>MoECRT</w:t>
      </w:r>
      <w:proofErr w:type="spellEnd"/>
      <w:r w:rsidR="00E94416" w:rsidRPr="00E94416">
        <w:rPr>
          <w:rFonts w:asciiTheme="majorHAnsi" w:hAnsiTheme="majorHAnsi"/>
          <w:sz w:val="22"/>
          <w:szCs w:val="22"/>
        </w:rPr>
        <w:t xml:space="preserve"> and </w:t>
      </w:r>
      <w:proofErr w:type="spellStart"/>
      <w:r w:rsidR="00E94416" w:rsidRPr="00E94416">
        <w:rPr>
          <w:rFonts w:asciiTheme="majorHAnsi" w:hAnsiTheme="majorHAnsi"/>
          <w:sz w:val="22"/>
          <w:szCs w:val="22"/>
        </w:rPr>
        <w:t>MoRA</w:t>
      </w:r>
      <w:proofErr w:type="spellEnd"/>
      <w:r w:rsidR="00F47635" w:rsidRPr="00974377">
        <w:rPr>
          <w:rFonts w:asciiTheme="majorHAnsi" w:hAnsiTheme="majorHAnsi"/>
          <w:sz w:val="22"/>
          <w:szCs w:val="22"/>
        </w:rPr>
        <w:t xml:space="preserve">. </w:t>
      </w:r>
      <w:r w:rsidR="000A3221" w:rsidRPr="00974377">
        <w:rPr>
          <w:rFonts w:asciiTheme="majorHAnsi" w:hAnsiTheme="majorHAnsi"/>
          <w:sz w:val="22"/>
          <w:szCs w:val="22"/>
        </w:rPr>
        <w:t>All team members will be involved in learning activities and tasks</w:t>
      </w:r>
      <w:r w:rsidR="0095529A">
        <w:rPr>
          <w:rFonts w:asciiTheme="majorHAnsi" w:hAnsiTheme="majorHAnsi"/>
          <w:sz w:val="22"/>
          <w:szCs w:val="22"/>
        </w:rPr>
        <w:t xml:space="preserve">. At least </w:t>
      </w:r>
      <w:r w:rsidR="000A3221" w:rsidRPr="00974377">
        <w:rPr>
          <w:rFonts w:asciiTheme="majorHAnsi" w:hAnsiTheme="majorHAnsi"/>
          <w:sz w:val="22"/>
          <w:szCs w:val="22"/>
        </w:rPr>
        <w:t>t</w:t>
      </w:r>
      <w:r w:rsidR="007E1662" w:rsidRPr="00974377">
        <w:rPr>
          <w:rFonts w:asciiTheme="majorHAnsi" w:hAnsiTheme="majorHAnsi"/>
          <w:sz w:val="22"/>
          <w:szCs w:val="22"/>
        </w:rPr>
        <w:t>wo learning mechanisms</w:t>
      </w:r>
      <w:r w:rsidR="000A3221" w:rsidRPr="00974377">
        <w:rPr>
          <w:rFonts w:asciiTheme="majorHAnsi" w:hAnsiTheme="majorHAnsi"/>
          <w:sz w:val="22"/>
          <w:szCs w:val="22"/>
        </w:rPr>
        <w:t xml:space="preserve"> will be developed and implemented</w:t>
      </w:r>
      <w:r w:rsidR="0095529A">
        <w:rPr>
          <w:rFonts w:asciiTheme="majorHAnsi" w:hAnsiTheme="majorHAnsi"/>
          <w:sz w:val="22"/>
          <w:szCs w:val="22"/>
        </w:rPr>
        <w:t>: one at district level, the other at program level</w:t>
      </w:r>
      <w:r w:rsidR="000A3221" w:rsidRPr="00974377">
        <w:rPr>
          <w:rFonts w:asciiTheme="majorHAnsi" w:hAnsiTheme="majorHAnsi"/>
          <w:sz w:val="22"/>
          <w:szCs w:val="22"/>
        </w:rPr>
        <w:t>.</w:t>
      </w:r>
      <w:r w:rsidR="007E1662" w:rsidRPr="00974377">
        <w:rPr>
          <w:rFonts w:asciiTheme="majorHAnsi" w:hAnsiTheme="majorHAnsi"/>
          <w:sz w:val="22"/>
          <w:szCs w:val="22"/>
        </w:rPr>
        <w:t xml:space="preserve"> The first is an internal review process for each </w:t>
      </w:r>
      <w:r w:rsidR="0096333E" w:rsidRPr="00974377">
        <w:rPr>
          <w:rFonts w:asciiTheme="majorHAnsi" w:hAnsiTheme="majorHAnsi"/>
          <w:sz w:val="22"/>
          <w:szCs w:val="22"/>
        </w:rPr>
        <w:t>target district</w:t>
      </w:r>
      <w:r w:rsidR="00D4095E" w:rsidRPr="00974377">
        <w:rPr>
          <w:rFonts w:asciiTheme="majorHAnsi" w:hAnsiTheme="majorHAnsi"/>
          <w:sz w:val="22"/>
          <w:szCs w:val="22"/>
        </w:rPr>
        <w:t xml:space="preserve"> </w:t>
      </w:r>
      <w:r w:rsidR="007E1662" w:rsidRPr="00974377">
        <w:rPr>
          <w:rFonts w:asciiTheme="majorHAnsi" w:hAnsiTheme="majorHAnsi"/>
          <w:sz w:val="22"/>
          <w:szCs w:val="22"/>
        </w:rPr>
        <w:t>to review progress and results and identify areas for improvement. The</w:t>
      </w:r>
      <w:r w:rsidR="00D4095E" w:rsidRPr="00974377">
        <w:rPr>
          <w:rFonts w:asciiTheme="majorHAnsi" w:hAnsiTheme="majorHAnsi"/>
          <w:sz w:val="22"/>
          <w:szCs w:val="22"/>
        </w:rPr>
        <w:t xml:space="preserve">se lessons </w:t>
      </w:r>
      <w:r w:rsidR="007E1662" w:rsidRPr="00974377">
        <w:rPr>
          <w:rFonts w:asciiTheme="majorHAnsi" w:hAnsiTheme="majorHAnsi"/>
          <w:sz w:val="22"/>
          <w:szCs w:val="22"/>
        </w:rPr>
        <w:t xml:space="preserve">will then feed into an </w:t>
      </w:r>
      <w:r w:rsidR="00D4095E" w:rsidRPr="00974377">
        <w:rPr>
          <w:rFonts w:asciiTheme="majorHAnsi" w:hAnsiTheme="majorHAnsi"/>
          <w:sz w:val="22"/>
          <w:szCs w:val="22"/>
        </w:rPr>
        <w:t>a</w:t>
      </w:r>
      <w:r w:rsidR="007E1662" w:rsidRPr="00974377">
        <w:rPr>
          <w:rFonts w:asciiTheme="majorHAnsi" w:hAnsiTheme="majorHAnsi"/>
          <w:sz w:val="22"/>
          <w:szCs w:val="22"/>
        </w:rPr>
        <w:t xml:space="preserve">nnual </w:t>
      </w:r>
      <w:r w:rsidR="00D4095E" w:rsidRPr="00974377">
        <w:rPr>
          <w:rFonts w:asciiTheme="majorHAnsi" w:hAnsiTheme="majorHAnsi"/>
          <w:sz w:val="22"/>
          <w:szCs w:val="22"/>
        </w:rPr>
        <w:t>p</w:t>
      </w:r>
      <w:r w:rsidR="007E1662" w:rsidRPr="00974377">
        <w:rPr>
          <w:rFonts w:asciiTheme="majorHAnsi" w:hAnsiTheme="majorHAnsi"/>
          <w:sz w:val="22"/>
          <w:szCs w:val="22"/>
        </w:rPr>
        <w:t xml:space="preserve">rogram </w:t>
      </w:r>
      <w:r w:rsidR="00D4095E" w:rsidRPr="00974377">
        <w:rPr>
          <w:rFonts w:asciiTheme="majorHAnsi" w:hAnsiTheme="majorHAnsi"/>
          <w:sz w:val="22"/>
          <w:szCs w:val="22"/>
        </w:rPr>
        <w:t>r</w:t>
      </w:r>
      <w:r w:rsidR="007E1662" w:rsidRPr="00974377">
        <w:rPr>
          <w:rFonts w:asciiTheme="majorHAnsi" w:hAnsiTheme="majorHAnsi"/>
          <w:sz w:val="22"/>
          <w:szCs w:val="22"/>
        </w:rPr>
        <w:t xml:space="preserve">eflection </w:t>
      </w:r>
      <w:r w:rsidR="00D4095E" w:rsidRPr="00974377">
        <w:rPr>
          <w:rFonts w:asciiTheme="majorHAnsi" w:hAnsiTheme="majorHAnsi"/>
          <w:sz w:val="22"/>
          <w:szCs w:val="22"/>
        </w:rPr>
        <w:t>w</w:t>
      </w:r>
      <w:r w:rsidR="007E1662" w:rsidRPr="00974377">
        <w:rPr>
          <w:rFonts w:asciiTheme="majorHAnsi" w:hAnsiTheme="majorHAnsi"/>
          <w:sz w:val="22"/>
          <w:szCs w:val="22"/>
        </w:rPr>
        <w:t xml:space="preserve">orkshop, that involves </w:t>
      </w:r>
      <w:r w:rsidR="00911154" w:rsidRPr="00974377">
        <w:rPr>
          <w:rFonts w:asciiTheme="majorHAnsi" w:hAnsiTheme="majorHAnsi"/>
          <w:sz w:val="22"/>
          <w:szCs w:val="22"/>
        </w:rPr>
        <w:t>DFAT and relevant stakeholders, cover</w:t>
      </w:r>
      <w:r w:rsidR="0095529A">
        <w:rPr>
          <w:rFonts w:asciiTheme="majorHAnsi" w:hAnsiTheme="majorHAnsi"/>
          <w:sz w:val="22"/>
          <w:szCs w:val="22"/>
        </w:rPr>
        <w:t>s</w:t>
      </w:r>
      <w:r w:rsidR="00911154" w:rsidRPr="00974377">
        <w:rPr>
          <w:rFonts w:asciiTheme="majorHAnsi" w:hAnsiTheme="majorHAnsi"/>
          <w:sz w:val="22"/>
          <w:szCs w:val="22"/>
        </w:rPr>
        <w:t xml:space="preserve"> contextual changes and program achievements, confirm</w:t>
      </w:r>
      <w:r w:rsidR="0095529A">
        <w:rPr>
          <w:rFonts w:asciiTheme="majorHAnsi" w:hAnsiTheme="majorHAnsi"/>
          <w:sz w:val="22"/>
          <w:szCs w:val="22"/>
        </w:rPr>
        <w:t>s</w:t>
      </w:r>
      <w:r w:rsidR="00911154" w:rsidRPr="00974377">
        <w:rPr>
          <w:rFonts w:asciiTheme="majorHAnsi" w:hAnsiTheme="majorHAnsi"/>
          <w:sz w:val="22"/>
          <w:szCs w:val="22"/>
        </w:rPr>
        <w:t xml:space="preserve"> program directions</w:t>
      </w:r>
      <w:r w:rsidR="0095529A">
        <w:rPr>
          <w:rFonts w:asciiTheme="majorHAnsi" w:hAnsiTheme="majorHAnsi"/>
          <w:sz w:val="22"/>
          <w:szCs w:val="22"/>
        </w:rPr>
        <w:t xml:space="preserve">, </w:t>
      </w:r>
      <w:r w:rsidR="00911154" w:rsidRPr="00974377">
        <w:rPr>
          <w:rFonts w:asciiTheme="majorHAnsi" w:hAnsiTheme="majorHAnsi"/>
          <w:sz w:val="22"/>
          <w:szCs w:val="22"/>
        </w:rPr>
        <w:t>and identif</w:t>
      </w:r>
      <w:r w:rsidR="0095529A">
        <w:rPr>
          <w:rFonts w:asciiTheme="majorHAnsi" w:hAnsiTheme="majorHAnsi"/>
          <w:sz w:val="22"/>
          <w:szCs w:val="22"/>
        </w:rPr>
        <w:t>ies</w:t>
      </w:r>
      <w:r w:rsidR="00911154" w:rsidRPr="00974377">
        <w:rPr>
          <w:rFonts w:asciiTheme="majorHAnsi" w:hAnsiTheme="majorHAnsi"/>
          <w:sz w:val="22"/>
          <w:szCs w:val="22"/>
        </w:rPr>
        <w:t xml:space="preserve"> lessons and their application in program activities</w:t>
      </w:r>
      <w:r w:rsidR="007E1662" w:rsidRPr="00974377">
        <w:rPr>
          <w:rFonts w:asciiTheme="majorHAnsi" w:hAnsiTheme="majorHAnsi"/>
          <w:sz w:val="22"/>
          <w:szCs w:val="22"/>
        </w:rPr>
        <w:t>. Th</w:t>
      </w:r>
      <w:r w:rsidR="00911154" w:rsidRPr="00974377">
        <w:rPr>
          <w:rFonts w:asciiTheme="majorHAnsi" w:hAnsiTheme="majorHAnsi"/>
          <w:sz w:val="22"/>
          <w:szCs w:val="22"/>
        </w:rPr>
        <w:t xml:space="preserve">e </w:t>
      </w:r>
      <w:r w:rsidR="007E1662" w:rsidRPr="00974377">
        <w:rPr>
          <w:rFonts w:asciiTheme="majorHAnsi" w:hAnsiTheme="majorHAnsi"/>
          <w:sz w:val="22"/>
          <w:szCs w:val="22"/>
        </w:rPr>
        <w:t xml:space="preserve">workshop </w:t>
      </w:r>
      <w:r w:rsidR="00911154" w:rsidRPr="00974377">
        <w:rPr>
          <w:rFonts w:asciiTheme="majorHAnsi" w:hAnsiTheme="majorHAnsi"/>
          <w:sz w:val="22"/>
          <w:szCs w:val="22"/>
        </w:rPr>
        <w:t>takeaways will then be shared with NSC and PSC members and feed into</w:t>
      </w:r>
      <w:r w:rsidR="007E1662" w:rsidRPr="00974377">
        <w:rPr>
          <w:rFonts w:asciiTheme="majorHAnsi" w:hAnsiTheme="majorHAnsi"/>
          <w:sz w:val="22"/>
          <w:szCs w:val="22"/>
        </w:rPr>
        <w:t xml:space="preserve"> the preparation of the </w:t>
      </w:r>
      <w:r w:rsidR="00911154" w:rsidRPr="00974377">
        <w:rPr>
          <w:rFonts w:asciiTheme="majorHAnsi" w:hAnsiTheme="majorHAnsi"/>
          <w:sz w:val="22"/>
          <w:szCs w:val="22"/>
        </w:rPr>
        <w:t>program</w:t>
      </w:r>
      <w:r w:rsidR="007E1662" w:rsidRPr="00974377">
        <w:rPr>
          <w:rFonts w:asciiTheme="majorHAnsi" w:hAnsiTheme="majorHAnsi"/>
          <w:sz w:val="22"/>
          <w:szCs w:val="22"/>
        </w:rPr>
        <w:t xml:space="preserve"> Annual Plan</w:t>
      </w:r>
      <w:r w:rsidR="00911154" w:rsidRPr="00974377">
        <w:rPr>
          <w:rFonts w:asciiTheme="majorHAnsi" w:hAnsiTheme="majorHAnsi"/>
          <w:sz w:val="22"/>
          <w:szCs w:val="22"/>
        </w:rPr>
        <w:t xml:space="preserve"> and Budget</w:t>
      </w:r>
      <w:r w:rsidR="007E1662" w:rsidRPr="00974377">
        <w:rPr>
          <w:rFonts w:asciiTheme="majorHAnsi" w:hAnsiTheme="majorHAnsi"/>
          <w:sz w:val="22"/>
          <w:szCs w:val="22"/>
        </w:rPr>
        <w:t xml:space="preserve"> for the subsequent year.</w:t>
      </w:r>
    </w:p>
    <w:p w14:paraId="6F4BC816" w14:textId="402B52DA" w:rsidR="007E1662" w:rsidRPr="0094721A" w:rsidRDefault="007E1662" w:rsidP="008D1844">
      <w:pPr>
        <w:pStyle w:val="Heading3"/>
        <w:numPr>
          <w:ilvl w:val="0"/>
          <w:numId w:val="60"/>
        </w:numPr>
        <w:rPr>
          <w:sz w:val="22"/>
          <w:szCs w:val="22"/>
        </w:rPr>
      </w:pPr>
      <w:r w:rsidRPr="00E5316A">
        <w:rPr>
          <w:b/>
          <w:sz w:val="22"/>
          <w:szCs w:val="20"/>
        </w:rPr>
        <w:lastRenderedPageBreak/>
        <w:t>Resourcing</w:t>
      </w:r>
    </w:p>
    <w:p w14:paraId="78341EE0" w14:textId="26C29462" w:rsidR="007E1662" w:rsidRPr="00974377" w:rsidRDefault="00096B64" w:rsidP="00C713C2">
      <w:pPr>
        <w:tabs>
          <w:tab w:val="left" w:pos="284"/>
        </w:tabs>
        <w:spacing w:after="120" w:line="281" w:lineRule="auto"/>
        <w:rPr>
          <w:rFonts w:asciiTheme="majorHAnsi" w:hAnsiTheme="majorHAnsi"/>
          <w:sz w:val="22"/>
          <w:szCs w:val="22"/>
        </w:rPr>
      </w:pPr>
      <w:r w:rsidRPr="0094721A">
        <w:rPr>
          <w:rFonts w:asciiTheme="majorHAnsi" w:hAnsiTheme="majorHAnsi"/>
          <w:sz w:val="22"/>
          <w:szCs w:val="22"/>
        </w:rPr>
        <w:t xml:space="preserve">To service the program </w:t>
      </w:r>
      <w:r w:rsidR="00774FD1" w:rsidRPr="0094721A">
        <w:rPr>
          <w:rFonts w:asciiTheme="majorHAnsi" w:hAnsiTheme="majorHAnsi"/>
          <w:sz w:val="22"/>
          <w:szCs w:val="22"/>
        </w:rPr>
        <w:t>MERL</w:t>
      </w:r>
      <w:r w:rsidRPr="0094721A">
        <w:rPr>
          <w:rFonts w:asciiTheme="majorHAnsi" w:hAnsiTheme="majorHAnsi"/>
          <w:sz w:val="22"/>
          <w:szCs w:val="22"/>
        </w:rPr>
        <w:t xml:space="preserve"> needs, t</w:t>
      </w:r>
      <w:r w:rsidR="007E1662" w:rsidRPr="0094721A">
        <w:rPr>
          <w:rFonts w:asciiTheme="majorHAnsi" w:hAnsiTheme="majorHAnsi"/>
          <w:sz w:val="22"/>
          <w:szCs w:val="22"/>
        </w:rPr>
        <w:t xml:space="preserve">he </w:t>
      </w:r>
      <w:r w:rsidR="004755F2" w:rsidRPr="0094721A">
        <w:rPr>
          <w:rFonts w:asciiTheme="majorHAnsi" w:hAnsiTheme="majorHAnsi"/>
          <w:sz w:val="22"/>
          <w:szCs w:val="22"/>
        </w:rPr>
        <w:t>INOVASI Phase</w:t>
      </w:r>
      <w:r w:rsidRPr="0094721A">
        <w:rPr>
          <w:rFonts w:asciiTheme="majorHAnsi" w:hAnsiTheme="majorHAnsi"/>
          <w:sz w:val="22"/>
          <w:szCs w:val="22"/>
        </w:rPr>
        <w:t xml:space="preserve"> </w:t>
      </w:r>
      <w:r w:rsidR="004755F2" w:rsidRPr="0094721A">
        <w:rPr>
          <w:rFonts w:asciiTheme="majorHAnsi" w:hAnsiTheme="majorHAnsi"/>
          <w:sz w:val="22"/>
          <w:szCs w:val="22"/>
        </w:rPr>
        <w:t>3</w:t>
      </w:r>
      <w:r w:rsidR="007E1662" w:rsidRPr="0094721A">
        <w:rPr>
          <w:rFonts w:asciiTheme="majorHAnsi" w:hAnsiTheme="majorHAnsi"/>
          <w:sz w:val="22"/>
          <w:szCs w:val="22"/>
        </w:rPr>
        <w:t xml:space="preserve"> implementation team will include a core </w:t>
      </w:r>
      <w:r w:rsidR="00774FD1" w:rsidRPr="0094721A">
        <w:rPr>
          <w:rFonts w:asciiTheme="majorHAnsi" w:hAnsiTheme="majorHAnsi"/>
          <w:sz w:val="22"/>
          <w:szCs w:val="22"/>
        </w:rPr>
        <w:t>MERL</w:t>
      </w:r>
      <w:r w:rsidR="007E1662" w:rsidRPr="0094721A">
        <w:rPr>
          <w:rFonts w:asciiTheme="majorHAnsi" w:hAnsiTheme="majorHAnsi"/>
          <w:sz w:val="22"/>
          <w:szCs w:val="22"/>
        </w:rPr>
        <w:t xml:space="preserve"> team</w:t>
      </w:r>
      <w:r w:rsidR="00753475" w:rsidRPr="00974377">
        <w:rPr>
          <w:rFonts w:asciiTheme="majorHAnsi" w:hAnsiTheme="majorHAnsi"/>
          <w:sz w:val="22"/>
          <w:szCs w:val="22"/>
        </w:rPr>
        <w:t>. A</w:t>
      </w:r>
      <w:r w:rsidR="007E1662" w:rsidRPr="00974377">
        <w:rPr>
          <w:rFonts w:asciiTheme="majorHAnsi" w:hAnsiTheme="majorHAnsi"/>
          <w:sz w:val="22"/>
          <w:szCs w:val="22"/>
        </w:rPr>
        <w:t xml:space="preserve">dditionally, </w:t>
      </w:r>
      <w:r w:rsidR="004755F2" w:rsidRPr="00974377">
        <w:rPr>
          <w:rFonts w:asciiTheme="majorHAnsi" w:hAnsiTheme="majorHAnsi"/>
          <w:sz w:val="22"/>
          <w:szCs w:val="22"/>
        </w:rPr>
        <w:t>the program</w:t>
      </w:r>
      <w:r w:rsidR="007E1662" w:rsidRPr="00974377">
        <w:rPr>
          <w:rFonts w:asciiTheme="majorHAnsi" w:hAnsiTheme="majorHAnsi"/>
          <w:sz w:val="22"/>
          <w:szCs w:val="22"/>
        </w:rPr>
        <w:t xml:space="preserve"> will continue to use a pool of qualified consultants to support the implementation of </w:t>
      </w:r>
      <w:r w:rsidR="00753475" w:rsidRPr="00974377">
        <w:rPr>
          <w:rFonts w:asciiTheme="majorHAnsi" w:hAnsiTheme="majorHAnsi"/>
          <w:sz w:val="22"/>
          <w:szCs w:val="22"/>
        </w:rPr>
        <w:t xml:space="preserve">program </w:t>
      </w:r>
      <w:r w:rsidR="00774FD1" w:rsidRPr="00974377">
        <w:rPr>
          <w:rFonts w:asciiTheme="majorHAnsi" w:hAnsiTheme="majorHAnsi"/>
          <w:sz w:val="22"/>
          <w:szCs w:val="22"/>
        </w:rPr>
        <w:t>MERL</w:t>
      </w:r>
      <w:r w:rsidR="00753475" w:rsidRPr="00974377">
        <w:rPr>
          <w:rFonts w:asciiTheme="majorHAnsi" w:hAnsiTheme="majorHAnsi"/>
          <w:sz w:val="22"/>
          <w:szCs w:val="22"/>
        </w:rPr>
        <w:t xml:space="preserve"> </w:t>
      </w:r>
      <w:r w:rsidR="007E1662" w:rsidRPr="00974377">
        <w:rPr>
          <w:rFonts w:asciiTheme="majorHAnsi" w:hAnsiTheme="majorHAnsi"/>
          <w:sz w:val="22"/>
          <w:szCs w:val="22"/>
        </w:rPr>
        <w:t>activities</w:t>
      </w:r>
      <w:r w:rsidR="008C0515" w:rsidRPr="00974377">
        <w:rPr>
          <w:rFonts w:asciiTheme="majorHAnsi" w:hAnsiTheme="majorHAnsi"/>
          <w:sz w:val="22"/>
          <w:szCs w:val="22"/>
        </w:rPr>
        <w:t>, such as specific evaluation</w:t>
      </w:r>
      <w:r w:rsidR="0095529A">
        <w:rPr>
          <w:rFonts w:asciiTheme="majorHAnsi" w:hAnsiTheme="majorHAnsi"/>
          <w:sz w:val="22"/>
          <w:szCs w:val="22"/>
        </w:rPr>
        <w:t>s</w:t>
      </w:r>
      <w:r w:rsidR="008C0515" w:rsidRPr="00974377">
        <w:rPr>
          <w:rFonts w:asciiTheme="majorHAnsi" w:hAnsiTheme="majorHAnsi"/>
          <w:sz w:val="22"/>
          <w:szCs w:val="22"/>
        </w:rPr>
        <w:t xml:space="preserve"> and studies defined in the </w:t>
      </w:r>
      <w:r w:rsidRPr="00974377">
        <w:rPr>
          <w:rFonts w:asciiTheme="majorHAnsi" w:hAnsiTheme="majorHAnsi"/>
          <w:sz w:val="22"/>
          <w:szCs w:val="22"/>
        </w:rPr>
        <w:t>research agenda</w:t>
      </w:r>
      <w:r w:rsidR="007E1662" w:rsidRPr="00974377">
        <w:rPr>
          <w:rFonts w:asciiTheme="majorHAnsi" w:hAnsiTheme="majorHAnsi"/>
          <w:sz w:val="22"/>
          <w:szCs w:val="22"/>
        </w:rPr>
        <w:t>.</w:t>
      </w:r>
    </w:p>
    <w:p w14:paraId="629EBB2D" w14:textId="7BBE4CD1" w:rsidR="007E1662" w:rsidRPr="00974377" w:rsidRDefault="007E1662" w:rsidP="00C713C2">
      <w:pPr>
        <w:tabs>
          <w:tab w:val="left" w:pos="284"/>
        </w:tabs>
        <w:spacing w:after="120" w:line="281" w:lineRule="auto"/>
        <w:rPr>
          <w:rFonts w:asciiTheme="majorHAnsi" w:hAnsiTheme="majorHAnsi"/>
          <w:sz w:val="22"/>
          <w:szCs w:val="22"/>
        </w:rPr>
      </w:pPr>
      <w:r w:rsidRPr="00974377">
        <w:rPr>
          <w:rFonts w:asciiTheme="majorHAnsi" w:hAnsiTheme="majorHAnsi"/>
          <w:sz w:val="22"/>
          <w:szCs w:val="22"/>
        </w:rPr>
        <w:t xml:space="preserve">The allocation of financial resources for </w:t>
      </w:r>
      <w:r w:rsidR="00E37563" w:rsidRPr="00974377">
        <w:rPr>
          <w:rFonts w:asciiTheme="majorHAnsi" w:hAnsiTheme="majorHAnsi"/>
          <w:sz w:val="22"/>
          <w:szCs w:val="22"/>
        </w:rPr>
        <w:t xml:space="preserve">program </w:t>
      </w:r>
      <w:r w:rsidR="00774FD1" w:rsidRPr="00974377">
        <w:rPr>
          <w:rFonts w:asciiTheme="majorHAnsi" w:hAnsiTheme="majorHAnsi"/>
          <w:sz w:val="22"/>
          <w:szCs w:val="22"/>
        </w:rPr>
        <w:t>MERL</w:t>
      </w:r>
      <w:r w:rsidRPr="00974377">
        <w:rPr>
          <w:rFonts w:asciiTheme="majorHAnsi" w:hAnsiTheme="majorHAnsi"/>
          <w:sz w:val="22"/>
          <w:szCs w:val="22"/>
        </w:rPr>
        <w:t xml:space="preserve"> activities will be undertaken annually as part of the Annual Planning and Budgeting process, </w:t>
      </w:r>
      <w:r w:rsidR="0040236B">
        <w:rPr>
          <w:rFonts w:asciiTheme="majorHAnsi" w:hAnsiTheme="majorHAnsi"/>
          <w:sz w:val="22"/>
          <w:szCs w:val="22"/>
        </w:rPr>
        <w:t xml:space="preserve">where the </w:t>
      </w:r>
      <w:r w:rsidR="00753475" w:rsidRPr="00974377">
        <w:rPr>
          <w:rFonts w:asciiTheme="majorHAnsi" w:hAnsiTheme="majorHAnsi"/>
          <w:sz w:val="22"/>
          <w:szCs w:val="22"/>
        </w:rPr>
        <w:t xml:space="preserve">proportion </w:t>
      </w:r>
      <w:r w:rsidR="0040236B">
        <w:rPr>
          <w:rFonts w:asciiTheme="majorHAnsi" w:hAnsiTheme="majorHAnsi"/>
          <w:sz w:val="22"/>
          <w:szCs w:val="22"/>
        </w:rPr>
        <w:t xml:space="preserve">will be </w:t>
      </w:r>
      <w:r w:rsidRPr="00974377">
        <w:rPr>
          <w:rFonts w:asciiTheme="majorHAnsi" w:hAnsiTheme="majorHAnsi"/>
          <w:sz w:val="22"/>
          <w:szCs w:val="22"/>
        </w:rPr>
        <w:t xml:space="preserve">justified by 1) the desire to </w:t>
      </w:r>
      <w:r w:rsidR="00753475" w:rsidRPr="00974377">
        <w:rPr>
          <w:rFonts w:asciiTheme="majorHAnsi" w:hAnsiTheme="majorHAnsi"/>
          <w:sz w:val="22"/>
          <w:szCs w:val="22"/>
        </w:rPr>
        <w:t>develop robust evidence of achievement at EOPO and goal levels</w:t>
      </w:r>
      <w:r w:rsidRPr="00974377">
        <w:rPr>
          <w:rFonts w:asciiTheme="majorHAnsi" w:hAnsiTheme="majorHAnsi"/>
          <w:sz w:val="22"/>
          <w:szCs w:val="22"/>
        </w:rPr>
        <w:t xml:space="preserve">, and 2) an ambitious </w:t>
      </w:r>
      <w:r w:rsidR="00096B64" w:rsidRPr="00974377">
        <w:rPr>
          <w:rFonts w:asciiTheme="majorHAnsi" w:hAnsiTheme="majorHAnsi"/>
          <w:sz w:val="22"/>
          <w:szCs w:val="22"/>
        </w:rPr>
        <w:t>research agenda</w:t>
      </w:r>
      <w:r w:rsidRPr="00974377">
        <w:rPr>
          <w:rFonts w:asciiTheme="majorHAnsi" w:hAnsiTheme="majorHAnsi"/>
          <w:sz w:val="22"/>
          <w:szCs w:val="22"/>
        </w:rPr>
        <w:t xml:space="preserve"> that will help to continuously assess, </w:t>
      </w:r>
      <w:proofErr w:type="gramStart"/>
      <w:r w:rsidRPr="00974377">
        <w:rPr>
          <w:rFonts w:asciiTheme="majorHAnsi" w:hAnsiTheme="majorHAnsi"/>
          <w:sz w:val="22"/>
          <w:szCs w:val="22"/>
        </w:rPr>
        <w:t>understand</w:t>
      </w:r>
      <w:proofErr w:type="gramEnd"/>
      <w:r w:rsidRPr="00974377">
        <w:rPr>
          <w:rFonts w:asciiTheme="majorHAnsi" w:hAnsiTheme="majorHAnsi"/>
          <w:sz w:val="22"/>
          <w:szCs w:val="22"/>
        </w:rPr>
        <w:t xml:space="preserve"> and adapt program performance </w:t>
      </w:r>
      <w:r w:rsidR="00753475" w:rsidRPr="00974377">
        <w:rPr>
          <w:rFonts w:asciiTheme="majorHAnsi" w:hAnsiTheme="majorHAnsi"/>
          <w:sz w:val="22"/>
          <w:szCs w:val="22"/>
        </w:rPr>
        <w:t xml:space="preserve">and catalytic leverage in an </w:t>
      </w:r>
      <w:r w:rsidRPr="00974377">
        <w:rPr>
          <w:rFonts w:asciiTheme="majorHAnsi" w:hAnsiTheme="majorHAnsi"/>
          <w:sz w:val="22"/>
          <w:szCs w:val="22"/>
        </w:rPr>
        <w:t>evolving context.</w:t>
      </w:r>
    </w:p>
    <w:p w14:paraId="7FAE145F" w14:textId="7292A96F" w:rsidR="007E1662" w:rsidRPr="00C713C2" w:rsidRDefault="007E1662" w:rsidP="00C713C2">
      <w:pPr>
        <w:pStyle w:val="Heading2"/>
        <w:rPr>
          <w:b/>
          <w:sz w:val="22"/>
          <w:szCs w:val="16"/>
        </w:rPr>
      </w:pPr>
      <w:r w:rsidRPr="00C713C2">
        <w:rPr>
          <w:b/>
          <w:caps w:val="0"/>
          <w:sz w:val="22"/>
          <w:szCs w:val="16"/>
        </w:rPr>
        <w:t>Partners</w:t>
      </w:r>
      <w:r w:rsidR="00B56BEE" w:rsidRPr="00C713C2">
        <w:rPr>
          <w:b/>
          <w:caps w:val="0"/>
          <w:sz w:val="22"/>
          <w:szCs w:val="16"/>
        </w:rPr>
        <w:t>’</w:t>
      </w:r>
      <w:r w:rsidRPr="00C713C2">
        <w:rPr>
          <w:b/>
          <w:caps w:val="0"/>
          <w:sz w:val="22"/>
          <w:szCs w:val="16"/>
        </w:rPr>
        <w:t xml:space="preserve"> </w:t>
      </w:r>
      <w:r w:rsidR="00774FD1" w:rsidRPr="00C713C2">
        <w:rPr>
          <w:b/>
          <w:caps w:val="0"/>
          <w:sz w:val="22"/>
          <w:szCs w:val="16"/>
        </w:rPr>
        <w:t>M</w:t>
      </w:r>
      <w:r w:rsidR="00774FD1">
        <w:rPr>
          <w:b/>
          <w:caps w:val="0"/>
          <w:sz w:val="22"/>
          <w:szCs w:val="16"/>
        </w:rPr>
        <w:t>ERL</w:t>
      </w:r>
      <w:r w:rsidRPr="00C713C2">
        <w:rPr>
          <w:b/>
          <w:caps w:val="0"/>
          <w:sz w:val="22"/>
          <w:szCs w:val="16"/>
        </w:rPr>
        <w:t xml:space="preserve"> </w:t>
      </w:r>
      <w:r w:rsidR="00C713C2" w:rsidRPr="00C713C2">
        <w:rPr>
          <w:b/>
          <w:bCs/>
          <w:caps w:val="0"/>
          <w:sz w:val="22"/>
          <w:szCs w:val="16"/>
        </w:rPr>
        <w:t>Needs</w:t>
      </w:r>
    </w:p>
    <w:p w14:paraId="10652784" w14:textId="7CDD26C9" w:rsidR="008824CC" w:rsidRDefault="0083519D" w:rsidP="00C713C2">
      <w:pPr>
        <w:tabs>
          <w:tab w:val="left" w:pos="284"/>
        </w:tabs>
        <w:spacing w:after="120" w:line="281" w:lineRule="auto"/>
        <w:rPr>
          <w:rFonts w:asciiTheme="majorHAnsi" w:hAnsiTheme="majorHAnsi"/>
          <w:sz w:val="22"/>
          <w:szCs w:val="22"/>
        </w:rPr>
      </w:pPr>
      <w:r w:rsidRPr="00974377">
        <w:rPr>
          <w:rFonts w:asciiTheme="majorHAnsi" w:hAnsiTheme="majorHAnsi"/>
          <w:sz w:val="22"/>
          <w:szCs w:val="22"/>
        </w:rPr>
        <w:t>The</w:t>
      </w:r>
      <w:r w:rsidR="000F5117" w:rsidRPr="00974377">
        <w:rPr>
          <w:rFonts w:asciiTheme="majorHAnsi" w:hAnsiTheme="majorHAnsi"/>
          <w:sz w:val="22"/>
          <w:szCs w:val="22"/>
        </w:rPr>
        <w:t xml:space="preserve"> </w:t>
      </w:r>
      <w:r w:rsidR="00C140A3" w:rsidRPr="00974377">
        <w:rPr>
          <w:rFonts w:asciiTheme="majorHAnsi" w:hAnsiTheme="majorHAnsi"/>
          <w:sz w:val="22"/>
          <w:szCs w:val="22"/>
        </w:rPr>
        <w:t>p</w:t>
      </w:r>
      <w:r w:rsidR="000F5117" w:rsidRPr="00974377">
        <w:rPr>
          <w:rFonts w:asciiTheme="majorHAnsi" w:hAnsiTheme="majorHAnsi"/>
          <w:sz w:val="22"/>
          <w:szCs w:val="22"/>
        </w:rPr>
        <w:t xml:space="preserve">rogram will </w:t>
      </w:r>
      <w:r w:rsidRPr="00974377">
        <w:rPr>
          <w:rFonts w:asciiTheme="majorHAnsi" w:hAnsiTheme="majorHAnsi"/>
          <w:sz w:val="22"/>
          <w:szCs w:val="22"/>
        </w:rPr>
        <w:t xml:space="preserve">continue </w:t>
      </w:r>
      <w:r w:rsidR="008C0515" w:rsidRPr="00974377">
        <w:rPr>
          <w:rFonts w:asciiTheme="majorHAnsi" w:hAnsiTheme="majorHAnsi"/>
          <w:sz w:val="22"/>
          <w:szCs w:val="22"/>
        </w:rPr>
        <w:t>and increase its</w:t>
      </w:r>
      <w:r w:rsidRPr="00974377">
        <w:rPr>
          <w:rFonts w:asciiTheme="majorHAnsi" w:hAnsiTheme="majorHAnsi"/>
          <w:sz w:val="22"/>
          <w:szCs w:val="22"/>
        </w:rPr>
        <w:t xml:space="preserve"> </w:t>
      </w:r>
      <w:r w:rsidR="000F5117" w:rsidRPr="00974377">
        <w:rPr>
          <w:rFonts w:asciiTheme="majorHAnsi" w:hAnsiTheme="majorHAnsi"/>
          <w:sz w:val="22"/>
          <w:szCs w:val="22"/>
        </w:rPr>
        <w:t>work to strengthen</w:t>
      </w:r>
      <w:r w:rsidRPr="00974377">
        <w:rPr>
          <w:rFonts w:asciiTheme="majorHAnsi" w:hAnsiTheme="majorHAnsi"/>
          <w:sz w:val="22"/>
          <w:szCs w:val="22"/>
        </w:rPr>
        <w:t xml:space="preserve"> </w:t>
      </w:r>
      <w:r w:rsidR="008C0515" w:rsidRPr="00974377">
        <w:rPr>
          <w:rFonts w:asciiTheme="majorHAnsi" w:hAnsiTheme="majorHAnsi"/>
          <w:sz w:val="22"/>
          <w:szCs w:val="22"/>
        </w:rPr>
        <w:t>partners</w:t>
      </w:r>
      <w:r w:rsidR="007A2381">
        <w:rPr>
          <w:rFonts w:asciiTheme="majorHAnsi" w:hAnsiTheme="majorHAnsi"/>
          <w:sz w:val="22"/>
          <w:szCs w:val="22"/>
        </w:rPr>
        <w:t>’</w:t>
      </w:r>
      <w:r w:rsidR="008C0515" w:rsidRPr="00974377">
        <w:rPr>
          <w:rFonts w:asciiTheme="majorHAnsi" w:hAnsiTheme="majorHAnsi"/>
          <w:sz w:val="22"/>
          <w:szCs w:val="22"/>
        </w:rPr>
        <w:t xml:space="preserve"> </w:t>
      </w:r>
      <w:r w:rsidR="00774FD1" w:rsidRPr="00974377">
        <w:rPr>
          <w:rFonts w:asciiTheme="majorHAnsi" w:hAnsiTheme="majorHAnsi"/>
          <w:sz w:val="22"/>
          <w:szCs w:val="22"/>
        </w:rPr>
        <w:t>MERL</w:t>
      </w:r>
      <w:r w:rsidRPr="00974377">
        <w:rPr>
          <w:rFonts w:asciiTheme="majorHAnsi" w:hAnsiTheme="majorHAnsi"/>
          <w:sz w:val="22"/>
          <w:szCs w:val="22"/>
        </w:rPr>
        <w:t xml:space="preserve"> capacity, including </w:t>
      </w:r>
      <w:r w:rsidR="00A9707D" w:rsidRPr="00974377">
        <w:rPr>
          <w:rFonts w:asciiTheme="majorHAnsi" w:hAnsiTheme="majorHAnsi"/>
          <w:sz w:val="22"/>
          <w:szCs w:val="22"/>
        </w:rPr>
        <w:t>in generating and utilising performance information</w:t>
      </w:r>
      <w:r w:rsidR="008824CC">
        <w:rPr>
          <w:rFonts w:asciiTheme="majorHAnsi" w:hAnsiTheme="majorHAnsi"/>
          <w:sz w:val="22"/>
          <w:szCs w:val="22"/>
        </w:rPr>
        <w:t xml:space="preserve">, </w:t>
      </w:r>
      <w:r w:rsidR="00E94416">
        <w:rPr>
          <w:rFonts w:asciiTheme="majorHAnsi" w:hAnsiTheme="majorHAnsi"/>
          <w:sz w:val="22"/>
          <w:szCs w:val="22"/>
        </w:rPr>
        <w:t>through</w:t>
      </w:r>
      <w:r w:rsidR="00E94416" w:rsidRPr="00E94416">
        <w:rPr>
          <w:rFonts w:asciiTheme="majorHAnsi" w:hAnsiTheme="majorHAnsi"/>
          <w:sz w:val="22"/>
          <w:szCs w:val="22"/>
        </w:rPr>
        <w:t xml:space="preserve"> joint planning and implementation</w:t>
      </w:r>
      <w:r w:rsidR="00E94416">
        <w:rPr>
          <w:rFonts w:asciiTheme="majorHAnsi" w:hAnsiTheme="majorHAnsi"/>
          <w:sz w:val="22"/>
          <w:szCs w:val="22"/>
        </w:rPr>
        <w:t xml:space="preserve"> </w:t>
      </w:r>
      <w:r w:rsidR="0095529A">
        <w:rPr>
          <w:rFonts w:asciiTheme="majorHAnsi" w:hAnsiTheme="majorHAnsi"/>
          <w:sz w:val="22"/>
          <w:szCs w:val="22"/>
        </w:rPr>
        <w:t xml:space="preserve">of MERL activities </w:t>
      </w:r>
      <w:r w:rsidR="008824CC">
        <w:rPr>
          <w:rFonts w:asciiTheme="majorHAnsi" w:hAnsiTheme="majorHAnsi"/>
          <w:sz w:val="22"/>
          <w:szCs w:val="22"/>
        </w:rPr>
        <w:t xml:space="preserve">at national </w:t>
      </w:r>
      <w:r w:rsidR="008824CC" w:rsidRPr="00E51341">
        <w:rPr>
          <w:rFonts w:asciiTheme="majorHAnsi" w:hAnsiTheme="majorHAnsi"/>
          <w:sz w:val="22"/>
          <w:szCs w:val="22"/>
        </w:rPr>
        <w:t>and subnational levels. For instance</w:t>
      </w:r>
      <w:r w:rsidR="00091C1A" w:rsidRPr="00E51341">
        <w:rPr>
          <w:rFonts w:asciiTheme="majorHAnsi" w:hAnsiTheme="majorHAnsi"/>
          <w:sz w:val="22"/>
          <w:szCs w:val="22"/>
        </w:rPr>
        <w:t>, as mentioned in Section C,</w:t>
      </w:r>
      <w:r w:rsidR="008824CC" w:rsidRPr="00E51341">
        <w:rPr>
          <w:rFonts w:asciiTheme="majorHAnsi" w:hAnsiTheme="majorHAnsi"/>
          <w:sz w:val="22"/>
          <w:szCs w:val="22"/>
        </w:rPr>
        <w:t xml:space="preserve"> the program</w:t>
      </w:r>
      <w:r w:rsidR="008824CC" w:rsidRPr="00E94416">
        <w:rPr>
          <w:rFonts w:asciiTheme="majorHAnsi" w:hAnsiTheme="majorHAnsi"/>
          <w:sz w:val="22"/>
          <w:szCs w:val="22"/>
        </w:rPr>
        <w:t xml:space="preserve"> will support</w:t>
      </w:r>
      <w:r w:rsidR="00091C1A" w:rsidRPr="00E94416">
        <w:rPr>
          <w:rFonts w:asciiTheme="majorHAnsi" w:hAnsiTheme="majorHAnsi"/>
          <w:sz w:val="22"/>
          <w:szCs w:val="22"/>
        </w:rPr>
        <w:t xml:space="preserve"> </w:t>
      </w:r>
      <w:r w:rsidR="00E51341" w:rsidRPr="00E94416">
        <w:rPr>
          <w:rFonts w:asciiTheme="majorHAnsi" w:hAnsiTheme="majorHAnsi"/>
          <w:sz w:val="22"/>
          <w:szCs w:val="22"/>
        </w:rPr>
        <w:t xml:space="preserve">targeted </w:t>
      </w:r>
      <w:r w:rsidR="008824CC" w:rsidRPr="00E51341">
        <w:rPr>
          <w:rFonts w:asciiTheme="majorHAnsi" w:hAnsiTheme="majorHAnsi"/>
          <w:sz w:val="22"/>
          <w:szCs w:val="22"/>
        </w:rPr>
        <w:t>district</w:t>
      </w:r>
      <w:r w:rsidR="00E51341">
        <w:rPr>
          <w:rFonts w:asciiTheme="majorHAnsi" w:hAnsiTheme="majorHAnsi"/>
          <w:sz w:val="22"/>
          <w:szCs w:val="22"/>
        </w:rPr>
        <w:t>s</w:t>
      </w:r>
      <w:r w:rsidR="00091C1A" w:rsidRPr="00E51341">
        <w:rPr>
          <w:rFonts w:asciiTheme="majorHAnsi" w:hAnsiTheme="majorHAnsi"/>
          <w:sz w:val="22"/>
          <w:szCs w:val="22"/>
        </w:rPr>
        <w:t xml:space="preserve"> to</w:t>
      </w:r>
      <w:r w:rsidR="008824CC" w:rsidRPr="00E51341">
        <w:rPr>
          <w:rFonts w:asciiTheme="majorHAnsi" w:hAnsiTheme="majorHAnsi"/>
          <w:sz w:val="22"/>
          <w:szCs w:val="22"/>
        </w:rPr>
        <w:t xml:space="preserve"> </w:t>
      </w:r>
      <w:r w:rsidR="00E51341" w:rsidRPr="00E51341">
        <w:rPr>
          <w:rFonts w:asciiTheme="majorHAnsi" w:hAnsiTheme="majorHAnsi"/>
          <w:sz w:val="22"/>
          <w:szCs w:val="22"/>
        </w:rPr>
        <w:t xml:space="preserve">develop MERL activities around the implementation of agreed strategies and activities, including sharing data and </w:t>
      </w:r>
      <w:r w:rsidR="00E51341">
        <w:rPr>
          <w:rFonts w:asciiTheme="majorHAnsi" w:hAnsiTheme="majorHAnsi"/>
          <w:sz w:val="22"/>
          <w:szCs w:val="22"/>
        </w:rPr>
        <w:t xml:space="preserve">supporting </w:t>
      </w:r>
      <w:r w:rsidR="00E51341" w:rsidRPr="00E51341">
        <w:rPr>
          <w:rFonts w:asciiTheme="majorHAnsi" w:hAnsiTheme="majorHAnsi"/>
          <w:sz w:val="22"/>
          <w:szCs w:val="22"/>
        </w:rPr>
        <w:t>analysis</w:t>
      </w:r>
      <w:r w:rsidR="00ED772A">
        <w:rPr>
          <w:rFonts w:asciiTheme="majorHAnsi" w:hAnsiTheme="majorHAnsi"/>
          <w:sz w:val="22"/>
          <w:szCs w:val="22"/>
        </w:rPr>
        <w:t>,</w:t>
      </w:r>
      <w:r w:rsidR="00E51341" w:rsidRPr="00E51341">
        <w:rPr>
          <w:rFonts w:asciiTheme="majorHAnsi" w:hAnsiTheme="majorHAnsi"/>
          <w:sz w:val="22"/>
          <w:szCs w:val="22"/>
        </w:rPr>
        <w:t xml:space="preserve"> particularly for decision making at school level. It will also support</w:t>
      </w:r>
      <w:r w:rsidR="00E51341">
        <w:rPr>
          <w:rFonts w:asciiTheme="majorHAnsi" w:hAnsiTheme="majorHAnsi" w:cstheme="majorHAnsi"/>
          <w:sz w:val="22"/>
          <w:szCs w:val="22"/>
        </w:rPr>
        <w:t xml:space="preserve"> targeted districts to </w:t>
      </w:r>
      <w:r w:rsidR="008824CC" w:rsidRPr="00E51341">
        <w:rPr>
          <w:rFonts w:asciiTheme="majorHAnsi" w:hAnsiTheme="majorHAnsi" w:cstheme="majorHAnsi"/>
          <w:sz w:val="22"/>
          <w:szCs w:val="22"/>
        </w:rPr>
        <w:t>maintain their own assessments of students’ progress</w:t>
      </w:r>
      <w:r w:rsidR="00E51341">
        <w:rPr>
          <w:rFonts w:asciiTheme="majorHAnsi" w:hAnsiTheme="majorHAnsi" w:cstheme="majorHAnsi"/>
          <w:sz w:val="22"/>
          <w:szCs w:val="22"/>
        </w:rPr>
        <w:t>,</w:t>
      </w:r>
      <w:r w:rsidR="00091C1A" w:rsidRPr="00E51341">
        <w:rPr>
          <w:rFonts w:asciiTheme="majorHAnsi" w:hAnsiTheme="majorHAnsi" w:cstheme="majorHAnsi"/>
          <w:sz w:val="22"/>
          <w:szCs w:val="22"/>
        </w:rPr>
        <w:t xml:space="preserve"> as well as utilise national assessment data fr</w:t>
      </w:r>
      <w:r w:rsidR="00E51341">
        <w:rPr>
          <w:rFonts w:asciiTheme="majorHAnsi" w:hAnsiTheme="majorHAnsi" w:cstheme="majorHAnsi"/>
          <w:sz w:val="22"/>
          <w:szCs w:val="22"/>
        </w:rPr>
        <w:t>om</w:t>
      </w:r>
      <w:r w:rsidR="00091C1A" w:rsidRPr="00E51341">
        <w:rPr>
          <w:rFonts w:asciiTheme="majorHAnsi" w:hAnsiTheme="majorHAnsi" w:cstheme="majorHAnsi"/>
          <w:sz w:val="22"/>
          <w:szCs w:val="22"/>
        </w:rPr>
        <w:t xml:space="preserve"> the AKM and school environment su</w:t>
      </w:r>
      <w:r w:rsidR="00091C1A">
        <w:rPr>
          <w:rFonts w:asciiTheme="majorHAnsi" w:hAnsiTheme="majorHAnsi" w:cstheme="majorHAnsi"/>
          <w:sz w:val="22"/>
          <w:szCs w:val="22"/>
        </w:rPr>
        <w:t>rveys</w:t>
      </w:r>
      <w:r w:rsidR="00ED772A">
        <w:rPr>
          <w:rFonts w:asciiTheme="majorHAnsi" w:hAnsiTheme="majorHAnsi" w:cstheme="majorHAnsi"/>
          <w:sz w:val="22"/>
          <w:szCs w:val="22"/>
        </w:rPr>
        <w:t>,</w:t>
      </w:r>
      <w:r w:rsidR="00E51341">
        <w:rPr>
          <w:rFonts w:asciiTheme="majorHAnsi" w:hAnsiTheme="majorHAnsi" w:cstheme="majorHAnsi"/>
          <w:sz w:val="22"/>
          <w:szCs w:val="22"/>
        </w:rPr>
        <w:t xml:space="preserve"> to feed into their planning and budgeting processes for effective support of schools and madrasah</w:t>
      </w:r>
      <w:r w:rsidR="00091C1A">
        <w:rPr>
          <w:rFonts w:asciiTheme="majorHAnsi" w:hAnsiTheme="majorHAnsi" w:cstheme="majorHAnsi"/>
          <w:sz w:val="22"/>
          <w:szCs w:val="22"/>
        </w:rPr>
        <w:t>.</w:t>
      </w:r>
      <w:r w:rsidR="00E51341">
        <w:rPr>
          <w:rFonts w:asciiTheme="majorHAnsi" w:hAnsiTheme="majorHAnsi" w:cstheme="majorHAnsi"/>
          <w:sz w:val="22"/>
          <w:szCs w:val="22"/>
        </w:rPr>
        <w:t xml:space="preserve"> These activities will be developed on district-by-district </w:t>
      </w:r>
      <w:proofErr w:type="gramStart"/>
      <w:r w:rsidR="00E51341">
        <w:rPr>
          <w:rFonts w:asciiTheme="majorHAnsi" w:hAnsiTheme="majorHAnsi" w:cstheme="majorHAnsi"/>
          <w:sz w:val="22"/>
          <w:szCs w:val="22"/>
        </w:rPr>
        <w:t>basis, and</w:t>
      </w:r>
      <w:proofErr w:type="gramEnd"/>
      <w:r w:rsidR="00E51341">
        <w:rPr>
          <w:rFonts w:asciiTheme="majorHAnsi" w:hAnsiTheme="majorHAnsi" w:cstheme="majorHAnsi"/>
          <w:sz w:val="22"/>
          <w:szCs w:val="22"/>
        </w:rPr>
        <w:t xml:space="preserve"> tailored to local needs and constraints.</w:t>
      </w:r>
    </w:p>
    <w:p w14:paraId="3D79DA72" w14:textId="577AFC42" w:rsidR="00B070E0" w:rsidRPr="00974377" w:rsidRDefault="00091C1A" w:rsidP="00C713C2">
      <w:pPr>
        <w:tabs>
          <w:tab w:val="left" w:pos="284"/>
        </w:tabs>
        <w:spacing w:after="120" w:line="281" w:lineRule="auto"/>
        <w:rPr>
          <w:rFonts w:asciiTheme="majorHAnsi" w:hAnsiTheme="majorHAnsi"/>
          <w:sz w:val="22"/>
          <w:szCs w:val="22"/>
        </w:rPr>
      </w:pPr>
      <w:r>
        <w:rPr>
          <w:rFonts w:asciiTheme="majorHAnsi" w:hAnsiTheme="majorHAnsi"/>
          <w:sz w:val="22"/>
          <w:szCs w:val="22"/>
        </w:rPr>
        <w:t>T</w:t>
      </w:r>
      <w:r w:rsidR="008824CC" w:rsidRPr="00974377">
        <w:rPr>
          <w:rFonts w:asciiTheme="majorHAnsi" w:hAnsiTheme="majorHAnsi"/>
          <w:sz w:val="22"/>
          <w:szCs w:val="22"/>
        </w:rPr>
        <w:t>h</w:t>
      </w:r>
      <w:r>
        <w:rPr>
          <w:rFonts w:asciiTheme="majorHAnsi" w:hAnsiTheme="majorHAnsi"/>
          <w:sz w:val="22"/>
          <w:szCs w:val="22"/>
        </w:rPr>
        <w:t>e</w:t>
      </w:r>
      <w:r w:rsidR="008824CC" w:rsidRPr="00974377">
        <w:rPr>
          <w:rFonts w:asciiTheme="majorHAnsi" w:hAnsiTheme="majorHAnsi"/>
          <w:sz w:val="22"/>
          <w:szCs w:val="22"/>
        </w:rPr>
        <w:t xml:space="preserve"> support </w:t>
      </w:r>
      <w:r>
        <w:rPr>
          <w:rFonts w:asciiTheme="majorHAnsi" w:hAnsiTheme="majorHAnsi"/>
          <w:sz w:val="22"/>
          <w:szCs w:val="22"/>
        </w:rPr>
        <w:t xml:space="preserve">provided </w:t>
      </w:r>
      <w:r w:rsidR="008824CC" w:rsidRPr="00974377">
        <w:rPr>
          <w:rFonts w:asciiTheme="majorHAnsi" w:hAnsiTheme="majorHAnsi"/>
          <w:sz w:val="22"/>
          <w:szCs w:val="22"/>
        </w:rPr>
        <w:t>will need to contribute directly to one or several IOs and align with one of the five strategies</w:t>
      </w:r>
      <w:r>
        <w:rPr>
          <w:rFonts w:asciiTheme="majorHAnsi" w:hAnsiTheme="majorHAnsi"/>
          <w:sz w:val="22"/>
          <w:szCs w:val="22"/>
        </w:rPr>
        <w:t>. It</w:t>
      </w:r>
      <w:r w:rsidR="008824CC">
        <w:rPr>
          <w:rFonts w:asciiTheme="majorHAnsi" w:hAnsiTheme="majorHAnsi"/>
          <w:sz w:val="22"/>
          <w:szCs w:val="22"/>
        </w:rPr>
        <w:t xml:space="preserve"> </w:t>
      </w:r>
      <w:r w:rsidR="00C140A3" w:rsidRPr="00974377">
        <w:rPr>
          <w:rFonts w:asciiTheme="majorHAnsi" w:hAnsiTheme="majorHAnsi"/>
          <w:sz w:val="22"/>
          <w:szCs w:val="22"/>
        </w:rPr>
        <w:t>might target activities that are distinct but linked to those directly supported by IN</w:t>
      </w:r>
      <w:r w:rsidR="008C0515" w:rsidRPr="00974377">
        <w:rPr>
          <w:rFonts w:asciiTheme="majorHAnsi" w:hAnsiTheme="majorHAnsi"/>
          <w:sz w:val="22"/>
          <w:szCs w:val="22"/>
        </w:rPr>
        <w:t>OV</w:t>
      </w:r>
      <w:r w:rsidR="00C140A3" w:rsidRPr="00974377">
        <w:rPr>
          <w:rFonts w:asciiTheme="majorHAnsi" w:hAnsiTheme="majorHAnsi"/>
          <w:sz w:val="22"/>
          <w:szCs w:val="22"/>
        </w:rPr>
        <w:t>ASI Phase 3. For instance</w:t>
      </w:r>
      <w:r w:rsidR="00E736F1" w:rsidRPr="00974377">
        <w:rPr>
          <w:rFonts w:asciiTheme="majorHAnsi" w:hAnsiTheme="majorHAnsi"/>
          <w:sz w:val="22"/>
          <w:szCs w:val="22"/>
        </w:rPr>
        <w:t>,</w:t>
      </w:r>
      <w:r w:rsidR="00C140A3" w:rsidRPr="00974377">
        <w:rPr>
          <w:rFonts w:asciiTheme="majorHAnsi" w:hAnsiTheme="majorHAnsi"/>
          <w:sz w:val="22"/>
          <w:szCs w:val="22"/>
        </w:rPr>
        <w:t xml:space="preserve"> </w:t>
      </w:r>
      <w:proofErr w:type="spellStart"/>
      <w:r w:rsidR="00C140A3" w:rsidRPr="00974377">
        <w:rPr>
          <w:rFonts w:asciiTheme="majorHAnsi" w:hAnsiTheme="majorHAnsi"/>
          <w:sz w:val="22"/>
          <w:szCs w:val="22"/>
        </w:rPr>
        <w:t>MoECRT</w:t>
      </w:r>
      <w:proofErr w:type="spellEnd"/>
      <w:r w:rsidR="00C140A3" w:rsidRPr="00974377">
        <w:rPr>
          <w:rFonts w:asciiTheme="majorHAnsi" w:hAnsiTheme="majorHAnsi"/>
          <w:sz w:val="22"/>
          <w:szCs w:val="22"/>
        </w:rPr>
        <w:t xml:space="preserve"> might be supported to produce a rigorous evaluation of a nation-wide initiative such as </w:t>
      </w:r>
      <w:r w:rsidR="00C140A3" w:rsidRPr="00974377">
        <w:rPr>
          <w:rFonts w:asciiTheme="majorHAnsi" w:hAnsiTheme="majorHAnsi"/>
          <w:i/>
          <w:iCs/>
          <w:sz w:val="22"/>
          <w:szCs w:val="22"/>
        </w:rPr>
        <w:t xml:space="preserve">Guru </w:t>
      </w:r>
      <w:proofErr w:type="spellStart"/>
      <w:r w:rsidR="00C140A3" w:rsidRPr="00974377">
        <w:rPr>
          <w:rFonts w:asciiTheme="majorHAnsi" w:hAnsiTheme="majorHAnsi"/>
          <w:i/>
          <w:iCs/>
          <w:sz w:val="22"/>
          <w:szCs w:val="22"/>
        </w:rPr>
        <w:t>Penggerak</w:t>
      </w:r>
      <w:proofErr w:type="spellEnd"/>
      <w:r w:rsidR="00C140A3" w:rsidRPr="00974377">
        <w:rPr>
          <w:rFonts w:asciiTheme="majorHAnsi" w:hAnsiTheme="majorHAnsi"/>
          <w:sz w:val="22"/>
          <w:szCs w:val="22"/>
        </w:rPr>
        <w:t>,</w:t>
      </w:r>
      <w:r w:rsidR="008C0515" w:rsidRPr="00974377">
        <w:rPr>
          <w:rFonts w:asciiTheme="majorHAnsi" w:hAnsiTheme="majorHAnsi"/>
          <w:sz w:val="22"/>
          <w:szCs w:val="22"/>
        </w:rPr>
        <w:t xml:space="preserve"> a target district </w:t>
      </w:r>
      <w:r w:rsidR="00C140A3" w:rsidRPr="00974377">
        <w:rPr>
          <w:rFonts w:asciiTheme="majorHAnsi" w:hAnsiTheme="majorHAnsi"/>
          <w:sz w:val="22"/>
          <w:szCs w:val="22"/>
        </w:rPr>
        <w:t>to setup a bespoke data management system for data on learning outcomes for student</w:t>
      </w:r>
      <w:r w:rsidR="008C0515" w:rsidRPr="00974377">
        <w:rPr>
          <w:rFonts w:asciiTheme="majorHAnsi" w:hAnsiTheme="majorHAnsi"/>
          <w:sz w:val="22"/>
          <w:szCs w:val="22"/>
        </w:rPr>
        <w:t>s</w:t>
      </w:r>
      <w:r w:rsidR="00C140A3" w:rsidRPr="00974377">
        <w:rPr>
          <w:rFonts w:asciiTheme="majorHAnsi" w:hAnsiTheme="majorHAnsi"/>
          <w:sz w:val="22"/>
          <w:szCs w:val="22"/>
        </w:rPr>
        <w:t xml:space="preserve"> with disabilities,</w:t>
      </w:r>
      <w:r w:rsidR="00ED772A">
        <w:rPr>
          <w:rFonts w:asciiTheme="majorHAnsi" w:hAnsiTheme="majorHAnsi"/>
          <w:sz w:val="22"/>
          <w:szCs w:val="22"/>
        </w:rPr>
        <w:t xml:space="preserve"> or</w:t>
      </w:r>
      <w:r w:rsidR="00C140A3" w:rsidRPr="00974377">
        <w:rPr>
          <w:rFonts w:asciiTheme="majorHAnsi" w:hAnsiTheme="majorHAnsi"/>
          <w:sz w:val="22"/>
          <w:szCs w:val="22"/>
        </w:rPr>
        <w:t xml:space="preserve"> </w:t>
      </w:r>
      <w:r w:rsidR="008C0515" w:rsidRPr="00974377">
        <w:rPr>
          <w:rFonts w:asciiTheme="majorHAnsi" w:hAnsiTheme="majorHAnsi"/>
          <w:sz w:val="22"/>
          <w:szCs w:val="22"/>
        </w:rPr>
        <w:t xml:space="preserve">a provincial education office to </w:t>
      </w:r>
      <w:r w:rsidR="00C140A3" w:rsidRPr="00974377">
        <w:rPr>
          <w:rFonts w:asciiTheme="majorHAnsi" w:hAnsiTheme="majorHAnsi"/>
          <w:sz w:val="22"/>
          <w:szCs w:val="22"/>
        </w:rPr>
        <w:t xml:space="preserve">evaluate a pilot project </w:t>
      </w:r>
      <w:r w:rsidR="008C0515" w:rsidRPr="00974377">
        <w:rPr>
          <w:rFonts w:asciiTheme="majorHAnsi" w:hAnsiTheme="majorHAnsi"/>
          <w:sz w:val="22"/>
          <w:szCs w:val="22"/>
        </w:rPr>
        <w:t>for</w:t>
      </w:r>
      <w:r w:rsidR="00C140A3" w:rsidRPr="00974377">
        <w:rPr>
          <w:rFonts w:asciiTheme="majorHAnsi" w:hAnsiTheme="majorHAnsi"/>
          <w:sz w:val="22"/>
          <w:szCs w:val="22"/>
        </w:rPr>
        <w:t xml:space="preserve"> teachers</w:t>
      </w:r>
      <w:r w:rsidR="00B56BEE" w:rsidRPr="00974377">
        <w:rPr>
          <w:rFonts w:asciiTheme="majorHAnsi" w:hAnsiTheme="majorHAnsi"/>
          <w:sz w:val="22"/>
          <w:szCs w:val="22"/>
        </w:rPr>
        <w:t>’</w:t>
      </w:r>
      <w:r w:rsidR="00C140A3" w:rsidRPr="00974377">
        <w:rPr>
          <w:rFonts w:asciiTheme="majorHAnsi" w:hAnsiTheme="majorHAnsi"/>
          <w:sz w:val="22"/>
          <w:szCs w:val="22"/>
        </w:rPr>
        <w:t xml:space="preserve"> assessment that covers non-targeted district</w:t>
      </w:r>
      <w:r w:rsidR="009B4E65">
        <w:rPr>
          <w:rFonts w:asciiTheme="majorHAnsi" w:hAnsiTheme="majorHAnsi"/>
          <w:sz w:val="22"/>
          <w:szCs w:val="22"/>
        </w:rPr>
        <w:t>s</w:t>
      </w:r>
      <w:r w:rsidR="00C140A3" w:rsidRPr="00974377">
        <w:rPr>
          <w:rFonts w:asciiTheme="majorHAnsi" w:hAnsiTheme="majorHAnsi"/>
          <w:sz w:val="22"/>
          <w:szCs w:val="22"/>
        </w:rPr>
        <w:t xml:space="preserve">. </w:t>
      </w:r>
      <w:r w:rsidR="00ED772A">
        <w:rPr>
          <w:rFonts w:asciiTheme="majorHAnsi" w:hAnsiTheme="majorHAnsi"/>
          <w:sz w:val="22"/>
          <w:szCs w:val="22"/>
        </w:rPr>
        <w:t>These initiatives</w:t>
      </w:r>
      <w:r w:rsidR="00C140A3" w:rsidRPr="00974377">
        <w:rPr>
          <w:rFonts w:asciiTheme="majorHAnsi" w:hAnsiTheme="majorHAnsi"/>
          <w:sz w:val="22"/>
          <w:szCs w:val="22"/>
        </w:rPr>
        <w:t xml:space="preserve"> will be </w:t>
      </w:r>
      <w:r w:rsidR="00B070E0" w:rsidRPr="00974377">
        <w:rPr>
          <w:rFonts w:asciiTheme="majorHAnsi" w:hAnsiTheme="majorHAnsi"/>
          <w:sz w:val="22"/>
          <w:szCs w:val="22"/>
        </w:rPr>
        <w:t>considered a</w:t>
      </w:r>
      <w:r w:rsidR="008824CC">
        <w:rPr>
          <w:rFonts w:asciiTheme="majorHAnsi" w:hAnsiTheme="majorHAnsi"/>
          <w:sz w:val="22"/>
          <w:szCs w:val="22"/>
        </w:rPr>
        <w:t>s</w:t>
      </w:r>
      <w:r w:rsidR="00B070E0" w:rsidRPr="00974377">
        <w:rPr>
          <w:rFonts w:asciiTheme="majorHAnsi" w:hAnsiTheme="majorHAnsi"/>
          <w:sz w:val="22"/>
          <w:szCs w:val="22"/>
        </w:rPr>
        <w:t xml:space="preserve"> program activit</w:t>
      </w:r>
      <w:r w:rsidR="00ED772A">
        <w:rPr>
          <w:rFonts w:asciiTheme="majorHAnsi" w:hAnsiTheme="majorHAnsi"/>
          <w:sz w:val="22"/>
          <w:szCs w:val="22"/>
        </w:rPr>
        <w:t>ies</w:t>
      </w:r>
      <w:r w:rsidR="00B070E0" w:rsidRPr="00974377">
        <w:rPr>
          <w:rFonts w:asciiTheme="majorHAnsi" w:hAnsiTheme="majorHAnsi"/>
          <w:sz w:val="22"/>
          <w:szCs w:val="22"/>
        </w:rPr>
        <w:t xml:space="preserve">, </w:t>
      </w:r>
      <w:r w:rsidR="008C0515" w:rsidRPr="00974377">
        <w:rPr>
          <w:rFonts w:asciiTheme="majorHAnsi" w:hAnsiTheme="majorHAnsi"/>
          <w:sz w:val="22"/>
          <w:szCs w:val="22"/>
        </w:rPr>
        <w:t xml:space="preserve">and </w:t>
      </w:r>
      <w:r w:rsidR="00B070E0" w:rsidRPr="00974377">
        <w:rPr>
          <w:rFonts w:asciiTheme="majorHAnsi" w:hAnsiTheme="majorHAnsi"/>
          <w:sz w:val="22"/>
          <w:szCs w:val="22"/>
        </w:rPr>
        <w:t xml:space="preserve">as such identified during the program annual planning process, included in relevant plans and budgets, and </w:t>
      </w:r>
      <w:r w:rsidR="00C140A3" w:rsidRPr="00974377">
        <w:rPr>
          <w:rFonts w:asciiTheme="majorHAnsi" w:hAnsiTheme="majorHAnsi"/>
          <w:sz w:val="22"/>
          <w:szCs w:val="22"/>
        </w:rPr>
        <w:t>funded under the program activity budget</w:t>
      </w:r>
      <w:r w:rsidR="00B070E0" w:rsidRPr="00974377">
        <w:rPr>
          <w:rFonts w:asciiTheme="majorHAnsi" w:hAnsiTheme="majorHAnsi"/>
          <w:sz w:val="22"/>
          <w:szCs w:val="22"/>
        </w:rPr>
        <w:t xml:space="preserve"> (under the district ecosystem budget line if in a target district, or under another relevant budget line if </w:t>
      </w:r>
      <w:r w:rsidR="00E51341">
        <w:rPr>
          <w:rFonts w:asciiTheme="majorHAnsi" w:hAnsiTheme="majorHAnsi"/>
          <w:sz w:val="22"/>
          <w:szCs w:val="22"/>
        </w:rPr>
        <w:t xml:space="preserve">at </w:t>
      </w:r>
      <w:r w:rsidR="00E51341" w:rsidRPr="00974377">
        <w:rPr>
          <w:rFonts w:asciiTheme="majorHAnsi" w:hAnsiTheme="majorHAnsi"/>
          <w:sz w:val="22"/>
          <w:szCs w:val="22"/>
        </w:rPr>
        <w:t xml:space="preserve">national </w:t>
      </w:r>
      <w:r w:rsidR="00E51341">
        <w:rPr>
          <w:rFonts w:asciiTheme="majorHAnsi" w:hAnsiTheme="majorHAnsi"/>
          <w:sz w:val="22"/>
          <w:szCs w:val="22"/>
        </w:rPr>
        <w:t xml:space="preserve">level or </w:t>
      </w:r>
      <w:r w:rsidR="00B070E0" w:rsidRPr="00974377">
        <w:rPr>
          <w:rFonts w:asciiTheme="majorHAnsi" w:hAnsiTheme="majorHAnsi"/>
          <w:sz w:val="22"/>
          <w:szCs w:val="22"/>
        </w:rPr>
        <w:t>in non-targeted distric</w:t>
      </w:r>
      <w:r w:rsidR="00E51341">
        <w:rPr>
          <w:rFonts w:asciiTheme="majorHAnsi" w:hAnsiTheme="majorHAnsi"/>
          <w:sz w:val="22"/>
          <w:szCs w:val="22"/>
        </w:rPr>
        <w:t>t</w:t>
      </w:r>
      <w:r w:rsidR="00B070E0" w:rsidRPr="00974377">
        <w:rPr>
          <w:rFonts w:asciiTheme="majorHAnsi" w:hAnsiTheme="majorHAnsi"/>
          <w:sz w:val="22"/>
          <w:szCs w:val="22"/>
        </w:rPr>
        <w:t xml:space="preserve">). </w:t>
      </w:r>
    </w:p>
    <w:p w14:paraId="35F86EA6" w14:textId="3031C5FE" w:rsidR="004128B1" w:rsidRPr="00F6597E" w:rsidRDefault="00B070E0" w:rsidP="00C713C2">
      <w:pPr>
        <w:tabs>
          <w:tab w:val="left" w:pos="284"/>
        </w:tabs>
        <w:spacing w:after="120" w:line="281" w:lineRule="auto"/>
        <w:rPr>
          <w:rFonts w:asciiTheme="majorHAnsi" w:hAnsiTheme="majorHAnsi"/>
          <w:sz w:val="22"/>
          <w:szCs w:val="22"/>
        </w:rPr>
      </w:pPr>
      <w:r w:rsidRPr="00974377">
        <w:rPr>
          <w:rFonts w:asciiTheme="majorHAnsi" w:hAnsiTheme="majorHAnsi"/>
          <w:sz w:val="22"/>
          <w:szCs w:val="22"/>
        </w:rPr>
        <w:t xml:space="preserve">As described in </w:t>
      </w:r>
      <w:r w:rsidR="00391382">
        <w:rPr>
          <w:rFonts w:asciiTheme="majorHAnsi" w:hAnsiTheme="majorHAnsi"/>
          <w:sz w:val="22"/>
          <w:szCs w:val="22"/>
        </w:rPr>
        <w:t>S</w:t>
      </w:r>
      <w:r w:rsidRPr="00974377">
        <w:rPr>
          <w:rFonts w:asciiTheme="majorHAnsi" w:hAnsiTheme="majorHAnsi"/>
          <w:sz w:val="22"/>
          <w:szCs w:val="22"/>
        </w:rPr>
        <w:t xml:space="preserve">ection </w:t>
      </w:r>
      <w:r w:rsidR="00391382">
        <w:rPr>
          <w:rFonts w:asciiTheme="majorHAnsi" w:hAnsiTheme="majorHAnsi"/>
          <w:sz w:val="22"/>
          <w:szCs w:val="22"/>
        </w:rPr>
        <w:t>D</w:t>
      </w:r>
      <w:r w:rsidRPr="00974377">
        <w:rPr>
          <w:rFonts w:asciiTheme="majorHAnsi" w:hAnsiTheme="majorHAnsi"/>
          <w:sz w:val="22"/>
          <w:szCs w:val="22"/>
        </w:rPr>
        <w:t xml:space="preserve">, activities under the </w:t>
      </w:r>
      <w:r w:rsidR="006D30F5">
        <w:rPr>
          <w:rFonts w:asciiTheme="majorHAnsi" w:hAnsiTheme="majorHAnsi"/>
          <w:sz w:val="22"/>
          <w:szCs w:val="22"/>
        </w:rPr>
        <w:t>‘</w:t>
      </w:r>
      <w:r w:rsidRPr="00974377">
        <w:rPr>
          <w:rFonts w:asciiTheme="majorHAnsi" w:hAnsiTheme="majorHAnsi"/>
          <w:sz w:val="22"/>
          <w:szCs w:val="22"/>
        </w:rPr>
        <w:t>pilots and trials</w:t>
      </w:r>
      <w:r w:rsidR="006D30F5">
        <w:rPr>
          <w:rFonts w:asciiTheme="majorHAnsi" w:hAnsiTheme="majorHAnsi"/>
          <w:sz w:val="22"/>
          <w:szCs w:val="22"/>
        </w:rPr>
        <w:t>’</w:t>
      </w:r>
      <w:r w:rsidRPr="00974377">
        <w:rPr>
          <w:rFonts w:asciiTheme="majorHAnsi" w:hAnsiTheme="majorHAnsi"/>
          <w:sz w:val="22"/>
          <w:szCs w:val="22"/>
        </w:rPr>
        <w:t xml:space="preserve"> and the </w:t>
      </w:r>
      <w:r w:rsidR="006D30F5">
        <w:rPr>
          <w:rFonts w:asciiTheme="majorHAnsi" w:hAnsiTheme="majorHAnsi"/>
          <w:sz w:val="22"/>
          <w:szCs w:val="22"/>
        </w:rPr>
        <w:t>‘</w:t>
      </w:r>
      <w:r w:rsidRPr="00974377">
        <w:rPr>
          <w:rFonts w:asciiTheme="majorHAnsi" w:hAnsiTheme="majorHAnsi"/>
          <w:sz w:val="22"/>
          <w:szCs w:val="22"/>
        </w:rPr>
        <w:t>evidence and knowledge</w:t>
      </w:r>
      <w:r w:rsidR="006D30F5">
        <w:rPr>
          <w:rFonts w:asciiTheme="majorHAnsi" w:hAnsiTheme="majorHAnsi"/>
          <w:sz w:val="22"/>
          <w:szCs w:val="22"/>
        </w:rPr>
        <w:t>’</w:t>
      </w:r>
      <w:r w:rsidRPr="00974377">
        <w:rPr>
          <w:rFonts w:asciiTheme="majorHAnsi" w:hAnsiTheme="majorHAnsi"/>
          <w:sz w:val="22"/>
          <w:szCs w:val="22"/>
        </w:rPr>
        <w:t xml:space="preserve"> strategies will </w:t>
      </w:r>
      <w:r w:rsidR="004755F2" w:rsidRPr="00974377">
        <w:rPr>
          <w:rFonts w:asciiTheme="majorHAnsi" w:hAnsiTheme="majorHAnsi"/>
          <w:sz w:val="22"/>
          <w:szCs w:val="22"/>
        </w:rPr>
        <w:t>in</w:t>
      </w:r>
      <w:r w:rsidRPr="00974377">
        <w:rPr>
          <w:rFonts w:asciiTheme="majorHAnsi" w:hAnsiTheme="majorHAnsi"/>
          <w:sz w:val="22"/>
          <w:szCs w:val="22"/>
        </w:rPr>
        <w:t>variably include targeted</w:t>
      </w:r>
      <w:r w:rsidR="004755F2" w:rsidRPr="00974377">
        <w:rPr>
          <w:rFonts w:asciiTheme="majorHAnsi" w:hAnsiTheme="majorHAnsi"/>
          <w:sz w:val="22"/>
          <w:szCs w:val="22"/>
        </w:rPr>
        <w:t xml:space="preserve"> </w:t>
      </w:r>
      <w:r w:rsidR="00774FD1" w:rsidRPr="00974377">
        <w:rPr>
          <w:rFonts w:asciiTheme="majorHAnsi" w:hAnsiTheme="majorHAnsi"/>
          <w:sz w:val="22"/>
          <w:szCs w:val="22"/>
        </w:rPr>
        <w:t>MERL</w:t>
      </w:r>
      <w:r w:rsidR="004755F2" w:rsidRPr="00974377">
        <w:rPr>
          <w:rFonts w:asciiTheme="majorHAnsi" w:hAnsiTheme="majorHAnsi"/>
          <w:sz w:val="22"/>
          <w:szCs w:val="22"/>
        </w:rPr>
        <w:t xml:space="preserve"> component</w:t>
      </w:r>
      <w:r w:rsidR="009B4E65">
        <w:rPr>
          <w:rFonts w:asciiTheme="majorHAnsi" w:hAnsiTheme="majorHAnsi"/>
          <w:sz w:val="22"/>
          <w:szCs w:val="22"/>
        </w:rPr>
        <w:t>s</w:t>
      </w:r>
      <w:r w:rsidRPr="00974377">
        <w:rPr>
          <w:rFonts w:asciiTheme="majorHAnsi" w:hAnsiTheme="majorHAnsi"/>
          <w:sz w:val="22"/>
          <w:szCs w:val="22"/>
        </w:rPr>
        <w:t xml:space="preserve">. </w:t>
      </w:r>
      <w:r w:rsidR="004755F2" w:rsidRPr="00974377">
        <w:rPr>
          <w:rFonts w:asciiTheme="majorHAnsi" w:hAnsiTheme="majorHAnsi"/>
          <w:sz w:val="22"/>
          <w:szCs w:val="22"/>
        </w:rPr>
        <w:t>S</w:t>
      </w:r>
      <w:r w:rsidRPr="00974377">
        <w:rPr>
          <w:rFonts w:asciiTheme="majorHAnsi" w:hAnsiTheme="majorHAnsi"/>
          <w:sz w:val="22"/>
          <w:szCs w:val="22"/>
        </w:rPr>
        <w:t>upport for district ecosystem</w:t>
      </w:r>
      <w:r w:rsidR="004755F2" w:rsidRPr="00974377">
        <w:rPr>
          <w:rFonts w:asciiTheme="majorHAnsi" w:hAnsiTheme="majorHAnsi"/>
          <w:sz w:val="22"/>
          <w:szCs w:val="22"/>
        </w:rPr>
        <w:t>s</w:t>
      </w:r>
      <w:r w:rsidRPr="00974377">
        <w:rPr>
          <w:rFonts w:asciiTheme="majorHAnsi" w:hAnsiTheme="majorHAnsi"/>
          <w:sz w:val="22"/>
          <w:szCs w:val="22"/>
        </w:rPr>
        <w:t xml:space="preserve"> is also intended to </w:t>
      </w:r>
      <w:r w:rsidR="004755F2" w:rsidRPr="00974377">
        <w:rPr>
          <w:rFonts w:asciiTheme="majorHAnsi" w:hAnsiTheme="majorHAnsi"/>
          <w:sz w:val="22"/>
          <w:szCs w:val="22"/>
        </w:rPr>
        <w:t>include substantial</w:t>
      </w:r>
      <w:r w:rsidRPr="00974377">
        <w:rPr>
          <w:rFonts w:asciiTheme="majorHAnsi" w:hAnsiTheme="majorHAnsi"/>
          <w:sz w:val="22"/>
          <w:szCs w:val="22"/>
        </w:rPr>
        <w:t xml:space="preserve"> </w:t>
      </w:r>
      <w:r w:rsidR="00774FD1" w:rsidRPr="00974377">
        <w:rPr>
          <w:rFonts w:asciiTheme="majorHAnsi" w:hAnsiTheme="majorHAnsi"/>
          <w:sz w:val="22"/>
          <w:szCs w:val="22"/>
        </w:rPr>
        <w:t>MERL</w:t>
      </w:r>
      <w:r w:rsidRPr="00974377">
        <w:rPr>
          <w:rFonts w:asciiTheme="majorHAnsi" w:hAnsiTheme="majorHAnsi"/>
          <w:sz w:val="22"/>
          <w:szCs w:val="22"/>
        </w:rPr>
        <w:t xml:space="preserve"> capacities</w:t>
      </w:r>
      <w:r w:rsidR="004755F2" w:rsidRPr="00974377">
        <w:rPr>
          <w:rFonts w:asciiTheme="majorHAnsi" w:hAnsiTheme="majorHAnsi"/>
          <w:sz w:val="22"/>
          <w:szCs w:val="22"/>
        </w:rPr>
        <w:t xml:space="preserve"> development activities in target districts. </w:t>
      </w:r>
      <w:r w:rsidRPr="00974377">
        <w:rPr>
          <w:rFonts w:asciiTheme="majorHAnsi" w:hAnsiTheme="majorHAnsi"/>
          <w:sz w:val="22"/>
          <w:szCs w:val="22"/>
        </w:rPr>
        <w:t xml:space="preserve">The nature and intensity of the support will depend on the needs </w:t>
      </w:r>
      <w:r w:rsidR="004755F2" w:rsidRPr="00974377">
        <w:rPr>
          <w:rFonts w:asciiTheme="majorHAnsi" w:hAnsiTheme="majorHAnsi"/>
          <w:sz w:val="22"/>
          <w:szCs w:val="22"/>
        </w:rPr>
        <w:t xml:space="preserve">of local stakeholders </w:t>
      </w:r>
      <w:r w:rsidRPr="00974377">
        <w:rPr>
          <w:rFonts w:asciiTheme="majorHAnsi" w:hAnsiTheme="majorHAnsi"/>
          <w:sz w:val="22"/>
          <w:szCs w:val="22"/>
        </w:rPr>
        <w:t xml:space="preserve">and be essentially contextualised. </w:t>
      </w:r>
      <w:r w:rsidR="004755F2" w:rsidRPr="00F363B0">
        <w:rPr>
          <w:rFonts w:asciiTheme="majorHAnsi" w:hAnsiTheme="majorHAnsi"/>
          <w:sz w:val="22"/>
          <w:szCs w:val="22"/>
        </w:rPr>
        <w:t>Given the centrality of</w:t>
      </w:r>
      <w:r w:rsidRPr="00F363B0">
        <w:rPr>
          <w:rFonts w:asciiTheme="majorHAnsi" w:hAnsiTheme="majorHAnsi"/>
          <w:sz w:val="22"/>
          <w:szCs w:val="22"/>
        </w:rPr>
        <w:t xml:space="preserve"> </w:t>
      </w:r>
      <w:r w:rsidR="004755F2" w:rsidRPr="00F363B0">
        <w:rPr>
          <w:rFonts w:asciiTheme="majorHAnsi" w:hAnsiTheme="majorHAnsi"/>
          <w:sz w:val="22"/>
          <w:szCs w:val="22"/>
        </w:rPr>
        <w:t xml:space="preserve">the </w:t>
      </w:r>
      <w:r w:rsidR="00774FD1" w:rsidRPr="00F363B0">
        <w:rPr>
          <w:rFonts w:asciiTheme="majorHAnsi" w:hAnsiTheme="majorHAnsi"/>
          <w:sz w:val="22"/>
          <w:szCs w:val="22"/>
        </w:rPr>
        <w:t>MERL</w:t>
      </w:r>
      <w:r w:rsidR="004755F2" w:rsidRPr="00F363B0">
        <w:rPr>
          <w:rFonts w:asciiTheme="majorHAnsi" w:hAnsiTheme="majorHAnsi"/>
          <w:sz w:val="22"/>
          <w:szCs w:val="22"/>
        </w:rPr>
        <w:t xml:space="preserve"> function in the program support’s rationale, it </w:t>
      </w:r>
      <w:r w:rsidRPr="00F363B0">
        <w:rPr>
          <w:rFonts w:asciiTheme="majorHAnsi" w:hAnsiTheme="majorHAnsi"/>
          <w:sz w:val="22"/>
          <w:szCs w:val="22"/>
        </w:rPr>
        <w:t xml:space="preserve">is anticipated that </w:t>
      </w:r>
      <w:r w:rsidR="004755F2" w:rsidRPr="00F363B0">
        <w:rPr>
          <w:rFonts w:asciiTheme="majorHAnsi" w:hAnsiTheme="majorHAnsi"/>
          <w:sz w:val="22"/>
          <w:szCs w:val="22"/>
        </w:rPr>
        <w:t xml:space="preserve">the budget devoted to servicing partners </w:t>
      </w:r>
      <w:r w:rsidR="00774FD1" w:rsidRPr="00F363B0">
        <w:rPr>
          <w:rFonts w:asciiTheme="majorHAnsi" w:hAnsiTheme="majorHAnsi"/>
          <w:sz w:val="22"/>
          <w:szCs w:val="22"/>
        </w:rPr>
        <w:t>MERL</w:t>
      </w:r>
      <w:r w:rsidR="004755F2" w:rsidRPr="00F363B0">
        <w:rPr>
          <w:rFonts w:asciiTheme="majorHAnsi" w:hAnsiTheme="majorHAnsi"/>
          <w:sz w:val="22"/>
          <w:szCs w:val="22"/>
        </w:rPr>
        <w:t xml:space="preserve"> needs will oscillate around 15% of the program activity budget or 7% of the total program budget (</w:t>
      </w:r>
      <w:r w:rsidR="006D30F5" w:rsidRPr="00F363B0">
        <w:rPr>
          <w:rFonts w:asciiTheme="majorHAnsi" w:hAnsiTheme="majorHAnsi"/>
          <w:sz w:val="22"/>
          <w:szCs w:val="22"/>
        </w:rPr>
        <w:t>in addition to program MERL budget</w:t>
      </w:r>
      <w:r w:rsidR="00A314E6">
        <w:rPr>
          <w:rFonts w:asciiTheme="majorHAnsi" w:hAnsiTheme="majorHAnsi"/>
          <w:sz w:val="22"/>
          <w:szCs w:val="22"/>
        </w:rPr>
        <w:t>)</w:t>
      </w:r>
    </w:p>
    <w:p w14:paraId="1E3AE255" w14:textId="5761360B" w:rsidR="00911154" w:rsidRPr="00C713C2" w:rsidRDefault="00C713C2" w:rsidP="00C713C2">
      <w:pPr>
        <w:pStyle w:val="Heading2"/>
        <w:rPr>
          <w:b/>
          <w:sz w:val="22"/>
          <w:szCs w:val="22"/>
        </w:rPr>
      </w:pPr>
      <w:r w:rsidRPr="00C713C2">
        <w:rPr>
          <w:b/>
          <w:bCs/>
          <w:caps w:val="0"/>
          <w:sz w:val="22"/>
          <w:szCs w:val="22"/>
        </w:rPr>
        <w:lastRenderedPageBreak/>
        <w:t>D</w:t>
      </w:r>
      <w:r>
        <w:rPr>
          <w:b/>
          <w:bCs/>
          <w:caps w:val="0"/>
          <w:sz w:val="22"/>
          <w:szCs w:val="22"/>
        </w:rPr>
        <w:t>FAT</w:t>
      </w:r>
      <w:r w:rsidRPr="00C713C2">
        <w:rPr>
          <w:b/>
          <w:bCs/>
          <w:caps w:val="0"/>
          <w:sz w:val="22"/>
          <w:szCs w:val="22"/>
        </w:rPr>
        <w:t xml:space="preserve"> Performance Oversight </w:t>
      </w:r>
      <w:r w:rsidR="000B39E6">
        <w:rPr>
          <w:b/>
          <w:bCs/>
          <w:caps w:val="0"/>
          <w:sz w:val="22"/>
          <w:szCs w:val="22"/>
        </w:rPr>
        <w:t>a</w:t>
      </w:r>
      <w:r w:rsidRPr="00C713C2">
        <w:rPr>
          <w:b/>
          <w:bCs/>
          <w:caps w:val="0"/>
          <w:sz w:val="22"/>
          <w:szCs w:val="22"/>
        </w:rPr>
        <w:t>nd Monitoring</w:t>
      </w:r>
    </w:p>
    <w:p w14:paraId="3A3BE23C" w14:textId="353F8B79" w:rsidR="00951A4E" w:rsidRPr="0094721A" w:rsidRDefault="00EF2955" w:rsidP="00C713C2">
      <w:pPr>
        <w:spacing w:after="120" w:line="276" w:lineRule="auto"/>
      </w:pPr>
      <w:r w:rsidRPr="00974377">
        <w:rPr>
          <w:rFonts w:asciiTheme="majorHAnsi" w:hAnsiTheme="majorHAnsi"/>
          <w:sz w:val="22"/>
          <w:szCs w:val="22"/>
        </w:rPr>
        <w:t xml:space="preserve">To review and enhance the program’s performance and </w:t>
      </w:r>
      <w:r w:rsidRPr="0094721A">
        <w:rPr>
          <w:rFonts w:asciiTheme="majorHAnsi" w:hAnsiTheme="majorHAnsi"/>
          <w:sz w:val="22"/>
          <w:szCs w:val="22"/>
        </w:rPr>
        <w:t>support the strategic management of the program, Post will access different resources and mechanisms</w:t>
      </w:r>
      <w:r w:rsidRPr="0094721A">
        <w:t>.</w:t>
      </w:r>
    </w:p>
    <w:p w14:paraId="00BC4744" w14:textId="7B2EA066" w:rsidR="00EF2955" w:rsidRPr="0094721A" w:rsidRDefault="00EF2955" w:rsidP="008D1844">
      <w:pPr>
        <w:pStyle w:val="Heading3"/>
        <w:numPr>
          <w:ilvl w:val="0"/>
          <w:numId w:val="60"/>
        </w:numPr>
        <w:rPr>
          <w:sz w:val="22"/>
          <w:szCs w:val="22"/>
        </w:rPr>
      </w:pPr>
      <w:r w:rsidRPr="00C713C2">
        <w:rPr>
          <w:b/>
          <w:sz w:val="22"/>
          <w:szCs w:val="22"/>
        </w:rPr>
        <w:t>Joint Monitoring Mission</w:t>
      </w:r>
    </w:p>
    <w:p w14:paraId="52069D92" w14:textId="30977E98" w:rsidR="00EF2955" w:rsidRPr="0094721A" w:rsidRDefault="00EF2955" w:rsidP="00C713C2">
      <w:pPr>
        <w:tabs>
          <w:tab w:val="left" w:pos="284"/>
        </w:tabs>
        <w:spacing w:after="120" w:line="281" w:lineRule="auto"/>
        <w:rPr>
          <w:rFonts w:asciiTheme="majorHAnsi" w:hAnsiTheme="majorHAnsi"/>
          <w:sz w:val="22"/>
          <w:szCs w:val="22"/>
        </w:rPr>
      </w:pPr>
      <w:r w:rsidRPr="0094721A">
        <w:rPr>
          <w:rFonts w:asciiTheme="majorHAnsi" w:hAnsiTheme="majorHAnsi"/>
          <w:sz w:val="22"/>
          <w:szCs w:val="22"/>
        </w:rPr>
        <w:t>DFAT will invite relevant PSC members to conduct joint monitoring missions periodically</w:t>
      </w:r>
      <w:r w:rsidR="00F6597E">
        <w:rPr>
          <w:rFonts w:asciiTheme="majorHAnsi" w:hAnsiTheme="majorHAnsi"/>
          <w:sz w:val="22"/>
          <w:szCs w:val="22"/>
        </w:rPr>
        <w:t xml:space="preserve"> </w:t>
      </w:r>
      <w:r w:rsidR="00F6597E" w:rsidRPr="0094721A">
        <w:rPr>
          <w:rFonts w:asciiTheme="majorHAnsi" w:hAnsiTheme="majorHAnsi"/>
          <w:sz w:val="22"/>
          <w:szCs w:val="22"/>
        </w:rPr>
        <w:t>(TBD)</w:t>
      </w:r>
      <w:r w:rsidRPr="0094721A">
        <w:rPr>
          <w:rFonts w:asciiTheme="majorHAnsi" w:hAnsiTheme="majorHAnsi"/>
          <w:sz w:val="22"/>
          <w:szCs w:val="22"/>
        </w:rPr>
        <w:t xml:space="preserve">, to review how </w:t>
      </w:r>
      <w:r w:rsidR="00F6597E">
        <w:rPr>
          <w:rFonts w:asciiTheme="majorHAnsi" w:hAnsiTheme="majorHAnsi"/>
          <w:sz w:val="22"/>
          <w:szCs w:val="22"/>
        </w:rPr>
        <w:t>stakeholders</w:t>
      </w:r>
      <w:r w:rsidRPr="0094721A">
        <w:rPr>
          <w:rFonts w:asciiTheme="majorHAnsi" w:hAnsiTheme="majorHAnsi"/>
          <w:sz w:val="22"/>
          <w:szCs w:val="22"/>
        </w:rPr>
        <w:t xml:space="preserve"> are providing and/or benefiting from program support, to confirm contractual obligations are met, and to ensure risks - including fiduciary and fraud risks - are managed and mitigated. These missions </w:t>
      </w:r>
      <w:r w:rsidR="00F6597E">
        <w:rPr>
          <w:rFonts w:asciiTheme="majorHAnsi" w:hAnsiTheme="majorHAnsi"/>
          <w:sz w:val="22"/>
          <w:szCs w:val="22"/>
        </w:rPr>
        <w:t>will</w:t>
      </w:r>
      <w:r w:rsidRPr="0094721A">
        <w:rPr>
          <w:rFonts w:asciiTheme="majorHAnsi" w:hAnsiTheme="majorHAnsi"/>
          <w:sz w:val="22"/>
          <w:szCs w:val="22"/>
        </w:rPr>
        <w:t xml:space="preserve"> involve reviewing relevant documentation and visiting provincial office premises and/or schools. </w:t>
      </w:r>
    </w:p>
    <w:p w14:paraId="62D7C7C6" w14:textId="5003FC3F" w:rsidR="00EF2955" w:rsidRPr="0094721A" w:rsidRDefault="00EF2955" w:rsidP="008D1844">
      <w:pPr>
        <w:pStyle w:val="Heading3"/>
        <w:numPr>
          <w:ilvl w:val="0"/>
          <w:numId w:val="60"/>
        </w:numPr>
        <w:rPr>
          <w:sz w:val="22"/>
          <w:szCs w:val="22"/>
        </w:rPr>
      </w:pPr>
      <w:r w:rsidRPr="00C713C2">
        <w:rPr>
          <w:b/>
          <w:sz w:val="22"/>
          <w:szCs w:val="22"/>
        </w:rPr>
        <w:t xml:space="preserve">Program Strategy Testing   </w:t>
      </w:r>
    </w:p>
    <w:p w14:paraId="2EBEC410" w14:textId="47F602A1" w:rsidR="00EF2955" w:rsidRPr="0094721A" w:rsidRDefault="00EF2955" w:rsidP="00C713C2">
      <w:pPr>
        <w:tabs>
          <w:tab w:val="left" w:pos="284"/>
        </w:tabs>
        <w:spacing w:after="120" w:line="281" w:lineRule="auto"/>
        <w:rPr>
          <w:rFonts w:asciiTheme="majorHAnsi" w:hAnsiTheme="majorHAnsi"/>
          <w:sz w:val="22"/>
          <w:szCs w:val="22"/>
        </w:rPr>
      </w:pPr>
      <w:r w:rsidRPr="0094721A">
        <w:rPr>
          <w:rFonts w:asciiTheme="majorHAnsi" w:hAnsiTheme="majorHAnsi"/>
          <w:sz w:val="22"/>
          <w:szCs w:val="22"/>
        </w:rPr>
        <w:t xml:space="preserve">Following on from previous phases, Post will convene annual Strategy Testing Exercises (STE) to reflect on and test the Program Logic and strategies, and adapt them in response to MERL findings, including contextual research studies. The STE will include a review and discussion of the main program risks and of the program </w:t>
      </w:r>
      <w:r w:rsidR="00ED772A">
        <w:rPr>
          <w:rFonts w:asciiTheme="majorHAnsi" w:hAnsiTheme="majorHAnsi"/>
          <w:sz w:val="22"/>
          <w:szCs w:val="22"/>
        </w:rPr>
        <w:t xml:space="preserve">MERL and </w:t>
      </w:r>
      <w:r w:rsidRPr="0094721A">
        <w:rPr>
          <w:rFonts w:asciiTheme="majorHAnsi" w:hAnsiTheme="majorHAnsi"/>
          <w:sz w:val="22"/>
          <w:szCs w:val="22"/>
        </w:rPr>
        <w:t>GEDSI strateg</w:t>
      </w:r>
      <w:r w:rsidR="00ED772A">
        <w:rPr>
          <w:rFonts w:asciiTheme="majorHAnsi" w:hAnsiTheme="majorHAnsi"/>
          <w:sz w:val="22"/>
          <w:szCs w:val="22"/>
        </w:rPr>
        <w:t>ies</w:t>
      </w:r>
      <w:r w:rsidRPr="0094721A">
        <w:rPr>
          <w:rFonts w:asciiTheme="majorHAnsi" w:hAnsiTheme="majorHAnsi"/>
          <w:sz w:val="22"/>
          <w:szCs w:val="22"/>
        </w:rPr>
        <w:t xml:space="preserve">, </w:t>
      </w:r>
      <w:r w:rsidR="00805E00" w:rsidRPr="0094721A">
        <w:rPr>
          <w:rFonts w:asciiTheme="majorHAnsi" w:hAnsiTheme="majorHAnsi"/>
          <w:sz w:val="22"/>
          <w:szCs w:val="22"/>
        </w:rPr>
        <w:t>risks,</w:t>
      </w:r>
      <w:r w:rsidRPr="0094721A">
        <w:rPr>
          <w:rFonts w:asciiTheme="majorHAnsi" w:hAnsiTheme="majorHAnsi"/>
          <w:sz w:val="22"/>
          <w:szCs w:val="22"/>
        </w:rPr>
        <w:t xml:space="preserve"> and opportunities.</w:t>
      </w:r>
      <w:r w:rsidR="007B2C51">
        <w:rPr>
          <w:rFonts w:asciiTheme="majorHAnsi" w:hAnsiTheme="majorHAnsi"/>
          <w:sz w:val="22"/>
          <w:szCs w:val="22"/>
        </w:rPr>
        <w:t xml:space="preserve"> </w:t>
      </w:r>
      <w:r w:rsidRPr="0094721A">
        <w:rPr>
          <w:rFonts w:asciiTheme="majorHAnsi" w:hAnsiTheme="majorHAnsi"/>
          <w:sz w:val="22"/>
          <w:szCs w:val="22"/>
        </w:rPr>
        <w:t xml:space="preserve">The processes will help </w:t>
      </w:r>
      <w:r w:rsidR="009B4E65" w:rsidRPr="0094721A">
        <w:rPr>
          <w:rFonts w:asciiTheme="majorHAnsi" w:hAnsiTheme="majorHAnsi"/>
          <w:sz w:val="22"/>
          <w:szCs w:val="22"/>
        </w:rPr>
        <w:t xml:space="preserve">inform programming adjustments, </w:t>
      </w:r>
      <w:r w:rsidRPr="0094721A">
        <w:rPr>
          <w:rFonts w:asciiTheme="majorHAnsi" w:hAnsiTheme="majorHAnsi"/>
          <w:sz w:val="22"/>
          <w:szCs w:val="22"/>
        </w:rPr>
        <w:t xml:space="preserve">determine new priorities, identify new engagement strategies, revise the GEDSI </w:t>
      </w:r>
      <w:r w:rsidR="00ED772A">
        <w:rPr>
          <w:rFonts w:asciiTheme="majorHAnsi" w:hAnsiTheme="majorHAnsi"/>
          <w:sz w:val="22"/>
          <w:szCs w:val="22"/>
        </w:rPr>
        <w:t xml:space="preserve">and MERL </w:t>
      </w:r>
      <w:r w:rsidRPr="0094721A">
        <w:rPr>
          <w:rFonts w:asciiTheme="majorHAnsi" w:hAnsiTheme="majorHAnsi"/>
          <w:sz w:val="22"/>
          <w:szCs w:val="22"/>
        </w:rPr>
        <w:t>strateg</w:t>
      </w:r>
      <w:r w:rsidR="00ED772A">
        <w:rPr>
          <w:rFonts w:asciiTheme="majorHAnsi" w:hAnsiTheme="majorHAnsi"/>
          <w:sz w:val="22"/>
          <w:szCs w:val="22"/>
        </w:rPr>
        <w:t>ies</w:t>
      </w:r>
      <w:r w:rsidRPr="0094721A">
        <w:rPr>
          <w:rFonts w:asciiTheme="majorHAnsi" w:hAnsiTheme="majorHAnsi"/>
          <w:sz w:val="22"/>
          <w:szCs w:val="22"/>
        </w:rPr>
        <w:t xml:space="preserve">, update the </w:t>
      </w:r>
      <w:r w:rsidR="009A4524">
        <w:rPr>
          <w:rFonts w:asciiTheme="majorHAnsi" w:hAnsiTheme="majorHAnsi"/>
          <w:sz w:val="22"/>
          <w:szCs w:val="22"/>
        </w:rPr>
        <w:t>risk register</w:t>
      </w:r>
      <w:r w:rsidRPr="0094721A">
        <w:rPr>
          <w:rFonts w:asciiTheme="majorHAnsi" w:hAnsiTheme="majorHAnsi"/>
          <w:sz w:val="22"/>
          <w:szCs w:val="22"/>
        </w:rPr>
        <w:t xml:space="preserve">, and inform the research agenda. While under INOVASI phase 2 the process was predominantly led by the </w:t>
      </w:r>
      <w:r w:rsidR="004128B1">
        <w:rPr>
          <w:rFonts w:asciiTheme="majorHAnsi" w:hAnsiTheme="majorHAnsi"/>
          <w:sz w:val="22"/>
          <w:szCs w:val="22"/>
        </w:rPr>
        <w:t>i</w:t>
      </w:r>
      <w:r w:rsidRPr="0094721A">
        <w:rPr>
          <w:rFonts w:asciiTheme="majorHAnsi" w:hAnsiTheme="majorHAnsi"/>
          <w:sz w:val="22"/>
          <w:szCs w:val="22"/>
        </w:rPr>
        <w:t xml:space="preserve">mplementation </w:t>
      </w:r>
      <w:r w:rsidR="004128B1">
        <w:rPr>
          <w:rFonts w:asciiTheme="majorHAnsi" w:hAnsiTheme="majorHAnsi"/>
          <w:sz w:val="22"/>
          <w:szCs w:val="22"/>
        </w:rPr>
        <w:t>t</w:t>
      </w:r>
      <w:r w:rsidRPr="0094721A">
        <w:rPr>
          <w:rFonts w:asciiTheme="majorHAnsi" w:hAnsiTheme="majorHAnsi"/>
          <w:sz w:val="22"/>
          <w:szCs w:val="22"/>
        </w:rPr>
        <w:t>eam, going forward Post will play a more active and leading role in the STE. The</w:t>
      </w:r>
      <w:r w:rsidR="00ED772A">
        <w:rPr>
          <w:rFonts w:asciiTheme="majorHAnsi" w:hAnsiTheme="majorHAnsi"/>
          <w:sz w:val="22"/>
          <w:szCs w:val="22"/>
        </w:rPr>
        <w:t>se</w:t>
      </w:r>
      <w:r w:rsidRPr="0094721A">
        <w:rPr>
          <w:rFonts w:asciiTheme="majorHAnsi" w:hAnsiTheme="majorHAnsi"/>
          <w:sz w:val="22"/>
          <w:szCs w:val="22"/>
        </w:rPr>
        <w:t xml:space="preserve"> will take place before the annual planning process start</w:t>
      </w:r>
      <w:r w:rsidR="00ED772A">
        <w:rPr>
          <w:rFonts w:asciiTheme="majorHAnsi" w:hAnsiTheme="majorHAnsi"/>
          <w:sz w:val="22"/>
          <w:szCs w:val="22"/>
        </w:rPr>
        <w:t>,</w:t>
      </w:r>
      <w:r w:rsidRPr="0094721A">
        <w:rPr>
          <w:rFonts w:asciiTheme="majorHAnsi" w:hAnsiTheme="majorHAnsi"/>
          <w:sz w:val="22"/>
          <w:szCs w:val="22"/>
        </w:rPr>
        <w:t xml:space="preserve"> </w:t>
      </w:r>
      <w:proofErr w:type="gramStart"/>
      <w:r w:rsidRPr="0094721A">
        <w:rPr>
          <w:rFonts w:asciiTheme="majorHAnsi" w:hAnsiTheme="majorHAnsi"/>
          <w:sz w:val="22"/>
          <w:szCs w:val="22"/>
        </w:rPr>
        <w:t>in order to</w:t>
      </w:r>
      <w:proofErr w:type="gramEnd"/>
      <w:r w:rsidRPr="0094721A">
        <w:rPr>
          <w:rFonts w:asciiTheme="majorHAnsi" w:hAnsiTheme="majorHAnsi"/>
          <w:sz w:val="22"/>
          <w:szCs w:val="22"/>
        </w:rPr>
        <w:t xml:space="preserve"> feed lessons into the annual plan, be designed jointly b</w:t>
      </w:r>
      <w:r w:rsidR="00ED772A">
        <w:rPr>
          <w:rFonts w:asciiTheme="majorHAnsi" w:hAnsiTheme="majorHAnsi"/>
          <w:sz w:val="22"/>
          <w:szCs w:val="22"/>
        </w:rPr>
        <w:t>y</w:t>
      </w:r>
      <w:r w:rsidRPr="0094721A">
        <w:rPr>
          <w:rFonts w:asciiTheme="majorHAnsi" w:hAnsiTheme="majorHAnsi"/>
          <w:sz w:val="22"/>
          <w:szCs w:val="22"/>
        </w:rPr>
        <w:t xml:space="preserve"> Post and the implementation team, and be facilitated collaboratively. Post may invite relevant </w:t>
      </w:r>
      <w:proofErr w:type="spellStart"/>
      <w:r w:rsidRPr="0094721A">
        <w:rPr>
          <w:rFonts w:asciiTheme="majorHAnsi" w:hAnsiTheme="majorHAnsi"/>
          <w:sz w:val="22"/>
          <w:szCs w:val="22"/>
        </w:rPr>
        <w:t>GoI</w:t>
      </w:r>
      <w:proofErr w:type="spellEnd"/>
      <w:r w:rsidRPr="0094721A">
        <w:rPr>
          <w:rFonts w:asciiTheme="majorHAnsi" w:hAnsiTheme="majorHAnsi"/>
          <w:sz w:val="22"/>
          <w:szCs w:val="22"/>
        </w:rPr>
        <w:t xml:space="preserve"> and DFAT units</w:t>
      </w:r>
      <w:r w:rsidR="00ED772A">
        <w:rPr>
          <w:rFonts w:asciiTheme="majorHAnsi" w:hAnsiTheme="majorHAnsi"/>
          <w:sz w:val="22"/>
          <w:szCs w:val="22"/>
        </w:rPr>
        <w:t>,</w:t>
      </w:r>
      <w:r w:rsidRPr="0094721A">
        <w:rPr>
          <w:rFonts w:asciiTheme="majorHAnsi" w:hAnsiTheme="majorHAnsi"/>
          <w:sz w:val="22"/>
          <w:szCs w:val="22"/>
        </w:rPr>
        <w:t xml:space="preserve"> such as the Gender Equality, Disability and Social Inclusion Branch (GEB)</w:t>
      </w:r>
      <w:r w:rsidR="00ED772A">
        <w:rPr>
          <w:rFonts w:asciiTheme="majorHAnsi" w:hAnsiTheme="majorHAnsi"/>
          <w:sz w:val="22"/>
          <w:szCs w:val="22"/>
        </w:rPr>
        <w:t>,</w:t>
      </w:r>
      <w:r w:rsidRPr="0094721A">
        <w:rPr>
          <w:rFonts w:asciiTheme="majorHAnsi" w:hAnsiTheme="majorHAnsi"/>
          <w:sz w:val="22"/>
          <w:szCs w:val="22"/>
        </w:rPr>
        <w:t xml:space="preserve"> to provide inputs</w:t>
      </w:r>
      <w:r w:rsidR="00ED772A">
        <w:rPr>
          <w:rFonts w:asciiTheme="majorHAnsi" w:hAnsiTheme="majorHAnsi"/>
          <w:sz w:val="22"/>
          <w:szCs w:val="22"/>
        </w:rPr>
        <w:t xml:space="preserve"> when relevant</w:t>
      </w:r>
      <w:r w:rsidRPr="0094721A">
        <w:rPr>
          <w:rFonts w:asciiTheme="majorHAnsi" w:hAnsiTheme="majorHAnsi"/>
          <w:sz w:val="22"/>
          <w:szCs w:val="22"/>
        </w:rPr>
        <w:t xml:space="preserve">. </w:t>
      </w:r>
    </w:p>
    <w:p w14:paraId="68F93410" w14:textId="4E8ECF3D" w:rsidR="00EF2955" w:rsidRPr="0094721A" w:rsidRDefault="00EF2955" w:rsidP="008D1844">
      <w:pPr>
        <w:pStyle w:val="Heading3"/>
        <w:numPr>
          <w:ilvl w:val="0"/>
          <w:numId w:val="60"/>
        </w:numPr>
        <w:rPr>
          <w:sz w:val="22"/>
          <w:szCs w:val="22"/>
        </w:rPr>
      </w:pPr>
      <w:r w:rsidRPr="00C713C2">
        <w:rPr>
          <w:b/>
          <w:sz w:val="22"/>
          <w:szCs w:val="22"/>
        </w:rPr>
        <w:t xml:space="preserve">Independent </w:t>
      </w:r>
      <w:r w:rsidR="0094721A" w:rsidRPr="00C95117">
        <w:rPr>
          <w:b/>
          <w:bCs w:val="0"/>
          <w:sz w:val="22"/>
          <w:szCs w:val="22"/>
        </w:rPr>
        <w:t>s</w:t>
      </w:r>
      <w:r w:rsidRPr="00C95117">
        <w:rPr>
          <w:b/>
          <w:bCs w:val="0"/>
          <w:sz w:val="22"/>
          <w:szCs w:val="22"/>
        </w:rPr>
        <w:t>trategic</w:t>
      </w:r>
      <w:r w:rsidR="0094721A" w:rsidRPr="00C95117">
        <w:rPr>
          <w:b/>
          <w:bCs w:val="0"/>
          <w:sz w:val="22"/>
          <w:szCs w:val="22"/>
        </w:rPr>
        <w:t xml:space="preserve"> a</w:t>
      </w:r>
      <w:r w:rsidRPr="00C95117">
        <w:rPr>
          <w:b/>
          <w:bCs w:val="0"/>
          <w:sz w:val="22"/>
          <w:szCs w:val="22"/>
        </w:rPr>
        <w:t xml:space="preserve">dvisory </w:t>
      </w:r>
      <w:r w:rsidR="0094721A" w:rsidRPr="00C95117">
        <w:rPr>
          <w:b/>
          <w:bCs w:val="0"/>
          <w:sz w:val="22"/>
          <w:szCs w:val="22"/>
        </w:rPr>
        <w:t>support</w:t>
      </w:r>
    </w:p>
    <w:p w14:paraId="78326E99" w14:textId="7899DF2A" w:rsidR="00EF2955" w:rsidRPr="0094721A" w:rsidRDefault="00EF2955" w:rsidP="00C713C2">
      <w:pPr>
        <w:tabs>
          <w:tab w:val="left" w:pos="284"/>
        </w:tabs>
        <w:spacing w:after="120" w:line="281" w:lineRule="auto"/>
        <w:rPr>
          <w:rFonts w:asciiTheme="majorHAnsi" w:hAnsiTheme="majorHAnsi"/>
          <w:sz w:val="22"/>
          <w:szCs w:val="22"/>
        </w:rPr>
      </w:pPr>
      <w:r w:rsidRPr="0094721A">
        <w:rPr>
          <w:rFonts w:asciiTheme="majorHAnsi" w:hAnsiTheme="majorHAnsi"/>
          <w:sz w:val="22"/>
          <w:szCs w:val="22"/>
        </w:rPr>
        <w:t xml:space="preserve">To support with the framing and interrogation of INOVASI performance, Post currently utilises the Quality Investment Support Services (QISS) facility, an independent advisory team hired by Post Quality and Risk Unit, and an education specialist contracted directly by Post Basic Education Unit. This arrangement is deemed effective and, should the QISS facility continue to become available, will likely be continued </w:t>
      </w:r>
      <w:r w:rsidR="00ED772A">
        <w:rPr>
          <w:rFonts w:asciiTheme="majorHAnsi" w:hAnsiTheme="majorHAnsi"/>
          <w:sz w:val="22"/>
          <w:szCs w:val="22"/>
        </w:rPr>
        <w:t>during</w:t>
      </w:r>
      <w:r w:rsidRPr="0094721A">
        <w:rPr>
          <w:rFonts w:asciiTheme="majorHAnsi" w:hAnsiTheme="majorHAnsi"/>
          <w:sz w:val="22"/>
          <w:szCs w:val="22"/>
        </w:rPr>
        <w:t xml:space="preserve"> INOVASI Phase 3.  Should the need arise, Post may engage an</w:t>
      </w:r>
      <w:r w:rsidR="0094721A">
        <w:rPr>
          <w:rFonts w:asciiTheme="majorHAnsi" w:hAnsiTheme="majorHAnsi"/>
          <w:sz w:val="22"/>
          <w:szCs w:val="22"/>
        </w:rPr>
        <w:t xml:space="preserve"> Independent Strategic Advisory Team (</w:t>
      </w:r>
      <w:r w:rsidRPr="0094721A">
        <w:rPr>
          <w:rFonts w:asciiTheme="majorHAnsi" w:hAnsiTheme="majorHAnsi"/>
          <w:sz w:val="22"/>
          <w:szCs w:val="22"/>
        </w:rPr>
        <w:t>ISAT</w:t>
      </w:r>
      <w:r w:rsidR="0094721A">
        <w:rPr>
          <w:rFonts w:asciiTheme="majorHAnsi" w:hAnsiTheme="majorHAnsi"/>
          <w:sz w:val="22"/>
          <w:szCs w:val="22"/>
        </w:rPr>
        <w:t>)</w:t>
      </w:r>
      <w:r w:rsidRPr="0094721A">
        <w:rPr>
          <w:rFonts w:asciiTheme="majorHAnsi" w:hAnsiTheme="majorHAnsi"/>
          <w:sz w:val="22"/>
          <w:szCs w:val="22"/>
        </w:rPr>
        <w:t xml:space="preserve"> to provide independent expertise in reviewing the program’s performance and relevance, including through the STE process. The team will likely need to include significant Indonesian education sector expertise and high-level ME</w:t>
      </w:r>
      <w:r w:rsidR="002802F4">
        <w:rPr>
          <w:rFonts w:asciiTheme="majorHAnsi" w:hAnsiTheme="majorHAnsi"/>
          <w:sz w:val="22"/>
          <w:szCs w:val="22"/>
        </w:rPr>
        <w:t>R</w:t>
      </w:r>
      <w:r w:rsidRPr="0094721A">
        <w:rPr>
          <w:rFonts w:asciiTheme="majorHAnsi" w:hAnsiTheme="majorHAnsi"/>
          <w:sz w:val="22"/>
          <w:szCs w:val="22"/>
        </w:rPr>
        <w:t xml:space="preserve">L and performance management expertise. The team will also need to include GEDSI expertise, or at least individuals with a good understanding of policies and norms relating to gender equality in Indonesia. Given the strategic level of expertise required, all ISAT members will have a convincing consultancy track record with DFAT and demonstrate strong personal commitment to GEDSI principles. The ISAT will provide in-country and remote inputs periodically and on a </w:t>
      </w:r>
      <w:r w:rsidR="001C44D7" w:rsidRPr="0094721A">
        <w:rPr>
          <w:rFonts w:asciiTheme="majorHAnsi" w:hAnsiTheme="majorHAnsi"/>
          <w:sz w:val="22"/>
          <w:szCs w:val="22"/>
        </w:rPr>
        <w:t>need’s</w:t>
      </w:r>
      <w:r w:rsidRPr="0094721A">
        <w:rPr>
          <w:rFonts w:asciiTheme="majorHAnsi" w:hAnsiTheme="majorHAnsi"/>
          <w:sz w:val="22"/>
          <w:szCs w:val="22"/>
        </w:rPr>
        <w:t xml:space="preserve"> basis, through tasking requests. From time to time, at the direction of DFAT, specific expertise may be added to the ISAT for discrete tasks. </w:t>
      </w:r>
    </w:p>
    <w:p w14:paraId="41C9D6E6" w14:textId="7C27CD73" w:rsidR="00EF2955" w:rsidRPr="0094721A" w:rsidRDefault="00EF2955" w:rsidP="008D1844">
      <w:pPr>
        <w:pStyle w:val="Heading3"/>
        <w:numPr>
          <w:ilvl w:val="0"/>
          <w:numId w:val="60"/>
        </w:numPr>
        <w:rPr>
          <w:sz w:val="22"/>
          <w:szCs w:val="22"/>
        </w:rPr>
      </w:pPr>
      <w:r w:rsidRPr="00C713C2">
        <w:rPr>
          <w:b/>
          <w:sz w:val="22"/>
          <w:szCs w:val="22"/>
        </w:rPr>
        <w:lastRenderedPageBreak/>
        <w:t xml:space="preserve">Mid-Term Review </w:t>
      </w:r>
    </w:p>
    <w:p w14:paraId="7745FE02" w14:textId="001E66DF" w:rsidR="00EF2955" w:rsidRPr="00974377" w:rsidRDefault="00EF2955" w:rsidP="00C713C2">
      <w:pPr>
        <w:tabs>
          <w:tab w:val="left" w:pos="284"/>
        </w:tabs>
        <w:spacing w:after="120" w:line="281" w:lineRule="auto"/>
        <w:rPr>
          <w:rFonts w:asciiTheme="majorHAnsi" w:hAnsiTheme="majorHAnsi"/>
          <w:sz w:val="22"/>
          <w:szCs w:val="22"/>
        </w:rPr>
      </w:pPr>
      <w:r w:rsidRPr="0094721A">
        <w:rPr>
          <w:rFonts w:asciiTheme="majorHAnsi" w:hAnsiTheme="majorHAnsi"/>
          <w:sz w:val="22"/>
          <w:szCs w:val="22"/>
        </w:rPr>
        <w:t>DFAT will commission an independent Mid-Term Review (MTR) of the program in the first half of 2027, before a decision is made on a possible extension of the program. The MTR will consider changes in the context, including updated priorities from</w:t>
      </w:r>
      <w:r w:rsidRPr="00974377">
        <w:rPr>
          <w:rFonts w:asciiTheme="majorHAnsi" w:hAnsiTheme="majorHAnsi"/>
          <w:sz w:val="22"/>
          <w:szCs w:val="22"/>
        </w:rPr>
        <w:t xml:space="preserve"> </w:t>
      </w:r>
      <w:proofErr w:type="spellStart"/>
      <w:r w:rsidRPr="00974377">
        <w:rPr>
          <w:rFonts w:asciiTheme="majorHAnsi" w:hAnsiTheme="majorHAnsi"/>
          <w:sz w:val="22"/>
          <w:szCs w:val="22"/>
        </w:rPr>
        <w:t>GoI</w:t>
      </w:r>
      <w:proofErr w:type="spellEnd"/>
      <w:r w:rsidRPr="00974377">
        <w:rPr>
          <w:rFonts w:asciiTheme="majorHAnsi" w:hAnsiTheme="majorHAnsi"/>
          <w:sz w:val="22"/>
          <w:szCs w:val="22"/>
        </w:rPr>
        <w:t xml:space="preserve"> partners following the 2024 elections. </w:t>
      </w:r>
      <w:r w:rsidR="00E94416">
        <w:rPr>
          <w:rFonts w:asciiTheme="majorHAnsi" w:hAnsiTheme="majorHAnsi"/>
          <w:sz w:val="22"/>
          <w:szCs w:val="22"/>
        </w:rPr>
        <w:t xml:space="preserve">Based on an analysis of </w:t>
      </w:r>
      <w:r w:rsidR="00E94416" w:rsidRPr="004F17B3">
        <w:rPr>
          <w:rFonts w:asciiTheme="majorHAnsi" w:hAnsiTheme="majorHAnsi"/>
          <w:sz w:val="22"/>
          <w:szCs w:val="22"/>
        </w:rPr>
        <w:t>progress against proposed outcomes</w:t>
      </w:r>
      <w:r w:rsidR="00E94416">
        <w:rPr>
          <w:rFonts w:asciiTheme="majorHAnsi" w:hAnsiTheme="majorHAnsi"/>
          <w:sz w:val="22"/>
          <w:szCs w:val="22"/>
        </w:rPr>
        <w:t>,</w:t>
      </w:r>
      <w:r w:rsidR="00E94416" w:rsidRPr="00974377">
        <w:rPr>
          <w:rFonts w:asciiTheme="majorHAnsi" w:hAnsiTheme="majorHAnsi"/>
          <w:sz w:val="22"/>
          <w:szCs w:val="22"/>
        </w:rPr>
        <w:t xml:space="preserve"> </w:t>
      </w:r>
      <w:r w:rsidR="00E94416">
        <w:rPr>
          <w:rFonts w:asciiTheme="majorHAnsi" w:hAnsiTheme="majorHAnsi"/>
          <w:sz w:val="22"/>
          <w:szCs w:val="22"/>
        </w:rPr>
        <w:t>i</w:t>
      </w:r>
      <w:r w:rsidRPr="00974377">
        <w:rPr>
          <w:rFonts w:asciiTheme="majorHAnsi" w:hAnsiTheme="majorHAnsi"/>
          <w:sz w:val="22"/>
          <w:szCs w:val="22"/>
        </w:rPr>
        <w:t>t will focus on the relevance and effectiveness of (a) the overall INOVASI Phase 3 program logic, (b) the implementation strategies, (c) the targeting strategy, and (d) the program governance and management arrangements. The results of the MTR will serve as the basis for the decision to extend the program for the period 2028-2031 and suggest necessary changes and adaptations to the program design. Specific terms of references with review questions will be developed in due course.</w:t>
      </w:r>
    </w:p>
    <w:p w14:paraId="10A73F06" w14:textId="77777777" w:rsidR="00B86A7F" w:rsidRPr="00974377" w:rsidRDefault="00B86A7F" w:rsidP="00C713C2">
      <w:pPr>
        <w:tabs>
          <w:tab w:val="left" w:pos="284"/>
        </w:tabs>
        <w:spacing w:after="120" w:line="281" w:lineRule="auto"/>
        <w:rPr>
          <w:rFonts w:asciiTheme="majorHAnsi" w:hAnsiTheme="majorHAnsi"/>
          <w:sz w:val="22"/>
          <w:szCs w:val="22"/>
        </w:rPr>
      </w:pPr>
    </w:p>
    <w:p w14:paraId="1A4693C5" w14:textId="774D37E0" w:rsidR="00A32858" w:rsidRPr="00974377" w:rsidRDefault="00A32858" w:rsidP="008D1844">
      <w:pPr>
        <w:pStyle w:val="Heading1"/>
        <w:numPr>
          <w:ilvl w:val="0"/>
          <w:numId w:val="59"/>
        </w:numPr>
        <w:rPr>
          <w:b w:val="0"/>
          <w:szCs w:val="21"/>
        </w:rPr>
      </w:pPr>
      <w:r w:rsidRPr="00B86A7F">
        <w:rPr>
          <w:sz w:val="28"/>
          <w:u w:val="single"/>
        </w:rPr>
        <w:t>Gender, Disability and Other Cross Cutting Issues</w:t>
      </w:r>
    </w:p>
    <w:p w14:paraId="63138121" w14:textId="6135D4DC" w:rsidR="00ED705E" w:rsidRPr="003965F0" w:rsidRDefault="00ED705E" w:rsidP="003965F0">
      <w:pPr>
        <w:pStyle w:val="Heading2"/>
        <w:rPr>
          <w:b/>
          <w:sz w:val="22"/>
          <w:szCs w:val="22"/>
        </w:rPr>
      </w:pPr>
      <w:r w:rsidRPr="003965F0">
        <w:rPr>
          <w:b/>
          <w:caps w:val="0"/>
          <w:sz w:val="22"/>
          <w:szCs w:val="22"/>
        </w:rPr>
        <w:t>G</w:t>
      </w:r>
      <w:r w:rsidRPr="00974377">
        <w:rPr>
          <w:rFonts w:cstheme="majorHAnsi"/>
          <w:b/>
          <w:bCs/>
          <w:sz w:val="22"/>
          <w:szCs w:val="22"/>
        </w:rPr>
        <w:t xml:space="preserve">EDSI </w:t>
      </w:r>
    </w:p>
    <w:p w14:paraId="7E4DCDB0" w14:textId="77777777" w:rsidR="00ED705E" w:rsidRPr="00974377" w:rsidRDefault="00ED705E" w:rsidP="00B86A7F">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Indonesia-Australia Comprehensive Strategic Partnership (2020-2024) jointly prioritises ‘initiatives to promote women’s leadership and empowerment in the field of economic and social development’ and disability-inclusive development. This commitment is reflected in Indonesia’s COVID-19 Development Response Plan, which prioritises ‘economic empowerment of women, people with disabilities and marginalised groups’ and commits to challenging gender norms that constrain women’s economic participation and contribution. It aligns well with the values of equality, diversity and inclusion of Indonesia’s new education curriculum and pedagogical reforms. </w:t>
      </w:r>
    </w:p>
    <w:p w14:paraId="09D8DF10" w14:textId="343D353D" w:rsidR="00ED705E" w:rsidRPr="00974377" w:rsidRDefault="00ED705E" w:rsidP="00B86A7F">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INOVASI Phase 3 design responds to DFAT’s leadership on GEDSI-responsive development and intentionally places inclusive education at the centre of the new program in various ways: explicit references to gender equality, disability and social inclusion in the outcomes of the program logic and in the composition of the ecosystems themselves (see Section D), GEDSI requirements for staffing resources and governance mechanism (see Section E), GEDSI considerations in the program MEL framework (see Section F), budget, </w:t>
      </w:r>
      <w:r w:rsidR="00475A9D">
        <w:rPr>
          <w:rFonts w:asciiTheme="majorHAnsi" w:hAnsiTheme="majorHAnsi" w:cstheme="majorHAnsi"/>
          <w:sz w:val="22"/>
          <w:szCs w:val="22"/>
        </w:rPr>
        <w:t xml:space="preserve">and </w:t>
      </w:r>
      <w:r w:rsidRPr="00974377">
        <w:rPr>
          <w:rFonts w:asciiTheme="majorHAnsi" w:hAnsiTheme="majorHAnsi" w:cstheme="majorHAnsi"/>
          <w:sz w:val="22"/>
          <w:szCs w:val="22"/>
        </w:rPr>
        <w:t xml:space="preserve">risks (see Section J). </w:t>
      </w:r>
    </w:p>
    <w:p w14:paraId="5FF221AE" w14:textId="525FCC3D" w:rsidR="00ED705E" w:rsidRPr="00974377" w:rsidRDefault="00E643E0" w:rsidP="00B86A7F">
      <w:pPr>
        <w:spacing w:after="120" w:line="281" w:lineRule="auto"/>
        <w:rPr>
          <w:rFonts w:asciiTheme="majorHAnsi" w:hAnsiTheme="majorHAnsi" w:cstheme="majorHAnsi"/>
          <w:sz w:val="22"/>
          <w:szCs w:val="22"/>
        </w:rPr>
      </w:pPr>
      <w:r w:rsidRPr="00E643E0">
        <w:rPr>
          <w:rFonts w:asciiTheme="majorHAnsi" w:hAnsiTheme="majorHAnsi" w:cstheme="majorHAnsi"/>
          <w:sz w:val="22"/>
          <w:szCs w:val="22"/>
        </w:rPr>
        <w:t>A</w:t>
      </w:r>
      <w:r w:rsidR="008B7325" w:rsidRPr="00E643E0">
        <w:rPr>
          <w:rFonts w:asciiTheme="majorHAnsi" w:hAnsiTheme="majorHAnsi" w:cstheme="majorHAnsi"/>
          <w:sz w:val="22"/>
          <w:szCs w:val="22"/>
        </w:rPr>
        <w:t xml:space="preserve"> comprehensive GEDSI analysis </w:t>
      </w:r>
      <w:r w:rsidRPr="00E643E0">
        <w:rPr>
          <w:rFonts w:asciiTheme="majorHAnsi" w:hAnsiTheme="majorHAnsi" w:cstheme="majorHAnsi"/>
          <w:sz w:val="22"/>
          <w:szCs w:val="22"/>
        </w:rPr>
        <w:t>will be undertaken at the start of the program and</w:t>
      </w:r>
      <w:r w:rsidR="008B7325" w:rsidRPr="00E643E0">
        <w:rPr>
          <w:rFonts w:asciiTheme="majorHAnsi" w:hAnsiTheme="majorHAnsi" w:cstheme="majorHAnsi"/>
          <w:sz w:val="22"/>
          <w:szCs w:val="22"/>
        </w:rPr>
        <w:t xml:space="preserve"> will </w:t>
      </w:r>
      <w:r w:rsidR="00ED705E" w:rsidRPr="00E643E0">
        <w:rPr>
          <w:rFonts w:asciiTheme="majorHAnsi" w:hAnsiTheme="majorHAnsi" w:cstheme="majorHAnsi"/>
          <w:sz w:val="22"/>
          <w:szCs w:val="22"/>
        </w:rPr>
        <w:t xml:space="preserve">inform the development of a </w:t>
      </w:r>
      <w:r w:rsidR="007B2C51" w:rsidRPr="00E643E0">
        <w:rPr>
          <w:rFonts w:asciiTheme="majorHAnsi" w:hAnsiTheme="majorHAnsi" w:cstheme="majorHAnsi"/>
          <w:sz w:val="22"/>
          <w:szCs w:val="22"/>
        </w:rPr>
        <w:t>program wide</w:t>
      </w:r>
      <w:r w:rsidR="00ED705E" w:rsidRPr="00E643E0">
        <w:rPr>
          <w:rFonts w:asciiTheme="majorHAnsi" w:hAnsiTheme="majorHAnsi" w:cstheme="majorHAnsi"/>
          <w:sz w:val="22"/>
          <w:szCs w:val="22"/>
        </w:rPr>
        <w:t xml:space="preserve"> GEDSI strategy, to be submitted at the end of the inception period (see Section I). The INOVASI experience has shown that a robust conceptual framework needs to underpin the strategy so that root causes of gender inequality are identified at the start of the program and a strong case for tackling them can be pursued relentlessly</w:t>
      </w:r>
      <w:r w:rsidR="00ED705E" w:rsidRPr="00974377">
        <w:rPr>
          <w:rFonts w:asciiTheme="majorHAnsi" w:hAnsiTheme="majorHAnsi" w:cstheme="majorHAnsi"/>
          <w:sz w:val="22"/>
          <w:szCs w:val="22"/>
        </w:rPr>
        <w:t xml:space="preserve"> through the program’s life. Importantly, th</w:t>
      </w:r>
      <w:r w:rsidR="008B7325">
        <w:rPr>
          <w:rFonts w:asciiTheme="majorHAnsi" w:hAnsiTheme="majorHAnsi" w:cstheme="majorHAnsi"/>
          <w:sz w:val="22"/>
          <w:szCs w:val="22"/>
        </w:rPr>
        <w:t>e GEDSI</w:t>
      </w:r>
      <w:r w:rsidR="00ED705E" w:rsidRPr="00974377">
        <w:rPr>
          <w:rFonts w:asciiTheme="majorHAnsi" w:hAnsiTheme="majorHAnsi" w:cstheme="majorHAnsi"/>
          <w:sz w:val="22"/>
          <w:szCs w:val="22"/>
        </w:rPr>
        <w:t xml:space="preserve"> analysis will also support the development of individual GEDSI strategies in each district ecosystem, helping to scope and address the intersection of gender with disability and all forms of social disadvantage as they manifest in the local contexts. The ecosystem GEDSI strategies will include objectives related to specific GEDSI issues relevant to district circumstances. They will include targeted objectives </w:t>
      </w:r>
      <w:r w:rsidR="004463D5">
        <w:rPr>
          <w:rFonts w:asciiTheme="majorHAnsi" w:hAnsiTheme="majorHAnsi" w:cstheme="majorHAnsi"/>
          <w:sz w:val="22"/>
          <w:szCs w:val="22"/>
        </w:rPr>
        <w:t xml:space="preserve">and indicators </w:t>
      </w:r>
      <w:r w:rsidR="00ED705E" w:rsidRPr="00974377">
        <w:rPr>
          <w:rFonts w:asciiTheme="majorHAnsi" w:hAnsiTheme="majorHAnsi" w:cstheme="majorHAnsi"/>
          <w:sz w:val="22"/>
          <w:szCs w:val="22"/>
        </w:rPr>
        <w:t>that address discriminatory norms to improve outcomes related to</w:t>
      </w:r>
      <w:r w:rsidR="00FB0B66">
        <w:rPr>
          <w:rFonts w:asciiTheme="majorHAnsi" w:hAnsiTheme="majorHAnsi" w:cstheme="majorHAnsi"/>
          <w:sz w:val="22"/>
          <w:szCs w:val="22"/>
        </w:rPr>
        <w:t xml:space="preserve"> key</w:t>
      </w:r>
      <w:r w:rsidR="00ED705E" w:rsidRPr="00974377">
        <w:rPr>
          <w:rFonts w:asciiTheme="majorHAnsi" w:hAnsiTheme="majorHAnsi" w:cstheme="majorHAnsi"/>
          <w:sz w:val="22"/>
          <w:szCs w:val="22"/>
        </w:rPr>
        <w:t xml:space="preserve"> </w:t>
      </w:r>
      <w:r w:rsidR="00FB0B66" w:rsidRPr="00974377">
        <w:rPr>
          <w:rFonts w:asciiTheme="majorHAnsi" w:hAnsiTheme="majorHAnsi" w:cstheme="majorHAnsi"/>
          <w:sz w:val="22"/>
          <w:szCs w:val="22"/>
        </w:rPr>
        <w:t xml:space="preserve">gender issues </w:t>
      </w:r>
      <w:r w:rsidR="00FB0B66">
        <w:rPr>
          <w:rFonts w:asciiTheme="majorHAnsi" w:hAnsiTheme="majorHAnsi" w:cstheme="majorHAnsi"/>
          <w:sz w:val="22"/>
          <w:szCs w:val="22"/>
        </w:rPr>
        <w:t xml:space="preserve">targeted program-wide </w:t>
      </w:r>
      <w:r w:rsidR="00ED705E" w:rsidRPr="00974377">
        <w:rPr>
          <w:rFonts w:asciiTheme="majorHAnsi" w:hAnsiTheme="majorHAnsi" w:cstheme="majorHAnsi"/>
          <w:sz w:val="22"/>
          <w:szCs w:val="22"/>
        </w:rPr>
        <w:t>(see below), as well as measures to implement Indonesia’s Reasonable Accommodation Regulation for the learning of students with disability</w:t>
      </w:r>
      <w:r w:rsidR="004463D5">
        <w:rPr>
          <w:rFonts w:asciiTheme="majorHAnsi" w:hAnsiTheme="majorHAnsi" w:cstheme="majorHAnsi"/>
          <w:sz w:val="22"/>
          <w:szCs w:val="22"/>
        </w:rPr>
        <w:t xml:space="preserve"> </w:t>
      </w:r>
      <w:r w:rsidR="004463D5" w:rsidRPr="00974377">
        <w:rPr>
          <w:rFonts w:asciiTheme="majorHAnsi" w:hAnsiTheme="majorHAnsi" w:cstheme="majorHAnsi"/>
          <w:sz w:val="22"/>
          <w:szCs w:val="22"/>
        </w:rPr>
        <w:t>(see below)</w:t>
      </w:r>
      <w:r w:rsidR="00ED705E" w:rsidRPr="00974377">
        <w:rPr>
          <w:rFonts w:asciiTheme="majorHAnsi" w:hAnsiTheme="majorHAnsi" w:cstheme="majorHAnsi"/>
          <w:sz w:val="22"/>
          <w:szCs w:val="22"/>
        </w:rPr>
        <w:t xml:space="preserve">. </w:t>
      </w:r>
      <w:r w:rsidR="00FB0B66">
        <w:rPr>
          <w:rFonts w:asciiTheme="majorHAnsi" w:hAnsiTheme="majorHAnsi" w:cstheme="majorHAnsi"/>
          <w:sz w:val="22"/>
          <w:szCs w:val="22"/>
        </w:rPr>
        <w:t xml:space="preserve">The </w:t>
      </w:r>
      <w:r w:rsidR="00027062" w:rsidRPr="00974377">
        <w:rPr>
          <w:rFonts w:asciiTheme="majorHAnsi" w:hAnsiTheme="majorHAnsi" w:cstheme="majorHAnsi"/>
          <w:sz w:val="22"/>
          <w:szCs w:val="22"/>
        </w:rPr>
        <w:t>targeted GEDSI activities at national, provincial and/or district levels</w:t>
      </w:r>
      <w:r w:rsidR="00ED705E" w:rsidRPr="00974377">
        <w:rPr>
          <w:rFonts w:asciiTheme="majorHAnsi" w:hAnsiTheme="majorHAnsi" w:cstheme="majorHAnsi"/>
          <w:sz w:val="22"/>
          <w:szCs w:val="22"/>
        </w:rPr>
        <w:t xml:space="preserve"> are considered as program activities that </w:t>
      </w:r>
      <w:r w:rsidR="00FB0B66">
        <w:rPr>
          <w:rFonts w:asciiTheme="majorHAnsi" w:hAnsiTheme="majorHAnsi" w:cstheme="majorHAnsi"/>
          <w:sz w:val="22"/>
          <w:szCs w:val="22"/>
        </w:rPr>
        <w:t xml:space="preserve">will </w:t>
      </w:r>
      <w:r w:rsidR="00ED705E" w:rsidRPr="00974377">
        <w:rPr>
          <w:rFonts w:asciiTheme="majorHAnsi" w:hAnsiTheme="majorHAnsi" w:cstheme="majorHAnsi"/>
          <w:sz w:val="22"/>
          <w:szCs w:val="22"/>
        </w:rPr>
        <w:t xml:space="preserve">address specific partner’s needs rather than programmatic needs – they will be resourced and funded under </w:t>
      </w:r>
      <w:r w:rsidR="00ED6E07">
        <w:rPr>
          <w:rFonts w:asciiTheme="majorHAnsi" w:hAnsiTheme="majorHAnsi" w:cstheme="majorHAnsi"/>
          <w:sz w:val="22"/>
          <w:szCs w:val="22"/>
        </w:rPr>
        <w:t>the</w:t>
      </w:r>
      <w:r w:rsidR="00ED705E" w:rsidRPr="00974377">
        <w:rPr>
          <w:rFonts w:asciiTheme="majorHAnsi" w:hAnsiTheme="majorHAnsi" w:cstheme="majorHAnsi"/>
          <w:sz w:val="22"/>
          <w:szCs w:val="22"/>
        </w:rPr>
        <w:t xml:space="preserve"> program activity stream.</w:t>
      </w:r>
    </w:p>
    <w:p w14:paraId="67030B3E" w14:textId="261C3456" w:rsidR="00ED705E" w:rsidRPr="00974377" w:rsidRDefault="00ED705E" w:rsidP="00B86A7F">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lastRenderedPageBreak/>
        <w:t xml:space="preserve">The program GEDSI strategy will follow a twin-track approach: 1) it will ensure all program activities consider and respond to the needs, </w:t>
      </w:r>
      <w:r w:rsidR="00805E00" w:rsidRPr="00974377">
        <w:rPr>
          <w:rFonts w:asciiTheme="majorHAnsi" w:hAnsiTheme="majorHAnsi" w:cstheme="majorHAnsi"/>
          <w:sz w:val="22"/>
          <w:szCs w:val="22"/>
        </w:rPr>
        <w:t>interests,</w:t>
      </w:r>
      <w:r w:rsidRPr="00974377">
        <w:rPr>
          <w:rFonts w:asciiTheme="majorHAnsi" w:hAnsiTheme="majorHAnsi" w:cstheme="majorHAnsi"/>
          <w:sz w:val="22"/>
          <w:szCs w:val="22"/>
        </w:rPr>
        <w:t xml:space="preserve"> and opportunities of people with different genders and with disabilities (mainstreaming track), and 2) it will support interventions that address specific dimensions of gender equality and disability and social inclusion (targeted track). The mainstreaming emphasis will ensure there is genuine and substantial attention to equality, </w:t>
      </w:r>
      <w:r w:rsidR="00805E00" w:rsidRPr="00974377">
        <w:rPr>
          <w:rFonts w:asciiTheme="majorHAnsi" w:hAnsiTheme="majorHAnsi" w:cstheme="majorHAnsi"/>
          <w:sz w:val="22"/>
          <w:szCs w:val="22"/>
        </w:rPr>
        <w:t>diversity,</w:t>
      </w:r>
      <w:r w:rsidRPr="00974377">
        <w:rPr>
          <w:rFonts w:asciiTheme="majorHAnsi" w:hAnsiTheme="majorHAnsi" w:cstheme="majorHAnsi"/>
          <w:sz w:val="22"/>
          <w:szCs w:val="22"/>
        </w:rPr>
        <w:t xml:space="preserve"> and inclusion</w:t>
      </w:r>
      <w:r w:rsidR="00ED6E07">
        <w:rPr>
          <w:rFonts w:asciiTheme="majorHAnsi" w:hAnsiTheme="majorHAnsi" w:cstheme="majorHAnsi"/>
          <w:sz w:val="22"/>
          <w:szCs w:val="22"/>
        </w:rPr>
        <w:t xml:space="preserve"> in achieving all programs outcomes</w:t>
      </w:r>
      <w:r w:rsidRPr="00974377">
        <w:rPr>
          <w:rFonts w:asciiTheme="majorHAnsi" w:hAnsiTheme="majorHAnsi" w:cstheme="majorHAnsi"/>
          <w:sz w:val="22"/>
          <w:szCs w:val="22"/>
        </w:rPr>
        <w:t>, evidenced by specific targets, activities, and resources. Targeted activities, whether in district ecosystems, through pilots and trials, via analytical studies or policy support, will raise the prominence of specific inclusive education issue</w:t>
      </w:r>
      <w:r w:rsidR="00FB0B66">
        <w:rPr>
          <w:rFonts w:asciiTheme="majorHAnsi" w:hAnsiTheme="majorHAnsi" w:cstheme="majorHAnsi"/>
          <w:sz w:val="22"/>
          <w:szCs w:val="22"/>
        </w:rPr>
        <w:t>s</w:t>
      </w:r>
      <w:r w:rsidR="006E01C4">
        <w:rPr>
          <w:rFonts w:cstheme="minorHAnsi"/>
        </w:rPr>
        <w:t>.</w:t>
      </w:r>
      <w:r w:rsidR="006E01C4" w:rsidRPr="00974377">
        <w:rPr>
          <w:rFonts w:asciiTheme="majorHAnsi" w:hAnsiTheme="majorHAnsi" w:cstheme="majorHAnsi"/>
          <w:sz w:val="22"/>
          <w:szCs w:val="22"/>
        </w:rPr>
        <w:t xml:space="preserve"> </w:t>
      </w:r>
      <w:r w:rsidRPr="00974377">
        <w:rPr>
          <w:rFonts w:asciiTheme="majorHAnsi" w:hAnsiTheme="majorHAnsi" w:cstheme="majorHAnsi"/>
          <w:sz w:val="22"/>
          <w:szCs w:val="22"/>
        </w:rPr>
        <w:t>In developing the GEDSI strategy, the program will consider gender equality, disability inclusion, and social inclusion as separate issues as well as the interplay between them and different determinants of exclusion and inequality (</w:t>
      </w:r>
      <w:r w:rsidR="007B2C51" w:rsidRPr="00974377">
        <w:rPr>
          <w:rFonts w:asciiTheme="majorHAnsi" w:hAnsiTheme="majorHAnsi" w:cstheme="majorHAnsi"/>
          <w:sz w:val="22"/>
          <w:szCs w:val="22"/>
        </w:rPr>
        <w:t>i.e.,</w:t>
      </w:r>
      <w:r w:rsidRPr="00974377">
        <w:rPr>
          <w:rFonts w:asciiTheme="majorHAnsi" w:hAnsiTheme="majorHAnsi" w:cstheme="majorHAnsi"/>
          <w:sz w:val="22"/>
          <w:szCs w:val="22"/>
        </w:rPr>
        <w:t xml:space="preserve"> the intersectionality of these issues). The following paragraphs provide initial considerations for the INOVASI Phase 3 GEDSI strategy.</w:t>
      </w:r>
    </w:p>
    <w:p w14:paraId="7AD32D1A" w14:textId="53392CB5" w:rsidR="00ED705E" w:rsidRPr="003965F0" w:rsidRDefault="00ED705E" w:rsidP="003965F0">
      <w:pPr>
        <w:pStyle w:val="Heading2"/>
        <w:rPr>
          <w:b/>
          <w:sz w:val="22"/>
          <w:szCs w:val="22"/>
        </w:rPr>
      </w:pPr>
      <w:r w:rsidRPr="003965F0">
        <w:rPr>
          <w:b/>
          <w:caps w:val="0"/>
          <w:sz w:val="22"/>
          <w:szCs w:val="22"/>
        </w:rPr>
        <w:t xml:space="preserve">Gender </w:t>
      </w:r>
      <w:r w:rsidR="003965F0" w:rsidRPr="003965F0">
        <w:rPr>
          <w:b/>
          <w:bCs/>
          <w:caps w:val="0"/>
          <w:sz w:val="22"/>
          <w:szCs w:val="22"/>
        </w:rPr>
        <w:t>Equality</w:t>
      </w:r>
    </w:p>
    <w:p w14:paraId="127627A6" w14:textId="361E6587" w:rsidR="00ED705E" w:rsidRPr="00974377" w:rsidRDefault="00ED705E" w:rsidP="00B86A7F">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INOVASI Phase 2 </w:t>
      </w:r>
      <w:r w:rsidR="006E01C4">
        <w:rPr>
          <w:rFonts w:asciiTheme="majorHAnsi" w:hAnsiTheme="majorHAnsi" w:cstheme="majorHAnsi"/>
          <w:sz w:val="22"/>
          <w:szCs w:val="22"/>
        </w:rPr>
        <w:t>G</w:t>
      </w:r>
      <w:r w:rsidR="006E01C4" w:rsidRPr="00974377">
        <w:rPr>
          <w:rFonts w:asciiTheme="majorHAnsi" w:hAnsiTheme="majorHAnsi" w:cstheme="majorHAnsi"/>
          <w:sz w:val="22"/>
          <w:szCs w:val="22"/>
        </w:rPr>
        <w:t xml:space="preserve">ender </w:t>
      </w:r>
      <w:r w:rsidR="006E01C4">
        <w:rPr>
          <w:rFonts w:asciiTheme="majorHAnsi" w:hAnsiTheme="majorHAnsi" w:cstheme="majorHAnsi"/>
          <w:sz w:val="22"/>
          <w:szCs w:val="22"/>
        </w:rPr>
        <w:t>S</w:t>
      </w:r>
      <w:r w:rsidR="006E01C4" w:rsidRPr="00974377">
        <w:rPr>
          <w:rFonts w:asciiTheme="majorHAnsi" w:hAnsiTheme="majorHAnsi" w:cstheme="majorHAnsi"/>
          <w:sz w:val="22"/>
          <w:szCs w:val="22"/>
        </w:rPr>
        <w:t xml:space="preserve">trategy </w:t>
      </w:r>
      <w:r w:rsidR="002658E5" w:rsidRPr="00974377">
        <w:rPr>
          <w:rFonts w:asciiTheme="majorHAnsi" w:hAnsiTheme="majorHAnsi" w:cstheme="majorHAnsi"/>
          <w:sz w:val="22"/>
          <w:szCs w:val="22"/>
        </w:rPr>
        <w:t>highlight</w:t>
      </w:r>
      <w:r w:rsidR="00951A4E">
        <w:rPr>
          <w:rFonts w:asciiTheme="majorHAnsi" w:hAnsiTheme="majorHAnsi" w:cstheme="majorHAnsi"/>
          <w:sz w:val="22"/>
          <w:szCs w:val="22"/>
        </w:rPr>
        <w:t>s</w:t>
      </w:r>
      <w:r w:rsidR="002658E5" w:rsidRPr="00974377">
        <w:rPr>
          <w:rFonts w:asciiTheme="majorHAnsi" w:hAnsiTheme="majorHAnsi" w:cstheme="majorHAnsi"/>
          <w:sz w:val="22"/>
          <w:szCs w:val="22"/>
        </w:rPr>
        <w:t xml:space="preserve"> </w:t>
      </w:r>
      <w:r w:rsidRPr="00974377">
        <w:rPr>
          <w:rFonts w:asciiTheme="majorHAnsi" w:hAnsiTheme="majorHAnsi" w:cstheme="majorHAnsi"/>
          <w:sz w:val="22"/>
          <w:szCs w:val="22"/>
        </w:rPr>
        <w:t xml:space="preserve">gender equality issues that emerged </w:t>
      </w:r>
      <w:r w:rsidR="00027062" w:rsidRPr="00974377">
        <w:rPr>
          <w:rFonts w:asciiTheme="majorHAnsi" w:hAnsiTheme="majorHAnsi" w:cstheme="majorHAnsi"/>
          <w:sz w:val="22"/>
          <w:szCs w:val="22"/>
        </w:rPr>
        <w:t xml:space="preserve">mainly </w:t>
      </w:r>
      <w:r w:rsidRPr="00974377">
        <w:rPr>
          <w:rFonts w:asciiTheme="majorHAnsi" w:hAnsiTheme="majorHAnsi" w:cstheme="majorHAnsi"/>
          <w:sz w:val="22"/>
          <w:szCs w:val="22"/>
        </w:rPr>
        <w:t>over Phase 1 and program research studies. These are 1) the disparity between men and women in principal positions in schools and madrasah</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2) the gender stereotyping in </w:t>
      </w:r>
      <w:r w:rsidR="007B2C51" w:rsidRPr="00974377">
        <w:rPr>
          <w:rFonts w:asciiTheme="majorHAnsi" w:hAnsiTheme="majorHAnsi" w:cstheme="majorHAnsi"/>
          <w:sz w:val="22"/>
          <w:szCs w:val="22"/>
        </w:rPr>
        <w:t>textbooks</w:t>
      </w:r>
      <w:r w:rsidRPr="00974377">
        <w:rPr>
          <w:rFonts w:asciiTheme="majorHAnsi" w:hAnsiTheme="majorHAnsi" w:cstheme="majorHAnsi"/>
          <w:sz w:val="22"/>
          <w:szCs w:val="22"/>
        </w:rPr>
        <w:t xml:space="preserve"> and literature in schools</w:t>
      </w:r>
      <w:r w:rsidR="00221415">
        <w:rPr>
          <w:rFonts w:asciiTheme="majorHAnsi" w:hAnsiTheme="majorHAnsi" w:cstheme="majorHAnsi"/>
          <w:sz w:val="22"/>
          <w:szCs w:val="22"/>
        </w:rPr>
        <w:t>,</w:t>
      </w:r>
      <w:r w:rsidR="008B7325">
        <w:rPr>
          <w:rFonts w:asciiTheme="majorHAnsi" w:hAnsiTheme="majorHAnsi" w:cstheme="majorHAnsi"/>
          <w:sz w:val="22"/>
          <w:szCs w:val="22"/>
        </w:rPr>
        <w:t xml:space="preserve"> and</w:t>
      </w:r>
      <w:r w:rsidRPr="00974377">
        <w:rPr>
          <w:rFonts w:asciiTheme="majorHAnsi" w:hAnsiTheme="majorHAnsi" w:cstheme="majorHAnsi"/>
          <w:sz w:val="22"/>
          <w:szCs w:val="22"/>
        </w:rPr>
        <w:t xml:space="preserve"> 3) the escalating issue of sexual violence and child marriage during the COVID-19 pandemic</w:t>
      </w:r>
      <w:r w:rsidR="008B7325">
        <w:rPr>
          <w:rFonts w:asciiTheme="majorHAnsi" w:hAnsiTheme="majorHAnsi" w:cstheme="majorHAnsi"/>
          <w:sz w:val="22"/>
          <w:szCs w:val="22"/>
        </w:rPr>
        <w:t>. B</w:t>
      </w:r>
      <w:r w:rsidRPr="00974377">
        <w:rPr>
          <w:rFonts w:asciiTheme="majorHAnsi" w:hAnsiTheme="majorHAnsi" w:cstheme="majorHAnsi"/>
          <w:sz w:val="22"/>
          <w:szCs w:val="22"/>
        </w:rPr>
        <w:t>oys’ lesser engagement with classroom learning than girls</w:t>
      </w:r>
      <w:r w:rsidR="008B7325">
        <w:rPr>
          <w:rFonts w:asciiTheme="majorHAnsi" w:hAnsiTheme="majorHAnsi" w:cstheme="majorHAnsi"/>
          <w:sz w:val="22"/>
          <w:szCs w:val="22"/>
        </w:rPr>
        <w:t xml:space="preserve"> is also an issue that </w:t>
      </w:r>
      <w:r w:rsidRPr="00974377">
        <w:rPr>
          <w:rFonts w:asciiTheme="majorHAnsi" w:hAnsiTheme="majorHAnsi" w:cstheme="majorHAnsi"/>
          <w:sz w:val="22"/>
          <w:szCs w:val="22"/>
        </w:rPr>
        <w:t>arose in INOVASI Phase 1 classroom surveys and has been confirmed during the design consultations process</w:t>
      </w:r>
      <w:r w:rsidR="003F1499">
        <w:rPr>
          <w:rFonts w:asciiTheme="majorHAnsi" w:hAnsiTheme="majorHAnsi" w:cstheme="majorHAnsi"/>
          <w:sz w:val="22"/>
          <w:szCs w:val="22"/>
        </w:rPr>
        <w:t>.</w:t>
      </w:r>
      <w:r w:rsidRPr="00974377">
        <w:rPr>
          <w:rFonts w:asciiTheme="majorHAnsi" w:hAnsiTheme="majorHAnsi" w:cstheme="majorHAnsi"/>
          <w:sz w:val="22"/>
          <w:szCs w:val="22"/>
        </w:rPr>
        <w:t xml:space="preserve"> </w:t>
      </w:r>
      <w:r w:rsidR="003F1499">
        <w:rPr>
          <w:rFonts w:asciiTheme="majorHAnsi" w:hAnsiTheme="majorHAnsi" w:cstheme="majorHAnsi"/>
          <w:sz w:val="22"/>
          <w:szCs w:val="22"/>
        </w:rPr>
        <w:t>I</w:t>
      </w:r>
      <w:r w:rsidR="003F1499" w:rsidRPr="00974377">
        <w:rPr>
          <w:rFonts w:asciiTheme="majorHAnsi" w:hAnsiTheme="majorHAnsi" w:cstheme="majorHAnsi"/>
          <w:sz w:val="22"/>
          <w:szCs w:val="22"/>
        </w:rPr>
        <w:t xml:space="preserve">t </w:t>
      </w:r>
      <w:r w:rsidRPr="00974377">
        <w:rPr>
          <w:rFonts w:asciiTheme="majorHAnsi" w:hAnsiTheme="majorHAnsi" w:cstheme="majorHAnsi"/>
          <w:sz w:val="22"/>
          <w:szCs w:val="22"/>
        </w:rPr>
        <w:t xml:space="preserve">is reinforced by the greater </w:t>
      </w:r>
      <w:r w:rsidR="00951A4E">
        <w:rPr>
          <w:rFonts w:asciiTheme="majorHAnsi" w:hAnsiTheme="majorHAnsi" w:cstheme="majorHAnsi"/>
          <w:sz w:val="22"/>
          <w:szCs w:val="22"/>
        </w:rPr>
        <w:t>rate</w:t>
      </w:r>
      <w:r w:rsidRPr="00974377">
        <w:rPr>
          <w:rFonts w:asciiTheme="majorHAnsi" w:hAnsiTheme="majorHAnsi" w:cstheme="majorHAnsi"/>
          <w:sz w:val="22"/>
          <w:szCs w:val="22"/>
        </w:rPr>
        <w:t xml:space="preserve"> of boys’ grade repetition and drop out than </w:t>
      </w:r>
      <w:proofErr w:type="gramStart"/>
      <w:r w:rsidRPr="00974377">
        <w:rPr>
          <w:rFonts w:asciiTheme="majorHAnsi" w:hAnsiTheme="majorHAnsi" w:cstheme="majorHAnsi"/>
          <w:sz w:val="22"/>
          <w:szCs w:val="22"/>
        </w:rPr>
        <w:t>girls</w:t>
      </w:r>
      <w:r w:rsidR="008B7325">
        <w:rPr>
          <w:rFonts w:asciiTheme="majorHAnsi" w:hAnsiTheme="majorHAnsi" w:cstheme="majorHAnsi"/>
          <w:sz w:val="22"/>
          <w:szCs w:val="22"/>
        </w:rPr>
        <w:t>, and</w:t>
      </w:r>
      <w:proofErr w:type="gramEnd"/>
      <w:r w:rsidR="008B7325" w:rsidRPr="00974377">
        <w:rPr>
          <w:rFonts w:asciiTheme="majorHAnsi" w:hAnsiTheme="majorHAnsi" w:cstheme="majorHAnsi"/>
          <w:sz w:val="22"/>
          <w:szCs w:val="22"/>
        </w:rPr>
        <w:t xml:space="preserve"> may be a factor in their lower performance</w:t>
      </w:r>
      <w:r w:rsidRPr="00974377">
        <w:rPr>
          <w:rFonts w:asciiTheme="majorHAnsi" w:hAnsiTheme="majorHAnsi" w:cstheme="majorHAnsi"/>
          <w:sz w:val="22"/>
          <w:szCs w:val="22"/>
        </w:rPr>
        <w:t>.</w:t>
      </w:r>
      <w:r w:rsidR="00951A4E">
        <w:rPr>
          <w:rFonts w:asciiTheme="majorHAnsi" w:hAnsiTheme="majorHAnsi" w:cstheme="majorHAnsi"/>
          <w:sz w:val="22"/>
          <w:szCs w:val="22"/>
        </w:rPr>
        <w:t xml:space="preserve"> T</w:t>
      </w:r>
      <w:r w:rsidRPr="00974377">
        <w:rPr>
          <w:rFonts w:asciiTheme="majorHAnsi" w:hAnsiTheme="majorHAnsi" w:cstheme="majorHAnsi"/>
          <w:sz w:val="22"/>
          <w:szCs w:val="22"/>
        </w:rPr>
        <w:t>he 2022 Independent Strategic Review found that INOVASI Phase 2 gender equality work has been less influential than i</w:t>
      </w:r>
      <w:r w:rsidR="002658E5" w:rsidRPr="00974377">
        <w:rPr>
          <w:rFonts w:asciiTheme="majorHAnsi" w:hAnsiTheme="majorHAnsi" w:cstheme="majorHAnsi"/>
          <w:sz w:val="22"/>
          <w:szCs w:val="22"/>
        </w:rPr>
        <w:t>t</w:t>
      </w:r>
      <w:r w:rsidRPr="00974377">
        <w:rPr>
          <w:rFonts w:asciiTheme="majorHAnsi" w:hAnsiTheme="majorHAnsi" w:cstheme="majorHAnsi"/>
          <w:sz w:val="22"/>
          <w:szCs w:val="22"/>
        </w:rPr>
        <w:t xml:space="preserve">s work on disability inclusion. This has been attributed </w:t>
      </w:r>
      <w:r w:rsidR="006E01C4">
        <w:rPr>
          <w:rFonts w:asciiTheme="majorHAnsi" w:hAnsiTheme="majorHAnsi" w:cstheme="majorHAnsi"/>
          <w:sz w:val="22"/>
          <w:szCs w:val="22"/>
        </w:rPr>
        <w:t xml:space="preserve">in part </w:t>
      </w:r>
      <w:r w:rsidRPr="00974377">
        <w:rPr>
          <w:rFonts w:asciiTheme="majorHAnsi" w:hAnsiTheme="majorHAnsi" w:cstheme="majorHAnsi"/>
          <w:sz w:val="22"/>
          <w:szCs w:val="22"/>
        </w:rPr>
        <w:t>to the reported perception that the education system did not have a gender equality problem</w:t>
      </w:r>
      <w:r w:rsidR="002658E5" w:rsidRPr="00974377">
        <w:rPr>
          <w:rFonts w:asciiTheme="majorHAnsi" w:hAnsiTheme="majorHAnsi" w:cstheme="majorHAnsi"/>
          <w:sz w:val="22"/>
          <w:szCs w:val="22"/>
        </w:rPr>
        <w:t>,</w:t>
      </w:r>
      <w:r w:rsidRPr="00974377">
        <w:rPr>
          <w:rFonts w:asciiTheme="majorHAnsi" w:hAnsiTheme="majorHAnsi" w:cstheme="majorHAnsi"/>
          <w:sz w:val="22"/>
          <w:szCs w:val="22"/>
        </w:rPr>
        <w:t xml:space="preserve"> </w:t>
      </w:r>
      <w:proofErr w:type="gramStart"/>
      <w:r w:rsidRPr="00974377">
        <w:rPr>
          <w:rFonts w:asciiTheme="majorHAnsi" w:hAnsiTheme="majorHAnsi" w:cstheme="majorHAnsi"/>
          <w:sz w:val="22"/>
          <w:szCs w:val="22"/>
        </w:rPr>
        <w:t>due to the fact that</w:t>
      </w:r>
      <w:proofErr w:type="gramEnd"/>
      <w:r w:rsidRPr="00974377">
        <w:rPr>
          <w:rFonts w:asciiTheme="majorHAnsi" w:hAnsiTheme="majorHAnsi" w:cstheme="majorHAnsi"/>
          <w:sz w:val="22"/>
          <w:szCs w:val="22"/>
        </w:rPr>
        <w:t xml:space="preserve"> girls’ </w:t>
      </w:r>
      <w:r w:rsidR="003F1499">
        <w:rPr>
          <w:rFonts w:asciiTheme="majorHAnsi" w:hAnsiTheme="majorHAnsi" w:cstheme="majorHAnsi"/>
          <w:sz w:val="22"/>
          <w:szCs w:val="22"/>
        </w:rPr>
        <w:t>enrolment</w:t>
      </w:r>
      <w:r w:rsidR="003F1499" w:rsidRPr="00974377">
        <w:rPr>
          <w:rFonts w:asciiTheme="majorHAnsi" w:hAnsiTheme="majorHAnsi" w:cstheme="majorHAnsi"/>
          <w:sz w:val="22"/>
          <w:szCs w:val="22"/>
        </w:rPr>
        <w:t xml:space="preserve"> </w:t>
      </w:r>
      <w:r w:rsidRPr="00974377">
        <w:rPr>
          <w:rFonts w:asciiTheme="majorHAnsi" w:hAnsiTheme="majorHAnsi" w:cstheme="majorHAnsi"/>
          <w:sz w:val="22"/>
          <w:szCs w:val="22"/>
        </w:rPr>
        <w:t>in school and academic results are overall better than boys.</w:t>
      </w:r>
    </w:p>
    <w:p w14:paraId="56B42B8C" w14:textId="06D09999" w:rsidR="006E01C4" w:rsidRPr="00E643E0" w:rsidRDefault="00ED705E" w:rsidP="00B86A7F">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INOVASI Phase 3 GEDSI strategy will continue to include the </w:t>
      </w:r>
      <w:r w:rsidR="006E01C4">
        <w:rPr>
          <w:rFonts w:asciiTheme="majorHAnsi" w:hAnsiTheme="majorHAnsi" w:cstheme="majorHAnsi"/>
          <w:sz w:val="22"/>
          <w:szCs w:val="22"/>
        </w:rPr>
        <w:t xml:space="preserve">targeted </w:t>
      </w:r>
      <w:r w:rsidR="00951A4E" w:rsidRPr="00974377">
        <w:rPr>
          <w:rFonts w:asciiTheme="majorHAnsi" w:hAnsiTheme="majorHAnsi" w:cstheme="majorHAnsi"/>
          <w:sz w:val="22"/>
          <w:szCs w:val="22"/>
        </w:rPr>
        <w:t xml:space="preserve">gender equality </w:t>
      </w:r>
      <w:r w:rsidRPr="00974377">
        <w:rPr>
          <w:rFonts w:asciiTheme="majorHAnsi" w:hAnsiTheme="majorHAnsi" w:cstheme="majorHAnsi"/>
          <w:sz w:val="22"/>
          <w:szCs w:val="22"/>
        </w:rPr>
        <w:t>priorities</w:t>
      </w:r>
      <w:r w:rsidR="006E01C4">
        <w:rPr>
          <w:rFonts w:asciiTheme="majorHAnsi" w:hAnsiTheme="majorHAnsi" w:cstheme="majorHAnsi"/>
          <w:sz w:val="22"/>
          <w:szCs w:val="22"/>
        </w:rPr>
        <w:t xml:space="preserve"> </w:t>
      </w:r>
      <w:r w:rsidRPr="00974377">
        <w:rPr>
          <w:rFonts w:asciiTheme="majorHAnsi" w:hAnsiTheme="majorHAnsi" w:cstheme="majorHAnsi"/>
          <w:sz w:val="22"/>
          <w:szCs w:val="22"/>
        </w:rPr>
        <w:t xml:space="preserve">of Phase 2, as they all remain significant for the education outcomes of women, </w:t>
      </w:r>
      <w:r w:rsidR="000B1335" w:rsidRPr="00974377">
        <w:rPr>
          <w:rFonts w:asciiTheme="majorHAnsi" w:hAnsiTheme="majorHAnsi" w:cstheme="majorHAnsi"/>
          <w:sz w:val="22"/>
          <w:szCs w:val="22"/>
        </w:rPr>
        <w:t>girls,</w:t>
      </w:r>
      <w:r w:rsidRPr="00974377">
        <w:rPr>
          <w:rFonts w:asciiTheme="majorHAnsi" w:hAnsiTheme="majorHAnsi" w:cstheme="majorHAnsi"/>
          <w:sz w:val="22"/>
          <w:szCs w:val="22"/>
        </w:rPr>
        <w:t xml:space="preserve"> and boys. The selection of these issues </w:t>
      </w:r>
      <w:r w:rsidRPr="00E643E0">
        <w:rPr>
          <w:rFonts w:asciiTheme="majorHAnsi" w:hAnsiTheme="majorHAnsi" w:cstheme="majorHAnsi"/>
          <w:sz w:val="22"/>
          <w:szCs w:val="22"/>
        </w:rPr>
        <w:t>aligns with Post’s Gender Equality Strategy and two areas of its Gender Action Plan: women’s leadership and voice</w:t>
      </w:r>
      <w:r w:rsidR="00221415">
        <w:rPr>
          <w:rFonts w:asciiTheme="majorHAnsi" w:hAnsiTheme="majorHAnsi" w:cstheme="majorHAnsi"/>
          <w:sz w:val="22"/>
          <w:szCs w:val="22"/>
        </w:rPr>
        <w:t>,</w:t>
      </w:r>
      <w:r w:rsidRPr="00E643E0">
        <w:rPr>
          <w:rFonts w:asciiTheme="majorHAnsi" w:hAnsiTheme="majorHAnsi" w:cstheme="majorHAnsi"/>
          <w:sz w:val="22"/>
          <w:szCs w:val="22"/>
        </w:rPr>
        <w:t xml:space="preserve"> and human rights, gender-based violence and harmful practices. </w:t>
      </w:r>
    </w:p>
    <w:p w14:paraId="59DBBFAE" w14:textId="2B3028D2" w:rsidR="00ED705E" w:rsidRPr="00974377" w:rsidRDefault="00E643E0" w:rsidP="00B86A7F">
      <w:pPr>
        <w:pStyle w:val="BodyText"/>
        <w:spacing w:after="120" w:line="281" w:lineRule="auto"/>
        <w:rPr>
          <w:rFonts w:asciiTheme="majorHAnsi" w:hAnsiTheme="majorHAnsi" w:cstheme="majorHAnsi"/>
          <w:sz w:val="22"/>
          <w:szCs w:val="22"/>
        </w:rPr>
      </w:pPr>
      <w:r w:rsidRPr="00E643E0">
        <w:rPr>
          <w:rFonts w:asciiTheme="majorHAnsi" w:hAnsiTheme="majorHAnsi" w:cstheme="majorHAnsi"/>
          <w:sz w:val="22"/>
          <w:szCs w:val="22"/>
        </w:rPr>
        <w:t xml:space="preserve">Annex </w:t>
      </w:r>
      <w:r w:rsidR="00475A9D">
        <w:rPr>
          <w:rFonts w:asciiTheme="majorHAnsi" w:hAnsiTheme="majorHAnsi" w:cstheme="majorHAnsi"/>
          <w:sz w:val="22"/>
          <w:szCs w:val="22"/>
        </w:rPr>
        <w:t>3</w:t>
      </w:r>
      <w:r w:rsidRPr="00E643E0">
        <w:rPr>
          <w:rFonts w:asciiTheme="majorHAnsi" w:hAnsiTheme="majorHAnsi" w:cstheme="majorHAnsi"/>
          <w:sz w:val="22"/>
          <w:szCs w:val="22"/>
        </w:rPr>
        <w:t xml:space="preserve"> provides an initial high-level analysis of gender equality issues and drivers relevant to INOVASI Phase 3. It</w:t>
      </w:r>
      <w:r w:rsidR="00ED705E" w:rsidRPr="00E643E0">
        <w:rPr>
          <w:rFonts w:asciiTheme="majorHAnsi" w:hAnsiTheme="majorHAnsi" w:cstheme="majorHAnsi"/>
          <w:sz w:val="22"/>
          <w:szCs w:val="22"/>
        </w:rPr>
        <w:t xml:space="preserve"> </w:t>
      </w:r>
      <w:r w:rsidR="00F60FE9" w:rsidRPr="00E643E0">
        <w:rPr>
          <w:rFonts w:asciiTheme="majorHAnsi" w:hAnsiTheme="majorHAnsi" w:cstheme="majorHAnsi"/>
          <w:sz w:val="22"/>
          <w:szCs w:val="22"/>
        </w:rPr>
        <w:t xml:space="preserve">explores the </w:t>
      </w:r>
      <w:r w:rsidR="00ED705E" w:rsidRPr="00E643E0">
        <w:rPr>
          <w:rFonts w:asciiTheme="majorHAnsi" w:hAnsiTheme="majorHAnsi" w:cstheme="majorHAnsi"/>
          <w:sz w:val="22"/>
          <w:szCs w:val="22"/>
        </w:rPr>
        <w:t xml:space="preserve">informal </w:t>
      </w:r>
      <w:r w:rsidR="00F60FE9" w:rsidRPr="00E643E0">
        <w:rPr>
          <w:rFonts w:asciiTheme="majorHAnsi" w:hAnsiTheme="majorHAnsi" w:cstheme="majorHAnsi"/>
          <w:sz w:val="22"/>
          <w:szCs w:val="22"/>
        </w:rPr>
        <w:t xml:space="preserve">gender </w:t>
      </w:r>
      <w:r w:rsidR="00ED705E" w:rsidRPr="00E643E0">
        <w:rPr>
          <w:rFonts w:asciiTheme="majorHAnsi" w:hAnsiTheme="majorHAnsi" w:cstheme="majorHAnsi"/>
          <w:sz w:val="22"/>
          <w:szCs w:val="22"/>
        </w:rPr>
        <w:t xml:space="preserve">norms </w:t>
      </w:r>
      <w:r w:rsidR="00F60FE9" w:rsidRPr="00E643E0">
        <w:rPr>
          <w:rFonts w:asciiTheme="majorHAnsi" w:hAnsiTheme="majorHAnsi" w:cstheme="majorHAnsi"/>
          <w:sz w:val="22"/>
          <w:szCs w:val="22"/>
        </w:rPr>
        <w:t xml:space="preserve">that </w:t>
      </w:r>
      <w:r w:rsidR="00ED705E" w:rsidRPr="00E643E0">
        <w:rPr>
          <w:rFonts w:asciiTheme="majorHAnsi" w:hAnsiTheme="majorHAnsi" w:cstheme="majorHAnsi"/>
          <w:sz w:val="22"/>
          <w:szCs w:val="22"/>
        </w:rPr>
        <w:t>underl</w:t>
      </w:r>
      <w:r w:rsidR="00F60FE9" w:rsidRPr="00E643E0">
        <w:rPr>
          <w:rFonts w:asciiTheme="majorHAnsi" w:hAnsiTheme="majorHAnsi" w:cstheme="majorHAnsi"/>
          <w:sz w:val="22"/>
          <w:szCs w:val="22"/>
        </w:rPr>
        <w:t>ie</w:t>
      </w:r>
      <w:r w:rsidR="00ED705E" w:rsidRPr="00E643E0">
        <w:rPr>
          <w:rFonts w:asciiTheme="majorHAnsi" w:hAnsiTheme="majorHAnsi" w:cstheme="majorHAnsi"/>
          <w:sz w:val="22"/>
          <w:szCs w:val="22"/>
        </w:rPr>
        <w:t xml:space="preserve"> </w:t>
      </w:r>
      <w:r w:rsidR="00F60FE9" w:rsidRPr="00E643E0">
        <w:rPr>
          <w:rFonts w:asciiTheme="majorHAnsi" w:hAnsiTheme="majorHAnsi" w:cstheme="majorHAnsi"/>
          <w:sz w:val="22"/>
          <w:szCs w:val="22"/>
        </w:rPr>
        <w:t>t</w:t>
      </w:r>
      <w:r w:rsidR="00951A4E">
        <w:rPr>
          <w:rFonts w:asciiTheme="majorHAnsi" w:hAnsiTheme="majorHAnsi" w:cstheme="majorHAnsi"/>
          <w:sz w:val="22"/>
          <w:szCs w:val="22"/>
        </w:rPr>
        <w:t>argeted</w:t>
      </w:r>
      <w:r w:rsidR="00ED705E" w:rsidRPr="00E643E0">
        <w:rPr>
          <w:rFonts w:asciiTheme="majorHAnsi" w:hAnsiTheme="majorHAnsi" w:cstheme="majorHAnsi"/>
          <w:sz w:val="22"/>
          <w:szCs w:val="22"/>
        </w:rPr>
        <w:t xml:space="preserve"> issues</w:t>
      </w:r>
      <w:r w:rsidR="00F60FE9">
        <w:rPr>
          <w:rFonts w:asciiTheme="majorHAnsi" w:hAnsiTheme="majorHAnsi" w:cstheme="majorHAnsi"/>
          <w:sz w:val="22"/>
          <w:szCs w:val="22"/>
        </w:rPr>
        <w:t>,</w:t>
      </w:r>
      <w:r w:rsidR="00F60FE9" w:rsidRPr="00E643E0">
        <w:rPr>
          <w:rFonts w:asciiTheme="majorHAnsi" w:hAnsiTheme="majorHAnsi" w:cstheme="majorHAnsi"/>
          <w:sz w:val="22"/>
          <w:szCs w:val="22"/>
        </w:rPr>
        <w:t xml:space="preserve"> the ways they work against equal outcomes for women, </w:t>
      </w:r>
      <w:r w:rsidR="00C45722" w:rsidRPr="00E643E0">
        <w:rPr>
          <w:rFonts w:asciiTheme="majorHAnsi" w:hAnsiTheme="majorHAnsi" w:cstheme="majorHAnsi"/>
          <w:sz w:val="22"/>
          <w:szCs w:val="22"/>
        </w:rPr>
        <w:t>girls,</w:t>
      </w:r>
      <w:r w:rsidR="00F60FE9" w:rsidRPr="00E643E0">
        <w:rPr>
          <w:rFonts w:asciiTheme="majorHAnsi" w:hAnsiTheme="majorHAnsi" w:cstheme="majorHAnsi"/>
          <w:sz w:val="22"/>
          <w:szCs w:val="22"/>
        </w:rPr>
        <w:t xml:space="preserve"> and boys, along with suggestions for shifting those norms where they contribute to structural discrimination (</w:t>
      </w:r>
      <w:r w:rsidR="00AE6B1A" w:rsidRPr="00E643E0">
        <w:rPr>
          <w:rFonts w:asciiTheme="majorHAnsi" w:hAnsiTheme="majorHAnsi" w:cstheme="majorHAnsi"/>
          <w:sz w:val="22"/>
          <w:szCs w:val="22"/>
        </w:rPr>
        <w:t>e.g.,</w:t>
      </w:r>
      <w:r w:rsidR="00F60FE9" w:rsidRPr="00E643E0">
        <w:rPr>
          <w:rFonts w:asciiTheme="majorHAnsi" w:hAnsiTheme="majorHAnsi" w:cstheme="majorHAnsi"/>
          <w:sz w:val="22"/>
          <w:szCs w:val="22"/>
        </w:rPr>
        <w:t xml:space="preserve"> in regulation) and/or harmful behaviours for women, girls and boys</w:t>
      </w:r>
      <w:r>
        <w:rPr>
          <w:rFonts w:asciiTheme="majorHAnsi" w:hAnsiTheme="majorHAnsi" w:cstheme="majorHAnsi"/>
          <w:sz w:val="22"/>
          <w:szCs w:val="22"/>
        </w:rPr>
        <w:t>.</w:t>
      </w:r>
      <w:r w:rsidRPr="00E643E0">
        <w:rPr>
          <w:rFonts w:asciiTheme="majorHAnsi" w:hAnsiTheme="majorHAnsi" w:cstheme="majorHAnsi"/>
          <w:sz w:val="22"/>
          <w:szCs w:val="22"/>
        </w:rPr>
        <w:t xml:space="preserve"> This preliminary analysis will be expanded and refined during the program inception phase</w:t>
      </w:r>
      <w:r>
        <w:rPr>
          <w:rFonts w:asciiTheme="majorHAnsi" w:hAnsiTheme="majorHAnsi" w:cstheme="majorHAnsi"/>
          <w:sz w:val="22"/>
          <w:szCs w:val="22"/>
        </w:rPr>
        <w:t>,</w:t>
      </w:r>
      <w:r w:rsidRPr="00E643E0">
        <w:rPr>
          <w:rFonts w:asciiTheme="majorHAnsi" w:hAnsiTheme="majorHAnsi" w:cstheme="majorHAnsi"/>
          <w:sz w:val="22"/>
          <w:szCs w:val="22"/>
        </w:rPr>
        <w:t xml:space="preserve"> as part of </w:t>
      </w:r>
      <w:r w:rsidR="00951A4E">
        <w:rPr>
          <w:rFonts w:asciiTheme="majorHAnsi" w:hAnsiTheme="majorHAnsi" w:cstheme="majorHAnsi"/>
          <w:sz w:val="22"/>
          <w:szCs w:val="22"/>
        </w:rPr>
        <w:t>a</w:t>
      </w:r>
      <w:r w:rsidRPr="00E643E0">
        <w:rPr>
          <w:rFonts w:asciiTheme="majorHAnsi" w:hAnsiTheme="majorHAnsi" w:cstheme="majorHAnsi"/>
          <w:sz w:val="22"/>
          <w:szCs w:val="22"/>
        </w:rPr>
        <w:t xml:space="preserve"> more comprehensive GEDSI analysis</w:t>
      </w:r>
      <w:r>
        <w:rPr>
          <w:rFonts w:asciiTheme="majorHAnsi" w:hAnsiTheme="majorHAnsi" w:cstheme="majorHAnsi"/>
          <w:sz w:val="22"/>
          <w:szCs w:val="22"/>
        </w:rPr>
        <w:t xml:space="preserve"> </w:t>
      </w:r>
      <w:r w:rsidR="00951A4E">
        <w:rPr>
          <w:rFonts w:asciiTheme="majorHAnsi" w:hAnsiTheme="majorHAnsi" w:cstheme="majorHAnsi"/>
          <w:sz w:val="22"/>
          <w:szCs w:val="22"/>
        </w:rPr>
        <w:t>that will</w:t>
      </w:r>
      <w:r w:rsidR="00767703">
        <w:rPr>
          <w:rFonts w:asciiTheme="majorHAnsi" w:hAnsiTheme="majorHAnsi" w:cstheme="majorHAnsi"/>
          <w:sz w:val="22"/>
          <w:szCs w:val="22"/>
        </w:rPr>
        <w:t xml:space="preserve"> inform </w:t>
      </w:r>
      <w:r>
        <w:rPr>
          <w:rFonts w:asciiTheme="majorHAnsi" w:hAnsiTheme="majorHAnsi" w:cstheme="majorHAnsi"/>
          <w:sz w:val="22"/>
          <w:szCs w:val="22"/>
        </w:rPr>
        <w:t>the development of the</w:t>
      </w:r>
      <w:r w:rsidR="00ED705E" w:rsidRPr="00974377">
        <w:rPr>
          <w:rFonts w:asciiTheme="majorHAnsi" w:hAnsiTheme="majorHAnsi" w:cstheme="majorHAnsi"/>
          <w:sz w:val="22"/>
          <w:szCs w:val="22"/>
        </w:rPr>
        <w:t xml:space="preserve"> program GEDSI approach</w:t>
      </w:r>
      <w:r>
        <w:rPr>
          <w:rFonts w:asciiTheme="majorHAnsi" w:hAnsiTheme="majorHAnsi" w:cstheme="majorHAnsi"/>
          <w:sz w:val="22"/>
          <w:szCs w:val="22"/>
        </w:rPr>
        <w:t>. The latter</w:t>
      </w:r>
      <w:r w:rsidR="00ED705E" w:rsidRPr="00974377">
        <w:rPr>
          <w:rFonts w:asciiTheme="majorHAnsi" w:hAnsiTheme="majorHAnsi" w:cstheme="majorHAnsi"/>
          <w:sz w:val="22"/>
          <w:szCs w:val="22"/>
        </w:rPr>
        <w:t xml:space="preserve"> will </w:t>
      </w:r>
      <w:r w:rsidR="00F60FE9" w:rsidRPr="00E643E0">
        <w:rPr>
          <w:rFonts w:asciiTheme="majorHAnsi" w:hAnsiTheme="majorHAnsi" w:cstheme="majorHAnsi"/>
          <w:sz w:val="22"/>
          <w:szCs w:val="22"/>
        </w:rPr>
        <w:t xml:space="preserve">consider the following </w:t>
      </w:r>
      <w:r w:rsidR="00ED705E" w:rsidRPr="00974377">
        <w:rPr>
          <w:rFonts w:asciiTheme="majorHAnsi" w:hAnsiTheme="majorHAnsi" w:cstheme="majorHAnsi"/>
          <w:sz w:val="22"/>
          <w:szCs w:val="22"/>
        </w:rPr>
        <w:t xml:space="preserve">suggestions </w:t>
      </w:r>
      <w:r>
        <w:rPr>
          <w:rFonts w:asciiTheme="majorHAnsi" w:hAnsiTheme="majorHAnsi" w:cstheme="majorHAnsi"/>
          <w:sz w:val="22"/>
          <w:szCs w:val="22"/>
        </w:rPr>
        <w:t>to address the program’s</w:t>
      </w:r>
      <w:r w:rsidRPr="00974377" w:rsidDel="00F60FE9">
        <w:rPr>
          <w:rFonts w:asciiTheme="majorHAnsi" w:hAnsiTheme="majorHAnsi" w:cstheme="majorHAnsi"/>
          <w:sz w:val="22"/>
          <w:szCs w:val="22"/>
        </w:rPr>
        <w:t xml:space="preserve"> </w:t>
      </w:r>
      <w:r w:rsidR="00767703" w:rsidRPr="00974377">
        <w:rPr>
          <w:rFonts w:asciiTheme="majorHAnsi" w:hAnsiTheme="majorHAnsi" w:cstheme="majorHAnsi"/>
          <w:sz w:val="22"/>
          <w:szCs w:val="22"/>
        </w:rPr>
        <w:t>priorities</w:t>
      </w:r>
      <w:r w:rsidR="00767703" w:rsidRPr="00974377" w:rsidDel="00F60FE9">
        <w:rPr>
          <w:rFonts w:asciiTheme="majorHAnsi" w:hAnsiTheme="majorHAnsi" w:cstheme="majorHAnsi"/>
          <w:sz w:val="22"/>
          <w:szCs w:val="22"/>
        </w:rPr>
        <w:t xml:space="preserve"> </w:t>
      </w:r>
      <w:r w:rsidR="00767703">
        <w:rPr>
          <w:rFonts w:asciiTheme="majorHAnsi" w:hAnsiTheme="majorHAnsi" w:cstheme="majorHAnsi"/>
          <w:sz w:val="22"/>
          <w:szCs w:val="22"/>
        </w:rPr>
        <w:t>on</w:t>
      </w:r>
      <w:r w:rsidR="00ED705E" w:rsidRPr="00974377">
        <w:rPr>
          <w:rFonts w:asciiTheme="majorHAnsi" w:hAnsiTheme="majorHAnsi" w:cstheme="majorHAnsi"/>
          <w:sz w:val="22"/>
          <w:szCs w:val="22"/>
        </w:rPr>
        <w:t xml:space="preserve"> gender equality</w:t>
      </w:r>
      <w:r w:rsidR="00F60FE9">
        <w:rPr>
          <w:rFonts w:asciiTheme="majorHAnsi" w:hAnsiTheme="majorHAnsi" w:cstheme="majorHAnsi"/>
          <w:sz w:val="22"/>
          <w:szCs w:val="22"/>
        </w:rPr>
        <w:t>.</w:t>
      </w:r>
    </w:p>
    <w:p w14:paraId="5E554EC6" w14:textId="77777777" w:rsidR="00ED705E" w:rsidRPr="0094721A" w:rsidRDefault="00ED705E" w:rsidP="008D1844">
      <w:pPr>
        <w:pStyle w:val="Heading3"/>
        <w:numPr>
          <w:ilvl w:val="0"/>
          <w:numId w:val="60"/>
        </w:numPr>
        <w:rPr>
          <w:rFonts w:cstheme="majorHAnsi"/>
          <w:sz w:val="22"/>
          <w:szCs w:val="22"/>
        </w:rPr>
      </w:pPr>
      <w:r w:rsidRPr="00D86910">
        <w:rPr>
          <w:b/>
          <w:sz w:val="22"/>
          <w:szCs w:val="20"/>
        </w:rPr>
        <w:t xml:space="preserve">Supporting gender equality in principal positions </w:t>
      </w:r>
    </w:p>
    <w:p w14:paraId="6DE7B3F4" w14:textId="330B9E1D" w:rsidR="00993DEE" w:rsidRDefault="00ED705E" w:rsidP="00B86A7F">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To inform its policy engagement with </w:t>
      </w:r>
      <w:proofErr w:type="spellStart"/>
      <w:r w:rsidRPr="00974377">
        <w:rPr>
          <w:rFonts w:asciiTheme="majorHAnsi" w:hAnsiTheme="majorHAnsi" w:cstheme="majorHAnsi"/>
          <w:sz w:val="22"/>
          <w:szCs w:val="22"/>
        </w:rPr>
        <w:t>MoECRT</w:t>
      </w:r>
      <w:proofErr w:type="spellEnd"/>
      <w:r w:rsidRPr="00974377">
        <w:rPr>
          <w:rFonts w:asciiTheme="majorHAnsi" w:hAnsiTheme="majorHAnsi" w:cstheme="majorHAnsi"/>
          <w:sz w:val="22"/>
          <w:szCs w:val="22"/>
        </w:rPr>
        <w:t xml:space="preserve"> and </w:t>
      </w:r>
      <w:proofErr w:type="spellStart"/>
      <w:r w:rsidRPr="00974377">
        <w:rPr>
          <w:rFonts w:asciiTheme="majorHAnsi" w:hAnsiTheme="majorHAnsi" w:cstheme="majorHAnsi"/>
          <w:sz w:val="22"/>
          <w:szCs w:val="22"/>
        </w:rPr>
        <w:t>MoRA</w:t>
      </w:r>
      <w:proofErr w:type="spellEnd"/>
      <w:r w:rsidRPr="00974377">
        <w:rPr>
          <w:rFonts w:asciiTheme="majorHAnsi" w:hAnsiTheme="majorHAnsi" w:cstheme="majorHAnsi"/>
          <w:sz w:val="22"/>
          <w:szCs w:val="22"/>
        </w:rPr>
        <w:t xml:space="preserve">, the program </w:t>
      </w:r>
      <w:r w:rsidR="00767703">
        <w:rPr>
          <w:rFonts w:asciiTheme="majorHAnsi" w:hAnsiTheme="majorHAnsi" w:cstheme="majorHAnsi"/>
          <w:sz w:val="22"/>
          <w:szCs w:val="22"/>
        </w:rPr>
        <w:t>will</w:t>
      </w:r>
      <w:r w:rsidRPr="00974377">
        <w:rPr>
          <w:rFonts w:asciiTheme="majorHAnsi" w:hAnsiTheme="majorHAnsi" w:cstheme="majorHAnsi"/>
          <w:sz w:val="22"/>
          <w:szCs w:val="22"/>
        </w:rPr>
        <w:t xml:space="preserve"> undertake research studies on the unequal representation of women in senior positions in the education system.</w:t>
      </w:r>
      <w:r w:rsidR="00767703">
        <w:rPr>
          <w:rFonts w:asciiTheme="majorHAnsi" w:hAnsiTheme="majorHAnsi" w:cstheme="majorHAnsi"/>
          <w:sz w:val="22"/>
          <w:szCs w:val="22"/>
        </w:rPr>
        <w:t xml:space="preserve"> </w:t>
      </w:r>
      <w:r w:rsidR="00F60FE9" w:rsidRPr="00767703">
        <w:rPr>
          <w:rFonts w:asciiTheme="majorHAnsi" w:hAnsiTheme="majorHAnsi" w:cstheme="majorHAnsi"/>
          <w:sz w:val="22"/>
          <w:szCs w:val="22"/>
        </w:rPr>
        <w:t xml:space="preserve">With the involvement of </w:t>
      </w:r>
      <w:r w:rsidR="00951A4E">
        <w:rPr>
          <w:rFonts w:asciiTheme="majorHAnsi" w:hAnsiTheme="majorHAnsi" w:cstheme="majorHAnsi"/>
          <w:sz w:val="22"/>
          <w:szCs w:val="22"/>
        </w:rPr>
        <w:t>CSOs</w:t>
      </w:r>
      <w:r w:rsidR="00F60FE9" w:rsidRPr="00767703">
        <w:rPr>
          <w:rFonts w:asciiTheme="majorHAnsi" w:hAnsiTheme="majorHAnsi" w:cstheme="majorHAnsi"/>
          <w:sz w:val="22"/>
          <w:szCs w:val="22"/>
        </w:rPr>
        <w:t xml:space="preserve"> </w:t>
      </w:r>
      <w:r w:rsidR="00767703">
        <w:rPr>
          <w:rFonts w:asciiTheme="majorHAnsi" w:hAnsiTheme="majorHAnsi" w:cstheme="majorHAnsi"/>
          <w:sz w:val="22"/>
          <w:szCs w:val="22"/>
        </w:rPr>
        <w:t>suppor</w:t>
      </w:r>
      <w:r w:rsidR="00F60FE9" w:rsidRPr="00767703">
        <w:rPr>
          <w:rFonts w:asciiTheme="majorHAnsi" w:hAnsiTheme="majorHAnsi" w:cstheme="majorHAnsi"/>
          <w:sz w:val="22"/>
          <w:szCs w:val="22"/>
        </w:rPr>
        <w:t xml:space="preserve">ting </w:t>
      </w:r>
      <w:r w:rsidR="00767703">
        <w:rPr>
          <w:rFonts w:asciiTheme="majorHAnsi" w:hAnsiTheme="majorHAnsi" w:cstheme="majorHAnsi"/>
          <w:sz w:val="22"/>
          <w:szCs w:val="22"/>
        </w:rPr>
        <w:t>g</w:t>
      </w:r>
      <w:r w:rsidR="00F60FE9" w:rsidRPr="00767703">
        <w:rPr>
          <w:rFonts w:asciiTheme="majorHAnsi" w:hAnsiTheme="majorHAnsi" w:cstheme="majorHAnsi"/>
          <w:sz w:val="22"/>
          <w:szCs w:val="22"/>
        </w:rPr>
        <w:t xml:space="preserve">ender </w:t>
      </w:r>
      <w:r w:rsidR="00767703">
        <w:rPr>
          <w:rFonts w:asciiTheme="majorHAnsi" w:hAnsiTheme="majorHAnsi" w:cstheme="majorHAnsi"/>
          <w:sz w:val="22"/>
          <w:szCs w:val="22"/>
        </w:rPr>
        <w:t>e</w:t>
      </w:r>
      <w:r w:rsidR="00F60FE9" w:rsidRPr="00767703">
        <w:rPr>
          <w:rFonts w:asciiTheme="majorHAnsi" w:hAnsiTheme="majorHAnsi" w:cstheme="majorHAnsi"/>
          <w:sz w:val="22"/>
          <w:szCs w:val="22"/>
        </w:rPr>
        <w:t xml:space="preserve">quality and </w:t>
      </w:r>
      <w:r w:rsidR="00767703">
        <w:rPr>
          <w:rFonts w:asciiTheme="majorHAnsi" w:hAnsiTheme="majorHAnsi" w:cstheme="majorHAnsi"/>
          <w:sz w:val="22"/>
          <w:szCs w:val="22"/>
        </w:rPr>
        <w:t>d</w:t>
      </w:r>
      <w:r w:rsidR="00F60FE9" w:rsidRPr="00767703">
        <w:rPr>
          <w:rFonts w:asciiTheme="majorHAnsi" w:hAnsiTheme="majorHAnsi" w:cstheme="majorHAnsi"/>
          <w:sz w:val="22"/>
          <w:szCs w:val="22"/>
        </w:rPr>
        <w:t xml:space="preserve">isability </w:t>
      </w:r>
      <w:r w:rsidR="00767703">
        <w:rPr>
          <w:rFonts w:asciiTheme="majorHAnsi" w:hAnsiTheme="majorHAnsi" w:cstheme="majorHAnsi"/>
          <w:sz w:val="22"/>
          <w:szCs w:val="22"/>
        </w:rPr>
        <w:t>i</w:t>
      </w:r>
      <w:r w:rsidR="00F60FE9" w:rsidRPr="00767703">
        <w:rPr>
          <w:rFonts w:asciiTheme="majorHAnsi" w:hAnsiTheme="majorHAnsi" w:cstheme="majorHAnsi"/>
          <w:sz w:val="22"/>
          <w:szCs w:val="22"/>
        </w:rPr>
        <w:t>nclusion, the research w</w:t>
      </w:r>
      <w:r w:rsidR="00767703">
        <w:rPr>
          <w:rFonts w:asciiTheme="majorHAnsi" w:hAnsiTheme="majorHAnsi" w:cstheme="majorHAnsi"/>
          <w:sz w:val="22"/>
          <w:szCs w:val="22"/>
        </w:rPr>
        <w:t>ill</w:t>
      </w:r>
      <w:r w:rsidR="00F60FE9" w:rsidRPr="00767703">
        <w:rPr>
          <w:rFonts w:asciiTheme="majorHAnsi" w:hAnsiTheme="majorHAnsi" w:cstheme="majorHAnsi"/>
          <w:sz w:val="22"/>
          <w:szCs w:val="22"/>
        </w:rPr>
        <w:t xml:space="preserve"> explore gender norms at the </w:t>
      </w:r>
      <w:r w:rsidR="00F60FE9" w:rsidRPr="00767703">
        <w:rPr>
          <w:rFonts w:asciiTheme="majorHAnsi" w:hAnsiTheme="majorHAnsi" w:cstheme="majorHAnsi"/>
          <w:sz w:val="22"/>
          <w:szCs w:val="22"/>
        </w:rPr>
        <w:lastRenderedPageBreak/>
        <w:t xml:space="preserve">individual, household, </w:t>
      </w:r>
      <w:r w:rsidR="00A103EF" w:rsidRPr="00767703">
        <w:rPr>
          <w:rFonts w:asciiTheme="majorHAnsi" w:hAnsiTheme="majorHAnsi" w:cstheme="majorHAnsi"/>
          <w:sz w:val="22"/>
          <w:szCs w:val="22"/>
        </w:rPr>
        <w:t>community,</w:t>
      </w:r>
      <w:r w:rsidR="00F60FE9" w:rsidRPr="00767703">
        <w:rPr>
          <w:rFonts w:asciiTheme="majorHAnsi" w:hAnsiTheme="majorHAnsi" w:cstheme="majorHAnsi"/>
          <w:sz w:val="22"/>
          <w:szCs w:val="22"/>
        </w:rPr>
        <w:t xml:space="preserve"> and institutional level to understand the influence on the recruitment and retention of women in leadership positions. It w</w:t>
      </w:r>
      <w:r w:rsidR="00767703">
        <w:rPr>
          <w:rFonts w:asciiTheme="majorHAnsi" w:hAnsiTheme="majorHAnsi" w:cstheme="majorHAnsi"/>
          <w:sz w:val="22"/>
          <w:szCs w:val="22"/>
        </w:rPr>
        <w:t>ill</w:t>
      </w:r>
      <w:r w:rsidR="00F60FE9" w:rsidRPr="00767703">
        <w:rPr>
          <w:rFonts w:asciiTheme="majorHAnsi" w:hAnsiTheme="majorHAnsi" w:cstheme="majorHAnsi"/>
          <w:sz w:val="22"/>
          <w:szCs w:val="22"/>
        </w:rPr>
        <w:t xml:space="preserve"> </w:t>
      </w:r>
      <w:r w:rsidR="00767703">
        <w:rPr>
          <w:rFonts w:asciiTheme="majorHAnsi" w:hAnsiTheme="majorHAnsi" w:cstheme="majorHAnsi"/>
          <w:sz w:val="22"/>
          <w:szCs w:val="22"/>
        </w:rPr>
        <w:t xml:space="preserve">also </w:t>
      </w:r>
      <w:r w:rsidR="00F60FE9" w:rsidRPr="00767703">
        <w:rPr>
          <w:rFonts w:asciiTheme="majorHAnsi" w:hAnsiTheme="majorHAnsi" w:cstheme="majorHAnsi"/>
          <w:sz w:val="22"/>
          <w:szCs w:val="22"/>
        </w:rPr>
        <w:t>explore the policies and regulations governing recruitment to senior positions</w:t>
      </w:r>
      <w:r w:rsidR="00767703">
        <w:rPr>
          <w:rFonts w:asciiTheme="majorHAnsi" w:hAnsiTheme="majorHAnsi" w:cstheme="majorHAnsi"/>
          <w:sz w:val="22"/>
          <w:szCs w:val="22"/>
        </w:rPr>
        <w:t xml:space="preserve">, including </w:t>
      </w:r>
      <w:r w:rsidR="00F60FE9" w:rsidRPr="00767703">
        <w:rPr>
          <w:rFonts w:asciiTheme="majorHAnsi" w:hAnsiTheme="majorHAnsi" w:cstheme="majorHAnsi"/>
          <w:sz w:val="22"/>
          <w:szCs w:val="22"/>
        </w:rPr>
        <w:t xml:space="preserve">the position of principal. </w:t>
      </w:r>
      <w:r w:rsidRPr="00F60FE9">
        <w:rPr>
          <w:rFonts w:asciiTheme="majorHAnsi" w:hAnsiTheme="majorHAnsi" w:cstheme="majorHAnsi"/>
          <w:sz w:val="22"/>
          <w:szCs w:val="22"/>
        </w:rPr>
        <w:t>The</w:t>
      </w:r>
      <w:r w:rsidRPr="00974377">
        <w:rPr>
          <w:rFonts w:asciiTheme="majorHAnsi" w:hAnsiTheme="majorHAnsi" w:cstheme="majorHAnsi"/>
          <w:sz w:val="22"/>
          <w:szCs w:val="22"/>
        </w:rPr>
        <w:t xml:space="preserve"> </w:t>
      </w:r>
      <w:r w:rsidR="00F60FE9">
        <w:rPr>
          <w:rFonts w:asciiTheme="majorHAnsi" w:hAnsiTheme="majorHAnsi" w:cstheme="majorHAnsi"/>
          <w:sz w:val="22"/>
          <w:szCs w:val="22"/>
        </w:rPr>
        <w:t>research will</w:t>
      </w:r>
      <w:r w:rsidRPr="00974377">
        <w:rPr>
          <w:rFonts w:asciiTheme="majorHAnsi" w:hAnsiTheme="majorHAnsi" w:cstheme="majorHAnsi"/>
          <w:sz w:val="22"/>
          <w:szCs w:val="22"/>
        </w:rPr>
        <w:t xml:space="preserve"> </w:t>
      </w:r>
      <w:r w:rsidR="00767703">
        <w:rPr>
          <w:rFonts w:asciiTheme="majorHAnsi" w:hAnsiTheme="majorHAnsi" w:cstheme="majorHAnsi"/>
          <w:sz w:val="22"/>
          <w:szCs w:val="22"/>
        </w:rPr>
        <w:t xml:space="preserve">cover </w:t>
      </w:r>
      <w:r w:rsidR="00F60FE9">
        <w:rPr>
          <w:rFonts w:asciiTheme="majorHAnsi" w:hAnsiTheme="majorHAnsi" w:cstheme="majorHAnsi"/>
          <w:sz w:val="22"/>
          <w:szCs w:val="22"/>
        </w:rPr>
        <w:t xml:space="preserve">processes </w:t>
      </w:r>
      <w:r w:rsidR="00767703">
        <w:rPr>
          <w:rFonts w:asciiTheme="majorHAnsi" w:hAnsiTheme="majorHAnsi" w:cstheme="majorHAnsi"/>
          <w:sz w:val="22"/>
          <w:szCs w:val="22"/>
        </w:rPr>
        <w:t>and institutions</w:t>
      </w:r>
      <w:r w:rsidRPr="00974377">
        <w:rPr>
          <w:rFonts w:asciiTheme="majorHAnsi" w:hAnsiTheme="majorHAnsi" w:cstheme="majorHAnsi"/>
          <w:sz w:val="22"/>
          <w:szCs w:val="22"/>
        </w:rPr>
        <w:t xml:space="preserve"> involved in </w:t>
      </w:r>
      <w:r w:rsidR="00F60FE9">
        <w:rPr>
          <w:rFonts w:asciiTheme="majorHAnsi" w:hAnsiTheme="majorHAnsi" w:cstheme="majorHAnsi"/>
          <w:sz w:val="22"/>
          <w:szCs w:val="22"/>
        </w:rPr>
        <w:t>educators</w:t>
      </w:r>
      <w:r w:rsidR="00F60FE9" w:rsidRPr="00974377">
        <w:rPr>
          <w:rFonts w:asciiTheme="majorHAnsi" w:hAnsiTheme="majorHAnsi" w:cstheme="majorHAnsi"/>
          <w:sz w:val="22"/>
          <w:szCs w:val="22"/>
        </w:rPr>
        <w:t>’</w:t>
      </w:r>
      <w:r w:rsidR="00767703">
        <w:rPr>
          <w:rFonts w:asciiTheme="majorHAnsi" w:hAnsiTheme="majorHAnsi" w:cstheme="majorHAnsi"/>
          <w:sz w:val="22"/>
          <w:szCs w:val="22"/>
        </w:rPr>
        <w:t xml:space="preserve"> </w:t>
      </w:r>
      <w:r w:rsidRPr="00974377">
        <w:rPr>
          <w:rFonts w:asciiTheme="majorHAnsi" w:hAnsiTheme="majorHAnsi" w:cstheme="majorHAnsi"/>
          <w:sz w:val="22"/>
          <w:szCs w:val="22"/>
        </w:rPr>
        <w:t>recruitment</w:t>
      </w:r>
      <w:r w:rsidR="00767703" w:rsidRPr="00767703">
        <w:rPr>
          <w:rFonts w:asciiTheme="majorHAnsi" w:hAnsiTheme="majorHAnsi" w:cstheme="majorHAnsi"/>
          <w:sz w:val="22"/>
          <w:szCs w:val="22"/>
        </w:rPr>
        <w:t xml:space="preserve"> </w:t>
      </w:r>
      <w:r w:rsidR="00767703">
        <w:rPr>
          <w:rFonts w:asciiTheme="majorHAnsi" w:hAnsiTheme="majorHAnsi" w:cstheme="majorHAnsi"/>
          <w:sz w:val="22"/>
          <w:szCs w:val="22"/>
        </w:rPr>
        <w:t xml:space="preserve">and </w:t>
      </w:r>
      <w:r w:rsidR="00767703" w:rsidRPr="00974377">
        <w:rPr>
          <w:rFonts w:asciiTheme="majorHAnsi" w:hAnsiTheme="majorHAnsi" w:cstheme="majorHAnsi"/>
          <w:sz w:val="22"/>
          <w:szCs w:val="22"/>
        </w:rPr>
        <w:t>career development</w:t>
      </w:r>
      <w:r w:rsidR="00F60FE9">
        <w:rPr>
          <w:rFonts w:asciiTheme="majorHAnsi" w:hAnsiTheme="majorHAnsi" w:cstheme="majorHAnsi"/>
          <w:sz w:val="22"/>
          <w:szCs w:val="22"/>
        </w:rPr>
        <w:t>,</w:t>
      </w:r>
      <w:r w:rsidRPr="00974377">
        <w:rPr>
          <w:rFonts w:asciiTheme="majorHAnsi" w:hAnsiTheme="majorHAnsi" w:cstheme="majorHAnsi"/>
          <w:sz w:val="22"/>
          <w:szCs w:val="22"/>
        </w:rPr>
        <w:t xml:space="preserve"> such as the BPMP and the BGP, and </w:t>
      </w:r>
      <w:r w:rsidR="00F60FE9">
        <w:rPr>
          <w:rFonts w:asciiTheme="majorHAnsi" w:hAnsiTheme="majorHAnsi" w:cstheme="majorHAnsi"/>
          <w:sz w:val="22"/>
          <w:szCs w:val="22"/>
        </w:rPr>
        <w:t xml:space="preserve">the </w:t>
      </w:r>
      <w:r w:rsidRPr="00974377">
        <w:rPr>
          <w:rFonts w:asciiTheme="majorHAnsi" w:hAnsiTheme="majorHAnsi" w:cstheme="majorHAnsi"/>
          <w:sz w:val="22"/>
          <w:szCs w:val="22"/>
        </w:rPr>
        <w:t xml:space="preserve">local education office of partner districts. </w:t>
      </w:r>
      <w:r w:rsidR="00F60FE9" w:rsidRPr="00767703">
        <w:rPr>
          <w:rFonts w:asciiTheme="majorHAnsi" w:hAnsiTheme="majorHAnsi" w:cstheme="majorHAnsi"/>
          <w:sz w:val="22"/>
          <w:szCs w:val="22"/>
        </w:rPr>
        <w:t>This include</w:t>
      </w:r>
      <w:r w:rsidR="003F1499">
        <w:rPr>
          <w:rFonts w:asciiTheme="majorHAnsi" w:hAnsiTheme="majorHAnsi" w:cstheme="majorHAnsi"/>
          <w:sz w:val="22"/>
          <w:szCs w:val="22"/>
        </w:rPr>
        <w:t>s</w:t>
      </w:r>
      <w:r w:rsidR="00F60FE9" w:rsidRPr="00767703">
        <w:rPr>
          <w:rFonts w:asciiTheme="majorHAnsi" w:hAnsiTheme="majorHAnsi" w:cstheme="majorHAnsi"/>
          <w:sz w:val="22"/>
          <w:szCs w:val="22"/>
        </w:rPr>
        <w:t xml:space="preserve"> </w:t>
      </w:r>
      <w:r w:rsidR="00767703">
        <w:rPr>
          <w:rFonts w:asciiTheme="majorHAnsi" w:hAnsiTheme="majorHAnsi" w:cstheme="majorHAnsi"/>
          <w:sz w:val="22"/>
          <w:szCs w:val="22"/>
        </w:rPr>
        <w:t xml:space="preserve">an </w:t>
      </w:r>
      <w:r w:rsidR="00F60FE9" w:rsidRPr="00767703">
        <w:rPr>
          <w:rFonts w:asciiTheme="majorHAnsi" w:hAnsiTheme="majorHAnsi" w:cstheme="majorHAnsi"/>
          <w:sz w:val="22"/>
          <w:szCs w:val="22"/>
        </w:rPr>
        <w:t xml:space="preserve">analysis of the </w:t>
      </w:r>
      <w:r w:rsidR="00993DEE" w:rsidRPr="00767703">
        <w:rPr>
          <w:rFonts w:asciiTheme="majorHAnsi" w:hAnsiTheme="majorHAnsi" w:cstheme="majorHAnsi"/>
          <w:sz w:val="22"/>
          <w:szCs w:val="22"/>
        </w:rPr>
        <w:t>Gender Analysis Pathway (</w:t>
      </w:r>
      <w:r w:rsidR="00F60FE9" w:rsidRPr="00767703">
        <w:rPr>
          <w:rFonts w:asciiTheme="majorHAnsi" w:hAnsiTheme="majorHAnsi" w:cstheme="majorHAnsi"/>
          <w:sz w:val="22"/>
          <w:szCs w:val="22"/>
        </w:rPr>
        <w:t>GAP</w:t>
      </w:r>
      <w:r w:rsidR="00993DEE" w:rsidRPr="00767703">
        <w:rPr>
          <w:rFonts w:asciiTheme="majorHAnsi" w:hAnsiTheme="majorHAnsi" w:cstheme="majorHAnsi"/>
          <w:sz w:val="22"/>
          <w:szCs w:val="22"/>
        </w:rPr>
        <w:t>)</w:t>
      </w:r>
      <w:r w:rsidR="00F60FE9" w:rsidRPr="00767703">
        <w:rPr>
          <w:rFonts w:asciiTheme="majorHAnsi" w:hAnsiTheme="majorHAnsi" w:cstheme="majorHAnsi"/>
          <w:sz w:val="22"/>
          <w:szCs w:val="22"/>
        </w:rPr>
        <w:t xml:space="preserve"> tool for gender mainstreaming</w:t>
      </w:r>
      <w:r w:rsidR="00767703">
        <w:rPr>
          <w:rFonts w:asciiTheme="majorHAnsi" w:hAnsiTheme="majorHAnsi" w:cstheme="majorHAnsi"/>
          <w:sz w:val="22"/>
          <w:szCs w:val="22"/>
        </w:rPr>
        <w:t>,</w:t>
      </w:r>
      <w:r w:rsidR="00F60FE9" w:rsidRPr="00767703">
        <w:rPr>
          <w:rFonts w:asciiTheme="majorHAnsi" w:hAnsiTheme="majorHAnsi" w:cstheme="majorHAnsi"/>
          <w:sz w:val="22"/>
          <w:szCs w:val="22"/>
        </w:rPr>
        <w:t xml:space="preserve"> and </w:t>
      </w:r>
      <w:r w:rsidR="00767703">
        <w:rPr>
          <w:rFonts w:asciiTheme="majorHAnsi" w:hAnsiTheme="majorHAnsi" w:cstheme="majorHAnsi"/>
          <w:sz w:val="22"/>
          <w:szCs w:val="22"/>
        </w:rPr>
        <w:t xml:space="preserve">of </w:t>
      </w:r>
      <w:r w:rsidR="00F60FE9" w:rsidRPr="00767703">
        <w:rPr>
          <w:rFonts w:asciiTheme="majorHAnsi" w:hAnsiTheme="majorHAnsi" w:cstheme="majorHAnsi"/>
          <w:sz w:val="22"/>
          <w:szCs w:val="22"/>
        </w:rPr>
        <w:t xml:space="preserve">the barriers and enablers to </w:t>
      </w:r>
      <w:r w:rsidR="00993DEE" w:rsidRPr="00767703">
        <w:rPr>
          <w:rFonts w:asciiTheme="majorHAnsi" w:hAnsiTheme="majorHAnsi" w:cstheme="majorHAnsi"/>
          <w:sz w:val="22"/>
          <w:szCs w:val="22"/>
        </w:rPr>
        <w:t>its</w:t>
      </w:r>
      <w:r w:rsidR="00F60FE9" w:rsidRPr="00767703">
        <w:rPr>
          <w:rFonts w:asciiTheme="majorHAnsi" w:hAnsiTheme="majorHAnsi" w:cstheme="majorHAnsi"/>
          <w:sz w:val="22"/>
          <w:szCs w:val="22"/>
        </w:rPr>
        <w:t xml:space="preserve"> implementation as experienced by the Ministry to date</w:t>
      </w:r>
      <w:r w:rsidR="00993DEE" w:rsidRPr="00767703">
        <w:rPr>
          <w:rFonts w:asciiTheme="majorHAnsi" w:hAnsiTheme="majorHAnsi" w:cstheme="majorHAnsi"/>
          <w:sz w:val="22"/>
          <w:szCs w:val="22"/>
        </w:rPr>
        <w:t>.</w:t>
      </w:r>
      <w:r w:rsidR="00F60FE9" w:rsidRPr="00767703">
        <w:rPr>
          <w:rFonts w:asciiTheme="majorHAnsi" w:hAnsiTheme="majorHAnsi" w:cstheme="majorHAnsi"/>
          <w:sz w:val="22"/>
          <w:szCs w:val="22"/>
        </w:rPr>
        <w:t xml:space="preserve"> </w:t>
      </w:r>
      <w:r w:rsidRPr="00974377">
        <w:rPr>
          <w:rFonts w:asciiTheme="majorHAnsi" w:hAnsiTheme="majorHAnsi" w:cstheme="majorHAnsi"/>
          <w:sz w:val="22"/>
          <w:szCs w:val="22"/>
        </w:rPr>
        <w:t xml:space="preserve">The findings of these studies </w:t>
      </w:r>
      <w:r w:rsidR="00993DEE">
        <w:rPr>
          <w:rFonts w:asciiTheme="majorHAnsi" w:hAnsiTheme="majorHAnsi" w:cstheme="majorHAnsi"/>
          <w:sz w:val="22"/>
          <w:szCs w:val="22"/>
        </w:rPr>
        <w:t>could help inform a revised, more efficient version of the GAP</w:t>
      </w:r>
      <w:r w:rsidR="00221415">
        <w:rPr>
          <w:rFonts w:asciiTheme="majorHAnsi" w:hAnsiTheme="majorHAnsi" w:cstheme="majorHAnsi"/>
          <w:sz w:val="22"/>
          <w:szCs w:val="22"/>
        </w:rPr>
        <w:t>,</w:t>
      </w:r>
      <w:r w:rsidR="00993DEE">
        <w:rPr>
          <w:rFonts w:asciiTheme="majorHAnsi" w:hAnsiTheme="majorHAnsi" w:cstheme="majorHAnsi"/>
          <w:sz w:val="22"/>
          <w:szCs w:val="22"/>
        </w:rPr>
        <w:t xml:space="preserve"> one more sensitive to the role of gender norms in structural discrimination. They </w:t>
      </w:r>
      <w:r w:rsidRPr="00974377">
        <w:rPr>
          <w:rFonts w:asciiTheme="majorHAnsi" w:hAnsiTheme="majorHAnsi" w:cstheme="majorHAnsi"/>
          <w:sz w:val="22"/>
          <w:szCs w:val="22"/>
        </w:rPr>
        <w:t xml:space="preserve">could be shared with staff from these offices to develop their understanding </w:t>
      </w:r>
      <w:r w:rsidR="00993DEE">
        <w:rPr>
          <w:rFonts w:asciiTheme="majorHAnsi" w:hAnsiTheme="majorHAnsi" w:cstheme="majorHAnsi"/>
          <w:sz w:val="22"/>
          <w:szCs w:val="22"/>
        </w:rPr>
        <w:t xml:space="preserve">of the usage of the tool. </w:t>
      </w:r>
    </w:p>
    <w:p w14:paraId="09BBF699" w14:textId="5575E41D" w:rsidR="00ED705E" w:rsidRPr="00974377" w:rsidRDefault="00ED705E" w:rsidP="00B86A7F">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In addition, as a resource for women teachers seeking leadership in education, an institutional partnership could be formed with an international </w:t>
      </w:r>
      <w:r w:rsidR="00E643E0">
        <w:rPr>
          <w:rFonts w:asciiTheme="majorHAnsi" w:hAnsiTheme="majorHAnsi" w:cstheme="majorHAnsi"/>
          <w:sz w:val="22"/>
          <w:szCs w:val="22"/>
        </w:rPr>
        <w:t>I</w:t>
      </w:r>
      <w:r w:rsidRPr="00974377">
        <w:rPr>
          <w:rFonts w:asciiTheme="majorHAnsi" w:hAnsiTheme="majorHAnsi" w:cstheme="majorHAnsi"/>
          <w:sz w:val="22"/>
          <w:szCs w:val="22"/>
        </w:rPr>
        <w:t xml:space="preserve">nstitute of </w:t>
      </w:r>
      <w:r w:rsidR="00E643E0">
        <w:rPr>
          <w:rFonts w:asciiTheme="majorHAnsi" w:hAnsiTheme="majorHAnsi" w:cstheme="majorHAnsi"/>
          <w:sz w:val="22"/>
          <w:szCs w:val="22"/>
        </w:rPr>
        <w:t>W</w:t>
      </w:r>
      <w:r w:rsidRPr="00974377">
        <w:rPr>
          <w:rFonts w:asciiTheme="majorHAnsi" w:hAnsiTheme="majorHAnsi" w:cstheme="majorHAnsi"/>
          <w:sz w:val="22"/>
          <w:szCs w:val="22"/>
        </w:rPr>
        <w:t xml:space="preserve">omen </w:t>
      </w:r>
      <w:r w:rsidR="00E643E0">
        <w:rPr>
          <w:rFonts w:asciiTheme="majorHAnsi" w:hAnsiTheme="majorHAnsi" w:cstheme="majorHAnsi"/>
          <w:sz w:val="22"/>
          <w:szCs w:val="22"/>
        </w:rPr>
        <w:t>P</w:t>
      </w:r>
      <w:r w:rsidRPr="00974377">
        <w:rPr>
          <w:rFonts w:asciiTheme="majorHAnsi" w:hAnsiTheme="majorHAnsi" w:cstheme="majorHAnsi"/>
          <w:sz w:val="22"/>
          <w:szCs w:val="22"/>
        </w:rPr>
        <w:t>rincipals</w:t>
      </w:r>
      <w:r w:rsidR="00E643E0">
        <w:rPr>
          <w:rFonts w:asciiTheme="majorHAnsi" w:hAnsiTheme="majorHAnsi" w:cstheme="majorHAnsi"/>
          <w:sz w:val="22"/>
          <w:szCs w:val="22"/>
        </w:rPr>
        <w:t xml:space="preserve"> (or equivalent thereof)</w:t>
      </w:r>
      <w:r w:rsidRPr="00974377">
        <w:rPr>
          <w:rFonts w:asciiTheme="majorHAnsi" w:hAnsiTheme="majorHAnsi" w:cstheme="majorHAnsi"/>
          <w:sz w:val="22"/>
          <w:szCs w:val="22"/>
        </w:rPr>
        <w:t xml:space="preserve">, to support and mentor senior Indonesian women teachers through career processes leading to principalship. In parallel, the program could </w:t>
      </w:r>
      <w:r w:rsidR="00767703">
        <w:rPr>
          <w:rFonts w:asciiTheme="majorHAnsi" w:hAnsiTheme="majorHAnsi" w:cstheme="majorHAnsi"/>
          <w:sz w:val="22"/>
          <w:szCs w:val="22"/>
        </w:rPr>
        <w:t xml:space="preserve">also </w:t>
      </w:r>
      <w:r w:rsidRPr="00974377">
        <w:rPr>
          <w:rFonts w:asciiTheme="majorHAnsi" w:hAnsiTheme="majorHAnsi" w:cstheme="majorHAnsi"/>
          <w:sz w:val="22"/>
          <w:szCs w:val="22"/>
        </w:rPr>
        <w:t xml:space="preserve">support for the foundation of national or provincial Associations of Women’s Leadership. </w:t>
      </w:r>
    </w:p>
    <w:p w14:paraId="0AEFF7F1" w14:textId="241E200E" w:rsidR="00ED705E" w:rsidRPr="0094721A" w:rsidRDefault="00ED705E" w:rsidP="008D1844">
      <w:pPr>
        <w:pStyle w:val="Heading3"/>
        <w:numPr>
          <w:ilvl w:val="0"/>
          <w:numId w:val="60"/>
        </w:numPr>
        <w:rPr>
          <w:rFonts w:cstheme="majorHAnsi"/>
          <w:sz w:val="22"/>
          <w:szCs w:val="22"/>
        </w:rPr>
      </w:pPr>
      <w:r w:rsidRPr="00D86910">
        <w:rPr>
          <w:b/>
          <w:sz w:val="22"/>
          <w:szCs w:val="20"/>
        </w:rPr>
        <w:t xml:space="preserve">Counteracting </w:t>
      </w:r>
      <w:r w:rsidRPr="003A5730">
        <w:rPr>
          <w:b/>
          <w:sz w:val="22"/>
          <w:szCs w:val="20"/>
        </w:rPr>
        <w:t>bullying</w:t>
      </w:r>
      <w:r w:rsidR="008B7325" w:rsidRPr="003A5730">
        <w:rPr>
          <w:rFonts w:cstheme="majorHAnsi"/>
          <w:b/>
          <w:sz w:val="22"/>
          <w:szCs w:val="22"/>
        </w:rPr>
        <w:t>,</w:t>
      </w:r>
      <w:r w:rsidRPr="003A5730">
        <w:rPr>
          <w:rFonts w:cstheme="majorHAnsi"/>
          <w:b/>
          <w:sz w:val="22"/>
          <w:szCs w:val="22"/>
        </w:rPr>
        <w:t xml:space="preserve"> sexual violence in schools and child marriage</w:t>
      </w:r>
    </w:p>
    <w:p w14:paraId="05E4647A" w14:textId="47C70898" w:rsidR="009657FF" w:rsidRDefault="00ED705E" w:rsidP="00B86A7F">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At the national level</w:t>
      </w:r>
      <w:r w:rsidR="004A4618">
        <w:rPr>
          <w:rFonts w:asciiTheme="majorHAnsi" w:hAnsiTheme="majorHAnsi" w:cstheme="majorHAnsi"/>
          <w:sz w:val="22"/>
          <w:szCs w:val="22"/>
        </w:rPr>
        <w:t>,</w:t>
      </w:r>
      <w:r w:rsidRPr="00974377">
        <w:rPr>
          <w:rFonts w:asciiTheme="majorHAnsi" w:hAnsiTheme="majorHAnsi" w:cstheme="majorHAnsi"/>
          <w:sz w:val="22"/>
          <w:szCs w:val="22"/>
        </w:rPr>
        <w:t xml:space="preserve"> the program </w:t>
      </w:r>
      <w:r w:rsidR="00C47FA4">
        <w:rPr>
          <w:rFonts w:asciiTheme="majorHAnsi" w:hAnsiTheme="majorHAnsi" w:cstheme="majorHAnsi"/>
          <w:sz w:val="22"/>
          <w:szCs w:val="22"/>
        </w:rPr>
        <w:t>will</w:t>
      </w:r>
      <w:r w:rsidRPr="00974377">
        <w:rPr>
          <w:rFonts w:asciiTheme="majorHAnsi" w:hAnsiTheme="majorHAnsi" w:cstheme="majorHAnsi"/>
          <w:sz w:val="22"/>
          <w:szCs w:val="22"/>
        </w:rPr>
        <w:t xml:space="preserve"> work with the Ministry of Women Empowerment and Child Protection (</w:t>
      </w:r>
      <w:proofErr w:type="spellStart"/>
      <w:r w:rsidRPr="00974377">
        <w:rPr>
          <w:rFonts w:asciiTheme="majorHAnsi" w:hAnsiTheme="majorHAnsi" w:cstheme="majorHAnsi"/>
          <w:sz w:val="22"/>
          <w:szCs w:val="22"/>
        </w:rPr>
        <w:t>MoWECP</w:t>
      </w:r>
      <w:proofErr w:type="spellEnd"/>
      <w:r w:rsidRPr="00974377">
        <w:rPr>
          <w:rFonts w:asciiTheme="majorHAnsi" w:hAnsiTheme="majorHAnsi" w:cstheme="majorHAnsi"/>
          <w:sz w:val="22"/>
          <w:szCs w:val="22"/>
        </w:rPr>
        <w:t xml:space="preserve">), </w:t>
      </w:r>
      <w:proofErr w:type="spellStart"/>
      <w:r w:rsidRPr="00974377">
        <w:rPr>
          <w:rFonts w:asciiTheme="majorHAnsi" w:hAnsiTheme="majorHAnsi" w:cstheme="majorHAnsi"/>
          <w:sz w:val="22"/>
          <w:szCs w:val="22"/>
        </w:rPr>
        <w:t>MoECRT</w:t>
      </w:r>
      <w:proofErr w:type="spellEnd"/>
      <w:r w:rsidRPr="00974377">
        <w:rPr>
          <w:rFonts w:asciiTheme="majorHAnsi" w:hAnsiTheme="majorHAnsi" w:cstheme="majorHAnsi"/>
          <w:sz w:val="22"/>
          <w:szCs w:val="22"/>
        </w:rPr>
        <w:t xml:space="preserve"> and </w:t>
      </w:r>
      <w:proofErr w:type="spellStart"/>
      <w:r w:rsidRPr="00974377">
        <w:rPr>
          <w:rFonts w:asciiTheme="majorHAnsi" w:hAnsiTheme="majorHAnsi" w:cstheme="majorHAnsi"/>
          <w:sz w:val="22"/>
          <w:szCs w:val="22"/>
        </w:rPr>
        <w:t>MoRA’s</w:t>
      </w:r>
      <w:proofErr w:type="spellEnd"/>
      <w:r w:rsidRPr="00974377">
        <w:rPr>
          <w:rFonts w:asciiTheme="majorHAnsi" w:hAnsiTheme="majorHAnsi" w:cstheme="majorHAnsi"/>
          <w:sz w:val="22"/>
          <w:szCs w:val="22"/>
        </w:rPr>
        <w:t xml:space="preserve"> Directorate of Madrasah Education on improving regulations on bullying and sexual violence in </w:t>
      </w:r>
      <w:r w:rsidR="00187339" w:rsidRPr="00EB54AB">
        <w:rPr>
          <w:rFonts w:asciiTheme="majorHAnsi" w:hAnsiTheme="majorHAnsi" w:cstheme="majorHAnsi"/>
          <w:sz w:val="22"/>
          <w:szCs w:val="22"/>
        </w:rPr>
        <w:t>education units</w:t>
      </w:r>
      <w:r w:rsidR="00490745">
        <w:rPr>
          <w:rFonts w:asciiTheme="majorHAnsi" w:hAnsiTheme="majorHAnsi" w:cstheme="majorHAnsi"/>
          <w:sz w:val="22"/>
          <w:szCs w:val="22"/>
        </w:rPr>
        <w:t>.</w:t>
      </w:r>
      <w:r w:rsidR="00490745" w:rsidRPr="00974377">
        <w:rPr>
          <w:rFonts w:asciiTheme="majorHAnsi" w:hAnsiTheme="majorHAnsi" w:cstheme="majorHAnsi"/>
          <w:sz w:val="22"/>
          <w:szCs w:val="22"/>
        </w:rPr>
        <w:t xml:space="preserve"> </w:t>
      </w:r>
      <w:r w:rsidR="00490745">
        <w:rPr>
          <w:rFonts w:asciiTheme="majorHAnsi" w:hAnsiTheme="majorHAnsi" w:cstheme="majorHAnsi"/>
          <w:sz w:val="22"/>
          <w:szCs w:val="22"/>
        </w:rPr>
        <w:t xml:space="preserve">These are </w:t>
      </w:r>
      <w:r w:rsidRPr="00974377">
        <w:rPr>
          <w:rFonts w:asciiTheme="majorHAnsi" w:hAnsiTheme="majorHAnsi" w:cstheme="majorHAnsi"/>
          <w:sz w:val="22"/>
          <w:szCs w:val="22"/>
        </w:rPr>
        <w:t>currently narrowly focussed on sanctions</w:t>
      </w:r>
      <w:r w:rsidR="004A4618">
        <w:rPr>
          <w:rFonts w:asciiTheme="majorHAnsi" w:hAnsiTheme="majorHAnsi" w:cstheme="majorHAnsi"/>
          <w:sz w:val="22"/>
          <w:szCs w:val="22"/>
        </w:rPr>
        <w:t>, with limited provisions to support</w:t>
      </w:r>
      <w:r w:rsidR="00490745">
        <w:rPr>
          <w:rFonts w:asciiTheme="majorHAnsi" w:hAnsiTheme="majorHAnsi" w:cstheme="majorHAnsi"/>
          <w:sz w:val="22"/>
          <w:szCs w:val="22"/>
        </w:rPr>
        <w:t xml:space="preserve"> the agency of those affected by these behaviours. Safe and accessible ways of reporting incidents are not included in the guidelines, nor is there focus </w:t>
      </w:r>
      <w:r w:rsidR="001E6D1D">
        <w:rPr>
          <w:rFonts w:asciiTheme="majorHAnsi" w:hAnsiTheme="majorHAnsi" w:cstheme="majorHAnsi"/>
          <w:sz w:val="22"/>
          <w:szCs w:val="22"/>
        </w:rPr>
        <w:t>on developing students’ sense of agency in the face of bullying</w:t>
      </w:r>
      <w:r w:rsidR="00187339">
        <w:rPr>
          <w:rFonts w:asciiTheme="majorHAnsi" w:hAnsiTheme="majorHAnsi" w:cstheme="majorHAnsi"/>
          <w:sz w:val="22"/>
          <w:szCs w:val="22"/>
        </w:rPr>
        <w:t xml:space="preserve"> or violent</w:t>
      </w:r>
      <w:r w:rsidR="001E6D1D">
        <w:rPr>
          <w:rFonts w:asciiTheme="majorHAnsi" w:hAnsiTheme="majorHAnsi" w:cstheme="majorHAnsi"/>
          <w:sz w:val="22"/>
          <w:szCs w:val="22"/>
        </w:rPr>
        <w:t xml:space="preserve"> behaviour</w:t>
      </w:r>
      <w:r w:rsidR="00187339">
        <w:rPr>
          <w:rFonts w:asciiTheme="majorHAnsi" w:hAnsiTheme="majorHAnsi" w:cstheme="majorHAnsi"/>
          <w:sz w:val="22"/>
          <w:szCs w:val="22"/>
        </w:rPr>
        <w:t>s</w:t>
      </w:r>
      <w:r w:rsidR="001E6D1D">
        <w:rPr>
          <w:rFonts w:asciiTheme="majorHAnsi" w:hAnsiTheme="majorHAnsi" w:cstheme="majorHAnsi"/>
          <w:sz w:val="22"/>
          <w:szCs w:val="22"/>
        </w:rPr>
        <w:t>. Questions to students on safety in the national school Learning Environment Survey (</w:t>
      </w:r>
      <w:proofErr w:type="spellStart"/>
      <w:r w:rsidR="001E6D1D" w:rsidRPr="004A4618">
        <w:rPr>
          <w:rFonts w:asciiTheme="majorHAnsi" w:hAnsiTheme="majorHAnsi" w:cstheme="majorHAnsi"/>
          <w:i/>
          <w:iCs/>
          <w:sz w:val="22"/>
          <w:szCs w:val="22"/>
        </w:rPr>
        <w:t>Survei</w:t>
      </w:r>
      <w:proofErr w:type="spellEnd"/>
      <w:r w:rsidR="001E6D1D" w:rsidRPr="004A4618">
        <w:rPr>
          <w:rFonts w:asciiTheme="majorHAnsi" w:hAnsiTheme="majorHAnsi" w:cstheme="majorHAnsi"/>
          <w:i/>
          <w:iCs/>
          <w:sz w:val="22"/>
          <w:szCs w:val="22"/>
        </w:rPr>
        <w:t xml:space="preserve"> </w:t>
      </w:r>
      <w:proofErr w:type="spellStart"/>
      <w:r w:rsidR="001E6D1D" w:rsidRPr="004A4618">
        <w:rPr>
          <w:rFonts w:asciiTheme="majorHAnsi" w:hAnsiTheme="majorHAnsi" w:cstheme="majorHAnsi"/>
          <w:i/>
          <w:iCs/>
          <w:sz w:val="22"/>
          <w:szCs w:val="22"/>
        </w:rPr>
        <w:t>Lingkungan</w:t>
      </w:r>
      <w:proofErr w:type="spellEnd"/>
      <w:r w:rsidR="001E6D1D" w:rsidRPr="004A4618">
        <w:rPr>
          <w:rFonts w:asciiTheme="majorHAnsi" w:hAnsiTheme="majorHAnsi" w:cstheme="majorHAnsi"/>
          <w:i/>
          <w:iCs/>
          <w:sz w:val="22"/>
          <w:szCs w:val="22"/>
        </w:rPr>
        <w:t xml:space="preserve"> </w:t>
      </w:r>
      <w:proofErr w:type="spellStart"/>
      <w:r w:rsidR="001E6D1D" w:rsidRPr="004A4618">
        <w:rPr>
          <w:rFonts w:asciiTheme="majorHAnsi" w:hAnsiTheme="majorHAnsi" w:cstheme="majorHAnsi"/>
          <w:i/>
          <w:iCs/>
          <w:sz w:val="22"/>
          <w:szCs w:val="22"/>
        </w:rPr>
        <w:t>Belajar</w:t>
      </w:r>
      <w:proofErr w:type="spellEnd"/>
      <w:r w:rsidR="001E6D1D">
        <w:rPr>
          <w:rFonts w:asciiTheme="majorHAnsi" w:hAnsiTheme="majorHAnsi" w:cstheme="majorHAnsi"/>
          <w:sz w:val="22"/>
          <w:szCs w:val="22"/>
        </w:rPr>
        <w:t xml:space="preserve">) are </w:t>
      </w:r>
      <w:r w:rsidR="004A4618">
        <w:rPr>
          <w:rFonts w:asciiTheme="majorHAnsi" w:hAnsiTheme="majorHAnsi" w:cstheme="majorHAnsi"/>
          <w:sz w:val="22"/>
          <w:szCs w:val="22"/>
        </w:rPr>
        <w:t xml:space="preserve">reportedly </w:t>
      </w:r>
      <w:r w:rsidR="001E6D1D">
        <w:rPr>
          <w:rFonts w:asciiTheme="majorHAnsi" w:hAnsiTheme="majorHAnsi" w:cstheme="majorHAnsi"/>
          <w:sz w:val="22"/>
          <w:szCs w:val="22"/>
        </w:rPr>
        <w:t xml:space="preserve">easily misunderstood by students. In addition, </w:t>
      </w:r>
      <w:r w:rsidR="004A4618">
        <w:rPr>
          <w:rFonts w:asciiTheme="majorHAnsi" w:hAnsiTheme="majorHAnsi" w:cstheme="majorHAnsi"/>
          <w:sz w:val="22"/>
          <w:szCs w:val="22"/>
        </w:rPr>
        <w:t>when</w:t>
      </w:r>
      <w:r w:rsidR="001E6D1D">
        <w:rPr>
          <w:rFonts w:asciiTheme="majorHAnsi" w:hAnsiTheme="majorHAnsi" w:cstheme="majorHAnsi"/>
          <w:sz w:val="22"/>
          <w:szCs w:val="22"/>
        </w:rPr>
        <w:t xml:space="preserve"> a school is assesse</w:t>
      </w:r>
      <w:r w:rsidR="004A4618">
        <w:rPr>
          <w:rFonts w:asciiTheme="majorHAnsi" w:hAnsiTheme="majorHAnsi" w:cstheme="majorHAnsi"/>
          <w:sz w:val="22"/>
          <w:szCs w:val="22"/>
        </w:rPr>
        <w:t>d</w:t>
      </w:r>
      <w:r w:rsidR="001E6D1D">
        <w:rPr>
          <w:rFonts w:asciiTheme="majorHAnsi" w:hAnsiTheme="majorHAnsi" w:cstheme="majorHAnsi"/>
          <w:sz w:val="22"/>
          <w:szCs w:val="22"/>
        </w:rPr>
        <w:t xml:space="preserve"> as low performing on issues </w:t>
      </w:r>
      <w:r w:rsidR="004A4618">
        <w:rPr>
          <w:rFonts w:asciiTheme="majorHAnsi" w:hAnsiTheme="majorHAnsi" w:cstheme="majorHAnsi"/>
          <w:sz w:val="22"/>
          <w:szCs w:val="22"/>
        </w:rPr>
        <w:t>such as</w:t>
      </w:r>
      <w:r w:rsidR="001E6D1D">
        <w:rPr>
          <w:rFonts w:asciiTheme="majorHAnsi" w:hAnsiTheme="majorHAnsi" w:cstheme="majorHAnsi"/>
          <w:sz w:val="22"/>
          <w:szCs w:val="22"/>
        </w:rPr>
        <w:t xml:space="preserve"> sexual harassment</w:t>
      </w:r>
      <w:r w:rsidR="004A4618">
        <w:rPr>
          <w:rFonts w:asciiTheme="majorHAnsi" w:hAnsiTheme="majorHAnsi" w:cstheme="majorHAnsi"/>
          <w:sz w:val="22"/>
          <w:szCs w:val="22"/>
        </w:rPr>
        <w:t>,</w:t>
      </w:r>
      <w:r w:rsidR="001E6D1D">
        <w:rPr>
          <w:rFonts w:asciiTheme="majorHAnsi" w:hAnsiTheme="majorHAnsi" w:cstheme="majorHAnsi"/>
          <w:sz w:val="22"/>
          <w:szCs w:val="22"/>
        </w:rPr>
        <w:t xml:space="preserve"> there </w:t>
      </w:r>
      <w:r w:rsidR="004A4618">
        <w:rPr>
          <w:rFonts w:asciiTheme="majorHAnsi" w:hAnsiTheme="majorHAnsi" w:cstheme="majorHAnsi"/>
          <w:sz w:val="22"/>
          <w:szCs w:val="22"/>
        </w:rPr>
        <w:t>i</w:t>
      </w:r>
      <w:r w:rsidR="001E6D1D">
        <w:rPr>
          <w:rFonts w:asciiTheme="majorHAnsi" w:hAnsiTheme="majorHAnsi" w:cstheme="majorHAnsi"/>
          <w:sz w:val="22"/>
          <w:szCs w:val="22"/>
        </w:rPr>
        <w:t xml:space="preserve">s no detail or guidance </w:t>
      </w:r>
      <w:r w:rsidR="004A4618">
        <w:rPr>
          <w:rFonts w:asciiTheme="majorHAnsi" w:hAnsiTheme="majorHAnsi" w:cstheme="majorHAnsi"/>
          <w:sz w:val="22"/>
          <w:szCs w:val="22"/>
        </w:rPr>
        <w:t xml:space="preserve">provided </w:t>
      </w:r>
      <w:r w:rsidR="001E6D1D">
        <w:rPr>
          <w:rFonts w:asciiTheme="majorHAnsi" w:hAnsiTheme="majorHAnsi" w:cstheme="majorHAnsi"/>
          <w:sz w:val="22"/>
          <w:szCs w:val="22"/>
        </w:rPr>
        <w:t xml:space="preserve">to the principal for follow-up action. </w:t>
      </w:r>
    </w:p>
    <w:p w14:paraId="3307A068" w14:textId="2737287B" w:rsidR="00ED705E" w:rsidRPr="00EB54AB" w:rsidRDefault="009657FF" w:rsidP="00B86A7F">
      <w:pPr>
        <w:pStyle w:val="BodyText"/>
        <w:spacing w:after="120" w:line="281" w:lineRule="auto"/>
        <w:rPr>
          <w:rFonts w:asciiTheme="majorHAnsi" w:hAnsiTheme="majorHAnsi" w:cstheme="majorHAnsi"/>
          <w:sz w:val="22"/>
          <w:szCs w:val="22"/>
        </w:rPr>
      </w:pPr>
      <w:r>
        <w:rPr>
          <w:rFonts w:asciiTheme="majorHAnsi" w:hAnsiTheme="majorHAnsi" w:cstheme="majorHAnsi"/>
          <w:sz w:val="22"/>
          <w:szCs w:val="22"/>
        </w:rPr>
        <w:t xml:space="preserve">INOVASI could support the strengthening of the </w:t>
      </w:r>
      <w:proofErr w:type="spellStart"/>
      <w:r>
        <w:rPr>
          <w:rFonts w:asciiTheme="majorHAnsi" w:hAnsiTheme="majorHAnsi" w:cstheme="majorHAnsi"/>
          <w:sz w:val="22"/>
          <w:szCs w:val="22"/>
        </w:rPr>
        <w:t>M</w:t>
      </w:r>
      <w:r w:rsidR="004A4618">
        <w:rPr>
          <w:rFonts w:asciiTheme="majorHAnsi" w:hAnsiTheme="majorHAnsi" w:cstheme="majorHAnsi"/>
          <w:sz w:val="22"/>
          <w:szCs w:val="22"/>
        </w:rPr>
        <w:t>oECRT</w:t>
      </w:r>
      <w:r>
        <w:rPr>
          <w:rFonts w:asciiTheme="majorHAnsi" w:hAnsiTheme="majorHAnsi" w:cstheme="majorHAnsi"/>
          <w:sz w:val="22"/>
          <w:szCs w:val="22"/>
        </w:rPr>
        <w:t>’s</w:t>
      </w:r>
      <w:proofErr w:type="spellEnd"/>
      <w:r>
        <w:rPr>
          <w:rFonts w:asciiTheme="majorHAnsi" w:hAnsiTheme="majorHAnsi" w:cstheme="majorHAnsi"/>
          <w:sz w:val="22"/>
          <w:szCs w:val="22"/>
        </w:rPr>
        <w:t xml:space="preserve"> instr</w:t>
      </w:r>
      <w:r w:rsidR="008E6751">
        <w:rPr>
          <w:rFonts w:asciiTheme="majorHAnsi" w:hAnsiTheme="majorHAnsi" w:cstheme="majorHAnsi"/>
          <w:sz w:val="22"/>
          <w:szCs w:val="22"/>
        </w:rPr>
        <w:t>u</w:t>
      </w:r>
      <w:r>
        <w:rPr>
          <w:rFonts w:asciiTheme="majorHAnsi" w:hAnsiTheme="majorHAnsi" w:cstheme="majorHAnsi"/>
          <w:sz w:val="22"/>
          <w:szCs w:val="22"/>
        </w:rPr>
        <w:t>ments for assessing and guiding on the sexual harassment and violence in schools. T</w:t>
      </w:r>
      <w:r w:rsidR="00ED705E" w:rsidRPr="00974377">
        <w:rPr>
          <w:rFonts w:asciiTheme="majorHAnsi" w:hAnsiTheme="majorHAnsi" w:cstheme="majorHAnsi"/>
          <w:sz w:val="22"/>
          <w:szCs w:val="22"/>
        </w:rPr>
        <w:t xml:space="preserve">he recommendations of the National Strategy </w:t>
      </w:r>
      <w:r w:rsidR="00EB54AB">
        <w:rPr>
          <w:rFonts w:asciiTheme="majorHAnsi" w:hAnsiTheme="majorHAnsi" w:cstheme="majorHAnsi"/>
          <w:sz w:val="22"/>
          <w:szCs w:val="22"/>
        </w:rPr>
        <w:t>A</w:t>
      </w:r>
      <w:r w:rsidR="00ED705E" w:rsidRPr="00974377">
        <w:rPr>
          <w:rFonts w:asciiTheme="majorHAnsi" w:hAnsiTheme="majorHAnsi" w:cstheme="majorHAnsi"/>
          <w:sz w:val="22"/>
          <w:szCs w:val="22"/>
        </w:rPr>
        <w:t xml:space="preserve">gainst Child Marriage provide an effective means to develop </w:t>
      </w:r>
      <w:r w:rsidR="00187339" w:rsidRPr="00974377">
        <w:rPr>
          <w:rFonts w:asciiTheme="majorHAnsi" w:hAnsiTheme="majorHAnsi" w:cstheme="majorHAnsi"/>
          <w:sz w:val="22"/>
          <w:szCs w:val="22"/>
        </w:rPr>
        <w:t xml:space="preserve">resources </w:t>
      </w:r>
      <w:r w:rsidR="00187339">
        <w:rPr>
          <w:rFonts w:asciiTheme="majorHAnsi" w:hAnsiTheme="majorHAnsi" w:cstheme="majorHAnsi"/>
          <w:sz w:val="22"/>
          <w:szCs w:val="22"/>
        </w:rPr>
        <w:t xml:space="preserve">and </w:t>
      </w:r>
      <w:r w:rsidR="00ED705E" w:rsidRPr="00974377">
        <w:rPr>
          <w:rFonts w:asciiTheme="majorHAnsi" w:hAnsiTheme="majorHAnsi" w:cstheme="majorHAnsi"/>
          <w:sz w:val="22"/>
          <w:szCs w:val="22"/>
        </w:rPr>
        <w:t xml:space="preserve">girls’ agency to deal with sexual harassment </w:t>
      </w:r>
      <w:r w:rsidR="00ED705E" w:rsidRPr="00EB54AB">
        <w:rPr>
          <w:rFonts w:asciiTheme="majorHAnsi" w:hAnsiTheme="majorHAnsi" w:cstheme="majorHAnsi"/>
          <w:sz w:val="22"/>
          <w:szCs w:val="22"/>
        </w:rPr>
        <w:t>and abusive behaviour</w:t>
      </w:r>
      <w:r w:rsidR="00187339">
        <w:rPr>
          <w:rFonts w:asciiTheme="majorHAnsi" w:hAnsiTheme="majorHAnsi" w:cstheme="majorHAnsi"/>
          <w:sz w:val="22"/>
          <w:szCs w:val="22"/>
        </w:rPr>
        <w:t>s</w:t>
      </w:r>
      <w:r w:rsidR="00ED705E" w:rsidRPr="00EB54AB">
        <w:rPr>
          <w:rFonts w:asciiTheme="majorHAnsi" w:hAnsiTheme="majorHAnsi" w:cstheme="majorHAnsi"/>
          <w:sz w:val="22"/>
          <w:szCs w:val="22"/>
        </w:rPr>
        <w:t xml:space="preserve"> in education units. The program </w:t>
      </w:r>
      <w:r w:rsidR="00EB54AB">
        <w:rPr>
          <w:rFonts w:asciiTheme="majorHAnsi" w:hAnsiTheme="majorHAnsi" w:cstheme="majorHAnsi"/>
          <w:sz w:val="22"/>
          <w:szCs w:val="22"/>
        </w:rPr>
        <w:t>wil</w:t>
      </w:r>
      <w:r w:rsidR="00ED705E" w:rsidRPr="00EB54AB">
        <w:rPr>
          <w:rFonts w:asciiTheme="majorHAnsi" w:hAnsiTheme="majorHAnsi" w:cstheme="majorHAnsi"/>
          <w:sz w:val="22"/>
          <w:szCs w:val="22"/>
        </w:rPr>
        <w:t>l seek to develop guidelines for promoting acceptance of diversity in school culture</w:t>
      </w:r>
      <w:r w:rsidR="00EB54AB" w:rsidRPr="00EB54AB">
        <w:rPr>
          <w:rFonts w:asciiTheme="majorHAnsi" w:hAnsiTheme="majorHAnsi" w:cstheme="majorHAnsi"/>
          <w:sz w:val="22"/>
          <w:szCs w:val="22"/>
        </w:rPr>
        <w:t>,</w:t>
      </w:r>
      <w:r w:rsidR="00ED705E" w:rsidRPr="00EB54AB">
        <w:rPr>
          <w:rFonts w:asciiTheme="majorHAnsi" w:hAnsiTheme="majorHAnsi" w:cstheme="majorHAnsi"/>
          <w:sz w:val="22"/>
          <w:szCs w:val="22"/>
        </w:rPr>
        <w:t xml:space="preserve"> with gender explicitly </w:t>
      </w:r>
      <w:r w:rsidR="00AD2F4F" w:rsidRPr="00EB54AB">
        <w:rPr>
          <w:rFonts w:asciiTheme="majorHAnsi" w:hAnsiTheme="majorHAnsi" w:cstheme="majorHAnsi"/>
          <w:sz w:val="22"/>
          <w:szCs w:val="22"/>
        </w:rPr>
        <w:t xml:space="preserve">named </w:t>
      </w:r>
      <w:r w:rsidR="00ED705E" w:rsidRPr="00EB54AB">
        <w:rPr>
          <w:rFonts w:asciiTheme="majorHAnsi" w:hAnsiTheme="majorHAnsi" w:cstheme="majorHAnsi"/>
          <w:sz w:val="22"/>
          <w:szCs w:val="22"/>
        </w:rPr>
        <w:t xml:space="preserve">as a dimension of diversity, and to include equal treatment of girls and boys in relevant </w:t>
      </w:r>
      <w:r w:rsidR="00EB54AB" w:rsidRPr="00EB54AB">
        <w:rPr>
          <w:rFonts w:asciiTheme="majorHAnsi" w:hAnsiTheme="majorHAnsi" w:cstheme="majorHAnsi"/>
          <w:sz w:val="22"/>
          <w:szCs w:val="22"/>
        </w:rPr>
        <w:t>s</w:t>
      </w:r>
      <w:r w:rsidR="00DA665F" w:rsidRPr="00EB54AB">
        <w:rPr>
          <w:rFonts w:asciiTheme="majorHAnsi" w:hAnsiTheme="majorHAnsi" w:cstheme="majorHAnsi"/>
          <w:sz w:val="22"/>
          <w:szCs w:val="22"/>
        </w:rPr>
        <w:t>ection</w:t>
      </w:r>
      <w:r w:rsidR="00187339">
        <w:rPr>
          <w:rFonts w:asciiTheme="majorHAnsi" w:hAnsiTheme="majorHAnsi" w:cstheme="majorHAnsi"/>
          <w:sz w:val="22"/>
          <w:szCs w:val="22"/>
        </w:rPr>
        <w:t>s</w:t>
      </w:r>
      <w:r w:rsidR="00ED705E" w:rsidRPr="00EB54AB">
        <w:rPr>
          <w:rFonts w:asciiTheme="majorHAnsi" w:hAnsiTheme="majorHAnsi" w:cstheme="majorHAnsi"/>
          <w:sz w:val="22"/>
          <w:szCs w:val="22"/>
        </w:rPr>
        <w:t xml:space="preserve"> of the </w:t>
      </w:r>
      <w:r w:rsidR="00993DEE" w:rsidRPr="00EB54AB">
        <w:rPr>
          <w:rFonts w:asciiTheme="majorHAnsi" w:hAnsiTheme="majorHAnsi" w:cstheme="majorHAnsi"/>
          <w:sz w:val="22"/>
          <w:szCs w:val="22"/>
        </w:rPr>
        <w:t xml:space="preserve">new </w:t>
      </w:r>
      <w:r w:rsidR="00ED705E" w:rsidRPr="00EB54AB">
        <w:rPr>
          <w:rFonts w:asciiTheme="majorHAnsi" w:hAnsiTheme="majorHAnsi" w:cstheme="majorHAnsi"/>
          <w:sz w:val="22"/>
          <w:szCs w:val="22"/>
        </w:rPr>
        <w:t xml:space="preserve">teacher </w:t>
      </w:r>
      <w:r w:rsidR="00993DEE" w:rsidRPr="00EB54AB">
        <w:rPr>
          <w:rFonts w:asciiTheme="majorHAnsi" w:hAnsiTheme="majorHAnsi" w:cstheme="majorHAnsi"/>
          <w:sz w:val="22"/>
          <w:szCs w:val="22"/>
        </w:rPr>
        <w:t xml:space="preserve">competency </w:t>
      </w:r>
      <w:r w:rsidR="00ED705E" w:rsidRPr="00EB54AB">
        <w:rPr>
          <w:rFonts w:asciiTheme="majorHAnsi" w:hAnsiTheme="majorHAnsi" w:cstheme="majorHAnsi"/>
          <w:sz w:val="22"/>
          <w:szCs w:val="22"/>
        </w:rPr>
        <w:t>standards.</w:t>
      </w:r>
      <w:r w:rsidR="00993DEE" w:rsidRPr="00EB54AB">
        <w:rPr>
          <w:rFonts w:asciiTheme="majorHAnsi" w:hAnsiTheme="majorHAnsi" w:cstheme="majorHAnsi"/>
          <w:sz w:val="22"/>
          <w:szCs w:val="22"/>
        </w:rPr>
        <w:t xml:space="preserve"> </w:t>
      </w:r>
      <w:r w:rsidR="00187339">
        <w:rPr>
          <w:rFonts w:asciiTheme="majorHAnsi" w:hAnsiTheme="majorHAnsi" w:cstheme="minorHAnsi"/>
          <w:sz w:val="22"/>
          <w:szCs w:val="22"/>
        </w:rPr>
        <w:t>It</w:t>
      </w:r>
      <w:r w:rsidR="00993DEE" w:rsidRPr="00EB54AB">
        <w:rPr>
          <w:rFonts w:asciiTheme="majorHAnsi" w:hAnsiTheme="majorHAnsi" w:cstheme="minorHAnsi"/>
          <w:sz w:val="22"/>
          <w:szCs w:val="22"/>
        </w:rPr>
        <w:t xml:space="preserve"> </w:t>
      </w:r>
      <w:r w:rsidR="00187339">
        <w:rPr>
          <w:rFonts w:asciiTheme="majorHAnsi" w:hAnsiTheme="majorHAnsi" w:cstheme="minorHAnsi"/>
          <w:sz w:val="22"/>
          <w:szCs w:val="22"/>
        </w:rPr>
        <w:t>will</w:t>
      </w:r>
      <w:r w:rsidR="00993DEE" w:rsidRPr="00EB54AB">
        <w:rPr>
          <w:rFonts w:asciiTheme="majorHAnsi" w:hAnsiTheme="majorHAnsi" w:cstheme="minorHAnsi"/>
          <w:sz w:val="22"/>
          <w:szCs w:val="22"/>
        </w:rPr>
        <w:t xml:space="preserve"> als</w:t>
      </w:r>
      <w:r w:rsidR="003364A7" w:rsidRPr="00EB54AB">
        <w:rPr>
          <w:rFonts w:asciiTheme="majorHAnsi" w:hAnsiTheme="majorHAnsi" w:cstheme="minorHAnsi"/>
          <w:sz w:val="22"/>
          <w:szCs w:val="22"/>
        </w:rPr>
        <w:t>o</w:t>
      </w:r>
      <w:r w:rsidR="00993DEE" w:rsidRPr="00EB54AB">
        <w:rPr>
          <w:rFonts w:asciiTheme="majorHAnsi" w:hAnsiTheme="majorHAnsi" w:cstheme="minorHAnsi"/>
          <w:sz w:val="22"/>
          <w:szCs w:val="22"/>
        </w:rPr>
        <w:t xml:space="preserve"> support training </w:t>
      </w:r>
      <w:r w:rsidR="00EB54AB" w:rsidRPr="00EB54AB">
        <w:rPr>
          <w:rFonts w:asciiTheme="majorHAnsi" w:hAnsiTheme="majorHAnsi" w:cstheme="minorHAnsi"/>
          <w:sz w:val="22"/>
          <w:szCs w:val="22"/>
        </w:rPr>
        <w:t xml:space="preserve">in the use of these guidelines </w:t>
      </w:r>
      <w:r w:rsidR="00993DEE" w:rsidRPr="00EB54AB">
        <w:rPr>
          <w:rFonts w:asciiTheme="majorHAnsi" w:hAnsiTheme="majorHAnsi" w:cstheme="minorHAnsi"/>
          <w:sz w:val="22"/>
          <w:szCs w:val="22"/>
        </w:rPr>
        <w:t>for sector leaders</w:t>
      </w:r>
      <w:r w:rsidR="00EB54AB" w:rsidRPr="00EB54AB">
        <w:rPr>
          <w:rFonts w:asciiTheme="majorHAnsi" w:hAnsiTheme="majorHAnsi" w:cstheme="minorHAnsi"/>
          <w:sz w:val="22"/>
          <w:szCs w:val="22"/>
        </w:rPr>
        <w:t>,</w:t>
      </w:r>
      <w:r w:rsidR="00993DEE" w:rsidRPr="00EB54AB">
        <w:rPr>
          <w:rFonts w:asciiTheme="majorHAnsi" w:hAnsiTheme="majorHAnsi" w:cstheme="minorHAnsi"/>
          <w:sz w:val="22"/>
          <w:szCs w:val="22"/>
        </w:rPr>
        <w:t xml:space="preserve"> </w:t>
      </w:r>
      <w:r w:rsidR="00A103EF" w:rsidRPr="00EB54AB">
        <w:rPr>
          <w:rFonts w:asciiTheme="majorHAnsi" w:hAnsiTheme="majorHAnsi" w:cstheme="minorHAnsi"/>
          <w:sz w:val="22"/>
          <w:szCs w:val="22"/>
        </w:rPr>
        <w:t>principals,</w:t>
      </w:r>
      <w:r w:rsidR="00993DEE" w:rsidRPr="00EB54AB">
        <w:rPr>
          <w:rFonts w:asciiTheme="majorHAnsi" w:hAnsiTheme="majorHAnsi" w:cstheme="minorHAnsi"/>
          <w:sz w:val="22"/>
          <w:szCs w:val="22"/>
        </w:rPr>
        <w:t xml:space="preserve"> and teachers in </w:t>
      </w:r>
      <w:r w:rsidR="00187339">
        <w:rPr>
          <w:rFonts w:asciiTheme="majorHAnsi" w:hAnsiTheme="majorHAnsi" w:cstheme="minorHAnsi"/>
          <w:sz w:val="22"/>
          <w:szCs w:val="22"/>
        </w:rPr>
        <w:t>target</w:t>
      </w:r>
      <w:r w:rsidR="00993DEE" w:rsidRPr="00EB54AB">
        <w:rPr>
          <w:rFonts w:asciiTheme="majorHAnsi" w:hAnsiTheme="majorHAnsi" w:cstheme="minorHAnsi"/>
          <w:sz w:val="22"/>
          <w:szCs w:val="22"/>
        </w:rPr>
        <w:t xml:space="preserve"> districts.</w:t>
      </w:r>
    </w:p>
    <w:p w14:paraId="46A1970A" w14:textId="0A18CD4E" w:rsidR="00ED705E" w:rsidRDefault="00ED705E" w:rsidP="00B86A7F">
      <w:pPr>
        <w:pStyle w:val="BodyText"/>
        <w:spacing w:after="120" w:line="281" w:lineRule="auto"/>
        <w:rPr>
          <w:rFonts w:asciiTheme="majorHAnsi" w:hAnsiTheme="majorHAnsi" w:cstheme="majorHAnsi"/>
          <w:sz w:val="22"/>
          <w:szCs w:val="22"/>
        </w:rPr>
      </w:pPr>
      <w:r w:rsidRPr="00EB54AB">
        <w:rPr>
          <w:rFonts w:asciiTheme="majorHAnsi" w:hAnsiTheme="majorHAnsi" w:cstheme="majorHAnsi"/>
          <w:sz w:val="22"/>
          <w:szCs w:val="22"/>
        </w:rPr>
        <w:t xml:space="preserve">At school level, the program </w:t>
      </w:r>
      <w:r w:rsidR="00EB54AB">
        <w:rPr>
          <w:rFonts w:asciiTheme="majorHAnsi" w:hAnsiTheme="majorHAnsi" w:cstheme="majorHAnsi"/>
          <w:sz w:val="22"/>
          <w:szCs w:val="22"/>
        </w:rPr>
        <w:t>will</w:t>
      </w:r>
      <w:r w:rsidRPr="00EB54AB">
        <w:rPr>
          <w:rFonts w:asciiTheme="majorHAnsi" w:hAnsiTheme="majorHAnsi" w:cstheme="majorHAnsi"/>
          <w:sz w:val="22"/>
          <w:szCs w:val="22"/>
        </w:rPr>
        <w:t xml:space="preserve"> work with the </w:t>
      </w:r>
      <w:r w:rsidRPr="00EB54AB">
        <w:rPr>
          <w:rFonts w:asciiTheme="majorHAnsi" w:hAnsiTheme="majorHAnsi" w:cstheme="majorHAnsi"/>
          <w:i/>
          <w:iCs/>
          <w:sz w:val="22"/>
          <w:szCs w:val="22"/>
        </w:rPr>
        <w:t>Dinas Pendidikan</w:t>
      </w:r>
      <w:r w:rsidRPr="00EB54AB">
        <w:rPr>
          <w:rFonts w:asciiTheme="majorHAnsi" w:hAnsiTheme="majorHAnsi" w:cstheme="majorHAnsi"/>
          <w:sz w:val="22"/>
          <w:szCs w:val="22"/>
        </w:rPr>
        <w:t>, local gender CSO</w:t>
      </w:r>
      <w:r w:rsidR="00187339">
        <w:rPr>
          <w:rFonts w:asciiTheme="majorHAnsi" w:hAnsiTheme="majorHAnsi" w:cstheme="majorHAnsi"/>
          <w:sz w:val="22"/>
          <w:szCs w:val="22"/>
        </w:rPr>
        <w:t>s</w:t>
      </w:r>
      <w:r w:rsidR="001E6D1D">
        <w:rPr>
          <w:rFonts w:asciiTheme="majorHAnsi" w:hAnsiTheme="majorHAnsi" w:cstheme="majorHAnsi"/>
          <w:sz w:val="22"/>
          <w:szCs w:val="22"/>
        </w:rPr>
        <w:t xml:space="preserve"> and OPD</w:t>
      </w:r>
      <w:r w:rsidR="00187339">
        <w:rPr>
          <w:rFonts w:asciiTheme="majorHAnsi" w:hAnsiTheme="majorHAnsi" w:cstheme="majorHAnsi"/>
          <w:sz w:val="22"/>
          <w:szCs w:val="22"/>
        </w:rPr>
        <w:t>s</w:t>
      </w:r>
      <w:r w:rsidR="001E6D1D">
        <w:rPr>
          <w:rFonts w:asciiTheme="majorHAnsi" w:hAnsiTheme="majorHAnsi" w:cstheme="majorHAnsi"/>
          <w:sz w:val="22"/>
          <w:szCs w:val="22"/>
        </w:rPr>
        <w:t>,</w:t>
      </w:r>
      <w:r w:rsidRPr="00EB54AB">
        <w:rPr>
          <w:rFonts w:asciiTheme="majorHAnsi" w:hAnsiTheme="majorHAnsi" w:cstheme="majorHAnsi"/>
          <w:sz w:val="22"/>
          <w:szCs w:val="22"/>
        </w:rPr>
        <w:t xml:space="preserve"> and </w:t>
      </w:r>
      <w:proofErr w:type="spellStart"/>
      <w:r w:rsidR="004533F4">
        <w:rPr>
          <w:rFonts w:asciiTheme="majorHAnsi" w:hAnsiTheme="majorHAnsi" w:cstheme="majorHAnsi"/>
          <w:i/>
          <w:iCs/>
          <w:sz w:val="22"/>
          <w:szCs w:val="22"/>
        </w:rPr>
        <w:t>sekolah</w:t>
      </w:r>
      <w:proofErr w:type="spellEnd"/>
      <w:r w:rsidR="004533F4">
        <w:rPr>
          <w:rFonts w:asciiTheme="majorHAnsi" w:hAnsiTheme="majorHAnsi" w:cstheme="majorHAnsi"/>
          <w:i/>
          <w:iCs/>
          <w:sz w:val="22"/>
          <w:szCs w:val="22"/>
        </w:rPr>
        <w:t xml:space="preserve"> </w:t>
      </w:r>
      <w:proofErr w:type="spellStart"/>
      <w:r w:rsidR="004533F4">
        <w:rPr>
          <w:rFonts w:asciiTheme="majorHAnsi" w:hAnsiTheme="majorHAnsi" w:cstheme="majorHAnsi"/>
          <w:i/>
          <w:iCs/>
          <w:sz w:val="22"/>
          <w:szCs w:val="22"/>
        </w:rPr>
        <w:t>penggerak</w:t>
      </w:r>
      <w:proofErr w:type="spellEnd"/>
      <w:r w:rsidRPr="00EB54AB">
        <w:rPr>
          <w:rFonts w:asciiTheme="majorHAnsi" w:hAnsiTheme="majorHAnsi" w:cstheme="majorHAnsi"/>
          <w:sz w:val="22"/>
          <w:szCs w:val="22"/>
        </w:rPr>
        <w:t xml:space="preserve"> in partner districts to transform the current INOVASI-supported gender-sensitive school model into a gender empowerment model. Young adolescents, as they are</w:t>
      </w:r>
      <w:r w:rsidRPr="00974377">
        <w:rPr>
          <w:rFonts w:asciiTheme="majorHAnsi" w:hAnsiTheme="majorHAnsi" w:cstheme="majorHAnsi"/>
          <w:sz w:val="22"/>
          <w:szCs w:val="22"/>
        </w:rPr>
        <w:t xml:space="preserve"> in Grade 6, should have access to basic education about their bodies and their rights</w:t>
      </w:r>
      <w:r w:rsidR="00AD2F4F" w:rsidRPr="00974377">
        <w:rPr>
          <w:rFonts w:asciiTheme="majorHAnsi" w:hAnsiTheme="majorHAnsi" w:cstheme="majorHAnsi"/>
          <w:sz w:val="22"/>
          <w:szCs w:val="22"/>
        </w:rPr>
        <w:t>,</w:t>
      </w:r>
      <w:r w:rsidRPr="00974377">
        <w:rPr>
          <w:rFonts w:asciiTheme="majorHAnsi" w:hAnsiTheme="majorHAnsi" w:cstheme="majorHAnsi"/>
          <w:sz w:val="22"/>
          <w:szCs w:val="22"/>
        </w:rPr>
        <w:t xml:space="preserve"> to protect them against predatory behaviours</w:t>
      </w:r>
      <w:r w:rsidR="00EB54AB">
        <w:rPr>
          <w:rFonts w:asciiTheme="majorHAnsi" w:hAnsiTheme="majorHAnsi" w:cstheme="majorHAnsi"/>
          <w:sz w:val="22"/>
          <w:szCs w:val="22"/>
        </w:rPr>
        <w:t xml:space="preserve">, </w:t>
      </w:r>
      <w:r w:rsidRPr="00974377">
        <w:rPr>
          <w:rFonts w:asciiTheme="majorHAnsi" w:hAnsiTheme="majorHAnsi" w:cstheme="majorHAnsi"/>
          <w:sz w:val="22"/>
          <w:szCs w:val="22"/>
        </w:rPr>
        <w:t xml:space="preserve">often </w:t>
      </w:r>
      <w:proofErr w:type="gramStart"/>
      <w:r w:rsidRPr="00974377">
        <w:rPr>
          <w:rFonts w:asciiTheme="majorHAnsi" w:hAnsiTheme="majorHAnsi" w:cstheme="majorHAnsi"/>
          <w:sz w:val="22"/>
          <w:szCs w:val="22"/>
        </w:rPr>
        <w:t>on the basis of</w:t>
      </w:r>
      <w:proofErr w:type="gramEnd"/>
      <w:r w:rsidRPr="00974377">
        <w:rPr>
          <w:rFonts w:asciiTheme="majorHAnsi" w:hAnsiTheme="majorHAnsi" w:cstheme="majorHAnsi"/>
          <w:sz w:val="22"/>
          <w:szCs w:val="22"/>
        </w:rPr>
        <w:t xml:space="preserve"> their ignorance in sexual relationships. A program for upper primary grades such as UNESCO’s </w:t>
      </w:r>
      <w:r w:rsidR="00EB54AB">
        <w:rPr>
          <w:rFonts w:asciiTheme="majorHAnsi" w:hAnsiTheme="majorHAnsi" w:cstheme="majorHAnsi"/>
          <w:sz w:val="22"/>
          <w:szCs w:val="22"/>
        </w:rPr>
        <w:t>‘</w:t>
      </w:r>
      <w:r w:rsidRPr="00974377">
        <w:rPr>
          <w:rFonts w:asciiTheme="majorHAnsi" w:hAnsiTheme="majorHAnsi" w:cstheme="majorHAnsi"/>
          <w:sz w:val="22"/>
          <w:szCs w:val="22"/>
        </w:rPr>
        <w:t>Connect with Respect</w:t>
      </w:r>
      <w:r w:rsidR="00EB54AB">
        <w:rPr>
          <w:rFonts w:asciiTheme="majorHAnsi" w:hAnsiTheme="majorHAnsi" w:cstheme="majorHAnsi"/>
          <w:sz w:val="22"/>
          <w:szCs w:val="22"/>
        </w:rPr>
        <w:t>’</w:t>
      </w:r>
      <w:r w:rsidRPr="00974377">
        <w:rPr>
          <w:rFonts w:asciiTheme="majorHAnsi" w:hAnsiTheme="majorHAnsi" w:cstheme="majorHAnsi"/>
          <w:sz w:val="22"/>
          <w:szCs w:val="22"/>
        </w:rPr>
        <w:t xml:space="preserve"> could be jointly developed with </w:t>
      </w:r>
      <w:proofErr w:type="spellStart"/>
      <w:r w:rsidRPr="00974377">
        <w:rPr>
          <w:rFonts w:asciiTheme="majorHAnsi" w:hAnsiTheme="majorHAnsi" w:cstheme="majorHAnsi"/>
          <w:i/>
          <w:iCs/>
          <w:sz w:val="22"/>
          <w:szCs w:val="22"/>
        </w:rPr>
        <w:t>Puskesmas</w:t>
      </w:r>
      <w:proofErr w:type="spellEnd"/>
      <w:r w:rsidRPr="00974377">
        <w:rPr>
          <w:rFonts w:asciiTheme="majorHAnsi" w:hAnsiTheme="majorHAnsi" w:cstheme="majorHAnsi"/>
          <w:sz w:val="22"/>
          <w:szCs w:val="22"/>
        </w:rPr>
        <w:t xml:space="preserve">, gender CSOs and women’s community groups, </w:t>
      </w:r>
      <w:r w:rsidR="0010796F">
        <w:rPr>
          <w:rFonts w:asciiTheme="majorHAnsi" w:hAnsiTheme="majorHAnsi" w:cstheme="majorHAnsi"/>
          <w:sz w:val="22"/>
          <w:szCs w:val="22"/>
        </w:rPr>
        <w:t>with</w:t>
      </w:r>
      <w:r w:rsidR="003364A7">
        <w:rPr>
          <w:rFonts w:asciiTheme="majorHAnsi" w:hAnsiTheme="majorHAnsi" w:cstheme="majorHAnsi"/>
          <w:sz w:val="22"/>
          <w:szCs w:val="22"/>
        </w:rPr>
        <w:t xml:space="preserve"> input from a diverse group of young people in the district</w:t>
      </w:r>
      <w:r w:rsidR="00221415">
        <w:rPr>
          <w:rFonts w:asciiTheme="majorHAnsi" w:hAnsiTheme="majorHAnsi" w:cstheme="majorHAnsi"/>
          <w:sz w:val="22"/>
          <w:szCs w:val="22"/>
        </w:rPr>
        <w:t>,</w:t>
      </w:r>
      <w:r w:rsidR="003364A7">
        <w:rPr>
          <w:rFonts w:asciiTheme="majorHAnsi" w:hAnsiTheme="majorHAnsi" w:cstheme="majorHAnsi"/>
          <w:sz w:val="22"/>
          <w:szCs w:val="22"/>
        </w:rPr>
        <w:t xml:space="preserve"> </w:t>
      </w:r>
      <w:r w:rsidRPr="00974377">
        <w:rPr>
          <w:rFonts w:asciiTheme="majorHAnsi" w:hAnsiTheme="majorHAnsi" w:cstheme="majorHAnsi"/>
          <w:sz w:val="22"/>
          <w:szCs w:val="22"/>
        </w:rPr>
        <w:t xml:space="preserve">and integrated into the school’s curriculum, either in </w:t>
      </w:r>
      <w:r w:rsidR="00AD2F4F" w:rsidRPr="00974377">
        <w:rPr>
          <w:rFonts w:asciiTheme="majorHAnsi" w:hAnsiTheme="majorHAnsi" w:cstheme="majorHAnsi"/>
          <w:sz w:val="22"/>
          <w:szCs w:val="22"/>
        </w:rPr>
        <w:t xml:space="preserve">the </w:t>
      </w:r>
      <w:r w:rsidRPr="00974377">
        <w:rPr>
          <w:rFonts w:asciiTheme="majorHAnsi" w:hAnsiTheme="majorHAnsi" w:cstheme="majorHAnsi"/>
          <w:sz w:val="22"/>
          <w:szCs w:val="22"/>
        </w:rPr>
        <w:t xml:space="preserve">character education program or the science curriculum. In addition, identifying </w:t>
      </w:r>
      <w:r w:rsidRPr="00974377">
        <w:rPr>
          <w:rFonts w:asciiTheme="majorHAnsi" w:hAnsiTheme="majorHAnsi" w:cstheme="majorHAnsi"/>
          <w:sz w:val="22"/>
          <w:szCs w:val="22"/>
        </w:rPr>
        <w:lastRenderedPageBreak/>
        <w:t xml:space="preserve">gender stereotyping in texts </w:t>
      </w:r>
      <w:r w:rsidR="00EB54AB">
        <w:rPr>
          <w:rFonts w:asciiTheme="majorHAnsi" w:hAnsiTheme="majorHAnsi" w:cstheme="majorHAnsi"/>
          <w:sz w:val="22"/>
          <w:szCs w:val="22"/>
        </w:rPr>
        <w:t>-</w:t>
      </w:r>
      <w:r w:rsidR="00027062" w:rsidRPr="00974377">
        <w:rPr>
          <w:rFonts w:asciiTheme="majorHAnsi" w:hAnsiTheme="majorHAnsi" w:cstheme="majorHAnsi"/>
          <w:sz w:val="22"/>
          <w:szCs w:val="22"/>
        </w:rPr>
        <w:t xml:space="preserve"> already </w:t>
      </w:r>
      <w:r w:rsidR="00AD2F4F" w:rsidRPr="00974377">
        <w:rPr>
          <w:rFonts w:asciiTheme="majorHAnsi" w:hAnsiTheme="majorHAnsi" w:cstheme="majorHAnsi"/>
          <w:sz w:val="22"/>
          <w:szCs w:val="22"/>
        </w:rPr>
        <w:t>trialled in INOVASI’s gender</w:t>
      </w:r>
      <w:r w:rsidR="0010796F">
        <w:rPr>
          <w:rFonts w:asciiTheme="majorHAnsi" w:hAnsiTheme="majorHAnsi" w:cstheme="majorHAnsi"/>
          <w:sz w:val="22"/>
          <w:szCs w:val="22"/>
        </w:rPr>
        <w:t>-</w:t>
      </w:r>
      <w:r w:rsidR="00AD2F4F" w:rsidRPr="00974377">
        <w:rPr>
          <w:rFonts w:asciiTheme="majorHAnsi" w:hAnsiTheme="majorHAnsi" w:cstheme="majorHAnsi"/>
          <w:sz w:val="22"/>
          <w:szCs w:val="22"/>
        </w:rPr>
        <w:t>sensitive school model</w:t>
      </w:r>
      <w:r w:rsidR="00EB54AB">
        <w:rPr>
          <w:rFonts w:asciiTheme="majorHAnsi" w:hAnsiTheme="majorHAnsi" w:cstheme="majorHAnsi"/>
          <w:sz w:val="22"/>
          <w:szCs w:val="22"/>
        </w:rPr>
        <w:t xml:space="preserve"> - </w:t>
      </w:r>
      <w:r w:rsidRPr="00974377">
        <w:rPr>
          <w:rFonts w:asciiTheme="majorHAnsi" w:hAnsiTheme="majorHAnsi" w:cstheme="majorHAnsi"/>
          <w:sz w:val="22"/>
          <w:szCs w:val="22"/>
        </w:rPr>
        <w:t xml:space="preserve">could be mainstreamed for students. </w:t>
      </w:r>
      <w:r w:rsidR="00AD2F4F" w:rsidRPr="00974377">
        <w:rPr>
          <w:rFonts w:asciiTheme="majorHAnsi" w:hAnsiTheme="majorHAnsi" w:cstheme="majorHAnsi"/>
          <w:sz w:val="22"/>
          <w:szCs w:val="22"/>
        </w:rPr>
        <w:t>Capacity for analysing how texts</w:t>
      </w:r>
      <w:r w:rsidR="008637C1">
        <w:rPr>
          <w:rFonts w:asciiTheme="majorHAnsi" w:hAnsiTheme="majorHAnsi" w:cstheme="majorHAnsi"/>
          <w:sz w:val="22"/>
          <w:szCs w:val="22"/>
        </w:rPr>
        <w:t>,</w:t>
      </w:r>
      <w:r w:rsidR="00AD2F4F" w:rsidRPr="00974377">
        <w:rPr>
          <w:rFonts w:asciiTheme="majorHAnsi" w:hAnsiTheme="majorHAnsi" w:cstheme="majorHAnsi"/>
          <w:sz w:val="22"/>
          <w:szCs w:val="22"/>
        </w:rPr>
        <w:t xml:space="preserve"> graphics </w:t>
      </w:r>
      <w:r w:rsidR="008637C1">
        <w:rPr>
          <w:rFonts w:asciiTheme="majorHAnsi" w:hAnsiTheme="majorHAnsi" w:cstheme="majorHAnsi"/>
          <w:sz w:val="22"/>
          <w:szCs w:val="22"/>
        </w:rPr>
        <w:t xml:space="preserve">and social media </w:t>
      </w:r>
      <w:r w:rsidR="00AD2F4F" w:rsidRPr="00974377">
        <w:rPr>
          <w:rFonts w:asciiTheme="majorHAnsi" w:hAnsiTheme="majorHAnsi" w:cstheme="majorHAnsi"/>
          <w:sz w:val="22"/>
          <w:szCs w:val="22"/>
        </w:rPr>
        <w:t xml:space="preserve">reinforce stereotypes and unequal relationships </w:t>
      </w:r>
      <w:r w:rsidRPr="00974377">
        <w:rPr>
          <w:rFonts w:asciiTheme="majorHAnsi" w:hAnsiTheme="majorHAnsi" w:cstheme="majorHAnsi"/>
          <w:sz w:val="22"/>
          <w:szCs w:val="22"/>
        </w:rPr>
        <w:t>is central to the critical literacy competencies of the Bahasa Indonesia curriculum</w:t>
      </w:r>
      <w:r w:rsidR="00AD2F4F" w:rsidRPr="00974377">
        <w:rPr>
          <w:rFonts w:asciiTheme="majorHAnsi" w:hAnsiTheme="majorHAnsi" w:cstheme="majorHAnsi"/>
          <w:sz w:val="22"/>
          <w:szCs w:val="22"/>
        </w:rPr>
        <w:t xml:space="preserve"> in the upper grades of primary school</w:t>
      </w:r>
      <w:r w:rsidR="00027062" w:rsidRPr="00974377">
        <w:rPr>
          <w:rFonts w:asciiTheme="majorHAnsi" w:hAnsiTheme="majorHAnsi" w:cstheme="majorHAnsi"/>
          <w:sz w:val="22"/>
          <w:szCs w:val="22"/>
        </w:rPr>
        <w:t>,</w:t>
      </w:r>
      <w:r w:rsidRPr="00974377">
        <w:rPr>
          <w:rFonts w:asciiTheme="majorHAnsi" w:hAnsiTheme="majorHAnsi" w:cstheme="majorHAnsi"/>
          <w:sz w:val="22"/>
          <w:szCs w:val="22"/>
        </w:rPr>
        <w:t xml:space="preserve"> and an effective way to prevent</w:t>
      </w:r>
      <w:r w:rsidR="00027062" w:rsidRPr="00974377">
        <w:rPr>
          <w:rFonts w:asciiTheme="majorHAnsi" w:hAnsiTheme="majorHAnsi" w:cstheme="majorHAnsi"/>
          <w:sz w:val="22"/>
          <w:szCs w:val="22"/>
        </w:rPr>
        <w:t xml:space="preserve"> </w:t>
      </w:r>
      <w:r w:rsidR="003364A7">
        <w:rPr>
          <w:rFonts w:asciiTheme="majorHAnsi" w:hAnsiTheme="majorHAnsi" w:cstheme="majorHAnsi"/>
          <w:sz w:val="22"/>
          <w:szCs w:val="22"/>
        </w:rPr>
        <w:t xml:space="preserve">restrictive or </w:t>
      </w:r>
      <w:r w:rsidRPr="00974377">
        <w:rPr>
          <w:rFonts w:asciiTheme="majorHAnsi" w:hAnsiTheme="majorHAnsi" w:cstheme="majorHAnsi"/>
          <w:sz w:val="22"/>
          <w:szCs w:val="22"/>
        </w:rPr>
        <w:t xml:space="preserve">demeaning </w:t>
      </w:r>
      <w:r w:rsidR="003364A7">
        <w:rPr>
          <w:rFonts w:asciiTheme="majorHAnsi" w:hAnsiTheme="majorHAnsi" w:cstheme="majorHAnsi"/>
          <w:sz w:val="22"/>
          <w:szCs w:val="22"/>
        </w:rPr>
        <w:t xml:space="preserve">gender </w:t>
      </w:r>
      <w:r w:rsidRPr="00974377">
        <w:rPr>
          <w:rFonts w:asciiTheme="majorHAnsi" w:hAnsiTheme="majorHAnsi" w:cstheme="majorHAnsi"/>
          <w:sz w:val="22"/>
          <w:szCs w:val="22"/>
        </w:rPr>
        <w:t xml:space="preserve">norms taking root in the minds of children. </w:t>
      </w:r>
    </w:p>
    <w:p w14:paraId="2964934F" w14:textId="04D7558B" w:rsidR="00761FE2" w:rsidRPr="00020A29" w:rsidRDefault="004A4618" w:rsidP="00B86A7F">
      <w:pPr>
        <w:pStyle w:val="BodyText"/>
        <w:spacing w:after="120" w:line="281" w:lineRule="auto"/>
        <w:rPr>
          <w:rFonts w:asciiTheme="majorHAnsi" w:hAnsiTheme="majorHAnsi" w:cstheme="majorHAnsi"/>
          <w:sz w:val="22"/>
          <w:szCs w:val="22"/>
        </w:rPr>
      </w:pPr>
      <w:r>
        <w:rPr>
          <w:rFonts w:asciiTheme="majorHAnsi" w:hAnsiTheme="majorHAnsi" w:cstheme="majorHAnsi"/>
          <w:sz w:val="22"/>
          <w:szCs w:val="22"/>
        </w:rPr>
        <w:t xml:space="preserve">The </w:t>
      </w:r>
      <w:r w:rsidR="001E6D1D">
        <w:rPr>
          <w:rFonts w:asciiTheme="majorHAnsi" w:hAnsiTheme="majorHAnsi" w:cstheme="majorHAnsi"/>
          <w:sz w:val="22"/>
          <w:szCs w:val="22"/>
        </w:rPr>
        <w:t xml:space="preserve">Annex </w:t>
      </w:r>
      <w:r w:rsidR="00475A9D">
        <w:rPr>
          <w:rFonts w:asciiTheme="majorHAnsi" w:hAnsiTheme="majorHAnsi" w:cstheme="majorHAnsi"/>
          <w:sz w:val="22"/>
          <w:szCs w:val="22"/>
        </w:rPr>
        <w:t>1</w:t>
      </w:r>
      <w:r w:rsidR="001E6D1D">
        <w:rPr>
          <w:rFonts w:asciiTheme="majorHAnsi" w:hAnsiTheme="majorHAnsi" w:cstheme="majorHAnsi"/>
          <w:sz w:val="22"/>
          <w:szCs w:val="22"/>
        </w:rPr>
        <w:t xml:space="preserve"> on </w:t>
      </w:r>
      <w:r>
        <w:rPr>
          <w:rFonts w:asciiTheme="majorHAnsi" w:hAnsiTheme="majorHAnsi" w:cstheme="majorHAnsi"/>
          <w:sz w:val="22"/>
          <w:szCs w:val="22"/>
        </w:rPr>
        <w:t>d</w:t>
      </w:r>
      <w:r w:rsidR="001E6D1D">
        <w:rPr>
          <w:rFonts w:asciiTheme="majorHAnsi" w:hAnsiTheme="majorHAnsi" w:cstheme="majorHAnsi"/>
          <w:sz w:val="22"/>
          <w:szCs w:val="22"/>
        </w:rPr>
        <w:t xml:space="preserve">istrict </w:t>
      </w:r>
      <w:r>
        <w:rPr>
          <w:rFonts w:asciiTheme="majorHAnsi" w:hAnsiTheme="majorHAnsi" w:cstheme="majorHAnsi"/>
          <w:sz w:val="22"/>
          <w:szCs w:val="22"/>
        </w:rPr>
        <w:t>e</w:t>
      </w:r>
      <w:r w:rsidR="001E6D1D">
        <w:rPr>
          <w:rFonts w:asciiTheme="majorHAnsi" w:hAnsiTheme="majorHAnsi" w:cstheme="majorHAnsi"/>
          <w:sz w:val="22"/>
          <w:szCs w:val="22"/>
        </w:rPr>
        <w:t>cosystem</w:t>
      </w:r>
      <w:r>
        <w:rPr>
          <w:rFonts w:asciiTheme="majorHAnsi" w:hAnsiTheme="majorHAnsi" w:cstheme="majorHAnsi"/>
          <w:sz w:val="22"/>
          <w:szCs w:val="22"/>
        </w:rPr>
        <w:t>s</w:t>
      </w:r>
      <w:r w:rsidR="001E6D1D">
        <w:rPr>
          <w:rFonts w:asciiTheme="majorHAnsi" w:hAnsiTheme="majorHAnsi" w:cstheme="majorHAnsi"/>
          <w:sz w:val="22"/>
          <w:szCs w:val="22"/>
        </w:rPr>
        <w:t xml:space="preserve"> </w:t>
      </w:r>
      <w:r w:rsidR="00020A29">
        <w:rPr>
          <w:rFonts w:asciiTheme="majorHAnsi" w:hAnsiTheme="majorHAnsi" w:cstheme="majorHAnsi"/>
          <w:sz w:val="22"/>
          <w:szCs w:val="22"/>
        </w:rPr>
        <w:t>suggests</w:t>
      </w:r>
      <w:r w:rsidR="001E6D1D">
        <w:rPr>
          <w:rFonts w:asciiTheme="majorHAnsi" w:hAnsiTheme="majorHAnsi" w:cstheme="majorHAnsi"/>
          <w:sz w:val="22"/>
          <w:szCs w:val="22"/>
        </w:rPr>
        <w:t xml:space="preserve"> gender CSOs and OPD</w:t>
      </w:r>
      <w:r w:rsidR="00187339">
        <w:rPr>
          <w:rFonts w:asciiTheme="majorHAnsi" w:hAnsiTheme="majorHAnsi" w:cstheme="majorHAnsi"/>
          <w:sz w:val="22"/>
          <w:szCs w:val="22"/>
        </w:rPr>
        <w:t>s</w:t>
      </w:r>
      <w:r w:rsidR="001E6D1D">
        <w:rPr>
          <w:rFonts w:asciiTheme="majorHAnsi" w:hAnsiTheme="majorHAnsi" w:cstheme="majorHAnsi"/>
          <w:sz w:val="22"/>
          <w:szCs w:val="22"/>
        </w:rPr>
        <w:t xml:space="preserve"> who </w:t>
      </w:r>
      <w:r w:rsidR="00020A29">
        <w:rPr>
          <w:rFonts w:asciiTheme="majorHAnsi" w:hAnsiTheme="majorHAnsi" w:cstheme="majorHAnsi"/>
          <w:sz w:val="22"/>
          <w:szCs w:val="22"/>
        </w:rPr>
        <w:t>could</w:t>
      </w:r>
      <w:r w:rsidR="001E6D1D">
        <w:rPr>
          <w:rFonts w:asciiTheme="majorHAnsi" w:hAnsiTheme="majorHAnsi" w:cstheme="majorHAnsi"/>
          <w:sz w:val="22"/>
          <w:szCs w:val="22"/>
        </w:rPr>
        <w:t xml:space="preserve"> partner </w:t>
      </w:r>
      <w:r w:rsidR="00020A29">
        <w:rPr>
          <w:rFonts w:asciiTheme="majorHAnsi" w:hAnsiTheme="majorHAnsi" w:cstheme="majorHAnsi"/>
          <w:sz w:val="22"/>
          <w:szCs w:val="22"/>
        </w:rPr>
        <w:t>with</w:t>
      </w:r>
      <w:r w:rsidR="001E6D1D">
        <w:rPr>
          <w:rFonts w:asciiTheme="majorHAnsi" w:hAnsiTheme="majorHAnsi" w:cstheme="majorHAnsi"/>
          <w:sz w:val="22"/>
          <w:szCs w:val="22"/>
        </w:rPr>
        <w:t xml:space="preserve"> Dinas Pendidikan </w:t>
      </w:r>
      <w:r w:rsidR="00020A29">
        <w:rPr>
          <w:rFonts w:asciiTheme="majorHAnsi" w:hAnsiTheme="majorHAnsi" w:cstheme="majorHAnsi"/>
          <w:sz w:val="22"/>
          <w:szCs w:val="22"/>
        </w:rPr>
        <w:t xml:space="preserve">to </w:t>
      </w:r>
      <w:r w:rsidR="001E6D1D">
        <w:rPr>
          <w:rFonts w:asciiTheme="majorHAnsi" w:hAnsiTheme="majorHAnsi" w:cstheme="majorHAnsi"/>
          <w:sz w:val="22"/>
          <w:szCs w:val="22"/>
        </w:rPr>
        <w:t xml:space="preserve">help school communities identify </w:t>
      </w:r>
      <w:r w:rsidR="00020A29">
        <w:rPr>
          <w:rFonts w:asciiTheme="majorHAnsi" w:hAnsiTheme="majorHAnsi" w:cstheme="majorHAnsi"/>
          <w:sz w:val="22"/>
          <w:szCs w:val="22"/>
        </w:rPr>
        <w:t xml:space="preserve">and combat </w:t>
      </w:r>
      <w:r w:rsidR="00E6326A">
        <w:rPr>
          <w:rFonts w:asciiTheme="majorHAnsi" w:hAnsiTheme="majorHAnsi" w:cstheme="majorHAnsi"/>
          <w:sz w:val="22"/>
          <w:szCs w:val="22"/>
        </w:rPr>
        <w:t>discrimination</w:t>
      </w:r>
      <w:r w:rsidR="00761FE2">
        <w:rPr>
          <w:rFonts w:asciiTheme="majorHAnsi" w:hAnsiTheme="majorHAnsi" w:cstheme="majorHAnsi"/>
          <w:sz w:val="22"/>
          <w:szCs w:val="22"/>
        </w:rPr>
        <w:t>,</w:t>
      </w:r>
      <w:r w:rsidR="00E6326A">
        <w:rPr>
          <w:rFonts w:asciiTheme="majorHAnsi" w:hAnsiTheme="majorHAnsi" w:cstheme="majorHAnsi"/>
          <w:sz w:val="22"/>
          <w:szCs w:val="22"/>
        </w:rPr>
        <w:t xml:space="preserve"> sexual </w:t>
      </w:r>
      <w:r w:rsidR="00CF34B6">
        <w:rPr>
          <w:rFonts w:asciiTheme="majorHAnsi" w:hAnsiTheme="majorHAnsi" w:cstheme="majorHAnsi"/>
          <w:sz w:val="22"/>
          <w:szCs w:val="22"/>
        </w:rPr>
        <w:t>harassment,</w:t>
      </w:r>
      <w:r w:rsidR="00E6326A">
        <w:rPr>
          <w:rFonts w:asciiTheme="majorHAnsi" w:hAnsiTheme="majorHAnsi" w:cstheme="majorHAnsi"/>
          <w:sz w:val="22"/>
          <w:szCs w:val="22"/>
        </w:rPr>
        <w:t xml:space="preserve"> and violence. </w:t>
      </w:r>
      <w:r>
        <w:rPr>
          <w:rFonts w:asciiTheme="majorHAnsi" w:hAnsiTheme="majorHAnsi" w:cstheme="majorHAnsi"/>
          <w:sz w:val="22"/>
          <w:szCs w:val="22"/>
        </w:rPr>
        <w:t>Since</w:t>
      </w:r>
      <w:r w:rsidR="00E6326A">
        <w:rPr>
          <w:rFonts w:asciiTheme="majorHAnsi" w:hAnsiTheme="majorHAnsi" w:cstheme="majorHAnsi"/>
          <w:sz w:val="22"/>
          <w:szCs w:val="22"/>
        </w:rPr>
        <w:t xml:space="preserve"> these behaviours </w:t>
      </w:r>
      <w:r>
        <w:rPr>
          <w:rFonts w:asciiTheme="majorHAnsi" w:hAnsiTheme="majorHAnsi" w:cstheme="majorHAnsi"/>
          <w:sz w:val="22"/>
          <w:szCs w:val="22"/>
        </w:rPr>
        <w:t>result from</w:t>
      </w:r>
      <w:r w:rsidR="00E6326A">
        <w:rPr>
          <w:rFonts w:asciiTheme="majorHAnsi" w:hAnsiTheme="majorHAnsi" w:cstheme="majorHAnsi"/>
          <w:sz w:val="22"/>
          <w:szCs w:val="22"/>
        </w:rPr>
        <w:t xml:space="preserve"> gender norms that students and teachers </w:t>
      </w:r>
      <w:r>
        <w:rPr>
          <w:rFonts w:asciiTheme="majorHAnsi" w:hAnsiTheme="majorHAnsi" w:cstheme="majorHAnsi"/>
          <w:sz w:val="22"/>
          <w:szCs w:val="22"/>
        </w:rPr>
        <w:t xml:space="preserve">often </w:t>
      </w:r>
      <w:r w:rsidR="00E6326A">
        <w:rPr>
          <w:rFonts w:asciiTheme="majorHAnsi" w:hAnsiTheme="majorHAnsi" w:cstheme="majorHAnsi"/>
          <w:sz w:val="22"/>
          <w:szCs w:val="22"/>
        </w:rPr>
        <w:t xml:space="preserve">import from their homes and communities, advocates for change must be accepted in local </w:t>
      </w:r>
      <w:r>
        <w:rPr>
          <w:rFonts w:asciiTheme="majorHAnsi" w:hAnsiTheme="majorHAnsi" w:cstheme="majorHAnsi"/>
          <w:sz w:val="22"/>
          <w:szCs w:val="22"/>
        </w:rPr>
        <w:t xml:space="preserve">and sometimes conservative </w:t>
      </w:r>
      <w:r w:rsidR="00E6326A">
        <w:rPr>
          <w:rFonts w:asciiTheme="majorHAnsi" w:hAnsiTheme="majorHAnsi" w:cstheme="majorHAnsi"/>
          <w:sz w:val="22"/>
          <w:szCs w:val="22"/>
        </w:rPr>
        <w:t xml:space="preserve">communities. </w:t>
      </w:r>
      <w:r>
        <w:rPr>
          <w:rFonts w:asciiTheme="majorHAnsi" w:hAnsiTheme="majorHAnsi" w:cstheme="majorHAnsi"/>
          <w:sz w:val="22"/>
          <w:szCs w:val="22"/>
        </w:rPr>
        <w:t>E</w:t>
      </w:r>
      <w:r w:rsidR="00E6326A">
        <w:rPr>
          <w:rFonts w:asciiTheme="majorHAnsi" w:hAnsiTheme="majorHAnsi" w:cstheme="majorHAnsi"/>
          <w:sz w:val="22"/>
          <w:szCs w:val="22"/>
        </w:rPr>
        <w:t xml:space="preserve">xperience of advocacy </w:t>
      </w:r>
      <w:r w:rsidR="0010796F">
        <w:rPr>
          <w:rFonts w:asciiTheme="majorHAnsi" w:hAnsiTheme="majorHAnsi" w:cstheme="majorHAnsi"/>
          <w:sz w:val="22"/>
          <w:szCs w:val="22"/>
        </w:rPr>
        <w:t>successful in</w:t>
      </w:r>
      <w:r w:rsidR="00E6326A">
        <w:rPr>
          <w:rFonts w:asciiTheme="majorHAnsi" w:hAnsiTheme="majorHAnsi" w:cstheme="majorHAnsi"/>
          <w:sz w:val="22"/>
          <w:szCs w:val="22"/>
        </w:rPr>
        <w:t xml:space="preserve"> chang</w:t>
      </w:r>
      <w:r w:rsidR="0010796F">
        <w:rPr>
          <w:rFonts w:asciiTheme="majorHAnsi" w:hAnsiTheme="majorHAnsi" w:cstheme="majorHAnsi"/>
          <w:sz w:val="22"/>
          <w:szCs w:val="22"/>
        </w:rPr>
        <w:t xml:space="preserve">ing </w:t>
      </w:r>
      <w:r w:rsidR="00E6326A">
        <w:rPr>
          <w:rFonts w:asciiTheme="majorHAnsi" w:hAnsiTheme="majorHAnsi" w:cstheme="majorHAnsi"/>
          <w:sz w:val="22"/>
          <w:szCs w:val="22"/>
        </w:rPr>
        <w:t xml:space="preserve">influential norms </w:t>
      </w:r>
      <w:r>
        <w:rPr>
          <w:rFonts w:asciiTheme="majorHAnsi" w:hAnsiTheme="majorHAnsi" w:cstheme="majorHAnsi"/>
          <w:sz w:val="22"/>
          <w:szCs w:val="22"/>
        </w:rPr>
        <w:t xml:space="preserve">in Indonesia has shown </w:t>
      </w:r>
      <w:r w:rsidR="00E6326A">
        <w:rPr>
          <w:rFonts w:asciiTheme="majorHAnsi" w:hAnsiTheme="majorHAnsi" w:cstheme="majorHAnsi"/>
          <w:sz w:val="22"/>
          <w:szCs w:val="22"/>
        </w:rPr>
        <w:t>the need for leadership figures</w:t>
      </w:r>
      <w:r w:rsidR="0010796F">
        <w:rPr>
          <w:rFonts w:asciiTheme="majorHAnsi" w:hAnsiTheme="majorHAnsi" w:cstheme="majorHAnsi"/>
          <w:sz w:val="22"/>
          <w:szCs w:val="22"/>
        </w:rPr>
        <w:t xml:space="preserve"> - male or female - </w:t>
      </w:r>
      <w:r w:rsidR="00E6326A">
        <w:rPr>
          <w:rFonts w:asciiTheme="majorHAnsi" w:hAnsiTheme="majorHAnsi" w:cstheme="majorHAnsi"/>
          <w:sz w:val="22"/>
          <w:szCs w:val="22"/>
        </w:rPr>
        <w:t>to take on such a role</w:t>
      </w:r>
      <w:r>
        <w:rPr>
          <w:rFonts w:asciiTheme="majorHAnsi" w:hAnsiTheme="majorHAnsi" w:cstheme="majorHAnsi"/>
          <w:sz w:val="22"/>
          <w:szCs w:val="22"/>
        </w:rPr>
        <w:t>,</w:t>
      </w:r>
      <w:r w:rsidR="00E6326A">
        <w:rPr>
          <w:rFonts w:asciiTheme="majorHAnsi" w:hAnsiTheme="majorHAnsi" w:cstheme="majorHAnsi"/>
          <w:sz w:val="22"/>
          <w:szCs w:val="22"/>
        </w:rPr>
        <w:t xml:space="preserve"> and for affiliation with the gover</w:t>
      </w:r>
      <w:r w:rsidR="00761FE2">
        <w:rPr>
          <w:rFonts w:asciiTheme="majorHAnsi" w:hAnsiTheme="majorHAnsi" w:cstheme="majorHAnsi"/>
          <w:sz w:val="22"/>
          <w:szCs w:val="22"/>
        </w:rPr>
        <w:t>n</w:t>
      </w:r>
      <w:r w:rsidR="00E6326A">
        <w:rPr>
          <w:rFonts w:asciiTheme="majorHAnsi" w:hAnsiTheme="majorHAnsi" w:cstheme="majorHAnsi"/>
          <w:sz w:val="22"/>
          <w:szCs w:val="22"/>
        </w:rPr>
        <w:t>ment structures and processes that regulate village society.</w:t>
      </w:r>
      <w:r w:rsidR="00761FE2">
        <w:rPr>
          <w:rFonts w:asciiTheme="majorHAnsi" w:hAnsiTheme="majorHAnsi" w:cstheme="majorHAnsi"/>
          <w:sz w:val="22"/>
          <w:szCs w:val="22"/>
        </w:rPr>
        <w:t xml:space="preserve"> </w:t>
      </w:r>
      <w:r>
        <w:rPr>
          <w:rFonts w:asciiTheme="majorHAnsi" w:hAnsiTheme="majorHAnsi" w:cstheme="majorHAnsi"/>
          <w:sz w:val="22"/>
          <w:szCs w:val="22"/>
        </w:rPr>
        <w:t xml:space="preserve">For instance, </w:t>
      </w:r>
      <w:r w:rsidR="00761FE2">
        <w:rPr>
          <w:rFonts w:asciiTheme="majorHAnsi" w:hAnsiTheme="majorHAnsi" w:cstheme="majorHAnsi"/>
          <w:sz w:val="22"/>
          <w:szCs w:val="22"/>
        </w:rPr>
        <w:t xml:space="preserve">Muhammadiyah has produced </w:t>
      </w:r>
      <w:proofErr w:type="spellStart"/>
      <w:r w:rsidR="00761FE2" w:rsidRPr="004A4618">
        <w:rPr>
          <w:rFonts w:asciiTheme="majorHAnsi" w:hAnsiTheme="majorHAnsi" w:cstheme="majorHAnsi"/>
          <w:i/>
          <w:iCs/>
          <w:sz w:val="22"/>
          <w:szCs w:val="22"/>
        </w:rPr>
        <w:t>Aisyiyah</w:t>
      </w:r>
      <w:proofErr w:type="spellEnd"/>
      <w:r>
        <w:rPr>
          <w:rFonts w:asciiTheme="majorHAnsi" w:hAnsiTheme="majorHAnsi" w:cstheme="majorHAnsi"/>
          <w:sz w:val="22"/>
          <w:szCs w:val="22"/>
        </w:rPr>
        <w:t>,</w:t>
      </w:r>
      <w:r w:rsidR="00761FE2" w:rsidRPr="004A4618">
        <w:rPr>
          <w:rFonts w:asciiTheme="majorHAnsi" w:hAnsiTheme="majorHAnsi" w:cstheme="majorHAnsi"/>
          <w:sz w:val="22"/>
          <w:szCs w:val="22"/>
        </w:rPr>
        <w:t xml:space="preserve"> a women's organi</w:t>
      </w:r>
      <w:r>
        <w:rPr>
          <w:rFonts w:asciiTheme="majorHAnsi" w:hAnsiTheme="majorHAnsi" w:cstheme="majorHAnsi"/>
          <w:sz w:val="22"/>
          <w:szCs w:val="22"/>
        </w:rPr>
        <w:t>s</w:t>
      </w:r>
      <w:r w:rsidR="00761FE2" w:rsidRPr="004A4618">
        <w:rPr>
          <w:rFonts w:asciiTheme="majorHAnsi" w:hAnsiTheme="majorHAnsi" w:cstheme="majorHAnsi"/>
          <w:sz w:val="22"/>
          <w:szCs w:val="22"/>
        </w:rPr>
        <w:t>ation that works for empowerment at national down to rural levels</w:t>
      </w:r>
      <w:r>
        <w:rPr>
          <w:rFonts w:asciiTheme="majorHAnsi" w:hAnsiTheme="majorHAnsi" w:cstheme="majorHAnsi"/>
          <w:sz w:val="22"/>
          <w:szCs w:val="22"/>
        </w:rPr>
        <w:t xml:space="preserve">, that </w:t>
      </w:r>
      <w:r w:rsidR="00761FE2" w:rsidRPr="004A4618">
        <w:rPr>
          <w:rFonts w:asciiTheme="majorHAnsi" w:hAnsiTheme="majorHAnsi" w:cstheme="majorHAnsi"/>
          <w:sz w:val="22"/>
          <w:szCs w:val="22"/>
        </w:rPr>
        <w:t xml:space="preserve">have educational institutions and work to eradicate gender norm and bias. </w:t>
      </w:r>
      <w:r w:rsidR="00020A29">
        <w:rPr>
          <w:rFonts w:asciiTheme="majorHAnsi" w:hAnsiTheme="majorHAnsi" w:cstheme="majorHAnsi"/>
          <w:sz w:val="22"/>
          <w:szCs w:val="22"/>
        </w:rPr>
        <w:t>Another example is provided by</w:t>
      </w:r>
      <w:r w:rsidR="00E6326A">
        <w:rPr>
          <w:rFonts w:asciiTheme="majorHAnsi" w:hAnsiTheme="majorHAnsi" w:cstheme="majorHAnsi"/>
          <w:sz w:val="22"/>
          <w:szCs w:val="22"/>
        </w:rPr>
        <w:t xml:space="preserve"> the women’s group PKK (Family Welfare Empowerment) </w:t>
      </w:r>
      <w:r w:rsidR="00020A29">
        <w:rPr>
          <w:rFonts w:asciiTheme="majorHAnsi" w:hAnsiTheme="majorHAnsi" w:cstheme="majorHAnsi"/>
          <w:sz w:val="22"/>
          <w:szCs w:val="22"/>
        </w:rPr>
        <w:t>with whom INOVASI has worked in the past and that</w:t>
      </w:r>
      <w:r w:rsidR="00E6326A">
        <w:rPr>
          <w:rFonts w:asciiTheme="majorHAnsi" w:hAnsiTheme="majorHAnsi" w:cstheme="majorHAnsi"/>
          <w:sz w:val="22"/>
          <w:szCs w:val="22"/>
        </w:rPr>
        <w:t xml:space="preserve"> ha</w:t>
      </w:r>
      <w:r w:rsidR="00020A29">
        <w:rPr>
          <w:rFonts w:asciiTheme="majorHAnsi" w:hAnsiTheme="majorHAnsi" w:cstheme="majorHAnsi"/>
          <w:sz w:val="22"/>
          <w:szCs w:val="22"/>
        </w:rPr>
        <w:t>s</w:t>
      </w:r>
      <w:r w:rsidR="00E6326A">
        <w:rPr>
          <w:rFonts w:asciiTheme="majorHAnsi" w:hAnsiTheme="majorHAnsi" w:cstheme="majorHAnsi"/>
          <w:sz w:val="22"/>
          <w:szCs w:val="22"/>
        </w:rPr>
        <w:t xml:space="preserve"> successfully influence</w:t>
      </w:r>
      <w:r w:rsidR="00020A29">
        <w:rPr>
          <w:rFonts w:asciiTheme="majorHAnsi" w:hAnsiTheme="majorHAnsi" w:cstheme="majorHAnsi"/>
          <w:sz w:val="22"/>
          <w:szCs w:val="22"/>
        </w:rPr>
        <w:t>d</w:t>
      </w:r>
      <w:r w:rsidR="00E6326A">
        <w:rPr>
          <w:rFonts w:asciiTheme="majorHAnsi" w:hAnsiTheme="majorHAnsi" w:cstheme="majorHAnsi"/>
          <w:sz w:val="22"/>
          <w:szCs w:val="22"/>
        </w:rPr>
        <w:t xml:space="preserve"> the agenda of </w:t>
      </w:r>
      <w:r w:rsidR="00761FE2">
        <w:rPr>
          <w:rFonts w:asciiTheme="majorHAnsi" w:hAnsiTheme="majorHAnsi" w:cstheme="majorHAnsi"/>
          <w:sz w:val="22"/>
          <w:szCs w:val="22"/>
        </w:rPr>
        <w:t>government community consultations (</w:t>
      </w:r>
      <w:proofErr w:type="spellStart"/>
      <w:r w:rsidR="00761FE2">
        <w:rPr>
          <w:rFonts w:asciiTheme="majorHAnsi" w:hAnsiTheme="majorHAnsi" w:cstheme="majorHAnsi"/>
          <w:sz w:val="22"/>
          <w:szCs w:val="22"/>
        </w:rPr>
        <w:t>Musrembang</w:t>
      </w:r>
      <w:proofErr w:type="spellEnd"/>
      <w:r w:rsidR="00761FE2">
        <w:rPr>
          <w:rFonts w:asciiTheme="majorHAnsi" w:hAnsiTheme="majorHAnsi" w:cstheme="majorHAnsi"/>
          <w:sz w:val="22"/>
          <w:szCs w:val="22"/>
        </w:rPr>
        <w:t xml:space="preserve">) that feed into district planning.  </w:t>
      </w:r>
    </w:p>
    <w:p w14:paraId="402C2BA1" w14:textId="77777777" w:rsidR="00ED705E" w:rsidRPr="0094721A" w:rsidRDefault="00ED705E" w:rsidP="008D1844">
      <w:pPr>
        <w:pStyle w:val="Heading3"/>
        <w:numPr>
          <w:ilvl w:val="0"/>
          <w:numId w:val="60"/>
        </w:numPr>
        <w:rPr>
          <w:rFonts w:cstheme="majorHAnsi"/>
          <w:sz w:val="22"/>
          <w:szCs w:val="22"/>
        </w:rPr>
      </w:pPr>
      <w:r w:rsidRPr="00D86910">
        <w:rPr>
          <w:b/>
          <w:sz w:val="22"/>
          <w:szCs w:val="20"/>
        </w:rPr>
        <w:t xml:space="preserve">Supporting boys’ engagement in learning </w:t>
      </w:r>
    </w:p>
    <w:p w14:paraId="7992A6E3" w14:textId="3F0F6F73" w:rsidR="00ED705E" w:rsidRPr="00974377" w:rsidRDefault="00ED705E" w:rsidP="00B86A7F">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program could undertake ethnographic research studies into normative influences on boys’ and girls’ engagement in learning in primary classes, that substantiate the causes, </w:t>
      </w:r>
      <w:proofErr w:type="gramStart"/>
      <w:r w:rsidRPr="00974377">
        <w:rPr>
          <w:rFonts w:asciiTheme="majorHAnsi" w:hAnsiTheme="majorHAnsi" w:cstheme="majorHAnsi"/>
          <w:sz w:val="22"/>
          <w:szCs w:val="22"/>
        </w:rPr>
        <w:t>drivers</w:t>
      </w:r>
      <w:proofErr w:type="gramEnd"/>
      <w:r w:rsidRPr="00974377">
        <w:rPr>
          <w:rFonts w:asciiTheme="majorHAnsi" w:hAnsiTheme="majorHAnsi" w:cstheme="majorHAnsi"/>
          <w:sz w:val="22"/>
          <w:szCs w:val="22"/>
        </w:rPr>
        <w:t xml:space="preserve"> and relationship between levels of engagement and learning performance and provide tailored recommendations for adjusting the curriculum, pedagogy, and teacher training to support all students </w:t>
      </w:r>
      <w:r w:rsidR="00AD2F4F" w:rsidRPr="00974377">
        <w:rPr>
          <w:rFonts w:asciiTheme="majorHAnsi" w:hAnsiTheme="majorHAnsi" w:cstheme="majorHAnsi"/>
          <w:sz w:val="22"/>
          <w:szCs w:val="22"/>
        </w:rPr>
        <w:t xml:space="preserve">to </w:t>
      </w:r>
      <w:r w:rsidRPr="00974377">
        <w:rPr>
          <w:rFonts w:asciiTheme="majorHAnsi" w:hAnsiTheme="majorHAnsi" w:cstheme="majorHAnsi"/>
          <w:sz w:val="22"/>
          <w:szCs w:val="22"/>
        </w:rPr>
        <w:t>develop as autonomous learners.</w:t>
      </w:r>
    </w:p>
    <w:p w14:paraId="0A1945C8" w14:textId="57B42291" w:rsidR="00ED705E" w:rsidRPr="003965F0" w:rsidRDefault="00ED705E" w:rsidP="003965F0">
      <w:pPr>
        <w:pStyle w:val="Heading2"/>
        <w:rPr>
          <w:b/>
          <w:sz w:val="22"/>
          <w:szCs w:val="22"/>
        </w:rPr>
      </w:pPr>
      <w:r w:rsidRPr="003965F0">
        <w:rPr>
          <w:b/>
          <w:caps w:val="0"/>
          <w:sz w:val="22"/>
          <w:szCs w:val="22"/>
        </w:rPr>
        <w:t xml:space="preserve">Disability </w:t>
      </w:r>
      <w:r w:rsidR="003965F0" w:rsidRPr="003965F0">
        <w:rPr>
          <w:b/>
          <w:bCs/>
          <w:caps w:val="0"/>
          <w:sz w:val="22"/>
          <w:szCs w:val="22"/>
        </w:rPr>
        <w:t>Inclusion</w:t>
      </w:r>
    </w:p>
    <w:p w14:paraId="0696D21E" w14:textId="77777777" w:rsidR="00ED705E" w:rsidRPr="0094721A" w:rsidRDefault="00ED705E" w:rsidP="008D1844">
      <w:pPr>
        <w:pStyle w:val="Heading3"/>
        <w:numPr>
          <w:ilvl w:val="0"/>
          <w:numId w:val="60"/>
        </w:numPr>
        <w:rPr>
          <w:rFonts w:cstheme="majorHAnsi"/>
          <w:sz w:val="22"/>
          <w:szCs w:val="22"/>
        </w:rPr>
      </w:pPr>
      <w:r w:rsidRPr="00283237">
        <w:rPr>
          <w:b/>
          <w:sz w:val="22"/>
          <w:szCs w:val="20"/>
        </w:rPr>
        <w:t>Barriers to inclusion</w:t>
      </w:r>
    </w:p>
    <w:p w14:paraId="63076ECF" w14:textId="1F9E2FC4" w:rsidR="00ED705E" w:rsidRPr="00974377" w:rsidRDefault="00ED705E" w:rsidP="00B86A7F">
      <w:pPr>
        <w:pStyle w:val="NoSpacing"/>
        <w:spacing w:after="120" w:line="281" w:lineRule="auto"/>
        <w:rPr>
          <w:rFonts w:asciiTheme="majorHAnsi" w:hAnsiTheme="majorHAnsi" w:cstheme="majorHAnsi"/>
        </w:rPr>
      </w:pPr>
      <w:r w:rsidRPr="00974377">
        <w:rPr>
          <w:rFonts w:asciiTheme="majorHAnsi" w:hAnsiTheme="majorHAnsi" w:cstheme="majorHAnsi"/>
        </w:rPr>
        <w:t>In Indonesia, learning barriers for children with a disability are potent and extensive. According to UNICEF, 28% of children with disabilities in Indonesia have never been to school (based on data from the Bureau of Statistics)</w:t>
      </w:r>
      <w:r w:rsidRPr="00974377">
        <w:rPr>
          <w:rStyle w:val="FootnoteReference"/>
          <w:rFonts w:asciiTheme="majorHAnsi" w:hAnsiTheme="majorHAnsi" w:cstheme="majorHAnsi"/>
        </w:rPr>
        <w:footnoteReference w:id="44"/>
      </w:r>
      <w:r w:rsidRPr="00974377">
        <w:rPr>
          <w:rFonts w:asciiTheme="majorHAnsi" w:hAnsiTheme="majorHAnsi" w:cstheme="majorHAnsi"/>
        </w:rPr>
        <w:t xml:space="preserve">. When in school, children with a disability have also the lowest learning outcomes. INOVASI’s Learning Gap study found that 43% of early grades students with disabilities are at level 1 in literacy (below proficiency) on the </w:t>
      </w:r>
      <w:r w:rsidR="00F6597E">
        <w:rPr>
          <w:rFonts w:asciiTheme="majorHAnsi" w:hAnsiTheme="majorHAnsi" w:cstheme="majorHAnsi"/>
        </w:rPr>
        <w:t>MPL</w:t>
      </w:r>
      <w:r w:rsidRPr="00974377">
        <w:rPr>
          <w:rFonts w:asciiTheme="majorHAnsi" w:hAnsiTheme="majorHAnsi" w:cstheme="majorHAnsi"/>
        </w:rPr>
        <w:t xml:space="preserve"> for the education SDG indicator 4.1.1, in contrast to 20% of the students without disabilities. Similarly, 63% of early grades students with disabilities are at levels 1 and 2 in numeracy, compared to 41% of students without disability. Further, when disability is combined with disadvantaging factors their impact is compounded: </w:t>
      </w:r>
      <w:r w:rsidRPr="00974377">
        <w:rPr>
          <w:rFonts w:asciiTheme="majorHAnsi" w:eastAsia="Calibri" w:hAnsiTheme="majorHAnsi" w:cstheme="majorHAnsi"/>
        </w:rPr>
        <w:t xml:space="preserve">96% of girls with a disability in rural areas and 94% of boys did not meet </w:t>
      </w:r>
      <w:r w:rsidRPr="00974377">
        <w:rPr>
          <w:rFonts w:asciiTheme="majorHAnsi" w:hAnsiTheme="majorHAnsi" w:cstheme="majorHAnsi"/>
        </w:rPr>
        <w:t>the minimum proficiency level.</w:t>
      </w:r>
      <w:r w:rsidRPr="00974377">
        <w:rPr>
          <w:rFonts w:asciiTheme="majorHAnsi" w:hAnsiTheme="majorHAnsi" w:cstheme="majorHAnsi"/>
          <w:vertAlign w:val="superscript"/>
        </w:rPr>
        <w:footnoteReference w:id="45"/>
      </w:r>
      <w:r w:rsidRPr="00974377">
        <w:rPr>
          <w:rFonts w:asciiTheme="majorHAnsi" w:hAnsiTheme="majorHAnsi" w:cstheme="majorHAnsi"/>
          <w:vertAlign w:val="superscript"/>
        </w:rPr>
        <w:t xml:space="preserve">  </w:t>
      </w:r>
      <w:r w:rsidRPr="00974377">
        <w:rPr>
          <w:rFonts w:asciiTheme="majorHAnsi" w:hAnsiTheme="majorHAnsi" w:cstheme="majorHAnsi"/>
        </w:rPr>
        <w:t xml:space="preserve">Negative school and madrassah experiences for students with </w:t>
      </w:r>
      <w:r w:rsidRPr="00974377">
        <w:rPr>
          <w:rFonts w:asciiTheme="majorHAnsi" w:hAnsiTheme="majorHAnsi" w:cstheme="majorHAnsi"/>
        </w:rPr>
        <w:lastRenderedPageBreak/>
        <w:t>disability are particularly acute when combined with gender discrimination</w:t>
      </w:r>
      <w:r w:rsidR="003364A7">
        <w:rPr>
          <w:rFonts w:asciiTheme="majorHAnsi" w:hAnsiTheme="majorHAnsi" w:cstheme="majorHAnsi"/>
        </w:rPr>
        <w:t>.</w:t>
      </w:r>
      <w:r w:rsidR="00417304">
        <w:rPr>
          <w:rFonts w:asciiTheme="majorHAnsi" w:hAnsiTheme="majorHAnsi"/>
          <w:lang w:val="en-US"/>
        </w:rPr>
        <w:t xml:space="preserve"> T</w:t>
      </w:r>
      <w:r w:rsidRPr="00EB54AB">
        <w:rPr>
          <w:rFonts w:asciiTheme="majorHAnsi" w:hAnsiTheme="majorHAnsi" w:cstheme="majorHAnsi"/>
        </w:rPr>
        <w:t>he vulnerability of girls with disabilities to sexual violence in both</w:t>
      </w:r>
      <w:r w:rsidRPr="00974377">
        <w:rPr>
          <w:rFonts w:asciiTheme="majorHAnsi" w:hAnsiTheme="majorHAnsi" w:cstheme="majorHAnsi"/>
        </w:rPr>
        <w:t xml:space="preserve"> schools and madrasah is an issue for which no regulatory solution yet exist</w:t>
      </w:r>
      <w:r w:rsidR="00AD2F4F" w:rsidRPr="00974377">
        <w:rPr>
          <w:rFonts w:asciiTheme="majorHAnsi" w:hAnsiTheme="majorHAnsi" w:cstheme="majorHAnsi"/>
        </w:rPr>
        <w:t>s</w:t>
      </w:r>
      <w:r w:rsidRPr="00974377">
        <w:rPr>
          <w:rFonts w:asciiTheme="majorHAnsi" w:hAnsiTheme="majorHAnsi" w:cstheme="majorHAnsi"/>
        </w:rPr>
        <w:t>.</w:t>
      </w:r>
      <w:r w:rsidR="00777A1C">
        <w:rPr>
          <w:rStyle w:val="FootnoteReference"/>
          <w:rFonts w:asciiTheme="majorHAnsi" w:hAnsiTheme="majorHAnsi" w:cstheme="majorHAnsi"/>
        </w:rPr>
        <w:footnoteReference w:id="46"/>
      </w:r>
      <w:r w:rsidRPr="00974377">
        <w:rPr>
          <w:rFonts w:asciiTheme="majorHAnsi" w:hAnsiTheme="majorHAnsi" w:cstheme="majorHAnsi"/>
        </w:rPr>
        <w:t xml:space="preserve"> </w:t>
      </w:r>
    </w:p>
    <w:p w14:paraId="3AA335C9" w14:textId="129B338B" w:rsidR="00777A1C" w:rsidRPr="006E79DC" w:rsidRDefault="00ED705E" w:rsidP="00B86A7F">
      <w:pPr>
        <w:tabs>
          <w:tab w:val="left" w:pos="284"/>
        </w:tabs>
        <w:spacing w:after="120" w:line="281" w:lineRule="auto"/>
        <w:rPr>
          <w:rFonts w:asciiTheme="majorHAnsi" w:hAnsiTheme="majorHAnsi" w:cstheme="majorHAnsi"/>
          <w:sz w:val="22"/>
          <w:szCs w:val="22"/>
        </w:rPr>
      </w:pPr>
      <w:r w:rsidRPr="006E79DC">
        <w:rPr>
          <w:rFonts w:asciiTheme="majorHAnsi" w:hAnsiTheme="majorHAnsi" w:cstheme="majorHAnsi"/>
          <w:sz w:val="22"/>
          <w:szCs w:val="22"/>
        </w:rPr>
        <w:t xml:space="preserve">To understand the drivers of this situation, </w:t>
      </w:r>
      <w:r w:rsidR="00EB54AB" w:rsidRPr="006E79DC">
        <w:rPr>
          <w:rFonts w:asciiTheme="majorHAnsi" w:hAnsiTheme="majorHAnsi" w:cstheme="majorHAnsi"/>
          <w:sz w:val="22"/>
          <w:szCs w:val="22"/>
        </w:rPr>
        <w:t xml:space="preserve">the Design Update process included </w:t>
      </w:r>
      <w:r w:rsidRPr="006E79DC">
        <w:rPr>
          <w:rFonts w:asciiTheme="majorHAnsi" w:hAnsiTheme="majorHAnsi" w:cstheme="majorHAnsi"/>
          <w:sz w:val="22"/>
          <w:szCs w:val="22"/>
        </w:rPr>
        <w:t>consultations with representatives from five OPDs</w:t>
      </w:r>
      <w:r w:rsidR="003364A7" w:rsidRPr="006E79DC">
        <w:rPr>
          <w:rFonts w:asciiTheme="majorHAnsi" w:hAnsiTheme="majorHAnsi" w:cstheme="majorHAnsi"/>
          <w:sz w:val="22"/>
          <w:szCs w:val="22"/>
        </w:rPr>
        <w:t>.</w:t>
      </w:r>
      <w:r w:rsidRPr="006E79DC">
        <w:rPr>
          <w:rStyle w:val="FootnoteReference"/>
          <w:rFonts w:asciiTheme="majorHAnsi" w:hAnsiTheme="majorHAnsi" w:cstheme="majorHAnsi"/>
          <w:sz w:val="22"/>
          <w:szCs w:val="22"/>
        </w:rPr>
        <w:footnoteReference w:id="47"/>
      </w:r>
      <w:r w:rsidRPr="006E79DC">
        <w:rPr>
          <w:rFonts w:asciiTheme="majorHAnsi" w:hAnsiTheme="majorHAnsi" w:cstheme="majorHAnsi"/>
          <w:sz w:val="22"/>
          <w:szCs w:val="22"/>
        </w:rPr>
        <w:t xml:space="preserve"> </w:t>
      </w:r>
      <w:r w:rsidR="00777A1C" w:rsidRPr="006E79DC">
        <w:rPr>
          <w:rFonts w:asciiTheme="majorHAnsi" w:hAnsiTheme="majorHAnsi" w:cstheme="majorHAnsi"/>
          <w:sz w:val="22"/>
          <w:szCs w:val="22"/>
        </w:rPr>
        <w:t xml:space="preserve">A theme that emerged from discussions in all groups </w:t>
      </w:r>
      <w:r w:rsidR="00EB54AB" w:rsidRPr="006E79DC">
        <w:rPr>
          <w:rFonts w:asciiTheme="majorHAnsi" w:hAnsiTheme="majorHAnsi" w:cstheme="majorHAnsi"/>
          <w:sz w:val="22"/>
          <w:szCs w:val="22"/>
        </w:rPr>
        <w:t>i</w:t>
      </w:r>
      <w:r w:rsidR="00777A1C" w:rsidRPr="006E79DC">
        <w:rPr>
          <w:rFonts w:asciiTheme="majorHAnsi" w:hAnsiTheme="majorHAnsi" w:cstheme="majorHAnsi"/>
          <w:sz w:val="22"/>
          <w:szCs w:val="22"/>
        </w:rPr>
        <w:t xml:space="preserve">s the </w:t>
      </w:r>
      <w:r w:rsidR="00EB54AB" w:rsidRPr="006E79DC">
        <w:rPr>
          <w:rFonts w:asciiTheme="majorHAnsi" w:hAnsiTheme="majorHAnsi" w:cstheme="majorHAnsi"/>
          <w:sz w:val="22"/>
          <w:szCs w:val="22"/>
        </w:rPr>
        <w:t xml:space="preserve">narrow </w:t>
      </w:r>
      <w:r w:rsidR="00777A1C" w:rsidRPr="006E79DC">
        <w:rPr>
          <w:rFonts w:asciiTheme="majorHAnsi" w:hAnsiTheme="majorHAnsi" w:cstheme="majorHAnsi"/>
          <w:sz w:val="22"/>
          <w:szCs w:val="22"/>
        </w:rPr>
        <w:t xml:space="preserve">understanding of </w:t>
      </w:r>
      <w:r w:rsidR="00E22E60" w:rsidRPr="006E79DC">
        <w:rPr>
          <w:rFonts w:asciiTheme="majorHAnsi" w:hAnsiTheme="majorHAnsi" w:cstheme="majorHAnsi"/>
          <w:sz w:val="22"/>
          <w:szCs w:val="22"/>
        </w:rPr>
        <w:t>‘</w:t>
      </w:r>
      <w:r w:rsidR="00777A1C" w:rsidRPr="006E79DC">
        <w:rPr>
          <w:rFonts w:asciiTheme="majorHAnsi" w:hAnsiTheme="majorHAnsi" w:cstheme="majorHAnsi"/>
          <w:sz w:val="22"/>
          <w:szCs w:val="22"/>
        </w:rPr>
        <w:t>inclusion</w:t>
      </w:r>
      <w:r w:rsidR="00E22E60" w:rsidRPr="006E79DC">
        <w:rPr>
          <w:rFonts w:asciiTheme="majorHAnsi" w:hAnsiTheme="majorHAnsi" w:cstheme="majorHAnsi"/>
          <w:sz w:val="22"/>
          <w:szCs w:val="22"/>
        </w:rPr>
        <w:t>’,</w:t>
      </w:r>
      <w:r w:rsidR="00777A1C" w:rsidRPr="006E79DC">
        <w:rPr>
          <w:rFonts w:asciiTheme="majorHAnsi" w:hAnsiTheme="majorHAnsi" w:cstheme="majorHAnsi"/>
          <w:sz w:val="22"/>
          <w:szCs w:val="22"/>
        </w:rPr>
        <w:t xml:space="preserve"> most commonly </w:t>
      </w:r>
      <w:r w:rsidR="00E22E60" w:rsidRPr="006E79DC">
        <w:rPr>
          <w:rFonts w:asciiTheme="majorHAnsi" w:hAnsiTheme="majorHAnsi" w:cstheme="majorHAnsi"/>
          <w:sz w:val="22"/>
          <w:szCs w:val="22"/>
        </w:rPr>
        <w:t>meaning</w:t>
      </w:r>
      <w:r w:rsidR="00777A1C" w:rsidRPr="006E79DC">
        <w:rPr>
          <w:rFonts w:asciiTheme="majorHAnsi" w:hAnsiTheme="majorHAnsi" w:cstheme="majorHAnsi"/>
          <w:sz w:val="22"/>
          <w:szCs w:val="22"/>
        </w:rPr>
        <w:t xml:space="preserve"> inclusion of people with a disability. </w:t>
      </w:r>
      <w:r w:rsidR="00E22E60" w:rsidRPr="006E79DC">
        <w:rPr>
          <w:rFonts w:asciiTheme="majorHAnsi" w:hAnsiTheme="majorHAnsi" w:cstheme="majorHAnsi"/>
          <w:sz w:val="22"/>
          <w:szCs w:val="22"/>
        </w:rPr>
        <w:t xml:space="preserve">Conspicuously, </w:t>
      </w:r>
      <w:r w:rsidR="00777A1C" w:rsidRPr="006E79DC">
        <w:rPr>
          <w:rFonts w:asciiTheme="majorHAnsi" w:hAnsiTheme="majorHAnsi" w:cstheme="majorHAnsi"/>
          <w:sz w:val="22"/>
          <w:szCs w:val="22"/>
        </w:rPr>
        <w:t xml:space="preserve">in the Law on Persons with Disabilities (No.8/2016) </w:t>
      </w:r>
      <w:r w:rsidR="00E22E60" w:rsidRPr="006E79DC">
        <w:rPr>
          <w:rFonts w:asciiTheme="majorHAnsi" w:hAnsiTheme="majorHAnsi" w:cstheme="majorHAnsi"/>
          <w:sz w:val="22"/>
          <w:szCs w:val="22"/>
        </w:rPr>
        <w:t>that legislates</w:t>
      </w:r>
      <w:r w:rsidR="00777A1C" w:rsidRPr="006E79DC">
        <w:rPr>
          <w:rFonts w:asciiTheme="majorHAnsi" w:hAnsiTheme="majorHAnsi" w:cstheme="majorHAnsi"/>
          <w:sz w:val="22"/>
          <w:szCs w:val="22"/>
        </w:rPr>
        <w:t xml:space="preserve"> the right to equal </w:t>
      </w:r>
      <w:r w:rsidR="00C94918" w:rsidRPr="006E79DC">
        <w:rPr>
          <w:rFonts w:asciiTheme="majorHAnsi" w:hAnsiTheme="majorHAnsi" w:cstheme="majorHAnsi"/>
          <w:sz w:val="22"/>
          <w:szCs w:val="22"/>
        </w:rPr>
        <w:t>treatment in</w:t>
      </w:r>
      <w:r w:rsidR="00777A1C" w:rsidRPr="006E79DC">
        <w:rPr>
          <w:rFonts w:asciiTheme="majorHAnsi" w:hAnsiTheme="majorHAnsi" w:cstheme="majorHAnsi"/>
          <w:sz w:val="22"/>
          <w:szCs w:val="22"/>
        </w:rPr>
        <w:t xml:space="preserve"> educati</w:t>
      </w:r>
      <w:r w:rsidR="00C94918" w:rsidRPr="006E79DC">
        <w:rPr>
          <w:rFonts w:asciiTheme="majorHAnsi" w:hAnsiTheme="majorHAnsi" w:cstheme="majorHAnsi"/>
          <w:sz w:val="22"/>
          <w:szCs w:val="22"/>
        </w:rPr>
        <w:t>on</w:t>
      </w:r>
      <w:r w:rsidR="00777A1C" w:rsidRPr="006E79DC">
        <w:rPr>
          <w:rFonts w:asciiTheme="majorHAnsi" w:hAnsiTheme="majorHAnsi" w:cstheme="majorHAnsi"/>
          <w:sz w:val="22"/>
          <w:szCs w:val="22"/>
        </w:rPr>
        <w:t xml:space="preserve">, the term </w:t>
      </w:r>
      <w:r w:rsidR="00E22E60" w:rsidRPr="006E79DC">
        <w:rPr>
          <w:rFonts w:asciiTheme="majorHAnsi" w:hAnsiTheme="majorHAnsi" w:cstheme="majorHAnsi"/>
          <w:sz w:val="22"/>
          <w:szCs w:val="22"/>
        </w:rPr>
        <w:t>‘</w:t>
      </w:r>
      <w:r w:rsidR="00777A1C" w:rsidRPr="006E79DC">
        <w:rPr>
          <w:rFonts w:asciiTheme="majorHAnsi" w:hAnsiTheme="majorHAnsi" w:cstheme="majorHAnsi"/>
          <w:sz w:val="22"/>
          <w:szCs w:val="22"/>
        </w:rPr>
        <w:t>inclusive school</w:t>
      </w:r>
      <w:r w:rsidR="00E22E60" w:rsidRPr="006E79DC">
        <w:rPr>
          <w:rFonts w:asciiTheme="majorHAnsi" w:hAnsiTheme="majorHAnsi" w:cstheme="majorHAnsi"/>
          <w:sz w:val="22"/>
          <w:szCs w:val="22"/>
        </w:rPr>
        <w:t>’</w:t>
      </w:r>
      <w:r w:rsidR="00777A1C" w:rsidRPr="006E79DC">
        <w:rPr>
          <w:rFonts w:asciiTheme="majorHAnsi" w:hAnsiTheme="majorHAnsi" w:cstheme="majorHAnsi"/>
          <w:sz w:val="22"/>
          <w:szCs w:val="22"/>
        </w:rPr>
        <w:t xml:space="preserve"> is </w:t>
      </w:r>
      <w:r w:rsidR="00E22E60" w:rsidRPr="006E79DC">
        <w:rPr>
          <w:rFonts w:asciiTheme="majorHAnsi" w:hAnsiTheme="majorHAnsi" w:cstheme="majorHAnsi"/>
          <w:sz w:val="22"/>
          <w:szCs w:val="22"/>
        </w:rPr>
        <w:t xml:space="preserve">used as </w:t>
      </w:r>
      <w:r w:rsidR="00777A1C" w:rsidRPr="006E79DC">
        <w:rPr>
          <w:rFonts w:asciiTheme="majorHAnsi" w:hAnsiTheme="majorHAnsi" w:cstheme="majorHAnsi"/>
          <w:sz w:val="22"/>
          <w:szCs w:val="22"/>
        </w:rPr>
        <w:t xml:space="preserve">the alternative to </w:t>
      </w:r>
      <w:r w:rsidR="00E22E60" w:rsidRPr="006E79DC">
        <w:rPr>
          <w:rFonts w:asciiTheme="majorHAnsi" w:hAnsiTheme="majorHAnsi" w:cstheme="majorHAnsi"/>
          <w:sz w:val="22"/>
          <w:szCs w:val="22"/>
        </w:rPr>
        <w:t>‘</w:t>
      </w:r>
      <w:r w:rsidR="00777A1C" w:rsidRPr="006E79DC">
        <w:rPr>
          <w:rFonts w:asciiTheme="majorHAnsi" w:hAnsiTheme="majorHAnsi" w:cstheme="majorHAnsi"/>
          <w:sz w:val="22"/>
          <w:szCs w:val="22"/>
        </w:rPr>
        <w:t>special school</w:t>
      </w:r>
      <w:r w:rsidR="00E22E60" w:rsidRPr="006E79DC">
        <w:rPr>
          <w:rFonts w:asciiTheme="majorHAnsi" w:hAnsiTheme="majorHAnsi" w:cstheme="majorHAnsi"/>
          <w:sz w:val="22"/>
          <w:szCs w:val="22"/>
        </w:rPr>
        <w:t>’</w:t>
      </w:r>
      <w:r w:rsidR="00C94918" w:rsidRPr="006E79DC">
        <w:rPr>
          <w:rFonts w:asciiTheme="majorHAnsi" w:hAnsiTheme="majorHAnsi" w:cstheme="majorHAnsi"/>
          <w:sz w:val="22"/>
          <w:szCs w:val="22"/>
        </w:rPr>
        <w:t>.</w:t>
      </w:r>
      <w:r w:rsidR="00C94918" w:rsidRPr="006E79DC">
        <w:rPr>
          <w:rStyle w:val="FootnoteReference"/>
          <w:rFonts w:asciiTheme="majorHAnsi" w:hAnsiTheme="majorHAnsi" w:cstheme="majorHAnsi"/>
          <w:sz w:val="22"/>
          <w:szCs w:val="22"/>
        </w:rPr>
        <w:footnoteReference w:id="48"/>
      </w:r>
      <w:r w:rsidR="00777A1C" w:rsidRPr="006E79DC">
        <w:rPr>
          <w:rFonts w:asciiTheme="majorHAnsi" w:hAnsiTheme="majorHAnsi" w:cstheme="majorHAnsi"/>
          <w:sz w:val="22"/>
          <w:szCs w:val="22"/>
        </w:rPr>
        <w:t xml:space="preserve"> </w:t>
      </w:r>
      <w:r w:rsidR="00C94918" w:rsidRPr="006E79DC">
        <w:rPr>
          <w:rFonts w:asciiTheme="majorHAnsi" w:hAnsiTheme="majorHAnsi" w:cstheme="majorHAnsi"/>
          <w:sz w:val="22"/>
          <w:szCs w:val="22"/>
        </w:rPr>
        <w:t xml:space="preserve"> The difference between an inclusive </w:t>
      </w:r>
      <w:r w:rsidR="00E22E60" w:rsidRPr="006E79DC">
        <w:rPr>
          <w:rFonts w:asciiTheme="majorHAnsi" w:hAnsiTheme="majorHAnsi" w:cstheme="majorHAnsi"/>
          <w:sz w:val="22"/>
          <w:szCs w:val="22"/>
        </w:rPr>
        <w:t xml:space="preserve">and mainstream </w:t>
      </w:r>
      <w:r w:rsidR="00C94918" w:rsidRPr="006E79DC">
        <w:rPr>
          <w:rFonts w:asciiTheme="majorHAnsi" w:hAnsiTheme="majorHAnsi" w:cstheme="majorHAnsi"/>
          <w:sz w:val="22"/>
          <w:szCs w:val="22"/>
        </w:rPr>
        <w:t>school does not appear formalised</w:t>
      </w:r>
      <w:r w:rsidR="00E22E60" w:rsidRPr="006E79DC">
        <w:rPr>
          <w:rFonts w:asciiTheme="majorHAnsi" w:hAnsiTheme="majorHAnsi" w:cstheme="majorHAnsi"/>
          <w:sz w:val="22"/>
          <w:szCs w:val="22"/>
        </w:rPr>
        <w:t>. In</w:t>
      </w:r>
      <w:r w:rsidR="00C94918" w:rsidRPr="006E79DC">
        <w:rPr>
          <w:rFonts w:asciiTheme="majorHAnsi" w:hAnsiTheme="majorHAnsi" w:cstheme="majorHAnsi"/>
          <w:sz w:val="22"/>
          <w:szCs w:val="22"/>
        </w:rPr>
        <w:t xml:space="preserve"> practice</w:t>
      </w:r>
      <w:r w:rsidR="00E22E60" w:rsidRPr="006E79DC">
        <w:rPr>
          <w:rFonts w:asciiTheme="majorHAnsi" w:hAnsiTheme="majorHAnsi" w:cstheme="majorHAnsi"/>
          <w:sz w:val="22"/>
          <w:szCs w:val="22"/>
        </w:rPr>
        <w:t xml:space="preserve">, </w:t>
      </w:r>
      <w:r w:rsidR="00C94918" w:rsidRPr="006E79DC">
        <w:rPr>
          <w:rFonts w:asciiTheme="majorHAnsi" w:hAnsiTheme="majorHAnsi" w:cstheme="majorHAnsi"/>
          <w:sz w:val="22"/>
          <w:szCs w:val="22"/>
        </w:rPr>
        <w:t xml:space="preserve">partner </w:t>
      </w:r>
      <w:r w:rsidR="00E74AD8" w:rsidRPr="006E79DC">
        <w:rPr>
          <w:rFonts w:asciiTheme="majorHAnsi" w:hAnsiTheme="majorHAnsi" w:cstheme="majorHAnsi"/>
          <w:sz w:val="22"/>
          <w:szCs w:val="22"/>
        </w:rPr>
        <w:t xml:space="preserve">districts </w:t>
      </w:r>
      <w:r w:rsidR="00C94918" w:rsidRPr="006E79DC">
        <w:rPr>
          <w:rFonts w:asciiTheme="majorHAnsi" w:hAnsiTheme="majorHAnsi" w:cstheme="majorHAnsi"/>
          <w:sz w:val="22"/>
          <w:szCs w:val="22"/>
        </w:rPr>
        <w:t>have identif</w:t>
      </w:r>
      <w:r w:rsidR="00E22E60" w:rsidRPr="006E79DC">
        <w:rPr>
          <w:rFonts w:asciiTheme="majorHAnsi" w:hAnsiTheme="majorHAnsi" w:cstheme="majorHAnsi"/>
          <w:sz w:val="22"/>
          <w:szCs w:val="22"/>
        </w:rPr>
        <w:t>ied</w:t>
      </w:r>
      <w:r w:rsidR="00C94918" w:rsidRPr="006E79DC">
        <w:rPr>
          <w:rFonts w:asciiTheme="majorHAnsi" w:hAnsiTheme="majorHAnsi" w:cstheme="majorHAnsi"/>
          <w:sz w:val="22"/>
          <w:szCs w:val="22"/>
        </w:rPr>
        <w:t xml:space="preserve"> </w:t>
      </w:r>
      <w:r w:rsidR="00E22E60" w:rsidRPr="006E79DC">
        <w:rPr>
          <w:rFonts w:asciiTheme="majorHAnsi" w:hAnsiTheme="majorHAnsi" w:cstheme="majorHAnsi"/>
          <w:sz w:val="22"/>
          <w:szCs w:val="22"/>
        </w:rPr>
        <w:t>as inclusive schools,</w:t>
      </w:r>
      <w:r w:rsidR="00C94918" w:rsidRPr="006E79DC">
        <w:rPr>
          <w:rFonts w:asciiTheme="majorHAnsi" w:hAnsiTheme="majorHAnsi" w:cstheme="majorHAnsi"/>
          <w:sz w:val="22"/>
          <w:szCs w:val="22"/>
        </w:rPr>
        <w:t xml:space="preserve"> mainstream schools</w:t>
      </w:r>
      <w:r w:rsidR="00E22E60" w:rsidRPr="006E79DC">
        <w:rPr>
          <w:rFonts w:asciiTheme="majorHAnsi" w:hAnsiTheme="majorHAnsi" w:cstheme="majorHAnsi"/>
          <w:sz w:val="22"/>
          <w:szCs w:val="22"/>
        </w:rPr>
        <w:t xml:space="preserve"> that provide a subset (and capped number) of teachers with </w:t>
      </w:r>
      <w:r w:rsidR="00E74AD8" w:rsidRPr="006E79DC">
        <w:rPr>
          <w:rFonts w:asciiTheme="majorHAnsi" w:hAnsiTheme="majorHAnsi" w:cstheme="majorHAnsi"/>
          <w:sz w:val="22"/>
          <w:szCs w:val="22"/>
        </w:rPr>
        <w:t xml:space="preserve">access to training </w:t>
      </w:r>
      <w:r w:rsidR="00E22E60" w:rsidRPr="006E79DC">
        <w:rPr>
          <w:rFonts w:asciiTheme="majorHAnsi" w:hAnsiTheme="majorHAnsi" w:cstheme="majorHAnsi"/>
          <w:sz w:val="22"/>
          <w:szCs w:val="22"/>
        </w:rPr>
        <w:t xml:space="preserve">for </w:t>
      </w:r>
      <w:r w:rsidR="00E74AD8" w:rsidRPr="006E79DC">
        <w:rPr>
          <w:rFonts w:asciiTheme="majorHAnsi" w:hAnsiTheme="majorHAnsi" w:cstheme="majorHAnsi"/>
          <w:sz w:val="22"/>
          <w:szCs w:val="22"/>
        </w:rPr>
        <w:t>support</w:t>
      </w:r>
      <w:r w:rsidR="00E22E60" w:rsidRPr="006E79DC">
        <w:rPr>
          <w:rFonts w:asciiTheme="majorHAnsi" w:hAnsiTheme="majorHAnsi" w:cstheme="majorHAnsi"/>
          <w:sz w:val="22"/>
          <w:szCs w:val="22"/>
        </w:rPr>
        <w:t xml:space="preserve">ing </w:t>
      </w:r>
      <w:r w:rsidR="00E74AD8" w:rsidRPr="006E79DC">
        <w:rPr>
          <w:rFonts w:asciiTheme="majorHAnsi" w:hAnsiTheme="majorHAnsi" w:cstheme="majorHAnsi"/>
          <w:sz w:val="22"/>
          <w:szCs w:val="22"/>
        </w:rPr>
        <w:t>children with a disability. The Regulation 13/202</w:t>
      </w:r>
      <w:r w:rsidR="00E22E60" w:rsidRPr="006E79DC">
        <w:rPr>
          <w:rFonts w:asciiTheme="majorHAnsi" w:hAnsiTheme="majorHAnsi" w:cstheme="majorHAnsi"/>
          <w:sz w:val="22"/>
          <w:szCs w:val="22"/>
        </w:rPr>
        <w:t>0</w:t>
      </w:r>
      <w:r w:rsidR="00E74AD8" w:rsidRPr="006E79DC">
        <w:rPr>
          <w:rFonts w:asciiTheme="majorHAnsi" w:hAnsiTheme="majorHAnsi" w:cstheme="majorHAnsi"/>
          <w:sz w:val="22"/>
          <w:szCs w:val="22"/>
        </w:rPr>
        <w:t xml:space="preserve"> now makes it incumbent on every school to </w:t>
      </w:r>
      <w:r w:rsidR="006E79DC" w:rsidRPr="006E79DC">
        <w:rPr>
          <w:rFonts w:asciiTheme="majorHAnsi" w:hAnsiTheme="majorHAnsi" w:cstheme="majorHAnsi"/>
          <w:sz w:val="22"/>
          <w:szCs w:val="22"/>
        </w:rPr>
        <w:t>educate</w:t>
      </w:r>
      <w:r w:rsidR="00E74AD8" w:rsidRPr="006E79DC">
        <w:rPr>
          <w:rFonts w:asciiTheme="majorHAnsi" w:hAnsiTheme="majorHAnsi" w:cstheme="majorHAnsi"/>
          <w:sz w:val="22"/>
          <w:szCs w:val="22"/>
        </w:rPr>
        <w:t xml:space="preserve"> any child whose parents wish them to attend that school. </w:t>
      </w:r>
    </w:p>
    <w:p w14:paraId="4BCA500F" w14:textId="0134DD84" w:rsidR="00E74AD8" w:rsidRPr="006E79DC" w:rsidRDefault="006E79DC" w:rsidP="00B86A7F">
      <w:pPr>
        <w:tabs>
          <w:tab w:val="left" w:pos="284"/>
        </w:tabs>
        <w:spacing w:after="120" w:line="281" w:lineRule="auto"/>
        <w:rPr>
          <w:rFonts w:asciiTheme="majorHAnsi" w:hAnsiTheme="majorHAnsi" w:cstheme="minorHAnsi"/>
          <w:sz w:val="22"/>
          <w:szCs w:val="22"/>
        </w:rPr>
      </w:pPr>
      <w:r w:rsidRPr="006E79DC">
        <w:rPr>
          <w:rFonts w:asciiTheme="majorHAnsi" w:hAnsiTheme="majorHAnsi" w:cstheme="majorHAnsi"/>
          <w:sz w:val="22"/>
          <w:szCs w:val="22"/>
        </w:rPr>
        <w:t xml:space="preserve">Consultations with </w:t>
      </w:r>
      <w:r w:rsidR="00C94918" w:rsidRPr="006E79DC">
        <w:rPr>
          <w:rFonts w:asciiTheme="majorHAnsi" w:hAnsiTheme="majorHAnsi" w:cstheme="majorHAnsi"/>
          <w:sz w:val="22"/>
          <w:szCs w:val="22"/>
        </w:rPr>
        <w:t>OPD</w:t>
      </w:r>
      <w:r w:rsidR="00187339">
        <w:rPr>
          <w:rFonts w:asciiTheme="majorHAnsi" w:hAnsiTheme="majorHAnsi" w:cstheme="majorHAnsi"/>
          <w:sz w:val="22"/>
          <w:szCs w:val="22"/>
        </w:rPr>
        <w:t>s</w:t>
      </w:r>
      <w:r w:rsidR="00C94918" w:rsidRPr="006E79DC">
        <w:rPr>
          <w:rFonts w:asciiTheme="majorHAnsi" w:hAnsiTheme="majorHAnsi" w:cstheme="majorHAnsi"/>
          <w:sz w:val="22"/>
          <w:szCs w:val="22"/>
        </w:rPr>
        <w:t xml:space="preserve"> </w:t>
      </w:r>
      <w:r w:rsidRPr="006E79DC">
        <w:rPr>
          <w:rFonts w:asciiTheme="majorHAnsi" w:hAnsiTheme="majorHAnsi" w:cstheme="majorHAnsi"/>
          <w:sz w:val="22"/>
          <w:szCs w:val="22"/>
        </w:rPr>
        <w:t>representatives have</w:t>
      </w:r>
      <w:r w:rsidR="00C94918" w:rsidRPr="006E79DC">
        <w:rPr>
          <w:rFonts w:asciiTheme="majorHAnsi" w:hAnsiTheme="majorHAnsi" w:cstheme="majorHAnsi"/>
          <w:sz w:val="22"/>
          <w:szCs w:val="22"/>
        </w:rPr>
        <w:t xml:space="preserve"> </w:t>
      </w:r>
      <w:r w:rsidR="00ED705E" w:rsidRPr="006E79DC">
        <w:rPr>
          <w:rFonts w:asciiTheme="majorHAnsi" w:hAnsiTheme="majorHAnsi" w:cstheme="majorHAnsi"/>
          <w:sz w:val="22"/>
          <w:szCs w:val="22"/>
        </w:rPr>
        <w:t xml:space="preserve">suggested three main barriers to </w:t>
      </w:r>
      <w:r w:rsidR="00E74AD8" w:rsidRPr="006E79DC">
        <w:rPr>
          <w:rFonts w:asciiTheme="majorHAnsi" w:hAnsiTheme="majorHAnsi" w:cstheme="majorHAnsi"/>
          <w:sz w:val="22"/>
          <w:szCs w:val="22"/>
        </w:rPr>
        <w:t xml:space="preserve">the </w:t>
      </w:r>
      <w:r w:rsidR="00ED705E" w:rsidRPr="006E79DC">
        <w:rPr>
          <w:rFonts w:asciiTheme="majorHAnsi" w:hAnsiTheme="majorHAnsi" w:cstheme="majorHAnsi"/>
          <w:sz w:val="22"/>
          <w:szCs w:val="22"/>
        </w:rPr>
        <w:t xml:space="preserve">learning </w:t>
      </w:r>
      <w:r w:rsidR="00E74AD8" w:rsidRPr="006E79DC">
        <w:rPr>
          <w:rFonts w:asciiTheme="majorHAnsi" w:hAnsiTheme="majorHAnsi" w:cstheme="majorHAnsi"/>
          <w:sz w:val="22"/>
          <w:szCs w:val="22"/>
        </w:rPr>
        <w:t xml:space="preserve">of children with a disability </w:t>
      </w:r>
      <w:r w:rsidR="00ED705E" w:rsidRPr="006E79DC">
        <w:rPr>
          <w:rFonts w:asciiTheme="majorHAnsi" w:hAnsiTheme="majorHAnsi" w:cstheme="majorHAnsi"/>
          <w:sz w:val="22"/>
          <w:szCs w:val="22"/>
        </w:rPr>
        <w:t xml:space="preserve">co-exist: </w:t>
      </w:r>
      <w:r>
        <w:rPr>
          <w:rFonts w:asciiTheme="majorHAnsi" w:hAnsiTheme="majorHAnsi" w:cstheme="majorHAnsi"/>
          <w:sz w:val="22"/>
          <w:szCs w:val="22"/>
        </w:rPr>
        <w:t xml:space="preserve">1) </w:t>
      </w:r>
      <w:r w:rsidR="00E74AD8" w:rsidRPr="006E79DC">
        <w:rPr>
          <w:rFonts w:asciiTheme="majorHAnsi" w:hAnsiTheme="majorHAnsi" w:cs="Calibri"/>
          <w:sz w:val="22"/>
          <w:szCs w:val="22"/>
        </w:rPr>
        <w:t>the limited know-how of mainstream</w:t>
      </w:r>
      <w:r w:rsidR="00AD00FE">
        <w:rPr>
          <w:rFonts w:asciiTheme="majorHAnsi" w:hAnsiTheme="majorHAnsi" w:cs="Calibri"/>
          <w:sz w:val="22"/>
          <w:szCs w:val="22"/>
        </w:rPr>
        <w:t xml:space="preserve"> </w:t>
      </w:r>
      <w:r w:rsidR="00E74AD8" w:rsidRPr="006E79DC">
        <w:rPr>
          <w:rFonts w:asciiTheme="majorHAnsi" w:hAnsiTheme="majorHAnsi" w:cs="Calibri"/>
          <w:sz w:val="22"/>
          <w:szCs w:val="22"/>
        </w:rPr>
        <w:t xml:space="preserve">schools </w:t>
      </w:r>
      <w:r w:rsidRPr="006E79DC">
        <w:rPr>
          <w:rFonts w:asciiTheme="majorHAnsi" w:hAnsiTheme="majorHAnsi" w:cs="Calibri"/>
          <w:sz w:val="22"/>
          <w:szCs w:val="22"/>
        </w:rPr>
        <w:t xml:space="preserve">teachers </w:t>
      </w:r>
      <w:r w:rsidR="00E74AD8" w:rsidRPr="006E79DC">
        <w:rPr>
          <w:rFonts w:asciiTheme="majorHAnsi" w:hAnsiTheme="majorHAnsi" w:cs="Calibri"/>
          <w:sz w:val="22"/>
          <w:szCs w:val="22"/>
        </w:rPr>
        <w:t>to support the learning of children with disability</w:t>
      </w:r>
      <w:r>
        <w:rPr>
          <w:rFonts w:asciiTheme="majorHAnsi" w:hAnsiTheme="majorHAnsi" w:cs="Calibri"/>
          <w:sz w:val="22"/>
          <w:szCs w:val="22"/>
        </w:rPr>
        <w:t xml:space="preserve"> </w:t>
      </w:r>
      <w:r w:rsidR="00E74AD8" w:rsidRPr="006E79DC">
        <w:rPr>
          <w:rFonts w:asciiTheme="majorHAnsi" w:hAnsiTheme="majorHAnsi" w:cs="Calibri"/>
          <w:sz w:val="22"/>
          <w:szCs w:val="22"/>
        </w:rPr>
        <w:t xml:space="preserve">and </w:t>
      </w:r>
      <w:r>
        <w:rPr>
          <w:rFonts w:asciiTheme="majorHAnsi" w:hAnsiTheme="majorHAnsi" w:cs="Calibri"/>
          <w:sz w:val="22"/>
          <w:szCs w:val="22"/>
        </w:rPr>
        <w:t>the</w:t>
      </w:r>
      <w:r w:rsidR="00E74AD8" w:rsidRPr="006E79DC">
        <w:rPr>
          <w:rFonts w:asciiTheme="majorHAnsi" w:hAnsiTheme="majorHAnsi" w:cs="Calibri"/>
          <w:sz w:val="22"/>
          <w:szCs w:val="22"/>
        </w:rPr>
        <w:t xml:space="preserve"> lack of facilities to provide for their inclusion</w:t>
      </w:r>
      <w:r w:rsidR="00221415">
        <w:rPr>
          <w:rFonts w:asciiTheme="majorHAnsi" w:hAnsiTheme="majorHAnsi" w:cs="Calibri"/>
          <w:sz w:val="22"/>
          <w:szCs w:val="22"/>
        </w:rPr>
        <w:t>,</w:t>
      </w:r>
      <w:r w:rsidR="00E74AD8" w:rsidRPr="006E79DC">
        <w:rPr>
          <w:rFonts w:asciiTheme="majorHAnsi" w:hAnsiTheme="majorHAnsi" w:cs="Calibri"/>
          <w:sz w:val="22"/>
          <w:szCs w:val="22"/>
        </w:rPr>
        <w:t xml:space="preserve"> 2) the ‘mindset’ of many </w:t>
      </w:r>
      <w:r w:rsidRPr="006E79DC">
        <w:rPr>
          <w:rFonts w:asciiTheme="majorHAnsi" w:hAnsiTheme="majorHAnsi" w:cs="Calibri"/>
          <w:sz w:val="22"/>
          <w:szCs w:val="22"/>
        </w:rPr>
        <w:t xml:space="preserve">mainstream schools </w:t>
      </w:r>
      <w:r w:rsidR="00E74AD8" w:rsidRPr="006E79DC">
        <w:rPr>
          <w:rFonts w:asciiTheme="majorHAnsi" w:hAnsiTheme="majorHAnsi" w:cs="Calibri"/>
          <w:sz w:val="22"/>
          <w:szCs w:val="22"/>
        </w:rPr>
        <w:t>teachers against inclusion, and 3) the stigma attached to having a disability and that acts as a deterrent for their participation.</w:t>
      </w:r>
      <w:r w:rsidR="00E74AD8" w:rsidRPr="006E79DC">
        <w:rPr>
          <w:rFonts w:asciiTheme="majorHAnsi" w:hAnsiTheme="majorHAnsi" w:cstheme="minorHAnsi"/>
          <w:sz w:val="22"/>
          <w:szCs w:val="22"/>
        </w:rPr>
        <w:t xml:space="preserve"> These</w:t>
      </w:r>
      <w:r w:rsidR="00F6597E">
        <w:rPr>
          <w:rFonts w:asciiTheme="majorHAnsi" w:hAnsiTheme="majorHAnsi" w:cstheme="minorHAnsi"/>
          <w:sz w:val="22"/>
          <w:szCs w:val="22"/>
        </w:rPr>
        <w:t xml:space="preserve"> </w:t>
      </w:r>
      <w:r>
        <w:rPr>
          <w:rFonts w:asciiTheme="majorHAnsi" w:hAnsiTheme="majorHAnsi" w:cstheme="minorHAnsi"/>
          <w:sz w:val="22"/>
          <w:szCs w:val="22"/>
        </w:rPr>
        <w:t>barriers are</w:t>
      </w:r>
      <w:r w:rsidR="00E74AD8" w:rsidRPr="006E79DC">
        <w:rPr>
          <w:rFonts w:asciiTheme="majorHAnsi" w:hAnsiTheme="majorHAnsi" w:cstheme="minorHAnsi"/>
          <w:sz w:val="22"/>
          <w:szCs w:val="22"/>
        </w:rPr>
        <w:t xml:space="preserve"> </w:t>
      </w:r>
      <w:r w:rsidR="00F6597E">
        <w:rPr>
          <w:rFonts w:asciiTheme="majorHAnsi" w:hAnsiTheme="majorHAnsi" w:cstheme="minorHAnsi"/>
          <w:sz w:val="22"/>
          <w:szCs w:val="22"/>
        </w:rPr>
        <w:t>cong</w:t>
      </w:r>
      <w:r w:rsidR="00417304">
        <w:rPr>
          <w:rFonts w:asciiTheme="majorHAnsi" w:hAnsiTheme="majorHAnsi" w:cstheme="minorHAnsi"/>
          <w:sz w:val="22"/>
          <w:szCs w:val="22"/>
        </w:rPr>
        <w:t>ru</w:t>
      </w:r>
      <w:r w:rsidR="00F6597E">
        <w:rPr>
          <w:rFonts w:asciiTheme="majorHAnsi" w:hAnsiTheme="majorHAnsi" w:cstheme="minorHAnsi"/>
          <w:sz w:val="22"/>
          <w:szCs w:val="22"/>
        </w:rPr>
        <w:t>ent</w:t>
      </w:r>
      <w:r>
        <w:rPr>
          <w:rFonts w:asciiTheme="majorHAnsi" w:hAnsiTheme="majorHAnsi" w:cstheme="minorHAnsi"/>
          <w:sz w:val="22"/>
          <w:szCs w:val="22"/>
        </w:rPr>
        <w:t xml:space="preserve"> </w:t>
      </w:r>
      <w:r w:rsidR="00F6597E">
        <w:rPr>
          <w:rFonts w:asciiTheme="majorHAnsi" w:hAnsiTheme="majorHAnsi" w:cstheme="minorHAnsi"/>
          <w:sz w:val="22"/>
          <w:szCs w:val="22"/>
        </w:rPr>
        <w:t>with</w:t>
      </w:r>
      <w:r>
        <w:rPr>
          <w:rFonts w:asciiTheme="majorHAnsi" w:hAnsiTheme="majorHAnsi" w:cstheme="minorHAnsi"/>
          <w:sz w:val="22"/>
          <w:szCs w:val="22"/>
        </w:rPr>
        <w:t xml:space="preserve"> the following issues:</w:t>
      </w:r>
    </w:p>
    <w:p w14:paraId="73077EB1" w14:textId="6422B704" w:rsidR="00E74AD8" w:rsidRPr="006E79DC" w:rsidRDefault="00ED705E" w:rsidP="008D1844">
      <w:pPr>
        <w:pStyle w:val="ListParagraph"/>
        <w:numPr>
          <w:ilvl w:val="0"/>
          <w:numId w:val="39"/>
        </w:numPr>
        <w:spacing w:after="120" w:line="281" w:lineRule="auto"/>
        <w:ind w:left="567" w:hanging="283"/>
        <w:contextualSpacing w:val="0"/>
        <w:rPr>
          <w:rFonts w:asciiTheme="majorHAnsi" w:hAnsiTheme="majorHAnsi" w:cstheme="majorHAnsi"/>
          <w:sz w:val="22"/>
          <w:szCs w:val="22"/>
        </w:rPr>
      </w:pPr>
      <w:r w:rsidRPr="006E79DC">
        <w:rPr>
          <w:rFonts w:asciiTheme="majorHAnsi" w:hAnsiTheme="majorHAnsi" w:cstheme="majorHAnsi"/>
          <w:sz w:val="22"/>
          <w:szCs w:val="22"/>
        </w:rPr>
        <w:t>Schools for children with special needs (</w:t>
      </w:r>
      <w:proofErr w:type="spellStart"/>
      <w:r w:rsidRPr="006E79DC">
        <w:rPr>
          <w:rFonts w:asciiTheme="majorHAnsi" w:hAnsiTheme="majorHAnsi" w:cstheme="majorHAnsi"/>
          <w:i/>
          <w:iCs/>
          <w:sz w:val="22"/>
          <w:szCs w:val="22"/>
        </w:rPr>
        <w:t>Sekolah</w:t>
      </w:r>
      <w:proofErr w:type="spellEnd"/>
      <w:r w:rsidRPr="006E79DC">
        <w:rPr>
          <w:rFonts w:asciiTheme="majorHAnsi" w:hAnsiTheme="majorHAnsi" w:cstheme="majorHAnsi"/>
          <w:i/>
          <w:iCs/>
          <w:sz w:val="22"/>
          <w:szCs w:val="22"/>
        </w:rPr>
        <w:t xml:space="preserve"> </w:t>
      </w:r>
      <w:proofErr w:type="spellStart"/>
      <w:r w:rsidRPr="006E79DC">
        <w:rPr>
          <w:rFonts w:asciiTheme="majorHAnsi" w:hAnsiTheme="majorHAnsi" w:cstheme="majorHAnsi"/>
          <w:i/>
          <w:iCs/>
          <w:sz w:val="22"/>
          <w:szCs w:val="22"/>
        </w:rPr>
        <w:t>Luar</w:t>
      </w:r>
      <w:proofErr w:type="spellEnd"/>
      <w:r w:rsidRPr="006E79DC">
        <w:rPr>
          <w:rFonts w:asciiTheme="majorHAnsi" w:hAnsiTheme="majorHAnsi" w:cstheme="majorHAnsi"/>
          <w:i/>
          <w:iCs/>
          <w:sz w:val="22"/>
          <w:szCs w:val="22"/>
        </w:rPr>
        <w:t xml:space="preserve"> </w:t>
      </w:r>
      <w:proofErr w:type="spellStart"/>
      <w:r w:rsidRPr="006E79DC">
        <w:rPr>
          <w:rFonts w:asciiTheme="majorHAnsi" w:hAnsiTheme="majorHAnsi" w:cstheme="majorHAnsi"/>
          <w:i/>
          <w:iCs/>
          <w:sz w:val="22"/>
          <w:szCs w:val="22"/>
        </w:rPr>
        <w:t>Biasa</w:t>
      </w:r>
      <w:proofErr w:type="spellEnd"/>
      <w:r w:rsidRPr="006E79DC">
        <w:rPr>
          <w:rFonts w:asciiTheme="majorHAnsi" w:hAnsiTheme="majorHAnsi" w:cstheme="majorHAnsi"/>
          <w:sz w:val="22"/>
          <w:szCs w:val="22"/>
        </w:rPr>
        <w:t xml:space="preserve"> - SLB) are well equipped to support children with a disability</w:t>
      </w:r>
      <w:r w:rsidR="006E79DC">
        <w:rPr>
          <w:rFonts w:asciiTheme="majorHAnsi" w:hAnsiTheme="majorHAnsi" w:cstheme="majorHAnsi"/>
          <w:sz w:val="22"/>
          <w:szCs w:val="22"/>
        </w:rPr>
        <w:t>,</w:t>
      </w:r>
      <w:r w:rsidRPr="006E79DC">
        <w:rPr>
          <w:rFonts w:asciiTheme="majorHAnsi" w:hAnsiTheme="majorHAnsi" w:cstheme="majorHAnsi"/>
          <w:sz w:val="22"/>
          <w:szCs w:val="22"/>
        </w:rPr>
        <w:t xml:space="preserve"> but the</w:t>
      </w:r>
      <w:r w:rsidR="00F6597E">
        <w:rPr>
          <w:rFonts w:asciiTheme="majorHAnsi" w:hAnsiTheme="majorHAnsi" w:cstheme="majorHAnsi"/>
          <w:sz w:val="22"/>
          <w:szCs w:val="22"/>
        </w:rPr>
        <w:t>ir</w:t>
      </w:r>
      <w:r w:rsidRPr="006E79DC">
        <w:rPr>
          <w:rFonts w:asciiTheme="majorHAnsi" w:hAnsiTheme="majorHAnsi" w:cstheme="majorHAnsi"/>
          <w:sz w:val="22"/>
          <w:szCs w:val="22"/>
        </w:rPr>
        <w:t xml:space="preserve"> small numbers make them inaccessible: in 2023, there are only 630 public (free) and 1656 private (fee-paying) SLB across the 34 provinces of Indonesia.  There is also an inadequate number of special education teachers in districts (</w:t>
      </w:r>
      <w:r w:rsidRPr="006E79DC">
        <w:rPr>
          <w:rFonts w:asciiTheme="majorHAnsi" w:hAnsiTheme="majorHAnsi" w:cstheme="majorHAnsi"/>
          <w:i/>
          <w:iCs/>
          <w:sz w:val="22"/>
          <w:szCs w:val="22"/>
        </w:rPr>
        <w:t xml:space="preserve">Guru Pendidikan </w:t>
      </w:r>
      <w:proofErr w:type="spellStart"/>
      <w:r w:rsidRPr="006E79DC">
        <w:rPr>
          <w:rFonts w:asciiTheme="majorHAnsi" w:hAnsiTheme="majorHAnsi" w:cstheme="majorHAnsi"/>
          <w:i/>
          <w:iCs/>
          <w:sz w:val="22"/>
          <w:szCs w:val="22"/>
        </w:rPr>
        <w:t>Khusus</w:t>
      </w:r>
      <w:proofErr w:type="spellEnd"/>
      <w:r w:rsidRPr="006E79DC">
        <w:rPr>
          <w:rFonts w:asciiTheme="majorHAnsi" w:hAnsiTheme="majorHAnsi" w:cstheme="majorHAnsi"/>
          <w:sz w:val="22"/>
          <w:szCs w:val="22"/>
        </w:rPr>
        <w:t xml:space="preserve"> -GPK) to train ordinary teachers, and their status as a particular category of teachers is not recognised. </w:t>
      </w:r>
    </w:p>
    <w:p w14:paraId="4CA8F4C6" w14:textId="75B74153" w:rsidR="00ED705E" w:rsidRPr="006E79DC" w:rsidRDefault="001E7475" w:rsidP="008D1844">
      <w:pPr>
        <w:pStyle w:val="ListParagraph"/>
        <w:numPr>
          <w:ilvl w:val="0"/>
          <w:numId w:val="26"/>
        </w:numPr>
        <w:tabs>
          <w:tab w:val="left" w:pos="284"/>
        </w:tabs>
        <w:spacing w:after="120" w:line="281" w:lineRule="auto"/>
        <w:ind w:left="567" w:hanging="283"/>
        <w:contextualSpacing w:val="0"/>
        <w:rPr>
          <w:rFonts w:asciiTheme="majorHAnsi" w:hAnsiTheme="majorHAnsi" w:cstheme="majorHAnsi"/>
          <w:sz w:val="22"/>
          <w:szCs w:val="22"/>
        </w:rPr>
      </w:pPr>
      <w:r>
        <w:rPr>
          <w:rFonts w:asciiTheme="majorHAnsi" w:hAnsiTheme="majorHAnsi" w:cstheme="majorHAnsi"/>
          <w:sz w:val="22"/>
          <w:szCs w:val="22"/>
        </w:rPr>
        <w:t>R</w:t>
      </w:r>
      <w:r w:rsidR="00ED705E" w:rsidRPr="006E79DC">
        <w:rPr>
          <w:rFonts w:asciiTheme="majorHAnsi" w:hAnsiTheme="majorHAnsi" w:cstheme="majorHAnsi"/>
          <w:sz w:val="22"/>
          <w:szCs w:val="22"/>
        </w:rPr>
        <w:t xml:space="preserve">egular teachers </w:t>
      </w:r>
      <w:r w:rsidRPr="006E79DC">
        <w:rPr>
          <w:rFonts w:asciiTheme="majorHAnsi" w:hAnsiTheme="majorHAnsi" w:cstheme="majorHAnsi"/>
          <w:sz w:val="22"/>
          <w:szCs w:val="22"/>
        </w:rPr>
        <w:t xml:space="preserve">in mainstream schools reportedly </w:t>
      </w:r>
      <w:r w:rsidR="00ED705E" w:rsidRPr="006E79DC">
        <w:rPr>
          <w:rFonts w:asciiTheme="majorHAnsi" w:hAnsiTheme="majorHAnsi" w:cstheme="majorHAnsi"/>
          <w:sz w:val="22"/>
          <w:szCs w:val="22"/>
        </w:rPr>
        <w:t xml:space="preserve">do not know how to support the learning of children with disabilities, how to adjust curriculum, and/or how develop materials appropriate to their needs. This lack of capacity is coupled with the </w:t>
      </w:r>
      <w:r w:rsidR="00F6597E">
        <w:rPr>
          <w:rFonts w:asciiTheme="majorHAnsi" w:hAnsiTheme="majorHAnsi" w:cstheme="majorHAnsi"/>
          <w:sz w:val="22"/>
          <w:szCs w:val="22"/>
        </w:rPr>
        <w:t>difficulty</w:t>
      </w:r>
      <w:r w:rsidR="00ED705E" w:rsidRPr="006E79DC">
        <w:rPr>
          <w:rFonts w:asciiTheme="majorHAnsi" w:hAnsiTheme="majorHAnsi" w:cstheme="majorHAnsi"/>
          <w:sz w:val="22"/>
          <w:szCs w:val="22"/>
        </w:rPr>
        <w:t xml:space="preserve"> to identify disability </w:t>
      </w:r>
      <w:r w:rsidR="00F6597E">
        <w:rPr>
          <w:rFonts w:asciiTheme="majorHAnsi" w:hAnsiTheme="majorHAnsi" w:cstheme="majorHAnsi"/>
          <w:sz w:val="22"/>
          <w:szCs w:val="22"/>
        </w:rPr>
        <w:t>based on</w:t>
      </w:r>
      <w:r w:rsidR="00ED705E" w:rsidRPr="006E79DC">
        <w:rPr>
          <w:rFonts w:asciiTheme="majorHAnsi" w:hAnsiTheme="majorHAnsi" w:cstheme="majorHAnsi"/>
          <w:sz w:val="22"/>
          <w:szCs w:val="22"/>
        </w:rPr>
        <w:t xml:space="preserve"> the existing impairment-based categorisation.</w:t>
      </w:r>
      <w:r w:rsidR="00ED705E" w:rsidRPr="006E79DC">
        <w:rPr>
          <w:rStyle w:val="FootnoteReference"/>
          <w:rFonts w:asciiTheme="majorHAnsi" w:hAnsiTheme="majorHAnsi" w:cstheme="majorHAnsi"/>
          <w:sz w:val="22"/>
          <w:szCs w:val="22"/>
        </w:rPr>
        <w:footnoteReference w:id="49"/>
      </w:r>
      <w:r w:rsidR="00ED705E" w:rsidRPr="006E79DC">
        <w:rPr>
          <w:rFonts w:asciiTheme="majorHAnsi" w:hAnsiTheme="majorHAnsi" w:cstheme="majorHAnsi"/>
          <w:sz w:val="22"/>
          <w:szCs w:val="22"/>
        </w:rPr>
        <w:t xml:space="preserve"> </w:t>
      </w:r>
      <w:r w:rsidR="00F6597E">
        <w:rPr>
          <w:rFonts w:asciiTheme="majorHAnsi" w:hAnsiTheme="majorHAnsi" w:cstheme="majorHAnsi"/>
          <w:sz w:val="22"/>
          <w:szCs w:val="22"/>
        </w:rPr>
        <w:t>A</w:t>
      </w:r>
      <w:r w:rsidR="00ED705E" w:rsidRPr="006E79DC">
        <w:rPr>
          <w:rFonts w:asciiTheme="majorHAnsi" w:hAnsiTheme="majorHAnsi" w:cstheme="majorHAnsi"/>
          <w:sz w:val="22"/>
          <w:szCs w:val="22"/>
        </w:rPr>
        <w:t xml:space="preserve">lthough progress had been made in developing appropriate resources for teachers, </w:t>
      </w:r>
      <w:r w:rsidR="00F6597E">
        <w:rPr>
          <w:rFonts w:asciiTheme="majorHAnsi" w:hAnsiTheme="majorHAnsi" w:cstheme="majorHAnsi"/>
          <w:sz w:val="22"/>
          <w:szCs w:val="22"/>
        </w:rPr>
        <w:t xml:space="preserve">the </w:t>
      </w:r>
      <w:r w:rsidR="00F6597E" w:rsidRPr="006E79DC">
        <w:rPr>
          <w:rFonts w:asciiTheme="majorHAnsi" w:hAnsiTheme="majorHAnsi" w:cstheme="majorHAnsi"/>
          <w:sz w:val="22"/>
          <w:szCs w:val="22"/>
        </w:rPr>
        <w:t>ISR</w:t>
      </w:r>
      <w:r w:rsidR="00F6597E">
        <w:rPr>
          <w:rFonts w:asciiTheme="majorHAnsi" w:hAnsiTheme="majorHAnsi" w:cstheme="majorHAnsi"/>
          <w:sz w:val="22"/>
          <w:szCs w:val="22"/>
        </w:rPr>
        <w:t xml:space="preserve"> has found</w:t>
      </w:r>
      <w:r w:rsidR="00F6597E" w:rsidRPr="006E79DC">
        <w:rPr>
          <w:rFonts w:asciiTheme="majorHAnsi" w:hAnsiTheme="majorHAnsi" w:cstheme="majorHAnsi"/>
          <w:sz w:val="22"/>
          <w:szCs w:val="22"/>
        </w:rPr>
        <w:t xml:space="preserve"> that </w:t>
      </w:r>
      <w:r w:rsidR="00ED705E" w:rsidRPr="006E79DC">
        <w:rPr>
          <w:rFonts w:asciiTheme="majorHAnsi" w:hAnsiTheme="majorHAnsi" w:cstheme="majorHAnsi"/>
          <w:sz w:val="22"/>
          <w:szCs w:val="22"/>
        </w:rPr>
        <w:t>most teachers have not</w:t>
      </w:r>
      <w:r w:rsidR="006E79DC">
        <w:rPr>
          <w:rFonts w:asciiTheme="majorHAnsi" w:hAnsiTheme="majorHAnsi" w:cstheme="majorHAnsi"/>
          <w:sz w:val="22"/>
          <w:szCs w:val="22"/>
        </w:rPr>
        <w:t xml:space="preserve"> yet</w:t>
      </w:r>
      <w:r w:rsidR="00ED705E" w:rsidRPr="006E79DC">
        <w:rPr>
          <w:rFonts w:asciiTheme="majorHAnsi" w:hAnsiTheme="majorHAnsi" w:cstheme="majorHAnsi"/>
          <w:sz w:val="22"/>
          <w:szCs w:val="22"/>
        </w:rPr>
        <w:t xml:space="preserve"> received </w:t>
      </w:r>
      <w:r w:rsidR="006E79DC">
        <w:rPr>
          <w:rFonts w:asciiTheme="majorHAnsi" w:hAnsiTheme="majorHAnsi" w:cstheme="majorHAnsi"/>
          <w:sz w:val="22"/>
          <w:szCs w:val="22"/>
        </w:rPr>
        <w:t xml:space="preserve">appropriate training on </w:t>
      </w:r>
      <w:r w:rsidR="00ED705E" w:rsidRPr="006E79DC">
        <w:rPr>
          <w:rFonts w:asciiTheme="majorHAnsi" w:hAnsiTheme="majorHAnsi" w:cstheme="majorHAnsi"/>
          <w:sz w:val="22"/>
          <w:szCs w:val="22"/>
        </w:rPr>
        <w:t xml:space="preserve">inclusion.  </w:t>
      </w:r>
    </w:p>
    <w:p w14:paraId="08C3334A" w14:textId="7241CD89" w:rsidR="00ED705E" w:rsidRPr="00974377" w:rsidRDefault="00ED705E" w:rsidP="008D1844">
      <w:pPr>
        <w:pStyle w:val="ListParagraph"/>
        <w:numPr>
          <w:ilvl w:val="0"/>
          <w:numId w:val="26"/>
        </w:numPr>
        <w:suppressAutoHyphens/>
        <w:spacing w:after="120" w:line="281" w:lineRule="auto"/>
        <w:ind w:left="567" w:hanging="283"/>
        <w:contextualSpacing w:val="0"/>
        <w:rPr>
          <w:rFonts w:asciiTheme="majorHAnsi" w:hAnsiTheme="majorHAnsi" w:cstheme="majorHAnsi"/>
          <w:sz w:val="22"/>
          <w:szCs w:val="22"/>
        </w:rPr>
      </w:pPr>
      <w:r w:rsidRPr="00974377">
        <w:rPr>
          <w:rFonts w:asciiTheme="majorHAnsi" w:hAnsiTheme="majorHAnsi" w:cstheme="majorHAnsi"/>
          <w:sz w:val="22"/>
          <w:szCs w:val="22"/>
        </w:rPr>
        <w:t xml:space="preserve">There is </w:t>
      </w:r>
      <w:r w:rsidR="00AD2F4F" w:rsidRPr="00974377">
        <w:rPr>
          <w:rFonts w:asciiTheme="majorHAnsi" w:hAnsiTheme="majorHAnsi" w:cstheme="majorHAnsi"/>
          <w:sz w:val="22"/>
          <w:szCs w:val="22"/>
        </w:rPr>
        <w:t>a</w:t>
      </w:r>
      <w:r w:rsidRPr="00974377">
        <w:rPr>
          <w:rFonts w:asciiTheme="majorHAnsi" w:hAnsiTheme="majorHAnsi" w:cstheme="majorHAnsi"/>
          <w:sz w:val="22"/>
          <w:szCs w:val="22"/>
        </w:rPr>
        <w:t xml:space="preserve"> widespread stigma attached to ‘inclusive education’, a term often amalgamated with inclusion of people with a disability. A positive approach that highlights the value of diversity for including children with a disability is still limited and needed, but there </w:t>
      </w:r>
      <w:r w:rsidR="00AD2F4F" w:rsidRPr="00974377">
        <w:rPr>
          <w:rFonts w:asciiTheme="majorHAnsi" w:hAnsiTheme="majorHAnsi" w:cstheme="majorHAnsi"/>
          <w:sz w:val="22"/>
          <w:szCs w:val="22"/>
        </w:rPr>
        <w:t xml:space="preserve">are </w:t>
      </w:r>
      <w:r w:rsidRPr="00974377">
        <w:rPr>
          <w:rFonts w:asciiTheme="majorHAnsi" w:hAnsiTheme="majorHAnsi" w:cstheme="majorHAnsi"/>
          <w:sz w:val="22"/>
          <w:szCs w:val="22"/>
        </w:rPr>
        <w:t>ground</w:t>
      </w:r>
      <w:r w:rsidR="00AD2F4F" w:rsidRPr="00974377">
        <w:rPr>
          <w:rFonts w:asciiTheme="majorHAnsi" w:hAnsiTheme="majorHAnsi" w:cstheme="majorHAnsi"/>
          <w:sz w:val="22"/>
          <w:szCs w:val="22"/>
        </w:rPr>
        <w:t>s</w:t>
      </w:r>
      <w:r w:rsidRPr="00974377">
        <w:rPr>
          <w:rFonts w:asciiTheme="majorHAnsi" w:hAnsiTheme="majorHAnsi" w:cstheme="majorHAnsi"/>
          <w:sz w:val="22"/>
          <w:szCs w:val="22"/>
        </w:rPr>
        <w:t xml:space="preserve"> for </w:t>
      </w:r>
      <w:r w:rsidR="00E74AD8">
        <w:rPr>
          <w:rFonts w:asciiTheme="majorHAnsi" w:hAnsiTheme="majorHAnsi" w:cstheme="majorHAnsi"/>
          <w:sz w:val="22"/>
          <w:szCs w:val="22"/>
        </w:rPr>
        <w:t>hope</w:t>
      </w:r>
      <w:r w:rsidRPr="00974377">
        <w:rPr>
          <w:rFonts w:asciiTheme="majorHAnsi" w:hAnsiTheme="majorHAnsi" w:cstheme="majorHAnsi"/>
          <w:sz w:val="22"/>
          <w:szCs w:val="22"/>
        </w:rPr>
        <w:t xml:space="preserve">: the value of empathy and respect for difference is a goal of the current agenda for strengthening a pluralist national culture through character education in schools. </w:t>
      </w:r>
    </w:p>
    <w:p w14:paraId="43934BD0" w14:textId="77777777" w:rsidR="00ED705E" w:rsidRPr="0094721A" w:rsidRDefault="00ED705E" w:rsidP="008D1844">
      <w:pPr>
        <w:pStyle w:val="Heading3"/>
        <w:numPr>
          <w:ilvl w:val="0"/>
          <w:numId w:val="60"/>
        </w:numPr>
        <w:rPr>
          <w:rFonts w:cstheme="majorHAnsi"/>
          <w:sz w:val="22"/>
          <w:szCs w:val="22"/>
        </w:rPr>
      </w:pPr>
      <w:r w:rsidRPr="00283237">
        <w:rPr>
          <w:b/>
          <w:sz w:val="22"/>
          <w:szCs w:val="20"/>
        </w:rPr>
        <w:lastRenderedPageBreak/>
        <w:t xml:space="preserve">Contextual opportunities </w:t>
      </w:r>
    </w:p>
    <w:p w14:paraId="04D051AB" w14:textId="77777777" w:rsidR="00ED705E" w:rsidRPr="00974377" w:rsidRDefault="00ED705E" w:rsidP="00B86A7F">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Two developments have created the opportunity for INOVASI Phase 3 to alter the outlook for students with a disability in mainstream schools. </w:t>
      </w:r>
    </w:p>
    <w:p w14:paraId="46D9BE33" w14:textId="4650CAB3" w:rsidR="00ED705E" w:rsidRPr="00974377" w:rsidRDefault="00ED705E" w:rsidP="00B86A7F">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Presidential Regulation on Reasonable Accommodation 13/2020 (the Regulation) requires government schools and madrasah under </w:t>
      </w:r>
      <w:proofErr w:type="spellStart"/>
      <w:r w:rsidRPr="00974377">
        <w:rPr>
          <w:rFonts w:asciiTheme="majorHAnsi" w:hAnsiTheme="majorHAnsi" w:cstheme="majorHAnsi"/>
          <w:sz w:val="22"/>
          <w:szCs w:val="22"/>
        </w:rPr>
        <w:t>MoRA</w:t>
      </w:r>
      <w:proofErr w:type="spellEnd"/>
      <w:r w:rsidRPr="00974377">
        <w:rPr>
          <w:rFonts w:asciiTheme="majorHAnsi" w:hAnsiTheme="majorHAnsi" w:cstheme="majorHAnsi"/>
          <w:sz w:val="22"/>
          <w:szCs w:val="22"/>
        </w:rPr>
        <w:t xml:space="preserve"> oversight to make provision for including students with a disability.  There is recognition that this will be achieved in stages, starting with schools and madrasah already designated inclusive schools and with the setting up of Disability Service Units (</w:t>
      </w:r>
      <w:r w:rsidRPr="00C002FF">
        <w:rPr>
          <w:rFonts w:asciiTheme="majorHAnsi" w:hAnsiTheme="majorHAnsi" w:cstheme="majorHAnsi"/>
          <w:i/>
          <w:iCs/>
          <w:sz w:val="22"/>
          <w:szCs w:val="22"/>
        </w:rPr>
        <w:t xml:space="preserve">Unit </w:t>
      </w:r>
      <w:proofErr w:type="spellStart"/>
      <w:r w:rsidRPr="00C002FF">
        <w:rPr>
          <w:rFonts w:asciiTheme="majorHAnsi" w:hAnsiTheme="majorHAnsi" w:cstheme="majorHAnsi"/>
          <w:i/>
          <w:iCs/>
          <w:sz w:val="22"/>
          <w:szCs w:val="22"/>
        </w:rPr>
        <w:t>Layanan</w:t>
      </w:r>
      <w:proofErr w:type="spellEnd"/>
      <w:r w:rsidRPr="00C002FF">
        <w:rPr>
          <w:rFonts w:asciiTheme="majorHAnsi" w:hAnsiTheme="majorHAnsi" w:cstheme="majorHAnsi"/>
          <w:i/>
          <w:iCs/>
          <w:sz w:val="22"/>
          <w:szCs w:val="22"/>
        </w:rPr>
        <w:t xml:space="preserve"> </w:t>
      </w:r>
      <w:proofErr w:type="spellStart"/>
      <w:r w:rsidRPr="00C002FF">
        <w:rPr>
          <w:rFonts w:asciiTheme="majorHAnsi" w:hAnsiTheme="majorHAnsi" w:cstheme="majorHAnsi"/>
          <w:i/>
          <w:iCs/>
          <w:sz w:val="22"/>
          <w:szCs w:val="22"/>
        </w:rPr>
        <w:t>Disabilitas</w:t>
      </w:r>
      <w:proofErr w:type="spellEnd"/>
      <w:r w:rsidRPr="00974377">
        <w:rPr>
          <w:rFonts w:asciiTheme="majorHAnsi" w:hAnsiTheme="majorHAnsi" w:cstheme="majorHAnsi"/>
          <w:sz w:val="22"/>
          <w:szCs w:val="22"/>
        </w:rPr>
        <w:t xml:space="preserve"> or ULD) in every district. </w:t>
      </w:r>
      <w:r w:rsidR="0043000D" w:rsidRPr="001E7475">
        <w:rPr>
          <w:rFonts w:asciiTheme="majorHAnsi" w:hAnsiTheme="majorHAnsi" w:cstheme="majorHAnsi"/>
          <w:sz w:val="22"/>
          <w:szCs w:val="22"/>
        </w:rPr>
        <w:t xml:space="preserve">The ULD will provide services to children with sensory, physical, intellectual, </w:t>
      </w:r>
      <w:r w:rsidR="00060161" w:rsidRPr="001E7475">
        <w:rPr>
          <w:rFonts w:asciiTheme="majorHAnsi" w:hAnsiTheme="majorHAnsi" w:cstheme="majorHAnsi"/>
          <w:sz w:val="22"/>
          <w:szCs w:val="22"/>
        </w:rPr>
        <w:t>behavioural,</w:t>
      </w:r>
      <w:r w:rsidR="0043000D" w:rsidRPr="001E7475">
        <w:rPr>
          <w:rFonts w:asciiTheme="majorHAnsi" w:hAnsiTheme="majorHAnsi" w:cstheme="majorHAnsi"/>
          <w:sz w:val="22"/>
          <w:szCs w:val="22"/>
        </w:rPr>
        <w:t xml:space="preserve"> and learning difficulties. The</w:t>
      </w:r>
      <w:r w:rsidR="001E7475">
        <w:rPr>
          <w:rFonts w:asciiTheme="majorHAnsi" w:hAnsiTheme="majorHAnsi" w:cstheme="majorHAnsi"/>
          <w:sz w:val="22"/>
          <w:szCs w:val="22"/>
        </w:rPr>
        <w:t>se</w:t>
      </w:r>
      <w:r w:rsidR="0043000D" w:rsidRPr="001E7475">
        <w:rPr>
          <w:rFonts w:asciiTheme="majorHAnsi" w:hAnsiTheme="majorHAnsi" w:cstheme="majorHAnsi"/>
          <w:sz w:val="22"/>
          <w:szCs w:val="22"/>
        </w:rPr>
        <w:t xml:space="preserve"> services will include</w:t>
      </w:r>
      <w:r w:rsidR="0043000D" w:rsidRPr="00907E0F">
        <w:rPr>
          <w:rFonts w:cstheme="minorHAnsi"/>
        </w:rPr>
        <w:t xml:space="preserve"> </w:t>
      </w:r>
      <w:r w:rsidRPr="00974377">
        <w:rPr>
          <w:rFonts w:asciiTheme="majorHAnsi" w:hAnsiTheme="majorHAnsi" w:cstheme="majorHAnsi"/>
          <w:sz w:val="22"/>
          <w:szCs w:val="22"/>
        </w:rPr>
        <w:t>adjustments to the infrastructure for physical accessibility</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development of the competency of teachers and teacher education students for teaching children with a disability</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adjustment of the curriculum, </w:t>
      </w:r>
      <w:r w:rsidR="00CF34B6" w:rsidRPr="00974377">
        <w:rPr>
          <w:rFonts w:asciiTheme="majorHAnsi" w:hAnsiTheme="majorHAnsi" w:cstheme="majorHAnsi"/>
          <w:sz w:val="22"/>
          <w:szCs w:val="22"/>
        </w:rPr>
        <w:t>materials,</w:t>
      </w:r>
      <w:r w:rsidRPr="00974377">
        <w:rPr>
          <w:rFonts w:asciiTheme="majorHAnsi" w:hAnsiTheme="majorHAnsi" w:cstheme="majorHAnsi"/>
          <w:sz w:val="22"/>
          <w:szCs w:val="22"/>
        </w:rPr>
        <w:t xml:space="preserve"> and assessment of students in line with their competency level</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and certification of attainment for children with a disability at their level of achievement. </w:t>
      </w:r>
      <w:r w:rsidR="0043000D" w:rsidRPr="001E7475">
        <w:rPr>
          <w:rFonts w:asciiTheme="majorHAnsi" w:hAnsiTheme="majorHAnsi" w:cstheme="majorHAnsi"/>
          <w:sz w:val="22"/>
          <w:szCs w:val="22"/>
        </w:rPr>
        <w:t xml:space="preserve">ULD </w:t>
      </w:r>
      <w:r w:rsidR="001E7475">
        <w:rPr>
          <w:rFonts w:asciiTheme="majorHAnsi" w:hAnsiTheme="majorHAnsi" w:cstheme="majorHAnsi"/>
          <w:sz w:val="22"/>
          <w:szCs w:val="22"/>
        </w:rPr>
        <w:t xml:space="preserve">will </w:t>
      </w:r>
      <w:r w:rsidR="0043000D" w:rsidRPr="001E7475">
        <w:rPr>
          <w:rFonts w:asciiTheme="majorHAnsi" w:hAnsiTheme="majorHAnsi" w:cstheme="majorHAnsi"/>
          <w:sz w:val="22"/>
          <w:szCs w:val="22"/>
        </w:rPr>
        <w:t xml:space="preserve">also provide access to </w:t>
      </w:r>
      <w:r w:rsidR="001E7475">
        <w:rPr>
          <w:rFonts w:asciiTheme="majorHAnsi" w:hAnsiTheme="majorHAnsi" w:cstheme="majorHAnsi"/>
          <w:sz w:val="22"/>
          <w:szCs w:val="22"/>
        </w:rPr>
        <w:t>s</w:t>
      </w:r>
      <w:r w:rsidR="0043000D" w:rsidRPr="001E7475">
        <w:rPr>
          <w:rFonts w:asciiTheme="majorHAnsi" w:hAnsiTheme="majorHAnsi" w:cstheme="majorHAnsi"/>
          <w:sz w:val="22"/>
          <w:szCs w:val="22"/>
        </w:rPr>
        <w:t xml:space="preserve">pecialist </w:t>
      </w:r>
      <w:r w:rsidR="001E7475">
        <w:rPr>
          <w:rFonts w:asciiTheme="majorHAnsi" w:hAnsiTheme="majorHAnsi" w:cstheme="majorHAnsi"/>
          <w:sz w:val="22"/>
          <w:szCs w:val="22"/>
        </w:rPr>
        <w:t>h</w:t>
      </w:r>
      <w:r w:rsidR="0043000D" w:rsidRPr="001E7475">
        <w:rPr>
          <w:rFonts w:asciiTheme="majorHAnsi" w:hAnsiTheme="majorHAnsi" w:cstheme="majorHAnsi"/>
          <w:sz w:val="22"/>
          <w:szCs w:val="22"/>
        </w:rPr>
        <w:t xml:space="preserve">ealth and </w:t>
      </w:r>
      <w:r w:rsidR="001E7475">
        <w:rPr>
          <w:rFonts w:asciiTheme="majorHAnsi" w:hAnsiTheme="majorHAnsi" w:cstheme="majorHAnsi"/>
          <w:sz w:val="22"/>
          <w:szCs w:val="22"/>
        </w:rPr>
        <w:t>r</w:t>
      </w:r>
      <w:r w:rsidR="0043000D" w:rsidRPr="001E7475">
        <w:rPr>
          <w:rFonts w:asciiTheme="majorHAnsi" w:hAnsiTheme="majorHAnsi" w:cstheme="majorHAnsi"/>
          <w:sz w:val="22"/>
          <w:szCs w:val="22"/>
        </w:rPr>
        <w:t xml:space="preserve">ehabilitation services, for example eye and ear services, </w:t>
      </w:r>
      <w:r w:rsidR="00C002FF" w:rsidRPr="001E7475">
        <w:rPr>
          <w:rFonts w:asciiTheme="majorHAnsi" w:hAnsiTheme="majorHAnsi" w:cstheme="majorHAnsi"/>
          <w:sz w:val="22"/>
          <w:szCs w:val="22"/>
        </w:rPr>
        <w:t>paediatric</w:t>
      </w:r>
      <w:r w:rsidR="0043000D" w:rsidRPr="001E7475">
        <w:rPr>
          <w:rFonts w:asciiTheme="majorHAnsi" w:hAnsiTheme="majorHAnsi" w:cstheme="majorHAnsi"/>
          <w:sz w:val="22"/>
          <w:szCs w:val="22"/>
        </w:rPr>
        <w:t xml:space="preserve"> assessment, physiotherapy</w:t>
      </w:r>
      <w:r w:rsidR="0043000D">
        <w:rPr>
          <w:rFonts w:asciiTheme="majorHAnsi" w:hAnsiTheme="majorHAnsi" w:cstheme="majorHAnsi"/>
          <w:sz w:val="22"/>
          <w:szCs w:val="22"/>
        </w:rPr>
        <w:t xml:space="preserve">. </w:t>
      </w:r>
      <w:r w:rsidRPr="00974377">
        <w:rPr>
          <w:rFonts w:asciiTheme="majorHAnsi" w:hAnsiTheme="majorHAnsi" w:cstheme="majorHAnsi"/>
          <w:sz w:val="22"/>
          <w:szCs w:val="22"/>
        </w:rPr>
        <w:t xml:space="preserve">The Regulation requires the national and the district governments to </w:t>
      </w:r>
      <w:r w:rsidR="001E7475">
        <w:rPr>
          <w:rFonts w:asciiTheme="majorHAnsi" w:hAnsiTheme="majorHAnsi" w:cstheme="majorHAnsi"/>
          <w:sz w:val="22"/>
          <w:szCs w:val="22"/>
        </w:rPr>
        <w:t xml:space="preserve">develop necessary policies and </w:t>
      </w:r>
      <w:r w:rsidRPr="00974377">
        <w:rPr>
          <w:rFonts w:asciiTheme="majorHAnsi" w:hAnsiTheme="majorHAnsi" w:cstheme="majorHAnsi"/>
          <w:sz w:val="22"/>
          <w:szCs w:val="22"/>
        </w:rPr>
        <w:t xml:space="preserve">provide funding for the implementation of the regulation and for the setting up of ULD. </w:t>
      </w:r>
      <w:proofErr w:type="spellStart"/>
      <w:r w:rsidRPr="00974377">
        <w:rPr>
          <w:rFonts w:asciiTheme="majorHAnsi" w:hAnsiTheme="majorHAnsi" w:cstheme="majorHAnsi"/>
          <w:sz w:val="22"/>
          <w:szCs w:val="22"/>
        </w:rPr>
        <w:t>MoRA</w:t>
      </w:r>
      <w:proofErr w:type="spellEnd"/>
      <w:r w:rsidRPr="00974377">
        <w:rPr>
          <w:rFonts w:asciiTheme="majorHAnsi" w:hAnsiTheme="majorHAnsi" w:cstheme="majorHAnsi"/>
          <w:sz w:val="22"/>
          <w:szCs w:val="22"/>
        </w:rPr>
        <w:t xml:space="preserve"> is well advanced in response to this </w:t>
      </w:r>
      <w:r w:rsidR="001E7475">
        <w:rPr>
          <w:rFonts w:asciiTheme="majorHAnsi" w:hAnsiTheme="majorHAnsi" w:cstheme="majorHAnsi"/>
          <w:sz w:val="22"/>
          <w:szCs w:val="22"/>
        </w:rPr>
        <w:t>Regulation</w:t>
      </w:r>
      <w:r w:rsidRPr="00974377">
        <w:rPr>
          <w:rFonts w:asciiTheme="majorHAnsi" w:hAnsiTheme="majorHAnsi" w:cstheme="majorHAnsi"/>
          <w:sz w:val="22"/>
          <w:szCs w:val="22"/>
        </w:rPr>
        <w:t xml:space="preserve"> - it already has a policy requiring madrasah to accommodate children with a disability - but continue</w:t>
      </w:r>
      <w:r w:rsidR="001E7475">
        <w:rPr>
          <w:rFonts w:asciiTheme="majorHAnsi" w:hAnsiTheme="majorHAnsi" w:cstheme="majorHAnsi"/>
          <w:sz w:val="22"/>
          <w:szCs w:val="22"/>
        </w:rPr>
        <w:t>s</w:t>
      </w:r>
      <w:r w:rsidRPr="00974377">
        <w:rPr>
          <w:rFonts w:asciiTheme="majorHAnsi" w:hAnsiTheme="majorHAnsi" w:cstheme="majorHAnsi"/>
          <w:sz w:val="22"/>
          <w:szCs w:val="22"/>
        </w:rPr>
        <w:t xml:space="preserve"> to need support to operationalising its Inclusive Madrasah policy. </w:t>
      </w:r>
    </w:p>
    <w:p w14:paraId="2A628365" w14:textId="63ABBD9C" w:rsidR="00ED705E" w:rsidRPr="00974377" w:rsidRDefault="00ED705E" w:rsidP="00B86A7F">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other opportunity for overcoming barriers is the </w:t>
      </w:r>
      <w:proofErr w:type="spellStart"/>
      <w:r w:rsidRPr="00974377">
        <w:rPr>
          <w:rFonts w:asciiTheme="majorHAnsi" w:hAnsiTheme="majorHAnsi" w:cstheme="majorHAnsi"/>
          <w:sz w:val="22"/>
          <w:szCs w:val="22"/>
        </w:rPr>
        <w:t>MoECRT</w:t>
      </w:r>
      <w:proofErr w:type="spellEnd"/>
      <w:r w:rsidRPr="00974377">
        <w:rPr>
          <w:rFonts w:asciiTheme="majorHAnsi" w:hAnsiTheme="majorHAnsi" w:cstheme="majorHAnsi"/>
          <w:sz w:val="22"/>
          <w:szCs w:val="22"/>
        </w:rPr>
        <w:t xml:space="preserve"> and </w:t>
      </w:r>
      <w:proofErr w:type="spellStart"/>
      <w:r w:rsidRPr="00974377">
        <w:rPr>
          <w:rFonts w:asciiTheme="majorHAnsi" w:hAnsiTheme="majorHAnsi" w:cstheme="majorHAnsi"/>
          <w:sz w:val="22"/>
          <w:szCs w:val="22"/>
        </w:rPr>
        <w:t>MoRA</w:t>
      </w:r>
      <w:proofErr w:type="spellEnd"/>
      <w:r w:rsidRPr="00974377">
        <w:rPr>
          <w:rFonts w:asciiTheme="majorHAnsi" w:hAnsiTheme="majorHAnsi" w:cstheme="majorHAnsi"/>
          <w:sz w:val="22"/>
          <w:szCs w:val="22"/>
        </w:rPr>
        <w:t xml:space="preserve"> take-up of INOVASI-supported Student Learning Profile (</w:t>
      </w:r>
      <w:proofErr w:type="spellStart"/>
      <w:r w:rsidRPr="00C002FF">
        <w:rPr>
          <w:rFonts w:asciiTheme="majorHAnsi" w:hAnsiTheme="majorHAnsi" w:cstheme="majorHAnsi"/>
          <w:i/>
          <w:iCs/>
          <w:sz w:val="22"/>
          <w:szCs w:val="22"/>
        </w:rPr>
        <w:t>Profil</w:t>
      </w:r>
      <w:proofErr w:type="spellEnd"/>
      <w:r w:rsidRPr="00C002FF">
        <w:rPr>
          <w:rFonts w:asciiTheme="majorHAnsi" w:hAnsiTheme="majorHAnsi" w:cstheme="majorHAnsi"/>
          <w:i/>
          <w:iCs/>
          <w:sz w:val="22"/>
          <w:szCs w:val="22"/>
        </w:rPr>
        <w:t xml:space="preserve"> </w:t>
      </w:r>
      <w:proofErr w:type="spellStart"/>
      <w:r w:rsidRPr="00C002FF">
        <w:rPr>
          <w:rFonts w:asciiTheme="majorHAnsi" w:hAnsiTheme="majorHAnsi" w:cstheme="majorHAnsi"/>
          <w:i/>
          <w:iCs/>
          <w:sz w:val="22"/>
          <w:szCs w:val="22"/>
        </w:rPr>
        <w:t>Belajar</w:t>
      </w:r>
      <w:proofErr w:type="spellEnd"/>
      <w:r w:rsidRPr="00C002FF">
        <w:rPr>
          <w:rFonts w:asciiTheme="majorHAnsi" w:hAnsiTheme="majorHAnsi" w:cstheme="majorHAnsi"/>
          <w:i/>
          <w:iCs/>
          <w:sz w:val="22"/>
          <w:szCs w:val="22"/>
        </w:rPr>
        <w:t xml:space="preserve"> </w:t>
      </w:r>
      <w:proofErr w:type="spellStart"/>
      <w:r w:rsidRPr="00C002FF">
        <w:rPr>
          <w:rFonts w:asciiTheme="majorHAnsi" w:hAnsiTheme="majorHAnsi" w:cstheme="majorHAnsi"/>
          <w:i/>
          <w:iCs/>
          <w:sz w:val="22"/>
          <w:szCs w:val="22"/>
        </w:rPr>
        <w:t>Siswa</w:t>
      </w:r>
      <w:proofErr w:type="spellEnd"/>
      <w:r w:rsidRPr="00974377">
        <w:rPr>
          <w:rFonts w:asciiTheme="majorHAnsi" w:hAnsiTheme="majorHAnsi" w:cstheme="majorHAnsi"/>
          <w:sz w:val="22"/>
          <w:szCs w:val="22"/>
        </w:rPr>
        <w:t xml:space="preserve"> or PBS). This system includes instruments and materials that enable ordinary teachers to </w:t>
      </w:r>
      <w:r w:rsidR="0043000D">
        <w:rPr>
          <w:rFonts w:asciiTheme="majorHAnsi" w:hAnsiTheme="majorHAnsi" w:cstheme="majorHAnsi"/>
          <w:sz w:val="22"/>
          <w:szCs w:val="22"/>
        </w:rPr>
        <w:t>identify</w:t>
      </w:r>
      <w:r w:rsidR="0043000D" w:rsidRPr="00974377">
        <w:rPr>
          <w:rFonts w:asciiTheme="majorHAnsi" w:hAnsiTheme="majorHAnsi" w:cstheme="majorHAnsi"/>
          <w:sz w:val="22"/>
          <w:szCs w:val="22"/>
        </w:rPr>
        <w:t xml:space="preserve"> </w:t>
      </w:r>
      <w:r w:rsidRPr="00974377">
        <w:rPr>
          <w:rFonts w:asciiTheme="majorHAnsi" w:hAnsiTheme="majorHAnsi" w:cstheme="majorHAnsi"/>
          <w:sz w:val="22"/>
          <w:szCs w:val="22"/>
        </w:rPr>
        <w:t xml:space="preserve">learning </w:t>
      </w:r>
      <w:r w:rsidR="0043000D">
        <w:rPr>
          <w:rFonts w:asciiTheme="majorHAnsi" w:hAnsiTheme="majorHAnsi" w:cstheme="majorHAnsi"/>
          <w:sz w:val="22"/>
          <w:szCs w:val="22"/>
        </w:rPr>
        <w:t>difficulties</w:t>
      </w:r>
      <w:r w:rsidR="0043000D" w:rsidRPr="00974377">
        <w:rPr>
          <w:rFonts w:asciiTheme="majorHAnsi" w:hAnsiTheme="majorHAnsi" w:cstheme="majorHAnsi"/>
          <w:sz w:val="22"/>
          <w:szCs w:val="22"/>
        </w:rPr>
        <w:t xml:space="preserve"> </w:t>
      </w:r>
      <w:r w:rsidRPr="00974377">
        <w:rPr>
          <w:rFonts w:asciiTheme="majorHAnsi" w:hAnsiTheme="majorHAnsi" w:cstheme="majorHAnsi"/>
          <w:sz w:val="22"/>
          <w:szCs w:val="22"/>
        </w:rPr>
        <w:t>of children with a disability and develop appropriate lessons and material. It uses functional data to identify learning difficulties, replacing the medical model for classroom use.</w:t>
      </w:r>
      <w:r w:rsidRPr="00974377">
        <w:rPr>
          <w:rFonts w:asciiTheme="majorHAnsi" w:hAnsiTheme="majorHAnsi" w:cstheme="majorHAnsi"/>
          <w:sz w:val="22"/>
          <w:szCs w:val="22"/>
          <w:vertAlign w:val="superscript"/>
        </w:rPr>
        <w:footnoteReference w:id="50"/>
      </w:r>
      <w:r w:rsidRPr="00974377">
        <w:rPr>
          <w:rFonts w:asciiTheme="majorHAnsi" w:hAnsiTheme="majorHAnsi" w:cstheme="majorHAnsi"/>
          <w:sz w:val="22"/>
          <w:szCs w:val="22"/>
        </w:rPr>
        <w:t xml:space="preserve">  Beyond adoption, the two Ministries have also endorsed the use of the PBS and its disability categorisations for </w:t>
      </w:r>
      <w:r w:rsidR="001E7475">
        <w:rPr>
          <w:rFonts w:asciiTheme="majorHAnsi" w:hAnsiTheme="majorHAnsi" w:cstheme="majorHAnsi"/>
          <w:sz w:val="22"/>
          <w:szCs w:val="22"/>
        </w:rPr>
        <w:t xml:space="preserve">the collection of </w:t>
      </w:r>
      <w:r w:rsidRPr="00974377">
        <w:rPr>
          <w:rFonts w:asciiTheme="majorHAnsi" w:hAnsiTheme="majorHAnsi" w:cstheme="majorHAnsi"/>
          <w:sz w:val="22"/>
          <w:szCs w:val="22"/>
        </w:rPr>
        <w:t xml:space="preserve">data for their national education databases, </w:t>
      </w:r>
      <w:proofErr w:type="spellStart"/>
      <w:r w:rsidRPr="00974377">
        <w:rPr>
          <w:rFonts w:asciiTheme="majorHAnsi" w:hAnsiTheme="majorHAnsi" w:cstheme="majorHAnsi"/>
          <w:sz w:val="22"/>
          <w:szCs w:val="22"/>
        </w:rPr>
        <w:t>MoECRT’s</w:t>
      </w:r>
      <w:proofErr w:type="spellEnd"/>
      <w:r w:rsidRPr="00974377">
        <w:rPr>
          <w:rFonts w:asciiTheme="majorHAnsi" w:hAnsiTheme="majorHAnsi" w:cstheme="majorHAnsi"/>
          <w:sz w:val="22"/>
          <w:szCs w:val="22"/>
        </w:rPr>
        <w:t xml:space="preserve"> </w:t>
      </w:r>
      <w:proofErr w:type="spellStart"/>
      <w:r w:rsidRPr="00974377">
        <w:rPr>
          <w:rFonts w:asciiTheme="majorHAnsi" w:hAnsiTheme="majorHAnsi" w:cstheme="majorHAnsi"/>
          <w:i/>
          <w:iCs/>
          <w:sz w:val="22"/>
          <w:szCs w:val="22"/>
        </w:rPr>
        <w:t>Dapodik</w:t>
      </w:r>
      <w:proofErr w:type="spellEnd"/>
      <w:r w:rsidRPr="00974377">
        <w:rPr>
          <w:rFonts w:asciiTheme="majorHAnsi" w:hAnsiTheme="majorHAnsi" w:cstheme="majorHAnsi"/>
          <w:sz w:val="22"/>
          <w:szCs w:val="22"/>
        </w:rPr>
        <w:t xml:space="preserve"> and </w:t>
      </w:r>
      <w:proofErr w:type="spellStart"/>
      <w:r w:rsidRPr="00974377">
        <w:rPr>
          <w:rFonts w:asciiTheme="majorHAnsi" w:hAnsiTheme="majorHAnsi" w:cstheme="majorHAnsi"/>
          <w:sz w:val="22"/>
          <w:szCs w:val="22"/>
        </w:rPr>
        <w:t>MoRA’s</w:t>
      </w:r>
      <w:proofErr w:type="spellEnd"/>
      <w:r w:rsidRPr="00974377">
        <w:rPr>
          <w:rFonts w:asciiTheme="majorHAnsi" w:hAnsiTheme="majorHAnsi" w:cstheme="majorHAnsi"/>
          <w:sz w:val="22"/>
          <w:szCs w:val="22"/>
        </w:rPr>
        <w:t xml:space="preserve"> EMIS system. Resources have also been created, in the form of manuals and training videos, for teachers and parents to </w:t>
      </w:r>
      <w:r w:rsidR="0043000D">
        <w:rPr>
          <w:rFonts w:asciiTheme="majorHAnsi" w:hAnsiTheme="majorHAnsi" w:cstheme="majorHAnsi"/>
          <w:sz w:val="22"/>
          <w:szCs w:val="22"/>
        </w:rPr>
        <w:t>identify</w:t>
      </w:r>
      <w:r w:rsidR="0043000D" w:rsidRPr="00974377">
        <w:rPr>
          <w:rFonts w:asciiTheme="majorHAnsi" w:hAnsiTheme="majorHAnsi" w:cstheme="majorHAnsi"/>
          <w:sz w:val="22"/>
          <w:szCs w:val="22"/>
        </w:rPr>
        <w:t xml:space="preserve"> </w:t>
      </w:r>
      <w:r w:rsidRPr="00974377">
        <w:rPr>
          <w:rFonts w:asciiTheme="majorHAnsi" w:hAnsiTheme="majorHAnsi" w:cstheme="majorHAnsi"/>
          <w:sz w:val="22"/>
          <w:szCs w:val="22"/>
        </w:rPr>
        <w:t xml:space="preserve">learning </w:t>
      </w:r>
      <w:r w:rsidR="0043000D">
        <w:rPr>
          <w:rFonts w:asciiTheme="majorHAnsi" w:hAnsiTheme="majorHAnsi" w:cstheme="majorHAnsi"/>
          <w:sz w:val="22"/>
          <w:szCs w:val="22"/>
        </w:rPr>
        <w:t>difficulties</w:t>
      </w:r>
      <w:r w:rsidR="0043000D" w:rsidRPr="00974377">
        <w:rPr>
          <w:rFonts w:asciiTheme="majorHAnsi" w:hAnsiTheme="majorHAnsi" w:cstheme="majorHAnsi"/>
          <w:sz w:val="22"/>
          <w:szCs w:val="22"/>
        </w:rPr>
        <w:t xml:space="preserve"> </w:t>
      </w:r>
      <w:r w:rsidRPr="00974377">
        <w:rPr>
          <w:rFonts w:asciiTheme="majorHAnsi" w:hAnsiTheme="majorHAnsi" w:cstheme="majorHAnsi"/>
          <w:sz w:val="22"/>
          <w:szCs w:val="22"/>
        </w:rPr>
        <w:t>using the PBS instrument. As such and for the first time, systematic data collection on students with disabilities is possible in the education system, allowing for improvement in nation-wide policy and planning development.</w:t>
      </w:r>
    </w:p>
    <w:p w14:paraId="20577D81" w14:textId="77777777" w:rsidR="00ED705E" w:rsidRPr="0094721A" w:rsidRDefault="00ED705E" w:rsidP="008D1844">
      <w:pPr>
        <w:pStyle w:val="Heading3"/>
        <w:numPr>
          <w:ilvl w:val="0"/>
          <w:numId w:val="60"/>
        </w:numPr>
        <w:rPr>
          <w:rFonts w:cstheme="majorHAnsi"/>
          <w:sz w:val="22"/>
          <w:szCs w:val="22"/>
        </w:rPr>
      </w:pPr>
      <w:r w:rsidRPr="00283237">
        <w:rPr>
          <w:b/>
          <w:sz w:val="22"/>
          <w:szCs w:val="20"/>
        </w:rPr>
        <w:t xml:space="preserve">INOVASI Phase 3 approach </w:t>
      </w:r>
    </w:p>
    <w:p w14:paraId="57768019" w14:textId="6191CCA8" w:rsidR="00ED705E" w:rsidRPr="00974377" w:rsidRDefault="00ED705E" w:rsidP="00B86A7F">
      <w:pPr>
        <w:tabs>
          <w:tab w:val="left" w:pos="284"/>
        </w:tabs>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INOVASI Phase 3 </w:t>
      </w:r>
      <w:r w:rsidR="001D06A6" w:rsidRPr="00974377">
        <w:rPr>
          <w:rFonts w:asciiTheme="majorHAnsi" w:hAnsiTheme="majorHAnsi" w:cstheme="majorHAnsi"/>
          <w:sz w:val="22"/>
          <w:szCs w:val="22"/>
        </w:rPr>
        <w:t>GEDSI strategy will</w:t>
      </w:r>
      <w:r w:rsidR="001E7D7C" w:rsidRPr="00974377">
        <w:rPr>
          <w:rFonts w:asciiTheme="majorHAnsi" w:hAnsiTheme="majorHAnsi" w:cstheme="majorHAnsi"/>
          <w:sz w:val="22"/>
          <w:szCs w:val="22"/>
        </w:rPr>
        <w:t xml:space="preserve"> </w:t>
      </w:r>
      <w:r w:rsidRPr="00974377">
        <w:rPr>
          <w:rFonts w:asciiTheme="majorHAnsi" w:hAnsiTheme="majorHAnsi" w:cstheme="majorHAnsi"/>
          <w:sz w:val="22"/>
          <w:szCs w:val="22"/>
        </w:rPr>
        <w:t xml:space="preserve">include targeted </w:t>
      </w:r>
      <w:r w:rsidR="001D06A6">
        <w:rPr>
          <w:rFonts w:asciiTheme="majorHAnsi" w:hAnsiTheme="majorHAnsi" w:cstheme="majorHAnsi"/>
          <w:sz w:val="22"/>
          <w:szCs w:val="22"/>
        </w:rPr>
        <w:t xml:space="preserve">activities to </w:t>
      </w:r>
      <w:r w:rsidRPr="00974377">
        <w:rPr>
          <w:rFonts w:asciiTheme="majorHAnsi" w:hAnsiTheme="majorHAnsi" w:cstheme="majorHAnsi"/>
          <w:sz w:val="22"/>
          <w:szCs w:val="22"/>
        </w:rPr>
        <w:t xml:space="preserve">support the implementation of the Regulation, including maximising the use of newly available resources for identifying, </w:t>
      </w:r>
      <w:r w:rsidR="00061C5C" w:rsidRPr="00974377">
        <w:rPr>
          <w:rFonts w:asciiTheme="majorHAnsi" w:hAnsiTheme="majorHAnsi" w:cstheme="majorHAnsi"/>
          <w:sz w:val="22"/>
          <w:szCs w:val="22"/>
        </w:rPr>
        <w:t>supporting,</w:t>
      </w:r>
      <w:r w:rsidRPr="00974377">
        <w:rPr>
          <w:rFonts w:asciiTheme="majorHAnsi" w:hAnsiTheme="majorHAnsi" w:cstheme="majorHAnsi"/>
          <w:sz w:val="22"/>
          <w:szCs w:val="22"/>
        </w:rPr>
        <w:t xml:space="preserve"> and monitoring the learning of children with a disability, and addressing the safety and </w:t>
      </w:r>
      <w:r w:rsidR="00431ECE">
        <w:rPr>
          <w:rFonts w:asciiTheme="majorHAnsi" w:hAnsiTheme="majorHAnsi" w:cstheme="majorHAnsi"/>
          <w:sz w:val="22"/>
          <w:szCs w:val="22"/>
        </w:rPr>
        <w:t>well-being</w:t>
      </w:r>
      <w:r w:rsidRPr="00974377">
        <w:rPr>
          <w:rFonts w:asciiTheme="majorHAnsi" w:hAnsiTheme="majorHAnsi" w:cstheme="majorHAnsi"/>
          <w:sz w:val="22"/>
          <w:szCs w:val="22"/>
        </w:rPr>
        <w:t xml:space="preserve"> of girls with a disability in schools. Examples of activities include:</w:t>
      </w:r>
    </w:p>
    <w:p w14:paraId="5F68A1D4" w14:textId="4E95F2CC" w:rsidR="001D06A6" w:rsidRDefault="00ED705E" w:rsidP="008D1844">
      <w:pPr>
        <w:pStyle w:val="ListParagraph"/>
        <w:numPr>
          <w:ilvl w:val="0"/>
          <w:numId w:val="45"/>
        </w:numPr>
        <w:spacing w:after="120" w:line="281" w:lineRule="auto"/>
        <w:ind w:left="567" w:hanging="283"/>
        <w:contextualSpacing w:val="0"/>
        <w:rPr>
          <w:rFonts w:asciiTheme="majorHAnsi" w:hAnsiTheme="majorHAnsi" w:cstheme="majorHAnsi"/>
          <w:sz w:val="22"/>
          <w:szCs w:val="22"/>
        </w:rPr>
      </w:pPr>
      <w:r w:rsidRPr="00974377">
        <w:rPr>
          <w:rFonts w:asciiTheme="majorHAnsi" w:hAnsiTheme="majorHAnsi" w:cstheme="majorHAnsi"/>
          <w:sz w:val="22"/>
          <w:szCs w:val="22"/>
        </w:rPr>
        <w:t>Policy dialogue at national and subnational levels involving OPD</w:t>
      </w:r>
      <w:r w:rsidR="00187339">
        <w:rPr>
          <w:rFonts w:asciiTheme="majorHAnsi" w:hAnsiTheme="majorHAnsi" w:cstheme="majorHAnsi"/>
          <w:sz w:val="22"/>
          <w:szCs w:val="22"/>
        </w:rPr>
        <w:t>s</w:t>
      </w:r>
      <w:r w:rsidRPr="00974377">
        <w:rPr>
          <w:rFonts w:asciiTheme="majorHAnsi" w:hAnsiTheme="majorHAnsi" w:cstheme="majorHAnsi"/>
          <w:sz w:val="22"/>
          <w:szCs w:val="22"/>
        </w:rPr>
        <w:t xml:space="preserve">, to promote the inclusion of Regulation’s recommendations in national and district strategic education plans, including a timeline for establishment of functioning </w:t>
      </w:r>
      <w:r w:rsidR="00CA0C10">
        <w:rPr>
          <w:rFonts w:asciiTheme="majorHAnsi" w:hAnsiTheme="majorHAnsi" w:cstheme="majorHAnsi"/>
          <w:sz w:val="22"/>
          <w:szCs w:val="22"/>
        </w:rPr>
        <w:t>disability hubs (</w:t>
      </w:r>
      <w:r w:rsidRPr="00974377">
        <w:rPr>
          <w:rFonts w:asciiTheme="majorHAnsi" w:hAnsiTheme="majorHAnsi" w:cstheme="majorHAnsi"/>
          <w:sz w:val="22"/>
          <w:szCs w:val="22"/>
        </w:rPr>
        <w:t>ULDs</w:t>
      </w:r>
      <w:r w:rsidR="00CA0C10">
        <w:rPr>
          <w:rFonts w:asciiTheme="majorHAnsi" w:hAnsiTheme="majorHAnsi" w:cstheme="majorHAnsi"/>
          <w:sz w:val="22"/>
          <w:szCs w:val="22"/>
        </w:rPr>
        <w:t>)</w:t>
      </w:r>
      <w:r w:rsidRPr="00974377">
        <w:rPr>
          <w:rFonts w:asciiTheme="majorHAnsi" w:hAnsiTheme="majorHAnsi" w:cstheme="majorHAnsi"/>
          <w:sz w:val="22"/>
          <w:szCs w:val="22"/>
        </w:rPr>
        <w:t xml:space="preserve"> in </w:t>
      </w:r>
      <w:r w:rsidR="001E7475">
        <w:rPr>
          <w:rFonts w:asciiTheme="majorHAnsi" w:hAnsiTheme="majorHAnsi" w:cstheme="majorHAnsi"/>
          <w:sz w:val="22"/>
          <w:szCs w:val="22"/>
        </w:rPr>
        <w:t>target</w:t>
      </w:r>
      <w:r w:rsidR="0094721A">
        <w:rPr>
          <w:rFonts w:asciiTheme="majorHAnsi" w:hAnsiTheme="majorHAnsi" w:cstheme="majorHAnsi"/>
          <w:sz w:val="22"/>
          <w:szCs w:val="22"/>
        </w:rPr>
        <w:t xml:space="preserve"> </w:t>
      </w:r>
      <w:r w:rsidRPr="00974377">
        <w:rPr>
          <w:rFonts w:asciiTheme="majorHAnsi" w:hAnsiTheme="majorHAnsi" w:cstheme="majorHAnsi"/>
          <w:sz w:val="22"/>
          <w:szCs w:val="22"/>
        </w:rPr>
        <w:t>districts and teacher training in disability inclusion.</w:t>
      </w:r>
    </w:p>
    <w:p w14:paraId="36C35802" w14:textId="28FA73D2" w:rsidR="001E7475" w:rsidRDefault="001E7475" w:rsidP="008D1844">
      <w:pPr>
        <w:pStyle w:val="ListParagraph"/>
        <w:numPr>
          <w:ilvl w:val="0"/>
          <w:numId w:val="45"/>
        </w:numPr>
        <w:spacing w:after="120" w:line="281" w:lineRule="auto"/>
        <w:ind w:left="567" w:hanging="283"/>
        <w:contextualSpacing w:val="0"/>
        <w:rPr>
          <w:rFonts w:asciiTheme="majorHAnsi" w:hAnsiTheme="majorHAnsi" w:cstheme="majorHAnsi"/>
          <w:sz w:val="22"/>
          <w:szCs w:val="22"/>
        </w:rPr>
      </w:pPr>
      <w:r w:rsidRPr="001D06A6">
        <w:rPr>
          <w:rFonts w:asciiTheme="majorHAnsi" w:hAnsiTheme="majorHAnsi" w:cstheme="majorHAnsi"/>
          <w:sz w:val="22"/>
          <w:szCs w:val="22"/>
        </w:rPr>
        <w:lastRenderedPageBreak/>
        <w:t>Support to district ecosystem (district OPD</w:t>
      </w:r>
      <w:r w:rsidR="00187339">
        <w:rPr>
          <w:rFonts w:asciiTheme="majorHAnsi" w:hAnsiTheme="majorHAnsi" w:cstheme="majorHAnsi"/>
          <w:sz w:val="22"/>
          <w:szCs w:val="22"/>
        </w:rPr>
        <w:t>s</w:t>
      </w:r>
      <w:r w:rsidRPr="001D06A6">
        <w:rPr>
          <w:rFonts w:asciiTheme="majorHAnsi" w:hAnsiTheme="majorHAnsi" w:cstheme="majorHAnsi"/>
          <w:sz w:val="22"/>
          <w:szCs w:val="22"/>
        </w:rPr>
        <w:t xml:space="preserve">, the BGP and the local education office) to develop a short course on identifying children who may have a disability, and on curriculum, </w:t>
      </w:r>
      <w:r w:rsidR="00061C5C" w:rsidRPr="001D06A6">
        <w:rPr>
          <w:rFonts w:asciiTheme="majorHAnsi" w:hAnsiTheme="majorHAnsi" w:cstheme="majorHAnsi"/>
          <w:sz w:val="22"/>
          <w:szCs w:val="22"/>
        </w:rPr>
        <w:t>material</w:t>
      </w:r>
      <w:r w:rsidR="00061C5C">
        <w:rPr>
          <w:rFonts w:asciiTheme="majorHAnsi" w:hAnsiTheme="majorHAnsi" w:cstheme="majorHAnsi"/>
          <w:sz w:val="22"/>
          <w:szCs w:val="22"/>
        </w:rPr>
        <w:t>s</w:t>
      </w:r>
      <w:r w:rsidR="00061C5C" w:rsidRPr="001D06A6">
        <w:rPr>
          <w:rFonts w:asciiTheme="majorHAnsi" w:hAnsiTheme="majorHAnsi" w:cstheme="majorHAnsi"/>
          <w:sz w:val="22"/>
          <w:szCs w:val="22"/>
        </w:rPr>
        <w:t>,</w:t>
      </w:r>
      <w:r w:rsidRPr="001D06A6">
        <w:rPr>
          <w:rFonts w:asciiTheme="majorHAnsi" w:hAnsiTheme="majorHAnsi" w:cstheme="majorHAnsi"/>
          <w:sz w:val="22"/>
          <w:szCs w:val="22"/>
        </w:rPr>
        <w:t xml:space="preserve"> and pedagogical adjustment for levels of different need, using resources now available through </w:t>
      </w:r>
      <w:proofErr w:type="spellStart"/>
      <w:r w:rsidRPr="001D06A6">
        <w:rPr>
          <w:rFonts w:asciiTheme="majorHAnsi" w:hAnsiTheme="majorHAnsi" w:cstheme="majorHAnsi"/>
          <w:sz w:val="22"/>
          <w:szCs w:val="22"/>
        </w:rPr>
        <w:t>MoECRT</w:t>
      </w:r>
      <w:proofErr w:type="spellEnd"/>
      <w:r w:rsidRPr="001D06A6">
        <w:rPr>
          <w:rFonts w:asciiTheme="majorHAnsi" w:hAnsiTheme="majorHAnsi" w:cstheme="majorHAnsi"/>
          <w:sz w:val="22"/>
          <w:szCs w:val="22"/>
        </w:rPr>
        <w:t xml:space="preserve"> digital platform (PMM), and dissemination of hard copy to schools that cannot access the </w:t>
      </w:r>
      <w:r w:rsidR="0042127B">
        <w:rPr>
          <w:rFonts w:asciiTheme="majorHAnsi" w:hAnsiTheme="majorHAnsi" w:cstheme="majorHAnsi"/>
          <w:sz w:val="22"/>
          <w:szCs w:val="22"/>
        </w:rPr>
        <w:t>Internet</w:t>
      </w:r>
      <w:r w:rsidRPr="001D06A6">
        <w:rPr>
          <w:rFonts w:asciiTheme="majorHAnsi" w:hAnsiTheme="majorHAnsi" w:cstheme="majorHAnsi"/>
          <w:sz w:val="22"/>
          <w:szCs w:val="22"/>
        </w:rPr>
        <w:t>. These short course</w:t>
      </w:r>
      <w:r w:rsidR="001D06A6" w:rsidRPr="001D06A6">
        <w:rPr>
          <w:rFonts w:asciiTheme="majorHAnsi" w:hAnsiTheme="majorHAnsi" w:cstheme="majorHAnsi"/>
          <w:sz w:val="22"/>
          <w:szCs w:val="22"/>
        </w:rPr>
        <w:t>s</w:t>
      </w:r>
      <w:r w:rsidRPr="001D06A6">
        <w:rPr>
          <w:rFonts w:asciiTheme="majorHAnsi" w:hAnsiTheme="majorHAnsi" w:cstheme="majorHAnsi"/>
          <w:sz w:val="22"/>
          <w:szCs w:val="22"/>
        </w:rPr>
        <w:t xml:space="preserve"> could be run though learning communities/KKG</w:t>
      </w:r>
      <w:r w:rsidR="001D06A6">
        <w:rPr>
          <w:rFonts w:asciiTheme="majorHAnsi" w:hAnsiTheme="majorHAnsi" w:cstheme="majorHAnsi"/>
          <w:sz w:val="22"/>
          <w:szCs w:val="22"/>
        </w:rPr>
        <w:t>.</w:t>
      </w:r>
    </w:p>
    <w:p w14:paraId="2B7638D1" w14:textId="476CF9D1" w:rsidR="001D06A6" w:rsidRPr="001D06A6" w:rsidRDefault="001D06A6" w:rsidP="008D1844">
      <w:pPr>
        <w:pStyle w:val="ListParagraph"/>
        <w:numPr>
          <w:ilvl w:val="0"/>
          <w:numId w:val="45"/>
        </w:numPr>
        <w:spacing w:after="120" w:line="281" w:lineRule="auto"/>
        <w:ind w:left="567" w:hanging="283"/>
        <w:contextualSpacing w:val="0"/>
        <w:rPr>
          <w:rFonts w:asciiTheme="majorHAnsi" w:hAnsiTheme="majorHAnsi" w:cstheme="majorHAnsi"/>
          <w:sz w:val="22"/>
          <w:szCs w:val="22"/>
        </w:rPr>
      </w:pPr>
      <w:r w:rsidRPr="001D06A6">
        <w:rPr>
          <w:rFonts w:asciiTheme="majorHAnsi" w:hAnsiTheme="majorHAnsi" w:cstheme="majorHAnsi"/>
          <w:sz w:val="22"/>
          <w:szCs w:val="22"/>
        </w:rPr>
        <w:t>Support to district ecosystem for the establishment of 'Youth with disability' networks within target district to increase awareness of their rights</w:t>
      </w:r>
      <w:r w:rsidR="00221415">
        <w:rPr>
          <w:rFonts w:asciiTheme="majorHAnsi" w:hAnsiTheme="majorHAnsi" w:cstheme="majorHAnsi"/>
          <w:sz w:val="22"/>
          <w:szCs w:val="22"/>
        </w:rPr>
        <w:t>,</w:t>
      </w:r>
      <w:r w:rsidRPr="001D06A6">
        <w:rPr>
          <w:rFonts w:asciiTheme="majorHAnsi" w:hAnsiTheme="majorHAnsi" w:cstheme="majorHAnsi"/>
          <w:sz w:val="22"/>
          <w:szCs w:val="22"/>
        </w:rPr>
        <w:t xml:space="preserve"> engage with role models</w:t>
      </w:r>
      <w:r w:rsidR="00221415">
        <w:rPr>
          <w:rFonts w:asciiTheme="majorHAnsi" w:hAnsiTheme="majorHAnsi" w:cstheme="majorHAnsi"/>
          <w:sz w:val="22"/>
          <w:szCs w:val="22"/>
        </w:rPr>
        <w:t>,</w:t>
      </w:r>
      <w:r w:rsidRPr="001D06A6">
        <w:rPr>
          <w:rFonts w:asciiTheme="majorHAnsi" w:hAnsiTheme="majorHAnsi" w:cstheme="majorHAnsi"/>
          <w:sz w:val="22"/>
          <w:szCs w:val="22"/>
        </w:rPr>
        <w:t xml:space="preserve"> and discuss sensitive topics related to disability, </w:t>
      </w:r>
      <w:r w:rsidR="00061C5C" w:rsidRPr="001D06A6">
        <w:rPr>
          <w:rFonts w:asciiTheme="majorHAnsi" w:hAnsiTheme="majorHAnsi" w:cstheme="majorHAnsi"/>
          <w:sz w:val="22"/>
          <w:szCs w:val="22"/>
        </w:rPr>
        <w:t>relationships,</w:t>
      </w:r>
      <w:r w:rsidRPr="001D06A6">
        <w:rPr>
          <w:rFonts w:asciiTheme="majorHAnsi" w:hAnsiTheme="majorHAnsi" w:cstheme="majorHAnsi"/>
          <w:sz w:val="22"/>
          <w:szCs w:val="22"/>
        </w:rPr>
        <w:t xml:space="preserve"> and sexuality. OPDs could be recruited to facilitate these groups, and training for facilitators provided.</w:t>
      </w:r>
    </w:p>
    <w:p w14:paraId="129941A5" w14:textId="105B6D75" w:rsidR="00ED705E" w:rsidRPr="00974377" w:rsidRDefault="0043000D" w:rsidP="008D1844">
      <w:pPr>
        <w:pStyle w:val="ListParagraph"/>
        <w:numPr>
          <w:ilvl w:val="0"/>
          <w:numId w:val="45"/>
        </w:numPr>
        <w:spacing w:after="120" w:line="281" w:lineRule="auto"/>
        <w:ind w:left="567" w:hanging="283"/>
        <w:contextualSpacing w:val="0"/>
        <w:rPr>
          <w:rFonts w:asciiTheme="majorHAnsi" w:hAnsiTheme="majorHAnsi" w:cstheme="majorHAnsi"/>
          <w:sz w:val="22"/>
          <w:szCs w:val="22"/>
        </w:rPr>
      </w:pPr>
      <w:r w:rsidRPr="001D06A6">
        <w:rPr>
          <w:rFonts w:asciiTheme="majorHAnsi" w:hAnsiTheme="majorHAnsi" w:cstheme="majorHAnsi"/>
          <w:sz w:val="22"/>
          <w:szCs w:val="22"/>
        </w:rPr>
        <w:t>PFM</w:t>
      </w:r>
      <w:r w:rsidRPr="00907E0F">
        <w:rPr>
          <w:rFonts w:cstheme="minorHAnsi"/>
        </w:rPr>
        <w:t xml:space="preserve"> </w:t>
      </w:r>
      <w:r w:rsidR="00ED705E" w:rsidRPr="00974377">
        <w:rPr>
          <w:rFonts w:asciiTheme="majorHAnsi" w:hAnsiTheme="majorHAnsi" w:cstheme="majorHAnsi"/>
          <w:sz w:val="22"/>
          <w:szCs w:val="22"/>
        </w:rPr>
        <w:t xml:space="preserve">analyses in </w:t>
      </w:r>
      <w:r w:rsidR="001E7475">
        <w:rPr>
          <w:rFonts w:asciiTheme="majorHAnsi" w:hAnsiTheme="majorHAnsi" w:cstheme="majorHAnsi"/>
          <w:sz w:val="22"/>
          <w:szCs w:val="22"/>
        </w:rPr>
        <w:t>target</w:t>
      </w:r>
      <w:r w:rsidR="00ED705E" w:rsidRPr="00974377">
        <w:rPr>
          <w:rFonts w:asciiTheme="majorHAnsi" w:hAnsiTheme="majorHAnsi" w:cstheme="majorHAnsi"/>
          <w:sz w:val="22"/>
          <w:szCs w:val="22"/>
        </w:rPr>
        <w:t xml:space="preserve"> districts to identify resources for the im</w:t>
      </w:r>
      <w:r w:rsidR="00F25C2C">
        <w:rPr>
          <w:rFonts w:asciiTheme="majorHAnsi" w:hAnsiTheme="majorHAnsi" w:cstheme="majorHAnsi"/>
          <w:sz w:val="22"/>
          <w:szCs w:val="22"/>
        </w:rPr>
        <w:t>p</w:t>
      </w:r>
      <w:r w:rsidR="00ED705E" w:rsidRPr="00974377">
        <w:rPr>
          <w:rFonts w:asciiTheme="majorHAnsi" w:hAnsiTheme="majorHAnsi" w:cstheme="majorHAnsi"/>
          <w:sz w:val="22"/>
          <w:szCs w:val="22"/>
        </w:rPr>
        <w:t xml:space="preserve">lementation of </w:t>
      </w:r>
      <w:r w:rsidR="00F25C2C" w:rsidRPr="00F25C2C">
        <w:rPr>
          <w:rFonts w:asciiTheme="majorHAnsi" w:hAnsiTheme="majorHAnsi" w:cstheme="majorHAnsi"/>
          <w:sz w:val="22"/>
          <w:szCs w:val="22"/>
        </w:rPr>
        <w:t>components of the reform</w:t>
      </w:r>
      <w:r w:rsidR="00F25C2C">
        <w:rPr>
          <w:rFonts w:asciiTheme="majorHAnsi" w:hAnsiTheme="majorHAnsi" w:cstheme="majorHAnsi"/>
          <w:sz w:val="22"/>
          <w:szCs w:val="22"/>
        </w:rPr>
        <w:t>s</w:t>
      </w:r>
      <w:r w:rsidR="00F25C2C" w:rsidRPr="00F25C2C">
        <w:rPr>
          <w:rFonts w:asciiTheme="majorHAnsi" w:hAnsiTheme="majorHAnsi" w:cstheme="majorHAnsi"/>
          <w:sz w:val="22"/>
          <w:szCs w:val="22"/>
        </w:rPr>
        <w:t xml:space="preserve"> that focus on inclusive teaching and learning</w:t>
      </w:r>
      <w:r w:rsidR="00F25C2C">
        <w:rPr>
          <w:rFonts w:asciiTheme="majorHAnsi" w:hAnsiTheme="majorHAnsi" w:cstheme="majorHAnsi"/>
          <w:sz w:val="22"/>
          <w:szCs w:val="22"/>
        </w:rPr>
        <w:t xml:space="preserve">, and </w:t>
      </w:r>
      <w:r w:rsidR="00ED705E" w:rsidRPr="00974377">
        <w:rPr>
          <w:rFonts w:asciiTheme="majorHAnsi" w:hAnsiTheme="majorHAnsi" w:cstheme="majorHAnsi"/>
          <w:sz w:val="22"/>
          <w:szCs w:val="22"/>
        </w:rPr>
        <w:t>the Regulation</w:t>
      </w:r>
      <w:r w:rsidR="00F25C2C">
        <w:rPr>
          <w:rFonts w:asciiTheme="majorHAnsi" w:hAnsiTheme="majorHAnsi" w:cstheme="majorHAnsi"/>
          <w:sz w:val="22"/>
          <w:szCs w:val="22"/>
        </w:rPr>
        <w:t xml:space="preserve"> on Reasonable Accommodation 13/2020</w:t>
      </w:r>
      <w:r w:rsidR="00ED705E" w:rsidRPr="00974377">
        <w:rPr>
          <w:rFonts w:asciiTheme="majorHAnsi" w:hAnsiTheme="majorHAnsi" w:cstheme="majorHAnsi"/>
          <w:sz w:val="22"/>
          <w:szCs w:val="22"/>
        </w:rPr>
        <w:t>.</w:t>
      </w:r>
    </w:p>
    <w:p w14:paraId="1C782266" w14:textId="4F1F5554" w:rsidR="00ED705E" w:rsidRDefault="00ED705E" w:rsidP="008D1844">
      <w:pPr>
        <w:pStyle w:val="ListParagraph"/>
        <w:numPr>
          <w:ilvl w:val="0"/>
          <w:numId w:val="45"/>
        </w:numPr>
        <w:spacing w:after="120" w:line="281" w:lineRule="auto"/>
        <w:ind w:left="567" w:hanging="283"/>
        <w:contextualSpacing w:val="0"/>
        <w:rPr>
          <w:rFonts w:asciiTheme="majorHAnsi" w:hAnsiTheme="majorHAnsi" w:cstheme="majorHAnsi"/>
          <w:sz w:val="22"/>
          <w:szCs w:val="22"/>
        </w:rPr>
      </w:pPr>
      <w:r w:rsidRPr="00974377">
        <w:rPr>
          <w:rFonts w:asciiTheme="majorHAnsi" w:hAnsiTheme="majorHAnsi" w:cstheme="majorHAnsi"/>
          <w:sz w:val="22"/>
          <w:szCs w:val="22"/>
        </w:rPr>
        <w:t xml:space="preserve">Research and analysis of the effectiveness and underlying factors of existing </w:t>
      </w:r>
      <w:r w:rsidR="00280A9F">
        <w:rPr>
          <w:rFonts w:asciiTheme="majorHAnsi" w:hAnsiTheme="majorHAnsi" w:cstheme="majorHAnsi"/>
          <w:sz w:val="22"/>
          <w:szCs w:val="22"/>
        </w:rPr>
        <w:t>disability hubs (</w:t>
      </w:r>
      <w:r w:rsidRPr="00974377">
        <w:rPr>
          <w:rFonts w:asciiTheme="majorHAnsi" w:hAnsiTheme="majorHAnsi" w:cstheme="majorHAnsi"/>
          <w:sz w:val="22"/>
          <w:szCs w:val="22"/>
        </w:rPr>
        <w:t>ULD</w:t>
      </w:r>
      <w:r w:rsidR="00280A9F">
        <w:rPr>
          <w:rFonts w:asciiTheme="majorHAnsi" w:hAnsiTheme="majorHAnsi" w:cstheme="majorHAnsi"/>
          <w:sz w:val="22"/>
          <w:szCs w:val="22"/>
        </w:rPr>
        <w:t>s)</w:t>
      </w:r>
      <w:r w:rsidRPr="00974377">
        <w:rPr>
          <w:rFonts w:asciiTheme="majorHAnsi" w:hAnsiTheme="majorHAnsi" w:cstheme="majorHAnsi"/>
          <w:sz w:val="22"/>
          <w:szCs w:val="22"/>
        </w:rPr>
        <w:t xml:space="preserve">, including base-line data on operations, good </w:t>
      </w:r>
      <w:r w:rsidR="00061C5C" w:rsidRPr="00974377">
        <w:rPr>
          <w:rFonts w:asciiTheme="majorHAnsi" w:hAnsiTheme="majorHAnsi" w:cstheme="majorHAnsi"/>
          <w:sz w:val="22"/>
          <w:szCs w:val="22"/>
        </w:rPr>
        <w:t>practices,</w:t>
      </w:r>
      <w:r w:rsidRPr="00974377">
        <w:rPr>
          <w:rFonts w:asciiTheme="majorHAnsi" w:hAnsiTheme="majorHAnsi" w:cstheme="majorHAnsi"/>
          <w:sz w:val="22"/>
          <w:szCs w:val="22"/>
        </w:rPr>
        <w:t xml:space="preserve"> and lessons</w:t>
      </w:r>
      <w:r w:rsidR="001D06A6">
        <w:rPr>
          <w:rFonts w:asciiTheme="majorHAnsi" w:hAnsiTheme="majorHAnsi" w:cstheme="majorHAnsi"/>
          <w:sz w:val="22"/>
          <w:szCs w:val="22"/>
        </w:rPr>
        <w:t>.</w:t>
      </w:r>
    </w:p>
    <w:p w14:paraId="049F16E7" w14:textId="42A1EE86" w:rsidR="00ED705E" w:rsidRPr="001E7475" w:rsidRDefault="001E7475" w:rsidP="008D1844">
      <w:pPr>
        <w:pStyle w:val="ListParagraph"/>
        <w:numPr>
          <w:ilvl w:val="0"/>
          <w:numId w:val="45"/>
        </w:numPr>
        <w:spacing w:after="120" w:line="281" w:lineRule="auto"/>
        <w:ind w:left="567" w:hanging="283"/>
        <w:contextualSpacing w:val="0"/>
        <w:rPr>
          <w:rFonts w:asciiTheme="majorHAnsi" w:hAnsiTheme="majorHAnsi" w:cstheme="majorHAnsi"/>
          <w:sz w:val="22"/>
          <w:szCs w:val="22"/>
        </w:rPr>
      </w:pPr>
      <w:r>
        <w:rPr>
          <w:rFonts w:asciiTheme="majorHAnsi" w:hAnsiTheme="majorHAnsi" w:cstheme="majorHAnsi"/>
          <w:sz w:val="22"/>
          <w:szCs w:val="22"/>
        </w:rPr>
        <w:t>Support to develop the c</w:t>
      </w:r>
      <w:r w:rsidR="0043000D" w:rsidRPr="001D06A6">
        <w:rPr>
          <w:rFonts w:asciiTheme="majorHAnsi" w:hAnsiTheme="majorHAnsi" w:cstheme="majorHAnsi"/>
          <w:sz w:val="22"/>
          <w:szCs w:val="22"/>
        </w:rPr>
        <w:t>apacit</w:t>
      </w:r>
      <w:r>
        <w:rPr>
          <w:rFonts w:asciiTheme="majorHAnsi" w:hAnsiTheme="majorHAnsi" w:cstheme="majorHAnsi"/>
          <w:sz w:val="22"/>
          <w:szCs w:val="22"/>
        </w:rPr>
        <w:t xml:space="preserve">ies </w:t>
      </w:r>
      <w:r w:rsidR="0043000D" w:rsidRPr="001D06A6">
        <w:rPr>
          <w:rFonts w:asciiTheme="majorHAnsi" w:hAnsiTheme="majorHAnsi" w:cstheme="majorHAnsi"/>
          <w:sz w:val="22"/>
          <w:szCs w:val="22"/>
        </w:rPr>
        <w:t xml:space="preserve">of </w:t>
      </w:r>
      <w:r w:rsidR="00280A9F">
        <w:rPr>
          <w:rFonts w:asciiTheme="majorHAnsi" w:hAnsiTheme="majorHAnsi" w:cstheme="majorHAnsi"/>
          <w:sz w:val="22"/>
          <w:szCs w:val="22"/>
        </w:rPr>
        <w:t>disability hubs (</w:t>
      </w:r>
      <w:r w:rsidR="00280A9F" w:rsidRPr="00974377">
        <w:rPr>
          <w:rFonts w:asciiTheme="majorHAnsi" w:hAnsiTheme="majorHAnsi" w:cstheme="majorHAnsi"/>
          <w:sz w:val="22"/>
          <w:szCs w:val="22"/>
        </w:rPr>
        <w:t>ULD</w:t>
      </w:r>
      <w:r w:rsidR="00280A9F">
        <w:rPr>
          <w:rFonts w:asciiTheme="majorHAnsi" w:hAnsiTheme="majorHAnsi" w:cstheme="majorHAnsi"/>
          <w:sz w:val="22"/>
          <w:szCs w:val="22"/>
        </w:rPr>
        <w:t>s)</w:t>
      </w:r>
      <w:r w:rsidR="0043000D" w:rsidRPr="001D06A6">
        <w:rPr>
          <w:rFonts w:asciiTheme="majorHAnsi" w:hAnsiTheme="majorHAnsi" w:cstheme="majorHAnsi"/>
          <w:sz w:val="22"/>
          <w:szCs w:val="22"/>
        </w:rPr>
        <w:t xml:space="preserve"> staff for technical upskilling of teachers, including sourcing suppor</w:t>
      </w:r>
      <w:r w:rsidR="00187339">
        <w:rPr>
          <w:rFonts w:asciiTheme="majorHAnsi" w:hAnsiTheme="majorHAnsi" w:cstheme="majorHAnsi"/>
          <w:sz w:val="22"/>
          <w:szCs w:val="22"/>
        </w:rPr>
        <w:t>t</w:t>
      </w:r>
      <w:r w:rsidR="0043000D" w:rsidRPr="001D06A6">
        <w:rPr>
          <w:rFonts w:asciiTheme="majorHAnsi" w:hAnsiTheme="majorHAnsi" w:cstheme="majorHAnsi"/>
          <w:sz w:val="22"/>
          <w:szCs w:val="22"/>
        </w:rPr>
        <w:t xml:space="preserve"> through local OPD</w:t>
      </w:r>
      <w:r w:rsidR="00187339">
        <w:rPr>
          <w:rFonts w:asciiTheme="majorHAnsi" w:hAnsiTheme="majorHAnsi" w:cstheme="majorHAnsi"/>
          <w:sz w:val="22"/>
          <w:szCs w:val="22"/>
        </w:rPr>
        <w:t>s</w:t>
      </w:r>
      <w:r w:rsidR="001D06A6">
        <w:rPr>
          <w:rFonts w:asciiTheme="majorHAnsi" w:hAnsiTheme="majorHAnsi" w:cstheme="majorHAnsi"/>
          <w:sz w:val="22"/>
          <w:szCs w:val="22"/>
        </w:rPr>
        <w:t>.</w:t>
      </w:r>
    </w:p>
    <w:p w14:paraId="7EF1171C" w14:textId="1D3CDDC3" w:rsidR="000D1CDD" w:rsidRPr="001E7475" w:rsidRDefault="0043000D" w:rsidP="008D1844">
      <w:pPr>
        <w:pStyle w:val="ListParagraph"/>
        <w:numPr>
          <w:ilvl w:val="0"/>
          <w:numId w:val="45"/>
        </w:numPr>
        <w:spacing w:after="120" w:line="281" w:lineRule="auto"/>
        <w:ind w:left="567" w:hanging="283"/>
        <w:contextualSpacing w:val="0"/>
        <w:rPr>
          <w:rFonts w:asciiTheme="majorHAnsi" w:hAnsiTheme="majorHAnsi" w:cstheme="majorHAnsi"/>
          <w:sz w:val="22"/>
          <w:szCs w:val="22"/>
        </w:rPr>
      </w:pPr>
      <w:r w:rsidRPr="001D06A6">
        <w:rPr>
          <w:rFonts w:asciiTheme="majorHAnsi" w:hAnsiTheme="majorHAnsi" w:cstheme="majorHAnsi"/>
          <w:sz w:val="22"/>
          <w:szCs w:val="22"/>
        </w:rPr>
        <w:t xml:space="preserve">Advocacy targeting </w:t>
      </w:r>
      <w:proofErr w:type="spellStart"/>
      <w:r w:rsidRPr="0094721A">
        <w:rPr>
          <w:rFonts w:asciiTheme="majorHAnsi" w:hAnsiTheme="majorHAnsi" w:cstheme="majorHAnsi"/>
          <w:i/>
          <w:iCs/>
          <w:sz w:val="22"/>
          <w:szCs w:val="22"/>
        </w:rPr>
        <w:t>sekolah</w:t>
      </w:r>
      <w:proofErr w:type="spellEnd"/>
      <w:r w:rsidRPr="0094721A">
        <w:rPr>
          <w:rFonts w:asciiTheme="majorHAnsi" w:hAnsiTheme="majorHAnsi" w:cstheme="majorHAnsi"/>
          <w:i/>
          <w:iCs/>
          <w:sz w:val="22"/>
          <w:szCs w:val="22"/>
        </w:rPr>
        <w:t xml:space="preserve"> </w:t>
      </w:r>
      <w:proofErr w:type="spellStart"/>
      <w:r w:rsidRPr="0094721A">
        <w:rPr>
          <w:rFonts w:asciiTheme="majorHAnsi" w:hAnsiTheme="majorHAnsi" w:cstheme="majorHAnsi"/>
          <w:i/>
          <w:iCs/>
          <w:sz w:val="22"/>
          <w:szCs w:val="22"/>
        </w:rPr>
        <w:t>penggerak</w:t>
      </w:r>
      <w:proofErr w:type="spellEnd"/>
      <w:r w:rsidRPr="001D06A6">
        <w:rPr>
          <w:rFonts w:asciiTheme="majorHAnsi" w:hAnsiTheme="majorHAnsi" w:cstheme="majorHAnsi"/>
          <w:sz w:val="22"/>
          <w:szCs w:val="22"/>
        </w:rPr>
        <w:t xml:space="preserve"> principals for the integration of disability into existing school policies against </w:t>
      </w:r>
      <w:r w:rsidR="000D1CDD">
        <w:rPr>
          <w:rFonts w:asciiTheme="majorHAnsi" w:hAnsiTheme="majorHAnsi" w:cstheme="majorHAnsi"/>
          <w:sz w:val="22"/>
          <w:szCs w:val="22"/>
        </w:rPr>
        <w:t>b</w:t>
      </w:r>
      <w:r w:rsidRPr="001D06A6">
        <w:rPr>
          <w:rFonts w:asciiTheme="majorHAnsi" w:hAnsiTheme="majorHAnsi" w:cstheme="majorHAnsi"/>
          <w:sz w:val="22"/>
          <w:szCs w:val="22"/>
        </w:rPr>
        <w:t xml:space="preserve">ullying and sexual </w:t>
      </w:r>
      <w:r w:rsidR="000D1CDD">
        <w:rPr>
          <w:rFonts w:asciiTheme="majorHAnsi" w:hAnsiTheme="majorHAnsi" w:cstheme="majorHAnsi"/>
          <w:sz w:val="22"/>
          <w:szCs w:val="22"/>
        </w:rPr>
        <w:t>h</w:t>
      </w:r>
      <w:r w:rsidRPr="001D06A6">
        <w:rPr>
          <w:rFonts w:asciiTheme="majorHAnsi" w:hAnsiTheme="majorHAnsi" w:cstheme="majorHAnsi"/>
          <w:sz w:val="22"/>
          <w:szCs w:val="22"/>
        </w:rPr>
        <w:t xml:space="preserve">arassment </w:t>
      </w:r>
      <w:r w:rsidR="000D1CDD">
        <w:rPr>
          <w:rFonts w:asciiTheme="majorHAnsi" w:hAnsiTheme="majorHAnsi" w:cstheme="majorHAnsi"/>
          <w:sz w:val="22"/>
          <w:szCs w:val="22"/>
        </w:rPr>
        <w:t xml:space="preserve">and including </w:t>
      </w:r>
      <w:r w:rsidRPr="001D06A6">
        <w:rPr>
          <w:rFonts w:asciiTheme="majorHAnsi" w:hAnsiTheme="majorHAnsi" w:cstheme="majorHAnsi"/>
          <w:sz w:val="22"/>
          <w:szCs w:val="22"/>
        </w:rPr>
        <w:t xml:space="preserve">inclusion of disability in the </w:t>
      </w:r>
      <w:r w:rsidR="001E7475">
        <w:rPr>
          <w:rFonts w:asciiTheme="majorHAnsi" w:hAnsiTheme="majorHAnsi" w:cstheme="majorHAnsi"/>
          <w:sz w:val="22"/>
          <w:szCs w:val="22"/>
        </w:rPr>
        <w:t>‘</w:t>
      </w:r>
      <w:r w:rsidRPr="001D06A6">
        <w:rPr>
          <w:rFonts w:asciiTheme="majorHAnsi" w:hAnsiTheme="majorHAnsi" w:cstheme="majorHAnsi"/>
          <w:sz w:val="22"/>
          <w:szCs w:val="22"/>
        </w:rPr>
        <w:t>Connect with Respect</w:t>
      </w:r>
      <w:r w:rsidR="001E7475">
        <w:rPr>
          <w:rFonts w:asciiTheme="majorHAnsi" w:hAnsiTheme="majorHAnsi" w:cstheme="majorHAnsi"/>
          <w:sz w:val="22"/>
          <w:szCs w:val="22"/>
        </w:rPr>
        <w:t>’</w:t>
      </w:r>
      <w:r w:rsidRPr="001D06A6">
        <w:rPr>
          <w:rFonts w:asciiTheme="majorHAnsi" w:hAnsiTheme="majorHAnsi" w:cstheme="majorHAnsi"/>
          <w:sz w:val="22"/>
          <w:szCs w:val="22"/>
        </w:rPr>
        <w:t xml:space="preserve"> </w:t>
      </w:r>
      <w:r w:rsidR="001E7475">
        <w:rPr>
          <w:rFonts w:asciiTheme="majorHAnsi" w:hAnsiTheme="majorHAnsi" w:cstheme="majorHAnsi"/>
          <w:sz w:val="22"/>
          <w:szCs w:val="22"/>
        </w:rPr>
        <w:t>c</w:t>
      </w:r>
      <w:r w:rsidRPr="001D06A6">
        <w:rPr>
          <w:rFonts w:asciiTheme="majorHAnsi" w:hAnsiTheme="majorHAnsi" w:cstheme="majorHAnsi"/>
          <w:sz w:val="22"/>
          <w:szCs w:val="22"/>
        </w:rPr>
        <w:t>urriculum</w:t>
      </w:r>
      <w:r w:rsidR="000D1CDD">
        <w:rPr>
          <w:rFonts w:asciiTheme="majorHAnsi" w:hAnsiTheme="majorHAnsi" w:cstheme="majorHAnsi"/>
          <w:sz w:val="22"/>
          <w:szCs w:val="22"/>
        </w:rPr>
        <w:t>.</w:t>
      </w:r>
    </w:p>
    <w:p w14:paraId="556E4390" w14:textId="48BB1A32" w:rsidR="000D1CDD" w:rsidRPr="0094721A" w:rsidRDefault="000D1CDD" w:rsidP="008D1844">
      <w:pPr>
        <w:pStyle w:val="ListParagraph"/>
        <w:numPr>
          <w:ilvl w:val="0"/>
          <w:numId w:val="45"/>
        </w:numPr>
        <w:spacing w:after="120" w:line="281" w:lineRule="auto"/>
        <w:ind w:left="567" w:hanging="283"/>
        <w:contextualSpacing w:val="0"/>
        <w:rPr>
          <w:rFonts w:asciiTheme="majorHAnsi" w:hAnsiTheme="majorHAnsi" w:cstheme="majorHAnsi"/>
          <w:sz w:val="22"/>
          <w:szCs w:val="22"/>
        </w:rPr>
      </w:pPr>
      <w:r>
        <w:rPr>
          <w:rFonts w:asciiTheme="majorHAnsi" w:hAnsiTheme="majorHAnsi" w:cstheme="majorHAnsi"/>
          <w:sz w:val="22"/>
          <w:szCs w:val="22"/>
        </w:rPr>
        <w:t>D</w:t>
      </w:r>
      <w:r w:rsidR="0043000D" w:rsidRPr="001D06A6">
        <w:rPr>
          <w:rFonts w:asciiTheme="majorHAnsi" w:hAnsiTheme="majorHAnsi" w:cstheme="majorHAnsi"/>
          <w:sz w:val="22"/>
          <w:szCs w:val="22"/>
        </w:rPr>
        <w:t>evelopment of a specific school community awareness campaign on disability that is run by Teachers, Parents of children with a disability, OPD</w:t>
      </w:r>
      <w:r w:rsidR="001E7475">
        <w:rPr>
          <w:rFonts w:asciiTheme="majorHAnsi" w:hAnsiTheme="majorHAnsi" w:cstheme="majorHAnsi"/>
          <w:sz w:val="22"/>
          <w:szCs w:val="22"/>
        </w:rPr>
        <w:t>s</w:t>
      </w:r>
      <w:r w:rsidR="0043000D" w:rsidRPr="001D06A6">
        <w:rPr>
          <w:rFonts w:asciiTheme="majorHAnsi" w:hAnsiTheme="majorHAnsi" w:cstheme="majorHAnsi"/>
          <w:sz w:val="22"/>
          <w:szCs w:val="22"/>
        </w:rPr>
        <w:t xml:space="preserve"> and young people with a disability.</w:t>
      </w:r>
    </w:p>
    <w:p w14:paraId="1FB1D020" w14:textId="48ECC5F3" w:rsidR="00ED705E" w:rsidRPr="003965F0" w:rsidRDefault="00ED705E" w:rsidP="003965F0">
      <w:pPr>
        <w:pStyle w:val="Heading2"/>
        <w:rPr>
          <w:b/>
          <w:sz w:val="22"/>
          <w:szCs w:val="22"/>
        </w:rPr>
      </w:pPr>
      <w:r w:rsidRPr="003965F0">
        <w:rPr>
          <w:b/>
          <w:caps w:val="0"/>
          <w:sz w:val="22"/>
          <w:szCs w:val="22"/>
        </w:rPr>
        <w:t xml:space="preserve">Climate </w:t>
      </w:r>
      <w:r w:rsidR="003965F0" w:rsidRPr="003965F0">
        <w:rPr>
          <w:b/>
          <w:bCs/>
          <w:caps w:val="0"/>
          <w:sz w:val="22"/>
          <w:szCs w:val="22"/>
        </w:rPr>
        <w:t>Change</w:t>
      </w:r>
      <w:r w:rsidRPr="003965F0">
        <w:rPr>
          <w:b/>
          <w:caps w:val="0"/>
          <w:sz w:val="22"/>
          <w:szCs w:val="22"/>
        </w:rPr>
        <w:t xml:space="preserve"> </w:t>
      </w:r>
    </w:p>
    <w:p w14:paraId="038A2E46" w14:textId="62ECB361" w:rsidR="00ED705E" w:rsidRPr="00974377" w:rsidRDefault="00ED705E" w:rsidP="00B86A7F">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Climate change is a new priority for INOVASI and Australia</w:t>
      </w:r>
      <w:r w:rsidR="00985BCA">
        <w:rPr>
          <w:rFonts w:asciiTheme="majorHAnsi" w:hAnsiTheme="majorHAnsi" w:cstheme="majorHAnsi"/>
          <w:sz w:val="22"/>
          <w:szCs w:val="22"/>
        </w:rPr>
        <w:t>’s</w:t>
      </w:r>
      <w:r w:rsidRPr="00974377">
        <w:rPr>
          <w:rFonts w:asciiTheme="majorHAnsi" w:hAnsiTheme="majorHAnsi" w:cstheme="majorHAnsi"/>
          <w:sz w:val="22"/>
          <w:szCs w:val="22"/>
        </w:rPr>
        <w:t xml:space="preserve"> development cooperation policy at large. It features in many orientations of the present design. The program logic includes an Intermediate Outcome targeting climate change that aligns well with the objective of Australia’s Climate Change Action Strategy’s to ‘support partner countries to adapt to climate change, and to plan, prepare for and respond to climate-related impacts’</w:t>
      </w:r>
      <w:r w:rsidRPr="00974377">
        <w:rPr>
          <w:rStyle w:val="FootnoteReference"/>
          <w:rFonts w:asciiTheme="majorHAnsi" w:hAnsiTheme="majorHAnsi" w:cstheme="majorHAnsi"/>
          <w:sz w:val="22"/>
          <w:szCs w:val="22"/>
        </w:rPr>
        <w:footnoteReference w:id="51"/>
      </w:r>
      <w:r w:rsidRPr="00974377">
        <w:rPr>
          <w:rFonts w:asciiTheme="majorHAnsi" w:hAnsiTheme="majorHAnsi" w:cstheme="majorHAnsi"/>
          <w:sz w:val="22"/>
          <w:szCs w:val="22"/>
        </w:rPr>
        <w:t>. The broad delineation of that outcome reflects the flexibility required to pursue new opportunities that may arise</w:t>
      </w:r>
      <w:r w:rsidR="00985BCA">
        <w:rPr>
          <w:rFonts w:asciiTheme="majorHAnsi" w:hAnsiTheme="majorHAnsi" w:cstheme="majorHAnsi"/>
          <w:sz w:val="22"/>
          <w:szCs w:val="22"/>
        </w:rPr>
        <w:t xml:space="preserve"> during implementation,</w:t>
      </w:r>
      <w:r w:rsidRPr="00974377">
        <w:rPr>
          <w:rFonts w:asciiTheme="majorHAnsi" w:hAnsiTheme="majorHAnsi" w:cstheme="majorHAnsi"/>
          <w:sz w:val="22"/>
          <w:szCs w:val="22"/>
        </w:rPr>
        <w:t xml:space="preserve"> and a desire to include efforts to both mitigate the occurrence and adapt to the impacts of climate change.</w:t>
      </w:r>
      <w:r w:rsidR="002D2227">
        <w:rPr>
          <w:rFonts w:asciiTheme="majorHAnsi" w:hAnsiTheme="majorHAnsi" w:cstheme="majorHAnsi"/>
          <w:sz w:val="22"/>
          <w:szCs w:val="22"/>
        </w:rPr>
        <w:t xml:space="preserve"> </w:t>
      </w:r>
    </w:p>
    <w:p w14:paraId="671DF451" w14:textId="0D0F0C13" w:rsidR="00ED705E" w:rsidRPr="00974377" w:rsidRDefault="00ED705E" w:rsidP="00B86A7F">
      <w:pPr>
        <w:pStyle w:val="BodyText"/>
        <w:spacing w:after="120" w:line="281" w:lineRule="auto"/>
        <w:rPr>
          <w:rFonts w:asciiTheme="majorHAnsi" w:hAnsiTheme="majorHAnsi" w:cstheme="majorHAnsi"/>
          <w:sz w:val="22"/>
          <w:szCs w:val="22"/>
        </w:rPr>
      </w:pPr>
      <w:proofErr w:type="gramStart"/>
      <w:r w:rsidRPr="00974377">
        <w:rPr>
          <w:rFonts w:asciiTheme="majorHAnsi" w:hAnsiTheme="majorHAnsi" w:cstheme="majorHAnsi"/>
          <w:sz w:val="22"/>
          <w:szCs w:val="22"/>
        </w:rPr>
        <w:t>Similar to</w:t>
      </w:r>
      <w:proofErr w:type="gramEnd"/>
      <w:r w:rsidRPr="00974377">
        <w:rPr>
          <w:rFonts w:asciiTheme="majorHAnsi" w:hAnsiTheme="majorHAnsi" w:cstheme="majorHAnsi"/>
          <w:sz w:val="22"/>
          <w:szCs w:val="22"/>
        </w:rPr>
        <w:t xml:space="preserve"> GEDSI, a program-wide strategy will be developed during the inception phase, based on a situational analysis, and articulate a two-track approach: 1) mainstreaming climate change considerations through program activities and operations, and 2) outlining key targeted activities that focus on climate change mitigation and resilience (see Section I). As part of the set of targeted activities, the program will support the development of individual climate change strategies for target districts ecosystems. These ecosystem strategies will focus on local climate change issues affecting schools and madrasah, where actions for mitigation and resilience are possible. In addition, the new national curriculum offers a relevant </w:t>
      </w:r>
      <w:r w:rsidRPr="00974377">
        <w:rPr>
          <w:rFonts w:asciiTheme="majorHAnsi" w:hAnsiTheme="majorHAnsi" w:cstheme="majorHAnsi"/>
          <w:sz w:val="22"/>
          <w:szCs w:val="22"/>
        </w:rPr>
        <w:lastRenderedPageBreak/>
        <w:t>and appropriate entry point for pursuing the program’s climate change IO at the national and school level</w:t>
      </w:r>
      <w:r w:rsidRPr="00974377">
        <w:rPr>
          <w:rStyle w:val="FootnoteReference"/>
          <w:rFonts w:asciiTheme="majorHAnsi" w:hAnsiTheme="majorHAnsi" w:cstheme="majorHAnsi"/>
          <w:sz w:val="22"/>
          <w:szCs w:val="22"/>
        </w:rPr>
        <w:footnoteReference w:id="52"/>
      </w:r>
      <w:r w:rsidRPr="00974377">
        <w:rPr>
          <w:rFonts w:asciiTheme="majorHAnsi" w:hAnsiTheme="majorHAnsi" w:cstheme="majorHAnsi"/>
          <w:sz w:val="22"/>
          <w:szCs w:val="22"/>
        </w:rPr>
        <w:t xml:space="preserve">, as it promotes problem-based learning, social </w:t>
      </w:r>
      <w:r w:rsidR="00061C5C" w:rsidRPr="00974377">
        <w:rPr>
          <w:rFonts w:asciiTheme="majorHAnsi" w:hAnsiTheme="majorHAnsi" w:cstheme="majorHAnsi"/>
          <w:sz w:val="22"/>
          <w:szCs w:val="22"/>
        </w:rPr>
        <w:t>cooperation,</w:t>
      </w:r>
      <w:r w:rsidRPr="00974377">
        <w:rPr>
          <w:rFonts w:asciiTheme="majorHAnsi" w:hAnsiTheme="majorHAnsi" w:cstheme="majorHAnsi"/>
          <w:sz w:val="22"/>
          <w:szCs w:val="22"/>
        </w:rPr>
        <w:t xml:space="preserve"> and character development. Interestingly, the annual national assessment covers behavioural changes linked to these traits and therefore could be used as a source of valuable information to assess the IO achievement. Given the program does not engage in infrastructure work, other targeted activities will likely focus on piloting and trialling new initiatives, developing partnerships, generating evidence for policy, and/or providing technical assistance to develop capacities at national and subnational level.  </w:t>
      </w:r>
    </w:p>
    <w:p w14:paraId="0332ACCF" w14:textId="11A88082" w:rsidR="00ED705E" w:rsidRPr="003965F0" w:rsidRDefault="00ED705E" w:rsidP="003965F0">
      <w:pPr>
        <w:pStyle w:val="Heading2"/>
        <w:rPr>
          <w:b/>
          <w:sz w:val="22"/>
          <w:szCs w:val="22"/>
        </w:rPr>
      </w:pPr>
      <w:r w:rsidRPr="003965F0">
        <w:rPr>
          <w:b/>
          <w:caps w:val="0"/>
          <w:sz w:val="22"/>
          <w:szCs w:val="22"/>
        </w:rPr>
        <w:t>Innovation</w:t>
      </w:r>
      <w:r w:rsidR="002A1003" w:rsidRPr="003965F0">
        <w:rPr>
          <w:b/>
          <w:caps w:val="0"/>
          <w:sz w:val="22"/>
          <w:szCs w:val="22"/>
        </w:rPr>
        <w:t xml:space="preserve"> </w:t>
      </w:r>
      <w:r w:rsidR="002A1003">
        <w:rPr>
          <w:b/>
          <w:caps w:val="0"/>
          <w:sz w:val="22"/>
          <w:szCs w:val="22"/>
        </w:rPr>
        <w:t>a</w:t>
      </w:r>
      <w:r w:rsidR="002A1003" w:rsidRPr="003965F0">
        <w:rPr>
          <w:b/>
          <w:caps w:val="0"/>
          <w:sz w:val="22"/>
          <w:szCs w:val="22"/>
        </w:rPr>
        <w:t xml:space="preserve">nd </w:t>
      </w:r>
      <w:r w:rsidR="003965F0" w:rsidRPr="003965F0">
        <w:rPr>
          <w:b/>
          <w:bCs/>
          <w:caps w:val="0"/>
          <w:sz w:val="22"/>
          <w:szCs w:val="22"/>
        </w:rPr>
        <w:t>Private Sector</w:t>
      </w:r>
    </w:p>
    <w:p w14:paraId="7E09B65C" w14:textId="77777777" w:rsidR="00E744F0" w:rsidRPr="000C1DC2" w:rsidRDefault="002A1003" w:rsidP="008D1844">
      <w:pPr>
        <w:pStyle w:val="Heading3"/>
        <w:numPr>
          <w:ilvl w:val="0"/>
          <w:numId w:val="61"/>
        </w:numPr>
        <w:rPr>
          <w:rFonts w:cstheme="majorHAnsi"/>
          <w:sz w:val="22"/>
          <w:szCs w:val="22"/>
        </w:rPr>
      </w:pPr>
      <w:r w:rsidRPr="00A617D5">
        <w:rPr>
          <w:b/>
          <w:sz w:val="22"/>
          <w:szCs w:val="20"/>
        </w:rPr>
        <w:t>Innovation</w:t>
      </w:r>
      <w:r w:rsidRPr="000C1DC2">
        <w:rPr>
          <w:rFonts w:cstheme="majorHAnsi"/>
          <w:sz w:val="22"/>
          <w:szCs w:val="22"/>
        </w:rPr>
        <w:t xml:space="preserve"> </w:t>
      </w:r>
    </w:p>
    <w:p w14:paraId="4A1C2B75" w14:textId="14CC6191" w:rsidR="00ED705E" w:rsidRPr="00974377" w:rsidRDefault="003E2445" w:rsidP="00B86A7F">
      <w:pPr>
        <w:tabs>
          <w:tab w:val="left" w:pos="284"/>
        </w:tabs>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district ecosystem model </w:t>
      </w:r>
      <w:r>
        <w:rPr>
          <w:rFonts w:asciiTheme="majorHAnsi" w:hAnsiTheme="majorHAnsi" w:cstheme="majorHAnsi"/>
          <w:sz w:val="22"/>
          <w:szCs w:val="22"/>
        </w:rPr>
        <w:t xml:space="preserve">is an innovative approach that, </w:t>
      </w:r>
      <w:r w:rsidRPr="00974377">
        <w:rPr>
          <w:rFonts w:asciiTheme="majorHAnsi" w:hAnsiTheme="majorHAnsi" w:cstheme="majorHAnsi"/>
          <w:sz w:val="22"/>
          <w:szCs w:val="22"/>
        </w:rPr>
        <w:t>with its variety of partners</w:t>
      </w:r>
      <w:r>
        <w:rPr>
          <w:rFonts w:asciiTheme="majorHAnsi" w:hAnsiTheme="majorHAnsi" w:cstheme="majorHAnsi"/>
          <w:sz w:val="22"/>
          <w:szCs w:val="22"/>
        </w:rPr>
        <w:t>,</w:t>
      </w:r>
      <w:r w:rsidRPr="00974377">
        <w:rPr>
          <w:rFonts w:asciiTheme="majorHAnsi" w:hAnsiTheme="majorHAnsi" w:cstheme="majorHAnsi"/>
          <w:sz w:val="22"/>
          <w:szCs w:val="22"/>
        </w:rPr>
        <w:t xml:space="preserve"> invite</w:t>
      </w:r>
      <w:r>
        <w:rPr>
          <w:rFonts w:asciiTheme="majorHAnsi" w:hAnsiTheme="majorHAnsi" w:cstheme="majorHAnsi"/>
          <w:sz w:val="22"/>
          <w:szCs w:val="22"/>
        </w:rPr>
        <w:t>s</w:t>
      </w:r>
      <w:r w:rsidRPr="00974377">
        <w:rPr>
          <w:rFonts w:asciiTheme="majorHAnsi" w:hAnsiTheme="majorHAnsi" w:cstheme="majorHAnsi"/>
          <w:sz w:val="22"/>
          <w:szCs w:val="22"/>
        </w:rPr>
        <w:t xml:space="preserve"> local experimentation. </w:t>
      </w:r>
      <w:r w:rsidR="00ED705E" w:rsidRPr="00974377">
        <w:rPr>
          <w:rFonts w:asciiTheme="majorHAnsi" w:hAnsiTheme="majorHAnsi" w:cstheme="majorHAnsi"/>
          <w:sz w:val="22"/>
          <w:szCs w:val="22"/>
        </w:rPr>
        <w:t>The new program will continue the problem-solving approach to policy, systems and practice improvement that characterises INOVASI trademark, and which has consistently and effectively promoted local creativity in adapting solutions to context.</w:t>
      </w:r>
      <w:r w:rsidR="00ED705E" w:rsidRPr="00974377">
        <w:rPr>
          <w:rFonts w:asciiTheme="majorHAnsi" w:hAnsiTheme="majorHAnsi" w:cstheme="majorHAnsi"/>
          <w:sz w:val="22"/>
          <w:szCs w:val="22"/>
          <w:vertAlign w:val="superscript"/>
        </w:rPr>
        <w:footnoteReference w:id="53"/>
      </w:r>
      <w:r w:rsidR="00ED705E" w:rsidRPr="00974377">
        <w:rPr>
          <w:rFonts w:asciiTheme="majorHAnsi" w:hAnsiTheme="majorHAnsi" w:cstheme="majorHAnsi"/>
          <w:sz w:val="22"/>
          <w:szCs w:val="22"/>
        </w:rPr>
        <w:t xml:space="preserve"> The program </w:t>
      </w:r>
      <w:r w:rsidR="00ED705E" w:rsidRPr="00974377">
        <w:rPr>
          <w:rFonts w:asciiTheme="majorHAnsi" w:hAnsiTheme="majorHAnsi" w:cstheme="majorHAnsi"/>
          <w:i/>
          <w:iCs/>
          <w:sz w:val="22"/>
          <w:szCs w:val="22"/>
        </w:rPr>
        <w:t>Problem-</w:t>
      </w:r>
      <w:r w:rsidR="00CB1D0A">
        <w:rPr>
          <w:rFonts w:asciiTheme="majorHAnsi" w:hAnsiTheme="majorHAnsi" w:cstheme="majorHAnsi"/>
          <w:i/>
          <w:iCs/>
          <w:sz w:val="22"/>
          <w:szCs w:val="22"/>
        </w:rPr>
        <w:t>D</w:t>
      </w:r>
      <w:r w:rsidR="00ED705E" w:rsidRPr="00974377">
        <w:rPr>
          <w:rFonts w:asciiTheme="majorHAnsi" w:hAnsiTheme="majorHAnsi" w:cstheme="majorHAnsi"/>
          <w:i/>
          <w:iCs/>
          <w:sz w:val="22"/>
          <w:szCs w:val="22"/>
        </w:rPr>
        <w:t>riven Iterative Adaptation</w:t>
      </w:r>
      <w:r w:rsidR="00ED705E" w:rsidRPr="00974377">
        <w:rPr>
          <w:rFonts w:asciiTheme="majorHAnsi" w:hAnsiTheme="majorHAnsi" w:cstheme="majorHAnsi"/>
          <w:sz w:val="22"/>
          <w:szCs w:val="22"/>
        </w:rPr>
        <w:t xml:space="preserve"> (PDIA) </w:t>
      </w:r>
      <w:r w:rsidR="00CB1D0A" w:rsidRPr="00974377">
        <w:rPr>
          <w:rFonts w:asciiTheme="majorHAnsi" w:hAnsiTheme="majorHAnsi" w:cstheme="majorHAnsi"/>
          <w:sz w:val="22"/>
          <w:szCs w:val="22"/>
        </w:rPr>
        <w:t xml:space="preserve">methodology </w:t>
      </w:r>
      <w:r w:rsidR="00ED705E" w:rsidRPr="00974377">
        <w:rPr>
          <w:rFonts w:asciiTheme="majorHAnsi" w:hAnsiTheme="majorHAnsi" w:cstheme="majorHAnsi"/>
          <w:sz w:val="22"/>
          <w:szCs w:val="22"/>
        </w:rPr>
        <w:t>will continue to inform piloting activities of the program, within and outside district ecosystems.  One of the core functions of the program will be to monitor outcomes from</w:t>
      </w:r>
      <w:r w:rsidR="009C11F1">
        <w:rPr>
          <w:rFonts w:asciiTheme="majorHAnsi" w:hAnsiTheme="majorHAnsi" w:cstheme="majorHAnsi"/>
          <w:sz w:val="22"/>
          <w:szCs w:val="22"/>
        </w:rPr>
        <w:t xml:space="preserve"> these</w:t>
      </w:r>
      <w:r w:rsidR="00ED705E" w:rsidRPr="00974377">
        <w:rPr>
          <w:rFonts w:asciiTheme="majorHAnsi" w:hAnsiTheme="majorHAnsi" w:cstheme="majorHAnsi"/>
          <w:sz w:val="22"/>
          <w:szCs w:val="22"/>
        </w:rPr>
        <w:t xml:space="preserve"> pilots and </w:t>
      </w:r>
      <w:r w:rsidR="00FD2131" w:rsidRPr="00974377">
        <w:rPr>
          <w:rFonts w:asciiTheme="majorHAnsi" w:hAnsiTheme="majorHAnsi" w:cstheme="majorHAnsi"/>
          <w:sz w:val="22"/>
          <w:szCs w:val="22"/>
        </w:rPr>
        <w:t>trials</w:t>
      </w:r>
      <w:r w:rsidR="00FD2131">
        <w:rPr>
          <w:rFonts w:asciiTheme="majorHAnsi" w:hAnsiTheme="majorHAnsi" w:cstheme="majorHAnsi"/>
          <w:sz w:val="22"/>
          <w:szCs w:val="22"/>
        </w:rPr>
        <w:t xml:space="preserve"> and</w:t>
      </w:r>
      <w:r w:rsidR="00ED705E" w:rsidRPr="00974377">
        <w:rPr>
          <w:rFonts w:asciiTheme="majorHAnsi" w:hAnsiTheme="majorHAnsi" w:cstheme="majorHAnsi"/>
          <w:sz w:val="22"/>
          <w:szCs w:val="22"/>
        </w:rPr>
        <w:t xml:space="preserve"> </w:t>
      </w:r>
      <w:r w:rsidR="00E94416">
        <w:rPr>
          <w:rFonts w:asciiTheme="majorHAnsi" w:hAnsiTheme="majorHAnsi" w:cstheme="majorHAnsi"/>
          <w:sz w:val="22"/>
          <w:szCs w:val="22"/>
        </w:rPr>
        <w:t xml:space="preserve">support </w:t>
      </w:r>
      <w:r w:rsidR="00E94416" w:rsidRPr="00E94416">
        <w:rPr>
          <w:rFonts w:asciiTheme="majorHAnsi" w:hAnsiTheme="majorHAnsi" w:cstheme="majorHAnsi"/>
          <w:sz w:val="22"/>
          <w:szCs w:val="22"/>
        </w:rPr>
        <w:t>national stakeholders to learn from these findings and adjust relevant policies and sys</w:t>
      </w:r>
      <w:r w:rsidR="00E94416">
        <w:rPr>
          <w:rFonts w:asciiTheme="majorHAnsi" w:hAnsiTheme="majorHAnsi" w:cstheme="majorHAnsi"/>
          <w:sz w:val="22"/>
          <w:szCs w:val="22"/>
        </w:rPr>
        <w:t>tem</w:t>
      </w:r>
      <w:r w:rsidR="00E94416" w:rsidRPr="00E94416">
        <w:rPr>
          <w:rFonts w:asciiTheme="majorHAnsi" w:hAnsiTheme="majorHAnsi" w:cstheme="majorHAnsi"/>
          <w:sz w:val="22"/>
          <w:szCs w:val="22"/>
        </w:rPr>
        <w:t xml:space="preserve">s </w:t>
      </w:r>
      <w:r w:rsidR="00E94416">
        <w:rPr>
          <w:rFonts w:asciiTheme="majorHAnsi" w:hAnsiTheme="majorHAnsi" w:cstheme="majorHAnsi"/>
          <w:sz w:val="22"/>
          <w:szCs w:val="22"/>
        </w:rPr>
        <w:t>based on</w:t>
      </w:r>
      <w:r w:rsidR="00E94416" w:rsidRPr="00E94416">
        <w:rPr>
          <w:rFonts w:asciiTheme="majorHAnsi" w:hAnsiTheme="majorHAnsi" w:cstheme="majorHAnsi"/>
          <w:sz w:val="22"/>
          <w:szCs w:val="22"/>
        </w:rPr>
        <w:t xml:space="preserve"> </w:t>
      </w:r>
      <w:r w:rsidR="00E94416">
        <w:rPr>
          <w:rFonts w:asciiTheme="majorHAnsi" w:hAnsiTheme="majorHAnsi" w:cstheme="majorHAnsi"/>
          <w:sz w:val="22"/>
          <w:szCs w:val="22"/>
        </w:rPr>
        <w:t xml:space="preserve">emergent </w:t>
      </w:r>
      <w:r w:rsidR="00E94416" w:rsidRPr="00E94416">
        <w:rPr>
          <w:rFonts w:asciiTheme="majorHAnsi" w:hAnsiTheme="majorHAnsi" w:cstheme="majorHAnsi"/>
          <w:sz w:val="22"/>
          <w:szCs w:val="22"/>
        </w:rPr>
        <w:t>lessons.</w:t>
      </w:r>
    </w:p>
    <w:p w14:paraId="35BC126E" w14:textId="56C5E1D2" w:rsidR="00ED705E" w:rsidRDefault="00CB1D0A" w:rsidP="00B86A7F">
      <w:pPr>
        <w:tabs>
          <w:tab w:val="left" w:pos="284"/>
        </w:tabs>
        <w:spacing w:after="120" w:line="281" w:lineRule="auto"/>
        <w:rPr>
          <w:rFonts w:asciiTheme="majorHAnsi" w:hAnsiTheme="majorHAnsi" w:cstheme="majorHAnsi"/>
          <w:sz w:val="22"/>
          <w:szCs w:val="22"/>
        </w:rPr>
      </w:pPr>
      <w:r>
        <w:rPr>
          <w:rFonts w:asciiTheme="majorHAnsi" w:hAnsiTheme="majorHAnsi" w:cstheme="majorHAnsi"/>
          <w:sz w:val="22"/>
          <w:szCs w:val="22"/>
        </w:rPr>
        <w:t>T</w:t>
      </w:r>
      <w:r w:rsidR="002574D2">
        <w:rPr>
          <w:rFonts w:asciiTheme="majorHAnsi" w:hAnsiTheme="majorHAnsi" w:cstheme="majorHAnsi"/>
          <w:sz w:val="22"/>
          <w:szCs w:val="22"/>
        </w:rPr>
        <w:t>hree</w:t>
      </w:r>
      <w:r w:rsidR="002574D2" w:rsidRPr="00974377">
        <w:rPr>
          <w:rFonts w:asciiTheme="majorHAnsi" w:hAnsiTheme="majorHAnsi" w:cstheme="majorHAnsi"/>
          <w:sz w:val="22"/>
          <w:szCs w:val="22"/>
        </w:rPr>
        <w:t xml:space="preserve"> </w:t>
      </w:r>
      <w:r w:rsidR="00ED705E" w:rsidRPr="00974377">
        <w:rPr>
          <w:rFonts w:asciiTheme="majorHAnsi" w:hAnsiTheme="majorHAnsi" w:cstheme="majorHAnsi"/>
          <w:sz w:val="22"/>
          <w:szCs w:val="22"/>
        </w:rPr>
        <w:t>areas</w:t>
      </w:r>
      <w:r>
        <w:rPr>
          <w:rFonts w:asciiTheme="majorHAnsi" w:hAnsiTheme="majorHAnsi" w:cstheme="majorHAnsi"/>
          <w:sz w:val="22"/>
          <w:szCs w:val="22"/>
        </w:rPr>
        <w:t xml:space="preserve"> of</w:t>
      </w:r>
      <w:r w:rsidR="00ED705E" w:rsidRPr="00974377">
        <w:rPr>
          <w:rFonts w:asciiTheme="majorHAnsi" w:hAnsiTheme="majorHAnsi" w:cstheme="majorHAnsi"/>
          <w:sz w:val="22"/>
          <w:szCs w:val="22"/>
        </w:rPr>
        <w:t xml:space="preserve"> </w:t>
      </w:r>
      <w:r w:rsidRPr="00974377">
        <w:rPr>
          <w:rFonts w:asciiTheme="majorHAnsi" w:hAnsiTheme="majorHAnsi" w:cstheme="majorHAnsi"/>
          <w:sz w:val="22"/>
          <w:szCs w:val="22"/>
        </w:rPr>
        <w:t xml:space="preserve">innovative pilot activities </w:t>
      </w:r>
      <w:r>
        <w:rPr>
          <w:rFonts w:asciiTheme="majorHAnsi" w:hAnsiTheme="majorHAnsi" w:cstheme="majorHAnsi"/>
          <w:sz w:val="22"/>
          <w:szCs w:val="22"/>
        </w:rPr>
        <w:t xml:space="preserve">will be </w:t>
      </w:r>
      <w:r w:rsidRPr="00974377">
        <w:rPr>
          <w:rFonts w:asciiTheme="majorHAnsi" w:hAnsiTheme="majorHAnsi" w:cstheme="majorHAnsi"/>
          <w:sz w:val="22"/>
          <w:szCs w:val="22"/>
        </w:rPr>
        <w:t xml:space="preserve">explored within </w:t>
      </w:r>
      <w:proofErr w:type="gramStart"/>
      <w:r w:rsidRPr="00974377">
        <w:rPr>
          <w:rFonts w:asciiTheme="majorHAnsi" w:hAnsiTheme="majorHAnsi" w:cstheme="majorHAnsi"/>
          <w:sz w:val="22"/>
          <w:szCs w:val="22"/>
        </w:rPr>
        <w:t>particular</w:t>
      </w:r>
      <w:r w:rsidR="00105032">
        <w:rPr>
          <w:rFonts w:asciiTheme="majorHAnsi" w:hAnsiTheme="majorHAnsi" w:cstheme="majorHAnsi"/>
          <w:sz w:val="22"/>
          <w:szCs w:val="22"/>
        </w:rPr>
        <w:t xml:space="preserve"> </w:t>
      </w:r>
      <w:r w:rsidRPr="00974377">
        <w:rPr>
          <w:rFonts w:asciiTheme="majorHAnsi" w:hAnsiTheme="majorHAnsi" w:cstheme="majorHAnsi"/>
          <w:sz w:val="22"/>
          <w:szCs w:val="22"/>
        </w:rPr>
        <w:t>district</w:t>
      </w:r>
      <w:proofErr w:type="gramEnd"/>
      <w:r w:rsidRPr="00974377">
        <w:rPr>
          <w:rFonts w:asciiTheme="majorHAnsi" w:hAnsiTheme="majorHAnsi" w:cstheme="majorHAnsi"/>
          <w:sz w:val="22"/>
          <w:szCs w:val="22"/>
        </w:rPr>
        <w:t xml:space="preserve"> contexts</w:t>
      </w:r>
      <w:r w:rsidR="00ED705E" w:rsidRPr="00974377">
        <w:rPr>
          <w:rFonts w:asciiTheme="majorHAnsi" w:hAnsiTheme="majorHAnsi" w:cstheme="majorHAnsi"/>
          <w:sz w:val="22"/>
          <w:szCs w:val="22"/>
        </w:rPr>
        <w:t>: 1) experimentation of different approaches to a transition to school year within local ECE centres</w:t>
      </w:r>
      <w:r w:rsidR="00221415">
        <w:rPr>
          <w:rFonts w:asciiTheme="majorHAnsi" w:hAnsiTheme="majorHAnsi" w:cstheme="majorHAnsi"/>
          <w:sz w:val="22"/>
          <w:szCs w:val="22"/>
        </w:rPr>
        <w:t>,</w:t>
      </w:r>
      <w:r w:rsidR="00105032">
        <w:rPr>
          <w:rFonts w:asciiTheme="majorHAnsi" w:hAnsiTheme="majorHAnsi" w:cstheme="majorHAnsi"/>
          <w:sz w:val="22"/>
          <w:szCs w:val="22"/>
        </w:rPr>
        <w:t xml:space="preserve"> </w:t>
      </w:r>
      <w:r w:rsidR="00ED705E" w:rsidRPr="00974377">
        <w:rPr>
          <w:rFonts w:asciiTheme="majorHAnsi" w:hAnsiTheme="majorHAnsi" w:cstheme="majorHAnsi"/>
          <w:sz w:val="22"/>
          <w:szCs w:val="22"/>
        </w:rPr>
        <w:t>2) experimentation of approaches for pre-service training of aspiring teachers</w:t>
      </w:r>
      <w:r w:rsidR="00221415">
        <w:rPr>
          <w:rFonts w:asciiTheme="majorHAnsi" w:hAnsiTheme="majorHAnsi" w:cstheme="majorHAnsi"/>
          <w:sz w:val="22"/>
          <w:szCs w:val="22"/>
        </w:rPr>
        <w:t>,</w:t>
      </w:r>
      <w:r w:rsidR="002574D2">
        <w:rPr>
          <w:rFonts w:asciiTheme="majorHAnsi" w:hAnsiTheme="majorHAnsi" w:cstheme="majorHAnsi"/>
          <w:sz w:val="22"/>
          <w:szCs w:val="22"/>
        </w:rPr>
        <w:t xml:space="preserve"> and 3) </w:t>
      </w:r>
      <w:r w:rsidR="009C11F1">
        <w:rPr>
          <w:rFonts w:asciiTheme="majorHAnsi" w:hAnsiTheme="majorHAnsi" w:cstheme="majorHAnsi"/>
          <w:sz w:val="22"/>
          <w:szCs w:val="22"/>
        </w:rPr>
        <w:t xml:space="preserve">experimentation of </w:t>
      </w:r>
      <w:r w:rsidR="002574D2">
        <w:rPr>
          <w:rFonts w:asciiTheme="majorHAnsi" w:hAnsiTheme="majorHAnsi" w:cstheme="majorHAnsi"/>
          <w:sz w:val="22"/>
          <w:szCs w:val="22"/>
        </w:rPr>
        <w:t xml:space="preserve">strategies for </w:t>
      </w:r>
      <w:r w:rsidR="003E2445">
        <w:rPr>
          <w:rFonts w:asciiTheme="majorHAnsi" w:hAnsiTheme="majorHAnsi" w:cstheme="majorHAnsi"/>
          <w:sz w:val="22"/>
          <w:szCs w:val="22"/>
        </w:rPr>
        <w:t xml:space="preserve">GEDSI and climate change </w:t>
      </w:r>
      <w:r w:rsidR="002574D2">
        <w:rPr>
          <w:rFonts w:asciiTheme="majorHAnsi" w:hAnsiTheme="majorHAnsi" w:cstheme="majorHAnsi"/>
          <w:sz w:val="22"/>
          <w:szCs w:val="22"/>
        </w:rPr>
        <w:t>resil</w:t>
      </w:r>
      <w:r w:rsidR="009C11F1">
        <w:rPr>
          <w:rFonts w:asciiTheme="majorHAnsi" w:hAnsiTheme="majorHAnsi" w:cstheme="majorHAnsi"/>
          <w:sz w:val="22"/>
          <w:szCs w:val="22"/>
        </w:rPr>
        <w:t>i</w:t>
      </w:r>
      <w:r w:rsidR="002574D2">
        <w:rPr>
          <w:rFonts w:asciiTheme="majorHAnsi" w:hAnsiTheme="majorHAnsi" w:cstheme="majorHAnsi"/>
          <w:sz w:val="22"/>
          <w:szCs w:val="22"/>
        </w:rPr>
        <w:t xml:space="preserve">ence and mitigation. </w:t>
      </w:r>
      <w:r w:rsidR="00ED705E" w:rsidRPr="00974377">
        <w:rPr>
          <w:rFonts w:asciiTheme="majorHAnsi" w:hAnsiTheme="majorHAnsi" w:cstheme="majorHAnsi"/>
          <w:sz w:val="22"/>
          <w:szCs w:val="22"/>
        </w:rPr>
        <w:t xml:space="preserve">For the first one there is scope for piloting initiatives that may level the playing field for school starters from disadvantaged contexts. </w:t>
      </w:r>
      <w:proofErr w:type="spellStart"/>
      <w:r w:rsidR="00ED705E" w:rsidRPr="00974377">
        <w:rPr>
          <w:rFonts w:asciiTheme="majorHAnsi" w:hAnsiTheme="majorHAnsi" w:cstheme="majorHAnsi"/>
          <w:sz w:val="22"/>
          <w:szCs w:val="22"/>
        </w:rPr>
        <w:t>MoECRT</w:t>
      </w:r>
      <w:proofErr w:type="spellEnd"/>
      <w:r w:rsidR="00ED705E" w:rsidRPr="00974377">
        <w:rPr>
          <w:rFonts w:asciiTheme="majorHAnsi" w:hAnsiTheme="majorHAnsi" w:cstheme="majorHAnsi"/>
          <w:sz w:val="22"/>
          <w:szCs w:val="22"/>
        </w:rPr>
        <w:t xml:space="preserve"> is interested in findings from these pilots to potentially inform the intended reform of the sector. The same applies for the second area, for which willing local TTI partners could be mobilised to pilot different ways of increasing student teachers’ involvement in classroom practice and improving graduate competencies in literacy and numeracy. Lesson</w:t>
      </w:r>
      <w:r>
        <w:rPr>
          <w:rFonts w:asciiTheme="majorHAnsi" w:hAnsiTheme="majorHAnsi" w:cstheme="majorHAnsi"/>
          <w:sz w:val="22"/>
          <w:szCs w:val="22"/>
        </w:rPr>
        <w:t>s</w:t>
      </w:r>
      <w:r w:rsidR="00ED705E" w:rsidRPr="00974377">
        <w:rPr>
          <w:rFonts w:asciiTheme="majorHAnsi" w:hAnsiTheme="majorHAnsi" w:cstheme="majorHAnsi"/>
          <w:sz w:val="22"/>
          <w:szCs w:val="22"/>
        </w:rPr>
        <w:t xml:space="preserve"> from these pilots could helping </w:t>
      </w:r>
      <w:proofErr w:type="spellStart"/>
      <w:r w:rsidR="00ED705E" w:rsidRPr="00974377">
        <w:rPr>
          <w:rFonts w:asciiTheme="majorHAnsi" w:hAnsiTheme="majorHAnsi" w:cstheme="majorHAnsi"/>
          <w:sz w:val="22"/>
          <w:szCs w:val="22"/>
        </w:rPr>
        <w:t>MoECRT</w:t>
      </w:r>
      <w:proofErr w:type="spellEnd"/>
      <w:r w:rsidR="00ED705E" w:rsidRPr="00974377">
        <w:rPr>
          <w:rFonts w:asciiTheme="majorHAnsi" w:hAnsiTheme="majorHAnsi" w:cstheme="majorHAnsi"/>
          <w:sz w:val="22"/>
          <w:szCs w:val="22"/>
        </w:rPr>
        <w:t xml:space="preserve"> to develop a feasible agenda for the wider sector reform</w:t>
      </w:r>
      <w:r w:rsidR="002574D2">
        <w:rPr>
          <w:rFonts w:asciiTheme="majorHAnsi" w:hAnsiTheme="majorHAnsi" w:cstheme="majorHAnsi"/>
          <w:sz w:val="22"/>
          <w:szCs w:val="22"/>
        </w:rPr>
        <w:t>. As descr</w:t>
      </w:r>
      <w:r w:rsidR="00C62884">
        <w:rPr>
          <w:rFonts w:asciiTheme="majorHAnsi" w:hAnsiTheme="majorHAnsi" w:cstheme="majorHAnsi"/>
          <w:sz w:val="22"/>
          <w:szCs w:val="22"/>
        </w:rPr>
        <w:t>i</w:t>
      </w:r>
      <w:r w:rsidR="002574D2">
        <w:rPr>
          <w:rFonts w:asciiTheme="majorHAnsi" w:hAnsiTheme="majorHAnsi" w:cstheme="majorHAnsi"/>
          <w:sz w:val="22"/>
          <w:szCs w:val="22"/>
        </w:rPr>
        <w:t xml:space="preserve">bed above, the ecosystem approach to identifying </w:t>
      </w:r>
      <w:r w:rsidR="003E2445">
        <w:rPr>
          <w:rFonts w:asciiTheme="majorHAnsi" w:hAnsiTheme="majorHAnsi" w:cstheme="majorHAnsi"/>
          <w:sz w:val="22"/>
          <w:szCs w:val="22"/>
        </w:rPr>
        <w:t xml:space="preserve">GEDSI and </w:t>
      </w:r>
      <w:r w:rsidR="002574D2">
        <w:rPr>
          <w:rFonts w:asciiTheme="majorHAnsi" w:hAnsiTheme="majorHAnsi" w:cstheme="majorHAnsi"/>
          <w:sz w:val="22"/>
          <w:szCs w:val="22"/>
        </w:rPr>
        <w:t xml:space="preserve">climate change </w:t>
      </w:r>
      <w:r w:rsidR="009C11F1">
        <w:rPr>
          <w:rFonts w:asciiTheme="majorHAnsi" w:hAnsiTheme="majorHAnsi" w:cstheme="majorHAnsi"/>
          <w:sz w:val="22"/>
          <w:szCs w:val="22"/>
        </w:rPr>
        <w:t xml:space="preserve">strategies </w:t>
      </w:r>
      <w:r w:rsidR="002574D2">
        <w:rPr>
          <w:rFonts w:asciiTheme="majorHAnsi" w:hAnsiTheme="majorHAnsi" w:cstheme="majorHAnsi"/>
          <w:sz w:val="22"/>
          <w:szCs w:val="22"/>
        </w:rPr>
        <w:t xml:space="preserve">appropriate </w:t>
      </w:r>
      <w:r w:rsidR="009C11F1">
        <w:rPr>
          <w:rFonts w:asciiTheme="majorHAnsi" w:hAnsiTheme="majorHAnsi" w:cstheme="majorHAnsi"/>
          <w:sz w:val="22"/>
          <w:szCs w:val="22"/>
        </w:rPr>
        <w:t>will</w:t>
      </w:r>
      <w:r w:rsidR="002574D2">
        <w:rPr>
          <w:rFonts w:asciiTheme="majorHAnsi" w:hAnsiTheme="majorHAnsi" w:cstheme="majorHAnsi"/>
          <w:sz w:val="22"/>
          <w:szCs w:val="22"/>
        </w:rPr>
        <w:t xml:space="preserve"> likely result in innovation linked </w:t>
      </w:r>
      <w:r w:rsidR="009C11F1">
        <w:rPr>
          <w:rFonts w:asciiTheme="majorHAnsi" w:hAnsiTheme="majorHAnsi" w:cstheme="majorHAnsi"/>
          <w:sz w:val="22"/>
          <w:szCs w:val="22"/>
        </w:rPr>
        <w:t xml:space="preserve">to </w:t>
      </w:r>
      <w:r w:rsidR="0086703F">
        <w:rPr>
          <w:rFonts w:asciiTheme="majorHAnsi" w:hAnsiTheme="majorHAnsi" w:cstheme="majorHAnsi"/>
          <w:sz w:val="22"/>
          <w:szCs w:val="22"/>
        </w:rPr>
        <w:t>each district education context</w:t>
      </w:r>
      <w:r w:rsidR="002574D2">
        <w:rPr>
          <w:rFonts w:asciiTheme="majorHAnsi" w:hAnsiTheme="majorHAnsi" w:cstheme="majorHAnsi"/>
          <w:sz w:val="22"/>
          <w:szCs w:val="22"/>
        </w:rPr>
        <w:t>.</w:t>
      </w:r>
    </w:p>
    <w:p w14:paraId="3C00E2D7" w14:textId="723101F9" w:rsidR="00E744F0" w:rsidRPr="00CB1D0A" w:rsidRDefault="00E744F0" w:rsidP="008D1844">
      <w:pPr>
        <w:pStyle w:val="Heading3"/>
        <w:numPr>
          <w:ilvl w:val="0"/>
          <w:numId w:val="61"/>
        </w:numPr>
        <w:rPr>
          <w:rFonts w:cstheme="majorHAnsi"/>
          <w:sz w:val="22"/>
          <w:szCs w:val="22"/>
        </w:rPr>
      </w:pPr>
      <w:r w:rsidRPr="00A617D5">
        <w:rPr>
          <w:b/>
          <w:sz w:val="22"/>
          <w:szCs w:val="20"/>
        </w:rPr>
        <w:t>Private sector</w:t>
      </w:r>
    </w:p>
    <w:p w14:paraId="68E62479" w14:textId="38C7B42D" w:rsidR="002574D2" w:rsidRDefault="002574D2" w:rsidP="00B86A7F">
      <w:pPr>
        <w:tabs>
          <w:tab w:val="left" w:pos="284"/>
        </w:tabs>
        <w:spacing w:after="120" w:line="281" w:lineRule="auto"/>
        <w:rPr>
          <w:rFonts w:asciiTheme="majorHAnsi" w:hAnsiTheme="majorHAnsi" w:cstheme="majorHAnsi"/>
          <w:sz w:val="22"/>
          <w:szCs w:val="22"/>
        </w:rPr>
      </w:pPr>
      <w:r>
        <w:rPr>
          <w:rFonts w:asciiTheme="majorHAnsi" w:hAnsiTheme="majorHAnsi" w:cstheme="majorHAnsi"/>
          <w:sz w:val="22"/>
          <w:szCs w:val="22"/>
        </w:rPr>
        <w:t xml:space="preserve">The </w:t>
      </w:r>
      <w:r w:rsidR="009C11F1">
        <w:rPr>
          <w:rFonts w:asciiTheme="majorHAnsi" w:hAnsiTheme="majorHAnsi" w:cstheme="majorHAnsi"/>
          <w:sz w:val="22"/>
          <w:szCs w:val="22"/>
        </w:rPr>
        <w:t xml:space="preserve">new </w:t>
      </w:r>
      <w:r>
        <w:rPr>
          <w:rFonts w:asciiTheme="majorHAnsi" w:hAnsiTheme="majorHAnsi" w:cstheme="majorHAnsi"/>
          <w:sz w:val="22"/>
          <w:szCs w:val="22"/>
        </w:rPr>
        <w:t xml:space="preserve">program </w:t>
      </w:r>
      <w:r w:rsidR="009C11F1">
        <w:rPr>
          <w:rFonts w:asciiTheme="majorHAnsi" w:hAnsiTheme="majorHAnsi" w:cstheme="majorHAnsi"/>
          <w:sz w:val="22"/>
          <w:szCs w:val="22"/>
        </w:rPr>
        <w:t>present</w:t>
      </w:r>
      <w:r w:rsidR="00CB1D0A">
        <w:rPr>
          <w:rFonts w:asciiTheme="majorHAnsi" w:hAnsiTheme="majorHAnsi" w:cstheme="majorHAnsi"/>
          <w:sz w:val="22"/>
          <w:szCs w:val="22"/>
        </w:rPr>
        <w:t>s</w:t>
      </w:r>
      <w:r w:rsidR="009C11F1">
        <w:rPr>
          <w:rFonts w:asciiTheme="majorHAnsi" w:hAnsiTheme="majorHAnsi" w:cstheme="majorHAnsi"/>
          <w:sz w:val="22"/>
          <w:szCs w:val="22"/>
        </w:rPr>
        <w:t xml:space="preserve"> avenues to </w:t>
      </w:r>
      <w:r w:rsidR="000C1DC2">
        <w:rPr>
          <w:rFonts w:asciiTheme="majorHAnsi" w:hAnsiTheme="majorHAnsi" w:cstheme="majorHAnsi"/>
          <w:sz w:val="22"/>
          <w:szCs w:val="22"/>
        </w:rPr>
        <w:t xml:space="preserve">collaborate with </w:t>
      </w:r>
      <w:r>
        <w:rPr>
          <w:rFonts w:asciiTheme="majorHAnsi" w:hAnsiTheme="majorHAnsi" w:cstheme="majorHAnsi"/>
          <w:sz w:val="22"/>
          <w:szCs w:val="22"/>
        </w:rPr>
        <w:t>the private sector</w:t>
      </w:r>
      <w:r w:rsidR="00CB1D0A">
        <w:rPr>
          <w:rFonts w:asciiTheme="majorHAnsi" w:hAnsiTheme="majorHAnsi" w:cstheme="majorHAnsi"/>
          <w:sz w:val="22"/>
          <w:szCs w:val="22"/>
        </w:rPr>
        <w:t>.</w:t>
      </w:r>
      <w:r>
        <w:rPr>
          <w:rFonts w:asciiTheme="majorHAnsi" w:hAnsiTheme="majorHAnsi" w:cstheme="majorHAnsi"/>
          <w:sz w:val="22"/>
          <w:szCs w:val="22"/>
        </w:rPr>
        <w:t xml:space="preserve"> </w:t>
      </w:r>
      <w:r w:rsidR="0086703F">
        <w:rPr>
          <w:rFonts w:asciiTheme="majorHAnsi" w:hAnsiTheme="majorHAnsi" w:cstheme="majorHAnsi"/>
          <w:sz w:val="22"/>
          <w:szCs w:val="22"/>
        </w:rPr>
        <w:t>The inclusion of East and West Java provinces in the program offers the opportunity to leverage changes in</w:t>
      </w:r>
      <w:r>
        <w:rPr>
          <w:rFonts w:asciiTheme="majorHAnsi" w:hAnsiTheme="majorHAnsi" w:cstheme="majorHAnsi"/>
          <w:sz w:val="22"/>
          <w:szCs w:val="22"/>
        </w:rPr>
        <w:t xml:space="preserve"> the</w:t>
      </w:r>
      <w:r w:rsidR="0086703F">
        <w:rPr>
          <w:rFonts w:asciiTheme="majorHAnsi" w:hAnsiTheme="majorHAnsi" w:cstheme="majorHAnsi"/>
          <w:sz w:val="22"/>
          <w:szCs w:val="22"/>
        </w:rPr>
        <w:t xml:space="preserve"> broader</w:t>
      </w:r>
      <w:r>
        <w:rPr>
          <w:rFonts w:asciiTheme="majorHAnsi" w:hAnsiTheme="majorHAnsi" w:cstheme="majorHAnsi"/>
          <w:sz w:val="22"/>
          <w:szCs w:val="22"/>
        </w:rPr>
        <w:t xml:space="preserve"> independent Muhammadiyah and N</w:t>
      </w:r>
      <w:r w:rsidR="00CB1D0A">
        <w:rPr>
          <w:rFonts w:asciiTheme="majorHAnsi" w:hAnsiTheme="majorHAnsi" w:cstheme="majorHAnsi"/>
          <w:sz w:val="22"/>
          <w:szCs w:val="22"/>
        </w:rPr>
        <w:t>U</w:t>
      </w:r>
      <w:r>
        <w:rPr>
          <w:rFonts w:asciiTheme="majorHAnsi" w:hAnsiTheme="majorHAnsi" w:cstheme="majorHAnsi"/>
          <w:sz w:val="22"/>
          <w:szCs w:val="22"/>
        </w:rPr>
        <w:t xml:space="preserve"> school systems. </w:t>
      </w:r>
      <w:r w:rsidR="0086703F">
        <w:rPr>
          <w:rFonts w:asciiTheme="majorHAnsi" w:hAnsiTheme="majorHAnsi" w:cstheme="majorHAnsi"/>
          <w:sz w:val="22"/>
          <w:szCs w:val="22"/>
        </w:rPr>
        <w:t xml:space="preserve">Given their reach and </w:t>
      </w:r>
      <w:r>
        <w:rPr>
          <w:rFonts w:asciiTheme="majorHAnsi" w:hAnsiTheme="majorHAnsi" w:cstheme="majorHAnsi"/>
          <w:sz w:val="22"/>
          <w:szCs w:val="22"/>
        </w:rPr>
        <w:t xml:space="preserve">receptivity to progressive reforms including </w:t>
      </w:r>
      <w:r>
        <w:rPr>
          <w:rFonts w:asciiTheme="majorHAnsi" w:hAnsiTheme="majorHAnsi" w:cstheme="majorHAnsi"/>
          <w:sz w:val="22"/>
          <w:szCs w:val="22"/>
        </w:rPr>
        <w:lastRenderedPageBreak/>
        <w:t xml:space="preserve">gender, </w:t>
      </w:r>
      <w:r w:rsidR="0086703F">
        <w:rPr>
          <w:rFonts w:asciiTheme="majorHAnsi" w:hAnsiTheme="majorHAnsi" w:cstheme="majorHAnsi"/>
          <w:sz w:val="22"/>
          <w:szCs w:val="22"/>
        </w:rPr>
        <w:t>these systems are crucial partners to scale out the program model and impact on students learning, beyond targeted districts</w:t>
      </w:r>
      <w:r w:rsidR="00E744F0">
        <w:rPr>
          <w:rFonts w:asciiTheme="majorHAnsi" w:hAnsiTheme="majorHAnsi" w:cstheme="majorHAnsi"/>
          <w:sz w:val="22"/>
          <w:szCs w:val="22"/>
        </w:rPr>
        <w:t>.</w:t>
      </w:r>
      <w:r w:rsidR="0086703F">
        <w:rPr>
          <w:rFonts w:asciiTheme="majorHAnsi" w:hAnsiTheme="majorHAnsi" w:cstheme="majorHAnsi"/>
          <w:sz w:val="22"/>
          <w:szCs w:val="22"/>
        </w:rPr>
        <w:t xml:space="preserve"> As such, the program will encourage the active participation of Muhammadiyah and NU representatives in relevant district ecosystems activities.</w:t>
      </w:r>
    </w:p>
    <w:p w14:paraId="29D89F73" w14:textId="2398A06F" w:rsidR="002A1003" w:rsidRPr="00974377" w:rsidRDefault="0086703F" w:rsidP="00B86A7F">
      <w:pPr>
        <w:tabs>
          <w:tab w:val="left" w:pos="284"/>
        </w:tabs>
        <w:spacing w:after="120" w:line="281" w:lineRule="auto"/>
        <w:rPr>
          <w:rFonts w:asciiTheme="majorHAnsi" w:hAnsiTheme="majorHAnsi" w:cstheme="majorHAnsi"/>
          <w:sz w:val="22"/>
          <w:szCs w:val="22"/>
        </w:rPr>
      </w:pPr>
      <w:r>
        <w:rPr>
          <w:rFonts w:asciiTheme="majorHAnsi" w:hAnsiTheme="majorHAnsi" w:cstheme="majorHAnsi"/>
          <w:sz w:val="22"/>
          <w:szCs w:val="22"/>
        </w:rPr>
        <w:t>Other opportunities of</w:t>
      </w:r>
      <w:r w:rsidR="00E744F0" w:rsidRPr="00CB1D0A">
        <w:rPr>
          <w:rFonts w:asciiTheme="majorHAnsi" w:hAnsiTheme="majorHAnsi" w:cstheme="majorHAnsi"/>
          <w:sz w:val="22"/>
          <w:szCs w:val="22"/>
        </w:rPr>
        <w:t xml:space="preserve"> </w:t>
      </w:r>
      <w:r>
        <w:rPr>
          <w:rFonts w:asciiTheme="majorHAnsi" w:hAnsiTheme="majorHAnsi" w:cstheme="majorHAnsi"/>
          <w:sz w:val="22"/>
          <w:szCs w:val="22"/>
        </w:rPr>
        <w:t>collaboration</w:t>
      </w:r>
      <w:r w:rsidR="00E744F0" w:rsidRPr="00CB1D0A">
        <w:rPr>
          <w:rFonts w:asciiTheme="majorHAnsi" w:hAnsiTheme="majorHAnsi" w:cstheme="majorHAnsi"/>
          <w:sz w:val="22"/>
          <w:szCs w:val="22"/>
        </w:rPr>
        <w:t xml:space="preserve"> </w:t>
      </w:r>
      <w:r>
        <w:rPr>
          <w:rFonts w:asciiTheme="majorHAnsi" w:hAnsiTheme="majorHAnsi" w:cstheme="majorHAnsi"/>
          <w:sz w:val="22"/>
          <w:szCs w:val="22"/>
        </w:rPr>
        <w:t>with</w:t>
      </w:r>
      <w:r w:rsidR="00E744F0" w:rsidRPr="00CB1D0A">
        <w:rPr>
          <w:rFonts w:asciiTheme="majorHAnsi" w:hAnsiTheme="majorHAnsi" w:cstheme="majorHAnsi"/>
          <w:sz w:val="22"/>
          <w:szCs w:val="22"/>
        </w:rPr>
        <w:t xml:space="preserve"> the private sector </w:t>
      </w:r>
      <w:r>
        <w:rPr>
          <w:rFonts w:asciiTheme="majorHAnsi" w:hAnsiTheme="majorHAnsi" w:cstheme="majorHAnsi"/>
          <w:sz w:val="22"/>
          <w:szCs w:val="22"/>
        </w:rPr>
        <w:t>will be explored.</w:t>
      </w:r>
      <w:r w:rsidR="0094004E">
        <w:rPr>
          <w:rFonts w:asciiTheme="majorHAnsi" w:hAnsiTheme="majorHAnsi" w:cstheme="majorHAnsi"/>
          <w:sz w:val="22"/>
          <w:szCs w:val="22"/>
        </w:rPr>
        <w:t xml:space="preserve"> For instance, the program </w:t>
      </w:r>
      <w:r w:rsidR="00E744F0" w:rsidRPr="00CB1D0A">
        <w:rPr>
          <w:rFonts w:asciiTheme="majorHAnsi" w:hAnsiTheme="majorHAnsi" w:cstheme="majorHAnsi"/>
          <w:sz w:val="22"/>
          <w:szCs w:val="22"/>
        </w:rPr>
        <w:t>could broker</w:t>
      </w:r>
      <w:r>
        <w:rPr>
          <w:rFonts w:asciiTheme="majorHAnsi" w:hAnsiTheme="majorHAnsi" w:cstheme="majorHAnsi"/>
          <w:sz w:val="22"/>
          <w:szCs w:val="22"/>
        </w:rPr>
        <w:t xml:space="preserve"> </w:t>
      </w:r>
      <w:r w:rsidR="00E744F0" w:rsidRPr="00CB1D0A">
        <w:rPr>
          <w:rFonts w:asciiTheme="majorHAnsi" w:hAnsiTheme="majorHAnsi" w:cstheme="majorHAnsi"/>
          <w:sz w:val="22"/>
          <w:szCs w:val="22"/>
        </w:rPr>
        <w:t xml:space="preserve">a public private partnership between the government and </w:t>
      </w:r>
      <w:r w:rsidR="0042127B">
        <w:rPr>
          <w:rFonts w:asciiTheme="majorHAnsi" w:hAnsiTheme="majorHAnsi" w:cstheme="majorHAnsi"/>
          <w:sz w:val="22"/>
          <w:szCs w:val="22"/>
        </w:rPr>
        <w:t>Internet</w:t>
      </w:r>
      <w:r>
        <w:rPr>
          <w:rFonts w:asciiTheme="majorHAnsi" w:hAnsiTheme="majorHAnsi" w:cstheme="majorHAnsi"/>
          <w:sz w:val="22"/>
          <w:szCs w:val="22"/>
        </w:rPr>
        <w:t xml:space="preserve"> </w:t>
      </w:r>
      <w:r w:rsidR="00E744F0" w:rsidRPr="00CB1D0A">
        <w:rPr>
          <w:rFonts w:asciiTheme="majorHAnsi" w:hAnsiTheme="majorHAnsi" w:cstheme="majorHAnsi"/>
          <w:sz w:val="22"/>
          <w:szCs w:val="22"/>
        </w:rPr>
        <w:t>network service providers</w:t>
      </w:r>
      <w:r>
        <w:rPr>
          <w:rFonts w:asciiTheme="majorHAnsi" w:hAnsiTheme="majorHAnsi" w:cstheme="majorHAnsi"/>
          <w:sz w:val="22"/>
          <w:szCs w:val="22"/>
        </w:rPr>
        <w:t xml:space="preserve"> in </w:t>
      </w:r>
      <w:r w:rsidR="0094004E">
        <w:rPr>
          <w:rFonts w:asciiTheme="majorHAnsi" w:hAnsiTheme="majorHAnsi" w:cstheme="majorHAnsi"/>
          <w:sz w:val="22"/>
          <w:szCs w:val="22"/>
        </w:rPr>
        <w:t xml:space="preserve">remote and/or disadvantaged </w:t>
      </w:r>
      <w:r>
        <w:rPr>
          <w:rFonts w:asciiTheme="majorHAnsi" w:hAnsiTheme="majorHAnsi" w:cstheme="majorHAnsi"/>
          <w:sz w:val="22"/>
          <w:szCs w:val="22"/>
        </w:rPr>
        <w:t>districts</w:t>
      </w:r>
      <w:r w:rsidR="00E744F0" w:rsidRPr="00CB1D0A">
        <w:rPr>
          <w:rFonts w:asciiTheme="majorHAnsi" w:hAnsiTheme="majorHAnsi" w:cstheme="majorHAnsi"/>
          <w:sz w:val="22"/>
          <w:szCs w:val="22"/>
        </w:rPr>
        <w:t xml:space="preserve">. </w:t>
      </w:r>
      <w:r w:rsidR="0094004E">
        <w:rPr>
          <w:rFonts w:asciiTheme="majorHAnsi" w:hAnsiTheme="majorHAnsi" w:cstheme="majorHAnsi"/>
          <w:sz w:val="22"/>
          <w:szCs w:val="22"/>
        </w:rPr>
        <w:t>Based on its vision of a technology and knowledge-based future for Indonesia, t</w:t>
      </w:r>
      <w:r w:rsidR="007A279D">
        <w:rPr>
          <w:rFonts w:asciiTheme="majorHAnsi" w:hAnsiTheme="majorHAnsi" w:cstheme="majorHAnsi"/>
          <w:sz w:val="22"/>
          <w:szCs w:val="22"/>
        </w:rPr>
        <w:t>he government has recognised the critical need for the education system to transition to digital service deliver</w:t>
      </w:r>
      <w:r w:rsidR="0094004E">
        <w:rPr>
          <w:rFonts w:asciiTheme="majorHAnsi" w:hAnsiTheme="majorHAnsi" w:cstheme="majorHAnsi"/>
          <w:sz w:val="22"/>
          <w:szCs w:val="22"/>
        </w:rPr>
        <w:t>y</w:t>
      </w:r>
      <w:r w:rsidR="00E744F0">
        <w:rPr>
          <w:rFonts w:asciiTheme="majorHAnsi" w:hAnsiTheme="majorHAnsi" w:cstheme="majorHAnsi"/>
          <w:sz w:val="22"/>
          <w:szCs w:val="22"/>
        </w:rPr>
        <w:t>.</w:t>
      </w:r>
      <w:r w:rsidR="00FD09EA">
        <w:rPr>
          <w:rFonts w:asciiTheme="majorHAnsi" w:hAnsiTheme="majorHAnsi" w:cstheme="majorHAnsi"/>
          <w:sz w:val="22"/>
          <w:szCs w:val="22"/>
        </w:rPr>
        <w:t xml:space="preserve"> </w:t>
      </w:r>
      <w:r w:rsidR="002330F6">
        <w:rPr>
          <w:rFonts w:asciiTheme="majorHAnsi" w:hAnsiTheme="majorHAnsi" w:cstheme="majorHAnsi"/>
          <w:sz w:val="22"/>
          <w:szCs w:val="22"/>
        </w:rPr>
        <w:t>A</w:t>
      </w:r>
      <w:r w:rsidR="002330F6" w:rsidRPr="00CB1D0A">
        <w:rPr>
          <w:rFonts w:asciiTheme="majorHAnsi" w:hAnsiTheme="majorHAnsi" w:cstheme="majorHAnsi"/>
          <w:sz w:val="22"/>
          <w:szCs w:val="22"/>
        </w:rPr>
        <w:t xml:space="preserve">ccess </w:t>
      </w:r>
      <w:r w:rsidR="002330F6">
        <w:rPr>
          <w:rFonts w:asciiTheme="majorHAnsi" w:hAnsiTheme="majorHAnsi" w:cstheme="majorHAnsi"/>
          <w:sz w:val="22"/>
          <w:szCs w:val="22"/>
        </w:rPr>
        <w:t xml:space="preserve">to </w:t>
      </w:r>
      <w:r w:rsidR="0042127B">
        <w:rPr>
          <w:rFonts w:asciiTheme="majorHAnsi" w:hAnsiTheme="majorHAnsi" w:cstheme="majorHAnsi"/>
          <w:sz w:val="22"/>
          <w:szCs w:val="22"/>
        </w:rPr>
        <w:t>Internet</w:t>
      </w:r>
      <w:r w:rsidR="002330F6">
        <w:rPr>
          <w:rFonts w:asciiTheme="majorHAnsi" w:hAnsiTheme="majorHAnsi" w:cstheme="majorHAnsi"/>
          <w:sz w:val="22"/>
          <w:szCs w:val="22"/>
        </w:rPr>
        <w:t xml:space="preserve"> and </w:t>
      </w:r>
      <w:r w:rsidR="002330F6" w:rsidRPr="00CB1D0A">
        <w:rPr>
          <w:rFonts w:asciiTheme="majorHAnsi" w:hAnsiTheme="majorHAnsi" w:cstheme="majorHAnsi"/>
          <w:sz w:val="22"/>
          <w:szCs w:val="22"/>
        </w:rPr>
        <w:t xml:space="preserve">digital </w:t>
      </w:r>
      <w:r w:rsidR="002330F6">
        <w:rPr>
          <w:rFonts w:asciiTheme="majorHAnsi" w:hAnsiTheme="majorHAnsi" w:cstheme="majorHAnsi"/>
          <w:sz w:val="22"/>
          <w:szCs w:val="22"/>
        </w:rPr>
        <w:t xml:space="preserve">technologies </w:t>
      </w:r>
      <w:r w:rsidR="002330F6" w:rsidRPr="00CB1D0A">
        <w:rPr>
          <w:rFonts w:asciiTheme="majorHAnsi" w:hAnsiTheme="majorHAnsi" w:cstheme="majorHAnsi"/>
          <w:sz w:val="22"/>
          <w:szCs w:val="22"/>
        </w:rPr>
        <w:t xml:space="preserve">will </w:t>
      </w:r>
      <w:r w:rsidR="002330F6">
        <w:rPr>
          <w:rFonts w:asciiTheme="majorHAnsi" w:hAnsiTheme="majorHAnsi" w:cstheme="majorHAnsi"/>
          <w:sz w:val="22"/>
          <w:szCs w:val="22"/>
        </w:rPr>
        <w:t xml:space="preserve">soon be </w:t>
      </w:r>
      <w:r w:rsidR="002330F6" w:rsidRPr="00CB1D0A">
        <w:rPr>
          <w:rFonts w:asciiTheme="majorHAnsi" w:hAnsiTheme="majorHAnsi" w:cstheme="majorHAnsi"/>
          <w:sz w:val="22"/>
          <w:szCs w:val="22"/>
        </w:rPr>
        <w:t xml:space="preserve">indispensable </w:t>
      </w:r>
      <w:r w:rsidR="002330F6">
        <w:rPr>
          <w:rFonts w:asciiTheme="majorHAnsi" w:hAnsiTheme="majorHAnsi" w:cstheme="majorHAnsi"/>
          <w:sz w:val="22"/>
          <w:szCs w:val="22"/>
        </w:rPr>
        <w:t>to</w:t>
      </w:r>
      <w:r w:rsidR="002330F6" w:rsidRPr="00CB1D0A">
        <w:rPr>
          <w:rFonts w:asciiTheme="majorHAnsi" w:hAnsiTheme="majorHAnsi" w:cstheme="majorHAnsi"/>
          <w:sz w:val="22"/>
          <w:szCs w:val="22"/>
        </w:rPr>
        <w:t xml:space="preserve"> access</w:t>
      </w:r>
      <w:r w:rsidR="002330F6">
        <w:rPr>
          <w:rFonts w:asciiTheme="majorHAnsi" w:hAnsiTheme="majorHAnsi" w:cstheme="majorHAnsi"/>
          <w:sz w:val="22"/>
          <w:szCs w:val="22"/>
        </w:rPr>
        <w:t xml:space="preserve"> education in Indonesia</w:t>
      </w:r>
      <w:r w:rsidR="002330F6" w:rsidRPr="00CB1D0A">
        <w:rPr>
          <w:rFonts w:asciiTheme="majorHAnsi" w:hAnsiTheme="majorHAnsi" w:cstheme="majorHAnsi"/>
          <w:sz w:val="22"/>
          <w:szCs w:val="22"/>
        </w:rPr>
        <w:t xml:space="preserve">, </w:t>
      </w:r>
      <w:r w:rsidR="002330F6">
        <w:rPr>
          <w:rFonts w:asciiTheme="majorHAnsi" w:hAnsiTheme="majorHAnsi" w:cstheme="majorHAnsi"/>
          <w:sz w:val="22"/>
          <w:szCs w:val="22"/>
        </w:rPr>
        <w:t>perhaps even</w:t>
      </w:r>
      <w:r w:rsidR="002330F6" w:rsidRPr="00CB1D0A">
        <w:rPr>
          <w:rFonts w:asciiTheme="majorHAnsi" w:hAnsiTheme="majorHAnsi" w:cstheme="majorHAnsi"/>
          <w:sz w:val="22"/>
          <w:szCs w:val="22"/>
        </w:rPr>
        <w:t xml:space="preserve"> with</w:t>
      </w:r>
      <w:r w:rsidR="002330F6">
        <w:rPr>
          <w:rFonts w:asciiTheme="majorHAnsi" w:hAnsiTheme="majorHAnsi" w:cstheme="majorHAnsi"/>
          <w:sz w:val="22"/>
          <w:szCs w:val="22"/>
        </w:rPr>
        <w:t>in</w:t>
      </w:r>
      <w:r w:rsidR="002330F6" w:rsidRPr="00CB1D0A">
        <w:rPr>
          <w:rFonts w:asciiTheme="majorHAnsi" w:hAnsiTheme="majorHAnsi" w:cstheme="majorHAnsi"/>
          <w:sz w:val="22"/>
          <w:szCs w:val="22"/>
        </w:rPr>
        <w:t xml:space="preserve"> the eight years of the new program. </w:t>
      </w:r>
      <w:r w:rsidR="0094004E">
        <w:rPr>
          <w:rFonts w:asciiTheme="majorHAnsi" w:hAnsiTheme="majorHAnsi" w:cstheme="majorHAnsi"/>
          <w:sz w:val="22"/>
          <w:szCs w:val="22"/>
        </w:rPr>
        <w:t>M</w:t>
      </w:r>
      <w:r w:rsidR="00FD09EA">
        <w:rPr>
          <w:rFonts w:asciiTheme="majorHAnsi" w:hAnsiTheme="majorHAnsi" w:cstheme="majorHAnsi"/>
          <w:sz w:val="22"/>
          <w:szCs w:val="22"/>
        </w:rPr>
        <w:t>any initiatives</w:t>
      </w:r>
      <w:r>
        <w:rPr>
          <w:rFonts w:asciiTheme="majorHAnsi" w:hAnsiTheme="majorHAnsi" w:cstheme="majorHAnsi"/>
          <w:sz w:val="22"/>
          <w:szCs w:val="22"/>
        </w:rPr>
        <w:t>,</w:t>
      </w:r>
      <w:r w:rsidR="00FD09EA">
        <w:rPr>
          <w:rFonts w:asciiTheme="majorHAnsi" w:hAnsiTheme="majorHAnsi" w:cstheme="majorHAnsi"/>
          <w:sz w:val="22"/>
          <w:szCs w:val="22"/>
        </w:rPr>
        <w:t xml:space="preserve"> including major infrastructur</w:t>
      </w:r>
      <w:r>
        <w:rPr>
          <w:rFonts w:asciiTheme="majorHAnsi" w:hAnsiTheme="majorHAnsi" w:cstheme="majorHAnsi"/>
          <w:sz w:val="22"/>
          <w:szCs w:val="22"/>
        </w:rPr>
        <w:t>e</w:t>
      </w:r>
      <w:r w:rsidR="00FD09EA">
        <w:rPr>
          <w:rFonts w:asciiTheme="majorHAnsi" w:hAnsiTheme="majorHAnsi" w:cstheme="majorHAnsi"/>
          <w:sz w:val="22"/>
          <w:szCs w:val="22"/>
        </w:rPr>
        <w:t xml:space="preserve"> ones</w:t>
      </w:r>
      <w:r>
        <w:rPr>
          <w:rFonts w:asciiTheme="majorHAnsi" w:hAnsiTheme="majorHAnsi" w:cstheme="majorHAnsi"/>
          <w:sz w:val="22"/>
          <w:szCs w:val="22"/>
        </w:rPr>
        <w:t>,</w:t>
      </w:r>
      <w:r w:rsidR="00FD09EA">
        <w:rPr>
          <w:rFonts w:asciiTheme="majorHAnsi" w:hAnsiTheme="majorHAnsi" w:cstheme="majorHAnsi"/>
          <w:sz w:val="22"/>
          <w:szCs w:val="22"/>
        </w:rPr>
        <w:t xml:space="preserve"> </w:t>
      </w:r>
      <w:r w:rsidR="0094004E">
        <w:rPr>
          <w:rFonts w:asciiTheme="majorHAnsi" w:hAnsiTheme="majorHAnsi" w:cstheme="majorHAnsi"/>
          <w:sz w:val="22"/>
          <w:szCs w:val="22"/>
        </w:rPr>
        <w:t xml:space="preserve">have </w:t>
      </w:r>
      <w:r w:rsidR="00FD09EA">
        <w:rPr>
          <w:rFonts w:asciiTheme="majorHAnsi" w:hAnsiTheme="majorHAnsi" w:cstheme="majorHAnsi"/>
          <w:sz w:val="22"/>
          <w:szCs w:val="22"/>
        </w:rPr>
        <w:t>widen</w:t>
      </w:r>
      <w:r w:rsidR="0094004E">
        <w:rPr>
          <w:rFonts w:asciiTheme="majorHAnsi" w:hAnsiTheme="majorHAnsi" w:cstheme="majorHAnsi"/>
          <w:sz w:val="22"/>
          <w:szCs w:val="22"/>
        </w:rPr>
        <w:t>ed</w:t>
      </w:r>
      <w:r w:rsidR="00FD09EA">
        <w:rPr>
          <w:rFonts w:asciiTheme="majorHAnsi" w:hAnsiTheme="majorHAnsi" w:cstheme="majorHAnsi"/>
          <w:sz w:val="22"/>
          <w:szCs w:val="22"/>
        </w:rPr>
        <w:t xml:space="preserve"> access to the </w:t>
      </w:r>
      <w:r w:rsidR="0042127B">
        <w:rPr>
          <w:rFonts w:asciiTheme="majorHAnsi" w:hAnsiTheme="majorHAnsi" w:cstheme="majorHAnsi"/>
          <w:sz w:val="22"/>
          <w:szCs w:val="22"/>
        </w:rPr>
        <w:t>Internet</w:t>
      </w:r>
      <w:r w:rsidR="0094004E">
        <w:rPr>
          <w:rFonts w:asciiTheme="majorHAnsi" w:hAnsiTheme="majorHAnsi" w:cstheme="majorHAnsi"/>
          <w:sz w:val="22"/>
          <w:szCs w:val="22"/>
        </w:rPr>
        <w:t xml:space="preserve"> and </w:t>
      </w:r>
      <w:r w:rsidR="007A279D">
        <w:rPr>
          <w:rFonts w:asciiTheme="majorHAnsi" w:hAnsiTheme="majorHAnsi" w:cstheme="majorHAnsi"/>
          <w:sz w:val="22"/>
          <w:szCs w:val="22"/>
        </w:rPr>
        <w:t>there is no dearth of material freely available</w:t>
      </w:r>
      <w:r w:rsidR="00E744F0">
        <w:rPr>
          <w:rFonts w:asciiTheme="majorHAnsi" w:hAnsiTheme="majorHAnsi" w:cstheme="majorHAnsi"/>
          <w:sz w:val="22"/>
          <w:szCs w:val="22"/>
        </w:rPr>
        <w:t xml:space="preserve"> (including through private providers)</w:t>
      </w:r>
      <w:r w:rsidR="007A279D">
        <w:rPr>
          <w:rFonts w:asciiTheme="majorHAnsi" w:hAnsiTheme="majorHAnsi" w:cstheme="majorHAnsi"/>
          <w:sz w:val="22"/>
          <w:szCs w:val="22"/>
        </w:rPr>
        <w:t xml:space="preserve"> through digital platforms</w:t>
      </w:r>
      <w:r w:rsidR="00E744F0">
        <w:rPr>
          <w:rFonts w:asciiTheme="majorHAnsi" w:hAnsiTheme="majorHAnsi" w:cstheme="majorHAnsi"/>
          <w:sz w:val="22"/>
          <w:szCs w:val="22"/>
        </w:rPr>
        <w:t>.</w:t>
      </w:r>
      <w:r w:rsidR="00FD09EA">
        <w:rPr>
          <w:rFonts w:asciiTheme="majorHAnsi" w:hAnsiTheme="majorHAnsi" w:cstheme="majorHAnsi"/>
          <w:sz w:val="22"/>
          <w:szCs w:val="22"/>
        </w:rPr>
        <w:t xml:space="preserve"> </w:t>
      </w:r>
      <w:r w:rsidR="00E744F0">
        <w:rPr>
          <w:rFonts w:asciiTheme="majorHAnsi" w:hAnsiTheme="majorHAnsi" w:cstheme="majorHAnsi"/>
          <w:sz w:val="22"/>
          <w:szCs w:val="22"/>
        </w:rPr>
        <w:t>However</w:t>
      </w:r>
      <w:r>
        <w:rPr>
          <w:rFonts w:asciiTheme="majorHAnsi" w:hAnsiTheme="majorHAnsi" w:cstheme="majorHAnsi"/>
          <w:sz w:val="22"/>
          <w:szCs w:val="22"/>
        </w:rPr>
        <w:t>,</w:t>
      </w:r>
      <w:r w:rsidR="00FD09EA">
        <w:rPr>
          <w:rFonts w:asciiTheme="majorHAnsi" w:hAnsiTheme="majorHAnsi" w:cstheme="majorHAnsi"/>
          <w:sz w:val="22"/>
          <w:szCs w:val="22"/>
        </w:rPr>
        <w:t xml:space="preserve"> the </w:t>
      </w:r>
      <w:r w:rsidR="0094004E">
        <w:rPr>
          <w:rFonts w:asciiTheme="majorHAnsi" w:hAnsiTheme="majorHAnsi" w:cstheme="majorHAnsi"/>
          <w:sz w:val="22"/>
          <w:szCs w:val="22"/>
        </w:rPr>
        <w:t>bottleneck</w:t>
      </w:r>
      <w:r w:rsidR="00FD09EA">
        <w:rPr>
          <w:rFonts w:asciiTheme="majorHAnsi" w:hAnsiTheme="majorHAnsi" w:cstheme="majorHAnsi"/>
          <w:sz w:val="22"/>
          <w:szCs w:val="22"/>
        </w:rPr>
        <w:t xml:space="preserve"> </w:t>
      </w:r>
      <w:r w:rsidR="0094004E">
        <w:rPr>
          <w:rFonts w:asciiTheme="majorHAnsi" w:hAnsiTheme="majorHAnsi" w:cstheme="majorHAnsi"/>
          <w:sz w:val="22"/>
          <w:szCs w:val="22"/>
        </w:rPr>
        <w:t>remains</w:t>
      </w:r>
      <w:r w:rsidR="00FD09EA">
        <w:rPr>
          <w:rFonts w:asciiTheme="majorHAnsi" w:hAnsiTheme="majorHAnsi" w:cstheme="majorHAnsi"/>
          <w:sz w:val="22"/>
          <w:szCs w:val="22"/>
        </w:rPr>
        <w:t xml:space="preserve"> network provision</w:t>
      </w:r>
      <w:r w:rsidR="0094004E">
        <w:rPr>
          <w:rFonts w:asciiTheme="majorHAnsi" w:hAnsiTheme="majorHAnsi" w:cstheme="majorHAnsi"/>
          <w:sz w:val="22"/>
          <w:szCs w:val="22"/>
        </w:rPr>
        <w:t xml:space="preserve">, particularly </w:t>
      </w:r>
      <w:r w:rsidR="00E744F0">
        <w:rPr>
          <w:rFonts w:asciiTheme="majorHAnsi" w:hAnsiTheme="majorHAnsi" w:cstheme="majorHAnsi"/>
          <w:sz w:val="22"/>
          <w:szCs w:val="22"/>
        </w:rPr>
        <w:t>in 3T areas</w:t>
      </w:r>
      <w:r w:rsidR="00FD09EA">
        <w:rPr>
          <w:rFonts w:asciiTheme="majorHAnsi" w:hAnsiTheme="majorHAnsi" w:cstheme="majorHAnsi"/>
          <w:sz w:val="22"/>
          <w:szCs w:val="22"/>
        </w:rPr>
        <w:t xml:space="preserve">. </w:t>
      </w:r>
      <w:r w:rsidR="0094004E">
        <w:rPr>
          <w:rFonts w:asciiTheme="majorHAnsi" w:hAnsiTheme="majorHAnsi" w:cstheme="majorHAnsi"/>
          <w:sz w:val="22"/>
          <w:szCs w:val="22"/>
        </w:rPr>
        <w:t xml:space="preserve">To tackle the low incentives </w:t>
      </w:r>
      <w:r w:rsidR="00FD09EA">
        <w:rPr>
          <w:rFonts w:asciiTheme="majorHAnsi" w:hAnsiTheme="majorHAnsi" w:cstheme="majorHAnsi"/>
          <w:sz w:val="22"/>
          <w:szCs w:val="22"/>
        </w:rPr>
        <w:t>for private network providers to invest in low income</w:t>
      </w:r>
      <w:r w:rsidR="00E744F0">
        <w:rPr>
          <w:rFonts w:asciiTheme="majorHAnsi" w:hAnsiTheme="majorHAnsi" w:cstheme="majorHAnsi"/>
          <w:sz w:val="22"/>
          <w:szCs w:val="22"/>
        </w:rPr>
        <w:t>,</w:t>
      </w:r>
      <w:r w:rsidR="00FD09EA">
        <w:rPr>
          <w:rFonts w:asciiTheme="majorHAnsi" w:hAnsiTheme="majorHAnsi" w:cstheme="majorHAnsi"/>
          <w:sz w:val="22"/>
          <w:szCs w:val="22"/>
        </w:rPr>
        <w:t xml:space="preserve"> low density </w:t>
      </w:r>
      <w:r w:rsidR="0094004E">
        <w:rPr>
          <w:rFonts w:asciiTheme="majorHAnsi" w:hAnsiTheme="majorHAnsi" w:cstheme="majorHAnsi"/>
          <w:sz w:val="22"/>
          <w:szCs w:val="22"/>
        </w:rPr>
        <w:t xml:space="preserve">3T </w:t>
      </w:r>
      <w:r w:rsidR="00FD09EA">
        <w:rPr>
          <w:rFonts w:asciiTheme="majorHAnsi" w:hAnsiTheme="majorHAnsi" w:cstheme="majorHAnsi"/>
          <w:sz w:val="22"/>
          <w:szCs w:val="22"/>
        </w:rPr>
        <w:t>area</w:t>
      </w:r>
      <w:r w:rsidR="0094004E">
        <w:rPr>
          <w:rFonts w:asciiTheme="majorHAnsi" w:hAnsiTheme="majorHAnsi" w:cstheme="majorHAnsi"/>
          <w:sz w:val="22"/>
          <w:szCs w:val="22"/>
        </w:rPr>
        <w:t xml:space="preserve">, the government </w:t>
      </w:r>
      <w:r w:rsidR="00FD09EA">
        <w:rPr>
          <w:rFonts w:asciiTheme="majorHAnsi" w:hAnsiTheme="majorHAnsi" w:cstheme="majorHAnsi"/>
          <w:sz w:val="22"/>
          <w:szCs w:val="22"/>
        </w:rPr>
        <w:t xml:space="preserve">could </w:t>
      </w:r>
      <w:r w:rsidR="00E744F0">
        <w:rPr>
          <w:rFonts w:asciiTheme="majorHAnsi" w:hAnsiTheme="majorHAnsi" w:cstheme="majorHAnsi"/>
          <w:sz w:val="22"/>
          <w:szCs w:val="22"/>
        </w:rPr>
        <w:t xml:space="preserve">guarantee to </w:t>
      </w:r>
      <w:r w:rsidR="00FD09EA">
        <w:rPr>
          <w:rFonts w:asciiTheme="majorHAnsi" w:hAnsiTheme="majorHAnsi" w:cstheme="majorHAnsi"/>
          <w:sz w:val="22"/>
          <w:szCs w:val="22"/>
        </w:rPr>
        <w:t xml:space="preserve">such providers </w:t>
      </w:r>
      <w:r w:rsidR="0094004E">
        <w:rPr>
          <w:rFonts w:asciiTheme="majorHAnsi" w:hAnsiTheme="majorHAnsi" w:cstheme="majorHAnsi"/>
          <w:sz w:val="22"/>
          <w:szCs w:val="22"/>
        </w:rPr>
        <w:t>a</w:t>
      </w:r>
      <w:r w:rsidR="00E744F0">
        <w:rPr>
          <w:rFonts w:asciiTheme="majorHAnsi" w:hAnsiTheme="majorHAnsi" w:cstheme="majorHAnsi"/>
          <w:sz w:val="22"/>
          <w:szCs w:val="22"/>
        </w:rPr>
        <w:t xml:space="preserve"> </w:t>
      </w:r>
      <w:r w:rsidR="00061EEF" w:rsidRPr="00CB1D0A">
        <w:rPr>
          <w:rFonts w:asciiTheme="majorHAnsi" w:hAnsiTheme="majorHAnsi" w:cstheme="majorHAnsi"/>
          <w:sz w:val="22"/>
          <w:szCs w:val="22"/>
        </w:rPr>
        <w:t xml:space="preserve">minimum </w:t>
      </w:r>
      <w:r w:rsidR="0094004E">
        <w:rPr>
          <w:rFonts w:asciiTheme="majorHAnsi" w:hAnsiTheme="majorHAnsi" w:cstheme="majorHAnsi"/>
          <w:sz w:val="22"/>
          <w:szCs w:val="22"/>
        </w:rPr>
        <w:t xml:space="preserve">of </w:t>
      </w:r>
      <w:r w:rsidR="00061EEF" w:rsidRPr="00CB1D0A">
        <w:rPr>
          <w:rFonts w:asciiTheme="majorHAnsi" w:hAnsiTheme="majorHAnsi" w:cstheme="majorHAnsi"/>
          <w:sz w:val="22"/>
          <w:szCs w:val="22"/>
        </w:rPr>
        <w:t xml:space="preserve">mobile data order to service schools. </w:t>
      </w:r>
      <w:r w:rsidR="0094004E">
        <w:rPr>
          <w:rFonts w:asciiTheme="majorHAnsi" w:hAnsiTheme="majorHAnsi" w:cstheme="majorHAnsi"/>
          <w:sz w:val="22"/>
          <w:szCs w:val="22"/>
        </w:rPr>
        <w:t>By supporting such an initiative,</w:t>
      </w:r>
      <w:r w:rsidR="00061EEF" w:rsidRPr="00CB1D0A">
        <w:rPr>
          <w:rFonts w:asciiTheme="majorHAnsi" w:hAnsiTheme="majorHAnsi" w:cstheme="majorHAnsi"/>
          <w:sz w:val="22"/>
          <w:szCs w:val="22"/>
        </w:rPr>
        <w:t xml:space="preserve"> </w:t>
      </w:r>
      <w:r w:rsidR="00E744F0" w:rsidRPr="00CB1D0A">
        <w:rPr>
          <w:rFonts w:asciiTheme="majorHAnsi" w:hAnsiTheme="majorHAnsi" w:cstheme="majorHAnsi"/>
          <w:sz w:val="22"/>
          <w:szCs w:val="22"/>
        </w:rPr>
        <w:t>the program</w:t>
      </w:r>
      <w:r w:rsidR="00061EEF" w:rsidRPr="00CB1D0A">
        <w:rPr>
          <w:rFonts w:asciiTheme="majorHAnsi" w:hAnsiTheme="majorHAnsi" w:cstheme="majorHAnsi"/>
          <w:sz w:val="22"/>
          <w:szCs w:val="22"/>
        </w:rPr>
        <w:t xml:space="preserve"> would </w:t>
      </w:r>
      <w:r w:rsidR="0094004E">
        <w:rPr>
          <w:rFonts w:asciiTheme="majorHAnsi" w:hAnsiTheme="majorHAnsi" w:cstheme="majorHAnsi"/>
          <w:sz w:val="22"/>
          <w:szCs w:val="22"/>
        </w:rPr>
        <w:t>cross-fertilise</w:t>
      </w:r>
      <w:r w:rsidR="00061EEF" w:rsidRPr="00CB1D0A">
        <w:rPr>
          <w:rFonts w:asciiTheme="majorHAnsi" w:hAnsiTheme="majorHAnsi" w:cstheme="majorHAnsi"/>
          <w:sz w:val="22"/>
          <w:szCs w:val="22"/>
        </w:rPr>
        <w:t xml:space="preserve"> INOVASI’s collaboration with free e-book providers to </w:t>
      </w:r>
      <w:r w:rsidR="0094004E">
        <w:rPr>
          <w:rFonts w:asciiTheme="majorHAnsi" w:hAnsiTheme="majorHAnsi" w:cstheme="majorHAnsi"/>
          <w:sz w:val="22"/>
          <w:szCs w:val="22"/>
        </w:rPr>
        <w:t xml:space="preserve">improve the availability of </w:t>
      </w:r>
      <w:r w:rsidR="00061EEF" w:rsidRPr="00CB1D0A">
        <w:rPr>
          <w:rFonts w:asciiTheme="majorHAnsi" w:hAnsiTheme="majorHAnsi" w:cstheme="majorHAnsi"/>
          <w:sz w:val="22"/>
          <w:szCs w:val="22"/>
        </w:rPr>
        <w:t>children’s literature in remote areas</w:t>
      </w:r>
      <w:r w:rsidR="0094004E">
        <w:rPr>
          <w:rFonts w:asciiTheme="majorHAnsi" w:hAnsiTheme="majorHAnsi" w:cstheme="majorHAnsi"/>
          <w:sz w:val="22"/>
          <w:szCs w:val="22"/>
        </w:rPr>
        <w:t xml:space="preserve"> and</w:t>
      </w:r>
      <w:r w:rsidR="00061EEF" w:rsidRPr="00CB1D0A">
        <w:rPr>
          <w:rFonts w:asciiTheme="majorHAnsi" w:hAnsiTheme="majorHAnsi" w:cstheme="majorHAnsi"/>
          <w:sz w:val="22"/>
          <w:szCs w:val="22"/>
        </w:rPr>
        <w:t xml:space="preserve"> greatly enhanc</w:t>
      </w:r>
      <w:r w:rsidR="0094004E">
        <w:rPr>
          <w:rFonts w:asciiTheme="majorHAnsi" w:hAnsiTheme="majorHAnsi" w:cstheme="majorHAnsi"/>
          <w:sz w:val="22"/>
          <w:szCs w:val="22"/>
        </w:rPr>
        <w:t>e</w:t>
      </w:r>
      <w:r w:rsidR="00061EEF" w:rsidRPr="00CB1D0A">
        <w:rPr>
          <w:rFonts w:asciiTheme="majorHAnsi" w:hAnsiTheme="majorHAnsi" w:cstheme="majorHAnsi"/>
          <w:sz w:val="22"/>
          <w:szCs w:val="22"/>
        </w:rPr>
        <w:t xml:space="preserve"> the likelihood of these children becoming readers. It would also </w:t>
      </w:r>
      <w:r w:rsidR="0094004E">
        <w:rPr>
          <w:rFonts w:asciiTheme="majorHAnsi" w:hAnsiTheme="majorHAnsi" w:cstheme="majorHAnsi"/>
          <w:sz w:val="22"/>
          <w:szCs w:val="22"/>
        </w:rPr>
        <w:t xml:space="preserve">benefit existing INOVASI support for </w:t>
      </w:r>
      <w:r w:rsidR="0094004E" w:rsidRPr="00CB1D0A">
        <w:rPr>
          <w:rFonts w:asciiTheme="majorHAnsi" w:hAnsiTheme="majorHAnsi" w:cstheme="majorHAnsi"/>
          <w:sz w:val="22"/>
          <w:szCs w:val="22"/>
        </w:rPr>
        <w:t xml:space="preserve">the learning of children with disabilities </w:t>
      </w:r>
      <w:r w:rsidR="0094004E">
        <w:rPr>
          <w:rFonts w:asciiTheme="majorHAnsi" w:hAnsiTheme="majorHAnsi" w:cstheme="majorHAnsi"/>
          <w:sz w:val="22"/>
          <w:szCs w:val="22"/>
        </w:rPr>
        <w:t>in</w:t>
      </w:r>
      <w:r w:rsidR="00061EEF" w:rsidRPr="00CB1D0A">
        <w:rPr>
          <w:rFonts w:asciiTheme="majorHAnsi" w:hAnsiTheme="majorHAnsi" w:cstheme="majorHAnsi"/>
          <w:sz w:val="22"/>
          <w:szCs w:val="22"/>
        </w:rPr>
        <w:t xml:space="preserve"> these disadvantaged areas: </w:t>
      </w:r>
      <w:r w:rsidR="00596803">
        <w:rPr>
          <w:rFonts w:asciiTheme="majorHAnsi" w:hAnsiTheme="majorHAnsi" w:cstheme="majorHAnsi"/>
          <w:sz w:val="22"/>
          <w:szCs w:val="22"/>
        </w:rPr>
        <w:t>i.e.,</w:t>
      </w:r>
      <w:r w:rsidR="0094004E">
        <w:rPr>
          <w:rFonts w:asciiTheme="majorHAnsi" w:hAnsiTheme="majorHAnsi" w:cstheme="majorHAnsi"/>
          <w:sz w:val="22"/>
          <w:szCs w:val="22"/>
        </w:rPr>
        <w:t xml:space="preserve"> </w:t>
      </w:r>
      <w:r w:rsidR="00061EEF" w:rsidRPr="00CB1D0A">
        <w:rPr>
          <w:rFonts w:asciiTheme="majorHAnsi" w:hAnsiTheme="majorHAnsi" w:cstheme="majorHAnsi"/>
          <w:sz w:val="22"/>
          <w:szCs w:val="22"/>
        </w:rPr>
        <w:t xml:space="preserve">the PBS app developed </w:t>
      </w:r>
      <w:r w:rsidR="0094004E" w:rsidRPr="00CB1D0A">
        <w:rPr>
          <w:rFonts w:asciiTheme="majorHAnsi" w:hAnsiTheme="majorHAnsi" w:cstheme="majorHAnsi"/>
          <w:sz w:val="22"/>
          <w:szCs w:val="22"/>
        </w:rPr>
        <w:t xml:space="preserve">by UX Indonesia </w:t>
      </w:r>
      <w:r w:rsidR="00E744F0" w:rsidRPr="00CB1D0A">
        <w:rPr>
          <w:rFonts w:asciiTheme="majorHAnsi" w:hAnsiTheme="majorHAnsi" w:cstheme="majorHAnsi"/>
          <w:sz w:val="22"/>
          <w:szCs w:val="22"/>
        </w:rPr>
        <w:t>through</w:t>
      </w:r>
      <w:r w:rsidR="00061EEF" w:rsidRPr="00CB1D0A">
        <w:rPr>
          <w:rFonts w:asciiTheme="majorHAnsi" w:hAnsiTheme="majorHAnsi" w:cstheme="majorHAnsi"/>
          <w:sz w:val="22"/>
          <w:szCs w:val="22"/>
        </w:rPr>
        <w:t xml:space="preserve"> </w:t>
      </w:r>
      <w:r w:rsidR="00E744F0" w:rsidRPr="00CB1D0A">
        <w:rPr>
          <w:rFonts w:asciiTheme="majorHAnsi" w:hAnsiTheme="majorHAnsi" w:cstheme="majorHAnsi"/>
          <w:sz w:val="22"/>
          <w:szCs w:val="22"/>
        </w:rPr>
        <w:t xml:space="preserve">INOVASI </w:t>
      </w:r>
      <w:r w:rsidR="00061EEF" w:rsidRPr="00CB1D0A">
        <w:rPr>
          <w:rFonts w:asciiTheme="majorHAnsi" w:hAnsiTheme="majorHAnsi" w:cstheme="majorHAnsi"/>
          <w:sz w:val="22"/>
          <w:szCs w:val="22"/>
        </w:rPr>
        <w:t xml:space="preserve">and the </w:t>
      </w:r>
      <w:proofErr w:type="spellStart"/>
      <w:r w:rsidR="00061EEF" w:rsidRPr="00CB1D0A">
        <w:rPr>
          <w:rFonts w:asciiTheme="majorHAnsi" w:hAnsiTheme="majorHAnsi" w:cstheme="majorHAnsi"/>
          <w:sz w:val="22"/>
          <w:szCs w:val="22"/>
        </w:rPr>
        <w:t>Bookbot</w:t>
      </w:r>
      <w:proofErr w:type="spellEnd"/>
      <w:r w:rsidR="00061EEF" w:rsidRPr="00CB1D0A">
        <w:rPr>
          <w:rFonts w:asciiTheme="majorHAnsi" w:hAnsiTheme="majorHAnsi" w:cstheme="majorHAnsi"/>
          <w:sz w:val="22"/>
          <w:szCs w:val="22"/>
        </w:rPr>
        <w:t xml:space="preserve"> app assisting children with dyslexia.</w:t>
      </w:r>
      <w:r w:rsidR="002A1003" w:rsidRPr="00CB1D0A">
        <w:rPr>
          <w:rFonts w:asciiTheme="majorHAnsi" w:hAnsiTheme="majorHAnsi" w:cstheme="majorHAnsi"/>
          <w:sz w:val="22"/>
          <w:szCs w:val="22"/>
        </w:rPr>
        <w:t xml:space="preserve"> </w:t>
      </w:r>
      <w:r w:rsidR="002330F6">
        <w:rPr>
          <w:rFonts w:asciiTheme="majorHAnsi" w:hAnsiTheme="majorHAnsi" w:cstheme="majorHAnsi"/>
          <w:sz w:val="22"/>
          <w:szCs w:val="22"/>
        </w:rPr>
        <w:t>T</w:t>
      </w:r>
      <w:r w:rsidR="002A1003" w:rsidRPr="00CB1D0A">
        <w:rPr>
          <w:rFonts w:asciiTheme="majorHAnsi" w:hAnsiTheme="majorHAnsi" w:cstheme="majorHAnsi"/>
          <w:sz w:val="22"/>
          <w:szCs w:val="22"/>
        </w:rPr>
        <w:t>he likelihood of consensus among</w:t>
      </w:r>
      <w:r w:rsidR="002330F6">
        <w:rPr>
          <w:rFonts w:asciiTheme="majorHAnsi" w:hAnsiTheme="majorHAnsi" w:cstheme="majorHAnsi"/>
          <w:sz w:val="22"/>
          <w:szCs w:val="22"/>
        </w:rPr>
        <w:t>s</w:t>
      </w:r>
      <w:r w:rsidR="002A1003" w:rsidRPr="00CB1D0A">
        <w:rPr>
          <w:rFonts w:asciiTheme="majorHAnsi" w:hAnsiTheme="majorHAnsi" w:cstheme="majorHAnsi"/>
          <w:sz w:val="22"/>
          <w:szCs w:val="22"/>
        </w:rPr>
        <w:t xml:space="preserve">t development partners </w:t>
      </w:r>
      <w:r w:rsidR="002330F6">
        <w:rPr>
          <w:rFonts w:asciiTheme="majorHAnsi" w:hAnsiTheme="majorHAnsi" w:cstheme="majorHAnsi"/>
          <w:sz w:val="22"/>
          <w:szCs w:val="22"/>
        </w:rPr>
        <w:t xml:space="preserve">is </w:t>
      </w:r>
      <w:r w:rsidR="002A1003" w:rsidRPr="00CB1D0A">
        <w:rPr>
          <w:rFonts w:asciiTheme="majorHAnsi" w:hAnsiTheme="majorHAnsi" w:cstheme="majorHAnsi"/>
          <w:sz w:val="22"/>
          <w:szCs w:val="22"/>
        </w:rPr>
        <w:t>high</w:t>
      </w:r>
      <w:r w:rsidR="002330F6">
        <w:rPr>
          <w:rFonts w:asciiTheme="majorHAnsi" w:hAnsiTheme="majorHAnsi" w:cstheme="majorHAnsi"/>
          <w:sz w:val="22"/>
          <w:szCs w:val="22"/>
        </w:rPr>
        <w:t xml:space="preserve"> - to explore this opportunity, DFAT could spearhead </w:t>
      </w:r>
      <w:r w:rsidR="002330F6" w:rsidRPr="00CB1D0A">
        <w:rPr>
          <w:rFonts w:asciiTheme="majorHAnsi" w:hAnsiTheme="majorHAnsi" w:cstheme="majorHAnsi"/>
          <w:sz w:val="22"/>
          <w:szCs w:val="22"/>
        </w:rPr>
        <w:t>a B</w:t>
      </w:r>
      <w:r w:rsidR="002330F6">
        <w:rPr>
          <w:rFonts w:asciiTheme="majorHAnsi" w:hAnsiTheme="majorHAnsi" w:cstheme="majorHAnsi"/>
          <w:sz w:val="22"/>
          <w:szCs w:val="22"/>
        </w:rPr>
        <w:t>EW</w:t>
      </w:r>
      <w:r w:rsidR="002330F6" w:rsidRPr="00CB1D0A">
        <w:rPr>
          <w:rFonts w:asciiTheme="majorHAnsi" w:hAnsiTheme="majorHAnsi" w:cstheme="majorHAnsi"/>
          <w:sz w:val="22"/>
          <w:szCs w:val="22"/>
        </w:rPr>
        <w:t>G task force on the issue</w:t>
      </w:r>
      <w:r w:rsidR="002A1003" w:rsidRPr="00CB1D0A">
        <w:rPr>
          <w:rFonts w:asciiTheme="majorHAnsi" w:hAnsiTheme="majorHAnsi" w:cstheme="majorHAnsi"/>
          <w:sz w:val="22"/>
          <w:szCs w:val="22"/>
        </w:rPr>
        <w:t xml:space="preserve">. </w:t>
      </w:r>
    </w:p>
    <w:p w14:paraId="0B1BD829" w14:textId="03BF6488" w:rsidR="00ED705E" w:rsidRPr="003965F0" w:rsidRDefault="00ED705E" w:rsidP="003965F0">
      <w:pPr>
        <w:pStyle w:val="Heading2"/>
        <w:rPr>
          <w:b/>
          <w:sz w:val="22"/>
          <w:szCs w:val="22"/>
        </w:rPr>
      </w:pPr>
      <w:r w:rsidRPr="003965F0">
        <w:rPr>
          <w:b/>
          <w:caps w:val="0"/>
          <w:sz w:val="22"/>
          <w:szCs w:val="22"/>
        </w:rPr>
        <w:t>Localisation</w:t>
      </w:r>
    </w:p>
    <w:p w14:paraId="5FFBECFA" w14:textId="7354BC54" w:rsidR="00F80AB2" w:rsidRPr="00974377" w:rsidRDefault="003F545A" w:rsidP="00B86A7F">
      <w:pPr>
        <w:pStyle w:val="BodyText"/>
        <w:keepNext/>
        <w:spacing w:after="120" w:line="281" w:lineRule="auto"/>
        <w:rPr>
          <w:rFonts w:asciiTheme="majorHAnsi" w:hAnsiTheme="majorHAnsi" w:cstheme="majorHAnsi"/>
          <w:sz w:val="22"/>
          <w:szCs w:val="22"/>
        </w:rPr>
      </w:pPr>
      <w:r w:rsidRPr="003F545A">
        <w:rPr>
          <w:rFonts w:asciiTheme="majorHAnsi" w:hAnsiTheme="majorHAnsi" w:cstheme="majorHAnsi"/>
          <w:sz w:val="22"/>
          <w:szCs w:val="22"/>
        </w:rPr>
        <w:t xml:space="preserve">Driven by the </w:t>
      </w:r>
      <w:r w:rsidR="007A5B3A" w:rsidRPr="003F545A">
        <w:rPr>
          <w:rFonts w:asciiTheme="majorHAnsi" w:hAnsiTheme="majorHAnsi" w:cstheme="majorHAnsi"/>
          <w:sz w:val="22"/>
          <w:szCs w:val="22"/>
        </w:rPr>
        <w:t xml:space="preserve">strategic intent to address the policy-implementation gap, </w:t>
      </w:r>
      <w:r w:rsidRPr="003F545A">
        <w:rPr>
          <w:rFonts w:asciiTheme="majorHAnsi" w:hAnsiTheme="majorHAnsi" w:cstheme="majorHAnsi"/>
          <w:sz w:val="22"/>
          <w:szCs w:val="22"/>
        </w:rPr>
        <w:t xml:space="preserve">localisation is </w:t>
      </w:r>
      <w:r w:rsidR="007A5B3A" w:rsidRPr="003F545A">
        <w:rPr>
          <w:rFonts w:asciiTheme="majorHAnsi" w:hAnsiTheme="majorHAnsi" w:cstheme="majorHAnsi"/>
          <w:sz w:val="22"/>
          <w:szCs w:val="22"/>
        </w:rPr>
        <w:t xml:space="preserve">a core </w:t>
      </w:r>
      <w:r w:rsidR="00F80AB2">
        <w:rPr>
          <w:rFonts w:asciiTheme="majorHAnsi" w:hAnsiTheme="majorHAnsi" w:cstheme="majorHAnsi"/>
          <w:sz w:val="22"/>
          <w:szCs w:val="22"/>
        </w:rPr>
        <w:t xml:space="preserve">feature </w:t>
      </w:r>
      <w:r w:rsidR="007A5B3A" w:rsidRPr="003F545A">
        <w:rPr>
          <w:rFonts w:asciiTheme="majorHAnsi" w:hAnsiTheme="majorHAnsi" w:cstheme="majorHAnsi"/>
          <w:sz w:val="22"/>
          <w:szCs w:val="22"/>
        </w:rPr>
        <w:t xml:space="preserve">of </w:t>
      </w:r>
      <w:r w:rsidR="003A4B85">
        <w:rPr>
          <w:rFonts w:asciiTheme="majorHAnsi" w:hAnsiTheme="majorHAnsi" w:cstheme="majorHAnsi"/>
          <w:sz w:val="22"/>
          <w:szCs w:val="22"/>
        </w:rPr>
        <w:t xml:space="preserve">the </w:t>
      </w:r>
      <w:r w:rsidR="007A5B3A" w:rsidRPr="003F545A">
        <w:rPr>
          <w:rFonts w:asciiTheme="majorHAnsi" w:hAnsiTheme="majorHAnsi" w:cstheme="majorHAnsi"/>
          <w:sz w:val="22"/>
          <w:szCs w:val="22"/>
        </w:rPr>
        <w:t xml:space="preserve">INOVASI Phase 3 </w:t>
      </w:r>
      <w:r w:rsidRPr="003F545A">
        <w:rPr>
          <w:rFonts w:asciiTheme="majorHAnsi" w:hAnsiTheme="majorHAnsi" w:cstheme="majorHAnsi"/>
          <w:sz w:val="22"/>
          <w:szCs w:val="22"/>
        </w:rPr>
        <w:t xml:space="preserve">model. </w:t>
      </w:r>
      <w:r w:rsidR="00F80AB2">
        <w:rPr>
          <w:rFonts w:asciiTheme="majorHAnsi" w:hAnsiTheme="majorHAnsi" w:cstheme="majorHAnsi"/>
          <w:sz w:val="22"/>
          <w:szCs w:val="22"/>
        </w:rPr>
        <w:t>It is</w:t>
      </w:r>
      <w:r w:rsidR="007A5B3A" w:rsidRPr="003F545A">
        <w:rPr>
          <w:rFonts w:asciiTheme="majorHAnsi" w:hAnsiTheme="majorHAnsi" w:cstheme="majorHAnsi"/>
          <w:sz w:val="22"/>
          <w:szCs w:val="22"/>
        </w:rPr>
        <w:t xml:space="preserve"> expressed </w:t>
      </w:r>
      <w:r w:rsidR="00F80AB2">
        <w:rPr>
          <w:rFonts w:asciiTheme="majorHAnsi" w:hAnsiTheme="majorHAnsi" w:cstheme="majorHAnsi"/>
          <w:sz w:val="22"/>
          <w:szCs w:val="22"/>
        </w:rPr>
        <w:t>as a principle (</w:t>
      </w:r>
      <w:r w:rsidR="007F7020">
        <w:rPr>
          <w:rFonts w:asciiTheme="majorHAnsi" w:hAnsiTheme="majorHAnsi" w:cstheme="majorHAnsi"/>
          <w:sz w:val="22"/>
          <w:szCs w:val="22"/>
        </w:rPr>
        <w:t>locally led</w:t>
      </w:r>
      <w:r w:rsidR="00F80AB2">
        <w:rPr>
          <w:rFonts w:asciiTheme="majorHAnsi" w:hAnsiTheme="majorHAnsi" w:cstheme="majorHAnsi"/>
          <w:sz w:val="22"/>
          <w:szCs w:val="22"/>
        </w:rPr>
        <w:t xml:space="preserve">, see Section C) and most importantly in </w:t>
      </w:r>
      <w:r w:rsidR="007A5B3A" w:rsidRPr="003F545A">
        <w:rPr>
          <w:rFonts w:asciiTheme="majorHAnsi" w:hAnsiTheme="majorHAnsi" w:cstheme="majorHAnsi"/>
          <w:sz w:val="22"/>
          <w:szCs w:val="22"/>
        </w:rPr>
        <w:t xml:space="preserve">the strategy of </w:t>
      </w:r>
      <w:r w:rsidR="00F80AB2">
        <w:rPr>
          <w:rFonts w:asciiTheme="majorHAnsi" w:hAnsiTheme="majorHAnsi" w:cstheme="majorHAnsi"/>
          <w:sz w:val="22"/>
          <w:szCs w:val="22"/>
        </w:rPr>
        <w:t xml:space="preserve">supporting local </w:t>
      </w:r>
      <w:r w:rsidR="007A5B3A" w:rsidRPr="003F545A">
        <w:rPr>
          <w:rFonts w:asciiTheme="majorHAnsi" w:hAnsiTheme="majorHAnsi" w:cstheme="majorHAnsi"/>
          <w:sz w:val="22"/>
          <w:szCs w:val="22"/>
        </w:rPr>
        <w:t xml:space="preserve">district education ecosystem. </w:t>
      </w:r>
      <w:r w:rsidR="00847978">
        <w:rPr>
          <w:rFonts w:asciiTheme="majorHAnsi" w:hAnsiTheme="majorHAnsi" w:cs="Calibri"/>
          <w:color w:val="000000"/>
          <w:sz w:val="22"/>
          <w:szCs w:val="22"/>
        </w:rPr>
        <w:t>T</w:t>
      </w:r>
      <w:r w:rsidR="00847978" w:rsidRPr="003F545A">
        <w:rPr>
          <w:rFonts w:asciiTheme="majorHAnsi" w:hAnsiTheme="majorHAnsi" w:cs="Calibri"/>
          <w:color w:val="000000"/>
          <w:sz w:val="22"/>
          <w:szCs w:val="22"/>
        </w:rPr>
        <w:t xml:space="preserve">he </w:t>
      </w:r>
      <w:r w:rsidR="00847978" w:rsidRPr="00847978">
        <w:rPr>
          <w:rFonts w:asciiTheme="majorHAnsi" w:hAnsiTheme="majorHAnsi" w:cstheme="majorHAnsi"/>
          <w:sz w:val="22"/>
          <w:szCs w:val="22"/>
        </w:rPr>
        <w:t>ecosystem approach is</w:t>
      </w:r>
      <w:r w:rsidR="00847978" w:rsidRPr="003F545A">
        <w:rPr>
          <w:rFonts w:asciiTheme="majorHAnsi" w:hAnsiTheme="majorHAnsi" w:cstheme="majorHAnsi"/>
          <w:sz w:val="22"/>
          <w:szCs w:val="22"/>
        </w:rPr>
        <w:t xml:space="preserve"> </w:t>
      </w:r>
      <w:r w:rsidR="00847978">
        <w:rPr>
          <w:rFonts w:asciiTheme="majorHAnsi" w:hAnsiTheme="majorHAnsi" w:cstheme="majorHAnsi"/>
          <w:sz w:val="22"/>
          <w:szCs w:val="22"/>
        </w:rPr>
        <w:t xml:space="preserve">indeed </w:t>
      </w:r>
      <w:r w:rsidR="00847978" w:rsidRPr="003F545A">
        <w:rPr>
          <w:rFonts w:asciiTheme="majorHAnsi" w:hAnsiTheme="majorHAnsi" w:cstheme="majorHAnsi"/>
          <w:sz w:val="22"/>
          <w:szCs w:val="22"/>
        </w:rPr>
        <w:t>the most elaborated commitment to localisation</w:t>
      </w:r>
      <w:r w:rsidR="003A4B85">
        <w:rPr>
          <w:rFonts w:asciiTheme="majorHAnsi" w:hAnsiTheme="majorHAnsi" w:cstheme="majorHAnsi"/>
          <w:sz w:val="22"/>
          <w:szCs w:val="22"/>
        </w:rPr>
        <w:t>,</w:t>
      </w:r>
      <w:r w:rsidR="00847978" w:rsidRPr="003F545A">
        <w:rPr>
          <w:rFonts w:asciiTheme="majorHAnsi" w:hAnsiTheme="majorHAnsi" w:cstheme="majorHAnsi"/>
          <w:sz w:val="22"/>
          <w:szCs w:val="22"/>
        </w:rPr>
        <w:t xml:space="preserve"> in</w:t>
      </w:r>
      <w:r w:rsidR="00847978">
        <w:rPr>
          <w:rFonts w:asciiTheme="majorHAnsi" w:hAnsiTheme="majorHAnsi" w:cstheme="majorHAnsi"/>
          <w:sz w:val="22"/>
          <w:szCs w:val="22"/>
        </w:rPr>
        <w:t>sofar as it</w:t>
      </w:r>
      <w:r w:rsidR="00847978" w:rsidRPr="003F545A">
        <w:rPr>
          <w:rFonts w:asciiTheme="majorHAnsi" w:hAnsiTheme="majorHAnsi" w:cstheme="majorHAnsi"/>
          <w:sz w:val="22"/>
          <w:szCs w:val="22"/>
        </w:rPr>
        <w:t xml:space="preserve"> leverag</w:t>
      </w:r>
      <w:r w:rsidR="00847978">
        <w:rPr>
          <w:rFonts w:asciiTheme="majorHAnsi" w:hAnsiTheme="majorHAnsi" w:cstheme="majorHAnsi"/>
          <w:sz w:val="22"/>
          <w:szCs w:val="22"/>
        </w:rPr>
        <w:t xml:space="preserve">es </w:t>
      </w:r>
      <w:r w:rsidR="00847978" w:rsidRPr="003F545A">
        <w:rPr>
          <w:rFonts w:asciiTheme="majorHAnsi" w:hAnsiTheme="majorHAnsi" w:cstheme="majorHAnsi"/>
          <w:sz w:val="22"/>
          <w:szCs w:val="22"/>
        </w:rPr>
        <w:t>and empower</w:t>
      </w:r>
      <w:r w:rsidR="00847978">
        <w:rPr>
          <w:rFonts w:asciiTheme="majorHAnsi" w:hAnsiTheme="majorHAnsi" w:cstheme="majorHAnsi"/>
          <w:sz w:val="22"/>
          <w:szCs w:val="22"/>
        </w:rPr>
        <w:t>s</w:t>
      </w:r>
      <w:r w:rsidR="00847978" w:rsidRPr="003F545A">
        <w:rPr>
          <w:rFonts w:asciiTheme="majorHAnsi" w:hAnsiTheme="majorHAnsi" w:cstheme="majorHAnsi"/>
          <w:sz w:val="22"/>
          <w:szCs w:val="22"/>
        </w:rPr>
        <w:t xml:space="preserve"> local leadership and a broad</w:t>
      </w:r>
      <w:r w:rsidR="00847978">
        <w:rPr>
          <w:rFonts w:asciiTheme="majorHAnsi" w:hAnsiTheme="majorHAnsi" w:cstheme="majorHAnsi"/>
          <w:sz w:val="22"/>
          <w:szCs w:val="22"/>
        </w:rPr>
        <w:t>-</w:t>
      </w:r>
      <w:r w:rsidR="00847978" w:rsidRPr="003F545A">
        <w:rPr>
          <w:rFonts w:asciiTheme="majorHAnsi" w:hAnsiTheme="majorHAnsi" w:cstheme="majorHAnsi"/>
          <w:sz w:val="22"/>
          <w:szCs w:val="22"/>
        </w:rPr>
        <w:t xml:space="preserve">based </w:t>
      </w:r>
      <w:r w:rsidR="00847978">
        <w:rPr>
          <w:rFonts w:asciiTheme="majorHAnsi" w:hAnsiTheme="majorHAnsi" w:cstheme="majorHAnsi"/>
          <w:sz w:val="22"/>
          <w:szCs w:val="22"/>
        </w:rPr>
        <w:t>group</w:t>
      </w:r>
      <w:r w:rsidR="00847978" w:rsidRPr="003F545A">
        <w:rPr>
          <w:rFonts w:asciiTheme="majorHAnsi" w:hAnsiTheme="majorHAnsi" w:cstheme="majorHAnsi"/>
          <w:sz w:val="22"/>
          <w:szCs w:val="22"/>
        </w:rPr>
        <w:t xml:space="preserve"> of local institutions and actors to participate in </w:t>
      </w:r>
      <w:r w:rsidR="00847978">
        <w:rPr>
          <w:rFonts w:asciiTheme="majorHAnsi" w:hAnsiTheme="majorHAnsi" w:cstheme="majorHAnsi"/>
          <w:sz w:val="22"/>
          <w:szCs w:val="22"/>
        </w:rPr>
        <w:t>collective</w:t>
      </w:r>
      <w:r w:rsidR="00847978" w:rsidRPr="003F545A">
        <w:rPr>
          <w:rFonts w:asciiTheme="majorHAnsi" w:hAnsiTheme="majorHAnsi" w:cstheme="majorHAnsi"/>
          <w:sz w:val="22"/>
          <w:szCs w:val="22"/>
        </w:rPr>
        <w:t xml:space="preserve"> improvement of local education </w:t>
      </w:r>
      <w:r w:rsidR="00847978">
        <w:rPr>
          <w:rFonts w:asciiTheme="majorHAnsi" w:hAnsiTheme="majorHAnsi" w:cstheme="majorHAnsi"/>
          <w:sz w:val="22"/>
          <w:szCs w:val="22"/>
        </w:rPr>
        <w:t>service deliver</w:t>
      </w:r>
      <w:r w:rsidR="00847978" w:rsidRPr="003F545A">
        <w:rPr>
          <w:rFonts w:asciiTheme="majorHAnsi" w:hAnsiTheme="majorHAnsi" w:cstheme="majorHAnsi"/>
          <w:sz w:val="22"/>
          <w:szCs w:val="22"/>
        </w:rPr>
        <w:t>y</w:t>
      </w:r>
      <w:r w:rsidR="00847978">
        <w:rPr>
          <w:rFonts w:asciiTheme="majorHAnsi" w:hAnsiTheme="majorHAnsi" w:cstheme="majorHAnsi"/>
          <w:sz w:val="22"/>
          <w:szCs w:val="22"/>
        </w:rPr>
        <w:t xml:space="preserve">. </w:t>
      </w:r>
      <w:r w:rsidR="007A5B3A" w:rsidRPr="003F545A">
        <w:rPr>
          <w:rFonts w:asciiTheme="majorHAnsi" w:hAnsiTheme="majorHAnsi" w:cstheme="majorHAnsi"/>
          <w:sz w:val="22"/>
          <w:szCs w:val="22"/>
        </w:rPr>
        <w:t xml:space="preserve">The underlying rationale </w:t>
      </w:r>
      <w:r w:rsidR="00F80AB2">
        <w:rPr>
          <w:rFonts w:asciiTheme="majorHAnsi" w:hAnsiTheme="majorHAnsi" w:cstheme="majorHAnsi"/>
          <w:sz w:val="22"/>
          <w:szCs w:val="22"/>
        </w:rPr>
        <w:t xml:space="preserve">for </w:t>
      </w:r>
      <w:r w:rsidR="007A5B3A" w:rsidRPr="003F545A">
        <w:rPr>
          <w:rFonts w:asciiTheme="majorHAnsi" w:hAnsiTheme="majorHAnsi" w:cstheme="majorHAnsi"/>
          <w:sz w:val="22"/>
          <w:szCs w:val="22"/>
        </w:rPr>
        <w:t xml:space="preserve">the strategy derives from the development premise of localisation: local ownership </w:t>
      </w:r>
      <w:r w:rsidR="00F80AB2">
        <w:rPr>
          <w:rFonts w:asciiTheme="majorHAnsi" w:hAnsiTheme="majorHAnsi" w:cstheme="majorHAnsi"/>
          <w:sz w:val="22"/>
          <w:szCs w:val="22"/>
        </w:rPr>
        <w:t xml:space="preserve">- fostered through local leadership, </w:t>
      </w:r>
      <w:r w:rsidR="007F7020">
        <w:rPr>
          <w:rFonts w:asciiTheme="majorHAnsi" w:hAnsiTheme="majorHAnsi" w:cstheme="majorHAnsi"/>
          <w:sz w:val="22"/>
          <w:szCs w:val="22"/>
        </w:rPr>
        <w:t>strategy,</w:t>
      </w:r>
      <w:r w:rsidR="00F80AB2">
        <w:rPr>
          <w:rFonts w:asciiTheme="majorHAnsi" w:hAnsiTheme="majorHAnsi" w:cstheme="majorHAnsi"/>
          <w:sz w:val="22"/>
          <w:szCs w:val="22"/>
        </w:rPr>
        <w:t xml:space="preserve"> and resources - </w:t>
      </w:r>
      <w:r w:rsidR="007A5B3A" w:rsidRPr="003F545A">
        <w:rPr>
          <w:rFonts w:asciiTheme="majorHAnsi" w:hAnsiTheme="majorHAnsi" w:cstheme="majorHAnsi"/>
          <w:sz w:val="22"/>
          <w:szCs w:val="22"/>
        </w:rPr>
        <w:t>is necessary for effectiveness and sustainability</w:t>
      </w:r>
      <w:r w:rsidR="00F80AB2">
        <w:rPr>
          <w:rFonts w:asciiTheme="majorHAnsi" w:hAnsiTheme="majorHAnsi" w:cstheme="majorHAnsi"/>
          <w:sz w:val="22"/>
          <w:szCs w:val="22"/>
        </w:rPr>
        <w:t xml:space="preserve"> as it </w:t>
      </w:r>
      <w:r w:rsidR="00F80AB2" w:rsidRPr="003F545A">
        <w:rPr>
          <w:rFonts w:asciiTheme="majorHAnsi" w:hAnsiTheme="majorHAnsi" w:cstheme="majorHAnsi"/>
          <w:sz w:val="22"/>
          <w:szCs w:val="22"/>
        </w:rPr>
        <w:t xml:space="preserve">brings commitment to change </w:t>
      </w:r>
      <w:r w:rsidR="00F80AB2">
        <w:rPr>
          <w:rFonts w:asciiTheme="majorHAnsi" w:hAnsiTheme="majorHAnsi" w:cstheme="majorHAnsi"/>
          <w:sz w:val="22"/>
          <w:szCs w:val="22"/>
        </w:rPr>
        <w:t xml:space="preserve">(sustainability) </w:t>
      </w:r>
      <w:r w:rsidR="00F80AB2" w:rsidRPr="003F545A">
        <w:rPr>
          <w:rFonts w:asciiTheme="majorHAnsi" w:hAnsiTheme="majorHAnsi" w:cstheme="majorHAnsi"/>
          <w:sz w:val="22"/>
          <w:szCs w:val="22"/>
        </w:rPr>
        <w:t>and a grounded understanding of what work</w:t>
      </w:r>
      <w:r w:rsidR="00F80AB2">
        <w:rPr>
          <w:rFonts w:asciiTheme="majorHAnsi" w:hAnsiTheme="majorHAnsi" w:cstheme="majorHAnsi"/>
          <w:sz w:val="22"/>
          <w:szCs w:val="22"/>
        </w:rPr>
        <w:t>s (effectiveness)</w:t>
      </w:r>
      <w:r w:rsidR="007A5B3A" w:rsidRPr="003F545A">
        <w:rPr>
          <w:rFonts w:asciiTheme="majorHAnsi" w:hAnsiTheme="majorHAnsi" w:cstheme="majorHAnsi"/>
          <w:sz w:val="22"/>
          <w:szCs w:val="22"/>
        </w:rPr>
        <w:t xml:space="preserve">. </w:t>
      </w:r>
      <w:r w:rsidR="00F80AB2">
        <w:rPr>
          <w:rFonts w:asciiTheme="majorHAnsi" w:hAnsiTheme="majorHAnsi" w:cstheme="majorHAnsi"/>
          <w:sz w:val="22"/>
          <w:szCs w:val="22"/>
        </w:rPr>
        <w:t xml:space="preserve">As mentioned in Section C, </w:t>
      </w:r>
      <w:r w:rsidR="00F80AB2" w:rsidRPr="00974377">
        <w:rPr>
          <w:rFonts w:asciiTheme="majorHAnsi" w:hAnsiTheme="majorHAnsi" w:cstheme="majorHAnsi"/>
          <w:sz w:val="22"/>
          <w:szCs w:val="22"/>
        </w:rPr>
        <w:t xml:space="preserve">the program will encourage and support </w:t>
      </w:r>
      <w:r w:rsidR="00F80AB2">
        <w:rPr>
          <w:rFonts w:asciiTheme="majorHAnsi" w:hAnsiTheme="majorHAnsi" w:cstheme="majorHAnsi"/>
          <w:sz w:val="22"/>
          <w:szCs w:val="22"/>
        </w:rPr>
        <w:t xml:space="preserve">ecosystemic </w:t>
      </w:r>
      <w:r w:rsidR="00F80AB2" w:rsidRPr="00974377">
        <w:rPr>
          <w:rFonts w:asciiTheme="majorHAnsi" w:hAnsiTheme="majorHAnsi" w:cstheme="majorHAnsi"/>
          <w:sz w:val="22"/>
          <w:szCs w:val="22"/>
        </w:rPr>
        <w:t xml:space="preserve">solutions that are driven by local leadership, deployed through local strategies, and leveraged by local resources. </w:t>
      </w:r>
    </w:p>
    <w:p w14:paraId="30808843" w14:textId="02E2F629" w:rsidR="00CB1D0A" w:rsidRPr="003F545A" w:rsidRDefault="007A5B3A" w:rsidP="00B86A7F">
      <w:pPr>
        <w:spacing w:line="281" w:lineRule="auto"/>
        <w:rPr>
          <w:rFonts w:asciiTheme="majorHAnsi" w:hAnsiTheme="majorHAnsi" w:cstheme="majorHAnsi"/>
          <w:sz w:val="22"/>
          <w:szCs w:val="22"/>
        </w:rPr>
      </w:pPr>
      <w:r w:rsidRPr="003F545A">
        <w:rPr>
          <w:rFonts w:asciiTheme="majorHAnsi" w:hAnsiTheme="majorHAnsi" w:cstheme="majorHAnsi"/>
          <w:sz w:val="22"/>
          <w:szCs w:val="22"/>
        </w:rPr>
        <w:t>Th</w:t>
      </w:r>
      <w:r w:rsidR="00847978">
        <w:rPr>
          <w:rFonts w:asciiTheme="majorHAnsi" w:hAnsiTheme="majorHAnsi" w:cstheme="majorHAnsi"/>
          <w:sz w:val="22"/>
          <w:szCs w:val="22"/>
        </w:rPr>
        <w:t>e</w:t>
      </w:r>
      <w:r w:rsidRPr="003F545A">
        <w:rPr>
          <w:rFonts w:asciiTheme="majorHAnsi" w:hAnsiTheme="majorHAnsi" w:cstheme="majorHAnsi"/>
          <w:sz w:val="22"/>
          <w:szCs w:val="22"/>
        </w:rPr>
        <w:t xml:space="preserve"> </w:t>
      </w:r>
      <w:r w:rsidR="00847978">
        <w:rPr>
          <w:rFonts w:asciiTheme="majorHAnsi" w:hAnsiTheme="majorHAnsi" w:cstheme="majorHAnsi"/>
          <w:sz w:val="22"/>
          <w:szCs w:val="22"/>
        </w:rPr>
        <w:t>D</w:t>
      </w:r>
      <w:r w:rsidRPr="003F545A">
        <w:rPr>
          <w:rFonts w:asciiTheme="majorHAnsi" w:hAnsiTheme="majorHAnsi" w:cstheme="majorHAnsi"/>
          <w:sz w:val="22"/>
          <w:szCs w:val="22"/>
        </w:rPr>
        <w:t>esign</w:t>
      </w:r>
      <w:r w:rsidR="00847978">
        <w:rPr>
          <w:rFonts w:asciiTheme="majorHAnsi" w:hAnsiTheme="majorHAnsi" w:cstheme="majorHAnsi"/>
          <w:sz w:val="22"/>
          <w:szCs w:val="22"/>
        </w:rPr>
        <w:t xml:space="preserve"> Update</w:t>
      </w:r>
      <w:r w:rsidRPr="003F545A">
        <w:rPr>
          <w:rFonts w:asciiTheme="majorHAnsi" w:hAnsiTheme="majorHAnsi" w:cstheme="majorHAnsi"/>
          <w:sz w:val="22"/>
          <w:szCs w:val="22"/>
        </w:rPr>
        <w:t xml:space="preserve"> </w:t>
      </w:r>
      <w:r w:rsidR="003A4B85">
        <w:rPr>
          <w:rFonts w:asciiTheme="majorHAnsi" w:hAnsiTheme="majorHAnsi" w:cstheme="majorHAnsi"/>
          <w:sz w:val="22"/>
          <w:szCs w:val="22"/>
        </w:rPr>
        <w:t xml:space="preserve">also </w:t>
      </w:r>
      <w:r w:rsidRPr="003F545A">
        <w:rPr>
          <w:rFonts w:asciiTheme="majorHAnsi" w:hAnsiTheme="majorHAnsi" w:cstheme="majorHAnsi"/>
          <w:sz w:val="22"/>
          <w:szCs w:val="22"/>
        </w:rPr>
        <w:t xml:space="preserve">embeds </w:t>
      </w:r>
      <w:r w:rsidR="00847978">
        <w:rPr>
          <w:rFonts w:asciiTheme="majorHAnsi" w:hAnsiTheme="majorHAnsi" w:cstheme="majorHAnsi"/>
          <w:sz w:val="22"/>
          <w:szCs w:val="22"/>
        </w:rPr>
        <w:t xml:space="preserve">established </w:t>
      </w:r>
      <w:r w:rsidRPr="003F545A">
        <w:rPr>
          <w:rFonts w:asciiTheme="majorHAnsi" w:hAnsiTheme="majorHAnsi" w:cstheme="majorHAnsi"/>
          <w:sz w:val="22"/>
          <w:szCs w:val="22"/>
        </w:rPr>
        <w:t>indicators of localisation</w:t>
      </w:r>
      <w:r w:rsidR="00F80AB2" w:rsidRPr="003F545A">
        <w:rPr>
          <w:rStyle w:val="FootnoteReference"/>
          <w:rFonts w:asciiTheme="majorHAnsi" w:hAnsiTheme="majorHAnsi" w:cstheme="majorHAnsi"/>
          <w:sz w:val="22"/>
          <w:szCs w:val="22"/>
        </w:rPr>
        <w:footnoteReference w:id="54"/>
      </w:r>
      <w:r w:rsidR="00847978">
        <w:rPr>
          <w:rFonts w:asciiTheme="majorHAnsi" w:hAnsiTheme="majorHAnsi" w:cstheme="majorHAnsi"/>
          <w:sz w:val="22"/>
          <w:szCs w:val="22"/>
        </w:rPr>
        <w:t>, as following:</w:t>
      </w:r>
    </w:p>
    <w:p w14:paraId="44F7B2C7" w14:textId="0BD47EC8" w:rsidR="00CB1D0A" w:rsidRPr="003A4B85" w:rsidRDefault="007A5B3A" w:rsidP="008D1844">
      <w:pPr>
        <w:pStyle w:val="ListParagraph"/>
        <w:numPr>
          <w:ilvl w:val="0"/>
          <w:numId w:val="57"/>
        </w:numPr>
        <w:spacing w:before="120" w:after="120" w:line="281" w:lineRule="auto"/>
        <w:ind w:left="641" w:hanging="357"/>
        <w:contextualSpacing w:val="0"/>
        <w:rPr>
          <w:rFonts w:asciiTheme="majorHAnsi" w:hAnsiTheme="majorHAnsi" w:cstheme="majorHAnsi"/>
          <w:sz w:val="22"/>
          <w:szCs w:val="22"/>
        </w:rPr>
      </w:pPr>
      <w:r w:rsidRPr="003A4B85">
        <w:rPr>
          <w:rFonts w:asciiTheme="majorHAnsi" w:hAnsiTheme="majorHAnsi" w:cstheme="majorHAnsi"/>
          <w:sz w:val="22"/>
          <w:szCs w:val="22"/>
        </w:rPr>
        <w:t xml:space="preserve">In </w:t>
      </w:r>
      <w:r w:rsidRPr="003A4B85">
        <w:rPr>
          <w:rFonts w:asciiTheme="majorHAnsi" w:hAnsiTheme="majorHAnsi" w:cstheme="majorHAnsi"/>
          <w:i/>
          <w:iCs/>
          <w:sz w:val="22"/>
          <w:szCs w:val="22"/>
        </w:rPr>
        <w:t>policy application</w:t>
      </w:r>
      <w:r w:rsidR="00847978" w:rsidRPr="003A4B85">
        <w:rPr>
          <w:rFonts w:asciiTheme="majorHAnsi" w:hAnsiTheme="majorHAnsi" w:cstheme="majorHAnsi"/>
          <w:sz w:val="22"/>
          <w:szCs w:val="22"/>
        </w:rPr>
        <w:t>,</w:t>
      </w:r>
      <w:r w:rsidRPr="003A4B85">
        <w:rPr>
          <w:rFonts w:asciiTheme="majorHAnsi" w:hAnsiTheme="majorHAnsi" w:cstheme="majorHAnsi"/>
          <w:sz w:val="22"/>
          <w:szCs w:val="22"/>
        </w:rPr>
        <w:t xml:space="preserve"> the new program will continue the PDIA approach of INOVASI’s </w:t>
      </w:r>
      <w:r w:rsidR="00847978" w:rsidRPr="003A4B85">
        <w:rPr>
          <w:rFonts w:asciiTheme="majorHAnsi" w:hAnsiTheme="majorHAnsi" w:cstheme="majorHAnsi"/>
          <w:sz w:val="22"/>
          <w:szCs w:val="22"/>
        </w:rPr>
        <w:t xml:space="preserve">in place </w:t>
      </w:r>
      <w:r w:rsidRPr="003A4B85">
        <w:rPr>
          <w:rFonts w:asciiTheme="majorHAnsi" w:hAnsiTheme="majorHAnsi" w:cstheme="majorHAnsi"/>
          <w:sz w:val="22"/>
          <w:szCs w:val="22"/>
        </w:rPr>
        <w:t xml:space="preserve">since </w:t>
      </w:r>
      <w:r w:rsidR="00847978" w:rsidRPr="003A4B85">
        <w:rPr>
          <w:rFonts w:asciiTheme="majorHAnsi" w:hAnsiTheme="majorHAnsi" w:cstheme="majorHAnsi"/>
          <w:sz w:val="22"/>
          <w:szCs w:val="22"/>
        </w:rPr>
        <w:t>the</w:t>
      </w:r>
      <w:r w:rsidRPr="003A4B85">
        <w:rPr>
          <w:rFonts w:asciiTheme="majorHAnsi" w:hAnsiTheme="majorHAnsi" w:cstheme="majorHAnsi"/>
          <w:sz w:val="22"/>
          <w:szCs w:val="22"/>
        </w:rPr>
        <w:t xml:space="preserve"> original design: engagement with stakeholders around their own exploration of problems and contextually fit solutions to issues of systemic performance. </w:t>
      </w:r>
    </w:p>
    <w:p w14:paraId="4CE3708F" w14:textId="7B8D77E1" w:rsidR="00847978" w:rsidRPr="003A4B85" w:rsidRDefault="007A5B3A" w:rsidP="008D1844">
      <w:pPr>
        <w:pStyle w:val="ListParagraph"/>
        <w:numPr>
          <w:ilvl w:val="0"/>
          <w:numId w:val="57"/>
        </w:numPr>
        <w:spacing w:before="120" w:after="120" w:line="281" w:lineRule="auto"/>
        <w:ind w:left="641" w:hanging="357"/>
        <w:contextualSpacing w:val="0"/>
        <w:rPr>
          <w:rFonts w:asciiTheme="majorHAnsi" w:hAnsiTheme="majorHAnsi" w:cstheme="majorHAnsi"/>
          <w:sz w:val="22"/>
          <w:szCs w:val="22"/>
        </w:rPr>
      </w:pPr>
      <w:r w:rsidRPr="003A4B85">
        <w:rPr>
          <w:rFonts w:asciiTheme="majorHAnsi" w:hAnsiTheme="majorHAnsi" w:cstheme="majorHAnsi"/>
          <w:sz w:val="22"/>
          <w:szCs w:val="22"/>
        </w:rPr>
        <w:lastRenderedPageBreak/>
        <w:t xml:space="preserve">In its </w:t>
      </w:r>
      <w:r w:rsidRPr="003A4B85">
        <w:rPr>
          <w:rFonts w:asciiTheme="majorHAnsi" w:hAnsiTheme="majorHAnsi" w:cstheme="majorHAnsi"/>
          <w:i/>
          <w:iCs/>
          <w:sz w:val="22"/>
          <w:szCs w:val="22"/>
        </w:rPr>
        <w:t>partnership approach</w:t>
      </w:r>
      <w:r w:rsidR="00847978" w:rsidRPr="003A4B85">
        <w:rPr>
          <w:rFonts w:asciiTheme="majorHAnsi" w:hAnsiTheme="majorHAnsi" w:cstheme="majorHAnsi"/>
          <w:sz w:val="22"/>
          <w:szCs w:val="22"/>
        </w:rPr>
        <w:t>,</w:t>
      </w:r>
      <w:r w:rsidRPr="003A4B85">
        <w:rPr>
          <w:rFonts w:asciiTheme="majorHAnsi" w:hAnsiTheme="majorHAnsi" w:cstheme="majorHAnsi"/>
          <w:sz w:val="22"/>
          <w:szCs w:val="22"/>
        </w:rPr>
        <w:t xml:space="preserve"> the design</w:t>
      </w:r>
      <w:r w:rsidRPr="003A4B85">
        <w:rPr>
          <w:rFonts w:asciiTheme="majorHAnsi" w:hAnsiTheme="majorHAnsi" w:cs="Calibri"/>
          <w:color w:val="000000"/>
          <w:sz w:val="22"/>
          <w:szCs w:val="22"/>
        </w:rPr>
        <w:t xml:space="preserve"> </w:t>
      </w:r>
      <w:r w:rsidRPr="003A4B85">
        <w:rPr>
          <w:rFonts w:asciiTheme="majorHAnsi" w:hAnsiTheme="majorHAnsi" w:cstheme="majorHAnsi"/>
          <w:sz w:val="22"/>
          <w:szCs w:val="22"/>
        </w:rPr>
        <w:t>envisages a meaningful policy dialogue agenda and co-development of responses</w:t>
      </w:r>
      <w:r w:rsidR="003A4B85" w:rsidRPr="003A4B85">
        <w:rPr>
          <w:rFonts w:asciiTheme="majorHAnsi" w:hAnsiTheme="majorHAnsi" w:cstheme="majorHAnsi"/>
          <w:sz w:val="22"/>
          <w:szCs w:val="22"/>
        </w:rPr>
        <w:t xml:space="preserve"> with national and subnational stakeholders</w:t>
      </w:r>
      <w:r w:rsidRPr="003A4B85">
        <w:rPr>
          <w:rFonts w:asciiTheme="majorHAnsi" w:hAnsiTheme="majorHAnsi" w:cstheme="majorHAnsi"/>
          <w:sz w:val="22"/>
          <w:szCs w:val="22"/>
        </w:rPr>
        <w:t xml:space="preserve">. </w:t>
      </w:r>
    </w:p>
    <w:p w14:paraId="23C273B9" w14:textId="24CD98AA" w:rsidR="00CB1D0A" w:rsidRPr="003A4B85" w:rsidRDefault="007A5B3A" w:rsidP="008D1844">
      <w:pPr>
        <w:pStyle w:val="ListParagraph"/>
        <w:numPr>
          <w:ilvl w:val="0"/>
          <w:numId w:val="57"/>
        </w:numPr>
        <w:spacing w:before="120" w:after="120" w:line="281" w:lineRule="auto"/>
        <w:ind w:left="641" w:hanging="357"/>
        <w:contextualSpacing w:val="0"/>
        <w:rPr>
          <w:rFonts w:asciiTheme="majorHAnsi" w:hAnsiTheme="majorHAnsi" w:cstheme="majorHAnsi"/>
          <w:sz w:val="22"/>
          <w:szCs w:val="22"/>
        </w:rPr>
      </w:pPr>
      <w:proofErr w:type="gramStart"/>
      <w:r w:rsidRPr="003A4B85">
        <w:rPr>
          <w:rFonts w:asciiTheme="majorHAnsi" w:hAnsiTheme="majorHAnsi" w:cstheme="majorHAnsi"/>
          <w:sz w:val="22"/>
          <w:szCs w:val="22"/>
        </w:rPr>
        <w:t>In regard to</w:t>
      </w:r>
      <w:proofErr w:type="gramEnd"/>
      <w:r w:rsidRPr="003A4B85">
        <w:rPr>
          <w:rFonts w:asciiTheme="majorHAnsi" w:hAnsiTheme="majorHAnsi" w:cs="Calibri"/>
          <w:color w:val="000000"/>
          <w:sz w:val="22"/>
          <w:szCs w:val="22"/>
        </w:rPr>
        <w:t xml:space="preserve"> </w:t>
      </w:r>
      <w:r w:rsidRPr="003A4B85">
        <w:rPr>
          <w:rFonts w:asciiTheme="majorHAnsi" w:hAnsiTheme="majorHAnsi" w:cstheme="majorHAnsi"/>
          <w:i/>
          <w:iCs/>
          <w:sz w:val="22"/>
          <w:szCs w:val="22"/>
        </w:rPr>
        <w:t>decision making and responsibility</w:t>
      </w:r>
      <w:r w:rsidR="00847978" w:rsidRPr="003A4B85">
        <w:rPr>
          <w:rFonts w:asciiTheme="majorHAnsi" w:hAnsiTheme="majorHAnsi" w:cstheme="majorHAnsi"/>
          <w:sz w:val="22"/>
          <w:szCs w:val="22"/>
        </w:rPr>
        <w:t>,</w:t>
      </w:r>
      <w:r w:rsidRPr="003A4B85">
        <w:rPr>
          <w:rFonts w:asciiTheme="majorHAnsi" w:hAnsiTheme="majorHAnsi" w:cstheme="majorHAnsi"/>
          <w:sz w:val="22"/>
          <w:szCs w:val="22"/>
        </w:rPr>
        <w:t xml:space="preserve"> </w:t>
      </w:r>
      <w:r w:rsidR="003A4B85" w:rsidRPr="003A4B85">
        <w:rPr>
          <w:rFonts w:asciiTheme="majorHAnsi" w:hAnsiTheme="majorHAnsi" w:cstheme="majorHAnsi"/>
          <w:sz w:val="22"/>
          <w:szCs w:val="22"/>
        </w:rPr>
        <w:t xml:space="preserve">Indonesian </w:t>
      </w:r>
      <w:r w:rsidR="003A4B85">
        <w:rPr>
          <w:rFonts w:asciiTheme="majorHAnsi" w:hAnsiTheme="majorHAnsi" w:cstheme="majorHAnsi"/>
          <w:sz w:val="22"/>
          <w:szCs w:val="22"/>
        </w:rPr>
        <w:t>representatives</w:t>
      </w:r>
      <w:r w:rsidRPr="003A4B85">
        <w:rPr>
          <w:rFonts w:asciiTheme="majorHAnsi" w:hAnsiTheme="majorHAnsi" w:cstheme="majorHAnsi"/>
          <w:sz w:val="22"/>
          <w:szCs w:val="22"/>
        </w:rPr>
        <w:t xml:space="preserve"> </w:t>
      </w:r>
      <w:r w:rsidR="003A4B85" w:rsidRPr="003A4B85">
        <w:rPr>
          <w:rFonts w:asciiTheme="majorHAnsi" w:hAnsiTheme="majorHAnsi" w:cstheme="majorHAnsi"/>
          <w:sz w:val="22"/>
          <w:szCs w:val="22"/>
        </w:rPr>
        <w:t xml:space="preserve">will </w:t>
      </w:r>
      <w:r w:rsidR="003A4B85">
        <w:rPr>
          <w:rFonts w:asciiTheme="majorHAnsi" w:hAnsiTheme="majorHAnsi" w:cstheme="majorHAnsi"/>
          <w:sz w:val="22"/>
          <w:szCs w:val="22"/>
        </w:rPr>
        <w:t>chair</w:t>
      </w:r>
      <w:r w:rsidR="003A4B85" w:rsidRPr="003A4B85">
        <w:rPr>
          <w:rFonts w:asciiTheme="majorHAnsi" w:hAnsiTheme="majorHAnsi" w:cstheme="majorHAnsi"/>
          <w:sz w:val="22"/>
          <w:szCs w:val="22"/>
        </w:rPr>
        <w:t xml:space="preserve"> </w:t>
      </w:r>
      <w:r w:rsidRPr="003A4B85">
        <w:rPr>
          <w:rFonts w:asciiTheme="majorHAnsi" w:hAnsiTheme="majorHAnsi" w:cstheme="majorHAnsi"/>
          <w:sz w:val="22"/>
          <w:szCs w:val="22"/>
        </w:rPr>
        <w:t>governance</w:t>
      </w:r>
      <w:r w:rsidR="003A4B85" w:rsidRPr="003A4B85">
        <w:rPr>
          <w:rFonts w:asciiTheme="majorHAnsi" w:hAnsiTheme="majorHAnsi" w:cstheme="majorHAnsi"/>
          <w:sz w:val="22"/>
          <w:szCs w:val="22"/>
        </w:rPr>
        <w:t xml:space="preserve"> bodies</w:t>
      </w:r>
      <w:r w:rsidRPr="003A4B85">
        <w:rPr>
          <w:rFonts w:asciiTheme="majorHAnsi" w:hAnsiTheme="majorHAnsi" w:cstheme="majorHAnsi"/>
          <w:sz w:val="22"/>
          <w:szCs w:val="22"/>
        </w:rPr>
        <w:t xml:space="preserve">, </w:t>
      </w:r>
      <w:r w:rsidR="003A4B85" w:rsidRPr="003A4B85">
        <w:rPr>
          <w:rFonts w:asciiTheme="majorHAnsi" w:hAnsiTheme="majorHAnsi" w:cstheme="majorHAnsi"/>
          <w:sz w:val="22"/>
          <w:szCs w:val="22"/>
        </w:rPr>
        <w:t xml:space="preserve">such as the national and provincial steering committees, and be in charge of guiding </w:t>
      </w:r>
      <w:r w:rsidR="003A4B85">
        <w:rPr>
          <w:rFonts w:asciiTheme="majorHAnsi" w:hAnsiTheme="majorHAnsi" w:cstheme="majorHAnsi"/>
          <w:sz w:val="22"/>
          <w:szCs w:val="22"/>
        </w:rPr>
        <w:t xml:space="preserve">the </w:t>
      </w:r>
      <w:r w:rsidR="003A4B85" w:rsidRPr="003A4B85">
        <w:rPr>
          <w:rFonts w:asciiTheme="majorHAnsi" w:hAnsiTheme="majorHAnsi" w:cstheme="majorHAnsi"/>
          <w:sz w:val="22"/>
          <w:szCs w:val="22"/>
        </w:rPr>
        <w:t xml:space="preserve">program’s </w:t>
      </w:r>
      <w:r w:rsidRPr="003A4B85">
        <w:rPr>
          <w:rFonts w:asciiTheme="majorHAnsi" w:hAnsiTheme="majorHAnsi" w:cstheme="majorHAnsi"/>
          <w:sz w:val="22"/>
          <w:szCs w:val="22"/>
        </w:rPr>
        <w:t xml:space="preserve">direction, strategy, monitoring and management of risk. </w:t>
      </w:r>
    </w:p>
    <w:p w14:paraId="692989F8" w14:textId="3AE570F8" w:rsidR="00CB1D0A" w:rsidRPr="003A4B85" w:rsidRDefault="007A5B3A" w:rsidP="008D1844">
      <w:pPr>
        <w:pStyle w:val="ListParagraph"/>
        <w:numPr>
          <w:ilvl w:val="0"/>
          <w:numId w:val="57"/>
        </w:numPr>
        <w:spacing w:before="120" w:after="120" w:line="281" w:lineRule="auto"/>
        <w:ind w:left="641" w:hanging="357"/>
        <w:contextualSpacing w:val="0"/>
        <w:rPr>
          <w:rFonts w:asciiTheme="majorHAnsi" w:hAnsiTheme="majorHAnsi" w:cstheme="majorHAnsi"/>
          <w:sz w:val="22"/>
          <w:szCs w:val="22"/>
        </w:rPr>
      </w:pPr>
      <w:r w:rsidRPr="003A4B85">
        <w:rPr>
          <w:rFonts w:asciiTheme="majorHAnsi" w:hAnsiTheme="majorHAnsi" w:cstheme="majorHAnsi"/>
          <w:sz w:val="22"/>
          <w:szCs w:val="22"/>
        </w:rPr>
        <w:t xml:space="preserve">In </w:t>
      </w:r>
      <w:r w:rsidRPr="003A4B85">
        <w:rPr>
          <w:rFonts w:asciiTheme="majorHAnsi" w:hAnsiTheme="majorHAnsi" w:cstheme="majorHAnsi"/>
          <w:i/>
          <w:iCs/>
          <w:sz w:val="22"/>
          <w:szCs w:val="22"/>
        </w:rPr>
        <w:t>geographic decentralisation</w:t>
      </w:r>
      <w:r w:rsidRPr="003A4B85">
        <w:rPr>
          <w:rFonts w:asciiTheme="majorHAnsi" w:hAnsiTheme="majorHAnsi" w:cstheme="majorHAnsi"/>
          <w:sz w:val="22"/>
          <w:szCs w:val="22"/>
        </w:rPr>
        <w:t xml:space="preserve">, the program </w:t>
      </w:r>
      <w:r w:rsidR="00847978" w:rsidRPr="003A4B85">
        <w:rPr>
          <w:rFonts w:asciiTheme="majorHAnsi" w:hAnsiTheme="majorHAnsi" w:cstheme="majorHAnsi"/>
          <w:sz w:val="22"/>
          <w:szCs w:val="22"/>
        </w:rPr>
        <w:t xml:space="preserve">will </w:t>
      </w:r>
      <w:r w:rsidRPr="003A4B85">
        <w:rPr>
          <w:rFonts w:asciiTheme="majorHAnsi" w:hAnsiTheme="majorHAnsi" w:cstheme="majorHAnsi"/>
          <w:sz w:val="22"/>
          <w:szCs w:val="22"/>
        </w:rPr>
        <w:t xml:space="preserve">support the values of diversity </w:t>
      </w:r>
      <w:r w:rsidR="00847978" w:rsidRPr="003A4B85">
        <w:rPr>
          <w:rFonts w:asciiTheme="majorHAnsi" w:hAnsiTheme="majorHAnsi" w:cstheme="majorHAnsi"/>
          <w:sz w:val="22"/>
          <w:szCs w:val="22"/>
        </w:rPr>
        <w:t xml:space="preserve">and </w:t>
      </w:r>
      <w:r w:rsidRPr="003A4B85">
        <w:rPr>
          <w:rFonts w:asciiTheme="majorHAnsi" w:hAnsiTheme="majorHAnsi" w:cstheme="majorHAnsi"/>
          <w:sz w:val="22"/>
          <w:szCs w:val="22"/>
        </w:rPr>
        <w:t>localisation</w:t>
      </w:r>
      <w:r w:rsidR="00847978" w:rsidRPr="003A4B85">
        <w:rPr>
          <w:rFonts w:asciiTheme="majorHAnsi" w:hAnsiTheme="majorHAnsi" w:cstheme="majorHAnsi"/>
          <w:sz w:val="22"/>
          <w:szCs w:val="22"/>
        </w:rPr>
        <w:t xml:space="preserve"> through establishment provincial offices</w:t>
      </w:r>
      <w:r w:rsidR="003A4B85">
        <w:rPr>
          <w:rFonts w:asciiTheme="majorHAnsi" w:hAnsiTheme="majorHAnsi" w:cstheme="majorHAnsi"/>
          <w:sz w:val="22"/>
          <w:szCs w:val="22"/>
        </w:rPr>
        <w:t xml:space="preserve"> and an emphasis on sub-national activities</w:t>
      </w:r>
      <w:r w:rsidRPr="003A4B85">
        <w:rPr>
          <w:rFonts w:asciiTheme="majorHAnsi" w:hAnsiTheme="majorHAnsi" w:cstheme="majorHAnsi"/>
          <w:sz w:val="22"/>
          <w:szCs w:val="22"/>
        </w:rPr>
        <w:t xml:space="preserve">.  </w:t>
      </w:r>
    </w:p>
    <w:p w14:paraId="5C3BC2BC" w14:textId="573307B0" w:rsidR="00CB1D0A" w:rsidRPr="003A4B85" w:rsidRDefault="007A5B3A" w:rsidP="008D1844">
      <w:pPr>
        <w:pStyle w:val="ListParagraph"/>
        <w:numPr>
          <w:ilvl w:val="0"/>
          <w:numId w:val="57"/>
        </w:numPr>
        <w:spacing w:before="120" w:after="120" w:line="281" w:lineRule="auto"/>
        <w:ind w:left="641" w:hanging="357"/>
        <w:contextualSpacing w:val="0"/>
        <w:rPr>
          <w:rFonts w:asciiTheme="majorHAnsi" w:hAnsiTheme="majorHAnsi" w:cs="Calibri"/>
          <w:color w:val="000000"/>
          <w:sz w:val="22"/>
          <w:szCs w:val="22"/>
        </w:rPr>
      </w:pPr>
      <w:r w:rsidRPr="003A4B85">
        <w:rPr>
          <w:rFonts w:asciiTheme="majorHAnsi" w:hAnsiTheme="majorHAnsi" w:cstheme="majorHAnsi"/>
          <w:sz w:val="22"/>
          <w:szCs w:val="22"/>
        </w:rPr>
        <w:t xml:space="preserve">The program’s close engagement </w:t>
      </w:r>
      <w:r w:rsidR="003A4B85">
        <w:rPr>
          <w:rFonts w:asciiTheme="majorHAnsi" w:hAnsiTheme="majorHAnsi" w:cstheme="majorHAnsi"/>
          <w:sz w:val="22"/>
          <w:szCs w:val="22"/>
        </w:rPr>
        <w:t xml:space="preserve">with district ecosystems </w:t>
      </w:r>
      <w:r w:rsidRPr="003A4B85">
        <w:rPr>
          <w:rFonts w:asciiTheme="majorHAnsi" w:hAnsiTheme="majorHAnsi" w:cstheme="majorHAnsi"/>
          <w:sz w:val="22"/>
          <w:szCs w:val="22"/>
        </w:rPr>
        <w:t xml:space="preserve">implies </w:t>
      </w:r>
      <w:r w:rsidR="003A4B85" w:rsidRPr="003A4B85">
        <w:rPr>
          <w:rFonts w:asciiTheme="majorHAnsi" w:hAnsiTheme="majorHAnsi" w:cstheme="majorHAnsi"/>
          <w:sz w:val="22"/>
          <w:szCs w:val="22"/>
        </w:rPr>
        <w:t xml:space="preserve">INOVASI’s </w:t>
      </w:r>
      <w:r w:rsidR="003A4B85" w:rsidRPr="003A4B85">
        <w:rPr>
          <w:rFonts w:asciiTheme="majorHAnsi" w:hAnsiTheme="majorHAnsi" w:cstheme="majorHAnsi"/>
          <w:i/>
          <w:iCs/>
          <w:sz w:val="22"/>
          <w:szCs w:val="22"/>
        </w:rPr>
        <w:t>staff profile and procurement</w:t>
      </w:r>
      <w:r w:rsidR="003A4B85" w:rsidRPr="003A4B85">
        <w:rPr>
          <w:rFonts w:asciiTheme="majorHAnsi" w:hAnsiTheme="majorHAnsi" w:cstheme="majorHAnsi"/>
          <w:sz w:val="22"/>
          <w:szCs w:val="22"/>
        </w:rPr>
        <w:t xml:space="preserve"> </w:t>
      </w:r>
      <w:r w:rsidR="003A4B85">
        <w:rPr>
          <w:rFonts w:asciiTheme="majorHAnsi" w:hAnsiTheme="majorHAnsi" w:cstheme="majorHAnsi"/>
          <w:sz w:val="22"/>
          <w:szCs w:val="22"/>
        </w:rPr>
        <w:t>attract</w:t>
      </w:r>
      <w:r w:rsidRPr="003A4B85">
        <w:rPr>
          <w:rFonts w:asciiTheme="majorHAnsi" w:hAnsiTheme="majorHAnsi" w:cstheme="majorHAnsi"/>
          <w:sz w:val="22"/>
          <w:szCs w:val="22"/>
        </w:rPr>
        <w:t xml:space="preserve"> </w:t>
      </w:r>
      <w:r w:rsidR="003A4B85">
        <w:rPr>
          <w:rFonts w:asciiTheme="majorHAnsi" w:hAnsiTheme="majorHAnsi" w:cstheme="majorHAnsi"/>
          <w:sz w:val="22"/>
          <w:szCs w:val="22"/>
        </w:rPr>
        <w:t>‘</w:t>
      </w:r>
      <w:r w:rsidRPr="003A4B85">
        <w:rPr>
          <w:rFonts w:asciiTheme="majorHAnsi" w:hAnsiTheme="majorHAnsi" w:cs="Calibri"/>
          <w:color w:val="000000"/>
          <w:sz w:val="22"/>
          <w:szCs w:val="22"/>
        </w:rPr>
        <w:t>locally savvy</w:t>
      </w:r>
      <w:r w:rsidR="003A4B85">
        <w:rPr>
          <w:rFonts w:asciiTheme="majorHAnsi" w:hAnsiTheme="majorHAnsi" w:cs="Calibri"/>
          <w:color w:val="000000"/>
          <w:sz w:val="22"/>
          <w:szCs w:val="22"/>
        </w:rPr>
        <w:t>’</w:t>
      </w:r>
      <w:r w:rsidRPr="003A4B85">
        <w:rPr>
          <w:rFonts w:asciiTheme="majorHAnsi" w:hAnsiTheme="majorHAnsi" w:cs="Calibri"/>
          <w:color w:val="000000"/>
          <w:sz w:val="22"/>
          <w:szCs w:val="22"/>
        </w:rPr>
        <w:t xml:space="preserve"> team</w:t>
      </w:r>
      <w:r w:rsidR="003A4B85">
        <w:rPr>
          <w:rFonts w:asciiTheme="majorHAnsi" w:hAnsiTheme="majorHAnsi" w:cs="Calibri"/>
          <w:color w:val="000000"/>
          <w:sz w:val="22"/>
          <w:szCs w:val="22"/>
        </w:rPr>
        <w:t xml:space="preserve"> members</w:t>
      </w:r>
      <w:r w:rsidRPr="003A4B85">
        <w:rPr>
          <w:rFonts w:asciiTheme="majorHAnsi" w:hAnsiTheme="majorHAnsi" w:cs="Calibri"/>
          <w:color w:val="000000"/>
          <w:sz w:val="22"/>
          <w:szCs w:val="22"/>
        </w:rPr>
        <w:t xml:space="preserve"> who can identify entry points for engagement. </w:t>
      </w:r>
    </w:p>
    <w:p w14:paraId="52DFABCC" w14:textId="77777777" w:rsidR="00A617D5" w:rsidRPr="003A4B85" w:rsidRDefault="00A617D5" w:rsidP="00A617D5">
      <w:pPr>
        <w:pStyle w:val="ListParagraph"/>
        <w:spacing w:before="120" w:after="120" w:line="281" w:lineRule="auto"/>
        <w:ind w:left="641"/>
        <w:contextualSpacing w:val="0"/>
        <w:rPr>
          <w:rFonts w:asciiTheme="majorHAnsi" w:hAnsiTheme="majorHAnsi" w:cs="Calibri"/>
          <w:color w:val="000000"/>
          <w:sz w:val="22"/>
          <w:szCs w:val="22"/>
        </w:rPr>
      </w:pPr>
    </w:p>
    <w:p w14:paraId="2CA87065" w14:textId="17A5DE69" w:rsidR="004F2AF9" w:rsidRPr="00974377" w:rsidRDefault="000C52F7" w:rsidP="008D1844">
      <w:pPr>
        <w:pStyle w:val="Heading1"/>
        <w:numPr>
          <w:ilvl w:val="0"/>
          <w:numId w:val="59"/>
        </w:numPr>
        <w:rPr>
          <w:b w:val="0"/>
          <w:szCs w:val="21"/>
        </w:rPr>
      </w:pPr>
      <w:r>
        <w:rPr>
          <w:sz w:val="28"/>
          <w:szCs w:val="20"/>
          <w:u w:val="single"/>
        </w:rPr>
        <w:t xml:space="preserve">PROGRAM </w:t>
      </w:r>
      <w:r w:rsidR="00C25934">
        <w:rPr>
          <w:sz w:val="28"/>
          <w:szCs w:val="20"/>
          <w:u w:val="single"/>
        </w:rPr>
        <w:t xml:space="preserve">OPERATIONS </w:t>
      </w:r>
    </w:p>
    <w:p w14:paraId="341131BA" w14:textId="1AE356F1" w:rsidR="00544435" w:rsidRPr="008D5F03" w:rsidRDefault="00544435" w:rsidP="008D5F03">
      <w:pPr>
        <w:pStyle w:val="Heading2"/>
        <w:rPr>
          <w:b/>
          <w:sz w:val="22"/>
          <w:szCs w:val="16"/>
        </w:rPr>
      </w:pPr>
      <w:bookmarkStart w:id="35" w:name="_Toc106986526"/>
      <w:r w:rsidRPr="008D5F03">
        <w:rPr>
          <w:b/>
          <w:caps w:val="0"/>
          <w:sz w:val="22"/>
          <w:szCs w:val="16"/>
        </w:rPr>
        <w:t xml:space="preserve">Program </w:t>
      </w:r>
      <w:bookmarkEnd w:id="35"/>
      <w:r w:rsidR="008D5F03" w:rsidRPr="008D5F03">
        <w:rPr>
          <w:b/>
          <w:bCs/>
          <w:caps w:val="0"/>
          <w:sz w:val="22"/>
          <w:szCs w:val="16"/>
        </w:rPr>
        <w:t>Budget</w:t>
      </w:r>
    </w:p>
    <w:p w14:paraId="415C55BC" w14:textId="0721199B" w:rsidR="0040236B" w:rsidRPr="000C1DC2" w:rsidRDefault="00544435" w:rsidP="006B0FFB">
      <w:pPr>
        <w:spacing w:before="240" w:after="120" w:line="281" w:lineRule="auto"/>
        <w:rPr>
          <w:rFonts w:asciiTheme="majorHAnsi" w:hAnsiTheme="majorHAnsi"/>
          <w:sz w:val="22"/>
          <w:szCs w:val="22"/>
        </w:rPr>
      </w:pPr>
      <w:r w:rsidRPr="00895DDC">
        <w:rPr>
          <w:rFonts w:asciiTheme="majorHAnsi" w:hAnsiTheme="majorHAnsi"/>
          <w:sz w:val="22"/>
          <w:szCs w:val="22"/>
        </w:rPr>
        <w:t>The initia</w:t>
      </w:r>
      <w:r w:rsidR="005C6D93" w:rsidRPr="00895DDC">
        <w:rPr>
          <w:rFonts w:asciiTheme="majorHAnsi" w:hAnsiTheme="majorHAnsi"/>
          <w:sz w:val="22"/>
          <w:szCs w:val="22"/>
        </w:rPr>
        <w:t>l IN</w:t>
      </w:r>
      <w:r w:rsidR="000A445F" w:rsidRPr="00895DDC">
        <w:rPr>
          <w:rFonts w:asciiTheme="majorHAnsi" w:hAnsiTheme="majorHAnsi"/>
          <w:sz w:val="22"/>
          <w:szCs w:val="22"/>
        </w:rPr>
        <w:t>OVA</w:t>
      </w:r>
      <w:r w:rsidR="005C6D93" w:rsidRPr="00895DDC">
        <w:rPr>
          <w:rFonts w:asciiTheme="majorHAnsi" w:hAnsiTheme="majorHAnsi"/>
          <w:sz w:val="22"/>
          <w:szCs w:val="22"/>
        </w:rPr>
        <w:t xml:space="preserve">SI Phase 3 </w:t>
      </w:r>
      <w:r w:rsidRPr="00895DDC">
        <w:rPr>
          <w:rFonts w:asciiTheme="majorHAnsi" w:hAnsiTheme="majorHAnsi"/>
          <w:sz w:val="22"/>
          <w:szCs w:val="22"/>
        </w:rPr>
        <w:t>budget is AUD 5</w:t>
      </w:r>
      <w:r w:rsidR="005C6D93" w:rsidRPr="00895DDC">
        <w:rPr>
          <w:rFonts w:asciiTheme="majorHAnsi" w:hAnsiTheme="majorHAnsi"/>
          <w:sz w:val="22"/>
          <w:szCs w:val="22"/>
        </w:rPr>
        <w:t>5</w:t>
      </w:r>
      <w:r w:rsidRPr="00895DDC">
        <w:rPr>
          <w:rFonts w:asciiTheme="majorHAnsi" w:hAnsiTheme="majorHAnsi"/>
          <w:sz w:val="22"/>
          <w:szCs w:val="22"/>
        </w:rPr>
        <w:t xml:space="preserve"> million over </w:t>
      </w:r>
      <w:r w:rsidR="0035758B" w:rsidRPr="00895DDC">
        <w:rPr>
          <w:rFonts w:asciiTheme="majorHAnsi" w:hAnsiTheme="majorHAnsi"/>
          <w:sz w:val="22"/>
          <w:szCs w:val="22"/>
        </w:rPr>
        <w:t xml:space="preserve">the first </w:t>
      </w:r>
      <w:r w:rsidRPr="00895DDC">
        <w:rPr>
          <w:rFonts w:asciiTheme="majorHAnsi" w:hAnsiTheme="majorHAnsi"/>
          <w:sz w:val="22"/>
          <w:szCs w:val="22"/>
        </w:rPr>
        <w:t>f</w:t>
      </w:r>
      <w:r w:rsidR="004A102E" w:rsidRPr="00895DDC">
        <w:rPr>
          <w:rFonts w:asciiTheme="majorHAnsi" w:hAnsiTheme="majorHAnsi"/>
          <w:sz w:val="22"/>
          <w:szCs w:val="22"/>
        </w:rPr>
        <w:t xml:space="preserve">our </w:t>
      </w:r>
      <w:r w:rsidRPr="00895DDC">
        <w:rPr>
          <w:rFonts w:asciiTheme="majorHAnsi" w:hAnsiTheme="majorHAnsi"/>
          <w:sz w:val="22"/>
          <w:szCs w:val="22"/>
        </w:rPr>
        <w:t xml:space="preserve">years of implementation. Annual budgets will be developed by the </w:t>
      </w:r>
      <w:r w:rsidR="004A102E" w:rsidRPr="00895DDC">
        <w:rPr>
          <w:rFonts w:asciiTheme="majorHAnsi" w:hAnsiTheme="majorHAnsi"/>
          <w:sz w:val="22"/>
          <w:szCs w:val="22"/>
        </w:rPr>
        <w:t xml:space="preserve">implementation team </w:t>
      </w:r>
      <w:r w:rsidRPr="00895DDC">
        <w:rPr>
          <w:rFonts w:asciiTheme="majorHAnsi" w:hAnsiTheme="majorHAnsi"/>
          <w:sz w:val="22"/>
          <w:szCs w:val="22"/>
        </w:rPr>
        <w:t xml:space="preserve">as part of the annual planning process, in consultation with DFAT and key stakeholders, and will be endorsed by the PSC. </w:t>
      </w:r>
      <w:r w:rsidR="00211D79" w:rsidRPr="00895DDC">
        <w:rPr>
          <w:rFonts w:asciiTheme="majorHAnsi" w:hAnsiTheme="majorHAnsi"/>
          <w:sz w:val="22"/>
          <w:szCs w:val="22"/>
        </w:rPr>
        <w:t>The</w:t>
      </w:r>
      <w:r w:rsidR="0035758B" w:rsidRPr="00895DDC">
        <w:rPr>
          <w:rFonts w:asciiTheme="majorHAnsi" w:hAnsiTheme="majorHAnsi"/>
          <w:sz w:val="22"/>
          <w:szCs w:val="22"/>
        </w:rPr>
        <w:t xml:space="preserve"> program</w:t>
      </w:r>
      <w:r w:rsidR="00211D79" w:rsidRPr="00895DDC">
        <w:rPr>
          <w:rFonts w:asciiTheme="majorHAnsi" w:hAnsiTheme="majorHAnsi"/>
          <w:sz w:val="22"/>
          <w:szCs w:val="22"/>
        </w:rPr>
        <w:t xml:space="preserve"> budget cycle will match the Australian financial year </w:t>
      </w:r>
      <w:r w:rsidR="00D222B0" w:rsidRPr="00895DDC">
        <w:rPr>
          <w:rFonts w:asciiTheme="majorHAnsi" w:hAnsiTheme="majorHAnsi"/>
          <w:sz w:val="22"/>
          <w:szCs w:val="22"/>
        </w:rPr>
        <w:t xml:space="preserve">(FY), from </w:t>
      </w:r>
      <w:r w:rsidR="00211D79" w:rsidRPr="00895DDC">
        <w:rPr>
          <w:rFonts w:asciiTheme="majorHAnsi" w:hAnsiTheme="majorHAnsi"/>
          <w:sz w:val="22"/>
          <w:szCs w:val="22"/>
        </w:rPr>
        <w:t xml:space="preserve">July </w:t>
      </w:r>
      <w:r w:rsidR="00D222B0" w:rsidRPr="00895DDC">
        <w:rPr>
          <w:rFonts w:asciiTheme="majorHAnsi" w:hAnsiTheme="majorHAnsi"/>
          <w:sz w:val="22"/>
          <w:szCs w:val="22"/>
        </w:rPr>
        <w:t>to</w:t>
      </w:r>
      <w:r w:rsidR="00211D79" w:rsidRPr="00895DDC">
        <w:rPr>
          <w:rFonts w:asciiTheme="majorHAnsi" w:hAnsiTheme="majorHAnsi"/>
          <w:sz w:val="22"/>
          <w:szCs w:val="22"/>
        </w:rPr>
        <w:t xml:space="preserve"> June</w:t>
      </w:r>
      <w:r w:rsidR="00D222B0" w:rsidRPr="00895DDC">
        <w:rPr>
          <w:rFonts w:asciiTheme="majorHAnsi" w:hAnsiTheme="majorHAnsi"/>
          <w:sz w:val="22"/>
          <w:szCs w:val="22"/>
        </w:rPr>
        <w:t xml:space="preserve"> each year</w:t>
      </w:r>
      <w:r w:rsidR="0098718C">
        <w:rPr>
          <w:rFonts w:asciiTheme="majorHAnsi" w:hAnsiTheme="majorHAnsi"/>
          <w:sz w:val="22"/>
          <w:szCs w:val="22"/>
        </w:rPr>
        <w:t>.</w:t>
      </w:r>
      <w:bookmarkStart w:id="36" w:name="_Toc106986532"/>
    </w:p>
    <w:bookmarkEnd w:id="36"/>
    <w:p w14:paraId="6F46E7BC" w14:textId="6832E3CB" w:rsidR="00102F6E" w:rsidRPr="00C25934" w:rsidRDefault="00102F6E" w:rsidP="00C25934">
      <w:pPr>
        <w:pStyle w:val="Heading2"/>
        <w:rPr>
          <w:b/>
          <w:caps w:val="0"/>
          <w:sz w:val="22"/>
          <w:szCs w:val="16"/>
        </w:rPr>
      </w:pPr>
      <w:r w:rsidRPr="00C25934">
        <w:rPr>
          <w:b/>
          <w:caps w:val="0"/>
          <w:sz w:val="22"/>
          <w:szCs w:val="16"/>
        </w:rPr>
        <w:t>Inception Phase</w:t>
      </w:r>
    </w:p>
    <w:p w14:paraId="6EE535CC" w14:textId="63313DCE" w:rsidR="00CE45ED" w:rsidRPr="00974377" w:rsidRDefault="00B75BB1" w:rsidP="004155AE">
      <w:pPr>
        <w:tabs>
          <w:tab w:val="left" w:pos="284"/>
        </w:tabs>
        <w:spacing w:before="120"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A seamless transition between INOVASI Phase 2 and 3 is desirable. T</w:t>
      </w:r>
      <w:r w:rsidR="00CE45ED" w:rsidRPr="00974377">
        <w:rPr>
          <w:rFonts w:asciiTheme="majorHAnsi" w:hAnsiTheme="majorHAnsi" w:cstheme="majorHAnsi"/>
          <w:sz w:val="22"/>
          <w:szCs w:val="22"/>
        </w:rPr>
        <w:t>he contract for the implementation of the current INOVASI</w:t>
      </w:r>
      <w:r w:rsidRPr="00974377">
        <w:rPr>
          <w:rFonts w:asciiTheme="majorHAnsi" w:hAnsiTheme="majorHAnsi" w:cstheme="majorHAnsi"/>
          <w:sz w:val="22"/>
          <w:szCs w:val="22"/>
        </w:rPr>
        <w:t xml:space="preserve"> P</w:t>
      </w:r>
      <w:r w:rsidR="00CE45ED" w:rsidRPr="00974377">
        <w:rPr>
          <w:rFonts w:asciiTheme="majorHAnsi" w:hAnsiTheme="majorHAnsi" w:cstheme="majorHAnsi"/>
          <w:sz w:val="22"/>
          <w:szCs w:val="22"/>
        </w:rPr>
        <w:t>hase 2 will finish on 31 December 2023 and</w:t>
      </w:r>
      <w:r w:rsidRPr="00974377">
        <w:rPr>
          <w:rFonts w:asciiTheme="majorHAnsi" w:hAnsiTheme="majorHAnsi" w:cstheme="majorHAnsi"/>
          <w:sz w:val="22"/>
          <w:szCs w:val="22"/>
        </w:rPr>
        <w:t xml:space="preserve"> t</w:t>
      </w:r>
      <w:r w:rsidR="00CE45ED" w:rsidRPr="00974377">
        <w:rPr>
          <w:rFonts w:asciiTheme="majorHAnsi" w:hAnsiTheme="majorHAnsi" w:cstheme="majorHAnsi"/>
          <w:sz w:val="22"/>
          <w:szCs w:val="22"/>
        </w:rPr>
        <w:t xml:space="preserve">he new implementation team </w:t>
      </w:r>
      <w:r w:rsidRPr="00974377">
        <w:rPr>
          <w:rFonts w:asciiTheme="majorHAnsi" w:hAnsiTheme="majorHAnsi" w:cstheme="majorHAnsi"/>
          <w:sz w:val="22"/>
          <w:szCs w:val="22"/>
        </w:rPr>
        <w:t xml:space="preserve">for Phase 3 </w:t>
      </w:r>
      <w:r w:rsidR="00CE45ED" w:rsidRPr="00974377">
        <w:rPr>
          <w:rFonts w:asciiTheme="majorHAnsi" w:hAnsiTheme="majorHAnsi" w:cstheme="majorHAnsi"/>
          <w:sz w:val="22"/>
          <w:szCs w:val="22"/>
        </w:rPr>
        <w:t>will be mobilised on 01 January 2024</w:t>
      </w:r>
      <w:r w:rsidR="00175DED" w:rsidRPr="00974377">
        <w:rPr>
          <w:rFonts w:asciiTheme="majorHAnsi" w:hAnsiTheme="majorHAnsi" w:cstheme="majorHAnsi"/>
          <w:sz w:val="22"/>
          <w:szCs w:val="22"/>
        </w:rPr>
        <w:t>,</w:t>
      </w:r>
      <w:r w:rsidR="00CE45ED" w:rsidRPr="00974377">
        <w:rPr>
          <w:rFonts w:asciiTheme="majorHAnsi" w:hAnsiTheme="majorHAnsi" w:cstheme="majorHAnsi"/>
          <w:sz w:val="22"/>
          <w:szCs w:val="22"/>
        </w:rPr>
        <w:t xml:space="preserve"> at the latest</w:t>
      </w:r>
      <w:r w:rsidRPr="00974377">
        <w:rPr>
          <w:rFonts w:asciiTheme="majorHAnsi" w:hAnsiTheme="majorHAnsi" w:cstheme="majorHAnsi"/>
          <w:sz w:val="22"/>
          <w:szCs w:val="22"/>
        </w:rPr>
        <w:t>. Once mobilised, the team</w:t>
      </w:r>
      <w:r w:rsidR="00CE45ED" w:rsidRPr="00974377">
        <w:rPr>
          <w:rFonts w:asciiTheme="majorHAnsi" w:hAnsiTheme="majorHAnsi" w:cstheme="majorHAnsi"/>
          <w:sz w:val="22"/>
          <w:szCs w:val="22"/>
        </w:rPr>
        <w:t xml:space="preserve"> will rapidly develop and submit an inception plan that</w:t>
      </w:r>
      <w:r w:rsidR="00545E36" w:rsidRPr="00974377">
        <w:rPr>
          <w:rFonts w:asciiTheme="majorHAnsi" w:hAnsiTheme="majorHAnsi" w:cstheme="majorHAnsi"/>
          <w:sz w:val="22"/>
          <w:szCs w:val="22"/>
        </w:rPr>
        <w:t xml:space="preserve"> covers </w:t>
      </w:r>
      <w:r w:rsidR="00175DED" w:rsidRPr="00974377">
        <w:rPr>
          <w:rFonts w:asciiTheme="majorHAnsi" w:hAnsiTheme="majorHAnsi" w:cstheme="majorHAnsi"/>
          <w:sz w:val="22"/>
          <w:szCs w:val="22"/>
        </w:rPr>
        <w:t xml:space="preserve">the period </w:t>
      </w:r>
      <w:r w:rsidR="00545E36" w:rsidRPr="00974377">
        <w:rPr>
          <w:rFonts w:asciiTheme="majorHAnsi" w:hAnsiTheme="majorHAnsi" w:cstheme="majorHAnsi"/>
          <w:sz w:val="22"/>
          <w:szCs w:val="22"/>
        </w:rPr>
        <w:t xml:space="preserve">01 January – 30 June 2024 </w:t>
      </w:r>
      <w:r w:rsidR="00CE45ED" w:rsidRPr="00974377">
        <w:rPr>
          <w:rFonts w:asciiTheme="majorHAnsi" w:hAnsiTheme="majorHAnsi" w:cstheme="majorHAnsi"/>
          <w:sz w:val="22"/>
          <w:szCs w:val="22"/>
        </w:rPr>
        <w:t>(</w:t>
      </w:r>
      <w:r w:rsidR="007F7020" w:rsidRPr="00974377">
        <w:rPr>
          <w:rFonts w:asciiTheme="majorHAnsi" w:hAnsiTheme="majorHAnsi" w:cstheme="majorHAnsi"/>
          <w:sz w:val="22"/>
          <w:szCs w:val="22"/>
        </w:rPr>
        <w:t>i.e.,</w:t>
      </w:r>
      <w:r w:rsidR="00CE45ED" w:rsidRPr="00974377">
        <w:rPr>
          <w:rFonts w:asciiTheme="majorHAnsi" w:hAnsiTheme="majorHAnsi" w:cstheme="majorHAnsi"/>
          <w:sz w:val="22"/>
          <w:szCs w:val="22"/>
        </w:rPr>
        <w:t xml:space="preserve"> the inception period</w:t>
      </w:r>
      <w:r w:rsidR="00545E36" w:rsidRPr="00974377">
        <w:rPr>
          <w:rFonts w:asciiTheme="majorHAnsi" w:hAnsiTheme="majorHAnsi" w:cstheme="majorHAnsi"/>
          <w:sz w:val="22"/>
          <w:szCs w:val="22"/>
        </w:rPr>
        <w:t>),</w:t>
      </w:r>
      <w:r w:rsidR="00CE45ED" w:rsidRPr="00974377">
        <w:rPr>
          <w:rFonts w:asciiTheme="majorHAnsi" w:hAnsiTheme="majorHAnsi" w:cstheme="majorHAnsi"/>
          <w:sz w:val="22"/>
          <w:szCs w:val="22"/>
        </w:rPr>
        <w:t xml:space="preserve"> and </w:t>
      </w:r>
      <w:r w:rsidR="00545E36" w:rsidRPr="00974377">
        <w:rPr>
          <w:rFonts w:asciiTheme="majorHAnsi" w:hAnsiTheme="majorHAnsi" w:cstheme="majorHAnsi"/>
          <w:sz w:val="22"/>
          <w:szCs w:val="22"/>
        </w:rPr>
        <w:t xml:space="preserve">will </w:t>
      </w:r>
      <w:r w:rsidR="00CE45ED" w:rsidRPr="00974377">
        <w:rPr>
          <w:rFonts w:asciiTheme="majorHAnsi" w:hAnsiTheme="majorHAnsi" w:cstheme="majorHAnsi"/>
          <w:sz w:val="22"/>
          <w:szCs w:val="22"/>
        </w:rPr>
        <w:t xml:space="preserve">ensure all administrative and operational processes are </w:t>
      </w:r>
      <w:r w:rsidRPr="00974377">
        <w:rPr>
          <w:rFonts w:asciiTheme="majorHAnsi" w:hAnsiTheme="majorHAnsi" w:cstheme="majorHAnsi"/>
          <w:sz w:val="22"/>
          <w:szCs w:val="22"/>
        </w:rPr>
        <w:t xml:space="preserve">promptly </w:t>
      </w:r>
      <w:r w:rsidR="00CE45ED" w:rsidRPr="00974377">
        <w:rPr>
          <w:rFonts w:asciiTheme="majorHAnsi" w:hAnsiTheme="majorHAnsi" w:cstheme="majorHAnsi"/>
          <w:sz w:val="22"/>
          <w:szCs w:val="22"/>
        </w:rPr>
        <w:t>put in place. Th</w:t>
      </w:r>
      <w:r w:rsidRPr="00974377">
        <w:rPr>
          <w:rFonts w:asciiTheme="majorHAnsi" w:hAnsiTheme="majorHAnsi" w:cstheme="majorHAnsi"/>
          <w:sz w:val="22"/>
          <w:szCs w:val="22"/>
        </w:rPr>
        <w:t>e</w:t>
      </w:r>
      <w:r w:rsidR="00CE45ED" w:rsidRPr="00974377">
        <w:rPr>
          <w:rFonts w:asciiTheme="majorHAnsi" w:hAnsiTheme="majorHAnsi" w:cstheme="majorHAnsi"/>
          <w:sz w:val="22"/>
          <w:szCs w:val="22"/>
        </w:rPr>
        <w:t xml:space="preserve"> Inception Plan will: </w:t>
      </w:r>
    </w:p>
    <w:p w14:paraId="6A4DD4CF" w14:textId="1A401FA7" w:rsidR="00CE45ED" w:rsidRPr="00974377" w:rsidRDefault="00CE45ED" w:rsidP="008D1844">
      <w:pPr>
        <w:pStyle w:val="ListParagraph"/>
        <w:numPr>
          <w:ilvl w:val="0"/>
          <w:numId w:val="15"/>
        </w:numPr>
        <w:tabs>
          <w:tab w:val="left" w:pos="284"/>
        </w:tabs>
        <w:spacing w:before="120" w:after="120" w:line="281" w:lineRule="auto"/>
        <w:textDirection w:val="btLr"/>
        <w:rPr>
          <w:rFonts w:asciiTheme="majorHAnsi" w:hAnsiTheme="majorHAnsi" w:cstheme="majorHAnsi"/>
          <w:sz w:val="22"/>
          <w:szCs w:val="22"/>
        </w:rPr>
      </w:pPr>
      <w:r w:rsidRPr="00974377">
        <w:rPr>
          <w:rFonts w:asciiTheme="majorHAnsi" w:hAnsiTheme="majorHAnsi" w:cstheme="majorHAnsi"/>
          <w:sz w:val="22"/>
          <w:szCs w:val="22"/>
        </w:rPr>
        <w:t>outline relevant planning process and reporting mechanisms</w:t>
      </w:r>
      <w:r w:rsidR="00221415">
        <w:rPr>
          <w:rFonts w:asciiTheme="majorHAnsi" w:hAnsiTheme="majorHAnsi" w:cstheme="majorHAnsi"/>
          <w:sz w:val="22"/>
          <w:szCs w:val="22"/>
        </w:rPr>
        <w:t>,</w:t>
      </w:r>
    </w:p>
    <w:p w14:paraId="46E9F339" w14:textId="273393E1" w:rsidR="00CE45ED" w:rsidRPr="00974377" w:rsidRDefault="00CE45ED" w:rsidP="008D1844">
      <w:pPr>
        <w:pStyle w:val="ListParagraph"/>
        <w:numPr>
          <w:ilvl w:val="0"/>
          <w:numId w:val="15"/>
        </w:numPr>
        <w:tabs>
          <w:tab w:val="left" w:pos="284"/>
        </w:tabs>
        <w:spacing w:before="120" w:after="120" w:line="281" w:lineRule="auto"/>
        <w:textDirection w:val="btLr"/>
        <w:rPr>
          <w:rFonts w:asciiTheme="majorHAnsi" w:hAnsiTheme="majorHAnsi" w:cstheme="majorHAnsi"/>
          <w:sz w:val="22"/>
          <w:szCs w:val="22"/>
        </w:rPr>
      </w:pPr>
      <w:r w:rsidRPr="00974377">
        <w:rPr>
          <w:rFonts w:asciiTheme="majorHAnsi" w:hAnsiTheme="majorHAnsi" w:cstheme="majorHAnsi"/>
          <w:sz w:val="22"/>
          <w:szCs w:val="22"/>
        </w:rPr>
        <w:t>detail the strategies and plans that will be produced during the first six months</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w:t>
      </w:r>
    </w:p>
    <w:p w14:paraId="1824AC5F" w14:textId="6BB041E9" w:rsidR="00CE45ED" w:rsidRPr="00974377" w:rsidRDefault="00CE45ED" w:rsidP="008D1844">
      <w:pPr>
        <w:pStyle w:val="ListParagraph"/>
        <w:numPr>
          <w:ilvl w:val="0"/>
          <w:numId w:val="15"/>
        </w:numPr>
        <w:tabs>
          <w:tab w:val="left" w:pos="284"/>
        </w:tabs>
        <w:spacing w:before="120" w:after="120" w:line="281" w:lineRule="auto"/>
        <w:textDirection w:val="btLr"/>
        <w:rPr>
          <w:rFonts w:asciiTheme="majorHAnsi" w:hAnsiTheme="majorHAnsi" w:cstheme="majorHAnsi"/>
          <w:sz w:val="22"/>
          <w:szCs w:val="22"/>
        </w:rPr>
      </w:pPr>
      <w:r w:rsidRPr="00974377">
        <w:rPr>
          <w:rFonts w:asciiTheme="majorHAnsi" w:hAnsiTheme="majorHAnsi" w:cstheme="majorHAnsi"/>
          <w:sz w:val="22"/>
          <w:szCs w:val="22"/>
        </w:rPr>
        <w:t>set out a detailed implementation schedule and budget for the first six months</w:t>
      </w:r>
      <w:r w:rsidR="00221415">
        <w:rPr>
          <w:rFonts w:asciiTheme="majorHAnsi" w:hAnsiTheme="majorHAnsi" w:cstheme="majorHAnsi"/>
          <w:sz w:val="22"/>
          <w:szCs w:val="22"/>
        </w:rPr>
        <w:t>,</w:t>
      </w:r>
    </w:p>
    <w:p w14:paraId="51F58A1C" w14:textId="42E8619B" w:rsidR="00CE45ED" w:rsidRPr="00974377" w:rsidRDefault="00CE45ED" w:rsidP="008D1844">
      <w:pPr>
        <w:pStyle w:val="ListParagraph"/>
        <w:numPr>
          <w:ilvl w:val="0"/>
          <w:numId w:val="15"/>
        </w:numPr>
        <w:tabs>
          <w:tab w:val="left" w:pos="284"/>
        </w:tabs>
        <w:spacing w:before="120" w:after="120" w:line="281" w:lineRule="auto"/>
        <w:textDirection w:val="btLr"/>
        <w:rPr>
          <w:rFonts w:asciiTheme="majorHAnsi" w:hAnsiTheme="majorHAnsi" w:cstheme="majorHAnsi"/>
          <w:sz w:val="22"/>
          <w:szCs w:val="22"/>
        </w:rPr>
      </w:pPr>
      <w:r w:rsidRPr="00974377">
        <w:rPr>
          <w:rFonts w:asciiTheme="majorHAnsi" w:hAnsiTheme="majorHAnsi" w:cstheme="majorHAnsi"/>
          <w:sz w:val="22"/>
          <w:szCs w:val="22"/>
        </w:rPr>
        <w:t>specify the organisational and staffing structure</w:t>
      </w:r>
      <w:r w:rsidR="00221415">
        <w:rPr>
          <w:rFonts w:asciiTheme="majorHAnsi" w:hAnsiTheme="majorHAnsi" w:cstheme="majorHAnsi"/>
          <w:sz w:val="22"/>
          <w:szCs w:val="22"/>
        </w:rPr>
        <w:t>,</w:t>
      </w:r>
    </w:p>
    <w:p w14:paraId="53C02698" w14:textId="49734DC3" w:rsidR="00CE45ED" w:rsidRPr="00974377" w:rsidRDefault="00CE45ED" w:rsidP="008D1844">
      <w:pPr>
        <w:pStyle w:val="ListParagraph"/>
        <w:numPr>
          <w:ilvl w:val="0"/>
          <w:numId w:val="15"/>
        </w:numPr>
        <w:tabs>
          <w:tab w:val="left" w:pos="284"/>
        </w:tabs>
        <w:spacing w:before="120" w:after="120" w:line="281" w:lineRule="auto"/>
        <w:textDirection w:val="btLr"/>
        <w:rPr>
          <w:rFonts w:asciiTheme="majorHAnsi" w:hAnsiTheme="majorHAnsi" w:cstheme="majorHAnsi"/>
          <w:sz w:val="22"/>
          <w:szCs w:val="22"/>
        </w:rPr>
      </w:pPr>
      <w:r w:rsidRPr="00974377">
        <w:rPr>
          <w:rFonts w:asciiTheme="majorHAnsi" w:hAnsiTheme="majorHAnsi" w:cstheme="majorHAnsi"/>
          <w:sz w:val="22"/>
          <w:szCs w:val="22"/>
        </w:rPr>
        <w:t>set out an on-going risk management plan</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and </w:t>
      </w:r>
    </w:p>
    <w:p w14:paraId="78B0AF6E" w14:textId="65287994" w:rsidR="00B94F3D" w:rsidRPr="00974377" w:rsidRDefault="00CE45ED" w:rsidP="008D1844">
      <w:pPr>
        <w:pStyle w:val="ListParagraph"/>
        <w:numPr>
          <w:ilvl w:val="0"/>
          <w:numId w:val="15"/>
        </w:numPr>
        <w:tabs>
          <w:tab w:val="left" w:pos="284"/>
        </w:tabs>
        <w:spacing w:before="120" w:after="120" w:line="281" w:lineRule="auto"/>
        <w:textDirection w:val="btLr"/>
        <w:rPr>
          <w:rFonts w:asciiTheme="majorHAnsi" w:hAnsiTheme="majorHAnsi" w:cstheme="majorHAnsi"/>
          <w:sz w:val="22"/>
          <w:szCs w:val="22"/>
        </w:rPr>
      </w:pPr>
      <w:r w:rsidRPr="00974377">
        <w:rPr>
          <w:rFonts w:asciiTheme="majorHAnsi" w:hAnsiTheme="majorHAnsi" w:cstheme="majorHAnsi"/>
          <w:sz w:val="22"/>
          <w:szCs w:val="22"/>
        </w:rPr>
        <w:t>establish routine communications, including the website and communication tools for internal and external stakeholders.</w:t>
      </w:r>
    </w:p>
    <w:p w14:paraId="37B2F10E" w14:textId="35701527" w:rsidR="00CE45ED" w:rsidRPr="00974377" w:rsidRDefault="00CE45ED" w:rsidP="004155AE">
      <w:pPr>
        <w:tabs>
          <w:tab w:val="left" w:pos="284"/>
        </w:tabs>
        <w:spacing w:before="120" w:after="120" w:line="281" w:lineRule="auto"/>
        <w:ind w:hanging="2"/>
        <w:rPr>
          <w:rFonts w:asciiTheme="majorHAnsi" w:hAnsiTheme="majorHAnsi" w:cstheme="majorHAnsi"/>
          <w:sz w:val="22"/>
          <w:szCs w:val="22"/>
        </w:rPr>
      </w:pPr>
      <w:r w:rsidRPr="00974377">
        <w:rPr>
          <w:rFonts w:asciiTheme="majorHAnsi" w:hAnsiTheme="majorHAnsi" w:cstheme="majorHAnsi"/>
          <w:sz w:val="22"/>
          <w:szCs w:val="22"/>
        </w:rPr>
        <w:t xml:space="preserve">Figure </w:t>
      </w:r>
      <w:r w:rsidR="00F23D72">
        <w:rPr>
          <w:rFonts w:asciiTheme="majorHAnsi" w:hAnsiTheme="majorHAnsi" w:cstheme="majorHAnsi"/>
          <w:sz w:val="22"/>
          <w:szCs w:val="22"/>
        </w:rPr>
        <w:t>9</w:t>
      </w:r>
      <w:r w:rsidR="00175DED" w:rsidRPr="00974377">
        <w:rPr>
          <w:rFonts w:asciiTheme="majorHAnsi" w:hAnsiTheme="majorHAnsi" w:cstheme="majorHAnsi"/>
          <w:sz w:val="22"/>
          <w:szCs w:val="22"/>
        </w:rPr>
        <w:t xml:space="preserve"> suggests a list of deliverables to be outlined in the Inception Plan and submitted during the inception period</w:t>
      </w:r>
      <w:r w:rsidRPr="00974377">
        <w:rPr>
          <w:rFonts w:asciiTheme="majorHAnsi" w:hAnsiTheme="majorHAnsi" w:cstheme="majorHAnsi"/>
          <w:sz w:val="22"/>
          <w:szCs w:val="22"/>
        </w:rPr>
        <w:t xml:space="preserve">, noting that </w:t>
      </w:r>
      <w:r w:rsidR="00B75BB1" w:rsidRPr="00974377">
        <w:rPr>
          <w:rFonts w:asciiTheme="majorHAnsi" w:hAnsiTheme="majorHAnsi" w:cstheme="majorHAnsi"/>
          <w:sz w:val="22"/>
          <w:szCs w:val="22"/>
        </w:rPr>
        <w:t>previous version</w:t>
      </w:r>
      <w:r w:rsidR="00175DED" w:rsidRPr="00974377">
        <w:rPr>
          <w:rFonts w:asciiTheme="majorHAnsi" w:hAnsiTheme="majorHAnsi" w:cstheme="majorHAnsi"/>
          <w:sz w:val="22"/>
          <w:szCs w:val="22"/>
        </w:rPr>
        <w:t>s</w:t>
      </w:r>
      <w:r w:rsidRPr="00974377">
        <w:rPr>
          <w:rFonts w:asciiTheme="majorHAnsi" w:hAnsiTheme="majorHAnsi" w:cstheme="majorHAnsi"/>
          <w:sz w:val="22"/>
          <w:szCs w:val="22"/>
        </w:rPr>
        <w:t xml:space="preserve"> already exist </w:t>
      </w:r>
      <w:r w:rsidR="00175DED" w:rsidRPr="00974377">
        <w:rPr>
          <w:rFonts w:asciiTheme="majorHAnsi" w:hAnsiTheme="majorHAnsi" w:cstheme="majorHAnsi"/>
          <w:sz w:val="22"/>
          <w:szCs w:val="22"/>
        </w:rPr>
        <w:t xml:space="preserve">for </w:t>
      </w:r>
      <w:r w:rsidR="00C646E7">
        <w:rPr>
          <w:rFonts w:asciiTheme="majorHAnsi" w:hAnsiTheme="majorHAnsi" w:cstheme="majorHAnsi"/>
          <w:sz w:val="22"/>
          <w:szCs w:val="22"/>
        </w:rPr>
        <w:t>some</w:t>
      </w:r>
      <w:r w:rsidRPr="00974377">
        <w:rPr>
          <w:rFonts w:asciiTheme="majorHAnsi" w:hAnsiTheme="majorHAnsi" w:cstheme="majorHAnsi"/>
          <w:sz w:val="22"/>
          <w:szCs w:val="22"/>
        </w:rPr>
        <w:t xml:space="preserve"> and </w:t>
      </w:r>
      <w:r w:rsidR="00B75BB1" w:rsidRPr="00974377">
        <w:rPr>
          <w:rFonts w:asciiTheme="majorHAnsi" w:hAnsiTheme="majorHAnsi" w:cstheme="majorHAnsi"/>
          <w:sz w:val="22"/>
          <w:szCs w:val="22"/>
        </w:rPr>
        <w:t>should</w:t>
      </w:r>
      <w:r w:rsidRPr="00974377">
        <w:rPr>
          <w:rFonts w:asciiTheme="majorHAnsi" w:hAnsiTheme="majorHAnsi" w:cstheme="majorHAnsi"/>
          <w:sz w:val="22"/>
          <w:szCs w:val="22"/>
        </w:rPr>
        <w:t xml:space="preserve"> </w:t>
      </w:r>
      <w:r w:rsidR="00175DED" w:rsidRPr="00974377">
        <w:rPr>
          <w:rFonts w:asciiTheme="majorHAnsi" w:hAnsiTheme="majorHAnsi" w:cstheme="majorHAnsi"/>
          <w:sz w:val="22"/>
          <w:szCs w:val="22"/>
        </w:rPr>
        <w:t xml:space="preserve">be taken into </w:t>
      </w:r>
      <w:r w:rsidR="00C646E7">
        <w:rPr>
          <w:rFonts w:asciiTheme="majorHAnsi" w:hAnsiTheme="majorHAnsi" w:cstheme="majorHAnsi"/>
          <w:sz w:val="22"/>
          <w:szCs w:val="22"/>
        </w:rPr>
        <w:t>consideration</w:t>
      </w:r>
      <w:r w:rsidRPr="00974377">
        <w:rPr>
          <w:rFonts w:asciiTheme="majorHAnsi" w:hAnsiTheme="majorHAnsi" w:cstheme="majorHAnsi"/>
          <w:sz w:val="22"/>
          <w:szCs w:val="22"/>
        </w:rPr>
        <w:t>.</w:t>
      </w:r>
    </w:p>
    <w:p w14:paraId="763D98D6" w14:textId="77777777" w:rsidR="00115DBA" w:rsidRDefault="00115DBA" w:rsidP="00D021CF">
      <w:pPr>
        <w:spacing w:after="120" w:line="440" w:lineRule="atLeast"/>
        <w:jc w:val="center"/>
        <w:rPr>
          <w:rFonts w:asciiTheme="majorHAnsi" w:hAnsiTheme="majorHAnsi"/>
          <w:b/>
          <w:bCs/>
          <w:sz w:val="22"/>
          <w:szCs w:val="22"/>
        </w:rPr>
      </w:pPr>
    </w:p>
    <w:p w14:paraId="2013AD24" w14:textId="77777777" w:rsidR="00115DBA" w:rsidRDefault="00115DBA" w:rsidP="00D021CF">
      <w:pPr>
        <w:spacing w:after="120" w:line="440" w:lineRule="atLeast"/>
        <w:jc w:val="center"/>
        <w:rPr>
          <w:rFonts w:asciiTheme="majorHAnsi" w:hAnsiTheme="majorHAnsi"/>
          <w:b/>
          <w:bCs/>
          <w:sz w:val="22"/>
          <w:szCs w:val="22"/>
        </w:rPr>
      </w:pPr>
    </w:p>
    <w:p w14:paraId="41C04708" w14:textId="6E5DD079" w:rsidR="00102F6E" w:rsidRPr="00CB7518" w:rsidRDefault="00102F6E" w:rsidP="00D021CF">
      <w:pPr>
        <w:spacing w:after="120" w:line="440" w:lineRule="atLeast"/>
        <w:jc w:val="center"/>
        <w:rPr>
          <w:rFonts w:asciiTheme="majorHAnsi" w:hAnsiTheme="majorHAnsi"/>
          <w:b/>
          <w:bCs/>
          <w:iCs/>
          <w:sz w:val="22"/>
          <w:szCs w:val="22"/>
        </w:rPr>
      </w:pPr>
      <w:r w:rsidRPr="00CB7518">
        <w:rPr>
          <w:rFonts w:asciiTheme="majorHAnsi" w:hAnsiTheme="majorHAnsi"/>
          <w:b/>
          <w:bCs/>
          <w:sz w:val="22"/>
          <w:szCs w:val="22"/>
        </w:rPr>
        <w:lastRenderedPageBreak/>
        <w:t xml:space="preserve">Figure </w:t>
      </w:r>
      <w:r w:rsidR="00F23D72" w:rsidRPr="00CB7518">
        <w:rPr>
          <w:rFonts w:asciiTheme="majorHAnsi" w:hAnsiTheme="majorHAnsi"/>
          <w:b/>
          <w:bCs/>
          <w:sz w:val="22"/>
          <w:szCs w:val="22"/>
        </w:rPr>
        <w:t>9</w:t>
      </w:r>
      <w:r w:rsidR="00B94F3D" w:rsidRPr="00CB7518">
        <w:rPr>
          <w:rFonts w:asciiTheme="majorHAnsi" w:hAnsiTheme="majorHAnsi"/>
          <w:b/>
          <w:bCs/>
          <w:sz w:val="22"/>
          <w:szCs w:val="22"/>
        </w:rPr>
        <w:t xml:space="preserve"> - </w:t>
      </w:r>
      <w:r w:rsidRPr="00CB7518">
        <w:rPr>
          <w:rFonts w:asciiTheme="majorHAnsi" w:hAnsiTheme="majorHAnsi"/>
          <w:b/>
          <w:bCs/>
          <w:sz w:val="22"/>
          <w:szCs w:val="22"/>
        </w:rPr>
        <w:t>Suggested deliverables for the inception period</w:t>
      </w:r>
      <w:r w:rsidR="00B75BB1" w:rsidRPr="00CB7518">
        <w:rPr>
          <w:rFonts w:asciiTheme="majorHAnsi" w:hAnsiTheme="majorHAnsi"/>
          <w:b/>
          <w:bCs/>
          <w:sz w:val="22"/>
          <w:szCs w:val="22"/>
        </w:rPr>
        <w:t xml:space="preserve"> (</w:t>
      </w:r>
      <w:r w:rsidR="00B75BB1" w:rsidRPr="00CB7518">
        <w:rPr>
          <w:rFonts w:asciiTheme="majorHAnsi" w:hAnsiTheme="majorHAnsi" w:cstheme="majorHAnsi"/>
          <w:b/>
          <w:bCs/>
          <w:sz w:val="22"/>
          <w:szCs w:val="22"/>
        </w:rPr>
        <w:t>01 January – 30 June 2024)</w:t>
      </w:r>
    </w:p>
    <w:tbl>
      <w:tblPr>
        <w:tblStyle w:val="GridTable5Dark-Accent1"/>
        <w:tblW w:w="5000" w:type="pct"/>
        <w:tblLook w:val="0020" w:firstRow="1" w:lastRow="0" w:firstColumn="0" w:lastColumn="0" w:noHBand="0" w:noVBand="0"/>
      </w:tblPr>
      <w:tblGrid>
        <w:gridCol w:w="1839"/>
        <w:gridCol w:w="6206"/>
        <w:gridCol w:w="1583"/>
      </w:tblGrid>
      <w:tr w:rsidR="00102F6E" w:rsidRPr="008C1DC6" w14:paraId="5E7E7A01" w14:textId="77777777" w:rsidTr="008C1DC6">
        <w:trPr>
          <w:cnfStyle w:val="100000000000" w:firstRow="1" w:lastRow="0" w:firstColumn="0" w:lastColumn="0" w:oddVBand="0" w:evenVBand="0" w:oddHBand="0" w:evenHBand="0" w:firstRowFirstColumn="0" w:firstRowLastColumn="0" w:lastRowFirstColumn="0" w:lastRowLastColumn="0"/>
          <w:trHeight w:val="491"/>
          <w:tblHeader/>
        </w:trPr>
        <w:tc>
          <w:tcPr>
            <w:cnfStyle w:val="000010000000" w:firstRow="0" w:lastRow="0" w:firstColumn="0" w:lastColumn="0" w:oddVBand="1" w:evenVBand="0" w:oddHBand="0" w:evenHBand="0" w:firstRowFirstColumn="0" w:firstRowLastColumn="0" w:lastRowFirstColumn="0" w:lastRowLastColumn="0"/>
            <w:tcW w:w="955" w:type="pct"/>
            <w:tcBorders>
              <w:top w:val="single" w:sz="4" w:space="0" w:color="auto"/>
              <w:left w:val="single" w:sz="4" w:space="0" w:color="auto"/>
              <w:bottom w:val="single" w:sz="4" w:space="0" w:color="auto"/>
              <w:right w:val="single" w:sz="4" w:space="0" w:color="auto"/>
            </w:tcBorders>
            <w:shd w:val="clear" w:color="auto" w:fill="296C60" w:themeFill="accent1" w:themeFillShade="80"/>
          </w:tcPr>
          <w:p w14:paraId="21A9D3FA" w14:textId="77777777" w:rsidR="00102F6E" w:rsidRPr="008C1DC6" w:rsidRDefault="00102F6E" w:rsidP="000F42BF">
            <w:pPr>
              <w:pStyle w:val="TableHeaderRow"/>
              <w:framePr w:hSpace="0" w:wrap="auto" w:vAnchor="margin" w:hAnchor="text" w:yAlign="inline"/>
              <w:spacing w:after="60"/>
              <w:jc w:val="center"/>
              <w:rPr>
                <w:rFonts w:asciiTheme="minorHAnsi" w:hAnsiTheme="minorHAnsi" w:cstheme="minorHAnsi"/>
                <w:b/>
                <w:bCs w:val="0"/>
                <w:sz w:val="22"/>
                <w:szCs w:val="20"/>
              </w:rPr>
            </w:pPr>
            <w:bookmarkStart w:id="37" w:name="Title_Deliverables"/>
            <w:r w:rsidRPr="008C1DC6">
              <w:rPr>
                <w:rFonts w:asciiTheme="minorHAnsi" w:hAnsiTheme="minorHAnsi" w:cstheme="minorHAnsi"/>
                <w:b/>
                <w:bCs w:val="0"/>
                <w:sz w:val="22"/>
                <w:szCs w:val="20"/>
              </w:rPr>
              <w:t>Deliverables</w:t>
            </w:r>
            <w:bookmarkEnd w:id="37"/>
          </w:p>
        </w:tc>
        <w:tc>
          <w:tcPr>
            <w:tcW w:w="3223" w:type="pct"/>
            <w:tcBorders>
              <w:top w:val="single" w:sz="4" w:space="0" w:color="auto"/>
              <w:left w:val="single" w:sz="4" w:space="0" w:color="auto"/>
              <w:bottom w:val="single" w:sz="4" w:space="0" w:color="auto"/>
              <w:right w:val="single" w:sz="4" w:space="0" w:color="auto"/>
            </w:tcBorders>
            <w:shd w:val="clear" w:color="auto" w:fill="296C60" w:themeFill="accent1" w:themeFillShade="80"/>
          </w:tcPr>
          <w:p w14:paraId="0B35E00F" w14:textId="77777777" w:rsidR="00102F6E" w:rsidRPr="008C1DC6" w:rsidRDefault="00102F6E" w:rsidP="000F42BF">
            <w:pPr>
              <w:pStyle w:val="TableHeaderRow"/>
              <w:framePr w:hSpace="0" w:wrap="auto" w:vAnchor="margin" w:hAnchor="text" w:yAlign="inline"/>
              <w:spacing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2"/>
                <w:szCs w:val="20"/>
              </w:rPr>
            </w:pPr>
            <w:bookmarkStart w:id="38" w:name="ColumnTitle_Description"/>
            <w:r w:rsidRPr="008C1DC6">
              <w:rPr>
                <w:rFonts w:asciiTheme="minorHAnsi" w:hAnsiTheme="minorHAnsi" w:cstheme="minorHAnsi"/>
                <w:b/>
                <w:bCs w:val="0"/>
                <w:sz w:val="22"/>
                <w:szCs w:val="20"/>
              </w:rPr>
              <w:t>Description</w:t>
            </w:r>
            <w:bookmarkEnd w:id="38"/>
          </w:p>
        </w:tc>
        <w:tc>
          <w:tcPr>
            <w:cnfStyle w:val="000010000000" w:firstRow="0" w:lastRow="0" w:firstColumn="0" w:lastColumn="0" w:oddVBand="1" w:evenVBand="0" w:oddHBand="0" w:evenHBand="0" w:firstRowFirstColumn="0" w:firstRowLastColumn="0" w:lastRowFirstColumn="0" w:lastRowLastColumn="0"/>
            <w:tcW w:w="822" w:type="pct"/>
            <w:tcBorders>
              <w:top w:val="single" w:sz="4" w:space="0" w:color="auto"/>
              <w:left w:val="single" w:sz="4" w:space="0" w:color="auto"/>
              <w:bottom w:val="single" w:sz="4" w:space="0" w:color="auto"/>
              <w:right w:val="single" w:sz="4" w:space="0" w:color="auto"/>
            </w:tcBorders>
            <w:shd w:val="clear" w:color="auto" w:fill="296C60" w:themeFill="accent1" w:themeFillShade="80"/>
          </w:tcPr>
          <w:p w14:paraId="2CE168CE" w14:textId="77777777" w:rsidR="00102F6E" w:rsidRPr="008C1DC6" w:rsidRDefault="00102F6E" w:rsidP="000F42BF">
            <w:pPr>
              <w:pStyle w:val="TableHeaderRow"/>
              <w:framePr w:hSpace="0" w:wrap="auto" w:vAnchor="margin" w:hAnchor="text" w:yAlign="inline"/>
              <w:spacing w:after="60"/>
              <w:jc w:val="center"/>
              <w:rPr>
                <w:rFonts w:asciiTheme="minorHAnsi" w:hAnsiTheme="minorHAnsi" w:cstheme="minorHAnsi"/>
                <w:b/>
                <w:bCs w:val="0"/>
                <w:sz w:val="22"/>
                <w:szCs w:val="20"/>
              </w:rPr>
            </w:pPr>
            <w:bookmarkStart w:id="39" w:name="ColumnTitle_TimingSubmission"/>
            <w:r w:rsidRPr="008C1DC6">
              <w:rPr>
                <w:rFonts w:asciiTheme="minorHAnsi" w:hAnsiTheme="minorHAnsi" w:cstheme="minorHAnsi"/>
                <w:b/>
                <w:bCs w:val="0"/>
                <w:sz w:val="22"/>
                <w:szCs w:val="20"/>
              </w:rPr>
              <w:t>Timing of submission</w:t>
            </w:r>
            <w:bookmarkEnd w:id="39"/>
          </w:p>
        </w:tc>
      </w:tr>
      <w:tr w:rsidR="00102F6E" w:rsidRPr="00F23D72" w14:paraId="0196172D" w14:textId="77777777" w:rsidTr="00B849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5" w:type="pct"/>
            <w:tcBorders>
              <w:top w:val="single" w:sz="4" w:space="0" w:color="auto"/>
              <w:left w:val="single" w:sz="4" w:space="0" w:color="auto"/>
              <w:bottom w:val="single" w:sz="4" w:space="0" w:color="auto"/>
              <w:right w:val="single" w:sz="4" w:space="0" w:color="auto"/>
            </w:tcBorders>
            <w:shd w:val="clear" w:color="auto" w:fill="296C60" w:themeFill="accent1" w:themeFillShade="80"/>
          </w:tcPr>
          <w:p w14:paraId="351B6A08" w14:textId="77777777" w:rsidR="00102F6E" w:rsidRPr="00D021CF" w:rsidRDefault="00102F6E" w:rsidP="000F42BF">
            <w:pPr>
              <w:pStyle w:val="TableText"/>
              <w:framePr w:hSpace="0" w:wrap="auto" w:vAnchor="margin" w:hAnchor="text" w:yAlign="inline"/>
              <w:spacing w:after="60"/>
              <w:rPr>
                <w:rFonts w:asciiTheme="minorHAnsi" w:hAnsiTheme="minorHAnsi" w:cstheme="minorHAnsi"/>
                <w:b/>
                <w:bCs/>
                <w:color w:val="FFFFFF" w:themeColor="background1"/>
                <w:sz w:val="22"/>
                <w:szCs w:val="20"/>
              </w:rPr>
            </w:pPr>
            <w:r w:rsidRPr="00D021CF">
              <w:rPr>
                <w:rFonts w:asciiTheme="minorHAnsi" w:hAnsiTheme="minorHAnsi" w:cstheme="minorHAnsi"/>
                <w:b/>
                <w:bCs/>
                <w:color w:val="FFFFFF" w:themeColor="background1"/>
                <w:sz w:val="22"/>
                <w:szCs w:val="20"/>
              </w:rPr>
              <w:t>Inception Plan</w:t>
            </w:r>
          </w:p>
        </w:tc>
        <w:tc>
          <w:tcPr>
            <w:tcW w:w="3223" w:type="pct"/>
            <w:tcBorders>
              <w:top w:val="single" w:sz="4" w:space="0" w:color="auto"/>
              <w:left w:val="single" w:sz="4" w:space="0" w:color="auto"/>
              <w:bottom w:val="single" w:sz="4" w:space="0" w:color="auto"/>
              <w:right w:val="single" w:sz="4" w:space="0" w:color="auto"/>
            </w:tcBorders>
          </w:tcPr>
          <w:p w14:paraId="77BF7D6F" w14:textId="6663BEE8" w:rsidR="00102F6E" w:rsidRPr="00F23D72" w:rsidRDefault="00102F6E" w:rsidP="000F42BF">
            <w:pPr>
              <w:pStyle w:val="TableText"/>
              <w:framePr w:hSpace="0" w:wrap="auto" w:vAnchor="margin" w:hAnchor="text" w:yAlign="inline"/>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0"/>
              </w:rPr>
            </w:pPr>
            <w:r w:rsidRPr="00F23D72">
              <w:rPr>
                <w:rFonts w:asciiTheme="minorHAnsi" w:hAnsiTheme="minorHAnsi" w:cstheme="minorHAnsi"/>
                <w:sz w:val="22"/>
                <w:szCs w:val="20"/>
              </w:rPr>
              <w:t xml:space="preserve">Covers all </w:t>
            </w:r>
            <w:r w:rsidR="00175DED" w:rsidRPr="00F23D72">
              <w:rPr>
                <w:rFonts w:asciiTheme="minorHAnsi" w:hAnsiTheme="minorHAnsi" w:cstheme="minorHAnsi"/>
                <w:sz w:val="22"/>
                <w:szCs w:val="20"/>
              </w:rPr>
              <w:t>INOVASI</w:t>
            </w:r>
            <w:r w:rsidRPr="00F23D72">
              <w:rPr>
                <w:rFonts w:asciiTheme="minorHAnsi" w:hAnsiTheme="minorHAnsi" w:cstheme="minorHAnsi"/>
                <w:sz w:val="22"/>
                <w:szCs w:val="20"/>
              </w:rPr>
              <w:t xml:space="preserve"> activities for the first six months, including strategic planning process and reporting mechanism</w:t>
            </w:r>
            <w:r w:rsidR="00221415">
              <w:rPr>
                <w:rFonts w:asciiTheme="minorHAnsi" w:hAnsiTheme="minorHAnsi" w:cstheme="minorHAnsi"/>
                <w:sz w:val="22"/>
                <w:szCs w:val="20"/>
              </w:rPr>
              <w:t>,</w:t>
            </w:r>
            <w:r w:rsidRPr="00F23D72">
              <w:rPr>
                <w:rFonts w:asciiTheme="minorHAnsi" w:hAnsiTheme="minorHAnsi" w:cstheme="minorHAnsi"/>
                <w:sz w:val="22"/>
                <w:szCs w:val="20"/>
              </w:rPr>
              <w:t xml:space="preserve"> implementation schedule and budget</w:t>
            </w:r>
            <w:r w:rsidR="00221415">
              <w:rPr>
                <w:rFonts w:asciiTheme="minorHAnsi" w:hAnsiTheme="minorHAnsi" w:cstheme="minorHAnsi"/>
                <w:sz w:val="22"/>
                <w:szCs w:val="20"/>
              </w:rPr>
              <w:t>,</w:t>
            </w:r>
            <w:r w:rsidRPr="00F23D72">
              <w:rPr>
                <w:rFonts w:asciiTheme="minorHAnsi" w:hAnsiTheme="minorHAnsi" w:cstheme="minorHAnsi"/>
                <w:sz w:val="22"/>
                <w:szCs w:val="20"/>
              </w:rPr>
              <w:t xml:space="preserve"> organisational and staffing structure</w:t>
            </w:r>
            <w:r w:rsidR="00221415">
              <w:rPr>
                <w:rFonts w:asciiTheme="minorHAnsi" w:hAnsiTheme="minorHAnsi" w:cstheme="minorHAnsi"/>
                <w:sz w:val="22"/>
                <w:szCs w:val="20"/>
              </w:rPr>
              <w:t>,</w:t>
            </w:r>
            <w:r w:rsidRPr="00F23D72">
              <w:rPr>
                <w:rFonts w:asciiTheme="minorHAnsi" w:hAnsiTheme="minorHAnsi" w:cstheme="minorHAnsi"/>
                <w:sz w:val="22"/>
                <w:szCs w:val="20"/>
              </w:rPr>
              <w:t xml:space="preserve"> and communications processes.</w:t>
            </w:r>
          </w:p>
        </w:tc>
        <w:tc>
          <w:tcPr>
            <w:cnfStyle w:val="000010000000" w:firstRow="0" w:lastRow="0" w:firstColumn="0" w:lastColumn="0" w:oddVBand="1" w:evenVBand="0" w:oddHBand="0" w:evenHBand="0" w:firstRowFirstColumn="0" w:firstRowLastColumn="0" w:lastRowFirstColumn="0" w:lastRowLastColumn="0"/>
            <w:tcW w:w="822" w:type="pct"/>
            <w:tcBorders>
              <w:top w:val="single" w:sz="4" w:space="0" w:color="auto"/>
              <w:left w:val="single" w:sz="4" w:space="0" w:color="auto"/>
              <w:bottom w:val="single" w:sz="4" w:space="0" w:color="auto"/>
              <w:right w:val="single" w:sz="4" w:space="0" w:color="auto"/>
            </w:tcBorders>
          </w:tcPr>
          <w:p w14:paraId="083C04F0" w14:textId="77777777" w:rsidR="00102F6E" w:rsidRPr="00F23D72" w:rsidRDefault="00102F6E" w:rsidP="000F42BF">
            <w:pPr>
              <w:pStyle w:val="TableText"/>
              <w:framePr w:hSpace="0" w:wrap="auto" w:vAnchor="margin" w:hAnchor="text" w:yAlign="inline"/>
              <w:spacing w:after="60"/>
              <w:rPr>
                <w:rFonts w:asciiTheme="minorHAnsi" w:hAnsiTheme="minorHAnsi" w:cstheme="minorHAnsi"/>
                <w:sz w:val="22"/>
                <w:szCs w:val="20"/>
              </w:rPr>
            </w:pPr>
            <w:r w:rsidRPr="00F23D72">
              <w:rPr>
                <w:rFonts w:asciiTheme="minorHAnsi" w:hAnsiTheme="minorHAnsi" w:cstheme="minorHAnsi"/>
                <w:sz w:val="22"/>
                <w:szCs w:val="20"/>
              </w:rPr>
              <w:t>Within one month of mobilisation</w:t>
            </w:r>
          </w:p>
        </w:tc>
      </w:tr>
      <w:tr w:rsidR="00102F6E" w:rsidRPr="00F23D72" w14:paraId="5763288A" w14:textId="77777777" w:rsidTr="00B84969">
        <w:tc>
          <w:tcPr>
            <w:cnfStyle w:val="000010000000" w:firstRow="0" w:lastRow="0" w:firstColumn="0" w:lastColumn="0" w:oddVBand="1" w:evenVBand="0" w:oddHBand="0" w:evenHBand="0" w:firstRowFirstColumn="0" w:firstRowLastColumn="0" w:lastRowFirstColumn="0" w:lastRowLastColumn="0"/>
            <w:tcW w:w="955" w:type="pct"/>
            <w:tcBorders>
              <w:top w:val="single" w:sz="4" w:space="0" w:color="auto"/>
              <w:left w:val="single" w:sz="4" w:space="0" w:color="auto"/>
              <w:bottom w:val="single" w:sz="4" w:space="0" w:color="auto"/>
              <w:right w:val="single" w:sz="4" w:space="0" w:color="auto"/>
            </w:tcBorders>
            <w:shd w:val="clear" w:color="auto" w:fill="296C60" w:themeFill="accent1" w:themeFillShade="80"/>
          </w:tcPr>
          <w:p w14:paraId="7603BE5C" w14:textId="77777777" w:rsidR="00102F6E" w:rsidRPr="00D021CF" w:rsidRDefault="00102F6E" w:rsidP="000F42BF">
            <w:pPr>
              <w:pStyle w:val="TableText"/>
              <w:framePr w:hSpace="0" w:wrap="auto" w:vAnchor="margin" w:hAnchor="text" w:yAlign="inline"/>
              <w:spacing w:after="60"/>
              <w:rPr>
                <w:rFonts w:asciiTheme="minorHAnsi" w:hAnsiTheme="minorHAnsi" w:cstheme="minorHAnsi"/>
                <w:b/>
                <w:bCs/>
                <w:color w:val="FFFFFF" w:themeColor="background1"/>
                <w:sz w:val="22"/>
                <w:szCs w:val="20"/>
              </w:rPr>
            </w:pPr>
            <w:bookmarkStart w:id="40" w:name="RowTitle_OpsManual" w:colFirst="0" w:colLast="0"/>
            <w:r w:rsidRPr="00D021CF">
              <w:rPr>
                <w:rFonts w:asciiTheme="minorHAnsi" w:hAnsiTheme="minorHAnsi" w:cstheme="minorHAnsi"/>
                <w:b/>
                <w:bCs/>
                <w:color w:val="FFFFFF" w:themeColor="background1"/>
                <w:sz w:val="22"/>
                <w:szCs w:val="20"/>
              </w:rPr>
              <w:t>Operations Manual</w:t>
            </w:r>
          </w:p>
        </w:tc>
        <w:tc>
          <w:tcPr>
            <w:tcW w:w="3223" w:type="pct"/>
            <w:tcBorders>
              <w:top w:val="single" w:sz="4" w:space="0" w:color="auto"/>
              <w:left w:val="single" w:sz="4" w:space="0" w:color="auto"/>
              <w:bottom w:val="single" w:sz="4" w:space="0" w:color="auto"/>
              <w:right w:val="single" w:sz="4" w:space="0" w:color="auto"/>
            </w:tcBorders>
          </w:tcPr>
          <w:p w14:paraId="08AAC54A" w14:textId="5EB79817" w:rsidR="00102F6E" w:rsidRPr="00F23D72" w:rsidRDefault="00102F6E" w:rsidP="000F42BF">
            <w:pPr>
              <w:pStyle w:val="TableText"/>
              <w:framePr w:hSpace="0" w:wrap="auto" w:vAnchor="margin" w:hAnchor="text" w:yAlign="inline"/>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0"/>
              </w:rPr>
            </w:pPr>
            <w:r w:rsidRPr="00F23D72">
              <w:rPr>
                <w:rFonts w:asciiTheme="minorHAnsi" w:hAnsiTheme="minorHAnsi" w:cstheme="minorHAnsi"/>
                <w:sz w:val="22"/>
                <w:szCs w:val="20"/>
              </w:rPr>
              <w:t xml:space="preserve">Includes program standards and processes to fulfil the contractor’s roles and responsibilities and be consistent with the obligations that Post </w:t>
            </w:r>
            <w:proofErr w:type="gramStart"/>
            <w:r w:rsidRPr="00F23D72">
              <w:rPr>
                <w:rFonts w:asciiTheme="minorHAnsi" w:hAnsiTheme="minorHAnsi" w:cstheme="minorHAnsi"/>
                <w:sz w:val="22"/>
                <w:szCs w:val="20"/>
              </w:rPr>
              <w:t>has to</w:t>
            </w:r>
            <w:proofErr w:type="gramEnd"/>
            <w:r w:rsidRPr="00F23D72">
              <w:rPr>
                <w:rFonts w:asciiTheme="minorHAnsi" w:hAnsiTheme="minorHAnsi" w:cstheme="minorHAnsi"/>
                <w:sz w:val="22"/>
                <w:szCs w:val="20"/>
              </w:rPr>
              <w:t xml:space="preserve"> protect the Commonwealth’s interest. These will cover the following programmatic functions: financial management</w:t>
            </w:r>
            <w:r w:rsidR="00221415">
              <w:rPr>
                <w:rFonts w:asciiTheme="minorHAnsi" w:hAnsiTheme="minorHAnsi" w:cstheme="minorHAnsi"/>
                <w:sz w:val="22"/>
                <w:szCs w:val="20"/>
              </w:rPr>
              <w:t>,</w:t>
            </w:r>
            <w:r w:rsidRPr="00F23D72">
              <w:rPr>
                <w:rFonts w:asciiTheme="minorHAnsi" w:hAnsiTheme="minorHAnsi" w:cstheme="minorHAnsi"/>
                <w:sz w:val="22"/>
                <w:szCs w:val="20"/>
              </w:rPr>
              <w:t xml:space="preserve"> HR management</w:t>
            </w:r>
            <w:r w:rsidR="00221415">
              <w:rPr>
                <w:rFonts w:asciiTheme="minorHAnsi" w:hAnsiTheme="minorHAnsi" w:cstheme="minorHAnsi"/>
                <w:sz w:val="22"/>
                <w:szCs w:val="20"/>
              </w:rPr>
              <w:t>,</w:t>
            </w:r>
            <w:r w:rsidRPr="00F23D72">
              <w:rPr>
                <w:rFonts w:asciiTheme="minorHAnsi" w:hAnsiTheme="minorHAnsi" w:cstheme="minorHAnsi"/>
                <w:sz w:val="22"/>
                <w:szCs w:val="20"/>
              </w:rPr>
              <w:t xml:space="preserve"> IT and data management</w:t>
            </w:r>
            <w:r w:rsidR="00221415">
              <w:rPr>
                <w:rFonts w:asciiTheme="minorHAnsi" w:hAnsiTheme="minorHAnsi" w:cstheme="minorHAnsi"/>
                <w:sz w:val="22"/>
                <w:szCs w:val="20"/>
              </w:rPr>
              <w:t>,</w:t>
            </w:r>
            <w:r w:rsidRPr="00F23D72">
              <w:rPr>
                <w:rFonts w:asciiTheme="minorHAnsi" w:hAnsiTheme="minorHAnsi" w:cstheme="minorHAnsi"/>
                <w:sz w:val="22"/>
                <w:szCs w:val="20"/>
              </w:rPr>
              <w:t xml:space="preserve"> communication protocols</w:t>
            </w:r>
            <w:r w:rsidR="00221415">
              <w:rPr>
                <w:rFonts w:asciiTheme="minorHAnsi" w:hAnsiTheme="minorHAnsi" w:cstheme="minorHAnsi"/>
                <w:sz w:val="22"/>
                <w:szCs w:val="20"/>
              </w:rPr>
              <w:t>,</w:t>
            </w:r>
            <w:r w:rsidRPr="00F23D72">
              <w:rPr>
                <w:rFonts w:asciiTheme="minorHAnsi" w:hAnsiTheme="minorHAnsi" w:cstheme="minorHAnsi"/>
                <w:sz w:val="22"/>
                <w:szCs w:val="20"/>
              </w:rPr>
              <w:t xml:space="preserve"> fraud prevention and reporting</w:t>
            </w:r>
            <w:r w:rsidR="00221415">
              <w:rPr>
                <w:rFonts w:asciiTheme="minorHAnsi" w:hAnsiTheme="minorHAnsi" w:cstheme="minorHAnsi"/>
                <w:sz w:val="22"/>
                <w:szCs w:val="20"/>
              </w:rPr>
              <w:t>,</w:t>
            </w:r>
            <w:r w:rsidRPr="00F23D72">
              <w:rPr>
                <w:rFonts w:asciiTheme="minorHAnsi" w:hAnsiTheme="minorHAnsi" w:cstheme="minorHAnsi"/>
                <w:sz w:val="22"/>
                <w:szCs w:val="20"/>
              </w:rPr>
              <w:t xml:space="preserve"> risk identification and management</w:t>
            </w:r>
            <w:r w:rsidR="00221415">
              <w:rPr>
                <w:rFonts w:asciiTheme="minorHAnsi" w:hAnsiTheme="minorHAnsi" w:cstheme="minorHAnsi"/>
                <w:sz w:val="22"/>
                <w:szCs w:val="20"/>
              </w:rPr>
              <w:t>,</w:t>
            </w:r>
            <w:r w:rsidRPr="00F23D72">
              <w:rPr>
                <w:rFonts w:asciiTheme="minorHAnsi" w:hAnsiTheme="minorHAnsi" w:cstheme="minorHAnsi"/>
                <w:sz w:val="22"/>
                <w:szCs w:val="20"/>
              </w:rPr>
              <w:t xml:space="preserve"> complaints management</w:t>
            </w:r>
            <w:r w:rsidR="00221415">
              <w:rPr>
                <w:rFonts w:asciiTheme="minorHAnsi" w:hAnsiTheme="minorHAnsi" w:cstheme="minorHAnsi"/>
                <w:sz w:val="22"/>
                <w:szCs w:val="20"/>
              </w:rPr>
              <w:t>,</w:t>
            </w:r>
            <w:r w:rsidRPr="00F23D72">
              <w:rPr>
                <w:rFonts w:asciiTheme="minorHAnsi" w:hAnsiTheme="minorHAnsi" w:cstheme="minorHAnsi"/>
                <w:sz w:val="22"/>
                <w:szCs w:val="20"/>
              </w:rPr>
              <w:t xml:space="preserve"> procurement processes</w:t>
            </w:r>
            <w:r w:rsidR="00221415">
              <w:rPr>
                <w:rFonts w:asciiTheme="minorHAnsi" w:hAnsiTheme="minorHAnsi" w:cstheme="minorHAnsi"/>
                <w:sz w:val="22"/>
                <w:szCs w:val="20"/>
              </w:rPr>
              <w:t>,</w:t>
            </w:r>
            <w:r w:rsidRPr="00F23D72">
              <w:rPr>
                <w:rFonts w:asciiTheme="minorHAnsi" w:hAnsiTheme="minorHAnsi" w:cstheme="minorHAnsi"/>
                <w:sz w:val="22"/>
                <w:szCs w:val="20"/>
              </w:rPr>
              <w:t xml:space="preserve"> security</w:t>
            </w:r>
            <w:r w:rsidR="00221415">
              <w:rPr>
                <w:rFonts w:asciiTheme="minorHAnsi" w:hAnsiTheme="minorHAnsi" w:cstheme="minorHAnsi"/>
                <w:sz w:val="22"/>
                <w:szCs w:val="20"/>
              </w:rPr>
              <w:t>,</w:t>
            </w:r>
            <w:r w:rsidRPr="00F23D72">
              <w:rPr>
                <w:rFonts w:asciiTheme="minorHAnsi" w:hAnsiTheme="minorHAnsi" w:cstheme="minorHAnsi"/>
                <w:sz w:val="22"/>
                <w:szCs w:val="20"/>
              </w:rPr>
              <w:t xml:space="preserve"> climate change mitigation</w:t>
            </w:r>
            <w:r w:rsidR="00221415">
              <w:rPr>
                <w:rFonts w:asciiTheme="minorHAnsi" w:hAnsiTheme="minorHAnsi" w:cstheme="minorHAnsi"/>
                <w:sz w:val="22"/>
                <w:szCs w:val="20"/>
              </w:rPr>
              <w:t>,</w:t>
            </w:r>
            <w:r w:rsidRPr="00F23D72">
              <w:rPr>
                <w:rFonts w:asciiTheme="minorHAnsi" w:hAnsiTheme="minorHAnsi" w:cstheme="minorHAnsi"/>
                <w:sz w:val="22"/>
                <w:szCs w:val="20"/>
              </w:rPr>
              <w:t xml:space="preserve"> and workplace health and safety. </w:t>
            </w:r>
          </w:p>
        </w:tc>
        <w:tc>
          <w:tcPr>
            <w:cnfStyle w:val="000010000000" w:firstRow="0" w:lastRow="0" w:firstColumn="0" w:lastColumn="0" w:oddVBand="1" w:evenVBand="0" w:oddHBand="0" w:evenHBand="0" w:firstRowFirstColumn="0" w:firstRowLastColumn="0" w:lastRowFirstColumn="0" w:lastRowLastColumn="0"/>
            <w:tcW w:w="822" w:type="pct"/>
            <w:tcBorders>
              <w:top w:val="single" w:sz="4" w:space="0" w:color="auto"/>
              <w:left w:val="single" w:sz="4" w:space="0" w:color="auto"/>
              <w:bottom w:val="single" w:sz="4" w:space="0" w:color="auto"/>
              <w:right w:val="single" w:sz="4" w:space="0" w:color="auto"/>
            </w:tcBorders>
          </w:tcPr>
          <w:p w14:paraId="1A5F5C43" w14:textId="77777777" w:rsidR="00102F6E" w:rsidRPr="00F23D72" w:rsidRDefault="00102F6E" w:rsidP="000F42BF">
            <w:pPr>
              <w:pStyle w:val="TableText"/>
              <w:framePr w:hSpace="0" w:wrap="auto" w:vAnchor="margin" w:hAnchor="text" w:yAlign="inline"/>
              <w:spacing w:after="60"/>
              <w:rPr>
                <w:rFonts w:asciiTheme="minorHAnsi" w:hAnsiTheme="minorHAnsi" w:cstheme="minorHAnsi"/>
                <w:sz w:val="22"/>
                <w:szCs w:val="20"/>
              </w:rPr>
            </w:pPr>
            <w:r w:rsidRPr="00F23D72">
              <w:rPr>
                <w:rFonts w:asciiTheme="minorHAnsi" w:hAnsiTheme="minorHAnsi" w:cstheme="minorHAnsi"/>
                <w:sz w:val="22"/>
                <w:szCs w:val="20"/>
              </w:rPr>
              <w:t>Within three months of mobilisation</w:t>
            </w:r>
          </w:p>
        </w:tc>
      </w:tr>
      <w:tr w:rsidR="00102F6E" w:rsidRPr="00F23D72" w14:paraId="492E264D" w14:textId="77777777" w:rsidTr="00B849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5" w:type="pct"/>
            <w:tcBorders>
              <w:top w:val="single" w:sz="4" w:space="0" w:color="auto"/>
              <w:left w:val="single" w:sz="4" w:space="0" w:color="auto"/>
              <w:bottom w:val="single" w:sz="4" w:space="0" w:color="auto"/>
              <w:right w:val="single" w:sz="4" w:space="0" w:color="auto"/>
            </w:tcBorders>
            <w:shd w:val="clear" w:color="auto" w:fill="296C60" w:themeFill="accent1" w:themeFillShade="80"/>
          </w:tcPr>
          <w:p w14:paraId="4522B615" w14:textId="300EE819" w:rsidR="00102F6E" w:rsidRPr="00D021CF" w:rsidRDefault="00102F6E" w:rsidP="000F42BF">
            <w:pPr>
              <w:pStyle w:val="TableText"/>
              <w:framePr w:hSpace="0" w:wrap="auto" w:vAnchor="margin" w:hAnchor="text" w:yAlign="inline"/>
              <w:spacing w:after="60"/>
              <w:rPr>
                <w:rFonts w:asciiTheme="minorHAnsi" w:hAnsiTheme="minorHAnsi" w:cstheme="minorHAnsi"/>
                <w:b/>
                <w:bCs/>
                <w:color w:val="FFFFFF" w:themeColor="background1"/>
                <w:sz w:val="22"/>
                <w:szCs w:val="20"/>
              </w:rPr>
            </w:pPr>
            <w:bookmarkStart w:id="41" w:name="RowTitle_Comms"/>
            <w:bookmarkEnd w:id="40"/>
            <w:r w:rsidRPr="00D021CF">
              <w:rPr>
                <w:rFonts w:asciiTheme="minorHAnsi" w:hAnsiTheme="minorHAnsi" w:cstheme="minorHAnsi"/>
                <w:b/>
                <w:bCs/>
                <w:color w:val="FFFFFF" w:themeColor="background1"/>
                <w:sz w:val="22"/>
                <w:szCs w:val="20"/>
              </w:rPr>
              <w:t>Communications and Public Diplomacy Strategy</w:t>
            </w:r>
            <w:bookmarkEnd w:id="41"/>
          </w:p>
        </w:tc>
        <w:tc>
          <w:tcPr>
            <w:tcW w:w="3223" w:type="pct"/>
            <w:tcBorders>
              <w:top w:val="single" w:sz="4" w:space="0" w:color="auto"/>
              <w:left w:val="single" w:sz="4" w:space="0" w:color="auto"/>
              <w:bottom w:val="single" w:sz="4" w:space="0" w:color="auto"/>
              <w:right w:val="single" w:sz="4" w:space="0" w:color="auto"/>
            </w:tcBorders>
          </w:tcPr>
          <w:p w14:paraId="5FB02B07" w14:textId="1DDE7EED" w:rsidR="00102F6E" w:rsidRPr="00F23D72" w:rsidRDefault="00102F6E" w:rsidP="000F42BF">
            <w:pPr>
              <w:pStyle w:val="TableText"/>
              <w:framePr w:hSpace="0" w:wrap="auto" w:vAnchor="margin" w:hAnchor="text" w:yAlign="inline"/>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0"/>
              </w:rPr>
            </w:pPr>
            <w:r w:rsidRPr="00F23D72">
              <w:rPr>
                <w:rFonts w:asciiTheme="minorHAnsi" w:hAnsiTheme="minorHAnsi" w:cstheme="minorHAnsi"/>
                <w:sz w:val="22"/>
                <w:szCs w:val="20"/>
              </w:rPr>
              <w:t xml:space="preserve">Includes processes, </w:t>
            </w:r>
            <w:r w:rsidR="007F7020" w:rsidRPr="00F23D72">
              <w:rPr>
                <w:rFonts w:asciiTheme="minorHAnsi" w:hAnsiTheme="minorHAnsi" w:cstheme="minorHAnsi"/>
                <w:sz w:val="22"/>
                <w:szCs w:val="20"/>
              </w:rPr>
              <w:t>resources,</w:t>
            </w:r>
            <w:r w:rsidRPr="00F23D72">
              <w:rPr>
                <w:rFonts w:asciiTheme="minorHAnsi" w:hAnsiTheme="minorHAnsi" w:cstheme="minorHAnsi"/>
                <w:sz w:val="22"/>
                <w:szCs w:val="20"/>
              </w:rPr>
              <w:t xml:space="preserve"> and protocols to ensure</w:t>
            </w:r>
            <w:r w:rsidR="00175DED" w:rsidRPr="00F23D72">
              <w:rPr>
                <w:rFonts w:asciiTheme="minorHAnsi" w:hAnsiTheme="minorHAnsi" w:cstheme="minorHAnsi"/>
                <w:sz w:val="22"/>
                <w:szCs w:val="20"/>
              </w:rPr>
              <w:t xml:space="preserve"> the program </w:t>
            </w:r>
            <w:r w:rsidRPr="00F23D72">
              <w:rPr>
                <w:rFonts w:asciiTheme="minorHAnsi" w:hAnsiTheme="minorHAnsi" w:cstheme="minorHAnsi"/>
                <w:sz w:val="22"/>
                <w:szCs w:val="20"/>
              </w:rPr>
              <w:t>is appropriately branded and promoted in Indonesia and Australia, including via a website and social media presence.</w:t>
            </w:r>
            <w:r w:rsidR="00175DED" w:rsidRPr="00F23D72">
              <w:rPr>
                <w:rFonts w:asciiTheme="minorHAnsi" w:hAnsiTheme="minorHAnsi" w:cstheme="minorHAnsi"/>
                <w:sz w:val="22"/>
                <w:szCs w:val="20"/>
              </w:rPr>
              <w:t xml:space="preserve"> This strategy focused on program’s needs (and not partners’ needs).</w:t>
            </w:r>
          </w:p>
        </w:tc>
        <w:tc>
          <w:tcPr>
            <w:cnfStyle w:val="000010000000" w:firstRow="0" w:lastRow="0" w:firstColumn="0" w:lastColumn="0" w:oddVBand="1" w:evenVBand="0" w:oddHBand="0" w:evenHBand="0" w:firstRowFirstColumn="0" w:firstRowLastColumn="0" w:lastRowFirstColumn="0" w:lastRowLastColumn="0"/>
            <w:tcW w:w="822" w:type="pct"/>
            <w:tcBorders>
              <w:top w:val="single" w:sz="4" w:space="0" w:color="auto"/>
              <w:left w:val="single" w:sz="4" w:space="0" w:color="auto"/>
              <w:bottom w:val="single" w:sz="4" w:space="0" w:color="auto"/>
              <w:right w:val="single" w:sz="4" w:space="0" w:color="auto"/>
            </w:tcBorders>
          </w:tcPr>
          <w:p w14:paraId="046F9EDD" w14:textId="6976C893" w:rsidR="00102F6E" w:rsidRPr="00F23D72" w:rsidRDefault="00175DED" w:rsidP="000F42BF">
            <w:pPr>
              <w:pStyle w:val="TableText"/>
              <w:framePr w:hSpace="0" w:wrap="auto" w:vAnchor="margin" w:hAnchor="text" w:yAlign="inline"/>
              <w:spacing w:after="60"/>
              <w:rPr>
                <w:rFonts w:asciiTheme="minorHAnsi" w:hAnsiTheme="minorHAnsi" w:cstheme="minorHAnsi"/>
                <w:sz w:val="22"/>
                <w:szCs w:val="20"/>
              </w:rPr>
            </w:pPr>
            <w:r w:rsidRPr="00F23D72">
              <w:rPr>
                <w:rFonts w:asciiTheme="minorHAnsi" w:hAnsiTheme="minorHAnsi" w:cstheme="minorHAnsi"/>
                <w:sz w:val="22"/>
                <w:szCs w:val="20"/>
              </w:rPr>
              <w:t>Within three months of mobilisation</w:t>
            </w:r>
          </w:p>
        </w:tc>
      </w:tr>
      <w:tr w:rsidR="00B84969" w:rsidRPr="00F23D72" w14:paraId="6C2EE67B" w14:textId="77777777" w:rsidTr="00B84969">
        <w:tc>
          <w:tcPr>
            <w:cnfStyle w:val="000010000000" w:firstRow="0" w:lastRow="0" w:firstColumn="0" w:lastColumn="0" w:oddVBand="1" w:evenVBand="0" w:oddHBand="0" w:evenHBand="0" w:firstRowFirstColumn="0" w:firstRowLastColumn="0" w:lastRowFirstColumn="0" w:lastRowLastColumn="0"/>
            <w:tcW w:w="955" w:type="pct"/>
            <w:tcBorders>
              <w:top w:val="single" w:sz="4" w:space="0" w:color="auto"/>
              <w:left w:val="single" w:sz="4" w:space="0" w:color="auto"/>
              <w:bottom w:val="single" w:sz="4" w:space="0" w:color="auto"/>
              <w:right w:val="single" w:sz="4" w:space="0" w:color="auto"/>
            </w:tcBorders>
            <w:shd w:val="clear" w:color="auto" w:fill="296C60" w:themeFill="accent1" w:themeFillShade="80"/>
          </w:tcPr>
          <w:p w14:paraId="5ECFF5EF" w14:textId="5CDD8882" w:rsidR="00B84969" w:rsidRPr="00D021CF" w:rsidRDefault="00B84969" w:rsidP="00B84969">
            <w:pPr>
              <w:pStyle w:val="TableText"/>
              <w:framePr w:hSpace="0" w:wrap="auto" w:vAnchor="margin" w:hAnchor="text" w:yAlign="inline"/>
              <w:spacing w:after="60"/>
              <w:rPr>
                <w:rFonts w:asciiTheme="minorHAnsi" w:hAnsiTheme="minorHAnsi" w:cstheme="minorHAnsi"/>
                <w:b/>
                <w:bCs/>
                <w:color w:val="FFFFFF" w:themeColor="background1"/>
                <w:sz w:val="22"/>
                <w:szCs w:val="20"/>
              </w:rPr>
            </w:pPr>
            <w:r w:rsidRPr="00D021CF">
              <w:rPr>
                <w:rFonts w:asciiTheme="minorHAnsi" w:hAnsiTheme="minorHAnsi" w:cstheme="minorHAnsi"/>
                <w:b/>
                <w:bCs/>
                <w:color w:val="FFFFFF" w:themeColor="background1"/>
                <w:sz w:val="22"/>
                <w:szCs w:val="20"/>
              </w:rPr>
              <w:t>MERL System</w:t>
            </w:r>
          </w:p>
        </w:tc>
        <w:tc>
          <w:tcPr>
            <w:tcW w:w="3223" w:type="pct"/>
            <w:tcBorders>
              <w:top w:val="single" w:sz="4" w:space="0" w:color="auto"/>
              <w:left w:val="single" w:sz="4" w:space="0" w:color="auto"/>
              <w:bottom w:val="single" w:sz="4" w:space="0" w:color="auto"/>
              <w:right w:val="single" w:sz="4" w:space="0" w:color="auto"/>
            </w:tcBorders>
          </w:tcPr>
          <w:p w14:paraId="6B1AC0DE" w14:textId="39CAD857" w:rsidR="00B84969" w:rsidRPr="00F23D72" w:rsidRDefault="00B84969" w:rsidP="00B84969">
            <w:pPr>
              <w:pStyle w:val="TableText"/>
              <w:framePr w:hSpace="0" w:wrap="auto" w:vAnchor="margin" w:hAnchor="text" w:yAlign="inline"/>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0"/>
              </w:rPr>
            </w:pPr>
            <w:r w:rsidRPr="00F23D72">
              <w:rPr>
                <w:rFonts w:asciiTheme="minorHAnsi" w:hAnsiTheme="minorHAnsi" w:cstheme="minorHAnsi"/>
                <w:sz w:val="22"/>
                <w:szCs w:val="20"/>
              </w:rPr>
              <w:t>Includes a nested program logic from input/activity to outcome level, MERL objectives, key performance questions, results framework, methods, tasks, timing, responsibilities, budget, and deliverables. This strategy focused on program’s needs (and not partners’ needs).</w:t>
            </w:r>
          </w:p>
        </w:tc>
        <w:tc>
          <w:tcPr>
            <w:cnfStyle w:val="000010000000" w:firstRow="0" w:lastRow="0" w:firstColumn="0" w:lastColumn="0" w:oddVBand="1" w:evenVBand="0" w:oddHBand="0" w:evenHBand="0" w:firstRowFirstColumn="0" w:firstRowLastColumn="0" w:lastRowFirstColumn="0" w:lastRowLastColumn="0"/>
            <w:tcW w:w="822" w:type="pct"/>
            <w:tcBorders>
              <w:top w:val="single" w:sz="4" w:space="0" w:color="auto"/>
              <w:left w:val="single" w:sz="4" w:space="0" w:color="auto"/>
              <w:bottom w:val="single" w:sz="4" w:space="0" w:color="auto"/>
              <w:right w:val="single" w:sz="4" w:space="0" w:color="auto"/>
            </w:tcBorders>
          </w:tcPr>
          <w:p w14:paraId="7C65E5D4" w14:textId="1CB1CC7B" w:rsidR="00B84969" w:rsidRPr="00F23D72" w:rsidRDefault="00B84969" w:rsidP="00B84969">
            <w:pPr>
              <w:pStyle w:val="TableText"/>
              <w:framePr w:hSpace="0" w:wrap="auto" w:vAnchor="margin" w:hAnchor="text" w:yAlign="inline"/>
              <w:spacing w:after="60"/>
              <w:rPr>
                <w:rFonts w:asciiTheme="minorHAnsi" w:hAnsiTheme="minorHAnsi" w:cstheme="minorHAnsi"/>
                <w:sz w:val="22"/>
                <w:szCs w:val="20"/>
              </w:rPr>
            </w:pPr>
            <w:r w:rsidRPr="00B84969">
              <w:rPr>
                <w:rFonts w:asciiTheme="minorHAnsi" w:hAnsiTheme="minorHAnsi" w:cstheme="minorHAnsi"/>
                <w:sz w:val="22"/>
                <w:szCs w:val="20"/>
              </w:rPr>
              <w:t>Within six months of mobilisation</w:t>
            </w:r>
          </w:p>
        </w:tc>
      </w:tr>
      <w:tr w:rsidR="00102F6E" w:rsidRPr="00F23D72" w14:paraId="50535EBD" w14:textId="77777777" w:rsidTr="00B849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5" w:type="pct"/>
            <w:tcBorders>
              <w:top w:val="single" w:sz="4" w:space="0" w:color="auto"/>
              <w:left w:val="single" w:sz="4" w:space="0" w:color="auto"/>
              <w:bottom w:val="single" w:sz="4" w:space="0" w:color="auto"/>
              <w:right w:val="single" w:sz="4" w:space="0" w:color="auto"/>
            </w:tcBorders>
            <w:shd w:val="clear" w:color="auto" w:fill="296C60" w:themeFill="accent1" w:themeFillShade="80"/>
          </w:tcPr>
          <w:p w14:paraId="1292C348" w14:textId="77777777" w:rsidR="00102F6E" w:rsidRPr="00D021CF" w:rsidRDefault="00102F6E" w:rsidP="000F42BF">
            <w:pPr>
              <w:pStyle w:val="TableText"/>
              <w:framePr w:hSpace="0" w:wrap="auto" w:vAnchor="margin" w:hAnchor="text" w:yAlign="inline"/>
              <w:spacing w:after="60"/>
              <w:rPr>
                <w:rFonts w:asciiTheme="minorHAnsi" w:hAnsiTheme="minorHAnsi" w:cstheme="minorHAnsi"/>
                <w:b/>
                <w:bCs/>
                <w:color w:val="FFFFFF" w:themeColor="background1"/>
                <w:sz w:val="22"/>
                <w:szCs w:val="20"/>
              </w:rPr>
            </w:pPr>
            <w:bookmarkStart w:id="42" w:name="RowTitle_GEDSIStrategy"/>
            <w:r w:rsidRPr="00D021CF">
              <w:rPr>
                <w:rFonts w:asciiTheme="minorHAnsi" w:hAnsiTheme="minorHAnsi" w:cstheme="minorHAnsi"/>
                <w:b/>
                <w:bCs/>
                <w:color w:val="FFFFFF" w:themeColor="background1"/>
                <w:sz w:val="22"/>
                <w:szCs w:val="20"/>
              </w:rPr>
              <w:t>GEDSI Strategy</w:t>
            </w:r>
            <w:bookmarkEnd w:id="42"/>
          </w:p>
        </w:tc>
        <w:tc>
          <w:tcPr>
            <w:tcW w:w="3223" w:type="pct"/>
            <w:tcBorders>
              <w:top w:val="single" w:sz="4" w:space="0" w:color="auto"/>
              <w:left w:val="single" w:sz="4" w:space="0" w:color="auto"/>
              <w:bottom w:val="single" w:sz="4" w:space="0" w:color="auto"/>
              <w:right w:val="single" w:sz="4" w:space="0" w:color="auto"/>
            </w:tcBorders>
          </w:tcPr>
          <w:p w14:paraId="235A5010" w14:textId="0E4BA2E4" w:rsidR="00102F6E" w:rsidRPr="00F23D72" w:rsidRDefault="00102F6E" w:rsidP="000F42BF">
            <w:pPr>
              <w:pStyle w:val="TableText"/>
              <w:framePr w:hSpace="0" w:wrap="auto" w:vAnchor="margin" w:hAnchor="text" w:yAlign="inline"/>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0"/>
              </w:rPr>
            </w:pPr>
            <w:r w:rsidRPr="00F23D72">
              <w:rPr>
                <w:rFonts w:asciiTheme="minorHAnsi" w:hAnsiTheme="minorHAnsi" w:cstheme="minorHAnsi"/>
                <w:sz w:val="22"/>
                <w:szCs w:val="20"/>
              </w:rPr>
              <w:t xml:space="preserve">Includes </w:t>
            </w:r>
            <w:r w:rsidR="00175DED" w:rsidRPr="00F23D72">
              <w:rPr>
                <w:rFonts w:asciiTheme="minorHAnsi" w:hAnsiTheme="minorHAnsi" w:cstheme="minorHAnsi"/>
                <w:sz w:val="22"/>
                <w:szCs w:val="20"/>
              </w:rPr>
              <w:t xml:space="preserve">a </w:t>
            </w:r>
            <w:r w:rsidR="00065BEE" w:rsidRPr="00F23D72">
              <w:rPr>
                <w:rFonts w:asciiTheme="minorHAnsi" w:hAnsiTheme="minorHAnsi" w:cstheme="minorHAnsi"/>
                <w:sz w:val="22"/>
                <w:szCs w:val="20"/>
              </w:rPr>
              <w:t xml:space="preserve">consulted, </w:t>
            </w:r>
            <w:r w:rsidRPr="00F23D72">
              <w:rPr>
                <w:rFonts w:asciiTheme="minorHAnsi" w:hAnsiTheme="minorHAnsi" w:cstheme="minorHAnsi"/>
                <w:sz w:val="22"/>
                <w:szCs w:val="20"/>
              </w:rPr>
              <w:t xml:space="preserve">detailed </w:t>
            </w:r>
            <w:r w:rsidR="00521E7A" w:rsidRPr="00F23D72">
              <w:rPr>
                <w:rFonts w:asciiTheme="minorHAnsi" w:hAnsiTheme="minorHAnsi" w:cstheme="minorHAnsi"/>
                <w:sz w:val="22"/>
                <w:szCs w:val="20"/>
              </w:rPr>
              <w:t>G</w:t>
            </w:r>
            <w:r w:rsidR="00010E7C" w:rsidRPr="00F23D72">
              <w:rPr>
                <w:rFonts w:asciiTheme="minorHAnsi" w:hAnsiTheme="minorHAnsi" w:cstheme="minorHAnsi"/>
                <w:sz w:val="22"/>
                <w:szCs w:val="20"/>
              </w:rPr>
              <w:t>EDSI</w:t>
            </w:r>
            <w:r w:rsidR="00521E7A" w:rsidRPr="00F23D72">
              <w:rPr>
                <w:rFonts w:asciiTheme="minorHAnsi" w:hAnsiTheme="minorHAnsi" w:cstheme="minorHAnsi"/>
                <w:sz w:val="22"/>
                <w:szCs w:val="20"/>
              </w:rPr>
              <w:t xml:space="preserve"> </w:t>
            </w:r>
            <w:r w:rsidR="00010E7C" w:rsidRPr="00F23D72">
              <w:rPr>
                <w:rFonts w:asciiTheme="minorHAnsi" w:hAnsiTheme="minorHAnsi" w:cstheme="minorHAnsi"/>
                <w:sz w:val="22"/>
                <w:szCs w:val="20"/>
              </w:rPr>
              <w:t>Analysis</w:t>
            </w:r>
            <w:r w:rsidRPr="00F23D72">
              <w:rPr>
                <w:rFonts w:asciiTheme="minorHAnsi" w:hAnsiTheme="minorHAnsi" w:cstheme="minorHAnsi"/>
                <w:sz w:val="22"/>
                <w:szCs w:val="20"/>
              </w:rPr>
              <w:t>,</w:t>
            </w:r>
            <w:r w:rsidR="00175DED" w:rsidRPr="00F23D72">
              <w:rPr>
                <w:rFonts w:asciiTheme="minorHAnsi" w:hAnsiTheme="minorHAnsi" w:cstheme="minorHAnsi"/>
                <w:sz w:val="22"/>
                <w:szCs w:val="20"/>
              </w:rPr>
              <w:t xml:space="preserve"> </w:t>
            </w:r>
            <w:r w:rsidR="007F7020" w:rsidRPr="00F23D72">
              <w:rPr>
                <w:rFonts w:asciiTheme="minorHAnsi" w:hAnsiTheme="minorHAnsi" w:cstheme="minorHAnsi"/>
                <w:sz w:val="22"/>
                <w:szCs w:val="20"/>
              </w:rPr>
              <w:t>program wide</w:t>
            </w:r>
            <w:r w:rsidR="007D07AA" w:rsidRPr="00F23D72">
              <w:rPr>
                <w:rFonts w:asciiTheme="minorHAnsi" w:hAnsiTheme="minorHAnsi" w:cstheme="minorHAnsi"/>
                <w:sz w:val="22"/>
                <w:szCs w:val="20"/>
              </w:rPr>
              <w:t xml:space="preserve"> </w:t>
            </w:r>
            <w:r w:rsidR="00175DED" w:rsidRPr="00F23D72">
              <w:rPr>
                <w:rFonts w:asciiTheme="minorHAnsi" w:hAnsiTheme="minorHAnsi" w:cstheme="minorHAnsi"/>
                <w:sz w:val="22"/>
                <w:szCs w:val="20"/>
              </w:rPr>
              <w:t>GEDSI objectives</w:t>
            </w:r>
            <w:r w:rsidRPr="00F23D72">
              <w:rPr>
                <w:rFonts w:asciiTheme="minorHAnsi" w:hAnsiTheme="minorHAnsi" w:cstheme="minorHAnsi"/>
                <w:sz w:val="22"/>
                <w:szCs w:val="20"/>
              </w:rPr>
              <w:t>,</w:t>
            </w:r>
            <w:r w:rsidR="00175DED" w:rsidRPr="00F23D72">
              <w:rPr>
                <w:rFonts w:asciiTheme="minorHAnsi" w:hAnsiTheme="minorHAnsi" w:cstheme="minorHAnsi"/>
                <w:sz w:val="22"/>
                <w:szCs w:val="20"/>
              </w:rPr>
              <w:t xml:space="preserve"> methods,</w:t>
            </w:r>
            <w:r w:rsidRPr="00F23D72">
              <w:rPr>
                <w:rFonts w:asciiTheme="minorHAnsi" w:hAnsiTheme="minorHAnsi" w:cstheme="minorHAnsi"/>
                <w:sz w:val="22"/>
                <w:szCs w:val="20"/>
              </w:rPr>
              <w:t xml:space="preserve"> tasks, timing, responsibilities, </w:t>
            </w:r>
            <w:r w:rsidR="00013580" w:rsidRPr="00F23D72">
              <w:rPr>
                <w:rFonts w:asciiTheme="minorHAnsi" w:hAnsiTheme="minorHAnsi" w:cstheme="minorHAnsi"/>
                <w:sz w:val="22"/>
                <w:szCs w:val="20"/>
              </w:rPr>
              <w:t>budget,</w:t>
            </w:r>
            <w:r w:rsidRPr="00F23D72">
              <w:rPr>
                <w:rFonts w:asciiTheme="minorHAnsi" w:hAnsiTheme="minorHAnsi" w:cstheme="minorHAnsi"/>
                <w:sz w:val="22"/>
                <w:szCs w:val="20"/>
              </w:rPr>
              <w:t xml:space="preserve"> and deliverables.</w:t>
            </w:r>
            <w:r w:rsidR="00175DED" w:rsidRPr="00F23D72">
              <w:rPr>
                <w:rFonts w:asciiTheme="minorHAnsi" w:hAnsiTheme="minorHAnsi" w:cstheme="minorHAnsi"/>
                <w:sz w:val="22"/>
                <w:szCs w:val="20"/>
              </w:rPr>
              <w:t xml:space="preserve"> This strategy</w:t>
            </w:r>
            <w:r w:rsidR="00065BEE" w:rsidRPr="00F23D72">
              <w:rPr>
                <w:rFonts w:asciiTheme="minorHAnsi" w:hAnsiTheme="minorHAnsi" w:cstheme="minorHAnsi"/>
                <w:sz w:val="22"/>
                <w:szCs w:val="20"/>
              </w:rPr>
              <w:t xml:space="preserve"> </w:t>
            </w:r>
            <w:r w:rsidR="00175DED" w:rsidRPr="00F23D72">
              <w:rPr>
                <w:rFonts w:asciiTheme="minorHAnsi" w:hAnsiTheme="minorHAnsi" w:cstheme="minorHAnsi"/>
                <w:sz w:val="22"/>
                <w:szCs w:val="20"/>
              </w:rPr>
              <w:t>focuse</w:t>
            </w:r>
            <w:r w:rsidR="00027062" w:rsidRPr="00F23D72">
              <w:rPr>
                <w:rFonts w:asciiTheme="minorHAnsi" w:hAnsiTheme="minorHAnsi" w:cstheme="minorHAnsi"/>
                <w:sz w:val="22"/>
                <w:szCs w:val="20"/>
              </w:rPr>
              <w:t>s</w:t>
            </w:r>
            <w:r w:rsidR="00175DED" w:rsidRPr="00F23D72">
              <w:rPr>
                <w:rFonts w:asciiTheme="minorHAnsi" w:hAnsiTheme="minorHAnsi" w:cstheme="minorHAnsi"/>
                <w:sz w:val="22"/>
                <w:szCs w:val="20"/>
              </w:rPr>
              <w:t xml:space="preserve"> on program’s needs</w:t>
            </w:r>
            <w:r w:rsidR="007D07AA" w:rsidRPr="00F23D72">
              <w:rPr>
                <w:rFonts w:asciiTheme="minorHAnsi" w:hAnsiTheme="minorHAnsi" w:cstheme="minorHAnsi"/>
                <w:sz w:val="22"/>
                <w:szCs w:val="20"/>
              </w:rPr>
              <w:t>. N</w:t>
            </w:r>
            <w:r w:rsidR="00175DED" w:rsidRPr="00F23D72">
              <w:rPr>
                <w:rFonts w:asciiTheme="minorHAnsi" w:hAnsiTheme="minorHAnsi" w:cstheme="minorHAnsi"/>
                <w:sz w:val="22"/>
                <w:szCs w:val="20"/>
              </w:rPr>
              <w:t>eed</w:t>
            </w:r>
            <w:r w:rsidR="007D07AA" w:rsidRPr="00F23D72">
              <w:rPr>
                <w:rFonts w:asciiTheme="minorHAnsi" w:hAnsiTheme="minorHAnsi" w:cstheme="minorHAnsi"/>
                <w:sz w:val="22"/>
                <w:szCs w:val="20"/>
              </w:rPr>
              <w:t>s of and activities in target districts will be analysed and articulated in bespoke district ecosystem GEDSI strategies</w:t>
            </w:r>
            <w:r w:rsidR="00175DED" w:rsidRPr="00F23D72">
              <w:rPr>
                <w:rFonts w:asciiTheme="minorHAnsi" w:hAnsiTheme="minorHAnsi" w:cstheme="minorHAnsi"/>
                <w:sz w:val="22"/>
                <w:szCs w:val="20"/>
              </w:rPr>
              <w:t>.</w:t>
            </w:r>
          </w:p>
        </w:tc>
        <w:tc>
          <w:tcPr>
            <w:cnfStyle w:val="000010000000" w:firstRow="0" w:lastRow="0" w:firstColumn="0" w:lastColumn="0" w:oddVBand="1" w:evenVBand="0" w:oddHBand="0" w:evenHBand="0" w:firstRowFirstColumn="0" w:firstRowLastColumn="0" w:lastRowFirstColumn="0" w:lastRowLastColumn="0"/>
            <w:tcW w:w="822" w:type="pct"/>
            <w:tcBorders>
              <w:top w:val="single" w:sz="4" w:space="0" w:color="auto"/>
              <w:left w:val="single" w:sz="4" w:space="0" w:color="auto"/>
              <w:bottom w:val="single" w:sz="4" w:space="0" w:color="auto"/>
              <w:right w:val="single" w:sz="4" w:space="0" w:color="auto"/>
            </w:tcBorders>
          </w:tcPr>
          <w:p w14:paraId="5ABE4469" w14:textId="37D6F716" w:rsidR="00102F6E" w:rsidRPr="00F23D72" w:rsidRDefault="00175DED" w:rsidP="000F42BF">
            <w:pPr>
              <w:pStyle w:val="TableText"/>
              <w:framePr w:hSpace="0" w:wrap="auto" w:vAnchor="margin" w:hAnchor="text" w:yAlign="inline"/>
              <w:spacing w:after="60"/>
              <w:rPr>
                <w:rFonts w:asciiTheme="minorHAnsi" w:hAnsiTheme="minorHAnsi" w:cstheme="minorHAnsi"/>
                <w:sz w:val="22"/>
                <w:szCs w:val="20"/>
              </w:rPr>
            </w:pPr>
            <w:r w:rsidRPr="00F23D72">
              <w:rPr>
                <w:rFonts w:asciiTheme="minorHAnsi" w:hAnsiTheme="minorHAnsi" w:cstheme="minorHAnsi"/>
                <w:sz w:val="22"/>
                <w:szCs w:val="20"/>
              </w:rPr>
              <w:t>Within six months of mobilisation</w:t>
            </w:r>
          </w:p>
        </w:tc>
      </w:tr>
      <w:tr w:rsidR="007D07AA" w:rsidRPr="00F23D72" w14:paraId="3AD7C928" w14:textId="77777777" w:rsidTr="00B84969">
        <w:tc>
          <w:tcPr>
            <w:cnfStyle w:val="000010000000" w:firstRow="0" w:lastRow="0" w:firstColumn="0" w:lastColumn="0" w:oddVBand="1" w:evenVBand="0" w:oddHBand="0" w:evenHBand="0" w:firstRowFirstColumn="0" w:firstRowLastColumn="0" w:lastRowFirstColumn="0" w:lastRowLastColumn="0"/>
            <w:tcW w:w="955" w:type="pct"/>
            <w:tcBorders>
              <w:top w:val="single" w:sz="4" w:space="0" w:color="auto"/>
              <w:left w:val="single" w:sz="4" w:space="0" w:color="auto"/>
              <w:bottom w:val="single" w:sz="4" w:space="0" w:color="auto"/>
              <w:right w:val="single" w:sz="4" w:space="0" w:color="auto"/>
            </w:tcBorders>
            <w:shd w:val="clear" w:color="auto" w:fill="296C60" w:themeFill="accent1" w:themeFillShade="80"/>
          </w:tcPr>
          <w:p w14:paraId="1C2D0B3E" w14:textId="4A8472EF" w:rsidR="007D07AA" w:rsidRPr="00D021CF" w:rsidRDefault="007D07AA" w:rsidP="000F42BF">
            <w:pPr>
              <w:pStyle w:val="TableText"/>
              <w:framePr w:hSpace="0" w:wrap="auto" w:vAnchor="margin" w:hAnchor="text" w:yAlign="inline"/>
              <w:spacing w:after="60"/>
              <w:rPr>
                <w:rFonts w:asciiTheme="minorHAnsi" w:hAnsiTheme="minorHAnsi" w:cstheme="minorHAnsi"/>
                <w:b/>
                <w:bCs/>
                <w:color w:val="FFFFFF" w:themeColor="background1"/>
                <w:sz w:val="22"/>
                <w:szCs w:val="20"/>
              </w:rPr>
            </w:pPr>
            <w:bookmarkStart w:id="43" w:name="RowTitle_CCS"/>
            <w:r w:rsidRPr="00D021CF">
              <w:rPr>
                <w:rFonts w:asciiTheme="minorHAnsi" w:hAnsiTheme="minorHAnsi" w:cstheme="minorHAnsi"/>
                <w:b/>
                <w:bCs/>
                <w:color w:val="FFFFFF" w:themeColor="background1"/>
                <w:sz w:val="22"/>
                <w:szCs w:val="20"/>
              </w:rPr>
              <w:t>Climate Change Strategy</w:t>
            </w:r>
            <w:bookmarkEnd w:id="43"/>
          </w:p>
        </w:tc>
        <w:tc>
          <w:tcPr>
            <w:tcW w:w="3223" w:type="pct"/>
            <w:tcBorders>
              <w:top w:val="single" w:sz="4" w:space="0" w:color="auto"/>
              <w:left w:val="single" w:sz="4" w:space="0" w:color="auto"/>
              <w:bottom w:val="single" w:sz="4" w:space="0" w:color="auto"/>
              <w:right w:val="single" w:sz="4" w:space="0" w:color="auto"/>
            </w:tcBorders>
          </w:tcPr>
          <w:p w14:paraId="0714FAC1" w14:textId="35AF56AC" w:rsidR="007D07AA" w:rsidRPr="00F23D72" w:rsidRDefault="007D07AA" w:rsidP="000F42BF">
            <w:pPr>
              <w:pStyle w:val="TableText"/>
              <w:framePr w:hSpace="0" w:wrap="auto" w:vAnchor="margin" w:hAnchor="text" w:yAlign="inline"/>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0"/>
              </w:rPr>
            </w:pPr>
            <w:r w:rsidRPr="00F23D72">
              <w:rPr>
                <w:rFonts w:asciiTheme="minorHAnsi" w:hAnsiTheme="minorHAnsi" w:cstheme="minorHAnsi"/>
                <w:sz w:val="22"/>
                <w:szCs w:val="20"/>
              </w:rPr>
              <w:t xml:space="preserve">Includes a </w:t>
            </w:r>
            <w:r w:rsidR="00065BEE" w:rsidRPr="00F23D72">
              <w:rPr>
                <w:rFonts w:asciiTheme="minorHAnsi" w:hAnsiTheme="minorHAnsi" w:cstheme="minorHAnsi"/>
                <w:sz w:val="22"/>
                <w:szCs w:val="20"/>
              </w:rPr>
              <w:t xml:space="preserve">consulted, </w:t>
            </w:r>
            <w:r w:rsidRPr="00F23D72">
              <w:rPr>
                <w:rFonts w:asciiTheme="minorHAnsi" w:hAnsiTheme="minorHAnsi" w:cstheme="minorHAnsi"/>
                <w:sz w:val="22"/>
                <w:szCs w:val="20"/>
              </w:rPr>
              <w:t xml:space="preserve">detailed climate change analysis, program-wide climate change objectives, methods, tasks, timing, responsibilities, </w:t>
            </w:r>
            <w:r w:rsidR="007F7020" w:rsidRPr="00F23D72">
              <w:rPr>
                <w:rFonts w:asciiTheme="minorHAnsi" w:hAnsiTheme="minorHAnsi" w:cstheme="minorHAnsi"/>
                <w:sz w:val="22"/>
                <w:szCs w:val="20"/>
              </w:rPr>
              <w:t>budget,</w:t>
            </w:r>
            <w:r w:rsidRPr="00F23D72">
              <w:rPr>
                <w:rFonts w:asciiTheme="minorHAnsi" w:hAnsiTheme="minorHAnsi" w:cstheme="minorHAnsi"/>
                <w:sz w:val="22"/>
                <w:szCs w:val="20"/>
              </w:rPr>
              <w:t xml:space="preserve"> and deliverables. This strategy focuse</w:t>
            </w:r>
            <w:r w:rsidR="00027062" w:rsidRPr="00F23D72">
              <w:rPr>
                <w:rFonts w:asciiTheme="minorHAnsi" w:hAnsiTheme="minorHAnsi" w:cstheme="minorHAnsi"/>
                <w:sz w:val="22"/>
                <w:szCs w:val="20"/>
              </w:rPr>
              <w:t>s</w:t>
            </w:r>
            <w:r w:rsidRPr="00F23D72">
              <w:rPr>
                <w:rFonts w:asciiTheme="minorHAnsi" w:hAnsiTheme="minorHAnsi" w:cstheme="minorHAnsi"/>
                <w:sz w:val="22"/>
                <w:szCs w:val="20"/>
              </w:rPr>
              <w:t xml:space="preserve"> on program’s needs. Needs </w:t>
            </w:r>
            <w:r w:rsidR="00D222B0">
              <w:rPr>
                <w:rFonts w:asciiTheme="minorHAnsi" w:hAnsiTheme="minorHAnsi" w:cstheme="minorHAnsi"/>
                <w:sz w:val="22"/>
                <w:szCs w:val="20"/>
              </w:rPr>
              <w:t>of and</w:t>
            </w:r>
            <w:r w:rsidRPr="00F23D72">
              <w:rPr>
                <w:rFonts w:asciiTheme="minorHAnsi" w:hAnsiTheme="minorHAnsi" w:cstheme="minorHAnsi"/>
                <w:sz w:val="22"/>
                <w:szCs w:val="20"/>
              </w:rPr>
              <w:t xml:space="preserve"> activities in target districts</w:t>
            </w:r>
            <w:r w:rsidR="00D222B0">
              <w:rPr>
                <w:rFonts w:asciiTheme="minorHAnsi" w:hAnsiTheme="minorHAnsi" w:cstheme="minorHAnsi"/>
                <w:sz w:val="22"/>
                <w:szCs w:val="20"/>
              </w:rPr>
              <w:t>,</w:t>
            </w:r>
            <w:r w:rsidRPr="00F23D72">
              <w:rPr>
                <w:rFonts w:asciiTheme="minorHAnsi" w:hAnsiTheme="minorHAnsi" w:cstheme="minorHAnsi"/>
                <w:sz w:val="22"/>
                <w:szCs w:val="20"/>
              </w:rPr>
              <w:t xml:space="preserve"> will be analysed and articulated in bespoke district ecosystem </w:t>
            </w:r>
            <w:r w:rsidR="00027062" w:rsidRPr="00F23D72">
              <w:rPr>
                <w:rFonts w:asciiTheme="minorHAnsi" w:hAnsiTheme="minorHAnsi" w:cstheme="minorHAnsi"/>
                <w:sz w:val="22"/>
                <w:szCs w:val="20"/>
              </w:rPr>
              <w:t>climate change</w:t>
            </w:r>
            <w:r w:rsidRPr="00F23D72">
              <w:rPr>
                <w:rFonts w:asciiTheme="minorHAnsi" w:hAnsiTheme="minorHAnsi" w:cstheme="minorHAnsi"/>
                <w:sz w:val="22"/>
                <w:szCs w:val="20"/>
              </w:rPr>
              <w:t xml:space="preserve"> strategies.</w:t>
            </w:r>
          </w:p>
        </w:tc>
        <w:tc>
          <w:tcPr>
            <w:cnfStyle w:val="000010000000" w:firstRow="0" w:lastRow="0" w:firstColumn="0" w:lastColumn="0" w:oddVBand="1" w:evenVBand="0" w:oddHBand="0" w:evenHBand="0" w:firstRowFirstColumn="0" w:firstRowLastColumn="0" w:lastRowFirstColumn="0" w:lastRowLastColumn="0"/>
            <w:tcW w:w="822" w:type="pct"/>
            <w:tcBorders>
              <w:top w:val="single" w:sz="4" w:space="0" w:color="auto"/>
              <w:left w:val="single" w:sz="4" w:space="0" w:color="auto"/>
              <w:bottom w:val="single" w:sz="4" w:space="0" w:color="auto"/>
              <w:right w:val="single" w:sz="4" w:space="0" w:color="auto"/>
            </w:tcBorders>
          </w:tcPr>
          <w:p w14:paraId="4AE47E8D" w14:textId="1F2C0701" w:rsidR="007D07AA" w:rsidRPr="00F23D72" w:rsidRDefault="007D07AA" w:rsidP="000F42BF">
            <w:pPr>
              <w:pStyle w:val="TableText"/>
              <w:framePr w:hSpace="0" w:wrap="auto" w:vAnchor="margin" w:hAnchor="text" w:yAlign="inline"/>
              <w:spacing w:after="60"/>
              <w:rPr>
                <w:rFonts w:asciiTheme="minorHAnsi" w:hAnsiTheme="minorHAnsi" w:cstheme="minorHAnsi"/>
                <w:sz w:val="22"/>
                <w:szCs w:val="20"/>
              </w:rPr>
            </w:pPr>
            <w:r w:rsidRPr="00F23D72">
              <w:rPr>
                <w:rFonts w:asciiTheme="minorHAnsi" w:hAnsiTheme="minorHAnsi" w:cstheme="minorHAnsi"/>
                <w:sz w:val="22"/>
                <w:szCs w:val="20"/>
              </w:rPr>
              <w:t>Within six months of mobilisation</w:t>
            </w:r>
          </w:p>
        </w:tc>
      </w:tr>
      <w:tr w:rsidR="00102F6E" w:rsidRPr="00F23D72" w14:paraId="40A122A5" w14:textId="77777777" w:rsidTr="00B849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5" w:type="pct"/>
            <w:tcBorders>
              <w:top w:val="single" w:sz="4" w:space="0" w:color="auto"/>
              <w:left w:val="single" w:sz="4" w:space="0" w:color="auto"/>
              <w:bottom w:val="single" w:sz="4" w:space="0" w:color="auto"/>
              <w:right w:val="single" w:sz="4" w:space="0" w:color="auto"/>
            </w:tcBorders>
            <w:shd w:val="clear" w:color="auto" w:fill="296C60" w:themeFill="accent1" w:themeFillShade="80"/>
          </w:tcPr>
          <w:p w14:paraId="29665666" w14:textId="77777777" w:rsidR="00102F6E" w:rsidRPr="00D021CF" w:rsidRDefault="00102F6E" w:rsidP="000F42BF">
            <w:pPr>
              <w:pStyle w:val="TableText"/>
              <w:framePr w:hSpace="0" w:wrap="auto" w:vAnchor="margin" w:hAnchor="text" w:yAlign="inline"/>
              <w:spacing w:after="60"/>
              <w:rPr>
                <w:rFonts w:asciiTheme="minorHAnsi" w:hAnsiTheme="minorHAnsi" w:cstheme="minorHAnsi"/>
                <w:b/>
                <w:bCs/>
                <w:color w:val="FFFFFF" w:themeColor="background1"/>
                <w:sz w:val="22"/>
                <w:szCs w:val="20"/>
              </w:rPr>
            </w:pPr>
            <w:bookmarkStart w:id="44" w:name="RowTitle_AnnualPlanBudget"/>
            <w:r w:rsidRPr="00D021CF">
              <w:rPr>
                <w:rFonts w:asciiTheme="minorHAnsi" w:hAnsiTheme="minorHAnsi" w:cstheme="minorHAnsi"/>
                <w:b/>
                <w:bCs/>
                <w:color w:val="FFFFFF" w:themeColor="background1"/>
                <w:sz w:val="22"/>
                <w:szCs w:val="20"/>
              </w:rPr>
              <w:t>Annual Plan and Budget 2023-24</w:t>
            </w:r>
            <w:bookmarkEnd w:id="44"/>
          </w:p>
        </w:tc>
        <w:tc>
          <w:tcPr>
            <w:tcW w:w="3223" w:type="pct"/>
            <w:tcBorders>
              <w:top w:val="single" w:sz="4" w:space="0" w:color="auto"/>
              <w:left w:val="single" w:sz="4" w:space="0" w:color="auto"/>
              <w:bottom w:val="single" w:sz="4" w:space="0" w:color="auto"/>
              <w:right w:val="single" w:sz="4" w:space="0" w:color="auto"/>
            </w:tcBorders>
          </w:tcPr>
          <w:p w14:paraId="560D4372" w14:textId="715E4571" w:rsidR="00102F6E" w:rsidRPr="00F23D72" w:rsidRDefault="00102F6E" w:rsidP="000F42BF">
            <w:pPr>
              <w:pStyle w:val="TableText"/>
              <w:framePr w:hSpace="0" w:wrap="auto" w:vAnchor="margin" w:hAnchor="text" w:yAlign="inline"/>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0"/>
              </w:rPr>
            </w:pPr>
            <w:r w:rsidRPr="00F23D72">
              <w:rPr>
                <w:rFonts w:asciiTheme="minorHAnsi" w:hAnsiTheme="minorHAnsi" w:cstheme="minorHAnsi"/>
                <w:sz w:val="22"/>
                <w:szCs w:val="20"/>
              </w:rPr>
              <w:t xml:space="preserve">Covers all </w:t>
            </w:r>
            <w:r w:rsidR="00175DED" w:rsidRPr="00F23D72">
              <w:rPr>
                <w:rFonts w:asciiTheme="minorHAnsi" w:hAnsiTheme="minorHAnsi" w:cstheme="minorHAnsi"/>
                <w:sz w:val="22"/>
                <w:szCs w:val="20"/>
              </w:rPr>
              <w:t>INOVASI</w:t>
            </w:r>
            <w:r w:rsidRPr="00F23D72">
              <w:rPr>
                <w:rFonts w:asciiTheme="minorHAnsi" w:hAnsiTheme="minorHAnsi" w:cstheme="minorHAnsi"/>
                <w:sz w:val="22"/>
                <w:szCs w:val="20"/>
              </w:rPr>
              <w:t xml:space="preserve"> activities for the period July 202</w:t>
            </w:r>
            <w:r w:rsidR="00175DED" w:rsidRPr="00F23D72">
              <w:rPr>
                <w:rFonts w:asciiTheme="minorHAnsi" w:hAnsiTheme="minorHAnsi" w:cstheme="minorHAnsi"/>
                <w:sz w:val="22"/>
                <w:szCs w:val="20"/>
              </w:rPr>
              <w:t>4</w:t>
            </w:r>
            <w:r w:rsidRPr="00F23D72">
              <w:rPr>
                <w:rFonts w:asciiTheme="minorHAnsi" w:hAnsiTheme="minorHAnsi" w:cstheme="minorHAnsi"/>
                <w:sz w:val="22"/>
                <w:szCs w:val="20"/>
              </w:rPr>
              <w:t xml:space="preserve"> - June 202</w:t>
            </w:r>
            <w:r w:rsidR="00175DED" w:rsidRPr="00F23D72">
              <w:rPr>
                <w:rFonts w:asciiTheme="minorHAnsi" w:hAnsiTheme="minorHAnsi" w:cstheme="minorHAnsi"/>
                <w:sz w:val="22"/>
                <w:szCs w:val="20"/>
              </w:rPr>
              <w:t>5</w:t>
            </w:r>
            <w:r w:rsidRPr="00F23D72">
              <w:rPr>
                <w:rFonts w:asciiTheme="minorHAnsi" w:hAnsiTheme="minorHAnsi" w:cstheme="minorHAnsi"/>
                <w:sz w:val="22"/>
                <w:szCs w:val="20"/>
              </w:rPr>
              <w:t>, including implementation schedule, budget, staffing, risks management, communications processes, and deliverables.</w:t>
            </w:r>
          </w:p>
        </w:tc>
        <w:tc>
          <w:tcPr>
            <w:cnfStyle w:val="000010000000" w:firstRow="0" w:lastRow="0" w:firstColumn="0" w:lastColumn="0" w:oddVBand="1" w:evenVBand="0" w:oddHBand="0" w:evenHBand="0" w:firstRowFirstColumn="0" w:firstRowLastColumn="0" w:lastRowFirstColumn="0" w:lastRowLastColumn="0"/>
            <w:tcW w:w="822" w:type="pct"/>
            <w:tcBorders>
              <w:top w:val="single" w:sz="4" w:space="0" w:color="auto"/>
              <w:left w:val="single" w:sz="4" w:space="0" w:color="auto"/>
              <w:bottom w:val="single" w:sz="4" w:space="0" w:color="auto"/>
              <w:right w:val="single" w:sz="4" w:space="0" w:color="auto"/>
            </w:tcBorders>
          </w:tcPr>
          <w:p w14:paraId="55E155B0" w14:textId="4CD1DFC8" w:rsidR="00102F6E" w:rsidRPr="00F23D72" w:rsidRDefault="00175DED" w:rsidP="000F42BF">
            <w:pPr>
              <w:pStyle w:val="TableText"/>
              <w:framePr w:hSpace="0" w:wrap="auto" w:vAnchor="margin" w:hAnchor="text" w:yAlign="inline"/>
              <w:spacing w:after="60"/>
              <w:rPr>
                <w:rFonts w:asciiTheme="minorHAnsi" w:hAnsiTheme="minorHAnsi" w:cstheme="minorHAnsi"/>
                <w:sz w:val="22"/>
                <w:szCs w:val="20"/>
              </w:rPr>
            </w:pPr>
            <w:r w:rsidRPr="00F23D72">
              <w:rPr>
                <w:rFonts w:asciiTheme="minorHAnsi" w:hAnsiTheme="minorHAnsi" w:cstheme="minorHAnsi"/>
                <w:sz w:val="22"/>
                <w:szCs w:val="20"/>
              </w:rPr>
              <w:t>Within six months of mobilisation</w:t>
            </w:r>
          </w:p>
        </w:tc>
      </w:tr>
    </w:tbl>
    <w:p w14:paraId="0EAD3490" w14:textId="55080658" w:rsidR="00102F6E" w:rsidRPr="00974377" w:rsidRDefault="00102F6E" w:rsidP="00901522">
      <w:pPr>
        <w:tabs>
          <w:tab w:val="left" w:pos="284"/>
        </w:tabs>
        <w:spacing w:line="280" w:lineRule="exact"/>
        <w:rPr>
          <w:b/>
          <w:bCs/>
          <w:sz w:val="21"/>
        </w:rPr>
      </w:pPr>
    </w:p>
    <w:p w14:paraId="14713B5B" w14:textId="59E86E88" w:rsidR="00901522" w:rsidRPr="00C646E7" w:rsidRDefault="00545E36" w:rsidP="00DC00DC">
      <w:pPr>
        <w:tabs>
          <w:tab w:val="left" w:pos="284"/>
        </w:tabs>
        <w:spacing w:line="280" w:lineRule="auto"/>
        <w:ind w:hanging="2"/>
        <w:rPr>
          <w:rFonts w:asciiTheme="majorHAnsi" w:hAnsiTheme="majorHAnsi"/>
          <w:sz w:val="22"/>
          <w:szCs w:val="20"/>
        </w:rPr>
      </w:pPr>
      <w:r w:rsidRPr="00C646E7">
        <w:rPr>
          <w:rFonts w:asciiTheme="majorHAnsi" w:hAnsiTheme="majorHAnsi" w:cstheme="majorHAnsi"/>
          <w:sz w:val="22"/>
          <w:szCs w:val="22"/>
        </w:rPr>
        <w:t xml:space="preserve">Given </w:t>
      </w:r>
      <w:r w:rsidR="000F42BF" w:rsidRPr="00C646E7">
        <w:rPr>
          <w:rFonts w:asciiTheme="majorHAnsi" w:hAnsiTheme="majorHAnsi" w:cstheme="majorHAnsi"/>
          <w:sz w:val="22"/>
          <w:szCs w:val="22"/>
        </w:rPr>
        <w:t>the program’s</w:t>
      </w:r>
      <w:r w:rsidRPr="00C646E7">
        <w:rPr>
          <w:rFonts w:asciiTheme="majorHAnsi" w:hAnsiTheme="majorHAnsi" w:cstheme="majorHAnsi"/>
          <w:sz w:val="22"/>
          <w:szCs w:val="22"/>
        </w:rPr>
        <w:t xml:space="preserve"> history, </w:t>
      </w:r>
      <w:r w:rsidR="000F42BF" w:rsidRPr="00C646E7">
        <w:rPr>
          <w:rFonts w:asciiTheme="majorHAnsi" w:hAnsiTheme="majorHAnsi" w:cstheme="majorHAnsi"/>
          <w:sz w:val="22"/>
          <w:szCs w:val="22"/>
        </w:rPr>
        <w:t>its</w:t>
      </w:r>
      <w:r w:rsidRPr="00C646E7">
        <w:rPr>
          <w:rFonts w:asciiTheme="majorHAnsi" w:hAnsiTheme="majorHAnsi" w:cstheme="majorHAnsi"/>
          <w:sz w:val="22"/>
          <w:szCs w:val="22"/>
        </w:rPr>
        <w:t xml:space="preserve"> perceived success and range of external platforms at sub-national and national levels, the program will retain the INOVASI name and branding. Clear messaging and talking points will be developed for the new program to use with stakeholders, highlighting the continuity and updates between </w:t>
      </w:r>
      <w:r w:rsidR="00C646E7" w:rsidRPr="00C646E7">
        <w:rPr>
          <w:rFonts w:asciiTheme="majorHAnsi" w:hAnsiTheme="majorHAnsi" w:cstheme="majorHAnsi"/>
          <w:sz w:val="22"/>
          <w:szCs w:val="22"/>
        </w:rPr>
        <w:t>P</w:t>
      </w:r>
      <w:r w:rsidRPr="00C646E7">
        <w:rPr>
          <w:rFonts w:asciiTheme="majorHAnsi" w:hAnsiTheme="majorHAnsi" w:cstheme="majorHAnsi"/>
          <w:sz w:val="22"/>
          <w:szCs w:val="22"/>
        </w:rPr>
        <w:t xml:space="preserve">hases 2 and 3. This will be developed in consultation with DFAT and key </w:t>
      </w:r>
      <w:proofErr w:type="spellStart"/>
      <w:r w:rsidRPr="00C646E7">
        <w:rPr>
          <w:rFonts w:asciiTheme="majorHAnsi" w:hAnsiTheme="majorHAnsi" w:cstheme="majorHAnsi"/>
          <w:sz w:val="22"/>
          <w:szCs w:val="22"/>
        </w:rPr>
        <w:t>GoI</w:t>
      </w:r>
      <w:proofErr w:type="spellEnd"/>
      <w:r w:rsidRPr="00C646E7">
        <w:rPr>
          <w:rFonts w:asciiTheme="majorHAnsi" w:hAnsiTheme="majorHAnsi" w:cstheme="majorHAnsi"/>
          <w:sz w:val="22"/>
          <w:szCs w:val="22"/>
        </w:rPr>
        <w:t xml:space="preserve"> stakeholders</w:t>
      </w:r>
      <w:r w:rsidR="000F42BF" w:rsidRPr="00C646E7">
        <w:rPr>
          <w:rFonts w:asciiTheme="majorHAnsi" w:hAnsiTheme="majorHAnsi" w:cstheme="majorHAnsi"/>
          <w:sz w:val="22"/>
          <w:szCs w:val="22"/>
        </w:rPr>
        <w:t>, and included in the</w:t>
      </w:r>
      <w:r w:rsidR="00C646E7">
        <w:rPr>
          <w:rFonts w:asciiTheme="majorHAnsi" w:hAnsiTheme="majorHAnsi" w:cstheme="majorHAnsi"/>
          <w:sz w:val="22"/>
          <w:szCs w:val="22"/>
        </w:rPr>
        <w:t xml:space="preserve"> program’s </w:t>
      </w:r>
      <w:r w:rsidR="000F42BF" w:rsidRPr="00C646E7">
        <w:rPr>
          <w:rFonts w:asciiTheme="majorHAnsi" w:hAnsiTheme="majorHAnsi"/>
          <w:sz w:val="22"/>
          <w:szCs w:val="20"/>
        </w:rPr>
        <w:t>Communications and Public Diplomacy Strategy</w:t>
      </w:r>
      <w:r w:rsidRPr="00C646E7">
        <w:rPr>
          <w:rFonts w:asciiTheme="majorHAnsi" w:hAnsiTheme="majorHAnsi" w:cstheme="majorHAnsi"/>
          <w:sz w:val="22"/>
          <w:szCs w:val="22"/>
        </w:rPr>
        <w:t xml:space="preserve">. </w:t>
      </w:r>
    </w:p>
    <w:p w14:paraId="7780BF3B" w14:textId="77777777" w:rsidR="007A2D0B" w:rsidRPr="00C646E7" w:rsidRDefault="007A2D0B" w:rsidP="00DC00DC">
      <w:pPr>
        <w:tabs>
          <w:tab w:val="left" w:pos="284"/>
        </w:tabs>
        <w:spacing w:line="280" w:lineRule="auto"/>
        <w:ind w:hanging="2"/>
        <w:rPr>
          <w:rFonts w:asciiTheme="majorHAnsi" w:hAnsiTheme="majorHAnsi"/>
          <w:sz w:val="22"/>
          <w:szCs w:val="20"/>
        </w:rPr>
      </w:pPr>
    </w:p>
    <w:p w14:paraId="7731A9E3" w14:textId="623D0B94" w:rsidR="004F2AF9" w:rsidRPr="00D021CF" w:rsidRDefault="004F2AF9" w:rsidP="008D1844">
      <w:pPr>
        <w:pStyle w:val="Heading1"/>
        <w:numPr>
          <w:ilvl w:val="0"/>
          <w:numId w:val="59"/>
        </w:numPr>
        <w:rPr>
          <w:b w:val="0"/>
          <w:sz w:val="28"/>
          <w:u w:val="single"/>
        </w:rPr>
      </w:pPr>
      <w:r w:rsidRPr="00D021CF">
        <w:rPr>
          <w:sz w:val="28"/>
          <w:u w:val="single"/>
        </w:rPr>
        <w:t>Risk Management and Safeguards (What might go wrong?)</w:t>
      </w:r>
    </w:p>
    <w:p w14:paraId="03EC9C2C" w14:textId="12482EB1" w:rsidR="00861E78" w:rsidRPr="005D716C" w:rsidRDefault="005D716C" w:rsidP="004F02D4">
      <w:pPr>
        <w:pStyle w:val="Heading2"/>
        <w:rPr>
          <w:b/>
          <w:sz w:val="22"/>
          <w:szCs w:val="16"/>
        </w:rPr>
      </w:pPr>
      <w:bookmarkStart w:id="45" w:name="_Toc106986537"/>
      <w:r w:rsidRPr="005D716C">
        <w:rPr>
          <w:b/>
          <w:bCs/>
          <w:caps w:val="0"/>
          <w:sz w:val="22"/>
          <w:szCs w:val="16"/>
        </w:rPr>
        <w:t>R</w:t>
      </w:r>
      <w:bookmarkEnd w:id="45"/>
      <w:r w:rsidRPr="005D716C">
        <w:rPr>
          <w:b/>
          <w:bCs/>
          <w:caps w:val="0"/>
          <w:sz w:val="22"/>
          <w:szCs w:val="16"/>
        </w:rPr>
        <w:t xml:space="preserve">isk Profile </w:t>
      </w:r>
      <w:r w:rsidR="007A2D0B">
        <w:rPr>
          <w:b/>
          <w:bCs/>
          <w:caps w:val="0"/>
          <w:sz w:val="22"/>
          <w:szCs w:val="16"/>
        </w:rPr>
        <w:t>a</w:t>
      </w:r>
      <w:r w:rsidRPr="005D716C">
        <w:rPr>
          <w:b/>
          <w:bCs/>
          <w:caps w:val="0"/>
          <w:sz w:val="22"/>
          <w:szCs w:val="16"/>
        </w:rPr>
        <w:t>nd Strategic Management</w:t>
      </w:r>
    </w:p>
    <w:p w14:paraId="21BBD2C0" w14:textId="4CE286A9" w:rsidR="00861E78" w:rsidRPr="00974377" w:rsidRDefault="00861E78" w:rsidP="004F02D4">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DFAT Risks Screening Tool and </w:t>
      </w:r>
      <w:r w:rsidR="009A4524">
        <w:rPr>
          <w:rFonts w:asciiTheme="majorHAnsi" w:hAnsiTheme="majorHAnsi" w:cstheme="majorHAnsi"/>
          <w:sz w:val="22"/>
          <w:szCs w:val="22"/>
        </w:rPr>
        <w:t>Risk Register</w:t>
      </w:r>
      <w:r w:rsidRPr="00974377">
        <w:rPr>
          <w:rFonts w:asciiTheme="majorHAnsi" w:hAnsiTheme="majorHAnsi" w:cstheme="majorHAnsi"/>
          <w:sz w:val="22"/>
          <w:szCs w:val="22"/>
        </w:rPr>
        <w:t xml:space="preserve"> template has been filled in as part of the </w:t>
      </w:r>
      <w:r w:rsidR="00362ABB">
        <w:rPr>
          <w:rFonts w:asciiTheme="majorHAnsi" w:hAnsiTheme="majorHAnsi" w:cstheme="majorHAnsi"/>
          <w:sz w:val="22"/>
          <w:szCs w:val="22"/>
        </w:rPr>
        <w:t>D</w:t>
      </w:r>
      <w:r w:rsidRPr="00974377">
        <w:rPr>
          <w:rFonts w:asciiTheme="majorHAnsi" w:hAnsiTheme="majorHAnsi" w:cstheme="majorHAnsi"/>
          <w:sz w:val="22"/>
          <w:szCs w:val="22"/>
        </w:rPr>
        <w:t xml:space="preserve">esign </w:t>
      </w:r>
      <w:r w:rsidR="00362ABB">
        <w:rPr>
          <w:rFonts w:asciiTheme="majorHAnsi" w:hAnsiTheme="majorHAnsi" w:cstheme="majorHAnsi"/>
          <w:sz w:val="22"/>
          <w:szCs w:val="22"/>
        </w:rPr>
        <w:t xml:space="preserve">Update </w:t>
      </w:r>
      <w:r w:rsidRPr="00974377">
        <w:rPr>
          <w:rFonts w:asciiTheme="majorHAnsi" w:hAnsiTheme="majorHAnsi" w:cstheme="majorHAnsi"/>
          <w:sz w:val="22"/>
          <w:szCs w:val="22"/>
        </w:rPr>
        <w:t>process</w:t>
      </w:r>
      <w:r w:rsidR="00362ABB">
        <w:rPr>
          <w:rFonts w:asciiTheme="majorHAnsi" w:hAnsiTheme="majorHAnsi" w:cstheme="majorHAnsi"/>
          <w:sz w:val="22"/>
          <w:szCs w:val="22"/>
        </w:rPr>
        <w:t xml:space="preserve">. </w:t>
      </w:r>
      <w:r w:rsidRPr="00974377">
        <w:rPr>
          <w:rFonts w:asciiTheme="majorHAnsi" w:hAnsiTheme="majorHAnsi" w:cstheme="majorHAnsi"/>
          <w:sz w:val="22"/>
          <w:szCs w:val="22"/>
        </w:rPr>
        <w:t xml:space="preserve">The overall inherent risk profile for this investment is high and the residual risk rating is medium. The inherent risk level </w:t>
      </w:r>
      <w:r w:rsidR="00362ABB">
        <w:rPr>
          <w:rFonts w:asciiTheme="majorHAnsi" w:hAnsiTheme="majorHAnsi" w:cstheme="majorHAnsi"/>
          <w:sz w:val="22"/>
          <w:szCs w:val="22"/>
        </w:rPr>
        <w:t>is</w:t>
      </w:r>
      <w:r w:rsidRPr="00974377">
        <w:rPr>
          <w:rFonts w:asciiTheme="majorHAnsi" w:hAnsiTheme="majorHAnsi" w:cstheme="majorHAnsi"/>
          <w:sz w:val="22"/>
          <w:szCs w:val="22"/>
        </w:rPr>
        <w:t xml:space="preserve"> mitigated by the understanding of the context, particularly stakeholder</w:t>
      </w:r>
      <w:r w:rsidR="00362ABB">
        <w:rPr>
          <w:rFonts w:asciiTheme="majorHAnsi" w:hAnsiTheme="majorHAnsi" w:cstheme="majorHAnsi"/>
          <w:sz w:val="22"/>
          <w:szCs w:val="22"/>
        </w:rPr>
        <w:t>s’</w:t>
      </w:r>
      <w:r w:rsidRPr="00974377">
        <w:rPr>
          <w:rFonts w:asciiTheme="majorHAnsi" w:hAnsiTheme="majorHAnsi" w:cstheme="majorHAnsi"/>
          <w:sz w:val="22"/>
          <w:szCs w:val="22"/>
        </w:rPr>
        <w:t xml:space="preserve"> interests, relationships, capacity, and experience, gained through Post’s experience with the previous two phases of INOVASI and its engagement in the preparation and delivery of the design process, and the fact that the program implementation will be delivered through an experienced managing contractor with strong oversight from the DFAT investment manager. </w:t>
      </w:r>
    </w:p>
    <w:p w14:paraId="0D2E32CC" w14:textId="26FE16CD" w:rsidR="00C646E7" w:rsidRPr="00D3210A" w:rsidRDefault="00861E78" w:rsidP="004F02D4">
      <w:pPr>
        <w:pStyle w:val="BodyText"/>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Risk management will be a regular agenda item for discussion at NSC and PSC meetings</w:t>
      </w:r>
      <w:r w:rsidR="00362ABB">
        <w:rPr>
          <w:rFonts w:asciiTheme="majorHAnsi" w:hAnsiTheme="majorHAnsi" w:cstheme="majorHAnsi"/>
          <w:sz w:val="22"/>
          <w:szCs w:val="22"/>
        </w:rPr>
        <w:t>,</w:t>
      </w:r>
      <w:r w:rsidRPr="00974377">
        <w:rPr>
          <w:rFonts w:asciiTheme="majorHAnsi" w:hAnsiTheme="majorHAnsi" w:cstheme="majorHAnsi"/>
          <w:sz w:val="22"/>
          <w:szCs w:val="22"/>
        </w:rPr>
        <w:t xml:space="preserve"> and at periodic meetings between the Program Director and DFAT investment manager. </w:t>
      </w:r>
      <w:r w:rsidR="003843CC">
        <w:rPr>
          <w:rFonts w:asciiTheme="majorHAnsi" w:hAnsiTheme="majorHAnsi" w:cstheme="majorHAnsi"/>
          <w:sz w:val="22"/>
          <w:szCs w:val="22"/>
        </w:rPr>
        <w:t>National and provincial team managers will feed risk updates to DFAT for discussion at the</w:t>
      </w:r>
      <w:r w:rsidR="003843CC" w:rsidRPr="00974377">
        <w:rPr>
          <w:rFonts w:asciiTheme="majorHAnsi" w:hAnsiTheme="majorHAnsi" w:cstheme="majorHAnsi"/>
          <w:sz w:val="22"/>
          <w:szCs w:val="22"/>
        </w:rPr>
        <w:t xml:space="preserve"> </w:t>
      </w:r>
      <w:r w:rsidRPr="00974377">
        <w:rPr>
          <w:rFonts w:asciiTheme="majorHAnsi" w:hAnsiTheme="majorHAnsi" w:cstheme="majorHAnsi"/>
          <w:sz w:val="22"/>
          <w:szCs w:val="22"/>
        </w:rPr>
        <w:t>NSC</w:t>
      </w:r>
      <w:r w:rsidR="00A81A47">
        <w:rPr>
          <w:rFonts w:asciiTheme="majorHAnsi" w:hAnsiTheme="majorHAnsi" w:cstheme="majorHAnsi"/>
          <w:sz w:val="22"/>
          <w:szCs w:val="22"/>
        </w:rPr>
        <w:t>,</w:t>
      </w:r>
      <w:r w:rsidRPr="00974377">
        <w:rPr>
          <w:rFonts w:asciiTheme="majorHAnsi" w:hAnsiTheme="majorHAnsi" w:cstheme="majorHAnsi"/>
          <w:sz w:val="22"/>
          <w:szCs w:val="22"/>
        </w:rPr>
        <w:t xml:space="preserve"> </w:t>
      </w:r>
      <w:r w:rsidR="003843CC">
        <w:rPr>
          <w:rFonts w:asciiTheme="majorHAnsi" w:hAnsiTheme="majorHAnsi" w:cstheme="majorHAnsi"/>
          <w:sz w:val="22"/>
          <w:szCs w:val="22"/>
        </w:rPr>
        <w:t>as</w:t>
      </w:r>
      <w:r w:rsidRPr="00974377">
        <w:rPr>
          <w:rFonts w:asciiTheme="majorHAnsi" w:hAnsiTheme="majorHAnsi" w:cstheme="majorHAnsi"/>
          <w:sz w:val="22"/>
          <w:szCs w:val="22"/>
        </w:rPr>
        <w:t xml:space="preserve"> the forum for reviewing the </w:t>
      </w:r>
      <w:r w:rsidR="009A4524">
        <w:rPr>
          <w:rFonts w:asciiTheme="majorHAnsi" w:hAnsiTheme="majorHAnsi" w:cstheme="majorHAnsi"/>
          <w:sz w:val="22"/>
          <w:szCs w:val="22"/>
        </w:rPr>
        <w:t>risk register</w:t>
      </w:r>
      <w:r w:rsidRPr="00974377">
        <w:rPr>
          <w:rFonts w:asciiTheme="majorHAnsi" w:hAnsiTheme="majorHAnsi" w:cstheme="majorHAnsi"/>
          <w:sz w:val="22"/>
          <w:szCs w:val="22"/>
        </w:rPr>
        <w:t xml:space="preserve"> and discussing risk management arrangements prepared by the implementation team. In addition, Joint Monitoring Missions and Strategy Testing Exercises will provide opportunities to review key risks (see Section F). All these discussions will ensure the implementation team’s processes are sufficient to ensure risks of fiduciary and fraud are mitigated. Additional random spot checks and audits of activities will be conducted when necessary, and a </w:t>
      </w:r>
      <w:r w:rsidR="008475B0" w:rsidRPr="00974377">
        <w:rPr>
          <w:rFonts w:asciiTheme="majorHAnsi" w:hAnsiTheme="majorHAnsi" w:cstheme="majorHAnsi"/>
          <w:sz w:val="22"/>
          <w:szCs w:val="22"/>
        </w:rPr>
        <w:t>zero-tolerance</w:t>
      </w:r>
      <w:r w:rsidRPr="00974377">
        <w:rPr>
          <w:rFonts w:asciiTheme="majorHAnsi" w:hAnsiTheme="majorHAnsi" w:cstheme="majorHAnsi"/>
          <w:sz w:val="22"/>
          <w:szCs w:val="22"/>
        </w:rPr>
        <w:t xml:space="preserve"> policy to fraud will be applied, as per DFAT standards.</w:t>
      </w:r>
    </w:p>
    <w:p w14:paraId="75B13FC1" w14:textId="52FECC3A" w:rsidR="00861E78" w:rsidRPr="005D716C" w:rsidRDefault="005D716C" w:rsidP="004F02D4">
      <w:pPr>
        <w:pStyle w:val="Heading2"/>
        <w:rPr>
          <w:b/>
          <w:sz w:val="22"/>
          <w:szCs w:val="16"/>
        </w:rPr>
      </w:pPr>
      <w:r w:rsidRPr="005D716C">
        <w:rPr>
          <w:b/>
          <w:bCs/>
          <w:caps w:val="0"/>
          <w:sz w:val="22"/>
          <w:szCs w:val="16"/>
        </w:rPr>
        <w:t>Key Risk Areas</w:t>
      </w:r>
    </w:p>
    <w:p w14:paraId="2BE7B923" w14:textId="429B0902" w:rsidR="00861E78" w:rsidRPr="00974377" w:rsidRDefault="00861E78" w:rsidP="004F02D4">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inherent risks of this investment are predominantly in three primary categories: political, </w:t>
      </w:r>
      <w:r w:rsidR="003629B4" w:rsidRPr="00974377">
        <w:rPr>
          <w:rFonts w:asciiTheme="majorHAnsi" w:hAnsiTheme="majorHAnsi" w:cstheme="majorHAnsi"/>
          <w:sz w:val="22"/>
          <w:szCs w:val="22"/>
        </w:rPr>
        <w:t>programming,</w:t>
      </w:r>
      <w:r w:rsidRPr="00974377">
        <w:rPr>
          <w:rFonts w:asciiTheme="majorHAnsi" w:hAnsiTheme="majorHAnsi" w:cstheme="majorHAnsi"/>
          <w:sz w:val="22"/>
          <w:szCs w:val="22"/>
        </w:rPr>
        <w:t xml:space="preserve"> and social. </w:t>
      </w:r>
    </w:p>
    <w:p w14:paraId="093A2B12" w14:textId="2138D661" w:rsidR="00F666C6" w:rsidRPr="00A81A47" w:rsidRDefault="00861E78" w:rsidP="008D1844">
      <w:pPr>
        <w:pStyle w:val="Heading3"/>
        <w:numPr>
          <w:ilvl w:val="0"/>
          <w:numId w:val="63"/>
        </w:numPr>
        <w:rPr>
          <w:rFonts w:cstheme="majorHAnsi"/>
          <w:sz w:val="22"/>
          <w:szCs w:val="22"/>
        </w:rPr>
      </w:pPr>
      <w:r w:rsidRPr="002C247A">
        <w:rPr>
          <w:b/>
          <w:sz w:val="22"/>
          <w:szCs w:val="20"/>
        </w:rPr>
        <w:t>Political risks</w:t>
      </w:r>
    </w:p>
    <w:p w14:paraId="4F6937D8" w14:textId="17226C45" w:rsidR="00CB1AD7" w:rsidRDefault="00CB1AD7" w:rsidP="00CB1AD7">
      <w:pPr>
        <w:spacing w:after="120" w:line="281" w:lineRule="auto"/>
        <w:jc w:val="both"/>
        <w:rPr>
          <w:rFonts w:asciiTheme="majorHAnsi" w:hAnsiTheme="majorHAnsi" w:cstheme="majorHAnsi"/>
          <w:sz w:val="22"/>
          <w:szCs w:val="22"/>
        </w:rPr>
      </w:pPr>
      <w:r>
        <w:rPr>
          <w:rFonts w:asciiTheme="majorHAnsi" w:hAnsiTheme="majorHAnsi" w:cstheme="majorHAnsi"/>
          <w:sz w:val="22"/>
          <w:szCs w:val="22"/>
        </w:rPr>
        <w:t xml:space="preserve">A salient political risk the program might face is a change of priorities following national elections. Based on the analysis that improvement of </w:t>
      </w:r>
      <w:r w:rsidR="00090A20">
        <w:rPr>
          <w:rFonts w:asciiTheme="majorHAnsi" w:hAnsiTheme="majorHAnsi" w:cstheme="majorHAnsi"/>
          <w:sz w:val="22"/>
          <w:szCs w:val="22"/>
        </w:rPr>
        <w:t xml:space="preserve">foundational skills </w:t>
      </w:r>
      <w:r>
        <w:rPr>
          <w:rFonts w:asciiTheme="majorHAnsi" w:hAnsiTheme="majorHAnsi" w:cstheme="majorHAnsi"/>
          <w:sz w:val="22"/>
          <w:szCs w:val="22"/>
        </w:rPr>
        <w:t>learning outcomes will remain a priority for any administration, this risk is unlikely to occur. If it were</w:t>
      </w:r>
      <w:r w:rsidR="00090A20">
        <w:rPr>
          <w:rFonts w:asciiTheme="majorHAnsi" w:hAnsiTheme="majorHAnsi" w:cstheme="majorHAnsi"/>
          <w:sz w:val="22"/>
          <w:szCs w:val="22"/>
        </w:rPr>
        <w:t xml:space="preserve"> </w:t>
      </w:r>
      <w:r>
        <w:rPr>
          <w:rFonts w:asciiTheme="majorHAnsi" w:hAnsiTheme="majorHAnsi" w:cstheme="majorHAnsi"/>
          <w:sz w:val="22"/>
          <w:szCs w:val="22"/>
        </w:rPr>
        <w:t>to occur, the recommended treatment is for the program to focus its messaging on the human resource capacity development and foundational competencies</w:t>
      </w:r>
      <w:r w:rsidRPr="00366E88">
        <w:rPr>
          <w:rFonts w:asciiTheme="majorHAnsi" w:hAnsiTheme="majorHAnsi" w:cstheme="majorHAnsi"/>
          <w:sz w:val="22"/>
          <w:szCs w:val="22"/>
        </w:rPr>
        <w:t xml:space="preserve"> </w:t>
      </w:r>
      <w:r>
        <w:rPr>
          <w:rFonts w:asciiTheme="majorHAnsi" w:hAnsiTheme="majorHAnsi" w:cstheme="majorHAnsi"/>
          <w:sz w:val="22"/>
          <w:szCs w:val="22"/>
        </w:rPr>
        <w:t xml:space="preserve">agenda, both long standing and consensual objectives of Indonesia’s long and medium-term development plans that are consistent with the essential thrust of the reforms. </w:t>
      </w:r>
    </w:p>
    <w:p w14:paraId="67C26B0E" w14:textId="7B89E547" w:rsidR="00CB1AD7" w:rsidRPr="00C002FF" w:rsidRDefault="00090A20" w:rsidP="00CB1AD7">
      <w:pPr>
        <w:spacing w:after="120" w:line="281" w:lineRule="auto"/>
        <w:jc w:val="both"/>
        <w:rPr>
          <w:rFonts w:asciiTheme="majorHAnsi" w:hAnsiTheme="majorHAnsi" w:cstheme="majorHAnsi"/>
          <w:sz w:val="22"/>
          <w:szCs w:val="22"/>
        </w:rPr>
      </w:pPr>
      <w:r>
        <w:rPr>
          <w:rFonts w:asciiTheme="majorHAnsi" w:hAnsiTheme="majorHAnsi" w:cstheme="majorHAnsi"/>
          <w:sz w:val="22"/>
          <w:szCs w:val="22"/>
        </w:rPr>
        <w:t>There is also a risk in relation</w:t>
      </w:r>
      <w:r w:rsidR="00CB1AD7" w:rsidRPr="00C002FF">
        <w:rPr>
          <w:rFonts w:asciiTheme="majorHAnsi" w:hAnsiTheme="majorHAnsi" w:cstheme="majorHAnsi"/>
          <w:sz w:val="22"/>
          <w:szCs w:val="22"/>
        </w:rPr>
        <w:t xml:space="preserve"> to districts’ capacity, agency, and willingness to promote and support </w:t>
      </w:r>
      <w:r>
        <w:rPr>
          <w:rFonts w:asciiTheme="majorHAnsi" w:hAnsiTheme="majorHAnsi" w:cstheme="majorHAnsi"/>
          <w:sz w:val="22"/>
          <w:szCs w:val="22"/>
        </w:rPr>
        <w:t>the</w:t>
      </w:r>
      <w:r w:rsidR="00CB1AD7" w:rsidRPr="00C002FF">
        <w:rPr>
          <w:rFonts w:asciiTheme="majorHAnsi" w:hAnsiTheme="majorHAnsi" w:cstheme="majorHAnsi"/>
          <w:sz w:val="22"/>
          <w:szCs w:val="22"/>
        </w:rPr>
        <w:t xml:space="preserve"> </w:t>
      </w:r>
      <w:r w:rsidRPr="00C002FF">
        <w:rPr>
          <w:rFonts w:asciiTheme="majorHAnsi" w:hAnsiTheme="majorHAnsi" w:cstheme="majorHAnsi"/>
          <w:sz w:val="22"/>
          <w:szCs w:val="22"/>
        </w:rPr>
        <w:t>changes</w:t>
      </w:r>
      <w:r>
        <w:rPr>
          <w:rFonts w:asciiTheme="majorHAnsi" w:hAnsiTheme="majorHAnsi" w:cstheme="majorHAnsi"/>
          <w:sz w:val="22"/>
          <w:szCs w:val="22"/>
        </w:rPr>
        <w:t xml:space="preserve"> required to implement the</w:t>
      </w:r>
      <w:r w:rsidRPr="00090A20">
        <w:rPr>
          <w:rFonts w:asciiTheme="majorHAnsi" w:hAnsiTheme="majorHAnsi" w:cstheme="majorHAnsi"/>
          <w:sz w:val="22"/>
          <w:szCs w:val="22"/>
        </w:rPr>
        <w:t xml:space="preserve"> </w:t>
      </w:r>
      <w:r w:rsidRPr="00C002FF">
        <w:rPr>
          <w:rFonts w:asciiTheme="majorHAnsi" w:hAnsiTheme="majorHAnsi" w:cstheme="majorHAnsi"/>
          <w:sz w:val="22"/>
          <w:szCs w:val="22"/>
        </w:rPr>
        <w:t>extensive reform</w:t>
      </w:r>
      <w:r>
        <w:rPr>
          <w:rFonts w:asciiTheme="majorHAnsi" w:hAnsiTheme="majorHAnsi" w:cstheme="majorHAnsi"/>
          <w:sz w:val="22"/>
          <w:szCs w:val="22"/>
        </w:rPr>
        <w:t xml:space="preserve"> of</w:t>
      </w:r>
      <w:r w:rsidRPr="00C002FF">
        <w:rPr>
          <w:rFonts w:asciiTheme="majorHAnsi" w:hAnsiTheme="majorHAnsi" w:cstheme="majorHAnsi"/>
          <w:sz w:val="22"/>
          <w:szCs w:val="22"/>
        </w:rPr>
        <w:t xml:space="preserve"> the education sector put in place by the current administration</w:t>
      </w:r>
      <w:r w:rsidR="00CB1AD7" w:rsidRPr="00C002FF">
        <w:rPr>
          <w:rFonts w:asciiTheme="majorHAnsi" w:hAnsiTheme="majorHAnsi" w:cstheme="majorHAnsi"/>
          <w:sz w:val="22"/>
          <w:szCs w:val="22"/>
        </w:rPr>
        <w:t>. Based on a recent INOVASI assessment, the capacity of partner districts’ local education offices to guide and monitor schools’ delivery of learning and to strengthen local systems for teacher support</w:t>
      </w:r>
      <w:r w:rsidR="00CB1AD7">
        <w:rPr>
          <w:rFonts w:asciiTheme="majorHAnsi" w:hAnsiTheme="majorHAnsi" w:cstheme="majorHAnsi"/>
          <w:sz w:val="22"/>
          <w:szCs w:val="22"/>
        </w:rPr>
        <w:t>,</w:t>
      </w:r>
      <w:r w:rsidR="00CB1AD7" w:rsidRPr="00C002FF">
        <w:rPr>
          <w:rFonts w:asciiTheme="majorHAnsi" w:hAnsiTheme="majorHAnsi" w:cstheme="majorHAnsi"/>
          <w:sz w:val="22"/>
          <w:szCs w:val="22"/>
        </w:rPr>
        <w:t xml:space="preserve"> is </w:t>
      </w:r>
      <w:r w:rsidR="00CB1AD7">
        <w:rPr>
          <w:rFonts w:asciiTheme="majorHAnsi" w:hAnsiTheme="majorHAnsi" w:cstheme="majorHAnsi"/>
          <w:sz w:val="22"/>
          <w:szCs w:val="22"/>
        </w:rPr>
        <w:t>still</w:t>
      </w:r>
      <w:r w:rsidR="00CB1AD7" w:rsidRPr="00C002FF">
        <w:rPr>
          <w:rFonts w:asciiTheme="majorHAnsi" w:hAnsiTheme="majorHAnsi" w:cstheme="majorHAnsi"/>
          <w:sz w:val="22"/>
          <w:szCs w:val="22"/>
        </w:rPr>
        <w:t xml:space="preserve"> emergent after the COVID-19 pandemic’s disruptions. The reforms’ provisions to enable local governments to plan and manage these transformations at the school level are currently limited. </w:t>
      </w:r>
    </w:p>
    <w:p w14:paraId="40F7318C" w14:textId="43D78754" w:rsidR="00861E78" w:rsidRPr="00C002FF" w:rsidRDefault="00090A20" w:rsidP="004F02D4">
      <w:pPr>
        <w:spacing w:after="120" w:line="281" w:lineRule="auto"/>
        <w:rPr>
          <w:rFonts w:asciiTheme="majorHAnsi" w:hAnsiTheme="majorHAnsi" w:cstheme="majorHAnsi"/>
          <w:sz w:val="22"/>
          <w:szCs w:val="22"/>
        </w:rPr>
      </w:pPr>
      <w:r>
        <w:rPr>
          <w:rFonts w:asciiTheme="majorHAnsi" w:hAnsiTheme="majorHAnsi" w:cstheme="majorHAnsi"/>
          <w:sz w:val="22"/>
          <w:szCs w:val="22"/>
        </w:rPr>
        <w:t>Another</w:t>
      </w:r>
      <w:r w:rsidR="00861E78" w:rsidRPr="00C002FF">
        <w:rPr>
          <w:rFonts w:asciiTheme="majorHAnsi" w:hAnsiTheme="majorHAnsi" w:cstheme="majorHAnsi"/>
          <w:sz w:val="22"/>
          <w:szCs w:val="22"/>
        </w:rPr>
        <w:t xml:space="preserve"> risk relates to the range and depth of teachers’ upskilling required for improved outcomes in literacy and numeracy and the fact that it may not be adequately resourced at any level of government. </w:t>
      </w:r>
      <w:r w:rsidR="00861E78" w:rsidRPr="00C002FF">
        <w:rPr>
          <w:rFonts w:asciiTheme="majorHAnsi" w:hAnsiTheme="majorHAnsi" w:cstheme="majorHAnsi"/>
          <w:sz w:val="22"/>
          <w:szCs w:val="22"/>
        </w:rPr>
        <w:lastRenderedPageBreak/>
        <w:t>The focus on the domains of literacy and numeracy in the new national curriculum is new to most teachers, as are the pedagogies required for inclusive teaching and the use of a digital platform to access resources for their students and their own professional development</w:t>
      </w:r>
      <w:r w:rsidR="00861E78" w:rsidRPr="004B436E">
        <w:rPr>
          <w:rFonts w:asciiTheme="majorHAnsi" w:hAnsiTheme="majorHAnsi" w:cstheme="majorHAnsi"/>
          <w:sz w:val="22"/>
          <w:szCs w:val="22"/>
        </w:rPr>
        <w:t xml:space="preserve">. </w:t>
      </w:r>
      <w:r w:rsidR="00861E78" w:rsidRPr="000C52F7">
        <w:rPr>
          <w:rFonts w:asciiTheme="majorHAnsi" w:hAnsiTheme="majorHAnsi" w:cstheme="majorHAnsi"/>
          <w:sz w:val="22"/>
          <w:szCs w:val="22"/>
        </w:rPr>
        <w:t>District budgets for teacher quality improvement are minimal</w:t>
      </w:r>
      <w:r w:rsidR="000E55CE" w:rsidRPr="000C52F7">
        <w:rPr>
          <w:rFonts w:asciiTheme="majorHAnsi" w:hAnsiTheme="majorHAnsi" w:cstheme="majorHAnsi"/>
          <w:sz w:val="22"/>
          <w:szCs w:val="22"/>
        </w:rPr>
        <w:t>,</w:t>
      </w:r>
      <w:r w:rsidR="00861E78" w:rsidRPr="000C52F7">
        <w:rPr>
          <w:rFonts w:asciiTheme="majorHAnsi" w:hAnsiTheme="majorHAnsi" w:cstheme="majorHAnsi"/>
          <w:sz w:val="22"/>
          <w:szCs w:val="22"/>
        </w:rPr>
        <w:t xml:space="preserve"> and the provincial resources provided by central government </w:t>
      </w:r>
      <w:r w:rsidR="00AD2D19" w:rsidRPr="000C52F7">
        <w:rPr>
          <w:rFonts w:asciiTheme="majorHAnsi" w:hAnsiTheme="majorHAnsi" w:cstheme="majorHAnsi"/>
          <w:sz w:val="22"/>
          <w:szCs w:val="22"/>
        </w:rPr>
        <w:t xml:space="preserve">to support teacher quality improvement </w:t>
      </w:r>
      <w:r w:rsidR="00861E78" w:rsidRPr="000C52F7">
        <w:rPr>
          <w:rFonts w:asciiTheme="majorHAnsi" w:hAnsiTheme="majorHAnsi" w:cstheme="majorHAnsi"/>
          <w:sz w:val="22"/>
          <w:szCs w:val="22"/>
        </w:rPr>
        <w:t>do not have the reach nor capacities to support transformation of practice at the grassroots level.</w:t>
      </w:r>
      <w:r w:rsidR="00861E78" w:rsidRPr="00C002FF">
        <w:rPr>
          <w:rFonts w:asciiTheme="majorHAnsi" w:hAnsiTheme="majorHAnsi" w:cstheme="majorHAnsi"/>
          <w:sz w:val="22"/>
          <w:szCs w:val="22"/>
        </w:rPr>
        <w:t xml:space="preserve">  </w:t>
      </w:r>
    </w:p>
    <w:p w14:paraId="75BC132B" w14:textId="1F005EAF" w:rsidR="0010796F" w:rsidRDefault="00861E78" w:rsidP="004F02D4">
      <w:pPr>
        <w:spacing w:after="120" w:line="281" w:lineRule="auto"/>
        <w:rPr>
          <w:rFonts w:asciiTheme="majorHAnsi" w:hAnsiTheme="majorHAnsi" w:cstheme="majorHAnsi"/>
          <w:sz w:val="22"/>
          <w:szCs w:val="22"/>
        </w:rPr>
      </w:pPr>
      <w:r w:rsidRPr="00C002FF">
        <w:rPr>
          <w:rFonts w:asciiTheme="majorHAnsi" w:hAnsiTheme="majorHAnsi" w:cstheme="majorHAnsi"/>
          <w:sz w:val="22"/>
          <w:szCs w:val="22"/>
        </w:rPr>
        <w:t>Through the proposed treatment, the residual risk level for all in the political category is medium</w:t>
      </w:r>
      <w:r w:rsidRPr="00DA3F8B">
        <w:rPr>
          <w:rFonts w:asciiTheme="majorHAnsi" w:hAnsiTheme="majorHAnsi" w:cstheme="majorHAnsi"/>
          <w:sz w:val="22"/>
          <w:szCs w:val="22"/>
        </w:rPr>
        <w:t xml:space="preserve">. The main treatment of these risks is the </w:t>
      </w:r>
      <w:r w:rsidR="00187B36" w:rsidRPr="00DA3F8B">
        <w:rPr>
          <w:rFonts w:asciiTheme="majorHAnsi" w:hAnsiTheme="majorHAnsi" w:cstheme="majorHAnsi"/>
          <w:sz w:val="22"/>
          <w:szCs w:val="22"/>
        </w:rPr>
        <w:t xml:space="preserve">program’s support for the strengthening of </w:t>
      </w:r>
      <w:r w:rsidR="00800589" w:rsidRPr="00DA3F8B">
        <w:rPr>
          <w:rFonts w:asciiTheme="majorHAnsi" w:hAnsiTheme="majorHAnsi" w:cstheme="majorHAnsi"/>
          <w:sz w:val="22"/>
          <w:szCs w:val="22"/>
        </w:rPr>
        <w:t xml:space="preserve">existing </w:t>
      </w:r>
      <w:r w:rsidR="00187B36" w:rsidRPr="00DA3F8B">
        <w:rPr>
          <w:rFonts w:asciiTheme="majorHAnsi" w:hAnsiTheme="majorHAnsi" w:cstheme="majorHAnsi"/>
          <w:sz w:val="22"/>
          <w:szCs w:val="22"/>
        </w:rPr>
        <w:t xml:space="preserve">district </w:t>
      </w:r>
      <w:r w:rsidR="002144FA" w:rsidRPr="00DA3F8B">
        <w:rPr>
          <w:rFonts w:asciiTheme="majorHAnsi" w:hAnsiTheme="majorHAnsi" w:cstheme="majorHAnsi"/>
          <w:sz w:val="22"/>
          <w:szCs w:val="22"/>
        </w:rPr>
        <w:t xml:space="preserve">support </w:t>
      </w:r>
      <w:r w:rsidR="00187B36" w:rsidRPr="00DA3F8B">
        <w:rPr>
          <w:rFonts w:asciiTheme="majorHAnsi" w:hAnsiTheme="majorHAnsi" w:cstheme="majorHAnsi"/>
          <w:sz w:val="22"/>
          <w:szCs w:val="22"/>
        </w:rPr>
        <w:t>systems for teacher</w:t>
      </w:r>
      <w:r w:rsidR="002802F4" w:rsidRPr="00EA46CE">
        <w:rPr>
          <w:rFonts w:asciiTheme="majorHAnsi" w:hAnsiTheme="majorHAnsi" w:cstheme="majorHAnsi"/>
          <w:sz w:val="22"/>
          <w:szCs w:val="22"/>
        </w:rPr>
        <w:t>s</w:t>
      </w:r>
      <w:r w:rsidR="00187B36" w:rsidRPr="00DA3F8B">
        <w:rPr>
          <w:rFonts w:asciiTheme="majorHAnsi" w:hAnsiTheme="majorHAnsi" w:cstheme="majorHAnsi"/>
          <w:sz w:val="22"/>
          <w:szCs w:val="22"/>
        </w:rPr>
        <w:t xml:space="preserve"> and principal</w:t>
      </w:r>
      <w:r w:rsidR="002802F4" w:rsidRPr="00EA46CE">
        <w:rPr>
          <w:rFonts w:asciiTheme="majorHAnsi" w:hAnsiTheme="majorHAnsi" w:cstheme="majorHAnsi"/>
          <w:sz w:val="22"/>
          <w:szCs w:val="22"/>
        </w:rPr>
        <w:t>s</w:t>
      </w:r>
      <w:r w:rsidR="00187B36" w:rsidRPr="00DA3F8B">
        <w:rPr>
          <w:rFonts w:asciiTheme="majorHAnsi" w:hAnsiTheme="majorHAnsi" w:cstheme="majorHAnsi"/>
          <w:sz w:val="22"/>
          <w:szCs w:val="22"/>
        </w:rPr>
        <w:t xml:space="preserve"> </w:t>
      </w:r>
      <w:r w:rsidR="008F4CFF" w:rsidRPr="00DA3F8B">
        <w:rPr>
          <w:rFonts w:asciiTheme="majorHAnsi" w:hAnsiTheme="majorHAnsi" w:cstheme="majorHAnsi"/>
          <w:sz w:val="22"/>
          <w:szCs w:val="22"/>
        </w:rPr>
        <w:t>(</w:t>
      </w:r>
      <w:r w:rsidR="007F7020" w:rsidRPr="00DA3F8B">
        <w:rPr>
          <w:rFonts w:asciiTheme="majorHAnsi" w:hAnsiTheme="majorHAnsi" w:cstheme="majorHAnsi"/>
          <w:sz w:val="22"/>
          <w:szCs w:val="22"/>
        </w:rPr>
        <w:t>i.e.,</w:t>
      </w:r>
      <w:r w:rsidR="002144FA" w:rsidRPr="00DA3F8B">
        <w:rPr>
          <w:rFonts w:asciiTheme="majorHAnsi" w:hAnsiTheme="majorHAnsi" w:cstheme="majorHAnsi"/>
          <w:sz w:val="22"/>
          <w:szCs w:val="22"/>
        </w:rPr>
        <w:t xml:space="preserve"> the</w:t>
      </w:r>
      <w:r w:rsidR="008F4CFF" w:rsidRPr="00DA3F8B">
        <w:rPr>
          <w:rFonts w:asciiTheme="majorHAnsi" w:hAnsiTheme="majorHAnsi" w:cstheme="majorHAnsi"/>
          <w:sz w:val="22"/>
          <w:szCs w:val="22"/>
        </w:rPr>
        <w:t xml:space="preserve"> teacher and principal working groups)</w:t>
      </w:r>
      <w:r w:rsidR="00556641" w:rsidRPr="00DA3F8B">
        <w:rPr>
          <w:rFonts w:asciiTheme="majorHAnsi" w:hAnsiTheme="majorHAnsi" w:cstheme="majorHAnsi"/>
          <w:sz w:val="22"/>
          <w:szCs w:val="22"/>
        </w:rPr>
        <w:t xml:space="preserve"> as sustainable </w:t>
      </w:r>
      <w:r w:rsidR="002144FA" w:rsidRPr="00DA3F8B">
        <w:rPr>
          <w:rFonts w:asciiTheme="majorHAnsi" w:hAnsiTheme="majorHAnsi" w:cstheme="majorHAnsi"/>
          <w:sz w:val="22"/>
          <w:szCs w:val="22"/>
        </w:rPr>
        <w:t xml:space="preserve">mechanisms for </w:t>
      </w:r>
      <w:r w:rsidR="00556641" w:rsidRPr="00DA3F8B">
        <w:rPr>
          <w:rFonts w:asciiTheme="majorHAnsi" w:hAnsiTheme="majorHAnsi" w:cstheme="majorHAnsi"/>
          <w:sz w:val="22"/>
          <w:szCs w:val="22"/>
        </w:rPr>
        <w:t>teaching quality improvement</w:t>
      </w:r>
      <w:r w:rsidR="002144FA" w:rsidRPr="00DA3F8B">
        <w:rPr>
          <w:rFonts w:asciiTheme="majorHAnsi" w:hAnsiTheme="majorHAnsi" w:cstheme="majorHAnsi"/>
          <w:sz w:val="22"/>
          <w:szCs w:val="22"/>
        </w:rPr>
        <w:t>,</w:t>
      </w:r>
      <w:r w:rsidR="008F4CFF" w:rsidRPr="00DA3F8B">
        <w:rPr>
          <w:rFonts w:asciiTheme="majorHAnsi" w:hAnsiTheme="majorHAnsi" w:cstheme="majorHAnsi"/>
          <w:sz w:val="22"/>
          <w:szCs w:val="22"/>
        </w:rPr>
        <w:t xml:space="preserve"> and </w:t>
      </w:r>
      <w:r w:rsidR="002144FA" w:rsidRPr="00DA3F8B">
        <w:rPr>
          <w:rFonts w:asciiTheme="majorHAnsi" w:hAnsiTheme="majorHAnsi" w:cstheme="majorHAnsi"/>
          <w:sz w:val="22"/>
          <w:szCs w:val="22"/>
        </w:rPr>
        <w:t>the</w:t>
      </w:r>
      <w:r w:rsidR="00187B36" w:rsidRPr="00DA3F8B">
        <w:rPr>
          <w:rFonts w:asciiTheme="majorHAnsi" w:hAnsiTheme="majorHAnsi" w:cstheme="majorHAnsi"/>
          <w:sz w:val="22"/>
          <w:szCs w:val="22"/>
        </w:rPr>
        <w:t xml:space="preserve"> </w:t>
      </w:r>
      <w:r w:rsidRPr="00DA3F8B">
        <w:rPr>
          <w:rFonts w:asciiTheme="majorHAnsi" w:hAnsiTheme="majorHAnsi" w:cstheme="majorHAnsi"/>
          <w:sz w:val="22"/>
          <w:szCs w:val="22"/>
        </w:rPr>
        <w:t>development of district ecosystems for inclusive education service delivery as central strateg</w:t>
      </w:r>
      <w:r w:rsidR="008F4CFF" w:rsidRPr="00DA3F8B">
        <w:rPr>
          <w:rFonts w:asciiTheme="majorHAnsi" w:hAnsiTheme="majorHAnsi" w:cstheme="majorHAnsi"/>
          <w:sz w:val="22"/>
          <w:szCs w:val="22"/>
        </w:rPr>
        <w:t>ies</w:t>
      </w:r>
      <w:r w:rsidRPr="00DA3F8B">
        <w:rPr>
          <w:rFonts w:asciiTheme="majorHAnsi" w:hAnsiTheme="majorHAnsi" w:cstheme="majorHAnsi"/>
          <w:sz w:val="22"/>
          <w:szCs w:val="22"/>
        </w:rPr>
        <w:t xml:space="preserve"> of the program</w:t>
      </w:r>
      <w:r w:rsidR="00187B36" w:rsidRPr="00DA3F8B">
        <w:rPr>
          <w:rFonts w:asciiTheme="majorHAnsi" w:hAnsiTheme="majorHAnsi" w:cstheme="majorHAnsi"/>
          <w:sz w:val="22"/>
          <w:szCs w:val="22"/>
        </w:rPr>
        <w:t>.</w:t>
      </w:r>
      <w:r w:rsidR="00556641" w:rsidRPr="00DA3F8B">
        <w:rPr>
          <w:rFonts w:asciiTheme="majorHAnsi" w:hAnsiTheme="majorHAnsi" w:cstheme="majorHAnsi"/>
          <w:sz w:val="22"/>
          <w:szCs w:val="22"/>
        </w:rPr>
        <w:t xml:space="preserve"> </w:t>
      </w:r>
      <w:r w:rsidR="00187B36" w:rsidRPr="00DA3F8B">
        <w:rPr>
          <w:rFonts w:asciiTheme="majorHAnsi" w:hAnsiTheme="majorHAnsi" w:cstheme="majorHAnsi"/>
          <w:sz w:val="22"/>
          <w:szCs w:val="22"/>
        </w:rPr>
        <w:t xml:space="preserve"> </w:t>
      </w:r>
      <w:r w:rsidR="008F4CFF" w:rsidRPr="00DA3F8B">
        <w:rPr>
          <w:rFonts w:asciiTheme="majorHAnsi" w:hAnsiTheme="majorHAnsi" w:cstheme="majorHAnsi"/>
          <w:sz w:val="22"/>
          <w:szCs w:val="22"/>
        </w:rPr>
        <w:t>Within the ecosystem</w:t>
      </w:r>
      <w:r w:rsidR="002144FA" w:rsidRPr="00DA3F8B">
        <w:rPr>
          <w:rFonts w:asciiTheme="majorHAnsi" w:hAnsiTheme="majorHAnsi" w:cstheme="majorHAnsi"/>
          <w:sz w:val="22"/>
          <w:szCs w:val="22"/>
        </w:rPr>
        <w:t>s</w:t>
      </w:r>
      <w:r w:rsidR="008F4CFF" w:rsidRPr="00DA3F8B">
        <w:rPr>
          <w:rFonts w:asciiTheme="majorHAnsi" w:hAnsiTheme="majorHAnsi" w:cstheme="majorHAnsi"/>
          <w:sz w:val="22"/>
          <w:szCs w:val="22"/>
        </w:rPr>
        <w:t xml:space="preserve">, </w:t>
      </w:r>
      <w:r w:rsidRPr="00DA3F8B">
        <w:rPr>
          <w:rFonts w:asciiTheme="majorHAnsi" w:hAnsiTheme="majorHAnsi" w:cstheme="majorHAnsi"/>
          <w:sz w:val="22"/>
          <w:szCs w:val="22"/>
        </w:rPr>
        <w:t xml:space="preserve">the program’s role is to build district leadership capacity for </w:t>
      </w:r>
      <w:r w:rsidR="008F4CFF" w:rsidRPr="00DA3F8B">
        <w:rPr>
          <w:rFonts w:asciiTheme="majorHAnsi" w:hAnsiTheme="majorHAnsi" w:cstheme="majorHAnsi"/>
          <w:sz w:val="22"/>
          <w:szCs w:val="22"/>
        </w:rPr>
        <w:t xml:space="preserve">collaborative </w:t>
      </w:r>
      <w:r w:rsidRPr="00DA3F8B">
        <w:rPr>
          <w:rFonts w:asciiTheme="majorHAnsi" w:hAnsiTheme="majorHAnsi" w:cstheme="majorHAnsi"/>
          <w:sz w:val="22"/>
          <w:szCs w:val="22"/>
        </w:rPr>
        <w:t>reform implementation, and for</w:t>
      </w:r>
      <w:r w:rsidR="000E55CE" w:rsidRPr="00DA3F8B">
        <w:rPr>
          <w:rFonts w:asciiTheme="majorHAnsi" w:hAnsiTheme="majorHAnsi" w:cstheme="majorHAnsi"/>
          <w:sz w:val="22"/>
          <w:szCs w:val="22"/>
        </w:rPr>
        <w:t xml:space="preserve"> </w:t>
      </w:r>
      <w:r w:rsidRPr="00DA3F8B">
        <w:rPr>
          <w:rFonts w:asciiTheme="majorHAnsi" w:hAnsiTheme="majorHAnsi" w:cstheme="majorHAnsi"/>
          <w:sz w:val="22"/>
          <w:szCs w:val="22"/>
        </w:rPr>
        <w:t>mobilising</w:t>
      </w:r>
      <w:r w:rsidR="00AD2D19" w:rsidRPr="00DA3F8B">
        <w:rPr>
          <w:rFonts w:asciiTheme="majorHAnsi" w:hAnsiTheme="majorHAnsi" w:cstheme="majorHAnsi"/>
          <w:sz w:val="22"/>
          <w:szCs w:val="22"/>
        </w:rPr>
        <w:t>,</w:t>
      </w:r>
      <w:r w:rsidRPr="00DA3F8B">
        <w:rPr>
          <w:rFonts w:asciiTheme="majorHAnsi" w:hAnsiTheme="majorHAnsi" w:cstheme="majorHAnsi"/>
          <w:sz w:val="22"/>
          <w:szCs w:val="22"/>
        </w:rPr>
        <w:t xml:space="preserve"> </w:t>
      </w:r>
      <w:r w:rsidR="00013580" w:rsidRPr="00DA3F8B">
        <w:rPr>
          <w:rFonts w:asciiTheme="majorHAnsi" w:hAnsiTheme="majorHAnsi" w:cstheme="majorHAnsi"/>
          <w:sz w:val="22"/>
          <w:szCs w:val="22"/>
        </w:rPr>
        <w:t>leading,</w:t>
      </w:r>
      <w:r w:rsidRPr="00DA3F8B">
        <w:rPr>
          <w:rFonts w:asciiTheme="majorHAnsi" w:hAnsiTheme="majorHAnsi" w:cstheme="majorHAnsi"/>
          <w:sz w:val="22"/>
          <w:szCs w:val="22"/>
        </w:rPr>
        <w:t xml:space="preserve"> and managing partnerships and coalitions to support schools’ inclusive improvement of teaching and learning. The program will also engage with provincial teacher support organisations (BPMP and BGP) as well as Teacher Training Institutes as part of the ecosystem</w:t>
      </w:r>
      <w:r w:rsidR="00FC0BCD" w:rsidRPr="00DA3F8B">
        <w:rPr>
          <w:rFonts w:asciiTheme="majorHAnsi" w:hAnsiTheme="majorHAnsi" w:cstheme="majorHAnsi"/>
          <w:sz w:val="22"/>
          <w:szCs w:val="22"/>
        </w:rPr>
        <w:t>ic</w:t>
      </w:r>
      <w:r w:rsidRPr="00DA3F8B">
        <w:rPr>
          <w:rFonts w:asciiTheme="majorHAnsi" w:hAnsiTheme="majorHAnsi" w:cstheme="majorHAnsi"/>
          <w:sz w:val="22"/>
          <w:szCs w:val="22"/>
        </w:rPr>
        <w:t xml:space="preserve"> approach. It will </w:t>
      </w:r>
      <w:r w:rsidR="00FC0BCD" w:rsidRPr="00DA3F8B">
        <w:rPr>
          <w:rFonts w:asciiTheme="majorHAnsi" w:hAnsiTheme="majorHAnsi" w:cstheme="majorHAnsi"/>
          <w:sz w:val="22"/>
          <w:szCs w:val="22"/>
        </w:rPr>
        <w:t xml:space="preserve">support knowledge sharing and their capacity development </w:t>
      </w:r>
      <w:r w:rsidRPr="00DA3F8B">
        <w:rPr>
          <w:rFonts w:asciiTheme="majorHAnsi" w:hAnsiTheme="majorHAnsi" w:cstheme="majorHAnsi"/>
          <w:sz w:val="22"/>
          <w:szCs w:val="22"/>
        </w:rPr>
        <w:t>as sustainable providers of teacher support in the districts. Coalitions of local gender equality, community and OPD</w:t>
      </w:r>
      <w:r w:rsidR="00187339" w:rsidRPr="00DA3F8B">
        <w:rPr>
          <w:rFonts w:asciiTheme="majorHAnsi" w:hAnsiTheme="majorHAnsi" w:cstheme="majorHAnsi"/>
          <w:sz w:val="22"/>
          <w:szCs w:val="22"/>
        </w:rPr>
        <w:t>s</w:t>
      </w:r>
      <w:r w:rsidRPr="00DA3F8B">
        <w:rPr>
          <w:rFonts w:asciiTheme="majorHAnsi" w:hAnsiTheme="majorHAnsi" w:cstheme="majorHAnsi"/>
          <w:sz w:val="22"/>
          <w:szCs w:val="22"/>
        </w:rPr>
        <w:t xml:space="preserve"> organisations will support the inclusion agenda of the national reforms and the program GEDSI objectives. Engaging central Ministries in monitoring the district’s progress will be a means of developing collaborative national-subnational partnerships for localised policy development. National and provincial steering committees with also be a forum for advocating the sustainability of the reforms through district leadership and systems.</w:t>
      </w:r>
      <w:r w:rsidRPr="00C002FF">
        <w:rPr>
          <w:rFonts w:asciiTheme="majorHAnsi" w:hAnsiTheme="majorHAnsi" w:cstheme="majorHAnsi"/>
          <w:sz w:val="22"/>
          <w:szCs w:val="22"/>
        </w:rPr>
        <w:t xml:space="preserve"> </w:t>
      </w:r>
    </w:p>
    <w:p w14:paraId="0DFDCCC0" w14:textId="23F99D19" w:rsidR="00861E78" w:rsidRPr="00C002FF" w:rsidRDefault="00861E78" w:rsidP="008D1844">
      <w:pPr>
        <w:pStyle w:val="Heading3"/>
        <w:numPr>
          <w:ilvl w:val="0"/>
          <w:numId w:val="61"/>
        </w:numPr>
        <w:rPr>
          <w:rFonts w:cstheme="majorHAnsi"/>
          <w:sz w:val="22"/>
          <w:szCs w:val="22"/>
        </w:rPr>
      </w:pPr>
      <w:r w:rsidRPr="002C247A">
        <w:rPr>
          <w:b/>
          <w:sz w:val="22"/>
          <w:szCs w:val="20"/>
        </w:rPr>
        <w:t>Programming risks</w:t>
      </w:r>
    </w:p>
    <w:p w14:paraId="5CA4ABB4" w14:textId="4977B064" w:rsidR="00861E78" w:rsidRPr="00974377" w:rsidRDefault="00861E78" w:rsidP="004F02D4">
      <w:pPr>
        <w:spacing w:after="120" w:line="281" w:lineRule="auto"/>
        <w:rPr>
          <w:rFonts w:asciiTheme="majorHAnsi" w:hAnsiTheme="majorHAnsi" w:cstheme="majorHAnsi"/>
          <w:sz w:val="22"/>
          <w:szCs w:val="22"/>
        </w:rPr>
      </w:pPr>
      <w:r w:rsidRPr="00C002FF">
        <w:rPr>
          <w:rFonts w:asciiTheme="majorHAnsi" w:hAnsiTheme="majorHAnsi" w:cstheme="majorHAnsi"/>
          <w:sz w:val="22"/>
          <w:szCs w:val="22"/>
        </w:rPr>
        <w:t xml:space="preserve">Three of five inherently high-level risks in this area relate to the program’s objectives in GEDSI areas. The program has high ambitions for its objectives around </w:t>
      </w:r>
      <w:r w:rsidR="000E55CE">
        <w:rPr>
          <w:rFonts w:asciiTheme="majorHAnsi" w:hAnsiTheme="majorHAnsi" w:cstheme="majorHAnsi"/>
          <w:sz w:val="22"/>
          <w:szCs w:val="22"/>
        </w:rPr>
        <w:t>g</w:t>
      </w:r>
      <w:r w:rsidRPr="00C002FF">
        <w:rPr>
          <w:rFonts w:asciiTheme="majorHAnsi" w:hAnsiTheme="majorHAnsi" w:cstheme="majorHAnsi"/>
          <w:sz w:val="22"/>
          <w:szCs w:val="22"/>
        </w:rPr>
        <w:t>ender</w:t>
      </w:r>
      <w:r w:rsidR="000E55CE">
        <w:rPr>
          <w:rFonts w:asciiTheme="majorHAnsi" w:hAnsiTheme="majorHAnsi" w:cstheme="majorHAnsi"/>
          <w:sz w:val="22"/>
          <w:szCs w:val="22"/>
        </w:rPr>
        <w:t xml:space="preserve"> e</w:t>
      </w:r>
      <w:r w:rsidRPr="00C002FF">
        <w:rPr>
          <w:rFonts w:asciiTheme="majorHAnsi" w:hAnsiTheme="majorHAnsi" w:cstheme="majorHAnsi"/>
          <w:sz w:val="22"/>
          <w:szCs w:val="22"/>
        </w:rPr>
        <w:t>quality (IO level) and inclusion of children with a disability (EOPO level), both reflecting the priority of these areas in Australia’s development policy. The gender equality objective for women’s leadership is rated high risk, not because of overt resistance to women’s</w:t>
      </w:r>
      <w:r w:rsidRPr="00974377">
        <w:rPr>
          <w:rFonts w:asciiTheme="majorHAnsi" w:hAnsiTheme="majorHAnsi" w:cstheme="majorHAnsi"/>
          <w:sz w:val="22"/>
          <w:szCs w:val="22"/>
        </w:rPr>
        <w:t xml:space="preserve"> equality</w:t>
      </w:r>
      <w:r w:rsidR="000E55CE">
        <w:rPr>
          <w:rFonts w:asciiTheme="majorHAnsi" w:hAnsiTheme="majorHAnsi" w:cstheme="majorHAnsi"/>
          <w:sz w:val="22"/>
          <w:szCs w:val="22"/>
        </w:rPr>
        <w:t>,</w:t>
      </w:r>
      <w:r w:rsidRPr="00974377">
        <w:rPr>
          <w:rFonts w:asciiTheme="majorHAnsi" w:hAnsiTheme="majorHAnsi" w:cstheme="majorHAnsi"/>
          <w:sz w:val="22"/>
          <w:szCs w:val="22"/>
        </w:rPr>
        <w:t xml:space="preserve"> but rather due to the prevailing perception there is no discrimination and the realisation that changing mindsets about</w:t>
      </w:r>
      <w:r w:rsidR="000E55CE">
        <w:rPr>
          <w:rFonts w:asciiTheme="majorHAnsi" w:hAnsiTheme="majorHAnsi" w:cstheme="majorHAnsi"/>
          <w:sz w:val="22"/>
          <w:szCs w:val="22"/>
        </w:rPr>
        <w:t xml:space="preserve"> social</w:t>
      </w:r>
      <w:r w:rsidRPr="00974377">
        <w:rPr>
          <w:rFonts w:asciiTheme="majorHAnsi" w:hAnsiTheme="majorHAnsi" w:cstheme="majorHAnsi"/>
          <w:sz w:val="22"/>
          <w:szCs w:val="22"/>
        </w:rPr>
        <w:t xml:space="preserve"> norms underlying structural discrimination will be challenging. Effectively supporting the implementation of the Presidential Regulation for Reasonable Accommodation will help address the barriers to supporting all children’s learning in mainstream schools. However, the financial and planning implications for governments are demanding</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w:t>
      </w:r>
      <w:r w:rsidR="00800589">
        <w:rPr>
          <w:rFonts w:asciiTheme="majorHAnsi" w:hAnsiTheme="majorHAnsi" w:cstheme="majorHAnsi"/>
          <w:sz w:val="22"/>
          <w:szCs w:val="22"/>
        </w:rPr>
        <w:t xml:space="preserve">and </w:t>
      </w:r>
      <w:r w:rsidRPr="00974377">
        <w:rPr>
          <w:rFonts w:asciiTheme="majorHAnsi" w:hAnsiTheme="majorHAnsi" w:cstheme="majorHAnsi"/>
          <w:sz w:val="22"/>
          <w:szCs w:val="22"/>
        </w:rPr>
        <w:t xml:space="preserve">the program needs to strategically embed its support in governments’ budgeted policy commitments to start on the implementation. </w:t>
      </w:r>
    </w:p>
    <w:p w14:paraId="4803A09D" w14:textId="0F5BDE7B" w:rsidR="00861E78" w:rsidRPr="00974377" w:rsidRDefault="00861E78" w:rsidP="004F02D4">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management of the gender equality risk is tethered to the provision of strong evidence for policy dialogue at national and district level on the obstacles to women’s equal representation in these positions. Working with the Ministry for Women’s Empowerment and Child Protection, the program will support government to review its tools for identifying discriminatory provisions in policy and recruitment </w:t>
      </w:r>
      <w:proofErr w:type="gramStart"/>
      <w:r w:rsidRPr="00974377">
        <w:rPr>
          <w:rFonts w:asciiTheme="majorHAnsi" w:hAnsiTheme="majorHAnsi" w:cstheme="majorHAnsi"/>
          <w:sz w:val="22"/>
          <w:szCs w:val="22"/>
        </w:rPr>
        <w:t>practices, and</w:t>
      </w:r>
      <w:proofErr w:type="gramEnd"/>
      <w:r w:rsidRPr="00974377">
        <w:rPr>
          <w:rFonts w:asciiTheme="majorHAnsi" w:hAnsiTheme="majorHAnsi" w:cstheme="majorHAnsi"/>
          <w:sz w:val="22"/>
          <w:szCs w:val="22"/>
        </w:rPr>
        <w:t xml:space="preserve"> build the analytical capacity of relevant units involved in teacher and principal career development to use these tools.</w:t>
      </w:r>
      <w:r w:rsidR="000E55CE">
        <w:rPr>
          <w:rFonts w:asciiTheme="majorHAnsi" w:hAnsiTheme="majorHAnsi" w:cstheme="majorHAnsi"/>
          <w:sz w:val="22"/>
          <w:szCs w:val="22"/>
        </w:rPr>
        <w:t xml:space="preserve"> </w:t>
      </w:r>
      <w:r w:rsidRPr="00974377">
        <w:rPr>
          <w:rFonts w:asciiTheme="majorHAnsi" w:hAnsiTheme="majorHAnsi" w:cstheme="majorHAnsi"/>
          <w:sz w:val="22"/>
          <w:szCs w:val="22"/>
        </w:rPr>
        <w:t>To support the implementation of the Regulation</w:t>
      </w:r>
      <w:r w:rsidR="00800589">
        <w:rPr>
          <w:rFonts w:asciiTheme="majorHAnsi" w:hAnsiTheme="majorHAnsi" w:cstheme="majorHAnsi"/>
          <w:sz w:val="22"/>
          <w:szCs w:val="22"/>
        </w:rPr>
        <w:t xml:space="preserve"> on Reasonable Accommodation for children with a disability</w:t>
      </w:r>
      <w:r w:rsidRPr="00974377">
        <w:rPr>
          <w:rFonts w:asciiTheme="majorHAnsi" w:hAnsiTheme="majorHAnsi" w:cstheme="majorHAnsi"/>
          <w:sz w:val="22"/>
          <w:szCs w:val="22"/>
        </w:rPr>
        <w:t xml:space="preserve">, the program will assist government at national level and in partner districts to include specific relevant targets in forthcoming Mid-Term Development Plans and Education Sector </w:t>
      </w:r>
      <w:r w:rsidRPr="00974377">
        <w:rPr>
          <w:rFonts w:asciiTheme="majorHAnsi" w:hAnsiTheme="majorHAnsi" w:cstheme="majorHAnsi"/>
          <w:sz w:val="22"/>
          <w:szCs w:val="22"/>
        </w:rPr>
        <w:lastRenderedPageBreak/>
        <w:t>Strategic Plans</w:t>
      </w:r>
      <w:r w:rsidR="00FC0BCD">
        <w:rPr>
          <w:rFonts w:asciiTheme="majorHAnsi" w:hAnsiTheme="majorHAnsi" w:cstheme="majorHAnsi"/>
          <w:sz w:val="22"/>
          <w:szCs w:val="22"/>
        </w:rPr>
        <w:t>, and associated budgets</w:t>
      </w:r>
      <w:r w:rsidRPr="00974377">
        <w:rPr>
          <w:rFonts w:asciiTheme="majorHAnsi" w:hAnsiTheme="majorHAnsi" w:cstheme="majorHAnsi"/>
          <w:sz w:val="22"/>
          <w:szCs w:val="22"/>
        </w:rPr>
        <w:t xml:space="preserve">. It will also support local </w:t>
      </w:r>
      <w:r w:rsidR="00187339">
        <w:rPr>
          <w:rFonts w:asciiTheme="majorHAnsi" w:hAnsiTheme="majorHAnsi" w:cstheme="majorHAnsi"/>
          <w:sz w:val="22"/>
          <w:szCs w:val="22"/>
        </w:rPr>
        <w:t>OPD</w:t>
      </w:r>
      <w:r w:rsidR="000E55CE">
        <w:rPr>
          <w:rFonts w:asciiTheme="majorHAnsi" w:hAnsiTheme="majorHAnsi" w:cstheme="majorHAnsi"/>
          <w:sz w:val="22"/>
          <w:szCs w:val="22"/>
        </w:rPr>
        <w:t>s</w:t>
      </w:r>
      <w:r w:rsidRPr="00974377">
        <w:rPr>
          <w:rFonts w:asciiTheme="majorHAnsi" w:hAnsiTheme="majorHAnsi" w:cstheme="majorHAnsi"/>
          <w:sz w:val="22"/>
          <w:szCs w:val="22"/>
        </w:rPr>
        <w:t xml:space="preserve"> to develop capacities of teaching specialists in the district service units proposed in the Regulation. This will include optimising their use of INOVASI-supported tools for assisting teachers to understand and effectively target the specific learning needs of children with a disability. The residual risk level for these GEDSI objectives is medium.</w:t>
      </w:r>
    </w:p>
    <w:p w14:paraId="4E357290" w14:textId="74AC2BD3" w:rsidR="00861E78" w:rsidRPr="00974377" w:rsidRDefault="00861E78" w:rsidP="004F02D4">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Two additional high-level programming risks relate to the program’s potential over-extension in supporting the implementation of the new curriculum reforms at subnational level. This might occur at the expense of supporting continuous policy improvement at the national level</w:t>
      </w:r>
      <w:r w:rsidR="000E55CE">
        <w:rPr>
          <w:rFonts w:asciiTheme="majorHAnsi" w:hAnsiTheme="majorHAnsi" w:cstheme="majorHAnsi"/>
          <w:sz w:val="22"/>
          <w:szCs w:val="22"/>
        </w:rPr>
        <w:t>,</w:t>
      </w:r>
      <w:r w:rsidRPr="00974377">
        <w:rPr>
          <w:rFonts w:asciiTheme="majorHAnsi" w:hAnsiTheme="majorHAnsi" w:cstheme="majorHAnsi"/>
          <w:sz w:val="22"/>
          <w:szCs w:val="22"/>
        </w:rPr>
        <w:t xml:space="preserve"> and of generating the necessary underlying basis of evidence - especially important in the context of a new administration in 2024. This risk derives from the </w:t>
      </w:r>
      <w:r w:rsidR="00531D9E" w:rsidRPr="00974377">
        <w:rPr>
          <w:rFonts w:asciiTheme="majorHAnsi" w:hAnsiTheme="majorHAnsi" w:cstheme="majorHAnsi"/>
          <w:sz w:val="22"/>
          <w:szCs w:val="22"/>
        </w:rPr>
        <w:t>high-capacity</w:t>
      </w:r>
      <w:r w:rsidRPr="00974377">
        <w:rPr>
          <w:rFonts w:asciiTheme="majorHAnsi" w:hAnsiTheme="majorHAnsi" w:cstheme="majorHAnsi"/>
          <w:sz w:val="22"/>
          <w:szCs w:val="22"/>
        </w:rPr>
        <w:t xml:space="preserve"> needs of districts in the new curriculum environment described above</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and the </w:t>
      </w:r>
      <w:r w:rsidR="00AD2D19" w:rsidRPr="00974377">
        <w:rPr>
          <w:rFonts w:asciiTheme="majorHAnsi" w:hAnsiTheme="majorHAnsi" w:cstheme="majorHAnsi"/>
          <w:sz w:val="22"/>
          <w:szCs w:val="22"/>
        </w:rPr>
        <w:t xml:space="preserve">likely </w:t>
      </w:r>
      <w:r w:rsidRPr="00974377">
        <w:rPr>
          <w:rFonts w:asciiTheme="majorHAnsi" w:hAnsiTheme="majorHAnsi" w:cstheme="majorHAnsi"/>
          <w:sz w:val="22"/>
          <w:szCs w:val="22"/>
        </w:rPr>
        <w:t xml:space="preserve">extent of their request for program support. </w:t>
      </w:r>
    </w:p>
    <w:p w14:paraId="72924925" w14:textId="742C9553" w:rsidR="000E55CE" w:rsidRDefault="00861E78" w:rsidP="004F02D4">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The risk will be mitigated by the adaptive management of the program, as per the previous phase. This management approach will be promoted by the implementation and Post BEU teams</w:t>
      </w:r>
      <w:r w:rsidR="000E55CE">
        <w:rPr>
          <w:rFonts w:asciiTheme="majorHAnsi" w:hAnsiTheme="majorHAnsi" w:cstheme="majorHAnsi"/>
          <w:sz w:val="22"/>
          <w:szCs w:val="22"/>
        </w:rPr>
        <w:t>,</w:t>
      </w:r>
      <w:r w:rsidRPr="00974377">
        <w:rPr>
          <w:rFonts w:asciiTheme="majorHAnsi" w:hAnsiTheme="majorHAnsi" w:cstheme="majorHAnsi"/>
          <w:sz w:val="22"/>
          <w:szCs w:val="22"/>
        </w:rPr>
        <w:t xml:space="preserve"> and supported by the various strategic management mechanisms they have at their disposal: the program’s Strategy Testing Exercise,</w:t>
      </w:r>
      <w:r w:rsidR="000E55CE">
        <w:rPr>
          <w:rFonts w:asciiTheme="majorHAnsi" w:hAnsiTheme="majorHAnsi" w:cstheme="majorHAnsi"/>
          <w:sz w:val="22"/>
          <w:szCs w:val="22"/>
        </w:rPr>
        <w:t xml:space="preserve"> the</w:t>
      </w:r>
      <w:r w:rsidRPr="00974377">
        <w:rPr>
          <w:rFonts w:asciiTheme="majorHAnsi" w:hAnsiTheme="majorHAnsi" w:cstheme="majorHAnsi"/>
          <w:sz w:val="22"/>
          <w:szCs w:val="22"/>
        </w:rPr>
        <w:t xml:space="preserve"> </w:t>
      </w:r>
      <w:r w:rsidR="003629B4" w:rsidRPr="00974377">
        <w:rPr>
          <w:rFonts w:asciiTheme="majorHAnsi" w:hAnsiTheme="majorHAnsi" w:cstheme="majorHAnsi"/>
          <w:sz w:val="22"/>
          <w:szCs w:val="22"/>
        </w:rPr>
        <w:t>ISAT,</w:t>
      </w:r>
      <w:r w:rsidRPr="00974377">
        <w:rPr>
          <w:rFonts w:asciiTheme="majorHAnsi" w:hAnsiTheme="majorHAnsi" w:cstheme="majorHAnsi"/>
          <w:sz w:val="22"/>
          <w:szCs w:val="22"/>
        </w:rPr>
        <w:t xml:space="preserve"> and</w:t>
      </w:r>
      <w:r w:rsidR="000E55CE">
        <w:rPr>
          <w:rFonts w:asciiTheme="majorHAnsi" w:hAnsiTheme="majorHAnsi" w:cstheme="majorHAnsi"/>
          <w:sz w:val="22"/>
          <w:szCs w:val="22"/>
        </w:rPr>
        <w:t xml:space="preserve"> the </w:t>
      </w:r>
      <w:r w:rsidRPr="00974377">
        <w:rPr>
          <w:rFonts w:asciiTheme="majorHAnsi" w:hAnsiTheme="majorHAnsi" w:cstheme="majorHAnsi"/>
          <w:sz w:val="22"/>
          <w:szCs w:val="22"/>
        </w:rPr>
        <w:t xml:space="preserve">governance arrangements. The BEU </w:t>
      </w:r>
      <w:r w:rsidR="000E55CE">
        <w:rPr>
          <w:rFonts w:asciiTheme="majorHAnsi" w:hAnsiTheme="majorHAnsi" w:cstheme="majorHAnsi"/>
          <w:sz w:val="22"/>
          <w:szCs w:val="22"/>
        </w:rPr>
        <w:t xml:space="preserve">team, </w:t>
      </w:r>
      <w:r w:rsidRPr="00974377">
        <w:rPr>
          <w:rFonts w:asciiTheme="majorHAnsi" w:hAnsiTheme="majorHAnsi" w:cstheme="majorHAnsi"/>
          <w:sz w:val="22"/>
          <w:szCs w:val="22"/>
        </w:rPr>
        <w:t>with support from the ISAT</w:t>
      </w:r>
      <w:r w:rsidR="000E55CE">
        <w:rPr>
          <w:rFonts w:asciiTheme="majorHAnsi" w:hAnsiTheme="majorHAnsi" w:cstheme="majorHAnsi"/>
          <w:sz w:val="22"/>
          <w:szCs w:val="22"/>
        </w:rPr>
        <w:t>,</w:t>
      </w:r>
      <w:r w:rsidRPr="00974377">
        <w:rPr>
          <w:rFonts w:asciiTheme="majorHAnsi" w:hAnsiTheme="majorHAnsi" w:cstheme="majorHAnsi"/>
          <w:sz w:val="22"/>
          <w:szCs w:val="22"/>
        </w:rPr>
        <w:t xml:space="preserve"> will review progress on the </w:t>
      </w:r>
      <w:r w:rsidRPr="004B436E">
        <w:rPr>
          <w:rFonts w:asciiTheme="majorHAnsi" w:hAnsiTheme="majorHAnsi" w:cstheme="majorHAnsi"/>
          <w:sz w:val="22"/>
          <w:szCs w:val="22"/>
        </w:rPr>
        <w:t>policy dialogue matrix</w:t>
      </w:r>
      <w:r w:rsidRPr="00974377">
        <w:rPr>
          <w:rFonts w:asciiTheme="majorHAnsi" w:hAnsiTheme="majorHAnsi" w:cstheme="majorHAnsi"/>
          <w:sz w:val="22"/>
          <w:szCs w:val="22"/>
        </w:rPr>
        <w:t xml:space="preserve"> every six months, with a particular focus on the program’s balance of effort between </w:t>
      </w:r>
      <w:r w:rsidR="00FC0BCD">
        <w:rPr>
          <w:rFonts w:asciiTheme="majorHAnsi" w:hAnsiTheme="majorHAnsi" w:cstheme="majorHAnsi"/>
          <w:sz w:val="22"/>
          <w:szCs w:val="22"/>
        </w:rPr>
        <w:t xml:space="preserve">(support to) </w:t>
      </w:r>
      <w:r w:rsidRPr="00974377">
        <w:rPr>
          <w:rFonts w:asciiTheme="majorHAnsi" w:hAnsiTheme="majorHAnsi" w:cstheme="majorHAnsi"/>
          <w:sz w:val="22"/>
          <w:szCs w:val="22"/>
        </w:rPr>
        <w:t xml:space="preserve">policy development and implementation, the viability and effectiveness of the program’s ecosystem approach, and the </w:t>
      </w:r>
      <w:r w:rsidRPr="00C002FF">
        <w:rPr>
          <w:rFonts w:asciiTheme="majorHAnsi" w:hAnsiTheme="majorHAnsi" w:cstheme="majorHAnsi"/>
          <w:sz w:val="22"/>
          <w:szCs w:val="22"/>
        </w:rPr>
        <w:t xml:space="preserve">strength of the evidence and lessons generated to effectively convince </w:t>
      </w:r>
      <w:proofErr w:type="spellStart"/>
      <w:r w:rsidRPr="00C002FF">
        <w:rPr>
          <w:rFonts w:asciiTheme="majorHAnsi" w:hAnsiTheme="majorHAnsi" w:cstheme="majorHAnsi"/>
          <w:sz w:val="22"/>
          <w:szCs w:val="22"/>
        </w:rPr>
        <w:t>GoI</w:t>
      </w:r>
      <w:proofErr w:type="spellEnd"/>
      <w:r w:rsidRPr="00C002FF">
        <w:rPr>
          <w:rFonts w:asciiTheme="majorHAnsi" w:hAnsiTheme="majorHAnsi" w:cstheme="majorHAnsi"/>
          <w:sz w:val="22"/>
          <w:szCs w:val="22"/>
        </w:rPr>
        <w:t xml:space="preserve"> for scaling out INOVASI approach. Necessary adjustments to the use of program’s resources will be discussed and agreed with the implementation team, and if necessary NSC members. Discussion about the program strategic directions, balance of activities, and impact will also feature in six-monthly NSC meetings. The residual risk level for these programming risks is low. </w:t>
      </w:r>
    </w:p>
    <w:p w14:paraId="7E931BA1" w14:textId="405F8743" w:rsidR="00861E78" w:rsidRPr="00C002FF" w:rsidRDefault="00861E78" w:rsidP="008D1844">
      <w:pPr>
        <w:pStyle w:val="Heading3"/>
        <w:numPr>
          <w:ilvl w:val="0"/>
          <w:numId w:val="61"/>
        </w:numPr>
        <w:rPr>
          <w:rFonts w:cstheme="majorHAnsi"/>
          <w:sz w:val="22"/>
          <w:szCs w:val="22"/>
        </w:rPr>
      </w:pPr>
      <w:r w:rsidRPr="002C247A">
        <w:rPr>
          <w:b/>
          <w:sz w:val="22"/>
          <w:szCs w:val="20"/>
        </w:rPr>
        <w:t>Environmental and social risks</w:t>
      </w:r>
    </w:p>
    <w:p w14:paraId="6C97E965" w14:textId="77777777" w:rsidR="00861E78" w:rsidRPr="00974377" w:rsidRDefault="00861E78" w:rsidP="004F02D4">
      <w:pPr>
        <w:spacing w:after="120" w:line="281" w:lineRule="auto"/>
        <w:rPr>
          <w:rFonts w:asciiTheme="majorHAnsi" w:hAnsiTheme="majorHAnsi" w:cstheme="majorHAnsi"/>
          <w:sz w:val="22"/>
          <w:szCs w:val="22"/>
        </w:rPr>
      </w:pPr>
      <w:r w:rsidRPr="00C002FF">
        <w:rPr>
          <w:rFonts w:asciiTheme="majorHAnsi" w:hAnsiTheme="majorHAnsi" w:cstheme="majorHAnsi"/>
          <w:sz w:val="22"/>
          <w:szCs w:val="22"/>
        </w:rPr>
        <w:t>Social risks relating to child protection</w:t>
      </w:r>
      <w:r w:rsidRPr="00974377">
        <w:rPr>
          <w:rFonts w:asciiTheme="majorHAnsi" w:hAnsiTheme="majorHAnsi" w:cstheme="majorHAnsi"/>
          <w:sz w:val="22"/>
          <w:szCs w:val="22"/>
        </w:rPr>
        <w:t xml:space="preserve"> and vulnerable and disadvantaged groups are identified given the investment involves contacts between implementing partners’ staff and members of these groups. All following risks are identified as medium risks in the investment. </w:t>
      </w:r>
    </w:p>
    <w:p w14:paraId="1AE1B5EA" w14:textId="7EB27683" w:rsidR="00861E78" w:rsidRPr="00974377" w:rsidRDefault="00861E78" w:rsidP="004F02D4">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possibilities of child exploitation, </w:t>
      </w:r>
      <w:r w:rsidR="007F7020" w:rsidRPr="00974377">
        <w:rPr>
          <w:rFonts w:asciiTheme="majorHAnsi" w:hAnsiTheme="majorHAnsi" w:cstheme="majorHAnsi"/>
          <w:sz w:val="22"/>
          <w:szCs w:val="22"/>
        </w:rPr>
        <w:t>abuse,</w:t>
      </w:r>
      <w:r w:rsidRPr="00974377">
        <w:rPr>
          <w:rFonts w:asciiTheme="majorHAnsi" w:hAnsiTheme="majorHAnsi" w:cstheme="majorHAnsi"/>
          <w:sz w:val="22"/>
          <w:szCs w:val="22"/>
        </w:rPr>
        <w:t xml:space="preserve"> or inappropriate behaviour by program personnel, implementing partner personnel or subcontractors, are identified as medium level risks.  </w:t>
      </w:r>
    </w:p>
    <w:p w14:paraId="600C8CFA" w14:textId="53537596" w:rsidR="00861E78" w:rsidRPr="00974377" w:rsidRDefault="00861E78" w:rsidP="004F02D4">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Treatment follows</w:t>
      </w:r>
      <w:r w:rsidRPr="00974377">
        <w:rPr>
          <w:rFonts w:asciiTheme="majorHAnsi" w:hAnsiTheme="majorHAnsi" w:cstheme="majorHAnsi"/>
          <w:i/>
          <w:iCs/>
          <w:sz w:val="22"/>
          <w:szCs w:val="22"/>
        </w:rPr>
        <w:t xml:space="preserve"> </w:t>
      </w:r>
      <w:r w:rsidRPr="00974377">
        <w:rPr>
          <w:rFonts w:asciiTheme="majorHAnsi" w:hAnsiTheme="majorHAnsi" w:cstheme="majorHAnsi"/>
          <w:sz w:val="22"/>
          <w:szCs w:val="22"/>
        </w:rPr>
        <w:t>the DFAT’s Prevention of sexual abuse and harassment (PSEAH) Minimum Standards for treatment at this level of risk. It starts with the development a Child Protection Plan (CPP) that covers off on risk from the point of engagement of personnel or implementing partners, through to review of the plan periodically</w:t>
      </w:r>
      <w:r w:rsidR="00AD2D19" w:rsidRPr="00974377">
        <w:rPr>
          <w:rFonts w:asciiTheme="majorHAnsi" w:hAnsiTheme="majorHAnsi" w:cstheme="majorHAnsi"/>
          <w:sz w:val="22"/>
          <w:szCs w:val="22"/>
        </w:rPr>
        <w:t>,</w:t>
      </w:r>
      <w:r w:rsidRPr="00974377">
        <w:rPr>
          <w:rFonts w:asciiTheme="majorHAnsi" w:hAnsiTheme="majorHAnsi" w:cstheme="majorHAnsi"/>
          <w:sz w:val="22"/>
          <w:szCs w:val="22"/>
        </w:rPr>
        <w:t xml:space="preserve"> to update for unforeseen risks or new circumstances. The implementation team will develop a CPP that conforms with DFAT’s Child Protection Policy, Social Safeguards Policy and PSEAH Minimum Standards. The CPP will have a robust, child-safe recruitment and screening process for all personnel especially those in contact with children. Interview plans will include behaviour-based interview questions, and documentation of applicants will include criminal record checks, verbal referee checks, disclosure of past child exploitation/abuse offences. </w:t>
      </w:r>
      <w:r w:rsidR="00A81A47">
        <w:rPr>
          <w:rFonts w:asciiTheme="majorHAnsi" w:hAnsiTheme="majorHAnsi" w:cstheme="majorHAnsi"/>
          <w:sz w:val="22"/>
          <w:szCs w:val="22"/>
        </w:rPr>
        <w:t>A</w:t>
      </w:r>
      <w:r w:rsidR="00556641">
        <w:rPr>
          <w:rFonts w:asciiTheme="majorHAnsi" w:hAnsiTheme="majorHAnsi" w:cstheme="majorHAnsi"/>
          <w:sz w:val="22"/>
          <w:szCs w:val="22"/>
        </w:rPr>
        <w:t xml:space="preserve"> program’s G</w:t>
      </w:r>
      <w:r w:rsidR="00A81A47">
        <w:rPr>
          <w:rFonts w:asciiTheme="majorHAnsi" w:hAnsiTheme="majorHAnsi" w:cstheme="majorHAnsi"/>
          <w:sz w:val="22"/>
          <w:szCs w:val="22"/>
        </w:rPr>
        <w:t xml:space="preserve">EDSI </w:t>
      </w:r>
      <w:r w:rsidR="00556641">
        <w:rPr>
          <w:rFonts w:asciiTheme="majorHAnsi" w:hAnsiTheme="majorHAnsi" w:cstheme="majorHAnsi"/>
          <w:sz w:val="22"/>
          <w:szCs w:val="22"/>
        </w:rPr>
        <w:t xml:space="preserve">advisor will be involved in the recruitment of personnel who will have contact with children; and all program staff involved </w:t>
      </w:r>
      <w:r w:rsidR="00A81A47">
        <w:rPr>
          <w:rFonts w:asciiTheme="majorHAnsi" w:hAnsiTheme="majorHAnsi" w:cstheme="majorHAnsi"/>
          <w:sz w:val="22"/>
          <w:szCs w:val="22"/>
        </w:rPr>
        <w:t xml:space="preserve">with children </w:t>
      </w:r>
      <w:r w:rsidR="00556641">
        <w:rPr>
          <w:rFonts w:asciiTheme="majorHAnsi" w:hAnsiTheme="majorHAnsi" w:cstheme="majorHAnsi"/>
          <w:sz w:val="22"/>
          <w:szCs w:val="22"/>
        </w:rPr>
        <w:t xml:space="preserve">will be required to have child protection safeguards expertise. </w:t>
      </w:r>
      <w:r w:rsidRPr="00974377">
        <w:rPr>
          <w:rFonts w:asciiTheme="majorHAnsi" w:hAnsiTheme="majorHAnsi" w:cstheme="majorHAnsi"/>
          <w:sz w:val="22"/>
          <w:szCs w:val="22"/>
        </w:rPr>
        <w:t>The CPP will include a formal reporting system for child abuse</w:t>
      </w:r>
      <w:r w:rsidR="00221415">
        <w:rPr>
          <w:rFonts w:asciiTheme="majorHAnsi" w:hAnsiTheme="majorHAnsi" w:cstheme="majorHAnsi"/>
          <w:sz w:val="22"/>
          <w:szCs w:val="22"/>
        </w:rPr>
        <w:t>,</w:t>
      </w:r>
      <w:r w:rsidRPr="00974377">
        <w:rPr>
          <w:rFonts w:asciiTheme="majorHAnsi" w:hAnsiTheme="majorHAnsi" w:cstheme="majorHAnsi"/>
          <w:sz w:val="22"/>
          <w:szCs w:val="22"/>
        </w:rPr>
        <w:t xml:space="preserve"> as well as the availability of </w:t>
      </w:r>
      <w:r w:rsidR="00AD2D19" w:rsidRPr="00974377">
        <w:rPr>
          <w:rFonts w:asciiTheme="majorHAnsi" w:hAnsiTheme="majorHAnsi" w:cstheme="majorHAnsi"/>
          <w:sz w:val="22"/>
          <w:szCs w:val="22"/>
        </w:rPr>
        <w:t xml:space="preserve">a </w:t>
      </w:r>
      <w:r w:rsidRPr="00974377">
        <w:rPr>
          <w:rFonts w:asciiTheme="majorHAnsi" w:hAnsiTheme="majorHAnsi" w:cstheme="majorHAnsi"/>
          <w:sz w:val="22"/>
          <w:szCs w:val="22"/>
        </w:rPr>
        <w:t xml:space="preserve">local help line being made known to local stakeholders to facilitate reporting of occurrences. </w:t>
      </w:r>
    </w:p>
    <w:p w14:paraId="5C892AC9" w14:textId="17282D92" w:rsidR="00861E78" w:rsidRPr="00974377" w:rsidRDefault="00861E78" w:rsidP="004F02D4">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lastRenderedPageBreak/>
        <w:t>The development of the CPP will be followed up by effective communication of the program’s PSEAH policy, risk assessments, and reporting procedures to personnel and relevant partners/ subcontractors.</w:t>
      </w:r>
      <w:r w:rsidR="00DA3F8B">
        <w:rPr>
          <w:rFonts w:asciiTheme="majorHAnsi" w:hAnsiTheme="majorHAnsi" w:cstheme="majorHAnsi"/>
          <w:sz w:val="22"/>
          <w:szCs w:val="22"/>
        </w:rPr>
        <w:t xml:space="preserve"> </w:t>
      </w:r>
      <w:r w:rsidRPr="00974377">
        <w:rPr>
          <w:rFonts w:asciiTheme="majorHAnsi" w:hAnsiTheme="majorHAnsi" w:cstheme="majorHAnsi"/>
          <w:sz w:val="22"/>
          <w:szCs w:val="22"/>
        </w:rPr>
        <w:t xml:space="preserve">The implementation team will ensure that ongoing socialisation and training in DFAT child protection policy is provided to staff and sub-contractors, including on how to report incidents. Personnel interacting directly with children will receive regular checks to ensure that they have received training in child protection. </w:t>
      </w:r>
    </w:p>
    <w:p w14:paraId="153B444D" w14:textId="77777777" w:rsidR="00861E78" w:rsidRPr="00974377" w:rsidRDefault="00861E78" w:rsidP="004F02D4">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Program monitoring will also ensure that codes of conduct and reporting procedures for child exploitation and abuse allegations are in place, along with non-compliance policy, and sanctions for breaches.</w:t>
      </w:r>
    </w:p>
    <w:p w14:paraId="1DB80B4D" w14:textId="4FF5888A" w:rsidR="00861E78" w:rsidRPr="00974377" w:rsidRDefault="00861E78" w:rsidP="004F02D4">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In line with </w:t>
      </w:r>
      <w:proofErr w:type="spellStart"/>
      <w:r w:rsidRPr="00974377">
        <w:rPr>
          <w:rFonts w:asciiTheme="majorHAnsi" w:hAnsiTheme="majorHAnsi" w:cstheme="majorHAnsi"/>
          <w:sz w:val="22"/>
          <w:szCs w:val="22"/>
        </w:rPr>
        <w:t>GoI’s</w:t>
      </w:r>
      <w:proofErr w:type="spellEnd"/>
      <w:r w:rsidRPr="00974377">
        <w:rPr>
          <w:rFonts w:asciiTheme="majorHAnsi" w:hAnsiTheme="majorHAnsi" w:cstheme="majorHAnsi"/>
          <w:sz w:val="22"/>
          <w:szCs w:val="22"/>
        </w:rPr>
        <w:t xml:space="preserve"> desire to eliminate abuse of children in schools and madrasah, the program will support </w:t>
      </w:r>
      <w:proofErr w:type="spellStart"/>
      <w:r w:rsidRPr="00974377">
        <w:rPr>
          <w:rFonts w:asciiTheme="majorHAnsi" w:hAnsiTheme="majorHAnsi" w:cstheme="majorHAnsi"/>
          <w:sz w:val="22"/>
          <w:szCs w:val="22"/>
        </w:rPr>
        <w:t>MoECRT</w:t>
      </w:r>
      <w:proofErr w:type="spellEnd"/>
      <w:r w:rsidRPr="00974377">
        <w:rPr>
          <w:rFonts w:asciiTheme="majorHAnsi" w:hAnsiTheme="majorHAnsi" w:cstheme="majorHAnsi"/>
          <w:sz w:val="22"/>
          <w:szCs w:val="22"/>
        </w:rPr>
        <w:t>/</w:t>
      </w:r>
      <w:proofErr w:type="spellStart"/>
      <w:r w:rsidRPr="00974377">
        <w:rPr>
          <w:rFonts w:asciiTheme="majorHAnsi" w:hAnsiTheme="majorHAnsi" w:cstheme="majorHAnsi"/>
          <w:sz w:val="22"/>
          <w:szCs w:val="22"/>
        </w:rPr>
        <w:t>MoRA</w:t>
      </w:r>
      <w:proofErr w:type="spellEnd"/>
      <w:r w:rsidRPr="00974377">
        <w:rPr>
          <w:rFonts w:asciiTheme="majorHAnsi" w:hAnsiTheme="majorHAnsi" w:cstheme="majorHAnsi"/>
          <w:sz w:val="22"/>
          <w:szCs w:val="22"/>
        </w:rPr>
        <w:t xml:space="preserve"> to enhance their policies against sexual harassment and for gender equality, </w:t>
      </w:r>
      <w:r w:rsidR="00556641">
        <w:rPr>
          <w:rFonts w:asciiTheme="majorHAnsi" w:hAnsiTheme="majorHAnsi" w:cstheme="majorHAnsi"/>
          <w:sz w:val="22"/>
          <w:szCs w:val="22"/>
        </w:rPr>
        <w:t>specifically addressing provision for safe reporting of incidents and clarifying follow</w:t>
      </w:r>
      <w:r w:rsidR="002144FA">
        <w:rPr>
          <w:rFonts w:asciiTheme="majorHAnsi" w:hAnsiTheme="majorHAnsi" w:cstheme="majorHAnsi"/>
          <w:sz w:val="22"/>
          <w:szCs w:val="22"/>
        </w:rPr>
        <w:t>-</w:t>
      </w:r>
      <w:r w:rsidR="00556641">
        <w:rPr>
          <w:rFonts w:asciiTheme="majorHAnsi" w:hAnsiTheme="majorHAnsi" w:cstheme="majorHAnsi"/>
          <w:sz w:val="22"/>
          <w:szCs w:val="22"/>
        </w:rPr>
        <w:t>up action</w:t>
      </w:r>
      <w:r w:rsidR="002144FA">
        <w:rPr>
          <w:rFonts w:asciiTheme="majorHAnsi" w:hAnsiTheme="majorHAnsi" w:cstheme="majorHAnsi"/>
          <w:sz w:val="22"/>
          <w:szCs w:val="22"/>
        </w:rPr>
        <w:t>s and protocols</w:t>
      </w:r>
      <w:r w:rsidR="00556641">
        <w:rPr>
          <w:rFonts w:asciiTheme="majorHAnsi" w:hAnsiTheme="majorHAnsi" w:cstheme="majorHAnsi"/>
          <w:sz w:val="22"/>
          <w:szCs w:val="22"/>
        </w:rPr>
        <w:t xml:space="preserve"> for school/ madrasah authorities. The program will also support gender </w:t>
      </w:r>
      <w:r w:rsidR="002144FA">
        <w:rPr>
          <w:rFonts w:asciiTheme="majorHAnsi" w:hAnsiTheme="majorHAnsi" w:cstheme="majorHAnsi"/>
          <w:sz w:val="22"/>
          <w:szCs w:val="22"/>
        </w:rPr>
        <w:t>CSO</w:t>
      </w:r>
      <w:r w:rsidR="00187339">
        <w:rPr>
          <w:rFonts w:asciiTheme="majorHAnsi" w:hAnsiTheme="majorHAnsi" w:cstheme="majorHAnsi"/>
          <w:sz w:val="22"/>
          <w:szCs w:val="22"/>
        </w:rPr>
        <w:t>s</w:t>
      </w:r>
      <w:r w:rsidR="002144FA">
        <w:rPr>
          <w:rFonts w:asciiTheme="majorHAnsi" w:hAnsiTheme="majorHAnsi" w:cstheme="majorHAnsi"/>
          <w:sz w:val="22"/>
          <w:szCs w:val="22"/>
        </w:rPr>
        <w:t xml:space="preserve"> </w:t>
      </w:r>
      <w:r w:rsidR="00556641">
        <w:rPr>
          <w:rFonts w:asciiTheme="majorHAnsi" w:hAnsiTheme="majorHAnsi" w:cstheme="majorHAnsi"/>
          <w:sz w:val="22"/>
          <w:szCs w:val="22"/>
        </w:rPr>
        <w:t xml:space="preserve">and </w:t>
      </w:r>
      <w:r w:rsidR="00187339">
        <w:rPr>
          <w:rFonts w:asciiTheme="majorHAnsi" w:hAnsiTheme="majorHAnsi" w:cstheme="majorHAnsi"/>
          <w:sz w:val="22"/>
          <w:szCs w:val="22"/>
        </w:rPr>
        <w:t>OPDs</w:t>
      </w:r>
      <w:r w:rsidR="00556641">
        <w:rPr>
          <w:rFonts w:asciiTheme="majorHAnsi" w:hAnsiTheme="majorHAnsi" w:cstheme="majorHAnsi"/>
          <w:sz w:val="22"/>
          <w:szCs w:val="22"/>
        </w:rPr>
        <w:t xml:space="preserve"> in </w:t>
      </w:r>
      <w:r w:rsidRPr="00974377">
        <w:rPr>
          <w:rFonts w:asciiTheme="majorHAnsi" w:hAnsiTheme="majorHAnsi" w:cstheme="majorHAnsi"/>
          <w:sz w:val="22"/>
          <w:szCs w:val="22"/>
        </w:rPr>
        <w:t>district ecosystems to ensure these policies are effectively implemented in schools and madrasahs</w:t>
      </w:r>
      <w:r w:rsidR="00556641">
        <w:rPr>
          <w:rFonts w:asciiTheme="majorHAnsi" w:hAnsiTheme="majorHAnsi" w:cstheme="majorHAnsi"/>
          <w:sz w:val="22"/>
          <w:szCs w:val="22"/>
        </w:rPr>
        <w:t>.</w:t>
      </w:r>
      <w:r w:rsidR="008E6751">
        <w:rPr>
          <w:rFonts w:asciiTheme="majorHAnsi" w:hAnsiTheme="majorHAnsi" w:cstheme="majorHAnsi"/>
          <w:sz w:val="22"/>
          <w:szCs w:val="22"/>
        </w:rPr>
        <w:t xml:space="preserve"> In </w:t>
      </w:r>
      <w:r w:rsidR="002144FA">
        <w:rPr>
          <w:rFonts w:asciiTheme="majorHAnsi" w:hAnsiTheme="majorHAnsi" w:cstheme="majorHAnsi"/>
          <w:sz w:val="22"/>
          <w:szCs w:val="22"/>
        </w:rPr>
        <w:t>line with</w:t>
      </w:r>
      <w:r w:rsidR="008E6751">
        <w:rPr>
          <w:rFonts w:asciiTheme="majorHAnsi" w:hAnsiTheme="majorHAnsi" w:cstheme="majorHAnsi"/>
          <w:sz w:val="22"/>
          <w:szCs w:val="22"/>
        </w:rPr>
        <w:t xml:space="preserve"> the strategy </w:t>
      </w:r>
      <w:r w:rsidR="002144FA">
        <w:rPr>
          <w:rFonts w:asciiTheme="majorHAnsi" w:hAnsiTheme="majorHAnsi" w:cstheme="majorHAnsi"/>
          <w:sz w:val="22"/>
          <w:szCs w:val="22"/>
        </w:rPr>
        <w:t>to</w:t>
      </w:r>
      <w:r w:rsidR="008E6751">
        <w:rPr>
          <w:rFonts w:asciiTheme="majorHAnsi" w:hAnsiTheme="majorHAnsi" w:cstheme="majorHAnsi"/>
          <w:sz w:val="22"/>
          <w:szCs w:val="22"/>
        </w:rPr>
        <w:t xml:space="preserve"> address the gender norms that are implicated in violence</w:t>
      </w:r>
      <w:r w:rsidR="002144FA">
        <w:rPr>
          <w:rFonts w:asciiTheme="majorHAnsi" w:hAnsiTheme="majorHAnsi" w:cstheme="majorHAnsi"/>
          <w:sz w:val="22"/>
          <w:szCs w:val="22"/>
        </w:rPr>
        <w:t xml:space="preserve"> and bullying</w:t>
      </w:r>
      <w:r w:rsidR="008E6751">
        <w:rPr>
          <w:rFonts w:asciiTheme="majorHAnsi" w:hAnsiTheme="majorHAnsi" w:cstheme="majorHAnsi"/>
          <w:sz w:val="22"/>
          <w:szCs w:val="22"/>
        </w:rPr>
        <w:t xml:space="preserve">, the </w:t>
      </w:r>
      <w:r w:rsidR="009A4524">
        <w:rPr>
          <w:rFonts w:asciiTheme="majorHAnsi" w:hAnsiTheme="majorHAnsi" w:cstheme="majorHAnsi"/>
          <w:sz w:val="22"/>
          <w:szCs w:val="22"/>
        </w:rPr>
        <w:t>risk register</w:t>
      </w:r>
      <w:r w:rsidR="008E6751">
        <w:rPr>
          <w:rFonts w:asciiTheme="majorHAnsi" w:hAnsiTheme="majorHAnsi" w:cstheme="majorHAnsi"/>
          <w:sz w:val="22"/>
          <w:szCs w:val="22"/>
        </w:rPr>
        <w:t xml:space="preserve"> includes a risk of backlash against such works</w:t>
      </w:r>
      <w:r w:rsidR="00C066B1">
        <w:rPr>
          <w:rFonts w:asciiTheme="majorHAnsi" w:hAnsiTheme="majorHAnsi" w:cstheme="majorHAnsi"/>
          <w:sz w:val="22"/>
          <w:szCs w:val="22"/>
        </w:rPr>
        <w:t>.</w:t>
      </w:r>
      <w:r w:rsidR="008E6751">
        <w:rPr>
          <w:rFonts w:asciiTheme="majorHAnsi" w:hAnsiTheme="majorHAnsi" w:cstheme="majorHAnsi"/>
          <w:sz w:val="22"/>
          <w:szCs w:val="22"/>
        </w:rPr>
        <w:t xml:space="preserve"> After treatment</w:t>
      </w:r>
      <w:r w:rsidR="00C066B1">
        <w:rPr>
          <w:rFonts w:asciiTheme="majorHAnsi" w:hAnsiTheme="majorHAnsi" w:cstheme="majorHAnsi"/>
          <w:sz w:val="22"/>
          <w:szCs w:val="22"/>
        </w:rPr>
        <w:t>,</w:t>
      </w:r>
      <w:r w:rsidR="008E6751">
        <w:rPr>
          <w:rFonts w:asciiTheme="majorHAnsi" w:hAnsiTheme="majorHAnsi" w:cstheme="majorHAnsi"/>
          <w:sz w:val="22"/>
          <w:szCs w:val="22"/>
        </w:rPr>
        <w:t xml:space="preserve"> this </w:t>
      </w:r>
      <w:r w:rsidR="00390F96">
        <w:rPr>
          <w:rFonts w:asciiTheme="majorHAnsi" w:hAnsiTheme="majorHAnsi" w:cstheme="majorHAnsi"/>
          <w:sz w:val="22"/>
          <w:szCs w:val="22"/>
        </w:rPr>
        <w:t xml:space="preserve">risk </w:t>
      </w:r>
      <w:r w:rsidR="000E55CE">
        <w:rPr>
          <w:rFonts w:asciiTheme="majorHAnsi" w:hAnsiTheme="majorHAnsi" w:cstheme="majorHAnsi"/>
          <w:sz w:val="22"/>
          <w:szCs w:val="22"/>
        </w:rPr>
        <w:t>i</w:t>
      </w:r>
      <w:r w:rsidR="00390F96">
        <w:rPr>
          <w:rFonts w:asciiTheme="majorHAnsi" w:hAnsiTheme="majorHAnsi" w:cstheme="majorHAnsi"/>
          <w:sz w:val="22"/>
          <w:szCs w:val="22"/>
        </w:rPr>
        <w:t>s rated low</w:t>
      </w:r>
      <w:r w:rsidR="002D7D6D">
        <w:rPr>
          <w:rFonts w:asciiTheme="majorHAnsi" w:hAnsiTheme="majorHAnsi" w:cstheme="majorHAnsi"/>
          <w:sz w:val="22"/>
          <w:szCs w:val="22"/>
        </w:rPr>
        <w:t>,</w:t>
      </w:r>
      <w:r w:rsidR="00390F96">
        <w:rPr>
          <w:rFonts w:asciiTheme="majorHAnsi" w:hAnsiTheme="majorHAnsi" w:cstheme="majorHAnsi"/>
          <w:sz w:val="22"/>
          <w:szCs w:val="22"/>
        </w:rPr>
        <w:t xml:space="preserve"> </w:t>
      </w:r>
      <w:r w:rsidR="002144FA">
        <w:rPr>
          <w:rFonts w:asciiTheme="majorHAnsi" w:hAnsiTheme="majorHAnsi" w:cstheme="majorHAnsi"/>
          <w:sz w:val="22"/>
          <w:szCs w:val="22"/>
        </w:rPr>
        <w:t>however,</w:t>
      </w:r>
      <w:r w:rsidR="00390F96">
        <w:rPr>
          <w:rFonts w:asciiTheme="majorHAnsi" w:hAnsiTheme="majorHAnsi" w:cstheme="majorHAnsi"/>
          <w:sz w:val="22"/>
          <w:szCs w:val="22"/>
        </w:rPr>
        <w:t xml:space="preserve"> the implement</w:t>
      </w:r>
      <w:r w:rsidR="000E55CE">
        <w:rPr>
          <w:rFonts w:asciiTheme="majorHAnsi" w:hAnsiTheme="majorHAnsi" w:cstheme="majorHAnsi"/>
          <w:sz w:val="22"/>
          <w:szCs w:val="22"/>
        </w:rPr>
        <w:t>ation</w:t>
      </w:r>
      <w:r w:rsidR="00390F96">
        <w:rPr>
          <w:rFonts w:asciiTheme="majorHAnsi" w:hAnsiTheme="majorHAnsi" w:cstheme="majorHAnsi"/>
          <w:sz w:val="22"/>
          <w:szCs w:val="22"/>
        </w:rPr>
        <w:t xml:space="preserve"> team </w:t>
      </w:r>
      <w:r w:rsidR="000E55CE">
        <w:rPr>
          <w:rFonts w:asciiTheme="majorHAnsi" w:hAnsiTheme="majorHAnsi" w:cstheme="majorHAnsi"/>
          <w:sz w:val="22"/>
          <w:szCs w:val="22"/>
        </w:rPr>
        <w:t xml:space="preserve">will </w:t>
      </w:r>
      <w:r w:rsidR="00390F96">
        <w:rPr>
          <w:rFonts w:asciiTheme="majorHAnsi" w:hAnsiTheme="majorHAnsi" w:cstheme="majorHAnsi"/>
          <w:sz w:val="22"/>
          <w:szCs w:val="22"/>
        </w:rPr>
        <w:t xml:space="preserve">need to </w:t>
      </w:r>
      <w:r w:rsidR="000E55CE">
        <w:rPr>
          <w:rFonts w:asciiTheme="majorHAnsi" w:hAnsiTheme="majorHAnsi" w:cstheme="majorHAnsi"/>
          <w:sz w:val="22"/>
          <w:szCs w:val="22"/>
        </w:rPr>
        <w:t>avoid</w:t>
      </w:r>
      <w:r w:rsidR="00390F96">
        <w:rPr>
          <w:rFonts w:asciiTheme="majorHAnsi" w:hAnsiTheme="majorHAnsi" w:cstheme="majorHAnsi"/>
          <w:sz w:val="22"/>
          <w:szCs w:val="22"/>
        </w:rPr>
        <w:t xml:space="preserve"> counterproductive results by ensuring partner organisations</w:t>
      </w:r>
      <w:r w:rsidR="002144FA">
        <w:rPr>
          <w:rFonts w:asciiTheme="majorHAnsi" w:hAnsiTheme="majorHAnsi" w:cstheme="majorHAnsi"/>
          <w:sz w:val="22"/>
          <w:szCs w:val="22"/>
        </w:rPr>
        <w:t xml:space="preserve"> </w:t>
      </w:r>
      <w:r w:rsidR="00390F96">
        <w:rPr>
          <w:rFonts w:asciiTheme="majorHAnsi" w:hAnsiTheme="majorHAnsi" w:cstheme="majorHAnsi"/>
          <w:sz w:val="22"/>
          <w:szCs w:val="22"/>
        </w:rPr>
        <w:t xml:space="preserve">carry out </w:t>
      </w:r>
      <w:r w:rsidR="00891EE8">
        <w:rPr>
          <w:rFonts w:asciiTheme="majorHAnsi" w:hAnsiTheme="majorHAnsi" w:cstheme="majorHAnsi"/>
          <w:sz w:val="22"/>
          <w:szCs w:val="22"/>
        </w:rPr>
        <w:t xml:space="preserve">appropriate </w:t>
      </w:r>
      <w:r w:rsidR="00390F96">
        <w:rPr>
          <w:rFonts w:asciiTheme="majorHAnsi" w:hAnsiTheme="majorHAnsi" w:cstheme="majorHAnsi"/>
          <w:sz w:val="22"/>
          <w:szCs w:val="22"/>
        </w:rPr>
        <w:t xml:space="preserve">control strategies. </w:t>
      </w:r>
    </w:p>
    <w:p w14:paraId="38964DD5" w14:textId="25AA8C8D" w:rsidR="00861E78" w:rsidRPr="00974377" w:rsidRDefault="00861E78" w:rsidP="004F02D4">
      <w:pPr>
        <w:spacing w:after="120" w:line="281" w:lineRule="auto"/>
        <w:rPr>
          <w:rFonts w:asciiTheme="majorHAnsi" w:hAnsiTheme="majorHAnsi" w:cstheme="majorHAnsi"/>
          <w:sz w:val="22"/>
          <w:szCs w:val="22"/>
        </w:rPr>
      </w:pPr>
      <w:r w:rsidRPr="00974377">
        <w:rPr>
          <w:rFonts w:asciiTheme="majorHAnsi" w:hAnsiTheme="majorHAnsi" w:cstheme="majorHAnsi"/>
          <w:sz w:val="22"/>
          <w:szCs w:val="22"/>
        </w:rPr>
        <w:t xml:space="preserve">The marginalisation of the views and needs of beneficiaries with disabilities or women in decision-making processes is a risk identified at medium level, as is the risk of inadequate representation of women in subnational decision-making processes. This can take the form of inadequate consultation of people with disabilities in decisions where their interests are </w:t>
      </w:r>
      <w:r w:rsidR="007F32B5" w:rsidRPr="00974377">
        <w:rPr>
          <w:rFonts w:asciiTheme="majorHAnsi" w:hAnsiTheme="majorHAnsi" w:cstheme="majorHAnsi"/>
          <w:sz w:val="22"/>
          <w:szCs w:val="22"/>
        </w:rPr>
        <w:t>concerned</w:t>
      </w:r>
      <w:r w:rsidR="007F32B5">
        <w:rPr>
          <w:rFonts w:asciiTheme="majorHAnsi" w:hAnsiTheme="majorHAnsi" w:cstheme="majorHAnsi"/>
          <w:sz w:val="22"/>
          <w:szCs w:val="22"/>
        </w:rPr>
        <w:t xml:space="preserve"> and/</w:t>
      </w:r>
      <w:r w:rsidRPr="00974377">
        <w:rPr>
          <w:rFonts w:asciiTheme="majorHAnsi" w:hAnsiTheme="majorHAnsi" w:cstheme="majorHAnsi"/>
          <w:sz w:val="22"/>
          <w:szCs w:val="22"/>
        </w:rPr>
        <w:t>or their expertise is critical</w:t>
      </w:r>
      <w:r w:rsidR="00AD2D19" w:rsidRPr="00974377">
        <w:rPr>
          <w:rFonts w:asciiTheme="majorHAnsi" w:hAnsiTheme="majorHAnsi" w:cstheme="majorHAnsi"/>
          <w:sz w:val="22"/>
          <w:szCs w:val="22"/>
        </w:rPr>
        <w:t>.</w:t>
      </w:r>
    </w:p>
    <w:p w14:paraId="73DED18D" w14:textId="45792184" w:rsidR="00330887" w:rsidRPr="00974377" w:rsidRDefault="00861E78" w:rsidP="004F02D4">
      <w:pPr>
        <w:spacing w:after="120" w:line="281" w:lineRule="auto"/>
        <w:rPr>
          <w:rFonts w:asciiTheme="majorHAnsi" w:hAnsiTheme="majorHAnsi" w:cstheme="majorHAnsi"/>
          <w:i/>
          <w:iCs/>
          <w:sz w:val="22"/>
          <w:szCs w:val="22"/>
        </w:rPr>
      </w:pPr>
      <w:r w:rsidRPr="00974377">
        <w:rPr>
          <w:rFonts w:asciiTheme="majorHAnsi" w:hAnsiTheme="majorHAnsi" w:cstheme="majorHAnsi"/>
          <w:sz w:val="22"/>
          <w:szCs w:val="22"/>
        </w:rPr>
        <w:t>These risks will be met by formalised mechanisms for engagement of both groups, such as</w:t>
      </w:r>
      <w:r w:rsidR="00FC0BCD">
        <w:rPr>
          <w:rFonts w:asciiTheme="majorHAnsi" w:hAnsiTheme="majorHAnsi" w:cstheme="majorHAnsi"/>
          <w:sz w:val="22"/>
          <w:szCs w:val="22"/>
        </w:rPr>
        <w:t xml:space="preserve"> </w:t>
      </w:r>
      <w:r w:rsidRPr="00974377">
        <w:rPr>
          <w:rFonts w:asciiTheme="majorHAnsi" w:hAnsiTheme="majorHAnsi" w:cstheme="majorHAnsi"/>
          <w:sz w:val="22"/>
          <w:szCs w:val="22"/>
        </w:rPr>
        <w:t xml:space="preserve">requiring representation of women and people with a disability on the program’s governance meetings, and chairing protocols that invite their contribution to the discussion. Balanced representation from both groups will be sought during consultations for the development of the program’s strategies and annual plans. Program recruitment strategies will encourage the application of persons with a disability, the implementation team will model the principles of diversity and inclusion, and the leadership management team will include specialists in disability inclusion and in gender equality to work at policy level with counterparts. </w:t>
      </w:r>
    </w:p>
    <w:p w14:paraId="181CAC31" w14:textId="25A03174" w:rsidR="00FC0BCD" w:rsidRDefault="00FC0BCD">
      <w:pPr>
        <w:spacing w:after="120" w:line="440" w:lineRule="atLeast"/>
        <w:rPr>
          <w:rFonts w:asciiTheme="majorHAnsi" w:hAnsiTheme="majorHAnsi"/>
          <w:b/>
          <w:bCs/>
        </w:rPr>
      </w:pPr>
      <w:r>
        <w:rPr>
          <w:rFonts w:asciiTheme="majorHAnsi" w:hAnsiTheme="majorHAnsi"/>
          <w:b/>
          <w:bCs/>
        </w:rPr>
        <w:br w:type="page"/>
      </w:r>
    </w:p>
    <w:p w14:paraId="39931C72" w14:textId="77777777" w:rsidR="00006A86" w:rsidRDefault="00006A86" w:rsidP="00006A86">
      <w:pPr>
        <w:pStyle w:val="Body"/>
      </w:pPr>
    </w:p>
    <w:p w14:paraId="60063AF9" w14:textId="25B205BE" w:rsidR="00C646E7" w:rsidRPr="005D01E6" w:rsidRDefault="00C646E7" w:rsidP="00006A86">
      <w:pPr>
        <w:pStyle w:val="Title"/>
        <w:spacing w:before="6000"/>
        <w:rPr>
          <w:b w:val="0"/>
          <w:bCs w:val="0"/>
          <w:sz w:val="40"/>
          <w:szCs w:val="40"/>
        </w:rPr>
      </w:pPr>
      <w:r w:rsidRPr="00C57673">
        <w:rPr>
          <w:u w:val="single"/>
        </w:rPr>
        <w:t>Annexes</w:t>
      </w:r>
    </w:p>
    <w:p w14:paraId="6187452C" w14:textId="1C599EB1" w:rsidR="002E2FE4" w:rsidRDefault="00C646E7" w:rsidP="00C25934">
      <w:pPr>
        <w:spacing w:after="120" w:line="440" w:lineRule="atLeast"/>
        <w:rPr>
          <w:rFonts w:asciiTheme="majorHAnsi" w:eastAsiaTheme="majorEastAsia" w:hAnsiTheme="majorHAnsi" w:cstheme="majorBidi"/>
          <w:sz w:val="28"/>
          <w:szCs w:val="28"/>
        </w:rPr>
      </w:pPr>
      <w:r>
        <w:rPr>
          <w:rFonts w:asciiTheme="majorHAnsi" w:hAnsiTheme="majorHAnsi"/>
          <w:b/>
          <w:bCs/>
        </w:rPr>
        <w:br w:type="page"/>
      </w:r>
    </w:p>
    <w:p w14:paraId="1D758D51" w14:textId="2D8E1FA9" w:rsidR="002E2FE4" w:rsidRPr="001F3BEE" w:rsidRDefault="002E2FE4" w:rsidP="00CE1BFB">
      <w:pPr>
        <w:pStyle w:val="Heading1"/>
        <w:rPr>
          <w:sz w:val="28"/>
          <w:szCs w:val="20"/>
          <w:u w:val="single"/>
        </w:rPr>
      </w:pPr>
      <w:r w:rsidRPr="001F3BEE">
        <w:rPr>
          <w:sz w:val="28"/>
          <w:szCs w:val="20"/>
          <w:u w:val="single"/>
        </w:rPr>
        <w:lastRenderedPageBreak/>
        <w:t xml:space="preserve">Annex </w:t>
      </w:r>
      <w:r w:rsidR="00BE6790">
        <w:rPr>
          <w:sz w:val="28"/>
          <w:szCs w:val="20"/>
          <w:u w:val="single"/>
        </w:rPr>
        <w:t>1</w:t>
      </w:r>
      <w:r w:rsidRPr="001F3BEE">
        <w:rPr>
          <w:sz w:val="28"/>
          <w:szCs w:val="20"/>
          <w:u w:val="single"/>
        </w:rPr>
        <w:t xml:space="preserve"> - An Introduction to District Ecosystem</w:t>
      </w:r>
    </w:p>
    <w:p w14:paraId="41BB1838" w14:textId="77777777" w:rsidR="002E2FE4" w:rsidRPr="0006336E" w:rsidRDefault="002E2FE4" w:rsidP="000B3609">
      <w:pPr>
        <w:pStyle w:val="BodyText"/>
        <w:spacing w:after="120" w:line="281" w:lineRule="auto"/>
        <w:rPr>
          <w:rFonts w:asciiTheme="majorHAnsi" w:hAnsiTheme="majorHAnsi"/>
          <w:sz w:val="22"/>
          <w:szCs w:val="22"/>
        </w:rPr>
      </w:pPr>
      <w:r w:rsidRPr="0006336E">
        <w:rPr>
          <w:rFonts w:asciiTheme="majorHAnsi" w:hAnsiTheme="majorHAnsi"/>
          <w:sz w:val="22"/>
          <w:szCs w:val="22"/>
        </w:rPr>
        <w:t xml:space="preserve">The design’s main strategy for achieving the two EOPOs is through strengthening ecosystems of education stakeholders at district level (or district ecosystems). </w:t>
      </w:r>
    </w:p>
    <w:p w14:paraId="419CF43C" w14:textId="77777777" w:rsidR="002E2FE4" w:rsidRPr="0006336E" w:rsidRDefault="002E2FE4" w:rsidP="008D1844">
      <w:pPr>
        <w:pStyle w:val="BodyText"/>
        <w:numPr>
          <w:ilvl w:val="0"/>
          <w:numId w:val="36"/>
        </w:numPr>
        <w:spacing w:after="120" w:line="281" w:lineRule="auto"/>
        <w:rPr>
          <w:rFonts w:asciiTheme="majorHAnsi" w:hAnsiTheme="majorHAnsi"/>
          <w:b/>
          <w:bCs/>
          <w:sz w:val="22"/>
          <w:szCs w:val="22"/>
        </w:rPr>
      </w:pPr>
      <w:r w:rsidRPr="0006336E">
        <w:rPr>
          <w:rFonts w:asciiTheme="majorHAnsi" w:hAnsiTheme="majorHAnsi"/>
          <w:b/>
          <w:bCs/>
          <w:sz w:val="22"/>
          <w:szCs w:val="22"/>
        </w:rPr>
        <w:t>Background and origin</w:t>
      </w:r>
    </w:p>
    <w:p w14:paraId="3D527E1C" w14:textId="77777777" w:rsidR="002E2FE4" w:rsidRPr="0006336E" w:rsidRDefault="002E2FE4" w:rsidP="000B3609">
      <w:pPr>
        <w:pStyle w:val="BodyText"/>
        <w:spacing w:after="120" w:line="281" w:lineRule="auto"/>
        <w:rPr>
          <w:rFonts w:asciiTheme="majorHAnsi" w:hAnsiTheme="majorHAnsi"/>
          <w:sz w:val="22"/>
          <w:szCs w:val="22"/>
        </w:rPr>
      </w:pPr>
      <w:r w:rsidRPr="0006336E">
        <w:rPr>
          <w:rFonts w:asciiTheme="majorHAnsi" w:hAnsiTheme="majorHAnsi"/>
          <w:sz w:val="22"/>
          <w:szCs w:val="22"/>
        </w:rPr>
        <w:t xml:space="preserve">A leading and central concept in </w:t>
      </w:r>
      <w:r w:rsidRPr="0006336E">
        <w:rPr>
          <w:rFonts w:asciiTheme="majorHAnsi" w:hAnsiTheme="majorHAnsi"/>
          <w:i/>
          <w:iCs/>
          <w:sz w:val="22"/>
          <w:szCs w:val="22"/>
        </w:rPr>
        <w:t xml:space="preserve">Merdeka </w:t>
      </w:r>
      <w:proofErr w:type="spellStart"/>
      <w:r w:rsidRPr="0006336E">
        <w:rPr>
          <w:rFonts w:asciiTheme="majorHAnsi" w:hAnsiTheme="majorHAnsi"/>
          <w:i/>
          <w:iCs/>
          <w:sz w:val="22"/>
          <w:szCs w:val="22"/>
        </w:rPr>
        <w:t>Belajar</w:t>
      </w:r>
      <w:proofErr w:type="spellEnd"/>
      <w:r w:rsidRPr="0006336E">
        <w:rPr>
          <w:rFonts w:asciiTheme="majorHAnsi" w:hAnsiTheme="majorHAnsi"/>
          <w:sz w:val="22"/>
          <w:szCs w:val="22"/>
        </w:rPr>
        <w:t xml:space="preserve"> reforms </w:t>
      </w:r>
      <w:r>
        <w:rPr>
          <w:rFonts w:asciiTheme="majorHAnsi" w:hAnsiTheme="majorHAnsi"/>
          <w:sz w:val="22"/>
          <w:szCs w:val="22"/>
        </w:rPr>
        <w:t xml:space="preserve">at the local level is </w:t>
      </w:r>
      <w:r w:rsidRPr="0006336E">
        <w:rPr>
          <w:rFonts w:asciiTheme="majorHAnsi" w:hAnsiTheme="majorHAnsi"/>
          <w:sz w:val="22"/>
          <w:szCs w:val="22"/>
        </w:rPr>
        <w:t>the change agent school (</w:t>
      </w:r>
      <w:proofErr w:type="spellStart"/>
      <w:r w:rsidRPr="0006336E">
        <w:rPr>
          <w:rFonts w:asciiTheme="majorHAnsi" w:hAnsiTheme="majorHAnsi"/>
          <w:i/>
          <w:iCs/>
          <w:sz w:val="22"/>
          <w:szCs w:val="22"/>
        </w:rPr>
        <w:t>sekolah</w:t>
      </w:r>
      <w:proofErr w:type="spellEnd"/>
      <w:r w:rsidRPr="0006336E">
        <w:rPr>
          <w:rFonts w:asciiTheme="majorHAnsi" w:hAnsiTheme="majorHAnsi"/>
          <w:i/>
          <w:iCs/>
          <w:sz w:val="22"/>
          <w:szCs w:val="22"/>
        </w:rPr>
        <w:t xml:space="preserve"> </w:t>
      </w:r>
      <w:proofErr w:type="spellStart"/>
      <w:r w:rsidRPr="0006336E">
        <w:rPr>
          <w:rFonts w:asciiTheme="majorHAnsi" w:hAnsiTheme="majorHAnsi"/>
          <w:i/>
          <w:iCs/>
          <w:sz w:val="22"/>
          <w:szCs w:val="22"/>
        </w:rPr>
        <w:t>penggerak</w:t>
      </w:r>
      <w:proofErr w:type="spellEnd"/>
      <w:r w:rsidRPr="0006336E">
        <w:rPr>
          <w:rFonts w:asciiTheme="majorHAnsi" w:hAnsiTheme="majorHAnsi"/>
          <w:sz w:val="22"/>
          <w:szCs w:val="22"/>
        </w:rPr>
        <w:t xml:space="preserve">) </w:t>
      </w:r>
      <w:r>
        <w:rPr>
          <w:rFonts w:asciiTheme="majorHAnsi" w:hAnsiTheme="majorHAnsi"/>
          <w:sz w:val="22"/>
          <w:szCs w:val="22"/>
        </w:rPr>
        <w:t>and the change agent teachers (</w:t>
      </w:r>
      <w:r w:rsidRPr="00EA46CE">
        <w:rPr>
          <w:rFonts w:asciiTheme="majorHAnsi" w:hAnsiTheme="majorHAnsi"/>
          <w:i/>
          <w:iCs/>
          <w:sz w:val="22"/>
          <w:szCs w:val="22"/>
        </w:rPr>
        <w:t xml:space="preserve">guru </w:t>
      </w:r>
      <w:proofErr w:type="spellStart"/>
      <w:r w:rsidRPr="00EA46CE">
        <w:rPr>
          <w:rFonts w:asciiTheme="majorHAnsi" w:hAnsiTheme="majorHAnsi"/>
          <w:i/>
          <w:iCs/>
          <w:sz w:val="22"/>
          <w:szCs w:val="22"/>
        </w:rPr>
        <w:t>penggerak</w:t>
      </w:r>
      <w:proofErr w:type="spellEnd"/>
      <w:r>
        <w:rPr>
          <w:rFonts w:asciiTheme="majorHAnsi" w:hAnsiTheme="majorHAnsi"/>
          <w:sz w:val="22"/>
          <w:szCs w:val="22"/>
        </w:rPr>
        <w:t xml:space="preserve">) </w:t>
      </w:r>
      <w:r w:rsidRPr="0006336E">
        <w:rPr>
          <w:rFonts w:asciiTheme="majorHAnsi" w:hAnsiTheme="majorHAnsi"/>
          <w:sz w:val="22"/>
          <w:szCs w:val="22"/>
        </w:rPr>
        <w:t xml:space="preserve">and </w:t>
      </w:r>
      <w:r>
        <w:rPr>
          <w:rFonts w:asciiTheme="majorHAnsi" w:hAnsiTheme="majorHAnsi"/>
          <w:sz w:val="22"/>
          <w:szCs w:val="22"/>
        </w:rPr>
        <w:t>their</w:t>
      </w:r>
      <w:r w:rsidRPr="0006336E">
        <w:rPr>
          <w:rFonts w:asciiTheme="majorHAnsi" w:hAnsiTheme="majorHAnsi"/>
          <w:sz w:val="22"/>
          <w:szCs w:val="22"/>
        </w:rPr>
        <w:t xml:space="preserve"> ecosystem</w:t>
      </w:r>
      <w:r>
        <w:rPr>
          <w:rFonts w:asciiTheme="majorHAnsi" w:hAnsiTheme="majorHAnsi"/>
          <w:sz w:val="22"/>
          <w:szCs w:val="22"/>
        </w:rPr>
        <w:t>s</w:t>
      </w:r>
      <w:r w:rsidRPr="0006336E">
        <w:rPr>
          <w:rFonts w:asciiTheme="majorHAnsi" w:hAnsiTheme="majorHAnsi"/>
          <w:sz w:val="22"/>
          <w:szCs w:val="22"/>
        </w:rPr>
        <w:t xml:space="preserve">. The present administration is aiming for the identification of around 400,000 </w:t>
      </w:r>
      <w:proofErr w:type="spellStart"/>
      <w:r w:rsidRPr="0006336E">
        <w:rPr>
          <w:rFonts w:asciiTheme="majorHAnsi" w:hAnsiTheme="majorHAnsi"/>
          <w:i/>
          <w:iCs/>
          <w:sz w:val="22"/>
          <w:szCs w:val="22"/>
        </w:rPr>
        <w:t>sekolah</w:t>
      </w:r>
      <w:proofErr w:type="spellEnd"/>
      <w:r w:rsidRPr="0006336E">
        <w:rPr>
          <w:rFonts w:asciiTheme="majorHAnsi" w:hAnsiTheme="majorHAnsi"/>
          <w:i/>
          <w:iCs/>
          <w:sz w:val="22"/>
          <w:szCs w:val="22"/>
        </w:rPr>
        <w:t xml:space="preserve"> </w:t>
      </w:r>
      <w:proofErr w:type="spellStart"/>
      <w:r w:rsidRPr="0006336E">
        <w:rPr>
          <w:rFonts w:asciiTheme="majorHAnsi" w:hAnsiTheme="majorHAnsi"/>
          <w:i/>
          <w:iCs/>
          <w:sz w:val="22"/>
          <w:szCs w:val="22"/>
        </w:rPr>
        <w:t>penggerak</w:t>
      </w:r>
      <w:proofErr w:type="spellEnd"/>
      <w:r w:rsidRPr="0006336E">
        <w:rPr>
          <w:rFonts w:asciiTheme="majorHAnsi" w:hAnsiTheme="majorHAnsi"/>
          <w:sz w:val="22"/>
          <w:szCs w:val="22"/>
        </w:rPr>
        <w:t xml:space="preserve"> </w:t>
      </w:r>
      <w:r>
        <w:rPr>
          <w:rFonts w:asciiTheme="majorHAnsi" w:hAnsiTheme="majorHAnsi"/>
          <w:sz w:val="22"/>
          <w:szCs w:val="22"/>
        </w:rPr>
        <w:t xml:space="preserve">and 405,000 </w:t>
      </w:r>
      <w:r w:rsidRPr="00EA46CE">
        <w:rPr>
          <w:rFonts w:asciiTheme="majorHAnsi" w:hAnsiTheme="majorHAnsi"/>
          <w:i/>
          <w:iCs/>
          <w:sz w:val="22"/>
          <w:szCs w:val="22"/>
        </w:rPr>
        <w:t xml:space="preserve">guru </w:t>
      </w:r>
      <w:proofErr w:type="spellStart"/>
      <w:r w:rsidRPr="00EA46CE">
        <w:rPr>
          <w:rFonts w:asciiTheme="majorHAnsi" w:hAnsiTheme="majorHAnsi"/>
          <w:i/>
          <w:iCs/>
          <w:sz w:val="22"/>
          <w:szCs w:val="22"/>
        </w:rPr>
        <w:t>penggerak</w:t>
      </w:r>
      <w:proofErr w:type="spellEnd"/>
      <w:r>
        <w:rPr>
          <w:rFonts w:asciiTheme="majorHAnsi" w:hAnsiTheme="majorHAnsi"/>
          <w:sz w:val="22"/>
          <w:szCs w:val="22"/>
        </w:rPr>
        <w:t xml:space="preserve"> </w:t>
      </w:r>
      <w:r w:rsidRPr="0006336E">
        <w:rPr>
          <w:rFonts w:asciiTheme="majorHAnsi" w:hAnsiTheme="majorHAnsi"/>
          <w:sz w:val="22"/>
          <w:szCs w:val="22"/>
        </w:rPr>
        <w:t>by 2024</w:t>
      </w:r>
      <w:r>
        <w:rPr>
          <w:rFonts w:asciiTheme="majorHAnsi" w:hAnsiTheme="majorHAnsi"/>
          <w:sz w:val="22"/>
          <w:szCs w:val="22"/>
        </w:rPr>
        <w:t>.</w:t>
      </w:r>
      <w:r w:rsidRPr="0006336E">
        <w:rPr>
          <w:rFonts w:asciiTheme="majorHAnsi" w:hAnsiTheme="majorHAnsi"/>
          <w:sz w:val="22"/>
          <w:szCs w:val="22"/>
        </w:rPr>
        <w:t xml:space="preserve"> The plan is that these leaders first transform their own schools, and then transform schools in their vicinity through establishing a local community of learning, supported by resources in their own environment. Together these schools and learning community become an ecosystem of change at school level. These neighbouring schools will in turn support others in their vicinity, generating a cascading effect that will enable the reforms to be scaled up throughout the country. </w:t>
      </w:r>
    </w:p>
    <w:p w14:paraId="20BCC99F" w14:textId="77777777" w:rsidR="002E2FE4" w:rsidRPr="0006336E" w:rsidRDefault="002E2FE4" w:rsidP="000B3609">
      <w:pPr>
        <w:pStyle w:val="BodyText"/>
        <w:spacing w:after="120" w:line="281" w:lineRule="auto"/>
        <w:rPr>
          <w:rFonts w:asciiTheme="majorHAnsi" w:hAnsiTheme="majorHAnsi"/>
          <w:sz w:val="22"/>
          <w:szCs w:val="22"/>
        </w:rPr>
      </w:pPr>
      <w:r>
        <w:rPr>
          <w:rFonts w:asciiTheme="majorHAnsi" w:hAnsiTheme="majorHAnsi"/>
          <w:sz w:val="22"/>
          <w:szCs w:val="22"/>
        </w:rPr>
        <w:t>T</w:t>
      </w:r>
      <w:r w:rsidRPr="0006336E">
        <w:rPr>
          <w:rFonts w:asciiTheme="majorHAnsi" w:hAnsiTheme="majorHAnsi"/>
          <w:sz w:val="22"/>
          <w:szCs w:val="22"/>
        </w:rPr>
        <w:t xml:space="preserve">he </w:t>
      </w:r>
      <w:r>
        <w:rPr>
          <w:rFonts w:asciiTheme="majorHAnsi" w:hAnsiTheme="majorHAnsi"/>
          <w:sz w:val="22"/>
          <w:szCs w:val="22"/>
        </w:rPr>
        <w:t>Centre</w:t>
      </w:r>
      <w:r w:rsidRPr="0006336E">
        <w:rPr>
          <w:rFonts w:asciiTheme="majorHAnsi" w:hAnsiTheme="majorHAnsi"/>
          <w:sz w:val="22"/>
          <w:szCs w:val="22"/>
        </w:rPr>
        <w:t xml:space="preserve"> for Guru </w:t>
      </w:r>
      <w:proofErr w:type="spellStart"/>
      <w:r w:rsidRPr="0006336E">
        <w:rPr>
          <w:rFonts w:asciiTheme="majorHAnsi" w:hAnsiTheme="majorHAnsi"/>
          <w:sz w:val="22"/>
          <w:szCs w:val="22"/>
        </w:rPr>
        <w:t>Penggerak</w:t>
      </w:r>
      <w:proofErr w:type="spellEnd"/>
      <w:r w:rsidRPr="0006336E">
        <w:rPr>
          <w:rFonts w:asciiTheme="majorHAnsi" w:hAnsiTheme="majorHAnsi"/>
          <w:sz w:val="22"/>
          <w:szCs w:val="22"/>
        </w:rPr>
        <w:t xml:space="preserve"> (</w:t>
      </w:r>
      <w:r w:rsidRPr="0006336E">
        <w:rPr>
          <w:rFonts w:asciiTheme="majorHAnsi" w:hAnsiTheme="majorHAnsi"/>
          <w:i/>
          <w:iCs/>
          <w:sz w:val="22"/>
          <w:szCs w:val="22"/>
        </w:rPr>
        <w:t xml:space="preserve">Balai Guru </w:t>
      </w:r>
      <w:proofErr w:type="spellStart"/>
      <w:r w:rsidRPr="0006336E">
        <w:rPr>
          <w:rFonts w:asciiTheme="majorHAnsi" w:hAnsiTheme="majorHAnsi"/>
          <w:i/>
          <w:iCs/>
          <w:sz w:val="22"/>
          <w:szCs w:val="22"/>
        </w:rPr>
        <w:t>Penggerak</w:t>
      </w:r>
      <w:proofErr w:type="spellEnd"/>
      <w:r w:rsidRPr="0006336E">
        <w:rPr>
          <w:rFonts w:asciiTheme="majorHAnsi" w:hAnsiTheme="majorHAnsi"/>
          <w:i/>
          <w:iCs/>
          <w:sz w:val="22"/>
          <w:szCs w:val="22"/>
        </w:rPr>
        <w:t>—BGP</w:t>
      </w:r>
      <w:r w:rsidRPr="0006336E">
        <w:rPr>
          <w:rFonts w:asciiTheme="majorHAnsi" w:hAnsiTheme="majorHAnsi"/>
          <w:sz w:val="22"/>
          <w:szCs w:val="22"/>
        </w:rPr>
        <w:t xml:space="preserve">) and the </w:t>
      </w:r>
      <w:r>
        <w:rPr>
          <w:rFonts w:asciiTheme="majorHAnsi" w:hAnsiTheme="majorHAnsi"/>
          <w:sz w:val="22"/>
          <w:szCs w:val="22"/>
        </w:rPr>
        <w:t>Centre</w:t>
      </w:r>
      <w:r w:rsidRPr="0006336E">
        <w:rPr>
          <w:rFonts w:asciiTheme="majorHAnsi" w:hAnsiTheme="majorHAnsi"/>
          <w:sz w:val="22"/>
          <w:szCs w:val="22"/>
        </w:rPr>
        <w:t xml:space="preserve"> for Education Quality Assurance (</w:t>
      </w:r>
      <w:r w:rsidRPr="0006336E">
        <w:rPr>
          <w:rFonts w:asciiTheme="majorHAnsi" w:hAnsiTheme="majorHAnsi"/>
          <w:i/>
          <w:iCs/>
          <w:sz w:val="22"/>
          <w:szCs w:val="22"/>
        </w:rPr>
        <w:t xml:space="preserve">Balai </w:t>
      </w:r>
      <w:proofErr w:type="spellStart"/>
      <w:r w:rsidRPr="0006336E">
        <w:rPr>
          <w:rFonts w:asciiTheme="majorHAnsi" w:hAnsiTheme="majorHAnsi"/>
          <w:i/>
          <w:iCs/>
          <w:sz w:val="22"/>
          <w:szCs w:val="22"/>
        </w:rPr>
        <w:t>Penjaminan</w:t>
      </w:r>
      <w:proofErr w:type="spellEnd"/>
      <w:r w:rsidRPr="0006336E">
        <w:rPr>
          <w:rFonts w:asciiTheme="majorHAnsi" w:hAnsiTheme="majorHAnsi"/>
          <w:i/>
          <w:iCs/>
          <w:sz w:val="22"/>
          <w:szCs w:val="22"/>
        </w:rPr>
        <w:t xml:space="preserve"> </w:t>
      </w:r>
      <w:proofErr w:type="spellStart"/>
      <w:r w:rsidRPr="0006336E">
        <w:rPr>
          <w:rFonts w:asciiTheme="majorHAnsi" w:hAnsiTheme="majorHAnsi"/>
          <w:i/>
          <w:iCs/>
          <w:sz w:val="22"/>
          <w:szCs w:val="22"/>
        </w:rPr>
        <w:t>Mutu</w:t>
      </w:r>
      <w:proofErr w:type="spellEnd"/>
      <w:r w:rsidRPr="0006336E">
        <w:rPr>
          <w:rFonts w:asciiTheme="majorHAnsi" w:hAnsiTheme="majorHAnsi"/>
          <w:i/>
          <w:iCs/>
          <w:sz w:val="22"/>
          <w:szCs w:val="22"/>
        </w:rPr>
        <w:t xml:space="preserve"> Pendidikan—BPMP</w:t>
      </w:r>
      <w:r w:rsidRPr="0006336E">
        <w:rPr>
          <w:rFonts w:asciiTheme="majorHAnsi" w:hAnsiTheme="majorHAnsi"/>
          <w:sz w:val="22"/>
          <w:szCs w:val="22"/>
        </w:rPr>
        <w:t>)</w:t>
      </w:r>
      <w:r>
        <w:rPr>
          <w:rFonts w:asciiTheme="majorHAnsi" w:hAnsiTheme="majorHAnsi"/>
          <w:sz w:val="22"/>
          <w:szCs w:val="22"/>
        </w:rPr>
        <w:t xml:space="preserve"> are tasked</w:t>
      </w:r>
      <w:r w:rsidRPr="0006336E">
        <w:rPr>
          <w:rFonts w:asciiTheme="majorHAnsi" w:hAnsiTheme="majorHAnsi"/>
          <w:sz w:val="22"/>
          <w:szCs w:val="22"/>
        </w:rPr>
        <w:t xml:space="preserve"> </w:t>
      </w:r>
      <w:r>
        <w:rPr>
          <w:rFonts w:asciiTheme="majorHAnsi" w:hAnsiTheme="majorHAnsi"/>
          <w:sz w:val="22"/>
          <w:szCs w:val="22"/>
        </w:rPr>
        <w:t>t</w:t>
      </w:r>
      <w:r w:rsidRPr="0006336E">
        <w:rPr>
          <w:rFonts w:asciiTheme="majorHAnsi" w:hAnsiTheme="majorHAnsi"/>
          <w:sz w:val="22"/>
          <w:szCs w:val="22"/>
        </w:rPr>
        <w:t xml:space="preserve">o support the </w:t>
      </w:r>
      <w:proofErr w:type="spellStart"/>
      <w:r w:rsidRPr="0006336E">
        <w:rPr>
          <w:rFonts w:asciiTheme="majorHAnsi" w:hAnsiTheme="majorHAnsi"/>
          <w:i/>
          <w:iCs/>
          <w:sz w:val="22"/>
          <w:szCs w:val="22"/>
        </w:rPr>
        <w:t>sekolah</w:t>
      </w:r>
      <w:proofErr w:type="spellEnd"/>
      <w:r w:rsidRPr="0006336E">
        <w:rPr>
          <w:rFonts w:asciiTheme="majorHAnsi" w:hAnsiTheme="majorHAnsi"/>
          <w:i/>
          <w:iCs/>
          <w:sz w:val="22"/>
          <w:szCs w:val="22"/>
        </w:rPr>
        <w:t xml:space="preserve"> </w:t>
      </w:r>
      <w:proofErr w:type="spellStart"/>
      <w:r w:rsidRPr="0006336E">
        <w:rPr>
          <w:rFonts w:asciiTheme="majorHAnsi" w:hAnsiTheme="majorHAnsi"/>
          <w:i/>
          <w:iCs/>
          <w:sz w:val="22"/>
          <w:szCs w:val="22"/>
        </w:rPr>
        <w:t>penggerak</w:t>
      </w:r>
      <w:proofErr w:type="spellEnd"/>
      <w:r>
        <w:rPr>
          <w:rFonts w:asciiTheme="majorHAnsi" w:hAnsiTheme="majorHAnsi"/>
          <w:i/>
          <w:iCs/>
          <w:sz w:val="22"/>
          <w:szCs w:val="22"/>
        </w:rPr>
        <w:t xml:space="preserve"> and guru </w:t>
      </w:r>
      <w:proofErr w:type="spellStart"/>
      <w:r>
        <w:rPr>
          <w:rFonts w:asciiTheme="majorHAnsi" w:hAnsiTheme="majorHAnsi"/>
          <w:i/>
          <w:iCs/>
          <w:sz w:val="22"/>
          <w:szCs w:val="22"/>
        </w:rPr>
        <w:t>penggerak</w:t>
      </w:r>
      <w:proofErr w:type="spellEnd"/>
      <w:r w:rsidRPr="0006336E">
        <w:rPr>
          <w:rFonts w:asciiTheme="majorHAnsi" w:hAnsiTheme="majorHAnsi"/>
          <w:sz w:val="22"/>
          <w:szCs w:val="22"/>
        </w:rPr>
        <w:t xml:space="preserve"> as vectors of change</w:t>
      </w:r>
      <w:r>
        <w:rPr>
          <w:rFonts w:asciiTheme="majorHAnsi" w:hAnsiTheme="majorHAnsi"/>
          <w:sz w:val="22"/>
          <w:szCs w:val="22"/>
        </w:rPr>
        <w:t xml:space="preserve">. </w:t>
      </w:r>
      <w:r w:rsidRPr="0006336E">
        <w:rPr>
          <w:rFonts w:asciiTheme="majorHAnsi" w:hAnsiTheme="majorHAnsi"/>
          <w:sz w:val="22"/>
          <w:szCs w:val="22"/>
        </w:rPr>
        <w:t xml:space="preserve">The BGP will continue the development of </w:t>
      </w:r>
      <w:r w:rsidRPr="0006336E">
        <w:rPr>
          <w:rFonts w:asciiTheme="majorHAnsi" w:hAnsiTheme="majorHAnsi"/>
          <w:i/>
          <w:iCs/>
          <w:sz w:val="22"/>
          <w:szCs w:val="22"/>
        </w:rPr>
        <w:t xml:space="preserve">guru </w:t>
      </w:r>
      <w:proofErr w:type="spellStart"/>
      <w:r w:rsidRPr="0006336E">
        <w:rPr>
          <w:rFonts w:asciiTheme="majorHAnsi" w:hAnsiTheme="majorHAnsi"/>
          <w:i/>
          <w:iCs/>
          <w:sz w:val="22"/>
          <w:szCs w:val="22"/>
        </w:rPr>
        <w:t>penggerak</w:t>
      </w:r>
      <w:proofErr w:type="spellEnd"/>
      <w:r w:rsidRPr="0006336E">
        <w:rPr>
          <w:rFonts w:asciiTheme="majorHAnsi" w:hAnsiTheme="majorHAnsi"/>
          <w:sz w:val="22"/>
          <w:szCs w:val="22"/>
        </w:rPr>
        <w:t xml:space="preserve"> as change </w:t>
      </w:r>
      <w:proofErr w:type="gramStart"/>
      <w:r w:rsidRPr="0006336E">
        <w:rPr>
          <w:rFonts w:asciiTheme="majorHAnsi" w:hAnsiTheme="majorHAnsi"/>
          <w:sz w:val="22"/>
          <w:szCs w:val="22"/>
        </w:rPr>
        <w:t>leaders, and</w:t>
      </w:r>
      <w:proofErr w:type="gramEnd"/>
      <w:r w:rsidRPr="0006336E">
        <w:rPr>
          <w:rFonts w:asciiTheme="majorHAnsi" w:hAnsiTheme="majorHAnsi"/>
          <w:sz w:val="22"/>
          <w:szCs w:val="22"/>
        </w:rPr>
        <w:t xml:space="preserve"> support them in building capacity of other schools by sourcing local facilitators and trainers. The BPMP </w:t>
      </w:r>
      <w:r>
        <w:rPr>
          <w:rFonts w:asciiTheme="majorHAnsi" w:hAnsiTheme="majorHAnsi"/>
          <w:sz w:val="22"/>
          <w:szCs w:val="22"/>
        </w:rPr>
        <w:t xml:space="preserve">supports the district government and schools to translate </w:t>
      </w:r>
      <w:r w:rsidRPr="00EA46CE">
        <w:rPr>
          <w:rFonts w:asciiTheme="majorHAnsi" w:hAnsiTheme="majorHAnsi"/>
          <w:i/>
          <w:iCs/>
          <w:sz w:val="22"/>
          <w:szCs w:val="22"/>
        </w:rPr>
        <w:t xml:space="preserve">Merdeka </w:t>
      </w:r>
      <w:proofErr w:type="spellStart"/>
      <w:r w:rsidRPr="00EA46CE">
        <w:rPr>
          <w:rFonts w:asciiTheme="majorHAnsi" w:hAnsiTheme="majorHAnsi"/>
          <w:i/>
          <w:iCs/>
          <w:sz w:val="22"/>
          <w:szCs w:val="22"/>
        </w:rPr>
        <w:t>Belajar</w:t>
      </w:r>
      <w:proofErr w:type="spellEnd"/>
      <w:r>
        <w:rPr>
          <w:rFonts w:asciiTheme="majorHAnsi" w:hAnsiTheme="majorHAnsi"/>
          <w:sz w:val="22"/>
          <w:szCs w:val="22"/>
        </w:rPr>
        <w:t xml:space="preserve"> policies such as the new curriculum for its effective use. The BPMP also </w:t>
      </w:r>
      <w:r w:rsidRPr="0006336E">
        <w:rPr>
          <w:rFonts w:asciiTheme="majorHAnsi" w:hAnsiTheme="majorHAnsi"/>
          <w:sz w:val="22"/>
          <w:szCs w:val="22"/>
        </w:rPr>
        <w:t xml:space="preserve">assists in the process of recruitment of </w:t>
      </w:r>
      <w:r w:rsidRPr="0006336E">
        <w:rPr>
          <w:rFonts w:asciiTheme="majorHAnsi" w:hAnsiTheme="majorHAnsi"/>
          <w:i/>
          <w:iCs/>
          <w:sz w:val="22"/>
          <w:szCs w:val="22"/>
        </w:rPr>
        <w:t xml:space="preserve">guru </w:t>
      </w:r>
      <w:proofErr w:type="spellStart"/>
      <w:r w:rsidRPr="0006336E">
        <w:rPr>
          <w:rFonts w:asciiTheme="majorHAnsi" w:hAnsiTheme="majorHAnsi"/>
          <w:i/>
          <w:iCs/>
          <w:sz w:val="22"/>
          <w:szCs w:val="22"/>
        </w:rPr>
        <w:t>penggerak</w:t>
      </w:r>
      <w:proofErr w:type="spellEnd"/>
      <w:r w:rsidRPr="0006336E">
        <w:rPr>
          <w:rFonts w:asciiTheme="majorHAnsi" w:hAnsiTheme="majorHAnsi"/>
          <w:sz w:val="22"/>
          <w:szCs w:val="22"/>
        </w:rPr>
        <w:t xml:space="preserve"> and advises the local education office in their deployment, using the national assessment of schools in the Education Report to determine areas of priority need. In 2020</w:t>
      </w:r>
      <w:r>
        <w:rPr>
          <w:rFonts w:asciiTheme="majorHAnsi" w:hAnsiTheme="majorHAnsi"/>
          <w:sz w:val="22"/>
          <w:szCs w:val="22"/>
        </w:rPr>
        <w:t>,</w:t>
      </w:r>
      <w:r w:rsidRPr="0006336E">
        <w:rPr>
          <w:rFonts w:asciiTheme="majorHAnsi" w:hAnsiTheme="majorHAnsi"/>
          <w:sz w:val="22"/>
          <w:szCs w:val="22"/>
        </w:rPr>
        <w:t xml:space="preserve"> the Ministry launched a program (</w:t>
      </w:r>
      <w:r w:rsidRPr="0006336E">
        <w:rPr>
          <w:rFonts w:asciiTheme="majorHAnsi" w:hAnsiTheme="majorHAnsi"/>
          <w:i/>
          <w:iCs/>
          <w:sz w:val="22"/>
          <w:szCs w:val="22"/>
        </w:rPr>
        <w:t xml:space="preserve">Program </w:t>
      </w:r>
      <w:proofErr w:type="spellStart"/>
      <w:r w:rsidRPr="0006336E">
        <w:rPr>
          <w:rFonts w:asciiTheme="majorHAnsi" w:hAnsiTheme="majorHAnsi"/>
          <w:i/>
          <w:iCs/>
          <w:sz w:val="22"/>
          <w:szCs w:val="22"/>
        </w:rPr>
        <w:t>Organisasi</w:t>
      </w:r>
      <w:proofErr w:type="spellEnd"/>
      <w:r w:rsidRPr="0006336E">
        <w:rPr>
          <w:rFonts w:asciiTheme="majorHAnsi" w:hAnsiTheme="majorHAnsi"/>
          <w:i/>
          <w:iCs/>
          <w:sz w:val="22"/>
          <w:szCs w:val="22"/>
        </w:rPr>
        <w:t xml:space="preserve"> </w:t>
      </w:r>
      <w:proofErr w:type="spellStart"/>
      <w:r w:rsidRPr="0006336E">
        <w:rPr>
          <w:rFonts w:asciiTheme="majorHAnsi" w:hAnsiTheme="majorHAnsi"/>
          <w:i/>
          <w:iCs/>
          <w:sz w:val="22"/>
          <w:szCs w:val="22"/>
        </w:rPr>
        <w:t>Penggerak</w:t>
      </w:r>
      <w:proofErr w:type="spellEnd"/>
      <w:r w:rsidRPr="0006336E">
        <w:rPr>
          <w:rFonts w:asciiTheme="majorHAnsi" w:hAnsiTheme="majorHAnsi"/>
          <w:sz w:val="22"/>
          <w:szCs w:val="22"/>
        </w:rPr>
        <w:t xml:space="preserve">) aimed at enlisting professional development organisations who passed selection criteria, to support the work of teacher and principal capacity building in the districts. The Ministry also intends to fill supervisor positions at the district with </w:t>
      </w:r>
      <w:r w:rsidRPr="0006336E">
        <w:rPr>
          <w:rFonts w:asciiTheme="majorHAnsi" w:hAnsiTheme="majorHAnsi"/>
          <w:i/>
          <w:iCs/>
          <w:sz w:val="22"/>
          <w:szCs w:val="22"/>
        </w:rPr>
        <w:t xml:space="preserve">guru </w:t>
      </w:r>
      <w:proofErr w:type="spellStart"/>
      <w:r w:rsidRPr="0006336E">
        <w:rPr>
          <w:rFonts w:asciiTheme="majorHAnsi" w:hAnsiTheme="majorHAnsi"/>
          <w:i/>
          <w:iCs/>
          <w:sz w:val="22"/>
          <w:szCs w:val="22"/>
        </w:rPr>
        <w:t>penggerak</w:t>
      </w:r>
      <w:proofErr w:type="spellEnd"/>
      <w:r w:rsidRPr="0006336E">
        <w:rPr>
          <w:rFonts w:asciiTheme="majorHAnsi" w:hAnsiTheme="majorHAnsi"/>
          <w:sz w:val="22"/>
          <w:szCs w:val="22"/>
        </w:rPr>
        <w:t>, ultimately replacing the supervisor institution with teacher mentor positions (</w:t>
      </w:r>
      <w:r w:rsidRPr="0006336E">
        <w:rPr>
          <w:rFonts w:asciiTheme="majorHAnsi" w:hAnsiTheme="majorHAnsi"/>
          <w:i/>
          <w:iCs/>
          <w:sz w:val="22"/>
          <w:szCs w:val="22"/>
        </w:rPr>
        <w:t xml:space="preserve">guru </w:t>
      </w:r>
      <w:proofErr w:type="spellStart"/>
      <w:r w:rsidRPr="0006336E">
        <w:rPr>
          <w:rFonts w:asciiTheme="majorHAnsi" w:hAnsiTheme="majorHAnsi"/>
          <w:i/>
          <w:iCs/>
          <w:sz w:val="22"/>
          <w:szCs w:val="22"/>
        </w:rPr>
        <w:t>utama</w:t>
      </w:r>
      <w:proofErr w:type="spellEnd"/>
      <w:r w:rsidRPr="0006336E">
        <w:rPr>
          <w:rFonts w:asciiTheme="majorHAnsi" w:hAnsiTheme="majorHAnsi"/>
          <w:sz w:val="22"/>
          <w:szCs w:val="22"/>
        </w:rPr>
        <w:t xml:space="preserve">), which will then be a secure district source of teacher quality development. </w:t>
      </w:r>
    </w:p>
    <w:p w14:paraId="058F9D40" w14:textId="77777777" w:rsidR="002E2FE4" w:rsidRPr="0006336E" w:rsidRDefault="002E2FE4" w:rsidP="008D1844">
      <w:pPr>
        <w:pStyle w:val="BodyText"/>
        <w:numPr>
          <w:ilvl w:val="0"/>
          <w:numId w:val="36"/>
        </w:numPr>
        <w:spacing w:after="120" w:line="281" w:lineRule="auto"/>
        <w:rPr>
          <w:rFonts w:asciiTheme="majorHAnsi" w:hAnsiTheme="majorHAnsi"/>
          <w:b/>
          <w:bCs/>
          <w:sz w:val="22"/>
          <w:szCs w:val="22"/>
        </w:rPr>
      </w:pPr>
      <w:r w:rsidRPr="0006336E">
        <w:rPr>
          <w:rFonts w:asciiTheme="majorHAnsi" w:hAnsiTheme="majorHAnsi"/>
          <w:b/>
          <w:bCs/>
          <w:sz w:val="22"/>
          <w:szCs w:val="22"/>
        </w:rPr>
        <w:t>The concept of district ecosystem</w:t>
      </w:r>
    </w:p>
    <w:p w14:paraId="71905479" w14:textId="77777777" w:rsidR="002E2FE4" w:rsidRPr="0006336E" w:rsidRDefault="002E2FE4" w:rsidP="000B3609">
      <w:pPr>
        <w:pStyle w:val="BodyText"/>
        <w:spacing w:after="120" w:line="281" w:lineRule="auto"/>
        <w:rPr>
          <w:rFonts w:asciiTheme="majorHAnsi" w:hAnsiTheme="majorHAnsi"/>
          <w:sz w:val="22"/>
          <w:szCs w:val="22"/>
        </w:rPr>
      </w:pPr>
      <w:r w:rsidRPr="0006336E">
        <w:rPr>
          <w:rFonts w:asciiTheme="majorHAnsi" w:hAnsiTheme="majorHAnsi"/>
          <w:sz w:val="22"/>
          <w:szCs w:val="22"/>
        </w:rPr>
        <w:t xml:space="preserve">The design extends the ecosystem idea to the district level to support the consolidation and success of the reforms’ implementation. </w:t>
      </w:r>
      <w:r w:rsidRPr="0006336E">
        <w:rPr>
          <w:rFonts w:asciiTheme="majorHAnsi" w:hAnsiTheme="majorHAnsi" w:cstheme="majorHAnsi"/>
          <w:sz w:val="22"/>
          <w:szCs w:val="22"/>
        </w:rPr>
        <w:t xml:space="preserve">The district becomes the prime mover for the articulation of all these learning communities and their community resources, </w:t>
      </w:r>
      <w:r>
        <w:rPr>
          <w:rFonts w:asciiTheme="majorHAnsi" w:hAnsiTheme="majorHAnsi" w:cstheme="majorHAnsi"/>
          <w:sz w:val="22"/>
          <w:szCs w:val="22"/>
        </w:rPr>
        <w:t>i.e.,</w:t>
      </w:r>
      <w:r w:rsidRPr="0006336E">
        <w:rPr>
          <w:rFonts w:asciiTheme="majorHAnsi" w:hAnsiTheme="majorHAnsi" w:cstheme="majorHAnsi"/>
          <w:sz w:val="22"/>
          <w:szCs w:val="22"/>
        </w:rPr>
        <w:t xml:space="preserve"> the locus of partner engagement in building inclusive learning improvement</w:t>
      </w:r>
      <w:r>
        <w:rPr>
          <w:rFonts w:asciiTheme="majorHAnsi" w:hAnsiTheme="majorHAnsi" w:cstheme="majorHAnsi"/>
          <w:sz w:val="22"/>
          <w:szCs w:val="22"/>
        </w:rPr>
        <w:t>,</w:t>
      </w:r>
      <w:r w:rsidRPr="0006336E">
        <w:rPr>
          <w:rFonts w:asciiTheme="majorHAnsi" w:hAnsiTheme="majorHAnsi" w:cstheme="majorHAnsi"/>
          <w:sz w:val="22"/>
          <w:szCs w:val="22"/>
        </w:rPr>
        <w:t xml:space="preserve"> the meeting ground of national and provincial government authorities and agencies</w:t>
      </w:r>
      <w:r>
        <w:rPr>
          <w:rFonts w:asciiTheme="majorHAnsi" w:hAnsiTheme="majorHAnsi" w:cstheme="majorHAnsi"/>
          <w:sz w:val="22"/>
          <w:szCs w:val="22"/>
        </w:rPr>
        <w:t>,</w:t>
      </w:r>
      <w:r w:rsidRPr="0006336E">
        <w:rPr>
          <w:rFonts w:asciiTheme="majorHAnsi" w:hAnsiTheme="majorHAnsi" w:cstheme="majorHAnsi"/>
          <w:sz w:val="22"/>
          <w:szCs w:val="22"/>
        </w:rPr>
        <w:t xml:space="preserve"> district and village level government partners</w:t>
      </w:r>
      <w:r>
        <w:rPr>
          <w:rFonts w:asciiTheme="majorHAnsi" w:hAnsiTheme="majorHAnsi" w:cstheme="majorHAnsi"/>
          <w:sz w:val="22"/>
          <w:szCs w:val="22"/>
        </w:rPr>
        <w:t>,</w:t>
      </w:r>
      <w:r w:rsidRPr="0006336E">
        <w:rPr>
          <w:rFonts w:asciiTheme="majorHAnsi" w:hAnsiTheme="majorHAnsi" w:cstheme="majorHAnsi"/>
          <w:sz w:val="22"/>
          <w:szCs w:val="22"/>
        </w:rPr>
        <w:t xml:space="preserve"> local gender CSOs and disability OPDs</w:t>
      </w:r>
      <w:r>
        <w:rPr>
          <w:rFonts w:asciiTheme="majorHAnsi" w:hAnsiTheme="majorHAnsi" w:cstheme="majorHAnsi"/>
          <w:sz w:val="22"/>
          <w:szCs w:val="22"/>
        </w:rPr>
        <w:t>,</w:t>
      </w:r>
      <w:r w:rsidRPr="0006336E">
        <w:rPr>
          <w:rFonts w:asciiTheme="majorHAnsi" w:hAnsiTheme="majorHAnsi" w:cstheme="majorHAnsi"/>
          <w:sz w:val="22"/>
          <w:szCs w:val="22"/>
        </w:rPr>
        <w:t xml:space="preserve"> and private service provider organisations.</w:t>
      </w:r>
    </w:p>
    <w:p w14:paraId="490596F3" w14:textId="77777777" w:rsidR="002E2FE4" w:rsidRPr="0006336E" w:rsidRDefault="002E2FE4" w:rsidP="000B3609">
      <w:pPr>
        <w:pStyle w:val="BodyText"/>
        <w:spacing w:after="120" w:line="281" w:lineRule="auto"/>
        <w:rPr>
          <w:rFonts w:asciiTheme="majorHAnsi" w:hAnsiTheme="majorHAnsi"/>
          <w:sz w:val="22"/>
          <w:szCs w:val="22"/>
        </w:rPr>
      </w:pPr>
      <w:r w:rsidRPr="0006336E">
        <w:rPr>
          <w:rFonts w:asciiTheme="majorHAnsi" w:hAnsiTheme="majorHAnsi"/>
          <w:sz w:val="22"/>
          <w:szCs w:val="22"/>
        </w:rPr>
        <w:t>Educational leadership of district education authority is indeed a necessary condition of sustainable quality improvement of learning outcomes and, as suggested by</w:t>
      </w:r>
      <w:r>
        <w:rPr>
          <w:rFonts w:asciiTheme="majorHAnsi" w:hAnsiTheme="majorHAnsi"/>
          <w:sz w:val="22"/>
          <w:szCs w:val="22"/>
        </w:rPr>
        <w:t xml:space="preserve"> </w:t>
      </w:r>
      <w:proofErr w:type="spellStart"/>
      <w:r w:rsidRPr="0006336E">
        <w:rPr>
          <w:rFonts w:asciiTheme="majorHAnsi" w:hAnsiTheme="majorHAnsi"/>
          <w:sz w:val="22"/>
          <w:szCs w:val="22"/>
        </w:rPr>
        <w:t>MoECRT</w:t>
      </w:r>
      <w:proofErr w:type="spellEnd"/>
      <w:r w:rsidRPr="0006336E">
        <w:rPr>
          <w:rFonts w:asciiTheme="majorHAnsi" w:hAnsiTheme="majorHAnsi"/>
          <w:sz w:val="22"/>
          <w:szCs w:val="22"/>
        </w:rPr>
        <w:t xml:space="preserve">, INOVASI Phase 3 can play a role in developing and testing models to capacitate districts to implement current reform initiatives. Other reasons for adding a district layer to the original school ecosystem concept include: </w:t>
      </w:r>
    </w:p>
    <w:p w14:paraId="767CBED1" w14:textId="77777777" w:rsidR="002E2FE4" w:rsidRPr="0006336E" w:rsidRDefault="002E2FE4" w:rsidP="008D1844">
      <w:pPr>
        <w:pStyle w:val="BodyText"/>
        <w:numPr>
          <w:ilvl w:val="0"/>
          <w:numId w:val="34"/>
        </w:numPr>
        <w:spacing w:after="120" w:line="281" w:lineRule="auto"/>
        <w:rPr>
          <w:rFonts w:asciiTheme="majorHAnsi" w:hAnsiTheme="majorHAnsi"/>
          <w:sz w:val="22"/>
          <w:szCs w:val="22"/>
        </w:rPr>
      </w:pPr>
      <w:r w:rsidRPr="0006336E">
        <w:rPr>
          <w:rFonts w:asciiTheme="majorHAnsi" w:hAnsiTheme="majorHAnsi"/>
          <w:sz w:val="22"/>
          <w:szCs w:val="22"/>
        </w:rPr>
        <w:t xml:space="preserve">According to the decentralisation law, district governments are responsible for schools and have authority over teachers, principals, and officials in the district education office.  District buy-in at the executive level is necessary for the reforms to prosper. </w:t>
      </w:r>
    </w:p>
    <w:p w14:paraId="2AB15043" w14:textId="77777777" w:rsidR="002E2FE4" w:rsidRPr="0006336E" w:rsidRDefault="002E2FE4" w:rsidP="008D1844">
      <w:pPr>
        <w:pStyle w:val="BodyText"/>
        <w:numPr>
          <w:ilvl w:val="0"/>
          <w:numId w:val="34"/>
        </w:numPr>
        <w:spacing w:after="120" w:line="281" w:lineRule="auto"/>
        <w:rPr>
          <w:rFonts w:asciiTheme="majorHAnsi" w:hAnsiTheme="majorHAnsi"/>
          <w:sz w:val="22"/>
          <w:szCs w:val="22"/>
        </w:rPr>
      </w:pPr>
      <w:r w:rsidRPr="0006336E">
        <w:rPr>
          <w:rFonts w:asciiTheme="majorHAnsi" w:hAnsiTheme="majorHAnsi"/>
          <w:sz w:val="22"/>
          <w:szCs w:val="22"/>
        </w:rPr>
        <w:lastRenderedPageBreak/>
        <w:t xml:space="preserve">A key principle of </w:t>
      </w:r>
      <w:r w:rsidRPr="0006336E">
        <w:rPr>
          <w:rFonts w:asciiTheme="majorHAnsi" w:hAnsiTheme="majorHAnsi"/>
          <w:i/>
          <w:iCs/>
          <w:sz w:val="22"/>
          <w:szCs w:val="22"/>
        </w:rPr>
        <w:t xml:space="preserve">Merdeka </w:t>
      </w:r>
      <w:proofErr w:type="spellStart"/>
      <w:r w:rsidRPr="0006336E">
        <w:rPr>
          <w:rFonts w:asciiTheme="majorHAnsi" w:hAnsiTheme="majorHAnsi"/>
          <w:i/>
          <w:iCs/>
          <w:sz w:val="22"/>
          <w:szCs w:val="22"/>
        </w:rPr>
        <w:t>Belajar</w:t>
      </w:r>
      <w:proofErr w:type="spellEnd"/>
      <w:r w:rsidRPr="0006336E">
        <w:rPr>
          <w:rFonts w:asciiTheme="majorHAnsi" w:hAnsiTheme="majorHAnsi"/>
          <w:sz w:val="22"/>
          <w:szCs w:val="22"/>
        </w:rPr>
        <w:t xml:space="preserve"> is localisation and district development priorities need to be coordinated across schools. The district also coordinates education relevant agendas from other ministries</w:t>
      </w:r>
      <w:r>
        <w:rPr>
          <w:rFonts w:asciiTheme="majorHAnsi" w:hAnsiTheme="majorHAnsi"/>
          <w:sz w:val="22"/>
          <w:szCs w:val="22"/>
        </w:rPr>
        <w:t>,</w:t>
      </w:r>
      <w:r w:rsidRPr="0006336E">
        <w:rPr>
          <w:rFonts w:asciiTheme="majorHAnsi" w:hAnsiTheme="majorHAnsi"/>
          <w:sz w:val="22"/>
          <w:szCs w:val="22"/>
        </w:rPr>
        <w:t xml:space="preserve"> notably, districts oversee the compliance of Minimum Service Standards in literacy and numeracy. </w:t>
      </w:r>
    </w:p>
    <w:p w14:paraId="6F60E963" w14:textId="77777777" w:rsidR="002E2FE4" w:rsidRPr="0006336E" w:rsidRDefault="002E2FE4" w:rsidP="008D1844">
      <w:pPr>
        <w:pStyle w:val="BodyText"/>
        <w:numPr>
          <w:ilvl w:val="0"/>
          <w:numId w:val="34"/>
        </w:numPr>
        <w:spacing w:after="120" w:line="281" w:lineRule="auto"/>
        <w:rPr>
          <w:rFonts w:asciiTheme="majorHAnsi" w:hAnsiTheme="majorHAnsi"/>
          <w:sz w:val="22"/>
          <w:szCs w:val="22"/>
        </w:rPr>
      </w:pPr>
      <w:r w:rsidRPr="0006336E">
        <w:rPr>
          <w:rFonts w:asciiTheme="majorHAnsi" w:hAnsiTheme="majorHAnsi"/>
          <w:sz w:val="22"/>
          <w:szCs w:val="22"/>
        </w:rPr>
        <w:t xml:space="preserve">The </w:t>
      </w:r>
      <w:r w:rsidRPr="0006336E">
        <w:rPr>
          <w:rFonts w:asciiTheme="majorHAnsi" w:hAnsiTheme="majorHAnsi"/>
          <w:i/>
          <w:iCs/>
          <w:sz w:val="22"/>
          <w:szCs w:val="22"/>
        </w:rPr>
        <w:t xml:space="preserve">Merdeka </w:t>
      </w:r>
      <w:proofErr w:type="spellStart"/>
      <w:r w:rsidRPr="0006336E">
        <w:rPr>
          <w:rFonts w:asciiTheme="majorHAnsi" w:hAnsiTheme="majorHAnsi"/>
          <w:i/>
          <w:iCs/>
          <w:sz w:val="22"/>
          <w:szCs w:val="22"/>
        </w:rPr>
        <w:t>Belajar</w:t>
      </w:r>
      <w:proofErr w:type="spellEnd"/>
      <w:r w:rsidRPr="0006336E">
        <w:rPr>
          <w:rFonts w:asciiTheme="majorHAnsi" w:hAnsiTheme="majorHAnsi"/>
          <w:sz w:val="22"/>
          <w:szCs w:val="22"/>
        </w:rPr>
        <w:t xml:space="preserve"> also requires school-based curriculum development</w:t>
      </w:r>
      <w:r>
        <w:rPr>
          <w:rFonts w:asciiTheme="majorHAnsi" w:hAnsiTheme="majorHAnsi"/>
          <w:sz w:val="22"/>
          <w:szCs w:val="22"/>
        </w:rPr>
        <w:t>;</w:t>
      </w:r>
      <w:r w:rsidRPr="0006336E">
        <w:rPr>
          <w:rFonts w:asciiTheme="majorHAnsi" w:hAnsiTheme="majorHAnsi"/>
          <w:sz w:val="22"/>
          <w:szCs w:val="22"/>
        </w:rPr>
        <w:t xml:space="preserve"> however, principals and teachers are unused to curriculum planning and without guidance and oversight by the district, there is a risk that improved standards of literacy and numeracy will not be coherently addressed. </w:t>
      </w:r>
    </w:p>
    <w:p w14:paraId="73E66D01" w14:textId="77777777" w:rsidR="002E2FE4" w:rsidRPr="0006336E" w:rsidRDefault="002E2FE4" w:rsidP="008D1844">
      <w:pPr>
        <w:pStyle w:val="BodyText"/>
        <w:numPr>
          <w:ilvl w:val="0"/>
          <w:numId w:val="34"/>
        </w:numPr>
        <w:spacing w:after="120" w:line="281" w:lineRule="auto"/>
        <w:rPr>
          <w:rFonts w:asciiTheme="majorHAnsi" w:hAnsiTheme="majorHAnsi"/>
          <w:sz w:val="22"/>
          <w:szCs w:val="22"/>
        </w:rPr>
      </w:pPr>
      <w:r w:rsidRPr="0006336E">
        <w:rPr>
          <w:rFonts w:asciiTheme="majorHAnsi" w:hAnsiTheme="majorHAnsi"/>
          <w:sz w:val="22"/>
          <w:szCs w:val="22"/>
        </w:rPr>
        <w:t>Further, the implementation of the Reasonable Accommodation Regulation 13/2020 for inclusion of children with a disability also requires district-level strategic planning and budgeting necessary to make a start on it.</w:t>
      </w:r>
    </w:p>
    <w:p w14:paraId="69F0AAE2" w14:textId="77777777" w:rsidR="002E2FE4" w:rsidRPr="0006336E" w:rsidRDefault="002E2FE4" w:rsidP="008D1844">
      <w:pPr>
        <w:pStyle w:val="BodyText"/>
        <w:numPr>
          <w:ilvl w:val="0"/>
          <w:numId w:val="36"/>
        </w:numPr>
        <w:spacing w:after="120" w:line="281" w:lineRule="auto"/>
        <w:rPr>
          <w:rFonts w:asciiTheme="majorHAnsi" w:hAnsiTheme="majorHAnsi"/>
          <w:b/>
          <w:bCs/>
          <w:sz w:val="22"/>
          <w:szCs w:val="22"/>
        </w:rPr>
      </w:pPr>
      <w:r w:rsidRPr="0006336E">
        <w:rPr>
          <w:rFonts w:asciiTheme="majorHAnsi" w:hAnsiTheme="majorHAnsi"/>
          <w:b/>
          <w:bCs/>
          <w:sz w:val="22"/>
          <w:szCs w:val="22"/>
        </w:rPr>
        <w:t>A prototype ecosystem model (INOVASI Phase 2)</w:t>
      </w:r>
    </w:p>
    <w:p w14:paraId="50D8931E" w14:textId="77777777" w:rsidR="002E2FE4" w:rsidRPr="0006336E" w:rsidRDefault="002E2FE4" w:rsidP="000B3609">
      <w:pPr>
        <w:pStyle w:val="BodyText"/>
        <w:spacing w:after="120" w:line="281" w:lineRule="auto"/>
        <w:rPr>
          <w:rFonts w:asciiTheme="majorHAnsi" w:hAnsiTheme="majorHAnsi"/>
          <w:sz w:val="22"/>
          <w:szCs w:val="22"/>
        </w:rPr>
      </w:pPr>
      <w:r w:rsidRPr="0006336E">
        <w:rPr>
          <w:rFonts w:asciiTheme="majorHAnsi" w:hAnsiTheme="majorHAnsi"/>
          <w:sz w:val="22"/>
          <w:szCs w:val="22"/>
        </w:rPr>
        <w:t xml:space="preserve">Eight years of support by INOVASI has seen education leadership develop in partner districts, and key local systems like local working groups strengthened. The design for INOVASI Phase 2 emphasised the program’s role as brokering relationships to build resources for improving education. At the district level, a key rationale was </w:t>
      </w:r>
      <w:r w:rsidRPr="0006336E">
        <w:rPr>
          <w:rFonts w:asciiTheme="majorHAnsi" w:hAnsiTheme="majorHAnsi" w:cs="Calibri"/>
          <w:color w:val="000000" w:themeColor="text1"/>
          <w:sz w:val="22"/>
          <w:szCs w:val="22"/>
        </w:rPr>
        <w:t xml:space="preserve">connecting </w:t>
      </w:r>
      <w:r w:rsidRPr="0006336E">
        <w:rPr>
          <w:rFonts w:asciiTheme="majorHAnsi" w:eastAsiaTheme="minorHAnsi" w:hAnsiTheme="majorHAnsi"/>
          <w:sz w:val="22"/>
          <w:szCs w:val="22"/>
        </w:rPr>
        <w:t>government and service providers for quality improvement</w:t>
      </w:r>
      <w:r w:rsidRPr="0006336E">
        <w:rPr>
          <w:rFonts w:asciiTheme="majorHAnsi" w:hAnsiTheme="majorHAnsi"/>
          <w:sz w:val="22"/>
          <w:szCs w:val="22"/>
        </w:rPr>
        <w:t>.</w:t>
      </w:r>
      <w:r w:rsidRPr="0006336E">
        <w:rPr>
          <w:rFonts w:asciiTheme="majorHAnsi" w:hAnsiTheme="majorHAnsi" w:cs="Times New Roman (Body CS)"/>
          <w:sz w:val="22"/>
          <w:szCs w:val="22"/>
          <w:vertAlign w:val="superscript"/>
        </w:rPr>
        <w:footnoteReference w:id="55"/>
      </w:r>
      <w:r w:rsidRPr="0006336E">
        <w:rPr>
          <w:rFonts w:asciiTheme="majorHAnsi" w:hAnsiTheme="majorHAnsi" w:cs="Times New Roman (Body CS)"/>
          <w:sz w:val="22"/>
          <w:szCs w:val="22"/>
          <w:vertAlign w:val="superscript"/>
        </w:rPr>
        <w:t xml:space="preserve"> </w:t>
      </w:r>
      <w:r w:rsidRPr="0006336E">
        <w:rPr>
          <w:rFonts w:asciiTheme="majorHAnsi" w:hAnsiTheme="majorHAnsi"/>
          <w:sz w:val="22"/>
          <w:szCs w:val="22"/>
        </w:rPr>
        <w:t xml:space="preserve">There were different providers in different contexts, e.g., the large </w:t>
      </w:r>
      <w:proofErr w:type="spellStart"/>
      <w:r w:rsidRPr="0006336E">
        <w:rPr>
          <w:rFonts w:asciiTheme="majorHAnsi" w:hAnsiTheme="majorHAnsi"/>
          <w:sz w:val="22"/>
          <w:szCs w:val="22"/>
        </w:rPr>
        <w:t>Ormas</w:t>
      </w:r>
      <w:proofErr w:type="spellEnd"/>
      <w:r w:rsidRPr="0006336E">
        <w:rPr>
          <w:rFonts w:asciiTheme="majorHAnsi" w:hAnsiTheme="majorHAnsi"/>
          <w:sz w:val="22"/>
          <w:szCs w:val="22"/>
        </w:rPr>
        <w:t xml:space="preserve"> organisations of Muhammadiyah and NU </w:t>
      </w:r>
      <w:proofErr w:type="spellStart"/>
      <w:r w:rsidRPr="0006336E">
        <w:rPr>
          <w:rFonts w:asciiTheme="majorHAnsi" w:hAnsiTheme="majorHAnsi"/>
          <w:sz w:val="22"/>
          <w:szCs w:val="22"/>
        </w:rPr>
        <w:t>Ma’arif</w:t>
      </w:r>
      <w:proofErr w:type="spellEnd"/>
      <w:r w:rsidRPr="0006336E">
        <w:rPr>
          <w:rFonts w:asciiTheme="majorHAnsi" w:hAnsiTheme="majorHAnsi"/>
          <w:sz w:val="22"/>
          <w:szCs w:val="22"/>
        </w:rPr>
        <w:t xml:space="preserve"> in some, private or community organisations for supporting literacy in others. One partner, potentially common to all, was the teacher training institute (TTI) located in partner provinces. Potentially, the TTI have the resources - lecturers and candidate teachers - to facilitate teachers’ working groups, schools and even homes in improving children’s learning.  </w:t>
      </w:r>
    </w:p>
    <w:p w14:paraId="1F90B8C5" w14:textId="77777777" w:rsidR="002E2FE4" w:rsidRDefault="002E2FE4" w:rsidP="000B3609">
      <w:pPr>
        <w:pStyle w:val="BodyText"/>
        <w:spacing w:after="120" w:line="281" w:lineRule="auto"/>
        <w:rPr>
          <w:rFonts w:asciiTheme="majorHAnsi" w:hAnsiTheme="majorHAnsi"/>
          <w:sz w:val="22"/>
          <w:szCs w:val="22"/>
        </w:rPr>
      </w:pPr>
      <w:r w:rsidRPr="0006336E">
        <w:rPr>
          <w:rFonts w:asciiTheme="majorHAnsi" w:hAnsiTheme="majorHAnsi"/>
          <w:sz w:val="22"/>
          <w:szCs w:val="22"/>
        </w:rPr>
        <w:t xml:space="preserve">The capacity building of TTI lecturers for becoming literacy and numeracy facilitators was needed first. The province of NTB offers an interesting case where a partnership between the organisations and the district government occurred, facilitated by INOVASI. An ecosystem has been created where relationships and dynamics between stakeholders and their environment go both ways (see Figure </w:t>
      </w:r>
      <w:r>
        <w:rPr>
          <w:rFonts w:asciiTheme="majorHAnsi" w:hAnsiTheme="majorHAnsi"/>
          <w:sz w:val="22"/>
          <w:szCs w:val="22"/>
        </w:rPr>
        <w:t>A</w:t>
      </w:r>
      <w:r w:rsidRPr="0006336E">
        <w:rPr>
          <w:rFonts w:asciiTheme="majorHAnsi" w:hAnsiTheme="majorHAnsi"/>
          <w:sz w:val="22"/>
          <w:szCs w:val="22"/>
        </w:rPr>
        <w:t xml:space="preserve"> below). </w:t>
      </w:r>
    </w:p>
    <w:p w14:paraId="03E6E447" w14:textId="6E4E8559" w:rsidR="000312B1" w:rsidRPr="000312B1" w:rsidRDefault="000312B1" w:rsidP="004B4AFA">
      <w:pPr>
        <w:pStyle w:val="BodyText"/>
        <w:spacing w:after="120" w:line="281" w:lineRule="auto"/>
        <w:jc w:val="center"/>
        <w:rPr>
          <w:rFonts w:asciiTheme="majorHAnsi" w:hAnsiTheme="majorHAnsi"/>
          <w:b/>
          <w:bCs/>
          <w:i/>
          <w:iCs/>
          <w:sz w:val="22"/>
          <w:szCs w:val="22"/>
        </w:rPr>
      </w:pPr>
      <w:r w:rsidRPr="000312B1">
        <w:rPr>
          <w:rFonts w:asciiTheme="majorHAnsi" w:hAnsiTheme="majorHAnsi"/>
          <w:b/>
          <w:bCs/>
          <w:i/>
          <w:iCs/>
          <w:sz w:val="22"/>
          <w:szCs w:val="22"/>
        </w:rPr>
        <w:t>Figure A - INOVASI Phase 2 support in NTB</w:t>
      </w:r>
      <w:r w:rsidRPr="00AE4AA8">
        <w:rPr>
          <w:rFonts w:asciiTheme="majorHAnsi" w:hAnsiTheme="majorHAnsi"/>
          <w:b/>
          <w:bCs/>
          <w:i/>
          <w:iCs/>
          <w:sz w:val="22"/>
          <w:szCs w:val="22"/>
        </w:rPr>
        <w:t>.</w:t>
      </w:r>
    </w:p>
    <w:p w14:paraId="4BD02101" w14:textId="77777777" w:rsidR="000312B1" w:rsidRPr="000312B1" w:rsidRDefault="000312B1" w:rsidP="004B4AFA">
      <w:pPr>
        <w:pStyle w:val="BodyText"/>
        <w:spacing w:after="120" w:line="281" w:lineRule="auto"/>
        <w:rPr>
          <w:rFonts w:asciiTheme="majorHAnsi" w:hAnsiTheme="majorHAnsi"/>
          <w:i/>
          <w:iCs/>
          <w:sz w:val="22"/>
          <w:szCs w:val="22"/>
        </w:rPr>
      </w:pPr>
      <w:r w:rsidRPr="000312B1">
        <w:rPr>
          <w:rFonts w:asciiTheme="majorHAnsi" w:hAnsiTheme="majorHAnsi"/>
          <w:i/>
          <w:iCs/>
          <w:sz w:val="22"/>
          <w:szCs w:val="22"/>
        </w:rPr>
        <w:t xml:space="preserve">INOVASI started with four teacher training institute (TTI) grantee partners in NTB, as sources of support for the district Dinas Pendidikan. Just before the pandemic, the NTB team facilitated these partners in forming an NTB-wide Association of TTI (19 members), and the development of a Reading Consortium of NTB CSOs supporting literacy. </w:t>
      </w:r>
    </w:p>
    <w:p w14:paraId="0A8EF976" w14:textId="77777777" w:rsidR="000312B1" w:rsidRPr="000312B1" w:rsidRDefault="000312B1" w:rsidP="004B4AFA">
      <w:pPr>
        <w:pStyle w:val="BodyText"/>
        <w:spacing w:after="120" w:line="281" w:lineRule="auto"/>
        <w:rPr>
          <w:rFonts w:asciiTheme="majorHAnsi" w:hAnsiTheme="majorHAnsi"/>
          <w:i/>
          <w:iCs/>
          <w:sz w:val="22"/>
          <w:szCs w:val="22"/>
        </w:rPr>
      </w:pPr>
      <w:r w:rsidRPr="000312B1">
        <w:rPr>
          <w:rFonts w:asciiTheme="majorHAnsi" w:hAnsiTheme="majorHAnsi"/>
          <w:i/>
          <w:iCs/>
          <w:sz w:val="22"/>
          <w:szCs w:val="22"/>
        </w:rPr>
        <w:t xml:space="preserve">The catalyst was the presentation of the evidence of the Learning Gap Report on literacy and numeracy levels in NTB, revealing the extent of the learning crisis. School closure precipitated collective resolution for action and the TTI fielded 1500 teacher trainee volunteers to support learning at home. The provincial and the district governments of Central Lombok and Bima engaged with this volunteer movement and sought help from INOVASI to build the partners’ capacity for the training of teachers to support learning recovery. INOVASI ensured that the governments led the initiative, working with them for coordinated action around the objective. They helped the district governments develop a Theory of Change to guide the collective, and a program management and monitoring plan. </w:t>
      </w:r>
    </w:p>
    <w:p w14:paraId="5F668356" w14:textId="0BBF7C8B" w:rsidR="002E2FE4" w:rsidRPr="00AE4AA8" w:rsidRDefault="000312B1" w:rsidP="004B4AFA">
      <w:pPr>
        <w:pStyle w:val="BodyText"/>
        <w:spacing w:after="120" w:line="281" w:lineRule="auto"/>
        <w:rPr>
          <w:rFonts w:asciiTheme="majorHAnsi" w:hAnsiTheme="majorHAnsi"/>
          <w:i/>
          <w:iCs/>
          <w:sz w:val="22"/>
          <w:szCs w:val="22"/>
        </w:rPr>
      </w:pPr>
      <w:r w:rsidRPr="00AE4AA8">
        <w:rPr>
          <w:rFonts w:asciiTheme="majorHAnsi" w:hAnsiTheme="majorHAnsi"/>
          <w:i/>
          <w:iCs/>
          <w:sz w:val="22"/>
          <w:szCs w:val="22"/>
        </w:rPr>
        <w:lastRenderedPageBreak/>
        <w:t xml:space="preserve">The outcome of this collective action was not only improvement in children’s learning but change in the ecosystem itself: adoption of effective practices into the preservice programs of the TTI, and stronger coordination and management capabilities in the CSOs. When the launch of the new curriculum came along, these consortia were ready to align their assistance around the policy of the Ministry. INOVASI integrated national stakeholders into the ecosystem through joint monitoring of what became known as </w:t>
      </w:r>
      <w:proofErr w:type="spellStart"/>
      <w:r w:rsidRPr="00AE4AA8">
        <w:rPr>
          <w:rFonts w:asciiTheme="majorHAnsi" w:hAnsiTheme="majorHAnsi"/>
          <w:i/>
          <w:iCs/>
          <w:sz w:val="22"/>
          <w:szCs w:val="22"/>
        </w:rPr>
        <w:t>Kurikulum</w:t>
      </w:r>
      <w:proofErr w:type="spellEnd"/>
      <w:r w:rsidRPr="00AE4AA8">
        <w:rPr>
          <w:rFonts w:asciiTheme="majorHAnsi" w:hAnsiTheme="majorHAnsi"/>
          <w:i/>
          <w:iCs/>
          <w:sz w:val="22"/>
          <w:szCs w:val="22"/>
        </w:rPr>
        <w:t xml:space="preserve"> Merdeka </w:t>
      </w:r>
      <w:proofErr w:type="spellStart"/>
      <w:r w:rsidRPr="00AE4AA8">
        <w:rPr>
          <w:rFonts w:asciiTheme="majorHAnsi" w:hAnsiTheme="majorHAnsi"/>
          <w:i/>
          <w:iCs/>
          <w:sz w:val="22"/>
          <w:szCs w:val="22"/>
        </w:rPr>
        <w:t>Komunitas</w:t>
      </w:r>
      <w:proofErr w:type="spellEnd"/>
      <w:r w:rsidRPr="00AE4AA8">
        <w:rPr>
          <w:rFonts w:asciiTheme="majorHAnsi" w:hAnsiTheme="majorHAnsi"/>
          <w:i/>
          <w:iCs/>
          <w:sz w:val="22"/>
          <w:szCs w:val="22"/>
        </w:rPr>
        <w:t>: in recognition of the community ownership of efforts to improve their children’s learning.</w:t>
      </w:r>
      <w:bookmarkStart w:id="46" w:name="_Toc135387110"/>
      <w:r w:rsidRPr="00AE4AA8">
        <w:rPr>
          <w:rFonts w:asciiTheme="majorHAnsi" w:hAnsiTheme="majorHAnsi"/>
          <w:i/>
          <w:iCs/>
          <w:sz w:val="22"/>
          <w:szCs w:val="22"/>
        </w:rPr>
        <w:t xml:space="preserve"> </w:t>
      </w:r>
    </w:p>
    <w:p w14:paraId="7AC9690F" w14:textId="77777777" w:rsidR="002E2FE4" w:rsidRPr="0006336E" w:rsidRDefault="002E2FE4" w:rsidP="000B3609">
      <w:pPr>
        <w:pStyle w:val="BodyText"/>
        <w:spacing w:after="120" w:line="281" w:lineRule="auto"/>
        <w:rPr>
          <w:rFonts w:asciiTheme="majorHAnsi" w:hAnsiTheme="majorHAnsi"/>
          <w:sz w:val="22"/>
          <w:szCs w:val="22"/>
        </w:rPr>
      </w:pPr>
      <w:r w:rsidRPr="0006336E">
        <w:rPr>
          <w:rFonts w:asciiTheme="majorHAnsi" w:hAnsiTheme="majorHAnsi"/>
          <w:sz w:val="22"/>
          <w:szCs w:val="22"/>
        </w:rPr>
        <w:t xml:space="preserve">The approach in this case was building stakeholder consensus on a problem that mattered to the whole community: the learning crisis. The INOVASI team then channelled the common interest and expertise, </w:t>
      </w:r>
      <w:r>
        <w:rPr>
          <w:rFonts w:asciiTheme="majorHAnsi" w:hAnsiTheme="majorHAnsi"/>
          <w:sz w:val="22"/>
          <w:szCs w:val="22"/>
        </w:rPr>
        <w:t xml:space="preserve">i.e., </w:t>
      </w:r>
      <w:r w:rsidRPr="0006336E">
        <w:rPr>
          <w:rFonts w:asciiTheme="majorHAnsi" w:hAnsiTheme="majorHAnsi"/>
          <w:sz w:val="22"/>
          <w:szCs w:val="22"/>
        </w:rPr>
        <w:t xml:space="preserve">the potential, of available stakeholder organisations into a cohesive collective. Simultaneously, the team supported the educational authorities to lead that movement, deploying and managing these resources around the joint achievement of the objective. The capability of the Dinas was developed to define the strategic intent of the partnership and manage the implementation. The ongoing task of INOVASI was to help stakeholders to remain mobilised around this objective, and all parties to see and support the partnership potential to become an integrated part of the district education implementation system. </w:t>
      </w:r>
    </w:p>
    <w:p w14:paraId="1BD05718" w14:textId="77777777" w:rsidR="002E2FE4" w:rsidRPr="0006336E" w:rsidRDefault="002E2FE4" w:rsidP="008D1844">
      <w:pPr>
        <w:pStyle w:val="BodyText"/>
        <w:numPr>
          <w:ilvl w:val="0"/>
          <w:numId w:val="36"/>
        </w:numPr>
        <w:spacing w:after="120" w:line="281" w:lineRule="auto"/>
        <w:rPr>
          <w:rFonts w:asciiTheme="majorHAnsi" w:hAnsiTheme="majorHAnsi"/>
          <w:b/>
          <w:bCs/>
          <w:sz w:val="22"/>
          <w:szCs w:val="22"/>
        </w:rPr>
      </w:pPr>
      <w:r w:rsidRPr="0006336E">
        <w:rPr>
          <w:rFonts w:asciiTheme="majorHAnsi" w:hAnsiTheme="majorHAnsi"/>
          <w:b/>
          <w:bCs/>
          <w:sz w:val="22"/>
          <w:szCs w:val="22"/>
        </w:rPr>
        <w:t>An ecosystemic approach (INOVASI Phase 3)</w:t>
      </w:r>
    </w:p>
    <w:p w14:paraId="22A9E3E6" w14:textId="77777777" w:rsidR="002E2FE4" w:rsidRPr="0006336E" w:rsidRDefault="002E2FE4" w:rsidP="000B3609">
      <w:pPr>
        <w:pStyle w:val="BodyText"/>
        <w:spacing w:after="120" w:line="281" w:lineRule="auto"/>
        <w:rPr>
          <w:rFonts w:asciiTheme="majorHAnsi" w:hAnsiTheme="majorHAnsi"/>
          <w:sz w:val="22"/>
          <w:szCs w:val="22"/>
        </w:rPr>
      </w:pPr>
      <w:r w:rsidRPr="0006336E">
        <w:rPr>
          <w:rFonts w:asciiTheme="majorHAnsi" w:hAnsiTheme="majorHAnsi"/>
          <w:sz w:val="22"/>
          <w:szCs w:val="22"/>
        </w:rPr>
        <w:t xml:space="preserve">Building on these achievements and lessons, INOVASI Phase 3 will broker, activate, and strengthen ecosystems in all target districts. They will differ from previous partnerships in two respects. </w:t>
      </w:r>
    </w:p>
    <w:p w14:paraId="6A98C086" w14:textId="77777777" w:rsidR="002E2FE4" w:rsidRPr="0006336E" w:rsidRDefault="002E2FE4" w:rsidP="000B3609">
      <w:pPr>
        <w:pStyle w:val="BodyText"/>
        <w:spacing w:after="120" w:line="281" w:lineRule="auto"/>
        <w:rPr>
          <w:rFonts w:asciiTheme="majorHAnsi" w:hAnsiTheme="majorHAnsi"/>
          <w:sz w:val="22"/>
          <w:szCs w:val="22"/>
        </w:rPr>
      </w:pPr>
      <w:r w:rsidRPr="0006336E">
        <w:rPr>
          <w:rFonts w:asciiTheme="majorHAnsi" w:hAnsiTheme="majorHAnsi"/>
          <w:sz w:val="22"/>
          <w:szCs w:val="22"/>
        </w:rPr>
        <w:t>Firstly, the program will encourage and support ecosystems that encompass a wider variety of stakeholders to deliver the new reforms sustainably and at scale. Although these ecosystems are centred on the district level, they will necessarily include stakeholders at the community, district, provincial and national levels. The figure below suggests participating stakeholders for each district ecosystem, categorising them as authorising and supporting stakeholders. Evidently the make-up and functioning of each ecosystem will be different, contextualised to each situation, and responding to a unique set of opportunities and constraints.</w:t>
      </w:r>
    </w:p>
    <w:p w14:paraId="503342EA" w14:textId="333C4A7A" w:rsidR="007A6258" w:rsidRDefault="00EC0B3F" w:rsidP="007A6258">
      <w:pPr>
        <w:spacing w:after="120" w:line="281" w:lineRule="auto"/>
        <w:rPr>
          <w:rFonts w:asciiTheme="majorHAnsi" w:hAnsiTheme="majorHAnsi"/>
          <w:b/>
          <w:bCs/>
          <w:sz w:val="22"/>
          <w:szCs w:val="22"/>
        </w:rPr>
      </w:pPr>
      <w:r>
        <w:rPr>
          <w:rFonts w:asciiTheme="majorHAnsi" w:hAnsiTheme="majorHAnsi"/>
          <w:b/>
          <w:bCs/>
          <w:sz w:val="22"/>
          <w:szCs w:val="22"/>
        </w:rPr>
        <w:t>Table</w:t>
      </w:r>
      <w:r w:rsidR="009B6856">
        <w:rPr>
          <w:rFonts w:asciiTheme="majorHAnsi" w:hAnsiTheme="majorHAnsi"/>
          <w:b/>
          <w:bCs/>
          <w:sz w:val="22"/>
          <w:szCs w:val="22"/>
        </w:rPr>
        <w:t xml:space="preserve"> of </w:t>
      </w:r>
      <w:r w:rsidR="007A6258">
        <w:rPr>
          <w:rFonts w:asciiTheme="majorHAnsi" w:hAnsiTheme="majorHAnsi"/>
          <w:b/>
          <w:bCs/>
          <w:sz w:val="22"/>
          <w:szCs w:val="22"/>
        </w:rPr>
        <w:t>District ecosystem stakeholders</w:t>
      </w:r>
      <w:r w:rsidR="00524AB2">
        <w:rPr>
          <w:rFonts w:asciiTheme="majorHAnsi" w:hAnsiTheme="majorHAnsi"/>
          <w:b/>
          <w:bCs/>
          <w:sz w:val="22"/>
          <w:szCs w:val="22"/>
        </w:rPr>
        <w:t>,</w:t>
      </w:r>
      <w:r w:rsidR="007A6258">
        <w:rPr>
          <w:rFonts w:asciiTheme="majorHAnsi" w:hAnsiTheme="majorHAnsi"/>
          <w:b/>
          <w:bCs/>
          <w:sz w:val="22"/>
          <w:szCs w:val="22"/>
        </w:rPr>
        <w:t xml:space="preserve"> category A: </w:t>
      </w:r>
      <w:r w:rsidR="007A6258" w:rsidRPr="00F64052">
        <w:rPr>
          <w:rFonts w:asciiTheme="majorHAnsi" w:hAnsiTheme="majorHAnsi"/>
          <w:b/>
          <w:bCs/>
          <w:sz w:val="22"/>
          <w:szCs w:val="22"/>
        </w:rPr>
        <w:t>Authorising organisations</w:t>
      </w:r>
      <w:r w:rsidR="004B371A">
        <w:rPr>
          <w:rFonts w:asciiTheme="majorHAnsi" w:hAnsiTheme="majorHAnsi"/>
          <w:b/>
          <w:bCs/>
          <w:sz w:val="22"/>
          <w:szCs w:val="22"/>
        </w:rPr>
        <w:t xml:space="preserve">, </w:t>
      </w:r>
      <w:r w:rsidR="00280975">
        <w:rPr>
          <w:rFonts w:asciiTheme="majorHAnsi" w:hAnsiTheme="majorHAnsi"/>
          <w:b/>
          <w:bCs/>
          <w:sz w:val="22"/>
          <w:szCs w:val="22"/>
        </w:rPr>
        <w:t>l</w:t>
      </w:r>
      <w:r w:rsidR="007A6258">
        <w:rPr>
          <w:rFonts w:asciiTheme="majorHAnsi" w:hAnsiTheme="majorHAnsi"/>
          <w:b/>
          <w:bCs/>
          <w:sz w:val="22"/>
          <w:szCs w:val="22"/>
        </w:rPr>
        <w:t>evel 1</w:t>
      </w:r>
      <w:r w:rsidR="00280975">
        <w:rPr>
          <w:rFonts w:asciiTheme="majorHAnsi" w:hAnsiTheme="majorHAnsi"/>
          <w:b/>
          <w:bCs/>
          <w:sz w:val="22"/>
          <w:szCs w:val="22"/>
        </w:rPr>
        <w:t>:</w:t>
      </w:r>
      <w:r w:rsidR="007A6258">
        <w:rPr>
          <w:rFonts w:asciiTheme="majorHAnsi" w:hAnsiTheme="majorHAnsi"/>
          <w:b/>
          <w:bCs/>
          <w:sz w:val="22"/>
          <w:szCs w:val="22"/>
        </w:rPr>
        <w:t xml:space="preserve"> </w:t>
      </w:r>
      <w:r w:rsidR="007A6258" w:rsidRPr="00F64052">
        <w:rPr>
          <w:rFonts w:asciiTheme="majorHAnsi" w:hAnsiTheme="majorHAnsi"/>
          <w:b/>
          <w:bCs/>
          <w:sz w:val="22"/>
          <w:szCs w:val="22"/>
        </w:rPr>
        <w:t>National, including province located agencies</w:t>
      </w:r>
      <w:r w:rsidR="00524AB2">
        <w:rPr>
          <w:rFonts w:asciiTheme="majorHAnsi" w:hAnsiTheme="majorHAnsi"/>
          <w:b/>
          <w:bCs/>
          <w:sz w:val="22"/>
          <w:szCs w:val="22"/>
        </w:rPr>
        <w:t>.</w:t>
      </w:r>
    </w:p>
    <w:tbl>
      <w:tblPr>
        <w:tblStyle w:val="TableGrid"/>
        <w:tblW w:w="4709" w:type="pct"/>
        <w:tblLayout w:type="fixed"/>
        <w:tblLook w:val="04A0" w:firstRow="1" w:lastRow="0" w:firstColumn="1" w:lastColumn="0" w:noHBand="0" w:noVBand="1"/>
      </w:tblPr>
      <w:tblGrid>
        <w:gridCol w:w="3255"/>
        <w:gridCol w:w="2978"/>
        <w:gridCol w:w="2835"/>
      </w:tblGrid>
      <w:tr w:rsidR="007A6258" w:rsidRPr="00F23D72" w14:paraId="20015010" w14:textId="77777777" w:rsidTr="00D27BE0">
        <w:trPr>
          <w:tblHeader/>
        </w:trPr>
        <w:tc>
          <w:tcPr>
            <w:tcW w:w="1795" w:type="pct"/>
            <w:shd w:val="clear" w:color="auto" w:fill="008080"/>
            <w:vAlign w:val="center"/>
          </w:tcPr>
          <w:p w14:paraId="599ADA95"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47" w:name="ColumnTitle_Stakeholders"/>
            <w:r w:rsidRPr="00D27BE0">
              <w:rPr>
                <w:rFonts w:asciiTheme="minorHAnsi" w:hAnsiTheme="minorHAnsi" w:cstheme="minorHAnsi"/>
                <w:b/>
                <w:bCs/>
                <w:color w:val="FFFFFF" w:themeColor="background1"/>
                <w:sz w:val="22"/>
                <w:szCs w:val="22"/>
              </w:rPr>
              <w:t>Stakeholders</w:t>
            </w:r>
            <w:bookmarkEnd w:id="47"/>
          </w:p>
        </w:tc>
        <w:tc>
          <w:tcPr>
            <w:tcW w:w="1642" w:type="pct"/>
            <w:shd w:val="clear" w:color="auto" w:fill="008080"/>
            <w:vAlign w:val="center"/>
          </w:tcPr>
          <w:p w14:paraId="24C05C39"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48" w:name="ColumnTitle_Function"/>
            <w:r w:rsidRPr="00D27BE0">
              <w:rPr>
                <w:rFonts w:asciiTheme="minorHAnsi" w:hAnsiTheme="minorHAnsi" w:cstheme="minorHAnsi"/>
                <w:b/>
                <w:bCs/>
                <w:color w:val="FFFFFF" w:themeColor="background1"/>
                <w:sz w:val="22"/>
                <w:szCs w:val="22"/>
              </w:rPr>
              <w:t>Function</w:t>
            </w:r>
            <w:bookmarkEnd w:id="48"/>
          </w:p>
        </w:tc>
        <w:tc>
          <w:tcPr>
            <w:tcW w:w="1563" w:type="pct"/>
            <w:shd w:val="clear" w:color="auto" w:fill="008080"/>
            <w:vAlign w:val="center"/>
          </w:tcPr>
          <w:p w14:paraId="029EC53C"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49" w:name="ColumnTitle_Target"/>
            <w:r w:rsidRPr="00D27BE0">
              <w:rPr>
                <w:rFonts w:asciiTheme="minorHAnsi" w:hAnsiTheme="minorHAnsi" w:cstheme="minorHAnsi"/>
                <w:b/>
                <w:bCs/>
                <w:color w:val="FFFFFF" w:themeColor="background1"/>
                <w:sz w:val="22"/>
                <w:szCs w:val="22"/>
              </w:rPr>
              <w:t>Targets</w:t>
            </w:r>
            <w:bookmarkEnd w:id="49"/>
          </w:p>
        </w:tc>
      </w:tr>
      <w:tr w:rsidR="007A6258" w:rsidRPr="00F23D72" w14:paraId="7FB10D7A" w14:textId="77777777" w:rsidTr="00B360D8">
        <w:tc>
          <w:tcPr>
            <w:tcW w:w="1795" w:type="pct"/>
          </w:tcPr>
          <w:p w14:paraId="6D69314E"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National school system authorities (Ministry of Education, </w:t>
            </w:r>
            <w:proofErr w:type="spellStart"/>
            <w:r w:rsidRPr="00F23D72">
              <w:rPr>
                <w:rFonts w:asciiTheme="minorHAnsi" w:hAnsiTheme="minorHAnsi" w:cstheme="minorHAnsi"/>
                <w:sz w:val="22"/>
                <w:szCs w:val="22"/>
              </w:rPr>
              <w:t>MoRA</w:t>
            </w:r>
            <w:proofErr w:type="spellEnd"/>
            <w:r w:rsidRPr="00F23D72">
              <w:rPr>
                <w:rFonts w:asciiTheme="minorHAnsi" w:hAnsiTheme="minorHAnsi" w:cstheme="minorHAnsi"/>
                <w:sz w:val="22"/>
                <w:szCs w:val="22"/>
              </w:rPr>
              <w:t xml:space="preserve">) </w:t>
            </w:r>
          </w:p>
        </w:tc>
        <w:tc>
          <w:tcPr>
            <w:tcW w:w="1642" w:type="pct"/>
          </w:tcPr>
          <w:p w14:paraId="779576B7"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Education policies systems and evaluation</w:t>
            </w:r>
          </w:p>
        </w:tc>
        <w:tc>
          <w:tcPr>
            <w:tcW w:w="1563" w:type="pct"/>
          </w:tcPr>
          <w:p w14:paraId="3BF85493" w14:textId="77777777" w:rsidR="007A6258" w:rsidRPr="00EA46CE" w:rsidRDefault="007A6258">
            <w:pPr>
              <w:pStyle w:val="BodyText"/>
              <w:spacing w:before="60" w:after="60"/>
              <w:rPr>
                <w:rFonts w:asciiTheme="minorHAnsi" w:hAnsiTheme="minorHAnsi" w:cstheme="minorHAnsi"/>
                <w:i/>
                <w:iCs/>
                <w:sz w:val="22"/>
                <w:szCs w:val="22"/>
              </w:rPr>
            </w:pPr>
            <w:r>
              <w:rPr>
                <w:rFonts w:asciiTheme="minorHAnsi" w:hAnsiTheme="minorHAnsi" w:cstheme="minorHAnsi"/>
                <w:sz w:val="22"/>
                <w:szCs w:val="22"/>
              </w:rPr>
              <w:t xml:space="preserve">Education Offices - </w:t>
            </w:r>
            <w:r w:rsidRPr="00EA46CE">
              <w:rPr>
                <w:rFonts w:asciiTheme="minorHAnsi" w:hAnsiTheme="minorHAnsi" w:cstheme="minorHAnsi"/>
                <w:i/>
                <w:iCs/>
                <w:sz w:val="22"/>
                <w:szCs w:val="22"/>
              </w:rPr>
              <w:t xml:space="preserve">Dinas Pendidikan </w:t>
            </w:r>
          </w:p>
          <w:p w14:paraId="40D15C40" w14:textId="77777777" w:rsidR="007A6258" w:rsidRPr="00EA46CE" w:rsidRDefault="007A6258">
            <w:pPr>
              <w:pStyle w:val="BodyText"/>
              <w:spacing w:before="60" w:after="60"/>
              <w:rPr>
                <w:rFonts w:asciiTheme="minorHAnsi" w:hAnsiTheme="minorHAnsi" w:cstheme="minorHAnsi"/>
                <w:i/>
                <w:iCs/>
                <w:sz w:val="22"/>
                <w:szCs w:val="22"/>
              </w:rPr>
            </w:pPr>
            <w:proofErr w:type="spellStart"/>
            <w:r>
              <w:rPr>
                <w:rFonts w:asciiTheme="minorHAnsi" w:hAnsiTheme="minorHAnsi" w:cstheme="minorHAnsi"/>
                <w:sz w:val="22"/>
                <w:szCs w:val="22"/>
              </w:rPr>
              <w:t>MoRA</w:t>
            </w:r>
            <w:proofErr w:type="spellEnd"/>
            <w:r>
              <w:rPr>
                <w:rFonts w:asciiTheme="minorHAnsi" w:hAnsiTheme="minorHAnsi" w:cstheme="minorHAnsi"/>
                <w:sz w:val="22"/>
                <w:szCs w:val="22"/>
              </w:rPr>
              <w:t xml:space="preserve"> Regional Offices - </w:t>
            </w:r>
            <w:r w:rsidRPr="00EA46CE">
              <w:rPr>
                <w:rFonts w:asciiTheme="minorHAnsi" w:hAnsiTheme="minorHAnsi" w:cstheme="minorHAnsi"/>
                <w:i/>
                <w:iCs/>
                <w:sz w:val="22"/>
                <w:szCs w:val="22"/>
              </w:rPr>
              <w:t>Kan</w:t>
            </w:r>
            <w:r>
              <w:rPr>
                <w:rFonts w:asciiTheme="minorHAnsi" w:hAnsiTheme="minorHAnsi" w:cstheme="minorHAnsi"/>
                <w:i/>
                <w:iCs/>
                <w:sz w:val="22"/>
                <w:szCs w:val="22"/>
              </w:rPr>
              <w:t>tor Wilayah Kementerian Agama</w:t>
            </w:r>
          </w:p>
          <w:p w14:paraId="3ACCDCB7"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Schools and madrasah </w:t>
            </w:r>
          </w:p>
          <w:p w14:paraId="603C2DAC"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Teachers </w:t>
            </w:r>
          </w:p>
        </w:tc>
      </w:tr>
      <w:tr w:rsidR="007A6258" w:rsidRPr="00F23D72" w14:paraId="2B7658F5" w14:textId="77777777" w:rsidTr="00B360D8">
        <w:tc>
          <w:tcPr>
            <w:tcW w:w="1795" w:type="pct"/>
          </w:tcPr>
          <w:p w14:paraId="465EF409"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Ministry supporting district development and accountability (</w:t>
            </w:r>
            <w:proofErr w:type="spellStart"/>
            <w:r w:rsidRPr="00F23D72">
              <w:rPr>
                <w:rFonts w:asciiTheme="minorHAnsi" w:hAnsiTheme="minorHAnsi" w:cstheme="minorHAnsi"/>
                <w:sz w:val="22"/>
                <w:szCs w:val="22"/>
              </w:rPr>
              <w:t>MoHA</w:t>
            </w:r>
            <w:proofErr w:type="spellEnd"/>
            <w:r w:rsidRPr="00F23D72">
              <w:rPr>
                <w:rFonts w:asciiTheme="minorHAnsi" w:hAnsiTheme="minorHAnsi" w:cstheme="minorHAnsi"/>
                <w:sz w:val="22"/>
                <w:szCs w:val="22"/>
              </w:rPr>
              <w:t>)</w:t>
            </w:r>
          </w:p>
        </w:tc>
        <w:tc>
          <w:tcPr>
            <w:tcW w:w="1642" w:type="pct"/>
          </w:tcPr>
          <w:p w14:paraId="43C4DAB5"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District development and strategic planning</w:t>
            </w:r>
          </w:p>
          <w:p w14:paraId="720718A2"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Accreditation standards </w:t>
            </w:r>
          </w:p>
        </w:tc>
        <w:tc>
          <w:tcPr>
            <w:tcW w:w="1563" w:type="pct"/>
          </w:tcPr>
          <w:p w14:paraId="1548F89D"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District government</w:t>
            </w:r>
          </w:p>
        </w:tc>
      </w:tr>
      <w:tr w:rsidR="007A6258" w:rsidRPr="00EA46CE" w14:paraId="172C5000" w14:textId="77777777" w:rsidTr="00B360D8">
        <w:tc>
          <w:tcPr>
            <w:tcW w:w="1795" w:type="pct"/>
          </w:tcPr>
          <w:p w14:paraId="763F7223"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National bodies supporting national policy implementation affecting schools (</w:t>
            </w:r>
            <w:r w:rsidRPr="00F23D72" w:rsidDel="006E7AC5">
              <w:rPr>
                <w:rFonts w:asciiTheme="minorHAnsi" w:hAnsiTheme="minorHAnsi" w:cstheme="minorHAnsi"/>
                <w:sz w:val="22"/>
                <w:szCs w:val="22"/>
              </w:rPr>
              <w:t xml:space="preserve">Balai Bahasa, </w:t>
            </w:r>
            <w:r w:rsidRPr="00F23D72">
              <w:rPr>
                <w:rFonts w:asciiTheme="minorHAnsi" w:hAnsiTheme="minorHAnsi" w:cstheme="minorHAnsi"/>
                <w:sz w:val="22"/>
                <w:szCs w:val="22"/>
              </w:rPr>
              <w:lastRenderedPageBreak/>
              <w:t>BPMP</w:t>
            </w:r>
            <w:r>
              <w:rPr>
                <w:rFonts w:asciiTheme="minorHAnsi" w:hAnsiTheme="minorHAnsi" w:cstheme="minorHAnsi"/>
                <w:sz w:val="22"/>
                <w:szCs w:val="22"/>
              </w:rPr>
              <w:t>,</w:t>
            </w:r>
            <w:r w:rsidRPr="00F23D72">
              <w:rPr>
                <w:rFonts w:asciiTheme="minorHAnsi" w:hAnsiTheme="minorHAnsi" w:cstheme="minorHAnsi"/>
                <w:sz w:val="22"/>
                <w:szCs w:val="22"/>
              </w:rPr>
              <w:t xml:space="preserve"> </w:t>
            </w:r>
            <w:r w:rsidRPr="00F23D72" w:rsidDel="006E7AC5">
              <w:rPr>
                <w:rFonts w:asciiTheme="minorHAnsi" w:hAnsiTheme="minorHAnsi" w:cstheme="minorHAnsi"/>
                <w:sz w:val="22"/>
                <w:szCs w:val="22"/>
              </w:rPr>
              <w:t xml:space="preserve">and </w:t>
            </w:r>
            <w:r w:rsidRPr="00F23D72">
              <w:rPr>
                <w:rFonts w:asciiTheme="minorHAnsi" w:hAnsiTheme="minorHAnsi" w:cstheme="minorHAnsi"/>
                <w:sz w:val="22"/>
                <w:szCs w:val="22"/>
              </w:rPr>
              <w:t>BGP</w:t>
            </w:r>
            <w:r>
              <w:rPr>
                <w:rFonts w:asciiTheme="minorHAnsi" w:hAnsiTheme="minorHAnsi" w:cstheme="minorHAnsi"/>
                <w:sz w:val="22"/>
                <w:szCs w:val="22"/>
              </w:rPr>
              <w:t>, and Badan</w:t>
            </w:r>
            <w:r w:rsidRPr="00F23D72">
              <w:rPr>
                <w:rFonts w:asciiTheme="minorHAnsi" w:hAnsiTheme="minorHAnsi" w:cstheme="minorHAnsi"/>
                <w:sz w:val="22"/>
                <w:szCs w:val="22"/>
              </w:rPr>
              <w:t xml:space="preserve"> Bahasa)</w:t>
            </w:r>
          </w:p>
        </w:tc>
        <w:tc>
          <w:tcPr>
            <w:tcW w:w="1642" w:type="pct"/>
          </w:tcPr>
          <w:p w14:paraId="7B0A9F53"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lastRenderedPageBreak/>
              <w:t>Language policy</w:t>
            </w:r>
            <w:r>
              <w:rPr>
                <w:rFonts w:asciiTheme="minorHAnsi" w:hAnsiTheme="minorHAnsi" w:cstheme="minorHAnsi"/>
                <w:sz w:val="22"/>
                <w:szCs w:val="22"/>
              </w:rPr>
              <w:t>,</w:t>
            </w:r>
            <w:r w:rsidRPr="00F23D72">
              <w:rPr>
                <w:rFonts w:asciiTheme="minorHAnsi" w:hAnsiTheme="minorHAnsi" w:cstheme="minorHAnsi"/>
                <w:sz w:val="22"/>
                <w:szCs w:val="22"/>
              </w:rPr>
              <w:t xml:space="preserve"> quality Improvement and assurance to GP principals and supervisors</w:t>
            </w:r>
          </w:p>
        </w:tc>
        <w:tc>
          <w:tcPr>
            <w:tcW w:w="1563" w:type="pct"/>
          </w:tcPr>
          <w:p w14:paraId="618F21AB" w14:textId="77777777" w:rsidR="007A6258" w:rsidRPr="00EA46CE" w:rsidRDefault="007A6258">
            <w:pPr>
              <w:pStyle w:val="BodyText"/>
              <w:spacing w:before="60" w:after="60"/>
              <w:rPr>
                <w:rFonts w:asciiTheme="minorHAnsi" w:hAnsiTheme="minorHAnsi" w:cstheme="minorHAnsi"/>
                <w:i/>
                <w:iCs/>
                <w:sz w:val="22"/>
                <w:szCs w:val="22"/>
              </w:rPr>
            </w:pPr>
            <w:r w:rsidRPr="00EA46CE">
              <w:rPr>
                <w:rFonts w:asciiTheme="minorHAnsi" w:hAnsiTheme="minorHAnsi" w:cstheme="minorHAnsi"/>
                <w:i/>
                <w:iCs/>
                <w:sz w:val="22"/>
                <w:szCs w:val="22"/>
              </w:rPr>
              <w:t xml:space="preserve">Dinas Pendidikan </w:t>
            </w:r>
          </w:p>
          <w:p w14:paraId="4B0B9A53" w14:textId="77777777" w:rsidR="007A6258" w:rsidRPr="00EA46CE" w:rsidRDefault="007A6258">
            <w:pPr>
              <w:pStyle w:val="BodyText"/>
              <w:spacing w:before="60" w:after="60"/>
              <w:rPr>
                <w:rFonts w:asciiTheme="minorHAnsi" w:hAnsiTheme="minorHAnsi" w:cstheme="minorHAnsi"/>
                <w:i/>
                <w:iCs/>
                <w:sz w:val="22"/>
                <w:szCs w:val="22"/>
              </w:rPr>
            </w:pPr>
            <w:r w:rsidRPr="00EA46CE">
              <w:rPr>
                <w:rFonts w:asciiTheme="minorHAnsi" w:hAnsiTheme="minorHAnsi" w:cstheme="minorHAnsi"/>
                <w:i/>
                <w:iCs/>
                <w:sz w:val="22"/>
                <w:szCs w:val="22"/>
              </w:rPr>
              <w:t xml:space="preserve">Guru </w:t>
            </w:r>
            <w:proofErr w:type="spellStart"/>
            <w:r w:rsidRPr="00EA46CE">
              <w:rPr>
                <w:rFonts w:asciiTheme="minorHAnsi" w:hAnsiTheme="minorHAnsi" w:cstheme="minorHAnsi"/>
                <w:i/>
                <w:iCs/>
                <w:sz w:val="22"/>
                <w:szCs w:val="22"/>
              </w:rPr>
              <w:t>penggerak</w:t>
            </w:r>
            <w:proofErr w:type="spellEnd"/>
            <w:r>
              <w:rPr>
                <w:rFonts w:asciiTheme="minorHAnsi" w:hAnsiTheme="minorHAnsi" w:cstheme="minorHAnsi"/>
                <w:i/>
                <w:iCs/>
                <w:sz w:val="22"/>
                <w:szCs w:val="22"/>
              </w:rPr>
              <w:t xml:space="preserve"> (GP)</w:t>
            </w:r>
          </w:p>
        </w:tc>
      </w:tr>
      <w:tr w:rsidR="007A6258" w:rsidRPr="00F23D72" w14:paraId="10151AAA" w14:textId="77777777" w:rsidTr="00B360D8">
        <w:tc>
          <w:tcPr>
            <w:tcW w:w="1795" w:type="pct"/>
          </w:tcPr>
          <w:p w14:paraId="1A05CE6B"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National bodies supporting </w:t>
            </w:r>
            <w:proofErr w:type="spellStart"/>
            <w:r w:rsidRPr="00F23D72">
              <w:rPr>
                <w:rFonts w:asciiTheme="minorHAnsi" w:hAnsiTheme="minorHAnsi" w:cstheme="minorHAnsi"/>
                <w:sz w:val="22"/>
                <w:szCs w:val="22"/>
              </w:rPr>
              <w:t>MoRA</w:t>
            </w:r>
            <w:proofErr w:type="spellEnd"/>
            <w:r w:rsidRPr="00F23D72">
              <w:rPr>
                <w:rFonts w:asciiTheme="minorHAnsi" w:hAnsiTheme="minorHAnsi" w:cstheme="minorHAnsi"/>
                <w:sz w:val="22"/>
                <w:szCs w:val="22"/>
              </w:rPr>
              <w:t xml:space="preserve"> policy implementation affecting madrasah (e.g., Forum </w:t>
            </w:r>
            <w:proofErr w:type="spellStart"/>
            <w:r w:rsidRPr="00F23D72">
              <w:rPr>
                <w:rFonts w:asciiTheme="minorHAnsi" w:hAnsiTheme="minorHAnsi" w:cstheme="minorHAnsi"/>
                <w:sz w:val="22"/>
                <w:szCs w:val="22"/>
              </w:rPr>
              <w:t>Inklusi</w:t>
            </w:r>
            <w:proofErr w:type="spellEnd"/>
            <w:r w:rsidRPr="00F23D72">
              <w:rPr>
                <w:rFonts w:asciiTheme="minorHAnsi" w:hAnsiTheme="minorHAnsi" w:cstheme="minorHAnsi"/>
                <w:sz w:val="22"/>
                <w:szCs w:val="22"/>
              </w:rPr>
              <w:t>)</w:t>
            </w:r>
          </w:p>
        </w:tc>
        <w:tc>
          <w:tcPr>
            <w:tcW w:w="1642" w:type="pct"/>
          </w:tcPr>
          <w:p w14:paraId="6BCC9E1C"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Inclusion policy for madrasah</w:t>
            </w:r>
          </w:p>
        </w:tc>
        <w:tc>
          <w:tcPr>
            <w:tcW w:w="1563" w:type="pct"/>
          </w:tcPr>
          <w:p w14:paraId="23DA7DB4"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Madrasah under </w:t>
            </w:r>
            <w:proofErr w:type="spellStart"/>
            <w:r w:rsidRPr="00F23D72">
              <w:rPr>
                <w:rFonts w:asciiTheme="minorHAnsi" w:hAnsiTheme="minorHAnsi" w:cstheme="minorHAnsi"/>
                <w:sz w:val="22"/>
                <w:szCs w:val="22"/>
              </w:rPr>
              <w:t>MoRA</w:t>
            </w:r>
            <w:proofErr w:type="spellEnd"/>
            <w:r w:rsidRPr="00F23D72">
              <w:rPr>
                <w:rFonts w:asciiTheme="minorHAnsi" w:hAnsiTheme="minorHAnsi" w:cstheme="minorHAnsi"/>
                <w:sz w:val="22"/>
                <w:szCs w:val="22"/>
              </w:rPr>
              <w:t xml:space="preserve"> </w:t>
            </w:r>
          </w:p>
        </w:tc>
      </w:tr>
      <w:tr w:rsidR="007A6258" w:rsidRPr="00F23D72" w14:paraId="604D528E" w14:textId="77777777" w:rsidTr="00B360D8">
        <w:tc>
          <w:tcPr>
            <w:tcW w:w="1795" w:type="pct"/>
          </w:tcPr>
          <w:p w14:paraId="14ACAF0C"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Private education providers (Muhammadiyah and NU </w:t>
            </w:r>
            <w:proofErr w:type="spellStart"/>
            <w:r w:rsidRPr="00F23D72">
              <w:rPr>
                <w:rFonts w:asciiTheme="minorHAnsi" w:hAnsiTheme="minorHAnsi" w:cstheme="minorHAnsi"/>
                <w:sz w:val="22"/>
                <w:szCs w:val="22"/>
              </w:rPr>
              <w:t>Ma’arif</w:t>
            </w:r>
            <w:proofErr w:type="spellEnd"/>
            <w:r>
              <w:rPr>
                <w:rFonts w:asciiTheme="minorHAnsi" w:hAnsiTheme="minorHAnsi" w:cstheme="minorHAnsi"/>
                <w:sz w:val="22"/>
                <w:szCs w:val="22"/>
              </w:rPr>
              <w:t>,</w:t>
            </w:r>
            <w:r w:rsidRPr="00F23D72">
              <w:rPr>
                <w:rFonts w:asciiTheme="minorHAnsi" w:hAnsiTheme="minorHAnsi" w:cstheme="minorHAnsi"/>
                <w:sz w:val="22"/>
                <w:szCs w:val="22"/>
              </w:rPr>
              <w:t xml:space="preserve"> other faith-based school owners)</w:t>
            </w:r>
          </w:p>
        </w:tc>
        <w:tc>
          <w:tcPr>
            <w:tcW w:w="1642" w:type="pct"/>
          </w:tcPr>
          <w:p w14:paraId="3FC4172E"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Education management</w:t>
            </w:r>
          </w:p>
        </w:tc>
        <w:tc>
          <w:tcPr>
            <w:tcW w:w="1563" w:type="pct"/>
          </w:tcPr>
          <w:p w14:paraId="60BA25E9"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Their schools and madrasah</w:t>
            </w:r>
          </w:p>
        </w:tc>
      </w:tr>
      <w:tr w:rsidR="007A6258" w:rsidRPr="00EA46CE" w14:paraId="5FCF54A1" w14:textId="77777777" w:rsidTr="00B360D8">
        <w:tc>
          <w:tcPr>
            <w:tcW w:w="1795" w:type="pct"/>
          </w:tcPr>
          <w:p w14:paraId="1164F58B" w14:textId="77777777" w:rsidR="007A6258" w:rsidRPr="00EA46CE"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Provincial education authorities: (</w:t>
            </w:r>
            <w:r w:rsidRPr="00EA46CE">
              <w:rPr>
                <w:rFonts w:asciiTheme="minorHAnsi" w:hAnsiTheme="minorHAnsi" w:cstheme="minorHAnsi"/>
                <w:i/>
                <w:iCs/>
                <w:sz w:val="22"/>
                <w:szCs w:val="22"/>
              </w:rPr>
              <w:t xml:space="preserve">Dinas Pendidikan, </w:t>
            </w:r>
            <w:r w:rsidRPr="0003019C">
              <w:rPr>
                <w:rFonts w:asciiTheme="minorHAnsi" w:hAnsiTheme="minorHAnsi" w:cstheme="minorHAnsi"/>
                <w:i/>
                <w:iCs/>
                <w:sz w:val="22"/>
                <w:szCs w:val="22"/>
              </w:rPr>
              <w:t>Kantor Wilayah Kementerian Agama</w:t>
            </w:r>
            <w:r>
              <w:rPr>
                <w:rFonts w:asciiTheme="minorHAnsi" w:hAnsiTheme="minorHAnsi" w:cstheme="minorHAnsi"/>
                <w:sz w:val="22"/>
                <w:szCs w:val="22"/>
              </w:rPr>
              <w:t>)</w:t>
            </w:r>
          </w:p>
          <w:p w14:paraId="692C94CF" w14:textId="77777777" w:rsidR="007A6258" w:rsidRPr="00F23D72" w:rsidRDefault="007A6258">
            <w:pPr>
              <w:pStyle w:val="BodyText"/>
              <w:spacing w:before="60" w:after="60"/>
              <w:rPr>
                <w:rFonts w:asciiTheme="minorHAnsi" w:hAnsiTheme="minorHAnsi" w:cstheme="minorHAnsi"/>
                <w:sz w:val="22"/>
                <w:szCs w:val="22"/>
              </w:rPr>
            </w:pPr>
          </w:p>
        </w:tc>
        <w:tc>
          <w:tcPr>
            <w:tcW w:w="1642" w:type="pct"/>
          </w:tcPr>
          <w:p w14:paraId="6E55B5B1"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Management of SMA/SMK</w:t>
            </w:r>
            <w:r>
              <w:rPr>
                <w:rFonts w:asciiTheme="minorHAnsi" w:hAnsiTheme="minorHAnsi" w:cstheme="minorHAnsi"/>
                <w:sz w:val="22"/>
                <w:szCs w:val="22"/>
              </w:rPr>
              <w:t>,</w:t>
            </w:r>
            <w:r w:rsidRPr="00F23D72">
              <w:rPr>
                <w:rFonts w:asciiTheme="minorHAnsi" w:hAnsiTheme="minorHAnsi" w:cstheme="minorHAnsi"/>
                <w:sz w:val="22"/>
                <w:szCs w:val="22"/>
              </w:rPr>
              <w:t xml:space="preserve"> Special education)  </w:t>
            </w:r>
          </w:p>
          <w:p w14:paraId="6928481A"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Coordination of education authorities in the province </w:t>
            </w:r>
          </w:p>
          <w:p w14:paraId="4962F093"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Monitoring of province districts</w:t>
            </w:r>
          </w:p>
        </w:tc>
        <w:tc>
          <w:tcPr>
            <w:tcW w:w="1563" w:type="pct"/>
          </w:tcPr>
          <w:p w14:paraId="73B41D27" w14:textId="77777777" w:rsidR="007A6258" w:rsidRPr="00EA46CE" w:rsidRDefault="007A6258">
            <w:pPr>
              <w:pStyle w:val="BodyText"/>
              <w:spacing w:before="60" w:after="60"/>
              <w:rPr>
                <w:rFonts w:asciiTheme="minorHAnsi" w:hAnsiTheme="minorHAnsi" w:cstheme="minorHAnsi"/>
                <w:i/>
                <w:iCs/>
                <w:sz w:val="22"/>
                <w:szCs w:val="22"/>
              </w:rPr>
            </w:pPr>
            <w:r w:rsidRPr="00EA46CE">
              <w:rPr>
                <w:rFonts w:asciiTheme="minorHAnsi" w:hAnsiTheme="minorHAnsi" w:cstheme="minorHAnsi"/>
                <w:i/>
                <w:iCs/>
                <w:sz w:val="22"/>
                <w:szCs w:val="22"/>
              </w:rPr>
              <w:t>Dinas Pendidikan</w:t>
            </w:r>
          </w:p>
        </w:tc>
      </w:tr>
    </w:tbl>
    <w:p w14:paraId="2FEEA13F" w14:textId="77777777" w:rsidR="007A6258" w:rsidRDefault="007A6258" w:rsidP="007A6258">
      <w:pPr>
        <w:spacing w:after="120" w:line="281" w:lineRule="auto"/>
        <w:rPr>
          <w:rFonts w:asciiTheme="majorHAnsi" w:hAnsiTheme="majorHAnsi"/>
          <w:b/>
          <w:bCs/>
          <w:sz w:val="22"/>
          <w:szCs w:val="22"/>
        </w:rPr>
      </w:pPr>
    </w:p>
    <w:p w14:paraId="70ACB1EB" w14:textId="650855E9" w:rsidR="007A6258" w:rsidRDefault="009B6856" w:rsidP="007A6258">
      <w:pPr>
        <w:spacing w:after="120" w:line="281" w:lineRule="auto"/>
        <w:rPr>
          <w:rFonts w:asciiTheme="majorHAnsi" w:hAnsiTheme="majorHAnsi"/>
          <w:b/>
          <w:bCs/>
          <w:sz w:val="22"/>
          <w:szCs w:val="22"/>
        </w:rPr>
      </w:pPr>
      <w:r>
        <w:rPr>
          <w:rFonts w:asciiTheme="majorHAnsi" w:hAnsiTheme="majorHAnsi"/>
          <w:b/>
          <w:bCs/>
          <w:sz w:val="22"/>
          <w:szCs w:val="22"/>
        </w:rPr>
        <w:t>Table of District ecosystem stakeholders</w:t>
      </w:r>
      <w:r w:rsidR="00D27BE0">
        <w:rPr>
          <w:rFonts w:asciiTheme="majorHAnsi" w:hAnsiTheme="majorHAnsi"/>
          <w:b/>
          <w:bCs/>
          <w:sz w:val="22"/>
          <w:szCs w:val="22"/>
        </w:rPr>
        <w:t>,</w:t>
      </w:r>
      <w:r>
        <w:rPr>
          <w:rFonts w:asciiTheme="majorHAnsi" w:hAnsiTheme="majorHAnsi"/>
          <w:b/>
          <w:bCs/>
          <w:sz w:val="22"/>
          <w:szCs w:val="22"/>
        </w:rPr>
        <w:t xml:space="preserve"> category A:</w:t>
      </w:r>
      <w:r w:rsidR="007A6258">
        <w:rPr>
          <w:rFonts w:asciiTheme="majorHAnsi" w:hAnsiTheme="majorHAnsi"/>
          <w:b/>
          <w:bCs/>
          <w:sz w:val="22"/>
          <w:szCs w:val="22"/>
        </w:rPr>
        <w:t xml:space="preserve"> </w:t>
      </w:r>
      <w:r w:rsidR="0020691D" w:rsidRPr="00F64052">
        <w:rPr>
          <w:rFonts w:asciiTheme="majorHAnsi" w:hAnsiTheme="majorHAnsi"/>
          <w:b/>
          <w:bCs/>
          <w:sz w:val="22"/>
          <w:szCs w:val="22"/>
        </w:rPr>
        <w:t>Authorising organisations</w:t>
      </w:r>
      <w:r w:rsidR="00280975">
        <w:rPr>
          <w:rFonts w:asciiTheme="majorHAnsi" w:hAnsiTheme="majorHAnsi"/>
          <w:b/>
          <w:bCs/>
          <w:sz w:val="22"/>
          <w:szCs w:val="22"/>
        </w:rPr>
        <w:t>,</w:t>
      </w:r>
      <w:r w:rsidR="0020691D">
        <w:rPr>
          <w:rFonts w:asciiTheme="majorHAnsi" w:hAnsiTheme="majorHAnsi"/>
          <w:b/>
          <w:bCs/>
          <w:sz w:val="22"/>
          <w:szCs w:val="22"/>
        </w:rPr>
        <w:t xml:space="preserve"> l</w:t>
      </w:r>
      <w:r w:rsidR="007A6258">
        <w:rPr>
          <w:rFonts w:asciiTheme="majorHAnsi" w:hAnsiTheme="majorHAnsi"/>
          <w:b/>
          <w:bCs/>
          <w:sz w:val="22"/>
          <w:szCs w:val="22"/>
        </w:rPr>
        <w:t>evel 2</w:t>
      </w:r>
      <w:r w:rsidR="00280975">
        <w:rPr>
          <w:rFonts w:asciiTheme="majorHAnsi" w:hAnsiTheme="majorHAnsi"/>
          <w:b/>
          <w:bCs/>
          <w:sz w:val="22"/>
          <w:szCs w:val="22"/>
        </w:rPr>
        <w:t>:</w:t>
      </w:r>
      <w:r w:rsidR="007A6258">
        <w:rPr>
          <w:rFonts w:asciiTheme="majorHAnsi" w:hAnsiTheme="majorHAnsi"/>
          <w:b/>
          <w:bCs/>
          <w:sz w:val="22"/>
          <w:szCs w:val="22"/>
        </w:rPr>
        <w:t xml:space="preserve"> Provincial</w:t>
      </w:r>
    </w:p>
    <w:tbl>
      <w:tblPr>
        <w:tblStyle w:val="TableGrid"/>
        <w:tblW w:w="4709" w:type="pct"/>
        <w:tblLayout w:type="fixed"/>
        <w:tblLook w:val="04A0" w:firstRow="1" w:lastRow="0" w:firstColumn="1" w:lastColumn="0" w:noHBand="0" w:noVBand="1"/>
      </w:tblPr>
      <w:tblGrid>
        <w:gridCol w:w="3255"/>
        <w:gridCol w:w="2978"/>
        <w:gridCol w:w="2835"/>
      </w:tblGrid>
      <w:tr w:rsidR="007A6258" w:rsidRPr="00F23D72" w14:paraId="4B70CD10" w14:textId="77777777" w:rsidTr="00D27BE0">
        <w:trPr>
          <w:tblHeader/>
        </w:trPr>
        <w:tc>
          <w:tcPr>
            <w:tcW w:w="1795" w:type="pct"/>
            <w:shd w:val="clear" w:color="auto" w:fill="008080"/>
            <w:vAlign w:val="center"/>
          </w:tcPr>
          <w:p w14:paraId="2C3281E1"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50" w:name="ColumnTitle_Stakelholders2"/>
            <w:r w:rsidRPr="00D27BE0">
              <w:rPr>
                <w:rFonts w:asciiTheme="minorHAnsi" w:hAnsiTheme="minorHAnsi" w:cstheme="minorHAnsi"/>
                <w:b/>
                <w:bCs/>
                <w:color w:val="FFFFFF" w:themeColor="background1"/>
                <w:sz w:val="22"/>
                <w:szCs w:val="22"/>
              </w:rPr>
              <w:t>Stakeholders</w:t>
            </w:r>
            <w:bookmarkEnd w:id="50"/>
          </w:p>
        </w:tc>
        <w:tc>
          <w:tcPr>
            <w:tcW w:w="1642" w:type="pct"/>
            <w:shd w:val="clear" w:color="auto" w:fill="008080"/>
            <w:vAlign w:val="center"/>
          </w:tcPr>
          <w:p w14:paraId="28AD51CE"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51" w:name="ColumnTitle_Function2"/>
            <w:r w:rsidRPr="00D27BE0">
              <w:rPr>
                <w:rFonts w:asciiTheme="minorHAnsi" w:hAnsiTheme="minorHAnsi" w:cstheme="minorHAnsi"/>
                <w:b/>
                <w:bCs/>
                <w:color w:val="FFFFFF" w:themeColor="background1"/>
                <w:sz w:val="22"/>
                <w:szCs w:val="22"/>
              </w:rPr>
              <w:t>Function</w:t>
            </w:r>
            <w:bookmarkEnd w:id="51"/>
          </w:p>
        </w:tc>
        <w:tc>
          <w:tcPr>
            <w:tcW w:w="1563" w:type="pct"/>
            <w:shd w:val="clear" w:color="auto" w:fill="008080"/>
            <w:vAlign w:val="center"/>
          </w:tcPr>
          <w:p w14:paraId="1C28271A"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52" w:name="ColumnTitle_Targets2"/>
            <w:r w:rsidRPr="00D27BE0">
              <w:rPr>
                <w:rFonts w:asciiTheme="minorHAnsi" w:hAnsiTheme="minorHAnsi" w:cstheme="minorHAnsi"/>
                <w:b/>
                <w:bCs/>
                <w:color w:val="FFFFFF" w:themeColor="background1"/>
                <w:sz w:val="22"/>
                <w:szCs w:val="22"/>
              </w:rPr>
              <w:t>Targets</w:t>
            </w:r>
            <w:bookmarkEnd w:id="52"/>
          </w:p>
        </w:tc>
      </w:tr>
      <w:tr w:rsidR="007A6258" w:rsidRPr="00F23D72" w14:paraId="5E1E7C62" w14:textId="77777777" w:rsidTr="00B360D8">
        <w:tc>
          <w:tcPr>
            <w:tcW w:w="1795" w:type="pct"/>
          </w:tcPr>
          <w:p w14:paraId="4177B6A1"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District government</w:t>
            </w:r>
          </w:p>
        </w:tc>
        <w:tc>
          <w:tcPr>
            <w:tcW w:w="1642" w:type="pct"/>
          </w:tcPr>
          <w:p w14:paraId="28A613D5"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District education policy </w:t>
            </w:r>
          </w:p>
          <w:p w14:paraId="0653A7F3"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Resource support</w:t>
            </w:r>
          </w:p>
          <w:p w14:paraId="525ED963"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Appointment and deployment of education personnel</w:t>
            </w:r>
          </w:p>
        </w:tc>
        <w:tc>
          <w:tcPr>
            <w:tcW w:w="1563" w:type="pct"/>
          </w:tcPr>
          <w:p w14:paraId="1BC68914" w14:textId="77777777" w:rsidR="007A6258" w:rsidRPr="00EA46CE" w:rsidRDefault="007A6258">
            <w:pPr>
              <w:pStyle w:val="BodyText"/>
              <w:spacing w:before="60" w:after="60"/>
              <w:rPr>
                <w:rFonts w:asciiTheme="minorHAnsi" w:hAnsiTheme="minorHAnsi" w:cstheme="minorHAnsi"/>
                <w:i/>
                <w:iCs/>
                <w:sz w:val="22"/>
                <w:szCs w:val="22"/>
              </w:rPr>
            </w:pPr>
            <w:r w:rsidRPr="00EA46CE">
              <w:rPr>
                <w:rFonts w:asciiTheme="minorHAnsi" w:hAnsiTheme="minorHAnsi" w:cstheme="minorHAnsi"/>
                <w:i/>
                <w:iCs/>
                <w:sz w:val="22"/>
                <w:szCs w:val="22"/>
              </w:rPr>
              <w:t>Dinas Pendidikan</w:t>
            </w:r>
          </w:p>
          <w:p w14:paraId="2A857D23" w14:textId="77777777" w:rsidR="007A6258" w:rsidRPr="00F23D72" w:rsidRDefault="007A6258">
            <w:pPr>
              <w:pStyle w:val="BodyText"/>
              <w:spacing w:before="60" w:after="60"/>
              <w:rPr>
                <w:rFonts w:asciiTheme="minorHAnsi" w:hAnsiTheme="minorHAnsi" w:cstheme="minorHAnsi"/>
                <w:sz w:val="22"/>
                <w:szCs w:val="22"/>
              </w:rPr>
            </w:pPr>
            <w:r>
              <w:rPr>
                <w:rFonts w:asciiTheme="minorHAnsi" w:hAnsiTheme="minorHAnsi" w:cstheme="minorHAnsi"/>
                <w:sz w:val="22"/>
                <w:szCs w:val="22"/>
              </w:rPr>
              <w:t>Primary and junior secondary s</w:t>
            </w:r>
            <w:r w:rsidRPr="00F23D72">
              <w:rPr>
                <w:rFonts w:asciiTheme="minorHAnsi" w:hAnsiTheme="minorHAnsi" w:cstheme="minorHAnsi"/>
                <w:sz w:val="22"/>
                <w:szCs w:val="22"/>
              </w:rPr>
              <w:t>chools and teachers and non-formal equivalent</w:t>
            </w:r>
          </w:p>
        </w:tc>
      </w:tr>
    </w:tbl>
    <w:p w14:paraId="52969F2E" w14:textId="77777777" w:rsidR="007A6258" w:rsidRDefault="007A6258" w:rsidP="007A6258">
      <w:pPr>
        <w:spacing w:after="120" w:line="281" w:lineRule="auto"/>
        <w:rPr>
          <w:rFonts w:asciiTheme="majorHAnsi" w:hAnsiTheme="majorHAnsi"/>
          <w:b/>
          <w:bCs/>
          <w:sz w:val="22"/>
          <w:szCs w:val="22"/>
        </w:rPr>
      </w:pPr>
    </w:p>
    <w:p w14:paraId="776590E8" w14:textId="23A3F9EB" w:rsidR="007A6258" w:rsidRDefault="009B6856" w:rsidP="007A6258">
      <w:pPr>
        <w:spacing w:after="120" w:line="281" w:lineRule="auto"/>
        <w:rPr>
          <w:rFonts w:asciiTheme="majorHAnsi" w:hAnsiTheme="majorHAnsi"/>
          <w:b/>
          <w:bCs/>
          <w:sz w:val="22"/>
          <w:szCs w:val="22"/>
        </w:rPr>
      </w:pPr>
      <w:r>
        <w:rPr>
          <w:rFonts w:asciiTheme="majorHAnsi" w:hAnsiTheme="majorHAnsi"/>
          <w:b/>
          <w:bCs/>
          <w:sz w:val="22"/>
          <w:szCs w:val="22"/>
        </w:rPr>
        <w:t>Table of District ecosystem stakeholders</w:t>
      </w:r>
      <w:r w:rsidR="00D27BE0">
        <w:rPr>
          <w:rFonts w:asciiTheme="majorHAnsi" w:hAnsiTheme="majorHAnsi"/>
          <w:b/>
          <w:bCs/>
          <w:sz w:val="22"/>
          <w:szCs w:val="22"/>
        </w:rPr>
        <w:t>,</w:t>
      </w:r>
      <w:r>
        <w:rPr>
          <w:rFonts w:asciiTheme="majorHAnsi" w:hAnsiTheme="majorHAnsi"/>
          <w:b/>
          <w:bCs/>
          <w:sz w:val="22"/>
          <w:szCs w:val="22"/>
        </w:rPr>
        <w:t xml:space="preserve"> category A:</w:t>
      </w:r>
      <w:r w:rsidR="007A6258">
        <w:rPr>
          <w:rFonts w:asciiTheme="majorHAnsi" w:hAnsiTheme="majorHAnsi"/>
          <w:b/>
          <w:bCs/>
          <w:sz w:val="22"/>
          <w:szCs w:val="22"/>
        </w:rPr>
        <w:t xml:space="preserve"> </w:t>
      </w:r>
      <w:r w:rsidR="0020691D" w:rsidRPr="00F64052">
        <w:rPr>
          <w:rFonts w:asciiTheme="majorHAnsi" w:hAnsiTheme="majorHAnsi"/>
          <w:b/>
          <w:bCs/>
          <w:sz w:val="22"/>
          <w:szCs w:val="22"/>
        </w:rPr>
        <w:t>Authorising organisations</w:t>
      </w:r>
      <w:r w:rsidR="00280975">
        <w:rPr>
          <w:rFonts w:asciiTheme="majorHAnsi" w:hAnsiTheme="majorHAnsi"/>
          <w:b/>
          <w:bCs/>
          <w:sz w:val="22"/>
          <w:szCs w:val="22"/>
        </w:rPr>
        <w:t>,</w:t>
      </w:r>
      <w:r w:rsidR="0020691D">
        <w:rPr>
          <w:rFonts w:asciiTheme="majorHAnsi" w:hAnsiTheme="majorHAnsi"/>
          <w:b/>
          <w:bCs/>
          <w:sz w:val="22"/>
          <w:szCs w:val="22"/>
        </w:rPr>
        <w:t xml:space="preserve"> l</w:t>
      </w:r>
      <w:r w:rsidR="007A6258">
        <w:rPr>
          <w:rFonts w:asciiTheme="majorHAnsi" w:hAnsiTheme="majorHAnsi"/>
          <w:b/>
          <w:bCs/>
          <w:sz w:val="22"/>
          <w:szCs w:val="22"/>
        </w:rPr>
        <w:t>evel 3</w:t>
      </w:r>
      <w:r w:rsidR="00280975">
        <w:rPr>
          <w:rFonts w:asciiTheme="majorHAnsi" w:hAnsiTheme="majorHAnsi"/>
          <w:b/>
          <w:bCs/>
          <w:sz w:val="22"/>
          <w:szCs w:val="22"/>
        </w:rPr>
        <w:t>:</w:t>
      </w:r>
      <w:r w:rsidR="007A6258">
        <w:rPr>
          <w:rFonts w:asciiTheme="majorHAnsi" w:hAnsiTheme="majorHAnsi"/>
          <w:b/>
          <w:bCs/>
          <w:sz w:val="22"/>
          <w:szCs w:val="22"/>
        </w:rPr>
        <w:t xml:space="preserve"> District</w:t>
      </w:r>
    </w:p>
    <w:tbl>
      <w:tblPr>
        <w:tblStyle w:val="TableGrid"/>
        <w:tblW w:w="4709" w:type="pct"/>
        <w:tblLayout w:type="fixed"/>
        <w:tblLook w:val="04A0" w:firstRow="1" w:lastRow="0" w:firstColumn="1" w:lastColumn="0" w:noHBand="0" w:noVBand="1"/>
      </w:tblPr>
      <w:tblGrid>
        <w:gridCol w:w="3255"/>
        <w:gridCol w:w="2978"/>
        <w:gridCol w:w="2835"/>
      </w:tblGrid>
      <w:tr w:rsidR="007A6258" w:rsidRPr="00F23D72" w14:paraId="5E85AE58" w14:textId="77777777" w:rsidTr="00D27BE0">
        <w:trPr>
          <w:tblHeader/>
        </w:trPr>
        <w:tc>
          <w:tcPr>
            <w:tcW w:w="1795" w:type="pct"/>
            <w:shd w:val="clear" w:color="auto" w:fill="008080"/>
            <w:vAlign w:val="center"/>
          </w:tcPr>
          <w:p w14:paraId="0E751563"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53" w:name="ColumnTitle_Stakelholders3"/>
            <w:r w:rsidRPr="00D27BE0">
              <w:rPr>
                <w:rFonts w:asciiTheme="minorHAnsi" w:hAnsiTheme="minorHAnsi" w:cstheme="minorHAnsi"/>
                <w:b/>
                <w:bCs/>
                <w:color w:val="FFFFFF" w:themeColor="background1"/>
                <w:sz w:val="22"/>
                <w:szCs w:val="22"/>
              </w:rPr>
              <w:t>Stakeholders</w:t>
            </w:r>
            <w:bookmarkEnd w:id="53"/>
          </w:p>
        </w:tc>
        <w:tc>
          <w:tcPr>
            <w:tcW w:w="1642" w:type="pct"/>
            <w:shd w:val="clear" w:color="auto" w:fill="008080"/>
            <w:vAlign w:val="center"/>
          </w:tcPr>
          <w:p w14:paraId="3CC2293E"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54" w:name="ColumnTitle_Function3"/>
            <w:r w:rsidRPr="00D27BE0">
              <w:rPr>
                <w:rFonts w:asciiTheme="minorHAnsi" w:hAnsiTheme="minorHAnsi" w:cstheme="minorHAnsi"/>
                <w:b/>
                <w:bCs/>
                <w:color w:val="FFFFFF" w:themeColor="background1"/>
                <w:sz w:val="22"/>
                <w:szCs w:val="22"/>
              </w:rPr>
              <w:t>Function</w:t>
            </w:r>
            <w:bookmarkEnd w:id="54"/>
          </w:p>
        </w:tc>
        <w:tc>
          <w:tcPr>
            <w:tcW w:w="1563" w:type="pct"/>
            <w:shd w:val="clear" w:color="auto" w:fill="008080"/>
            <w:vAlign w:val="center"/>
          </w:tcPr>
          <w:p w14:paraId="7FB504CA"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55" w:name="ColumnTitle_Targets3"/>
            <w:r w:rsidRPr="00D27BE0">
              <w:rPr>
                <w:rFonts w:asciiTheme="minorHAnsi" w:hAnsiTheme="minorHAnsi" w:cstheme="minorHAnsi"/>
                <w:b/>
                <w:bCs/>
                <w:color w:val="FFFFFF" w:themeColor="background1"/>
                <w:sz w:val="22"/>
                <w:szCs w:val="22"/>
              </w:rPr>
              <w:t>Targets</w:t>
            </w:r>
            <w:bookmarkEnd w:id="55"/>
          </w:p>
        </w:tc>
      </w:tr>
      <w:tr w:rsidR="007A6258" w:rsidRPr="00F23D72" w14:paraId="47FA4B03" w14:textId="77777777" w:rsidTr="00B360D8">
        <w:tc>
          <w:tcPr>
            <w:tcW w:w="1795" w:type="pct"/>
          </w:tcPr>
          <w:p w14:paraId="497E54A3"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District education authority: basic education (</w:t>
            </w:r>
            <w:r w:rsidRPr="00EA46CE">
              <w:rPr>
                <w:rFonts w:asciiTheme="minorHAnsi" w:hAnsiTheme="minorHAnsi" w:cstheme="minorHAnsi"/>
                <w:i/>
                <w:iCs/>
                <w:sz w:val="22"/>
                <w:szCs w:val="22"/>
              </w:rPr>
              <w:t>Dinas Pendidikan</w:t>
            </w:r>
            <w:r w:rsidRPr="00F23D72">
              <w:rPr>
                <w:rFonts w:asciiTheme="minorHAnsi" w:hAnsiTheme="minorHAnsi" w:cstheme="minorHAnsi"/>
                <w:sz w:val="22"/>
                <w:szCs w:val="22"/>
              </w:rPr>
              <w:t xml:space="preserve">) </w:t>
            </w:r>
          </w:p>
        </w:tc>
        <w:tc>
          <w:tcPr>
            <w:tcW w:w="1642" w:type="pct"/>
          </w:tcPr>
          <w:p w14:paraId="0E81D5EC"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Management of basic education and state kindergartens </w:t>
            </w:r>
          </w:p>
        </w:tc>
        <w:tc>
          <w:tcPr>
            <w:tcW w:w="1563" w:type="pct"/>
          </w:tcPr>
          <w:p w14:paraId="25F87702"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Teachers, principals and </w:t>
            </w:r>
            <w:r>
              <w:rPr>
                <w:rFonts w:asciiTheme="minorHAnsi" w:hAnsiTheme="minorHAnsi" w:cstheme="minorHAnsi"/>
                <w:sz w:val="22"/>
                <w:szCs w:val="22"/>
              </w:rPr>
              <w:t xml:space="preserve">supervisors </w:t>
            </w:r>
            <w:r w:rsidRPr="00F23D72">
              <w:rPr>
                <w:rFonts w:asciiTheme="minorHAnsi" w:hAnsiTheme="minorHAnsi" w:cstheme="minorHAnsi"/>
                <w:sz w:val="22"/>
                <w:szCs w:val="22"/>
              </w:rPr>
              <w:t xml:space="preserve">in basic education schools and non-formal education </w:t>
            </w:r>
          </w:p>
        </w:tc>
      </w:tr>
      <w:tr w:rsidR="007A6258" w:rsidRPr="00F23D72" w14:paraId="68821302" w14:textId="77777777" w:rsidTr="00B360D8">
        <w:tc>
          <w:tcPr>
            <w:tcW w:w="1795" w:type="pct"/>
          </w:tcPr>
          <w:p w14:paraId="681C9046" w14:textId="77777777" w:rsidR="007A6258" w:rsidRPr="00F23D72" w:rsidRDefault="007A6258">
            <w:pPr>
              <w:pStyle w:val="BodyText"/>
              <w:spacing w:before="60" w:after="60"/>
              <w:rPr>
                <w:rFonts w:asciiTheme="minorHAnsi" w:hAnsiTheme="minorHAnsi" w:cstheme="minorHAnsi"/>
                <w:sz w:val="22"/>
                <w:szCs w:val="22"/>
              </w:rPr>
            </w:pPr>
            <w:r w:rsidRPr="00EA46CE">
              <w:rPr>
                <w:rFonts w:asciiTheme="minorHAnsi" w:hAnsiTheme="minorHAnsi" w:cstheme="minorHAnsi"/>
                <w:i/>
                <w:iCs/>
                <w:sz w:val="22"/>
                <w:szCs w:val="22"/>
              </w:rPr>
              <w:t xml:space="preserve">Guru </w:t>
            </w:r>
            <w:proofErr w:type="spellStart"/>
            <w:r w:rsidRPr="00EA46CE">
              <w:rPr>
                <w:rFonts w:asciiTheme="minorHAnsi" w:hAnsiTheme="minorHAnsi" w:cstheme="minorHAnsi"/>
                <w:i/>
                <w:iCs/>
                <w:sz w:val="22"/>
                <w:szCs w:val="22"/>
              </w:rPr>
              <w:t>Penggerak</w:t>
            </w:r>
            <w:proofErr w:type="spellEnd"/>
            <w:r w:rsidRPr="00F23D72">
              <w:rPr>
                <w:rFonts w:asciiTheme="minorHAnsi" w:hAnsiTheme="minorHAnsi" w:cstheme="minorHAnsi"/>
                <w:sz w:val="22"/>
                <w:szCs w:val="22"/>
              </w:rPr>
              <w:t xml:space="preserve"> schools and learning community networks</w:t>
            </w:r>
          </w:p>
        </w:tc>
        <w:tc>
          <w:tcPr>
            <w:tcW w:w="1642" w:type="pct"/>
          </w:tcPr>
          <w:p w14:paraId="2AD7B3A2"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Teaching and learning improvement in learning community</w:t>
            </w:r>
          </w:p>
        </w:tc>
        <w:tc>
          <w:tcPr>
            <w:tcW w:w="1563" w:type="pct"/>
          </w:tcPr>
          <w:p w14:paraId="30131E67"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Learning community schools</w:t>
            </w:r>
          </w:p>
        </w:tc>
      </w:tr>
      <w:tr w:rsidR="007A6258" w:rsidRPr="00F23D72" w14:paraId="7AD9A560" w14:textId="77777777" w:rsidTr="00B360D8">
        <w:tc>
          <w:tcPr>
            <w:tcW w:w="1795" w:type="pct"/>
          </w:tcPr>
          <w:p w14:paraId="61201967" w14:textId="77777777" w:rsidR="007A6258" w:rsidRPr="00934879" w:rsidRDefault="007A6258">
            <w:pPr>
              <w:pStyle w:val="BodyText"/>
              <w:spacing w:before="60" w:after="60"/>
              <w:rPr>
                <w:rFonts w:asciiTheme="minorHAnsi" w:hAnsiTheme="minorHAnsi" w:cstheme="minorHAnsi"/>
                <w:i/>
                <w:iCs/>
                <w:sz w:val="22"/>
                <w:szCs w:val="22"/>
              </w:rPr>
            </w:pPr>
            <w:r w:rsidRPr="00934879">
              <w:rPr>
                <w:rFonts w:asciiTheme="minorHAnsi" w:hAnsiTheme="minorHAnsi" w:cstheme="minorHAnsi"/>
                <w:i/>
                <w:iCs/>
                <w:sz w:val="22"/>
                <w:szCs w:val="22"/>
              </w:rPr>
              <w:t>Kan</w:t>
            </w:r>
            <w:r>
              <w:rPr>
                <w:rFonts w:asciiTheme="minorHAnsi" w:hAnsiTheme="minorHAnsi" w:cstheme="minorHAnsi"/>
                <w:i/>
                <w:iCs/>
                <w:sz w:val="22"/>
                <w:szCs w:val="22"/>
              </w:rPr>
              <w:t>tor Wilayah Kementerian Agama</w:t>
            </w:r>
          </w:p>
          <w:p w14:paraId="277B70EA" w14:textId="77777777" w:rsidR="007A6258" w:rsidRPr="00F23D72" w:rsidRDefault="007A6258">
            <w:pPr>
              <w:pStyle w:val="BodyText"/>
              <w:spacing w:before="60" w:after="60"/>
              <w:rPr>
                <w:rFonts w:asciiTheme="minorHAnsi" w:hAnsiTheme="minorHAnsi" w:cstheme="minorHAnsi"/>
                <w:sz w:val="22"/>
                <w:szCs w:val="22"/>
              </w:rPr>
            </w:pPr>
          </w:p>
        </w:tc>
        <w:tc>
          <w:tcPr>
            <w:tcW w:w="1642" w:type="pct"/>
          </w:tcPr>
          <w:p w14:paraId="45A79B72"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Management of state madrasah and supervision of private madrasah and </w:t>
            </w:r>
            <w:proofErr w:type="spellStart"/>
            <w:r w:rsidRPr="00F23D72">
              <w:rPr>
                <w:rFonts w:asciiTheme="minorHAnsi" w:hAnsiTheme="minorHAnsi" w:cstheme="minorHAnsi"/>
                <w:sz w:val="22"/>
                <w:szCs w:val="22"/>
              </w:rPr>
              <w:t>pesantren</w:t>
            </w:r>
            <w:proofErr w:type="spellEnd"/>
            <w:r w:rsidRPr="00F23D72">
              <w:rPr>
                <w:rFonts w:asciiTheme="minorHAnsi" w:hAnsiTheme="minorHAnsi" w:cstheme="minorHAnsi"/>
                <w:sz w:val="22"/>
                <w:szCs w:val="22"/>
              </w:rPr>
              <w:t xml:space="preserve"> </w:t>
            </w:r>
          </w:p>
        </w:tc>
        <w:tc>
          <w:tcPr>
            <w:tcW w:w="1563" w:type="pct"/>
          </w:tcPr>
          <w:p w14:paraId="4A034778"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Teachers, </w:t>
            </w:r>
            <w:proofErr w:type="gramStart"/>
            <w:r w:rsidRPr="00F23D72">
              <w:rPr>
                <w:rFonts w:asciiTheme="minorHAnsi" w:hAnsiTheme="minorHAnsi" w:cstheme="minorHAnsi"/>
                <w:sz w:val="22"/>
                <w:szCs w:val="22"/>
              </w:rPr>
              <w:t>principals</w:t>
            </w:r>
            <w:proofErr w:type="gramEnd"/>
            <w:r w:rsidRPr="00F23D72">
              <w:rPr>
                <w:rFonts w:asciiTheme="minorHAnsi" w:hAnsiTheme="minorHAnsi" w:cstheme="minorHAnsi"/>
                <w:sz w:val="22"/>
                <w:szCs w:val="22"/>
              </w:rPr>
              <w:t xml:space="preserve"> and </w:t>
            </w:r>
            <w:r>
              <w:rPr>
                <w:rFonts w:asciiTheme="minorHAnsi" w:hAnsiTheme="minorHAnsi" w:cstheme="minorHAnsi"/>
                <w:sz w:val="22"/>
                <w:szCs w:val="22"/>
              </w:rPr>
              <w:t>supervisors</w:t>
            </w:r>
            <w:r w:rsidRPr="00F23D72">
              <w:rPr>
                <w:rFonts w:asciiTheme="minorHAnsi" w:hAnsiTheme="minorHAnsi" w:cstheme="minorHAnsi"/>
                <w:sz w:val="22"/>
                <w:szCs w:val="22"/>
              </w:rPr>
              <w:t xml:space="preserve"> in basic education madrasah</w:t>
            </w:r>
          </w:p>
        </w:tc>
      </w:tr>
      <w:tr w:rsidR="007A6258" w:rsidRPr="00F23D72" w14:paraId="5E6478AC" w14:textId="77777777" w:rsidTr="00B360D8">
        <w:tc>
          <w:tcPr>
            <w:tcW w:w="1795" w:type="pct"/>
          </w:tcPr>
          <w:p w14:paraId="0AAA4B77"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District in-service units (</w:t>
            </w:r>
            <w:r>
              <w:rPr>
                <w:rFonts w:asciiTheme="minorHAnsi" w:hAnsiTheme="minorHAnsi" w:cstheme="minorHAnsi"/>
                <w:i/>
                <w:iCs/>
                <w:sz w:val="22"/>
                <w:szCs w:val="22"/>
              </w:rPr>
              <w:t xml:space="preserve">Unit </w:t>
            </w:r>
            <w:proofErr w:type="spellStart"/>
            <w:r>
              <w:rPr>
                <w:rFonts w:asciiTheme="minorHAnsi" w:hAnsiTheme="minorHAnsi" w:cstheme="minorHAnsi"/>
                <w:i/>
                <w:iCs/>
                <w:sz w:val="22"/>
                <w:szCs w:val="22"/>
              </w:rPr>
              <w:t>Layanan</w:t>
            </w:r>
            <w:proofErr w:type="spellEnd"/>
            <w:r>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Disabilitas</w:t>
            </w:r>
            <w:proofErr w:type="spellEnd"/>
            <w:r>
              <w:rPr>
                <w:rFonts w:asciiTheme="minorHAnsi" w:hAnsiTheme="minorHAnsi" w:cstheme="minorHAnsi"/>
                <w:i/>
                <w:iCs/>
                <w:sz w:val="22"/>
                <w:szCs w:val="22"/>
              </w:rPr>
              <w:t xml:space="preserve"> </w:t>
            </w:r>
            <w:r>
              <w:rPr>
                <w:rFonts w:asciiTheme="minorHAnsi" w:hAnsiTheme="minorHAnsi" w:cstheme="minorHAnsi"/>
                <w:sz w:val="22"/>
                <w:szCs w:val="22"/>
              </w:rPr>
              <w:t xml:space="preserve">- </w:t>
            </w:r>
            <w:r w:rsidRPr="00F23D72">
              <w:rPr>
                <w:rFonts w:asciiTheme="minorHAnsi" w:hAnsiTheme="minorHAnsi" w:cstheme="minorHAnsi"/>
                <w:sz w:val="22"/>
                <w:szCs w:val="22"/>
              </w:rPr>
              <w:t>ULD) for supporting inclusion of children with a disability</w:t>
            </w:r>
          </w:p>
        </w:tc>
        <w:tc>
          <w:tcPr>
            <w:tcW w:w="1642" w:type="pct"/>
          </w:tcPr>
          <w:p w14:paraId="421DC3CF"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Technical support for schools and teachers for inclusion of children with a disability</w:t>
            </w:r>
          </w:p>
        </w:tc>
        <w:tc>
          <w:tcPr>
            <w:tcW w:w="1563" w:type="pct"/>
          </w:tcPr>
          <w:p w14:paraId="0AEDC327"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All basic education schools</w:t>
            </w:r>
          </w:p>
        </w:tc>
      </w:tr>
      <w:tr w:rsidR="007A6258" w:rsidRPr="00F23D72" w14:paraId="4FD090E4" w14:textId="77777777" w:rsidTr="00B360D8">
        <w:tc>
          <w:tcPr>
            <w:tcW w:w="1795" w:type="pct"/>
            <w:tcBorders>
              <w:bottom w:val="single" w:sz="4" w:space="0" w:color="auto"/>
            </w:tcBorders>
          </w:tcPr>
          <w:p w14:paraId="4F763F97"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lastRenderedPageBreak/>
              <w:t xml:space="preserve">Community providers of </w:t>
            </w:r>
            <w:r>
              <w:rPr>
                <w:rFonts w:asciiTheme="minorHAnsi" w:hAnsiTheme="minorHAnsi" w:cstheme="minorHAnsi"/>
                <w:sz w:val="22"/>
                <w:szCs w:val="22"/>
              </w:rPr>
              <w:t>pre-primary</w:t>
            </w:r>
            <w:r w:rsidRPr="00F23D72">
              <w:rPr>
                <w:rFonts w:asciiTheme="minorHAnsi" w:hAnsiTheme="minorHAnsi" w:cstheme="minorHAnsi"/>
                <w:sz w:val="22"/>
                <w:szCs w:val="22"/>
              </w:rPr>
              <w:t xml:space="preserve"> learning centres and TK</w:t>
            </w:r>
          </w:p>
        </w:tc>
        <w:tc>
          <w:tcPr>
            <w:tcW w:w="1642" w:type="pct"/>
            <w:tcBorders>
              <w:bottom w:val="single" w:sz="4" w:space="0" w:color="auto"/>
            </w:tcBorders>
          </w:tcPr>
          <w:p w14:paraId="06726D49"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Provision of </w:t>
            </w:r>
            <w:r>
              <w:rPr>
                <w:rFonts w:asciiTheme="minorHAnsi" w:hAnsiTheme="minorHAnsi" w:cstheme="minorHAnsi"/>
                <w:sz w:val="22"/>
                <w:szCs w:val="22"/>
              </w:rPr>
              <w:t xml:space="preserve">pre-primary </w:t>
            </w:r>
            <w:r w:rsidRPr="00F23D72">
              <w:rPr>
                <w:rFonts w:asciiTheme="minorHAnsi" w:hAnsiTheme="minorHAnsi" w:cstheme="minorHAnsi"/>
                <w:sz w:val="22"/>
                <w:szCs w:val="22"/>
              </w:rPr>
              <w:t xml:space="preserve">education </w:t>
            </w:r>
          </w:p>
        </w:tc>
        <w:tc>
          <w:tcPr>
            <w:tcW w:w="1563" w:type="pct"/>
            <w:tcBorders>
              <w:bottom w:val="single" w:sz="4" w:space="0" w:color="auto"/>
            </w:tcBorders>
          </w:tcPr>
          <w:p w14:paraId="6ED72C6F"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P</w:t>
            </w:r>
            <w:r>
              <w:rPr>
                <w:rFonts w:asciiTheme="minorHAnsi" w:hAnsiTheme="minorHAnsi" w:cstheme="minorHAnsi"/>
                <w:sz w:val="22"/>
                <w:szCs w:val="22"/>
              </w:rPr>
              <w:t>re-primary</w:t>
            </w:r>
            <w:r w:rsidRPr="00F23D72">
              <w:rPr>
                <w:rFonts w:asciiTheme="minorHAnsi" w:hAnsiTheme="minorHAnsi" w:cstheme="minorHAnsi"/>
                <w:sz w:val="22"/>
                <w:szCs w:val="22"/>
              </w:rPr>
              <w:t xml:space="preserve"> teachers </w:t>
            </w:r>
          </w:p>
        </w:tc>
      </w:tr>
    </w:tbl>
    <w:p w14:paraId="0F534A55" w14:textId="77777777" w:rsidR="007A6258" w:rsidRDefault="007A6258" w:rsidP="007A6258">
      <w:pPr>
        <w:spacing w:after="120" w:line="281" w:lineRule="auto"/>
        <w:rPr>
          <w:rFonts w:asciiTheme="majorHAnsi" w:hAnsiTheme="majorHAnsi"/>
          <w:b/>
          <w:bCs/>
          <w:sz w:val="22"/>
          <w:szCs w:val="22"/>
        </w:rPr>
      </w:pPr>
    </w:p>
    <w:p w14:paraId="095747A5" w14:textId="350A3D8D" w:rsidR="007A6258" w:rsidRDefault="003C464B" w:rsidP="007A6258">
      <w:pPr>
        <w:spacing w:after="120" w:line="281" w:lineRule="auto"/>
        <w:rPr>
          <w:rFonts w:asciiTheme="majorHAnsi" w:hAnsiTheme="majorHAnsi"/>
          <w:b/>
          <w:bCs/>
          <w:sz w:val="22"/>
          <w:szCs w:val="22"/>
        </w:rPr>
      </w:pPr>
      <w:r>
        <w:rPr>
          <w:rFonts w:asciiTheme="majorHAnsi" w:hAnsiTheme="majorHAnsi"/>
          <w:b/>
          <w:bCs/>
          <w:sz w:val="22"/>
          <w:szCs w:val="22"/>
        </w:rPr>
        <w:t>Table of District ecosystem stakeholders</w:t>
      </w:r>
      <w:r w:rsidR="00D27BE0">
        <w:rPr>
          <w:rFonts w:asciiTheme="majorHAnsi" w:hAnsiTheme="majorHAnsi"/>
          <w:b/>
          <w:bCs/>
          <w:sz w:val="22"/>
          <w:szCs w:val="22"/>
        </w:rPr>
        <w:t>,</w:t>
      </w:r>
      <w:r>
        <w:rPr>
          <w:rFonts w:asciiTheme="majorHAnsi" w:hAnsiTheme="majorHAnsi"/>
          <w:b/>
          <w:bCs/>
          <w:sz w:val="22"/>
          <w:szCs w:val="22"/>
        </w:rPr>
        <w:t xml:space="preserve"> category A:</w:t>
      </w:r>
      <w:r w:rsidR="007A6258">
        <w:rPr>
          <w:rFonts w:asciiTheme="majorHAnsi" w:hAnsiTheme="majorHAnsi"/>
          <w:b/>
          <w:bCs/>
          <w:sz w:val="22"/>
          <w:szCs w:val="22"/>
        </w:rPr>
        <w:t xml:space="preserve"> </w:t>
      </w:r>
      <w:r w:rsidR="0020691D" w:rsidRPr="00F64052">
        <w:rPr>
          <w:rFonts w:asciiTheme="majorHAnsi" w:hAnsiTheme="majorHAnsi"/>
          <w:b/>
          <w:bCs/>
          <w:sz w:val="22"/>
          <w:szCs w:val="22"/>
        </w:rPr>
        <w:t>Authorising organisations</w:t>
      </w:r>
      <w:r w:rsidR="00280975">
        <w:rPr>
          <w:rFonts w:asciiTheme="majorHAnsi" w:hAnsiTheme="majorHAnsi"/>
          <w:b/>
          <w:bCs/>
          <w:sz w:val="22"/>
          <w:szCs w:val="22"/>
        </w:rPr>
        <w:t>,</w:t>
      </w:r>
      <w:r w:rsidR="0020691D">
        <w:rPr>
          <w:rFonts w:asciiTheme="majorHAnsi" w:hAnsiTheme="majorHAnsi"/>
          <w:b/>
          <w:bCs/>
          <w:sz w:val="22"/>
          <w:szCs w:val="22"/>
        </w:rPr>
        <w:t xml:space="preserve"> l</w:t>
      </w:r>
      <w:r w:rsidR="007A6258">
        <w:rPr>
          <w:rFonts w:asciiTheme="majorHAnsi" w:hAnsiTheme="majorHAnsi"/>
          <w:b/>
          <w:bCs/>
          <w:sz w:val="22"/>
          <w:szCs w:val="22"/>
        </w:rPr>
        <w:t xml:space="preserve">evel </w:t>
      </w:r>
      <w:r w:rsidR="0020691D">
        <w:rPr>
          <w:rFonts w:asciiTheme="majorHAnsi" w:hAnsiTheme="majorHAnsi"/>
          <w:b/>
          <w:bCs/>
          <w:sz w:val="22"/>
          <w:szCs w:val="22"/>
        </w:rPr>
        <w:t>4</w:t>
      </w:r>
      <w:r w:rsidR="00280975">
        <w:rPr>
          <w:rFonts w:asciiTheme="majorHAnsi" w:hAnsiTheme="majorHAnsi"/>
          <w:b/>
          <w:bCs/>
          <w:sz w:val="22"/>
          <w:szCs w:val="22"/>
        </w:rPr>
        <w:t>:</w:t>
      </w:r>
      <w:r w:rsidR="007A6258">
        <w:rPr>
          <w:rFonts w:asciiTheme="majorHAnsi" w:hAnsiTheme="majorHAnsi"/>
          <w:b/>
          <w:bCs/>
          <w:sz w:val="22"/>
          <w:szCs w:val="22"/>
        </w:rPr>
        <w:t xml:space="preserve"> Subdistrict</w:t>
      </w:r>
    </w:p>
    <w:tbl>
      <w:tblPr>
        <w:tblStyle w:val="TableGrid"/>
        <w:tblW w:w="4709" w:type="pct"/>
        <w:tblLayout w:type="fixed"/>
        <w:tblLook w:val="04A0" w:firstRow="1" w:lastRow="0" w:firstColumn="1" w:lastColumn="0" w:noHBand="0" w:noVBand="1"/>
      </w:tblPr>
      <w:tblGrid>
        <w:gridCol w:w="3255"/>
        <w:gridCol w:w="2978"/>
        <w:gridCol w:w="2835"/>
      </w:tblGrid>
      <w:tr w:rsidR="007A6258" w:rsidRPr="00F23D72" w14:paraId="2FCE99F8" w14:textId="77777777" w:rsidTr="00CC4B71">
        <w:trPr>
          <w:tblHeader/>
        </w:trPr>
        <w:tc>
          <w:tcPr>
            <w:tcW w:w="1795" w:type="pct"/>
            <w:shd w:val="clear" w:color="auto" w:fill="008080"/>
            <w:vAlign w:val="center"/>
          </w:tcPr>
          <w:p w14:paraId="74643139" w14:textId="77777777" w:rsidR="007A6258" w:rsidRPr="00CC4B71" w:rsidRDefault="007A6258">
            <w:pPr>
              <w:pStyle w:val="BodyText"/>
              <w:spacing w:before="60" w:after="60"/>
              <w:jc w:val="center"/>
              <w:rPr>
                <w:rFonts w:asciiTheme="minorHAnsi" w:hAnsiTheme="minorHAnsi" w:cstheme="minorHAnsi"/>
                <w:b/>
                <w:bCs/>
                <w:color w:val="FFFFFF" w:themeColor="background1"/>
                <w:sz w:val="22"/>
                <w:szCs w:val="22"/>
              </w:rPr>
            </w:pPr>
            <w:bookmarkStart w:id="56" w:name="ColumnTitle_Stakelholders4"/>
            <w:r w:rsidRPr="00CC4B71">
              <w:rPr>
                <w:rFonts w:asciiTheme="minorHAnsi" w:hAnsiTheme="minorHAnsi" w:cstheme="minorHAnsi"/>
                <w:b/>
                <w:bCs/>
                <w:color w:val="FFFFFF" w:themeColor="background1"/>
                <w:sz w:val="22"/>
                <w:szCs w:val="22"/>
              </w:rPr>
              <w:t>Stakeholders</w:t>
            </w:r>
            <w:bookmarkEnd w:id="56"/>
          </w:p>
        </w:tc>
        <w:tc>
          <w:tcPr>
            <w:tcW w:w="1642" w:type="pct"/>
            <w:shd w:val="clear" w:color="auto" w:fill="008080"/>
            <w:vAlign w:val="center"/>
          </w:tcPr>
          <w:p w14:paraId="42C13EF5" w14:textId="77777777" w:rsidR="007A6258" w:rsidRPr="00CC4B71" w:rsidRDefault="007A6258">
            <w:pPr>
              <w:pStyle w:val="BodyText"/>
              <w:spacing w:before="60" w:after="60"/>
              <w:jc w:val="center"/>
              <w:rPr>
                <w:rFonts w:asciiTheme="minorHAnsi" w:hAnsiTheme="minorHAnsi" w:cstheme="minorHAnsi"/>
                <w:b/>
                <w:bCs/>
                <w:color w:val="FFFFFF" w:themeColor="background1"/>
                <w:sz w:val="22"/>
                <w:szCs w:val="22"/>
              </w:rPr>
            </w:pPr>
            <w:bookmarkStart w:id="57" w:name="ColumnTitle_Function4"/>
            <w:r w:rsidRPr="00CC4B71">
              <w:rPr>
                <w:rFonts w:asciiTheme="minorHAnsi" w:hAnsiTheme="minorHAnsi" w:cstheme="minorHAnsi"/>
                <w:b/>
                <w:bCs/>
                <w:color w:val="FFFFFF" w:themeColor="background1"/>
                <w:sz w:val="22"/>
                <w:szCs w:val="22"/>
              </w:rPr>
              <w:t>Function</w:t>
            </w:r>
            <w:bookmarkEnd w:id="57"/>
          </w:p>
        </w:tc>
        <w:tc>
          <w:tcPr>
            <w:tcW w:w="1563" w:type="pct"/>
            <w:shd w:val="clear" w:color="auto" w:fill="008080"/>
            <w:vAlign w:val="center"/>
          </w:tcPr>
          <w:p w14:paraId="0A992289" w14:textId="77777777" w:rsidR="007A6258" w:rsidRPr="00CC4B71" w:rsidRDefault="007A6258">
            <w:pPr>
              <w:pStyle w:val="BodyText"/>
              <w:spacing w:before="60" w:after="60"/>
              <w:jc w:val="center"/>
              <w:rPr>
                <w:rFonts w:asciiTheme="minorHAnsi" w:hAnsiTheme="minorHAnsi" w:cstheme="minorHAnsi"/>
                <w:b/>
                <w:bCs/>
                <w:color w:val="FFFFFF" w:themeColor="background1"/>
                <w:sz w:val="22"/>
                <w:szCs w:val="22"/>
              </w:rPr>
            </w:pPr>
            <w:bookmarkStart w:id="58" w:name="ColumnTitle_Targets4"/>
            <w:r w:rsidRPr="00CC4B71">
              <w:rPr>
                <w:rFonts w:asciiTheme="minorHAnsi" w:hAnsiTheme="minorHAnsi" w:cstheme="minorHAnsi"/>
                <w:b/>
                <w:bCs/>
                <w:color w:val="FFFFFF" w:themeColor="background1"/>
                <w:sz w:val="22"/>
                <w:szCs w:val="22"/>
              </w:rPr>
              <w:t>Targets</w:t>
            </w:r>
            <w:bookmarkEnd w:id="58"/>
          </w:p>
        </w:tc>
      </w:tr>
      <w:tr w:rsidR="007A6258" w:rsidRPr="00F23D72" w14:paraId="16FD8062" w14:textId="77777777" w:rsidTr="00B360D8">
        <w:tc>
          <w:tcPr>
            <w:tcW w:w="1795" w:type="pct"/>
            <w:tcBorders>
              <w:bottom w:val="single" w:sz="4" w:space="0" w:color="auto"/>
            </w:tcBorders>
          </w:tcPr>
          <w:p w14:paraId="23F57B6A"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Community providers of </w:t>
            </w:r>
            <w:r>
              <w:rPr>
                <w:rFonts w:asciiTheme="minorHAnsi" w:hAnsiTheme="minorHAnsi" w:cstheme="minorHAnsi"/>
                <w:sz w:val="22"/>
                <w:szCs w:val="22"/>
              </w:rPr>
              <w:t>pre-primary</w:t>
            </w:r>
            <w:r w:rsidRPr="00F23D72">
              <w:rPr>
                <w:rFonts w:asciiTheme="minorHAnsi" w:hAnsiTheme="minorHAnsi" w:cstheme="minorHAnsi"/>
                <w:sz w:val="22"/>
                <w:szCs w:val="22"/>
              </w:rPr>
              <w:t xml:space="preserve"> learning centres and TK</w:t>
            </w:r>
          </w:p>
        </w:tc>
        <w:tc>
          <w:tcPr>
            <w:tcW w:w="1642" w:type="pct"/>
            <w:tcBorders>
              <w:bottom w:val="single" w:sz="4" w:space="0" w:color="auto"/>
            </w:tcBorders>
          </w:tcPr>
          <w:p w14:paraId="1B8C4D74"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Provision of </w:t>
            </w:r>
            <w:r>
              <w:rPr>
                <w:rFonts w:asciiTheme="minorHAnsi" w:hAnsiTheme="minorHAnsi" w:cstheme="minorHAnsi"/>
                <w:sz w:val="22"/>
                <w:szCs w:val="22"/>
              </w:rPr>
              <w:t>pre-primary</w:t>
            </w:r>
            <w:r w:rsidRPr="00F23D72">
              <w:rPr>
                <w:rFonts w:asciiTheme="minorHAnsi" w:hAnsiTheme="minorHAnsi" w:cstheme="minorHAnsi"/>
                <w:sz w:val="22"/>
                <w:szCs w:val="22"/>
              </w:rPr>
              <w:t xml:space="preserve"> education </w:t>
            </w:r>
          </w:p>
        </w:tc>
        <w:tc>
          <w:tcPr>
            <w:tcW w:w="1563" w:type="pct"/>
            <w:tcBorders>
              <w:bottom w:val="single" w:sz="4" w:space="0" w:color="auto"/>
            </w:tcBorders>
          </w:tcPr>
          <w:p w14:paraId="70841A9A"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P</w:t>
            </w:r>
            <w:r>
              <w:rPr>
                <w:rFonts w:asciiTheme="minorHAnsi" w:hAnsiTheme="minorHAnsi" w:cstheme="minorHAnsi"/>
                <w:sz w:val="22"/>
                <w:szCs w:val="22"/>
              </w:rPr>
              <w:t>re-primary</w:t>
            </w:r>
            <w:r w:rsidRPr="00F23D72">
              <w:rPr>
                <w:rFonts w:asciiTheme="minorHAnsi" w:hAnsiTheme="minorHAnsi" w:cstheme="minorHAnsi"/>
                <w:sz w:val="22"/>
                <w:szCs w:val="22"/>
              </w:rPr>
              <w:t xml:space="preserve"> teachers </w:t>
            </w:r>
          </w:p>
        </w:tc>
      </w:tr>
    </w:tbl>
    <w:p w14:paraId="1632DB96" w14:textId="77777777" w:rsidR="007A6258" w:rsidRDefault="007A6258" w:rsidP="007A6258">
      <w:pPr>
        <w:spacing w:after="120" w:line="281" w:lineRule="auto"/>
        <w:rPr>
          <w:rFonts w:asciiTheme="majorHAnsi" w:hAnsiTheme="majorHAnsi"/>
          <w:b/>
          <w:bCs/>
          <w:sz w:val="22"/>
          <w:szCs w:val="22"/>
        </w:rPr>
      </w:pPr>
    </w:p>
    <w:p w14:paraId="11D93E84" w14:textId="7FCAFDAE" w:rsidR="007A6258" w:rsidRDefault="003C464B" w:rsidP="007A6258">
      <w:pPr>
        <w:spacing w:after="120" w:line="281" w:lineRule="auto"/>
        <w:rPr>
          <w:rFonts w:asciiTheme="majorHAnsi" w:hAnsiTheme="majorHAnsi"/>
          <w:b/>
          <w:bCs/>
          <w:sz w:val="22"/>
          <w:szCs w:val="22"/>
        </w:rPr>
      </w:pPr>
      <w:r>
        <w:rPr>
          <w:rFonts w:asciiTheme="majorHAnsi" w:hAnsiTheme="majorHAnsi"/>
          <w:b/>
          <w:bCs/>
          <w:sz w:val="22"/>
          <w:szCs w:val="22"/>
        </w:rPr>
        <w:t xml:space="preserve">Table of </w:t>
      </w:r>
      <w:r w:rsidR="007A6258">
        <w:rPr>
          <w:rFonts w:asciiTheme="majorHAnsi" w:hAnsiTheme="majorHAnsi"/>
          <w:b/>
          <w:bCs/>
          <w:sz w:val="22"/>
          <w:szCs w:val="22"/>
        </w:rPr>
        <w:t>District ecosystem stakeholders</w:t>
      </w:r>
      <w:r w:rsidR="00D27BE0">
        <w:rPr>
          <w:rFonts w:asciiTheme="majorHAnsi" w:hAnsiTheme="majorHAnsi"/>
          <w:b/>
          <w:bCs/>
          <w:sz w:val="22"/>
          <w:szCs w:val="22"/>
        </w:rPr>
        <w:t>,</w:t>
      </w:r>
      <w:r w:rsidR="007A6258">
        <w:rPr>
          <w:rFonts w:asciiTheme="majorHAnsi" w:hAnsiTheme="majorHAnsi"/>
          <w:b/>
          <w:bCs/>
          <w:sz w:val="22"/>
          <w:szCs w:val="22"/>
        </w:rPr>
        <w:t xml:space="preserve"> category B: </w:t>
      </w:r>
      <w:r w:rsidR="007A6258" w:rsidRPr="003E672C">
        <w:rPr>
          <w:rFonts w:asciiTheme="majorHAnsi" w:hAnsiTheme="majorHAnsi"/>
          <w:b/>
          <w:bCs/>
          <w:sz w:val="22"/>
          <w:szCs w:val="22"/>
        </w:rPr>
        <w:t>Supporting organisations</w:t>
      </w:r>
      <w:r w:rsidR="00280975">
        <w:rPr>
          <w:rFonts w:asciiTheme="majorHAnsi" w:hAnsiTheme="majorHAnsi"/>
          <w:b/>
          <w:bCs/>
          <w:sz w:val="22"/>
          <w:szCs w:val="22"/>
        </w:rPr>
        <w:t>,</w:t>
      </w:r>
      <w:r w:rsidR="00711E64">
        <w:rPr>
          <w:rFonts w:asciiTheme="majorHAnsi" w:hAnsiTheme="majorHAnsi"/>
          <w:b/>
          <w:bCs/>
          <w:sz w:val="22"/>
          <w:szCs w:val="22"/>
        </w:rPr>
        <w:t xml:space="preserve"> l</w:t>
      </w:r>
      <w:r w:rsidR="007A6258">
        <w:rPr>
          <w:rFonts w:asciiTheme="majorHAnsi" w:hAnsiTheme="majorHAnsi"/>
          <w:b/>
          <w:bCs/>
          <w:sz w:val="22"/>
          <w:szCs w:val="22"/>
        </w:rPr>
        <w:t>evel 1</w:t>
      </w:r>
      <w:r w:rsidR="00280975">
        <w:rPr>
          <w:rFonts w:asciiTheme="majorHAnsi" w:hAnsiTheme="majorHAnsi"/>
          <w:b/>
          <w:bCs/>
          <w:sz w:val="22"/>
          <w:szCs w:val="22"/>
        </w:rPr>
        <w:t>:</w:t>
      </w:r>
      <w:r w:rsidR="007A6258">
        <w:rPr>
          <w:rFonts w:asciiTheme="majorHAnsi" w:hAnsiTheme="majorHAnsi"/>
          <w:b/>
          <w:bCs/>
          <w:sz w:val="22"/>
          <w:szCs w:val="22"/>
        </w:rPr>
        <w:t xml:space="preserve"> National </w:t>
      </w:r>
    </w:p>
    <w:tbl>
      <w:tblPr>
        <w:tblStyle w:val="TableGrid"/>
        <w:tblW w:w="4709" w:type="pct"/>
        <w:tblLayout w:type="fixed"/>
        <w:tblLook w:val="04A0" w:firstRow="1" w:lastRow="0" w:firstColumn="1" w:lastColumn="0" w:noHBand="0" w:noVBand="1"/>
      </w:tblPr>
      <w:tblGrid>
        <w:gridCol w:w="3255"/>
        <w:gridCol w:w="2978"/>
        <w:gridCol w:w="2835"/>
      </w:tblGrid>
      <w:tr w:rsidR="007A6258" w:rsidRPr="00F23D72" w14:paraId="049465E8" w14:textId="77777777" w:rsidTr="00D27BE0">
        <w:trPr>
          <w:tblHeader/>
        </w:trPr>
        <w:tc>
          <w:tcPr>
            <w:tcW w:w="1795" w:type="pct"/>
            <w:shd w:val="clear" w:color="auto" w:fill="008080"/>
            <w:vAlign w:val="center"/>
          </w:tcPr>
          <w:p w14:paraId="563FF6B7"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59" w:name="ColumnTitle_StakeholdersB1"/>
            <w:r w:rsidRPr="00D27BE0">
              <w:rPr>
                <w:rFonts w:asciiTheme="minorHAnsi" w:hAnsiTheme="minorHAnsi" w:cstheme="minorHAnsi"/>
                <w:b/>
                <w:bCs/>
                <w:color w:val="FFFFFF" w:themeColor="background1"/>
                <w:sz w:val="22"/>
                <w:szCs w:val="22"/>
              </w:rPr>
              <w:t>Stakeholders</w:t>
            </w:r>
            <w:bookmarkEnd w:id="59"/>
          </w:p>
        </w:tc>
        <w:tc>
          <w:tcPr>
            <w:tcW w:w="1642" w:type="pct"/>
            <w:shd w:val="clear" w:color="auto" w:fill="008080"/>
            <w:vAlign w:val="center"/>
          </w:tcPr>
          <w:p w14:paraId="6EE89D20"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60" w:name="ColumnTitle_FunctionB1"/>
            <w:r w:rsidRPr="00D27BE0">
              <w:rPr>
                <w:rFonts w:asciiTheme="minorHAnsi" w:hAnsiTheme="minorHAnsi" w:cstheme="minorHAnsi"/>
                <w:b/>
                <w:bCs/>
                <w:color w:val="FFFFFF" w:themeColor="background1"/>
                <w:sz w:val="22"/>
                <w:szCs w:val="22"/>
              </w:rPr>
              <w:t>Function</w:t>
            </w:r>
            <w:bookmarkEnd w:id="60"/>
          </w:p>
        </w:tc>
        <w:tc>
          <w:tcPr>
            <w:tcW w:w="1563" w:type="pct"/>
            <w:shd w:val="clear" w:color="auto" w:fill="008080"/>
            <w:vAlign w:val="center"/>
          </w:tcPr>
          <w:p w14:paraId="6CE0BBE0"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61" w:name="ColumnTitle_TargetsB1"/>
            <w:r w:rsidRPr="00D27BE0">
              <w:rPr>
                <w:rFonts w:asciiTheme="minorHAnsi" w:hAnsiTheme="minorHAnsi" w:cstheme="minorHAnsi"/>
                <w:b/>
                <w:bCs/>
                <w:color w:val="FFFFFF" w:themeColor="background1"/>
                <w:sz w:val="22"/>
                <w:szCs w:val="22"/>
              </w:rPr>
              <w:t>Targets</w:t>
            </w:r>
            <w:bookmarkEnd w:id="61"/>
          </w:p>
        </w:tc>
      </w:tr>
      <w:tr w:rsidR="007A6258" w:rsidRPr="00F23D72" w14:paraId="233AE29F" w14:textId="77777777" w:rsidTr="00B360D8">
        <w:tc>
          <w:tcPr>
            <w:tcW w:w="1795" w:type="pct"/>
          </w:tcPr>
          <w:p w14:paraId="4C162D8D"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Ministry of Women’s Empowerment and Child protection (KPPPA)</w:t>
            </w:r>
          </w:p>
        </w:tc>
        <w:tc>
          <w:tcPr>
            <w:tcW w:w="1642" w:type="pct"/>
          </w:tcPr>
          <w:p w14:paraId="09DE63E0"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Advocacy</w:t>
            </w:r>
            <w:r>
              <w:rPr>
                <w:rFonts w:asciiTheme="minorHAnsi" w:hAnsiTheme="minorHAnsi" w:cstheme="minorHAnsi"/>
                <w:sz w:val="22"/>
                <w:szCs w:val="22"/>
              </w:rPr>
              <w:t>,</w:t>
            </w:r>
            <w:r w:rsidRPr="00F23D72">
              <w:rPr>
                <w:rFonts w:asciiTheme="minorHAnsi" w:hAnsiTheme="minorHAnsi" w:cstheme="minorHAnsi"/>
                <w:sz w:val="22"/>
                <w:szCs w:val="22"/>
              </w:rPr>
              <w:t xml:space="preserve"> monitoring</w:t>
            </w:r>
            <w:r>
              <w:rPr>
                <w:rFonts w:asciiTheme="minorHAnsi" w:hAnsiTheme="minorHAnsi" w:cstheme="minorHAnsi"/>
                <w:sz w:val="22"/>
                <w:szCs w:val="22"/>
              </w:rPr>
              <w:t>,</w:t>
            </w:r>
            <w:r w:rsidRPr="00F23D72">
              <w:rPr>
                <w:rFonts w:asciiTheme="minorHAnsi" w:hAnsiTheme="minorHAnsi" w:cstheme="minorHAnsi"/>
                <w:sz w:val="22"/>
                <w:szCs w:val="22"/>
              </w:rPr>
              <w:t xml:space="preserve"> and reporting of G</w:t>
            </w:r>
            <w:r>
              <w:rPr>
                <w:rFonts w:asciiTheme="minorHAnsi" w:hAnsiTheme="minorHAnsi" w:cstheme="minorHAnsi"/>
                <w:sz w:val="22"/>
                <w:szCs w:val="22"/>
              </w:rPr>
              <w:t>ender-</w:t>
            </w:r>
            <w:r w:rsidRPr="00F23D72">
              <w:rPr>
                <w:rFonts w:asciiTheme="minorHAnsi" w:hAnsiTheme="minorHAnsi" w:cstheme="minorHAnsi"/>
                <w:sz w:val="22"/>
                <w:szCs w:val="22"/>
              </w:rPr>
              <w:t>B</w:t>
            </w:r>
            <w:r>
              <w:rPr>
                <w:rFonts w:asciiTheme="minorHAnsi" w:hAnsiTheme="minorHAnsi" w:cstheme="minorHAnsi"/>
                <w:sz w:val="22"/>
                <w:szCs w:val="22"/>
              </w:rPr>
              <w:t xml:space="preserve">ased </w:t>
            </w:r>
            <w:r w:rsidRPr="00F23D72">
              <w:rPr>
                <w:rFonts w:asciiTheme="minorHAnsi" w:hAnsiTheme="minorHAnsi" w:cstheme="minorHAnsi"/>
                <w:sz w:val="22"/>
                <w:szCs w:val="22"/>
              </w:rPr>
              <w:t>V</w:t>
            </w:r>
            <w:r>
              <w:rPr>
                <w:rFonts w:asciiTheme="minorHAnsi" w:hAnsiTheme="minorHAnsi" w:cstheme="minorHAnsi"/>
                <w:sz w:val="22"/>
                <w:szCs w:val="22"/>
              </w:rPr>
              <w:t>iolence.</w:t>
            </w:r>
          </w:p>
          <w:p w14:paraId="33AA4033" w14:textId="77777777" w:rsidR="007A6258" w:rsidRPr="000E3FD7"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Collaboration with </w:t>
            </w:r>
            <w:r>
              <w:rPr>
                <w:rFonts w:asciiTheme="minorHAnsi" w:hAnsiTheme="minorHAnsi" w:cstheme="minorHAnsi"/>
                <w:sz w:val="22"/>
                <w:szCs w:val="22"/>
              </w:rPr>
              <w:t>the national commissions for women and child protection (</w:t>
            </w:r>
            <w:proofErr w:type="spellStart"/>
            <w:r w:rsidRPr="00EA46CE">
              <w:rPr>
                <w:rFonts w:asciiTheme="minorHAnsi" w:hAnsiTheme="minorHAnsi" w:cstheme="minorHAnsi"/>
                <w:i/>
                <w:iCs/>
                <w:sz w:val="22"/>
                <w:szCs w:val="22"/>
              </w:rPr>
              <w:t>Komnas</w:t>
            </w:r>
            <w:proofErr w:type="spellEnd"/>
            <w:r w:rsidRPr="00EA46CE">
              <w:rPr>
                <w:rFonts w:asciiTheme="minorHAnsi" w:hAnsiTheme="minorHAnsi" w:cstheme="minorHAnsi"/>
                <w:i/>
                <w:iCs/>
                <w:sz w:val="22"/>
                <w:szCs w:val="22"/>
              </w:rPr>
              <w:t xml:space="preserve"> Perempuan and </w:t>
            </w:r>
            <w:proofErr w:type="spellStart"/>
            <w:r w:rsidRPr="00EA46CE">
              <w:rPr>
                <w:rFonts w:asciiTheme="minorHAnsi" w:hAnsiTheme="minorHAnsi" w:cstheme="minorHAnsi"/>
                <w:i/>
                <w:iCs/>
                <w:sz w:val="22"/>
                <w:szCs w:val="22"/>
              </w:rPr>
              <w:t>Komnas</w:t>
            </w:r>
            <w:proofErr w:type="spellEnd"/>
            <w:r w:rsidRPr="00EA46CE">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Perlind</w:t>
            </w:r>
            <w:r w:rsidRPr="00EA46CE">
              <w:rPr>
                <w:rFonts w:asciiTheme="minorHAnsi" w:hAnsiTheme="minorHAnsi" w:cstheme="minorHAnsi"/>
                <w:i/>
                <w:iCs/>
                <w:sz w:val="22"/>
                <w:szCs w:val="22"/>
              </w:rPr>
              <w:t>un</w:t>
            </w:r>
            <w:r>
              <w:rPr>
                <w:rFonts w:asciiTheme="minorHAnsi" w:hAnsiTheme="minorHAnsi" w:cstheme="minorHAnsi"/>
                <w:i/>
                <w:iCs/>
                <w:sz w:val="22"/>
                <w:szCs w:val="22"/>
              </w:rPr>
              <w:t>g</w:t>
            </w:r>
            <w:r w:rsidRPr="00EA46CE">
              <w:rPr>
                <w:rFonts w:asciiTheme="minorHAnsi" w:hAnsiTheme="minorHAnsi" w:cstheme="minorHAnsi"/>
                <w:i/>
                <w:iCs/>
                <w:sz w:val="22"/>
                <w:szCs w:val="22"/>
              </w:rPr>
              <w:t>an</w:t>
            </w:r>
            <w:proofErr w:type="spellEnd"/>
            <w:r w:rsidRPr="00EA46CE">
              <w:rPr>
                <w:rFonts w:asciiTheme="minorHAnsi" w:hAnsiTheme="minorHAnsi" w:cstheme="minorHAnsi"/>
                <w:i/>
                <w:iCs/>
                <w:sz w:val="22"/>
                <w:szCs w:val="22"/>
              </w:rPr>
              <w:t xml:space="preserve"> Anak</w:t>
            </w:r>
            <w:r>
              <w:rPr>
                <w:rFonts w:asciiTheme="minorHAnsi" w:hAnsiTheme="minorHAnsi" w:cstheme="minorHAnsi"/>
                <w:sz w:val="22"/>
                <w:szCs w:val="22"/>
              </w:rPr>
              <w:t>)</w:t>
            </w:r>
          </w:p>
        </w:tc>
        <w:tc>
          <w:tcPr>
            <w:tcW w:w="1563" w:type="pct"/>
          </w:tcPr>
          <w:p w14:paraId="256DA45E"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Executive gov</w:t>
            </w:r>
            <w:r>
              <w:rPr>
                <w:rFonts w:asciiTheme="minorHAnsi" w:hAnsiTheme="minorHAnsi" w:cstheme="minorHAnsi"/>
                <w:sz w:val="22"/>
                <w:szCs w:val="22"/>
              </w:rPr>
              <w:t>ernment</w:t>
            </w:r>
            <w:r w:rsidRPr="00F23D72">
              <w:rPr>
                <w:rFonts w:asciiTheme="minorHAnsi" w:hAnsiTheme="minorHAnsi" w:cstheme="minorHAnsi"/>
                <w:sz w:val="22"/>
                <w:szCs w:val="22"/>
              </w:rPr>
              <w:t xml:space="preserve"> and relevant units</w:t>
            </w:r>
            <w:r>
              <w:rPr>
                <w:rFonts w:asciiTheme="minorHAnsi" w:hAnsiTheme="minorHAnsi" w:cstheme="minorHAnsi"/>
                <w:sz w:val="22"/>
                <w:szCs w:val="22"/>
              </w:rPr>
              <w:t>.</w:t>
            </w:r>
            <w:r w:rsidRPr="00F23D72">
              <w:rPr>
                <w:rFonts w:asciiTheme="minorHAnsi" w:hAnsiTheme="minorHAnsi" w:cstheme="minorHAnsi"/>
                <w:sz w:val="22"/>
                <w:szCs w:val="22"/>
              </w:rPr>
              <w:t xml:space="preserve"> </w:t>
            </w:r>
          </w:p>
          <w:p w14:paraId="7A477AB1"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Collaboration with gender CSOs</w:t>
            </w:r>
            <w:r>
              <w:rPr>
                <w:rFonts w:asciiTheme="minorHAnsi" w:hAnsiTheme="minorHAnsi" w:cstheme="minorHAnsi"/>
                <w:sz w:val="22"/>
                <w:szCs w:val="22"/>
              </w:rPr>
              <w:t>.</w:t>
            </w:r>
          </w:p>
        </w:tc>
      </w:tr>
      <w:tr w:rsidR="007A6258" w:rsidRPr="00F23D72" w14:paraId="7E852A3B" w14:textId="77777777" w:rsidTr="00B360D8">
        <w:tc>
          <w:tcPr>
            <w:tcW w:w="1795" w:type="pct"/>
          </w:tcPr>
          <w:p w14:paraId="2514AD3A" w14:textId="77777777" w:rsidR="007A6258" w:rsidRPr="00F23D72" w:rsidRDefault="007A6258">
            <w:pPr>
              <w:pStyle w:val="BodyText"/>
              <w:spacing w:before="60" w:after="60"/>
              <w:rPr>
                <w:rFonts w:asciiTheme="minorHAnsi" w:hAnsiTheme="minorHAnsi" w:cstheme="minorHAnsi"/>
                <w:sz w:val="22"/>
                <w:szCs w:val="22"/>
                <w:highlight w:val="yellow"/>
              </w:rPr>
            </w:pPr>
            <w:r w:rsidRPr="00F23D72">
              <w:rPr>
                <w:rFonts w:asciiTheme="minorHAnsi" w:hAnsiTheme="minorHAnsi" w:cstheme="minorHAnsi"/>
                <w:sz w:val="22"/>
                <w:szCs w:val="22"/>
              </w:rPr>
              <w:t>Universities</w:t>
            </w:r>
            <w:r>
              <w:rPr>
                <w:rFonts w:asciiTheme="minorHAnsi" w:hAnsiTheme="minorHAnsi" w:cstheme="minorHAnsi"/>
                <w:sz w:val="22"/>
                <w:szCs w:val="22"/>
              </w:rPr>
              <w:t xml:space="preserve"> (Teacher Training Institutes or TTIs)</w:t>
            </w:r>
          </w:p>
        </w:tc>
        <w:tc>
          <w:tcPr>
            <w:tcW w:w="1642" w:type="pct"/>
          </w:tcPr>
          <w:p w14:paraId="25465E24"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Teacher development </w:t>
            </w:r>
          </w:p>
        </w:tc>
        <w:tc>
          <w:tcPr>
            <w:tcW w:w="1563" w:type="pct"/>
          </w:tcPr>
          <w:p w14:paraId="17965D47"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Teachers </w:t>
            </w:r>
          </w:p>
        </w:tc>
      </w:tr>
      <w:tr w:rsidR="007A6258" w:rsidRPr="00F23D72" w14:paraId="7DF5B7FE" w14:textId="77777777" w:rsidTr="00B360D8">
        <w:tc>
          <w:tcPr>
            <w:tcW w:w="1795" w:type="pct"/>
          </w:tcPr>
          <w:p w14:paraId="55B21789"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National Women’s organisation (e.g., </w:t>
            </w:r>
            <w:proofErr w:type="spellStart"/>
            <w:r w:rsidRPr="00EA46CE">
              <w:rPr>
                <w:rFonts w:asciiTheme="minorHAnsi" w:hAnsiTheme="minorHAnsi" w:cstheme="minorHAnsi"/>
                <w:i/>
                <w:iCs/>
                <w:sz w:val="22"/>
                <w:szCs w:val="22"/>
              </w:rPr>
              <w:t>Himpunan</w:t>
            </w:r>
            <w:proofErr w:type="spellEnd"/>
            <w:r w:rsidRPr="00EA46CE">
              <w:rPr>
                <w:rFonts w:asciiTheme="minorHAnsi" w:hAnsiTheme="minorHAnsi" w:cstheme="minorHAnsi"/>
                <w:i/>
                <w:iCs/>
                <w:sz w:val="22"/>
                <w:szCs w:val="22"/>
              </w:rPr>
              <w:t xml:space="preserve"> Wanita </w:t>
            </w:r>
            <w:proofErr w:type="spellStart"/>
            <w:r w:rsidRPr="00EA46CE">
              <w:rPr>
                <w:rFonts w:asciiTheme="minorHAnsi" w:hAnsiTheme="minorHAnsi" w:cstheme="minorHAnsi"/>
                <w:i/>
                <w:iCs/>
                <w:sz w:val="22"/>
                <w:szCs w:val="22"/>
              </w:rPr>
              <w:t>Disabilitas</w:t>
            </w:r>
            <w:proofErr w:type="spellEnd"/>
            <w:r w:rsidRPr="00EA46CE">
              <w:rPr>
                <w:rFonts w:asciiTheme="minorHAnsi" w:hAnsiTheme="minorHAnsi" w:cstheme="minorHAnsi"/>
                <w:i/>
                <w:iCs/>
                <w:sz w:val="22"/>
                <w:szCs w:val="22"/>
              </w:rPr>
              <w:t xml:space="preserve"> Indonesia</w:t>
            </w:r>
            <w:r w:rsidRPr="00F23D72">
              <w:rPr>
                <w:rFonts w:asciiTheme="minorHAnsi" w:hAnsiTheme="minorHAnsi" w:cstheme="minorHAnsi"/>
                <w:sz w:val="22"/>
                <w:szCs w:val="22"/>
              </w:rPr>
              <w:t xml:space="preserve">) </w:t>
            </w:r>
          </w:p>
        </w:tc>
        <w:tc>
          <w:tcPr>
            <w:tcW w:w="1642" w:type="pct"/>
          </w:tcPr>
          <w:p w14:paraId="2C3DD796"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Advocacy for women leadership and women sensitive capacity building </w:t>
            </w:r>
          </w:p>
        </w:tc>
        <w:tc>
          <w:tcPr>
            <w:tcW w:w="1563" w:type="pct"/>
          </w:tcPr>
          <w:p w14:paraId="5B844FC9"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Women’s empowerment organisations </w:t>
            </w:r>
          </w:p>
        </w:tc>
      </w:tr>
      <w:tr w:rsidR="007A6258" w:rsidRPr="00F23D72" w14:paraId="603FF685" w14:textId="77777777" w:rsidTr="00B360D8">
        <w:tc>
          <w:tcPr>
            <w:tcW w:w="1795" w:type="pct"/>
          </w:tcPr>
          <w:p w14:paraId="56A093A4" w14:textId="77777777" w:rsidR="007A6258" w:rsidRPr="00EA46CE" w:rsidRDefault="007A6258">
            <w:pPr>
              <w:pStyle w:val="BodyText"/>
              <w:spacing w:before="60" w:after="60"/>
              <w:rPr>
                <w:rFonts w:asciiTheme="minorHAnsi" w:hAnsiTheme="minorHAnsi" w:cstheme="minorHAnsi"/>
                <w:i/>
                <w:iCs/>
                <w:sz w:val="22"/>
                <w:szCs w:val="22"/>
              </w:rPr>
            </w:pPr>
            <w:r w:rsidRPr="00F23D72">
              <w:rPr>
                <w:rFonts w:asciiTheme="minorHAnsi" w:hAnsiTheme="minorHAnsi" w:cstheme="minorHAnsi"/>
                <w:sz w:val="22"/>
                <w:szCs w:val="22"/>
              </w:rPr>
              <w:t xml:space="preserve">National Disability organisations (e.g., </w:t>
            </w:r>
            <w:proofErr w:type="spellStart"/>
            <w:r w:rsidRPr="00EA46CE">
              <w:rPr>
                <w:rFonts w:asciiTheme="minorHAnsi" w:hAnsiTheme="minorHAnsi" w:cstheme="minorHAnsi"/>
                <w:i/>
                <w:iCs/>
                <w:sz w:val="22"/>
                <w:szCs w:val="22"/>
              </w:rPr>
              <w:t>Perkumpulan</w:t>
            </w:r>
            <w:proofErr w:type="spellEnd"/>
            <w:r w:rsidRPr="00EA46CE">
              <w:rPr>
                <w:rFonts w:asciiTheme="minorHAnsi" w:hAnsiTheme="minorHAnsi" w:cstheme="minorHAnsi"/>
                <w:i/>
                <w:iCs/>
                <w:sz w:val="22"/>
                <w:szCs w:val="22"/>
              </w:rPr>
              <w:t xml:space="preserve"> </w:t>
            </w:r>
            <w:proofErr w:type="spellStart"/>
            <w:r w:rsidRPr="00EA46CE">
              <w:rPr>
                <w:rFonts w:asciiTheme="minorHAnsi" w:hAnsiTheme="minorHAnsi" w:cstheme="minorHAnsi"/>
                <w:i/>
                <w:iCs/>
                <w:sz w:val="22"/>
                <w:szCs w:val="22"/>
              </w:rPr>
              <w:t>Penyandang</w:t>
            </w:r>
            <w:proofErr w:type="spellEnd"/>
          </w:p>
          <w:p w14:paraId="694CEAE5" w14:textId="77777777" w:rsidR="007A6258" w:rsidRPr="00F23D72" w:rsidRDefault="007A6258">
            <w:pPr>
              <w:pStyle w:val="BodyText"/>
              <w:spacing w:before="60" w:after="60"/>
              <w:rPr>
                <w:rFonts w:asciiTheme="minorHAnsi" w:hAnsiTheme="minorHAnsi" w:cstheme="minorHAnsi"/>
                <w:sz w:val="22"/>
                <w:szCs w:val="22"/>
              </w:rPr>
            </w:pPr>
            <w:proofErr w:type="spellStart"/>
            <w:r w:rsidRPr="00EA46CE">
              <w:rPr>
                <w:rFonts w:asciiTheme="minorHAnsi" w:hAnsiTheme="minorHAnsi" w:cstheme="minorHAnsi"/>
                <w:i/>
                <w:iCs/>
                <w:sz w:val="22"/>
                <w:szCs w:val="22"/>
              </w:rPr>
              <w:t>Disabilitas</w:t>
            </w:r>
            <w:proofErr w:type="spellEnd"/>
            <w:r w:rsidRPr="00EA46CE">
              <w:rPr>
                <w:rFonts w:asciiTheme="minorHAnsi" w:hAnsiTheme="minorHAnsi" w:cstheme="minorHAnsi"/>
                <w:i/>
                <w:iCs/>
                <w:sz w:val="22"/>
                <w:szCs w:val="22"/>
              </w:rPr>
              <w:t xml:space="preserve"> Indonesia</w:t>
            </w:r>
            <w:r w:rsidRPr="00F23D72">
              <w:rPr>
                <w:rFonts w:asciiTheme="minorHAnsi" w:hAnsiTheme="minorHAnsi" w:cstheme="minorHAnsi"/>
                <w:sz w:val="22"/>
                <w:szCs w:val="22"/>
              </w:rPr>
              <w:t>—PPDI)</w:t>
            </w:r>
          </w:p>
        </w:tc>
        <w:tc>
          <w:tcPr>
            <w:tcW w:w="1642" w:type="pct"/>
          </w:tcPr>
          <w:p w14:paraId="46DC37BF"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Advocacy and capacity building </w:t>
            </w:r>
          </w:p>
        </w:tc>
        <w:tc>
          <w:tcPr>
            <w:tcW w:w="1563" w:type="pct"/>
          </w:tcPr>
          <w:p w14:paraId="09536B17"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Associations of OPDs</w:t>
            </w:r>
          </w:p>
        </w:tc>
      </w:tr>
      <w:tr w:rsidR="007A6258" w:rsidRPr="00F23D72" w14:paraId="01A9441E" w14:textId="77777777" w:rsidTr="00B360D8">
        <w:tc>
          <w:tcPr>
            <w:tcW w:w="1795" w:type="pct"/>
          </w:tcPr>
          <w:p w14:paraId="10E129C1"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Teacher and principal professional associations</w:t>
            </w:r>
          </w:p>
        </w:tc>
        <w:tc>
          <w:tcPr>
            <w:tcW w:w="1642" w:type="pct"/>
          </w:tcPr>
          <w:p w14:paraId="290B97FF"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Subject teaching/leadership improvement</w:t>
            </w:r>
          </w:p>
        </w:tc>
        <w:tc>
          <w:tcPr>
            <w:tcW w:w="1563" w:type="pct"/>
          </w:tcPr>
          <w:p w14:paraId="3CD2E508"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Teachers and principals</w:t>
            </w:r>
          </w:p>
        </w:tc>
      </w:tr>
      <w:tr w:rsidR="007A6258" w:rsidRPr="00F23D72" w14:paraId="47D6DF36" w14:textId="77777777" w:rsidTr="00B360D8">
        <w:tc>
          <w:tcPr>
            <w:tcW w:w="1795" w:type="pct"/>
          </w:tcPr>
          <w:p w14:paraId="55A6EF11" w14:textId="77777777" w:rsidR="007A6258" w:rsidRPr="00F23D72" w:rsidRDefault="007A6258">
            <w:pPr>
              <w:pStyle w:val="BodyText"/>
              <w:spacing w:before="60" w:after="60"/>
              <w:rPr>
                <w:rFonts w:asciiTheme="minorHAnsi" w:hAnsiTheme="minorHAnsi" w:cstheme="minorHAnsi"/>
                <w:sz w:val="22"/>
                <w:szCs w:val="22"/>
                <w:highlight w:val="yellow"/>
              </w:rPr>
            </w:pPr>
            <w:r w:rsidRPr="00F23D72">
              <w:rPr>
                <w:rFonts w:asciiTheme="minorHAnsi" w:hAnsiTheme="minorHAnsi" w:cstheme="minorHAnsi"/>
                <w:sz w:val="22"/>
                <w:szCs w:val="22"/>
              </w:rPr>
              <w:t>Development partners</w:t>
            </w:r>
          </w:p>
        </w:tc>
        <w:tc>
          <w:tcPr>
            <w:tcW w:w="1642" w:type="pct"/>
          </w:tcPr>
          <w:p w14:paraId="002E338D"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Support to partner governments</w:t>
            </w:r>
          </w:p>
        </w:tc>
        <w:tc>
          <w:tcPr>
            <w:tcW w:w="1563" w:type="pct"/>
          </w:tcPr>
          <w:p w14:paraId="077C5509"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Partner governments</w:t>
            </w:r>
          </w:p>
        </w:tc>
      </w:tr>
    </w:tbl>
    <w:p w14:paraId="193DF187" w14:textId="77777777" w:rsidR="007A6258" w:rsidRDefault="007A6258" w:rsidP="007A6258">
      <w:pPr>
        <w:spacing w:after="120" w:line="281" w:lineRule="auto"/>
        <w:rPr>
          <w:rFonts w:asciiTheme="majorHAnsi" w:hAnsiTheme="majorHAnsi"/>
          <w:b/>
          <w:bCs/>
          <w:sz w:val="22"/>
          <w:szCs w:val="22"/>
        </w:rPr>
      </w:pPr>
    </w:p>
    <w:p w14:paraId="78678734" w14:textId="14025EA9" w:rsidR="007A6258" w:rsidRDefault="003C464B" w:rsidP="007A6258">
      <w:pPr>
        <w:spacing w:after="120" w:line="281" w:lineRule="auto"/>
        <w:rPr>
          <w:rFonts w:asciiTheme="majorHAnsi" w:hAnsiTheme="majorHAnsi"/>
          <w:b/>
          <w:bCs/>
          <w:sz w:val="22"/>
          <w:szCs w:val="22"/>
        </w:rPr>
      </w:pPr>
      <w:r>
        <w:rPr>
          <w:rFonts w:asciiTheme="majorHAnsi" w:hAnsiTheme="majorHAnsi"/>
          <w:b/>
          <w:bCs/>
          <w:sz w:val="22"/>
          <w:szCs w:val="22"/>
        </w:rPr>
        <w:t>Table of District ecosystem stakeholders</w:t>
      </w:r>
      <w:r w:rsidR="00D27BE0">
        <w:rPr>
          <w:rFonts w:asciiTheme="majorHAnsi" w:hAnsiTheme="majorHAnsi"/>
          <w:b/>
          <w:bCs/>
          <w:sz w:val="22"/>
          <w:szCs w:val="22"/>
        </w:rPr>
        <w:t>,</w:t>
      </w:r>
      <w:r>
        <w:rPr>
          <w:rFonts w:asciiTheme="majorHAnsi" w:hAnsiTheme="majorHAnsi"/>
          <w:b/>
          <w:bCs/>
          <w:sz w:val="22"/>
          <w:szCs w:val="22"/>
        </w:rPr>
        <w:t xml:space="preserve"> category B:</w:t>
      </w:r>
      <w:r w:rsidR="007A6258">
        <w:rPr>
          <w:rFonts w:asciiTheme="majorHAnsi" w:hAnsiTheme="majorHAnsi"/>
          <w:b/>
          <w:bCs/>
          <w:sz w:val="22"/>
          <w:szCs w:val="22"/>
        </w:rPr>
        <w:t xml:space="preserve"> </w:t>
      </w:r>
      <w:r w:rsidR="00711E64" w:rsidRPr="003E672C">
        <w:rPr>
          <w:rFonts w:asciiTheme="majorHAnsi" w:hAnsiTheme="majorHAnsi"/>
          <w:b/>
          <w:bCs/>
          <w:sz w:val="22"/>
          <w:szCs w:val="22"/>
        </w:rPr>
        <w:t>Supporting organisations</w:t>
      </w:r>
      <w:r w:rsidR="00280975">
        <w:rPr>
          <w:rFonts w:asciiTheme="majorHAnsi" w:hAnsiTheme="majorHAnsi"/>
          <w:b/>
          <w:bCs/>
          <w:sz w:val="22"/>
          <w:szCs w:val="22"/>
        </w:rPr>
        <w:t>,</w:t>
      </w:r>
      <w:r w:rsidR="00711E64">
        <w:rPr>
          <w:rFonts w:asciiTheme="majorHAnsi" w:hAnsiTheme="majorHAnsi"/>
          <w:b/>
          <w:bCs/>
          <w:sz w:val="22"/>
          <w:szCs w:val="22"/>
        </w:rPr>
        <w:t xml:space="preserve"> l</w:t>
      </w:r>
      <w:r w:rsidR="007A6258">
        <w:rPr>
          <w:rFonts w:asciiTheme="majorHAnsi" w:hAnsiTheme="majorHAnsi"/>
          <w:b/>
          <w:bCs/>
          <w:sz w:val="22"/>
          <w:szCs w:val="22"/>
        </w:rPr>
        <w:t>evel 2</w:t>
      </w:r>
      <w:r w:rsidR="00280975">
        <w:rPr>
          <w:rFonts w:asciiTheme="majorHAnsi" w:hAnsiTheme="majorHAnsi"/>
          <w:b/>
          <w:bCs/>
          <w:sz w:val="22"/>
          <w:szCs w:val="22"/>
        </w:rPr>
        <w:t>:</w:t>
      </w:r>
      <w:r w:rsidR="007A6258">
        <w:rPr>
          <w:rFonts w:asciiTheme="majorHAnsi" w:hAnsiTheme="majorHAnsi"/>
          <w:b/>
          <w:bCs/>
          <w:sz w:val="22"/>
          <w:szCs w:val="22"/>
        </w:rPr>
        <w:t xml:space="preserve"> Provincial</w:t>
      </w:r>
    </w:p>
    <w:tbl>
      <w:tblPr>
        <w:tblStyle w:val="TableGrid"/>
        <w:tblW w:w="4709" w:type="pct"/>
        <w:tblLayout w:type="fixed"/>
        <w:tblLook w:val="04A0" w:firstRow="1" w:lastRow="0" w:firstColumn="1" w:lastColumn="0" w:noHBand="0" w:noVBand="1"/>
      </w:tblPr>
      <w:tblGrid>
        <w:gridCol w:w="3255"/>
        <w:gridCol w:w="2978"/>
        <w:gridCol w:w="2835"/>
      </w:tblGrid>
      <w:tr w:rsidR="007A6258" w:rsidRPr="00F23D72" w14:paraId="2132BAA0" w14:textId="77777777" w:rsidTr="00D27BE0">
        <w:trPr>
          <w:tblHeader/>
        </w:trPr>
        <w:tc>
          <w:tcPr>
            <w:tcW w:w="1795" w:type="pct"/>
            <w:shd w:val="clear" w:color="auto" w:fill="008080"/>
            <w:vAlign w:val="center"/>
          </w:tcPr>
          <w:p w14:paraId="36BADAD0"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62" w:name="ColumnTitle_StakelholdersB2"/>
            <w:r w:rsidRPr="00D27BE0">
              <w:rPr>
                <w:rFonts w:asciiTheme="minorHAnsi" w:hAnsiTheme="minorHAnsi" w:cstheme="minorHAnsi"/>
                <w:b/>
                <w:bCs/>
                <w:color w:val="FFFFFF" w:themeColor="background1"/>
                <w:sz w:val="22"/>
                <w:szCs w:val="22"/>
              </w:rPr>
              <w:t>Stakeholders</w:t>
            </w:r>
            <w:bookmarkEnd w:id="62"/>
          </w:p>
        </w:tc>
        <w:tc>
          <w:tcPr>
            <w:tcW w:w="1642" w:type="pct"/>
            <w:shd w:val="clear" w:color="auto" w:fill="008080"/>
            <w:vAlign w:val="center"/>
          </w:tcPr>
          <w:p w14:paraId="39694065"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63" w:name="ColumnTitle_FunctionB2"/>
            <w:r w:rsidRPr="00D27BE0">
              <w:rPr>
                <w:rFonts w:asciiTheme="minorHAnsi" w:hAnsiTheme="minorHAnsi" w:cstheme="minorHAnsi"/>
                <w:b/>
                <w:bCs/>
                <w:color w:val="FFFFFF" w:themeColor="background1"/>
                <w:sz w:val="22"/>
                <w:szCs w:val="22"/>
              </w:rPr>
              <w:t>Function</w:t>
            </w:r>
            <w:bookmarkEnd w:id="63"/>
          </w:p>
        </w:tc>
        <w:tc>
          <w:tcPr>
            <w:tcW w:w="1563" w:type="pct"/>
            <w:shd w:val="clear" w:color="auto" w:fill="008080"/>
            <w:vAlign w:val="center"/>
          </w:tcPr>
          <w:p w14:paraId="15D82C93"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64" w:name="ColumnTitle_TargetsB2"/>
            <w:r w:rsidRPr="00D27BE0">
              <w:rPr>
                <w:rFonts w:asciiTheme="minorHAnsi" w:hAnsiTheme="minorHAnsi" w:cstheme="minorHAnsi"/>
                <w:b/>
                <w:bCs/>
                <w:color w:val="FFFFFF" w:themeColor="background1"/>
                <w:sz w:val="22"/>
                <w:szCs w:val="22"/>
              </w:rPr>
              <w:t>Targets</w:t>
            </w:r>
            <w:bookmarkEnd w:id="64"/>
          </w:p>
        </w:tc>
      </w:tr>
      <w:tr w:rsidR="007A6258" w:rsidRPr="00EA46CE" w14:paraId="698390A0" w14:textId="77777777" w:rsidTr="00B360D8">
        <w:tc>
          <w:tcPr>
            <w:tcW w:w="1795" w:type="pct"/>
          </w:tcPr>
          <w:p w14:paraId="322E60F2" w14:textId="77777777" w:rsidR="007A6258" w:rsidRPr="00F23D72" w:rsidRDefault="007A6258">
            <w:pPr>
              <w:pStyle w:val="BodyText"/>
              <w:spacing w:before="60" w:after="60"/>
              <w:rPr>
                <w:rFonts w:asciiTheme="minorHAnsi" w:hAnsiTheme="minorHAnsi" w:cstheme="minorHAnsi"/>
                <w:sz w:val="22"/>
                <w:szCs w:val="22"/>
                <w:highlight w:val="yellow"/>
              </w:rPr>
            </w:pPr>
            <w:r w:rsidRPr="00F23D72">
              <w:rPr>
                <w:rFonts w:asciiTheme="minorHAnsi" w:hAnsiTheme="minorHAnsi" w:cstheme="minorHAnsi"/>
                <w:sz w:val="22"/>
                <w:szCs w:val="22"/>
              </w:rPr>
              <w:t>Universities</w:t>
            </w:r>
            <w:r>
              <w:rPr>
                <w:rFonts w:asciiTheme="minorHAnsi" w:hAnsiTheme="minorHAnsi" w:cstheme="minorHAnsi"/>
                <w:sz w:val="22"/>
                <w:szCs w:val="22"/>
              </w:rPr>
              <w:t xml:space="preserve"> (Teacher Training Institutes or TTIs)</w:t>
            </w:r>
          </w:p>
        </w:tc>
        <w:tc>
          <w:tcPr>
            <w:tcW w:w="1642" w:type="pct"/>
          </w:tcPr>
          <w:p w14:paraId="3849EF11"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Teacher development </w:t>
            </w:r>
          </w:p>
        </w:tc>
        <w:tc>
          <w:tcPr>
            <w:tcW w:w="1563" w:type="pct"/>
          </w:tcPr>
          <w:p w14:paraId="07654023" w14:textId="77777777" w:rsidR="007A6258" w:rsidRPr="00934879" w:rsidRDefault="007A6258">
            <w:pPr>
              <w:pStyle w:val="BodyText"/>
              <w:spacing w:before="60" w:after="60"/>
              <w:rPr>
                <w:rFonts w:asciiTheme="minorHAnsi" w:hAnsiTheme="minorHAnsi" w:cstheme="minorHAnsi"/>
                <w:i/>
                <w:iCs/>
                <w:sz w:val="22"/>
                <w:szCs w:val="22"/>
              </w:rPr>
            </w:pPr>
            <w:r w:rsidRPr="00EA46CE">
              <w:rPr>
                <w:rFonts w:asciiTheme="minorHAnsi" w:hAnsiTheme="minorHAnsi" w:cstheme="minorHAnsi"/>
                <w:i/>
                <w:iCs/>
                <w:sz w:val="22"/>
                <w:szCs w:val="22"/>
              </w:rPr>
              <w:t xml:space="preserve">Dinas Pendidikan, </w:t>
            </w:r>
            <w:r w:rsidRPr="00934879">
              <w:rPr>
                <w:rFonts w:asciiTheme="minorHAnsi" w:hAnsiTheme="minorHAnsi" w:cstheme="minorHAnsi"/>
                <w:i/>
                <w:iCs/>
                <w:sz w:val="22"/>
                <w:szCs w:val="22"/>
              </w:rPr>
              <w:t>Kan</w:t>
            </w:r>
            <w:r>
              <w:rPr>
                <w:rFonts w:asciiTheme="minorHAnsi" w:hAnsiTheme="minorHAnsi" w:cstheme="minorHAnsi"/>
                <w:i/>
                <w:iCs/>
                <w:sz w:val="22"/>
                <w:szCs w:val="22"/>
              </w:rPr>
              <w:t>tor Wilayah Kementerian Agama</w:t>
            </w:r>
          </w:p>
          <w:p w14:paraId="525A33D7" w14:textId="77777777" w:rsidR="007A6258" w:rsidRPr="00EA46CE" w:rsidRDefault="007A6258">
            <w:pPr>
              <w:pStyle w:val="BodyText"/>
              <w:spacing w:before="60" w:after="60"/>
              <w:rPr>
                <w:rFonts w:asciiTheme="minorHAnsi" w:hAnsiTheme="minorHAnsi" w:cstheme="minorHAnsi"/>
                <w:i/>
                <w:iCs/>
                <w:sz w:val="22"/>
                <w:szCs w:val="22"/>
              </w:rPr>
            </w:pPr>
          </w:p>
        </w:tc>
      </w:tr>
      <w:tr w:rsidR="007A6258" w:rsidRPr="00F23D72" w14:paraId="1ED5E80E" w14:textId="77777777" w:rsidTr="00B360D8">
        <w:tc>
          <w:tcPr>
            <w:tcW w:w="1795" w:type="pct"/>
          </w:tcPr>
          <w:p w14:paraId="77503BF0" w14:textId="77777777" w:rsidR="007A6258" w:rsidRPr="00F23D72" w:rsidRDefault="007A6258">
            <w:pPr>
              <w:pStyle w:val="BodyText"/>
              <w:spacing w:before="60" w:after="60"/>
              <w:rPr>
                <w:rFonts w:asciiTheme="minorHAnsi" w:hAnsiTheme="minorHAnsi" w:cstheme="minorHAnsi"/>
                <w:sz w:val="22"/>
                <w:szCs w:val="22"/>
                <w:highlight w:val="yellow"/>
              </w:rPr>
            </w:pPr>
            <w:r w:rsidRPr="00F23D72">
              <w:rPr>
                <w:rFonts w:asciiTheme="minorHAnsi" w:hAnsiTheme="minorHAnsi" w:cstheme="minorHAnsi"/>
                <w:sz w:val="22"/>
                <w:szCs w:val="22"/>
              </w:rPr>
              <w:t>Philanthropic</w:t>
            </w:r>
            <w:r>
              <w:rPr>
                <w:rFonts w:asciiTheme="minorHAnsi" w:hAnsiTheme="minorHAnsi" w:cstheme="minorHAnsi"/>
                <w:sz w:val="22"/>
                <w:szCs w:val="22"/>
              </w:rPr>
              <w:t xml:space="preserve"> organisation</w:t>
            </w:r>
            <w:r w:rsidRPr="00F23D72">
              <w:rPr>
                <w:rFonts w:asciiTheme="minorHAnsi" w:hAnsiTheme="minorHAnsi" w:cstheme="minorHAnsi"/>
                <w:sz w:val="22"/>
                <w:szCs w:val="22"/>
              </w:rPr>
              <w:t>s</w:t>
            </w:r>
          </w:p>
        </w:tc>
        <w:tc>
          <w:tcPr>
            <w:tcW w:w="1642" w:type="pct"/>
          </w:tcPr>
          <w:p w14:paraId="5C186304"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School/madrasah and community support</w:t>
            </w:r>
          </w:p>
        </w:tc>
        <w:tc>
          <w:tcPr>
            <w:tcW w:w="1563" w:type="pct"/>
          </w:tcPr>
          <w:p w14:paraId="2E9B81F9"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School/madrasah and community support</w:t>
            </w:r>
          </w:p>
        </w:tc>
      </w:tr>
    </w:tbl>
    <w:p w14:paraId="0F341637" w14:textId="77777777" w:rsidR="007A6258" w:rsidRDefault="007A6258" w:rsidP="007A6258">
      <w:pPr>
        <w:spacing w:after="120" w:line="281" w:lineRule="auto"/>
        <w:rPr>
          <w:rFonts w:asciiTheme="majorHAnsi" w:hAnsiTheme="majorHAnsi"/>
          <w:b/>
          <w:bCs/>
          <w:sz w:val="22"/>
          <w:szCs w:val="22"/>
        </w:rPr>
      </w:pPr>
    </w:p>
    <w:p w14:paraId="5A641B88" w14:textId="09336841" w:rsidR="007A6258" w:rsidRPr="00F64052" w:rsidRDefault="003C464B" w:rsidP="007A6258">
      <w:pPr>
        <w:spacing w:after="120" w:line="281" w:lineRule="auto"/>
        <w:rPr>
          <w:rFonts w:asciiTheme="majorHAnsi" w:hAnsiTheme="majorHAnsi"/>
          <w:b/>
          <w:bCs/>
          <w:sz w:val="22"/>
          <w:szCs w:val="22"/>
        </w:rPr>
      </w:pPr>
      <w:r>
        <w:rPr>
          <w:rFonts w:asciiTheme="majorHAnsi" w:hAnsiTheme="majorHAnsi"/>
          <w:b/>
          <w:bCs/>
          <w:sz w:val="22"/>
          <w:szCs w:val="22"/>
        </w:rPr>
        <w:t>Table of District ecosystem stakeholders</w:t>
      </w:r>
      <w:r w:rsidR="00D27BE0">
        <w:rPr>
          <w:rFonts w:asciiTheme="majorHAnsi" w:hAnsiTheme="majorHAnsi"/>
          <w:b/>
          <w:bCs/>
          <w:sz w:val="22"/>
          <w:szCs w:val="22"/>
        </w:rPr>
        <w:t>,</w:t>
      </w:r>
      <w:r>
        <w:rPr>
          <w:rFonts w:asciiTheme="majorHAnsi" w:hAnsiTheme="majorHAnsi"/>
          <w:b/>
          <w:bCs/>
          <w:sz w:val="22"/>
          <w:szCs w:val="22"/>
        </w:rPr>
        <w:t xml:space="preserve"> category B:</w:t>
      </w:r>
      <w:r w:rsidR="007A6258">
        <w:rPr>
          <w:rFonts w:asciiTheme="majorHAnsi" w:hAnsiTheme="majorHAnsi"/>
          <w:b/>
          <w:bCs/>
          <w:sz w:val="22"/>
          <w:szCs w:val="22"/>
        </w:rPr>
        <w:t xml:space="preserve"> </w:t>
      </w:r>
      <w:r w:rsidR="00711E64" w:rsidRPr="003E672C">
        <w:rPr>
          <w:rFonts w:asciiTheme="majorHAnsi" w:hAnsiTheme="majorHAnsi"/>
          <w:b/>
          <w:bCs/>
          <w:sz w:val="22"/>
          <w:szCs w:val="22"/>
        </w:rPr>
        <w:t>Supporting organisations</w:t>
      </w:r>
      <w:r w:rsidR="00280975">
        <w:rPr>
          <w:rFonts w:asciiTheme="majorHAnsi" w:hAnsiTheme="majorHAnsi"/>
          <w:b/>
          <w:bCs/>
          <w:sz w:val="22"/>
          <w:szCs w:val="22"/>
        </w:rPr>
        <w:t>,</w:t>
      </w:r>
      <w:r w:rsidR="00711E64">
        <w:rPr>
          <w:rFonts w:asciiTheme="majorHAnsi" w:hAnsiTheme="majorHAnsi"/>
          <w:b/>
          <w:bCs/>
          <w:sz w:val="22"/>
          <w:szCs w:val="22"/>
        </w:rPr>
        <w:t xml:space="preserve"> l</w:t>
      </w:r>
      <w:r w:rsidR="007A6258">
        <w:rPr>
          <w:rFonts w:asciiTheme="majorHAnsi" w:hAnsiTheme="majorHAnsi"/>
          <w:b/>
          <w:bCs/>
          <w:sz w:val="22"/>
          <w:szCs w:val="22"/>
        </w:rPr>
        <w:t>evel 3</w:t>
      </w:r>
      <w:r w:rsidR="00280975">
        <w:rPr>
          <w:rFonts w:asciiTheme="majorHAnsi" w:hAnsiTheme="majorHAnsi"/>
          <w:b/>
          <w:bCs/>
          <w:sz w:val="22"/>
          <w:szCs w:val="22"/>
        </w:rPr>
        <w:t>:</w:t>
      </w:r>
      <w:r w:rsidR="007A6258">
        <w:rPr>
          <w:rFonts w:asciiTheme="majorHAnsi" w:hAnsiTheme="majorHAnsi"/>
          <w:b/>
          <w:bCs/>
          <w:sz w:val="22"/>
          <w:szCs w:val="22"/>
        </w:rPr>
        <w:t xml:space="preserve"> Districts</w:t>
      </w:r>
    </w:p>
    <w:tbl>
      <w:tblPr>
        <w:tblStyle w:val="TableGrid"/>
        <w:tblW w:w="4709" w:type="pct"/>
        <w:tblLayout w:type="fixed"/>
        <w:tblLook w:val="04A0" w:firstRow="1" w:lastRow="0" w:firstColumn="1" w:lastColumn="0" w:noHBand="0" w:noVBand="1"/>
      </w:tblPr>
      <w:tblGrid>
        <w:gridCol w:w="3257"/>
        <w:gridCol w:w="2978"/>
        <w:gridCol w:w="2833"/>
      </w:tblGrid>
      <w:tr w:rsidR="007A6258" w:rsidRPr="00F23D72" w14:paraId="7B368DB4" w14:textId="77777777" w:rsidTr="00D27BE0">
        <w:trPr>
          <w:tblHeader/>
        </w:trPr>
        <w:tc>
          <w:tcPr>
            <w:tcW w:w="1796" w:type="pct"/>
            <w:shd w:val="clear" w:color="auto" w:fill="008080"/>
            <w:vAlign w:val="center"/>
          </w:tcPr>
          <w:p w14:paraId="4D8106DF"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65" w:name="ColumnTitle_StakelholdersB3"/>
            <w:r w:rsidRPr="00D27BE0">
              <w:rPr>
                <w:rFonts w:asciiTheme="minorHAnsi" w:hAnsiTheme="minorHAnsi" w:cstheme="minorHAnsi"/>
                <w:b/>
                <w:bCs/>
                <w:color w:val="FFFFFF" w:themeColor="background1"/>
                <w:sz w:val="22"/>
                <w:szCs w:val="22"/>
              </w:rPr>
              <w:t>Stakeholders</w:t>
            </w:r>
            <w:bookmarkEnd w:id="65"/>
          </w:p>
        </w:tc>
        <w:tc>
          <w:tcPr>
            <w:tcW w:w="1642" w:type="pct"/>
            <w:shd w:val="clear" w:color="auto" w:fill="008080"/>
            <w:vAlign w:val="center"/>
          </w:tcPr>
          <w:p w14:paraId="69F18A60"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66" w:name="ColumnTitle_FunctionB3"/>
            <w:r w:rsidRPr="00D27BE0">
              <w:rPr>
                <w:rFonts w:asciiTheme="minorHAnsi" w:hAnsiTheme="minorHAnsi" w:cstheme="minorHAnsi"/>
                <w:b/>
                <w:bCs/>
                <w:color w:val="FFFFFF" w:themeColor="background1"/>
                <w:sz w:val="22"/>
                <w:szCs w:val="22"/>
              </w:rPr>
              <w:t>Function</w:t>
            </w:r>
            <w:bookmarkEnd w:id="66"/>
          </w:p>
        </w:tc>
        <w:tc>
          <w:tcPr>
            <w:tcW w:w="1563" w:type="pct"/>
            <w:shd w:val="clear" w:color="auto" w:fill="008080"/>
            <w:vAlign w:val="center"/>
          </w:tcPr>
          <w:p w14:paraId="72567E42" w14:textId="77777777" w:rsidR="007A6258" w:rsidRPr="00D27BE0" w:rsidRDefault="007A6258">
            <w:pPr>
              <w:pStyle w:val="BodyText"/>
              <w:spacing w:before="60" w:after="60"/>
              <w:jc w:val="center"/>
              <w:rPr>
                <w:rFonts w:asciiTheme="minorHAnsi" w:hAnsiTheme="minorHAnsi" w:cstheme="minorHAnsi"/>
                <w:b/>
                <w:bCs/>
                <w:color w:val="FFFFFF" w:themeColor="background1"/>
                <w:sz w:val="22"/>
                <w:szCs w:val="22"/>
              </w:rPr>
            </w:pPr>
            <w:bookmarkStart w:id="67" w:name="ColumnTitle_TargetsB3"/>
            <w:r w:rsidRPr="00D27BE0">
              <w:rPr>
                <w:rFonts w:asciiTheme="minorHAnsi" w:hAnsiTheme="minorHAnsi" w:cstheme="minorHAnsi"/>
                <w:b/>
                <w:bCs/>
                <w:color w:val="FFFFFF" w:themeColor="background1"/>
                <w:sz w:val="22"/>
                <w:szCs w:val="22"/>
              </w:rPr>
              <w:t>Targets</w:t>
            </w:r>
            <w:bookmarkEnd w:id="67"/>
          </w:p>
        </w:tc>
      </w:tr>
      <w:tr w:rsidR="007A6258" w:rsidRPr="00F23D72" w14:paraId="7E03A9FF" w14:textId="77777777" w:rsidTr="00B360D8">
        <w:tc>
          <w:tcPr>
            <w:tcW w:w="1796" w:type="pct"/>
          </w:tcPr>
          <w:p w14:paraId="76E72999" w14:textId="77777777" w:rsidR="007A6258" w:rsidRPr="00F23D72" w:rsidRDefault="007A6258">
            <w:pPr>
              <w:pStyle w:val="BodyText"/>
              <w:spacing w:before="60" w:after="60"/>
              <w:rPr>
                <w:rFonts w:asciiTheme="minorHAnsi" w:hAnsiTheme="minorHAnsi" w:cstheme="minorHAnsi"/>
                <w:sz w:val="22"/>
                <w:szCs w:val="22"/>
                <w:highlight w:val="yellow"/>
              </w:rPr>
            </w:pPr>
            <w:r w:rsidRPr="00F23D72">
              <w:rPr>
                <w:rFonts w:asciiTheme="minorHAnsi" w:hAnsiTheme="minorHAnsi" w:cstheme="minorHAnsi"/>
                <w:sz w:val="22"/>
                <w:szCs w:val="22"/>
              </w:rPr>
              <w:t>Teacher and Principal networks (KKG)</w:t>
            </w:r>
          </w:p>
        </w:tc>
        <w:tc>
          <w:tcPr>
            <w:tcW w:w="1642" w:type="pct"/>
          </w:tcPr>
          <w:p w14:paraId="1D33D27D"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Peer support</w:t>
            </w:r>
          </w:p>
        </w:tc>
        <w:tc>
          <w:tcPr>
            <w:tcW w:w="1563" w:type="pct"/>
          </w:tcPr>
          <w:p w14:paraId="681EBB48"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Teachers and principals</w:t>
            </w:r>
          </w:p>
        </w:tc>
      </w:tr>
      <w:tr w:rsidR="007A6258" w:rsidRPr="00F23D72" w14:paraId="17E62A24" w14:textId="77777777" w:rsidTr="00B360D8">
        <w:tc>
          <w:tcPr>
            <w:tcW w:w="1796" w:type="pct"/>
          </w:tcPr>
          <w:p w14:paraId="6D9D8A9A" w14:textId="77777777" w:rsidR="007A6258" w:rsidRPr="00F23D72" w:rsidRDefault="007A6258">
            <w:pPr>
              <w:pStyle w:val="BodyText"/>
              <w:spacing w:before="60" w:after="60"/>
              <w:rPr>
                <w:rFonts w:asciiTheme="minorHAnsi" w:hAnsiTheme="minorHAnsi" w:cstheme="minorHAnsi"/>
                <w:sz w:val="22"/>
                <w:szCs w:val="22"/>
                <w:highlight w:val="yellow"/>
              </w:rPr>
            </w:pPr>
            <w:r w:rsidRPr="00F23D72">
              <w:rPr>
                <w:rFonts w:asciiTheme="minorHAnsi" w:hAnsiTheme="minorHAnsi" w:cstheme="minorHAnsi"/>
                <w:sz w:val="22"/>
                <w:szCs w:val="22"/>
              </w:rPr>
              <w:t>District education and gender CSOs and OPDs</w:t>
            </w:r>
          </w:p>
        </w:tc>
        <w:tc>
          <w:tcPr>
            <w:tcW w:w="1642" w:type="pct"/>
          </w:tcPr>
          <w:p w14:paraId="4FDB3699"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Support for education outcomes of </w:t>
            </w:r>
            <w:proofErr w:type="gramStart"/>
            <w:r w:rsidRPr="00F23D72">
              <w:rPr>
                <w:rFonts w:asciiTheme="minorHAnsi" w:hAnsiTheme="minorHAnsi" w:cstheme="minorHAnsi"/>
                <w:sz w:val="22"/>
                <w:szCs w:val="22"/>
              </w:rPr>
              <w:t>particular groups</w:t>
            </w:r>
            <w:proofErr w:type="gramEnd"/>
            <w:r w:rsidRPr="00F23D72">
              <w:rPr>
                <w:rFonts w:asciiTheme="minorHAnsi" w:hAnsiTheme="minorHAnsi" w:cstheme="minorHAnsi"/>
                <w:sz w:val="22"/>
                <w:szCs w:val="22"/>
              </w:rPr>
              <w:t xml:space="preserve"> </w:t>
            </w:r>
          </w:p>
        </w:tc>
        <w:tc>
          <w:tcPr>
            <w:tcW w:w="1563" w:type="pct"/>
          </w:tcPr>
          <w:p w14:paraId="27CA60C7" w14:textId="77777777" w:rsidR="007A6258" w:rsidRDefault="007A6258">
            <w:pPr>
              <w:pStyle w:val="BodyText"/>
              <w:spacing w:before="60" w:after="60"/>
              <w:rPr>
                <w:rFonts w:asciiTheme="minorHAnsi" w:hAnsiTheme="minorHAnsi" w:cstheme="minorHAnsi"/>
                <w:sz w:val="22"/>
                <w:szCs w:val="22"/>
              </w:rPr>
            </w:pPr>
            <w:r w:rsidRPr="00EA46CE">
              <w:rPr>
                <w:rFonts w:asciiTheme="minorHAnsi" w:hAnsiTheme="minorHAnsi" w:cstheme="minorHAnsi"/>
                <w:i/>
                <w:iCs/>
                <w:sz w:val="22"/>
                <w:szCs w:val="22"/>
              </w:rPr>
              <w:t>Dinas Pendidikan</w:t>
            </w:r>
            <w:r>
              <w:rPr>
                <w:rFonts w:asciiTheme="minorHAnsi" w:hAnsiTheme="minorHAnsi" w:cstheme="minorHAnsi"/>
                <w:sz w:val="22"/>
                <w:szCs w:val="22"/>
              </w:rPr>
              <w:t>,</w:t>
            </w:r>
            <w:r w:rsidRPr="00F23D72">
              <w:rPr>
                <w:rFonts w:asciiTheme="minorHAnsi" w:hAnsiTheme="minorHAnsi" w:cstheme="minorHAnsi"/>
                <w:sz w:val="22"/>
                <w:szCs w:val="22"/>
              </w:rPr>
              <w:t xml:space="preserve"> </w:t>
            </w:r>
          </w:p>
          <w:p w14:paraId="19EF79ED" w14:textId="77777777" w:rsidR="007A6258" w:rsidRPr="00934879" w:rsidRDefault="007A6258">
            <w:pPr>
              <w:pStyle w:val="BodyText"/>
              <w:spacing w:before="60" w:after="60"/>
              <w:rPr>
                <w:rFonts w:asciiTheme="minorHAnsi" w:hAnsiTheme="minorHAnsi" w:cstheme="minorHAnsi"/>
                <w:i/>
                <w:iCs/>
                <w:sz w:val="22"/>
                <w:szCs w:val="22"/>
              </w:rPr>
            </w:pPr>
            <w:r w:rsidRPr="00934879">
              <w:rPr>
                <w:rFonts w:asciiTheme="minorHAnsi" w:hAnsiTheme="minorHAnsi" w:cstheme="minorHAnsi"/>
                <w:i/>
                <w:iCs/>
                <w:sz w:val="22"/>
                <w:szCs w:val="22"/>
              </w:rPr>
              <w:t>Kan</w:t>
            </w:r>
            <w:r>
              <w:rPr>
                <w:rFonts w:asciiTheme="minorHAnsi" w:hAnsiTheme="minorHAnsi" w:cstheme="minorHAnsi"/>
                <w:i/>
                <w:iCs/>
                <w:sz w:val="22"/>
                <w:szCs w:val="22"/>
              </w:rPr>
              <w:t>tor Wilayah Kementerian Agama</w:t>
            </w:r>
          </w:p>
          <w:p w14:paraId="13254574"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School/madrasah communities</w:t>
            </w:r>
            <w:r>
              <w:rPr>
                <w:rFonts w:asciiTheme="minorHAnsi" w:hAnsiTheme="minorHAnsi" w:cstheme="minorHAnsi"/>
                <w:sz w:val="22"/>
                <w:szCs w:val="22"/>
              </w:rPr>
              <w:t>,</w:t>
            </w:r>
            <w:r w:rsidRPr="00F23D72">
              <w:rPr>
                <w:rFonts w:asciiTheme="minorHAnsi" w:hAnsiTheme="minorHAnsi" w:cstheme="minorHAnsi"/>
                <w:sz w:val="22"/>
                <w:szCs w:val="22"/>
              </w:rPr>
              <w:t xml:space="preserve"> marginalised groups</w:t>
            </w:r>
          </w:p>
        </w:tc>
      </w:tr>
      <w:tr w:rsidR="007A6258" w:rsidRPr="00F23D72" w14:paraId="670AF208" w14:textId="77777777" w:rsidTr="00B360D8">
        <w:tc>
          <w:tcPr>
            <w:tcW w:w="1796" w:type="pct"/>
          </w:tcPr>
          <w:p w14:paraId="73EB66FD" w14:textId="77777777" w:rsidR="007A6258" w:rsidRPr="00F23D72" w:rsidRDefault="007A6258">
            <w:pPr>
              <w:pStyle w:val="BodyText"/>
              <w:spacing w:before="60" w:after="60"/>
              <w:rPr>
                <w:rFonts w:asciiTheme="minorHAnsi" w:hAnsiTheme="minorHAnsi" w:cstheme="minorHAnsi"/>
                <w:sz w:val="22"/>
                <w:szCs w:val="22"/>
                <w:highlight w:val="yellow"/>
              </w:rPr>
            </w:pPr>
            <w:r w:rsidRPr="00F23D72">
              <w:rPr>
                <w:rFonts w:asciiTheme="minorHAnsi" w:hAnsiTheme="minorHAnsi" w:cstheme="minorHAnsi"/>
                <w:sz w:val="22"/>
                <w:szCs w:val="22"/>
              </w:rPr>
              <w:t xml:space="preserve">Village authorities and Dinas for Community Welfare </w:t>
            </w:r>
          </w:p>
        </w:tc>
        <w:tc>
          <w:tcPr>
            <w:tcW w:w="1642" w:type="pct"/>
          </w:tcPr>
          <w:p w14:paraId="28DAF5CB"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Support for community PAUD centres, libraries, and digital access</w:t>
            </w:r>
            <w:r>
              <w:rPr>
                <w:rFonts w:asciiTheme="minorHAnsi" w:hAnsiTheme="minorHAnsi" w:cstheme="minorHAnsi"/>
                <w:sz w:val="22"/>
                <w:szCs w:val="22"/>
              </w:rPr>
              <w:t>,</w:t>
            </w:r>
            <w:r w:rsidRPr="00F23D72">
              <w:rPr>
                <w:rFonts w:asciiTheme="minorHAnsi" w:hAnsiTheme="minorHAnsi" w:cstheme="minorHAnsi"/>
                <w:sz w:val="22"/>
                <w:szCs w:val="22"/>
              </w:rPr>
              <w:t xml:space="preserve"> parenting support for education </w:t>
            </w:r>
          </w:p>
        </w:tc>
        <w:tc>
          <w:tcPr>
            <w:tcW w:w="1563" w:type="pct"/>
          </w:tcPr>
          <w:p w14:paraId="73142637"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 xml:space="preserve">Communities at village and </w:t>
            </w:r>
            <w:r>
              <w:rPr>
                <w:rFonts w:asciiTheme="minorHAnsi" w:hAnsiTheme="minorHAnsi" w:cstheme="minorHAnsi"/>
                <w:sz w:val="22"/>
                <w:szCs w:val="22"/>
              </w:rPr>
              <w:t>neighbourhood (RT)</w:t>
            </w:r>
            <w:r w:rsidRPr="00F23D72">
              <w:rPr>
                <w:rFonts w:asciiTheme="minorHAnsi" w:hAnsiTheme="minorHAnsi" w:cstheme="minorHAnsi"/>
                <w:sz w:val="22"/>
                <w:szCs w:val="22"/>
              </w:rPr>
              <w:t xml:space="preserve"> level </w:t>
            </w:r>
          </w:p>
        </w:tc>
      </w:tr>
      <w:tr w:rsidR="007A6258" w:rsidRPr="00F23D72" w14:paraId="43BAF8BE" w14:textId="77777777" w:rsidTr="00B360D8">
        <w:tc>
          <w:tcPr>
            <w:tcW w:w="1796" w:type="pct"/>
          </w:tcPr>
          <w:p w14:paraId="29F40608" w14:textId="77777777" w:rsidR="007A6258" w:rsidRPr="00EA46CE" w:rsidRDefault="007A6258">
            <w:pPr>
              <w:pStyle w:val="BodyText"/>
              <w:spacing w:before="60" w:after="60"/>
              <w:rPr>
                <w:rFonts w:asciiTheme="minorHAnsi" w:hAnsiTheme="minorHAnsi" w:cstheme="minorHAnsi"/>
                <w:i/>
                <w:iCs/>
                <w:sz w:val="22"/>
                <w:szCs w:val="22"/>
                <w:highlight w:val="yellow"/>
              </w:rPr>
            </w:pPr>
            <w:r>
              <w:rPr>
                <w:rFonts w:asciiTheme="minorHAnsi" w:hAnsiTheme="minorHAnsi" w:cstheme="minorHAnsi"/>
                <w:sz w:val="22"/>
                <w:szCs w:val="22"/>
              </w:rPr>
              <w:t>Community Health Centres (</w:t>
            </w:r>
            <w:proofErr w:type="spellStart"/>
            <w:r w:rsidRPr="00EA46CE">
              <w:rPr>
                <w:rFonts w:asciiTheme="minorHAnsi" w:hAnsiTheme="minorHAnsi" w:cstheme="minorHAnsi"/>
                <w:i/>
                <w:iCs/>
                <w:sz w:val="22"/>
                <w:szCs w:val="22"/>
              </w:rPr>
              <w:t>Puskesmas</w:t>
            </w:r>
            <w:proofErr w:type="spellEnd"/>
            <w:r>
              <w:rPr>
                <w:rFonts w:asciiTheme="minorHAnsi" w:hAnsiTheme="minorHAnsi" w:cstheme="minorHAnsi"/>
                <w:sz w:val="22"/>
                <w:szCs w:val="22"/>
              </w:rPr>
              <w:t>)</w:t>
            </w:r>
          </w:p>
        </w:tc>
        <w:tc>
          <w:tcPr>
            <w:tcW w:w="1642" w:type="pct"/>
          </w:tcPr>
          <w:p w14:paraId="119834AE"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Support to schools on students</w:t>
            </w:r>
            <w:r>
              <w:rPr>
                <w:rFonts w:asciiTheme="minorHAnsi" w:hAnsiTheme="minorHAnsi" w:cstheme="minorHAnsi"/>
                <w:sz w:val="22"/>
                <w:szCs w:val="22"/>
              </w:rPr>
              <w:t>,</w:t>
            </w:r>
            <w:r w:rsidRPr="00F23D72">
              <w:rPr>
                <w:rFonts w:asciiTheme="minorHAnsi" w:hAnsiTheme="minorHAnsi" w:cstheme="minorHAnsi"/>
                <w:sz w:val="22"/>
                <w:szCs w:val="22"/>
              </w:rPr>
              <w:t xml:space="preserve"> healthy development</w:t>
            </w:r>
          </w:p>
        </w:tc>
        <w:tc>
          <w:tcPr>
            <w:tcW w:w="1563" w:type="pct"/>
          </w:tcPr>
          <w:p w14:paraId="1729AD89" w14:textId="77777777" w:rsidR="007A6258" w:rsidRDefault="007A6258">
            <w:pPr>
              <w:pStyle w:val="BodyText"/>
              <w:spacing w:before="60" w:after="60"/>
              <w:rPr>
                <w:rFonts w:asciiTheme="minorHAnsi" w:hAnsiTheme="minorHAnsi" w:cstheme="minorHAnsi"/>
                <w:sz w:val="22"/>
                <w:szCs w:val="22"/>
              </w:rPr>
            </w:pPr>
            <w:r w:rsidRPr="00EA46CE">
              <w:rPr>
                <w:rFonts w:asciiTheme="minorHAnsi" w:hAnsiTheme="minorHAnsi" w:cstheme="minorHAnsi"/>
                <w:i/>
                <w:iCs/>
                <w:sz w:val="22"/>
                <w:szCs w:val="22"/>
              </w:rPr>
              <w:t>Dinas Pendidikan</w:t>
            </w:r>
            <w:r>
              <w:rPr>
                <w:rFonts w:asciiTheme="minorHAnsi" w:hAnsiTheme="minorHAnsi" w:cstheme="minorHAnsi"/>
                <w:sz w:val="22"/>
                <w:szCs w:val="22"/>
              </w:rPr>
              <w:t>,</w:t>
            </w:r>
            <w:r w:rsidRPr="00F23D72">
              <w:rPr>
                <w:rFonts w:asciiTheme="minorHAnsi" w:hAnsiTheme="minorHAnsi" w:cstheme="minorHAnsi"/>
                <w:sz w:val="22"/>
                <w:szCs w:val="22"/>
              </w:rPr>
              <w:t xml:space="preserve"> </w:t>
            </w:r>
          </w:p>
          <w:p w14:paraId="34F32EB2" w14:textId="77777777" w:rsidR="007A6258" w:rsidRPr="00EA46CE" w:rsidRDefault="007A6258">
            <w:pPr>
              <w:pStyle w:val="BodyText"/>
              <w:spacing w:before="60" w:after="60"/>
              <w:rPr>
                <w:rFonts w:asciiTheme="minorHAnsi" w:hAnsiTheme="minorHAnsi" w:cstheme="minorHAnsi"/>
                <w:i/>
                <w:iCs/>
                <w:sz w:val="22"/>
                <w:szCs w:val="22"/>
              </w:rPr>
            </w:pPr>
            <w:r w:rsidRPr="00934879">
              <w:rPr>
                <w:rFonts w:asciiTheme="minorHAnsi" w:hAnsiTheme="minorHAnsi" w:cstheme="minorHAnsi"/>
                <w:i/>
                <w:iCs/>
                <w:sz w:val="22"/>
                <w:szCs w:val="22"/>
              </w:rPr>
              <w:t>Kan</w:t>
            </w:r>
            <w:r>
              <w:rPr>
                <w:rFonts w:asciiTheme="minorHAnsi" w:hAnsiTheme="minorHAnsi" w:cstheme="minorHAnsi"/>
                <w:i/>
                <w:iCs/>
                <w:sz w:val="22"/>
                <w:szCs w:val="22"/>
              </w:rPr>
              <w:t>tor Wilayah Kementerian Agama</w:t>
            </w:r>
          </w:p>
          <w:p w14:paraId="705338E7" w14:textId="77777777" w:rsidR="007A6258" w:rsidRPr="00F23D72" w:rsidRDefault="007A6258">
            <w:pPr>
              <w:pStyle w:val="BodyText"/>
              <w:spacing w:before="60" w:after="60"/>
              <w:rPr>
                <w:rFonts w:asciiTheme="minorHAnsi" w:hAnsiTheme="minorHAnsi" w:cstheme="minorHAnsi"/>
                <w:sz w:val="22"/>
                <w:szCs w:val="22"/>
              </w:rPr>
            </w:pPr>
            <w:r w:rsidRPr="00F23D72">
              <w:rPr>
                <w:rFonts w:asciiTheme="minorHAnsi" w:hAnsiTheme="minorHAnsi" w:cstheme="minorHAnsi"/>
                <w:sz w:val="22"/>
                <w:szCs w:val="22"/>
              </w:rPr>
              <w:t>School/madrasah principals</w:t>
            </w:r>
          </w:p>
        </w:tc>
      </w:tr>
    </w:tbl>
    <w:p w14:paraId="0F395DAF" w14:textId="77777777" w:rsidR="007A6258" w:rsidRDefault="007A6258" w:rsidP="000B3609">
      <w:pPr>
        <w:pStyle w:val="BodyText"/>
        <w:spacing w:after="120" w:line="281" w:lineRule="auto"/>
        <w:rPr>
          <w:rFonts w:asciiTheme="majorHAnsi" w:hAnsiTheme="majorHAnsi"/>
          <w:sz w:val="22"/>
          <w:szCs w:val="22"/>
        </w:rPr>
      </w:pPr>
    </w:p>
    <w:p w14:paraId="26CBBE72" w14:textId="77777777" w:rsidR="002E2FE4" w:rsidRPr="0006336E" w:rsidRDefault="002E2FE4" w:rsidP="000B3609">
      <w:pPr>
        <w:pStyle w:val="BodyText"/>
        <w:spacing w:after="120" w:line="281" w:lineRule="auto"/>
        <w:rPr>
          <w:rFonts w:asciiTheme="majorHAnsi" w:hAnsiTheme="majorHAnsi"/>
          <w:sz w:val="22"/>
          <w:szCs w:val="22"/>
        </w:rPr>
      </w:pPr>
      <w:r w:rsidRPr="0006336E">
        <w:rPr>
          <w:rFonts w:asciiTheme="majorHAnsi" w:hAnsiTheme="majorHAnsi"/>
          <w:sz w:val="22"/>
          <w:szCs w:val="22"/>
        </w:rPr>
        <w:t xml:space="preserve">The district ecosystems will centre on the local education office as the main authoriser. Its core business is to ensure functioning teaching and school leadership, a relevant curriculum that can meet district and national learning objectives, and the implementation of national and local policies for all student participation in learning and </w:t>
      </w:r>
      <w:r>
        <w:rPr>
          <w:rFonts w:asciiTheme="majorHAnsi" w:hAnsiTheme="majorHAnsi"/>
          <w:sz w:val="22"/>
          <w:szCs w:val="22"/>
        </w:rPr>
        <w:t>well-being</w:t>
      </w:r>
      <w:r w:rsidRPr="0006336E">
        <w:rPr>
          <w:rFonts w:asciiTheme="majorHAnsi" w:hAnsiTheme="majorHAnsi"/>
          <w:sz w:val="22"/>
          <w:szCs w:val="22"/>
        </w:rPr>
        <w:t xml:space="preserve"> of girls and boys in education units. With new regulations in place for securing teacher quality (specifications for eligibility for teacher and principal appointment, new provincial institutions for quality support), </w:t>
      </w:r>
      <w:proofErr w:type="spellStart"/>
      <w:r w:rsidRPr="0006336E">
        <w:rPr>
          <w:rFonts w:asciiTheme="majorHAnsi" w:hAnsiTheme="majorHAnsi"/>
          <w:sz w:val="22"/>
          <w:szCs w:val="22"/>
        </w:rPr>
        <w:t>MoECRT</w:t>
      </w:r>
      <w:proofErr w:type="spellEnd"/>
      <w:r w:rsidRPr="0006336E">
        <w:rPr>
          <w:rFonts w:asciiTheme="majorHAnsi" w:hAnsiTheme="majorHAnsi"/>
          <w:sz w:val="22"/>
          <w:szCs w:val="22"/>
        </w:rPr>
        <w:t xml:space="preserve"> also has an authorising role for teacher quality in the district ecosystem. However, local authorities still retain responsibilities </w:t>
      </w:r>
      <w:proofErr w:type="gramStart"/>
      <w:r w:rsidRPr="0006336E">
        <w:rPr>
          <w:rFonts w:asciiTheme="majorHAnsi" w:hAnsiTheme="majorHAnsi"/>
          <w:sz w:val="22"/>
          <w:szCs w:val="22"/>
        </w:rPr>
        <w:t>in regard to</w:t>
      </w:r>
      <w:proofErr w:type="gramEnd"/>
      <w:r w:rsidRPr="0006336E">
        <w:rPr>
          <w:rFonts w:asciiTheme="majorHAnsi" w:hAnsiTheme="majorHAnsi"/>
          <w:sz w:val="22"/>
          <w:szCs w:val="22"/>
        </w:rPr>
        <w:t xml:space="preserve"> the quality of all their schools, and until there are enough </w:t>
      </w:r>
      <w:r w:rsidRPr="0006336E">
        <w:rPr>
          <w:rFonts w:asciiTheme="majorHAnsi" w:hAnsiTheme="majorHAnsi"/>
          <w:i/>
          <w:iCs/>
          <w:sz w:val="22"/>
          <w:szCs w:val="22"/>
        </w:rPr>
        <w:t xml:space="preserve">guru </w:t>
      </w:r>
      <w:proofErr w:type="spellStart"/>
      <w:r w:rsidRPr="0006336E">
        <w:rPr>
          <w:rFonts w:asciiTheme="majorHAnsi" w:hAnsiTheme="majorHAnsi"/>
          <w:i/>
          <w:iCs/>
          <w:sz w:val="22"/>
          <w:szCs w:val="22"/>
        </w:rPr>
        <w:t>penggerak</w:t>
      </w:r>
      <w:proofErr w:type="spellEnd"/>
      <w:r w:rsidRPr="0006336E">
        <w:rPr>
          <w:rFonts w:asciiTheme="majorHAnsi" w:hAnsiTheme="majorHAnsi"/>
          <w:sz w:val="22"/>
          <w:szCs w:val="22"/>
        </w:rPr>
        <w:t xml:space="preserve"> to staff supervisor positions, the districts will have to find resources to disseminate training - not just to the</w:t>
      </w:r>
      <w:r w:rsidRPr="0006336E">
        <w:rPr>
          <w:rFonts w:asciiTheme="majorHAnsi" w:hAnsiTheme="majorHAnsi"/>
          <w:i/>
          <w:iCs/>
          <w:sz w:val="22"/>
          <w:szCs w:val="22"/>
        </w:rPr>
        <w:t xml:space="preserve"> </w:t>
      </w:r>
      <w:proofErr w:type="spellStart"/>
      <w:r w:rsidRPr="0006336E">
        <w:rPr>
          <w:rFonts w:asciiTheme="majorHAnsi" w:hAnsiTheme="majorHAnsi"/>
          <w:i/>
          <w:iCs/>
          <w:sz w:val="22"/>
          <w:szCs w:val="22"/>
        </w:rPr>
        <w:t>penggerak</w:t>
      </w:r>
      <w:proofErr w:type="spellEnd"/>
      <w:r w:rsidRPr="0006336E">
        <w:rPr>
          <w:rFonts w:asciiTheme="majorHAnsi" w:hAnsiTheme="majorHAnsi"/>
          <w:sz w:val="22"/>
          <w:szCs w:val="22"/>
        </w:rPr>
        <w:t xml:space="preserve"> schools, but to all schools. In some districts this includes madrasah if district heads are prepared to have their teachers participate in training rather than leave them marginalised.  The main realistic sources of such support are the neighbouring TTI, assuming they are interested in building their own capacity to participate in the reform. This confers on the TTI a large and instrumental place in the ecosystem. </w:t>
      </w:r>
    </w:p>
    <w:p w14:paraId="7155D3E8" w14:textId="77777777" w:rsidR="002E2FE4" w:rsidRPr="0006336E" w:rsidRDefault="002E2FE4" w:rsidP="000B3609">
      <w:pPr>
        <w:pStyle w:val="BodyText"/>
        <w:spacing w:after="120" w:line="281" w:lineRule="auto"/>
        <w:rPr>
          <w:rFonts w:asciiTheme="majorHAnsi" w:hAnsiTheme="majorHAnsi"/>
          <w:sz w:val="22"/>
          <w:szCs w:val="22"/>
        </w:rPr>
      </w:pPr>
      <w:r w:rsidRPr="0006336E">
        <w:rPr>
          <w:rFonts w:asciiTheme="majorHAnsi" w:hAnsiTheme="majorHAnsi"/>
          <w:sz w:val="22"/>
          <w:szCs w:val="22"/>
        </w:rPr>
        <w:t xml:space="preserve">Secondly, the program will encourage and support ecosystems to focus on inclusive education, a priority theme for the present reforms and the new program. The know-how and involvement of community organisations is essential for meeting the government’s agenda of safe, inclusive, and empowering school environments for girls and for all children with a disability. </w:t>
      </w:r>
      <w:proofErr w:type="gramStart"/>
      <w:r w:rsidRPr="0006336E">
        <w:rPr>
          <w:rFonts w:asciiTheme="majorHAnsi" w:hAnsiTheme="majorHAnsi"/>
          <w:sz w:val="22"/>
          <w:szCs w:val="22"/>
        </w:rPr>
        <w:t>In particular</w:t>
      </w:r>
      <w:r>
        <w:rPr>
          <w:rFonts w:asciiTheme="majorHAnsi" w:hAnsiTheme="majorHAnsi"/>
          <w:sz w:val="22"/>
          <w:szCs w:val="22"/>
        </w:rPr>
        <w:t>,</w:t>
      </w:r>
      <w:r w:rsidRPr="0006336E">
        <w:rPr>
          <w:rFonts w:asciiTheme="majorHAnsi" w:hAnsiTheme="majorHAnsi"/>
          <w:sz w:val="22"/>
          <w:szCs w:val="22"/>
        </w:rPr>
        <w:t xml:space="preserve"> Organisations</w:t>
      </w:r>
      <w:proofErr w:type="gramEnd"/>
      <w:r w:rsidRPr="0006336E">
        <w:rPr>
          <w:rFonts w:asciiTheme="majorHAnsi" w:hAnsiTheme="majorHAnsi"/>
          <w:sz w:val="22"/>
          <w:szCs w:val="22"/>
        </w:rPr>
        <w:t xml:space="preserve"> of People with a Disability (OPDs) will be critical for planning and delivering the implementation of the Reasonable Accommodation Regulations. As such, community organisations and particularly those focused on inclusion, will have an indispensable place in the district ecosystem. </w:t>
      </w:r>
    </w:p>
    <w:p w14:paraId="04AF69D7" w14:textId="77777777" w:rsidR="002E2FE4" w:rsidRPr="0006336E" w:rsidRDefault="002E2FE4" w:rsidP="008D1844">
      <w:pPr>
        <w:pStyle w:val="BodyText"/>
        <w:numPr>
          <w:ilvl w:val="0"/>
          <w:numId w:val="36"/>
        </w:numPr>
        <w:spacing w:after="120" w:line="281" w:lineRule="auto"/>
        <w:rPr>
          <w:rFonts w:asciiTheme="majorHAnsi" w:hAnsiTheme="majorHAnsi"/>
          <w:b/>
          <w:bCs/>
          <w:sz w:val="22"/>
          <w:szCs w:val="22"/>
        </w:rPr>
      </w:pPr>
      <w:r w:rsidRPr="0006336E">
        <w:rPr>
          <w:rFonts w:asciiTheme="majorHAnsi" w:hAnsiTheme="majorHAnsi"/>
          <w:b/>
          <w:bCs/>
          <w:sz w:val="22"/>
          <w:szCs w:val="22"/>
        </w:rPr>
        <w:t xml:space="preserve">The role of INOVASI Phase 3 in the ecosystem </w:t>
      </w:r>
    </w:p>
    <w:p w14:paraId="587C08A3" w14:textId="77777777" w:rsidR="002E2FE4" w:rsidRPr="0006336E" w:rsidRDefault="002E2FE4" w:rsidP="000B3609">
      <w:pPr>
        <w:pStyle w:val="BodyText"/>
        <w:spacing w:after="120" w:line="281" w:lineRule="auto"/>
        <w:rPr>
          <w:rFonts w:asciiTheme="majorHAnsi" w:hAnsiTheme="majorHAnsi"/>
          <w:sz w:val="22"/>
          <w:szCs w:val="22"/>
        </w:rPr>
      </w:pPr>
      <w:r w:rsidRPr="0006336E">
        <w:rPr>
          <w:rFonts w:asciiTheme="majorHAnsi" w:hAnsiTheme="majorHAnsi"/>
          <w:sz w:val="22"/>
          <w:szCs w:val="22"/>
        </w:rPr>
        <w:lastRenderedPageBreak/>
        <w:t>The district ecosystem is the unit of analysis and action for the program’s work at sub-national level to achieve its five strategic objectives (IOs). A key assignment of the new program will be to support capabilities of the district education offices for initiating, managing, monitoring, and sustaining this ecosystem. The program will also support:</w:t>
      </w:r>
    </w:p>
    <w:p w14:paraId="29644383" w14:textId="77777777" w:rsidR="002E2FE4" w:rsidRPr="0006336E" w:rsidRDefault="002E2FE4" w:rsidP="008D1844">
      <w:pPr>
        <w:pStyle w:val="BodyText"/>
        <w:numPr>
          <w:ilvl w:val="0"/>
          <w:numId w:val="35"/>
        </w:numPr>
        <w:spacing w:after="120" w:line="281" w:lineRule="auto"/>
        <w:rPr>
          <w:rFonts w:asciiTheme="majorHAnsi" w:hAnsiTheme="majorHAnsi"/>
          <w:sz w:val="22"/>
          <w:szCs w:val="22"/>
        </w:rPr>
      </w:pPr>
      <w:r w:rsidRPr="0006336E">
        <w:rPr>
          <w:rFonts w:asciiTheme="majorHAnsi" w:hAnsiTheme="majorHAnsi" w:cstheme="majorHAnsi"/>
          <w:sz w:val="22"/>
          <w:szCs w:val="22"/>
        </w:rPr>
        <w:t xml:space="preserve">The development of local education offices capabilities to resource and support teachers’ and principals’ working groups for continuous improvement of teacher practice and the monitoring of student participation and progress. It will have a heightened focus on supporting school-based curriculum development, monitoring, and mentoring the development of learning communities, and supporting the capabilities of new teacher mentors replacing the former institution of district supervisors. </w:t>
      </w:r>
    </w:p>
    <w:p w14:paraId="067EBA75" w14:textId="77777777" w:rsidR="002E2FE4" w:rsidRPr="0006336E" w:rsidRDefault="002E2FE4" w:rsidP="008D1844">
      <w:pPr>
        <w:pStyle w:val="BodyText"/>
        <w:numPr>
          <w:ilvl w:val="0"/>
          <w:numId w:val="35"/>
        </w:numPr>
        <w:spacing w:after="120" w:line="281" w:lineRule="auto"/>
        <w:rPr>
          <w:rFonts w:asciiTheme="majorHAnsi" w:hAnsiTheme="majorHAnsi" w:cstheme="majorHAnsi"/>
          <w:sz w:val="22"/>
          <w:szCs w:val="22"/>
        </w:rPr>
      </w:pPr>
      <w:r w:rsidRPr="0006336E">
        <w:rPr>
          <w:rFonts w:asciiTheme="majorHAnsi" w:hAnsiTheme="majorHAnsi" w:cstheme="majorHAnsi"/>
          <w:sz w:val="22"/>
          <w:szCs w:val="22"/>
        </w:rPr>
        <w:t xml:space="preserve">The development of capacities of the new Centres for Education Quality Assurance (Balai </w:t>
      </w:r>
      <w:proofErr w:type="spellStart"/>
      <w:r w:rsidRPr="0006336E">
        <w:rPr>
          <w:rFonts w:asciiTheme="majorHAnsi" w:hAnsiTheme="majorHAnsi" w:cstheme="majorHAnsi"/>
          <w:sz w:val="22"/>
          <w:szCs w:val="22"/>
        </w:rPr>
        <w:t>Penjaminan</w:t>
      </w:r>
      <w:proofErr w:type="spellEnd"/>
      <w:r w:rsidRPr="0006336E">
        <w:rPr>
          <w:rFonts w:asciiTheme="majorHAnsi" w:hAnsiTheme="majorHAnsi" w:cstheme="majorHAnsi"/>
          <w:sz w:val="22"/>
          <w:szCs w:val="22"/>
        </w:rPr>
        <w:t xml:space="preserve"> </w:t>
      </w:r>
      <w:proofErr w:type="spellStart"/>
      <w:r w:rsidRPr="0006336E">
        <w:rPr>
          <w:rFonts w:asciiTheme="majorHAnsi" w:hAnsiTheme="majorHAnsi" w:cstheme="majorHAnsi"/>
          <w:sz w:val="22"/>
          <w:szCs w:val="22"/>
        </w:rPr>
        <w:t>Mutu</w:t>
      </w:r>
      <w:proofErr w:type="spellEnd"/>
      <w:r w:rsidRPr="0006336E">
        <w:rPr>
          <w:rFonts w:asciiTheme="majorHAnsi" w:hAnsiTheme="majorHAnsi" w:cstheme="majorHAnsi"/>
          <w:sz w:val="22"/>
          <w:szCs w:val="22"/>
        </w:rPr>
        <w:t xml:space="preserve"> Pendidikan—BPMP) and Centre for Change agent teachers (Balai Guru </w:t>
      </w:r>
      <w:proofErr w:type="spellStart"/>
      <w:r w:rsidRPr="0006336E">
        <w:rPr>
          <w:rFonts w:asciiTheme="majorHAnsi" w:hAnsiTheme="majorHAnsi" w:cstheme="majorHAnsi"/>
          <w:sz w:val="22"/>
          <w:szCs w:val="22"/>
        </w:rPr>
        <w:t>Penggerak</w:t>
      </w:r>
      <w:proofErr w:type="spellEnd"/>
      <w:r w:rsidRPr="0006336E">
        <w:rPr>
          <w:rFonts w:asciiTheme="majorHAnsi" w:hAnsiTheme="majorHAnsi" w:cstheme="majorHAnsi"/>
          <w:sz w:val="22"/>
          <w:szCs w:val="22"/>
        </w:rPr>
        <w:t xml:space="preserve"> - BGP) at the provincial level, which have been given the role by the Ministry of assuring/improving quality of education in the districts. The Ministry wants these institutions to copy how INOVASI built the capability and ownership of quality improvement in the Dinas Pendidikan. It has asked the new program to support the development of skills sets for these staff, most of whom do not have technical backgrounds in education and are unfamiliar with facilitating roles and practices.</w:t>
      </w:r>
    </w:p>
    <w:p w14:paraId="46C3C104" w14:textId="77777777" w:rsidR="002E2FE4" w:rsidRPr="0006336E" w:rsidRDefault="002E2FE4" w:rsidP="008D1844">
      <w:pPr>
        <w:pStyle w:val="BodyText"/>
        <w:numPr>
          <w:ilvl w:val="0"/>
          <w:numId w:val="35"/>
        </w:numPr>
        <w:spacing w:after="120" w:line="281" w:lineRule="auto"/>
        <w:rPr>
          <w:rFonts w:asciiTheme="majorHAnsi" w:hAnsiTheme="majorHAnsi" w:cstheme="majorHAnsi"/>
          <w:sz w:val="22"/>
          <w:szCs w:val="22"/>
        </w:rPr>
      </w:pPr>
      <w:r w:rsidRPr="0006336E">
        <w:rPr>
          <w:rFonts w:asciiTheme="majorHAnsi" w:hAnsiTheme="majorHAnsi" w:cstheme="majorHAnsi"/>
          <w:sz w:val="22"/>
          <w:szCs w:val="22"/>
        </w:rPr>
        <w:t xml:space="preserve">The capacity of universities’ </w:t>
      </w:r>
      <w:r>
        <w:rPr>
          <w:rFonts w:asciiTheme="majorHAnsi" w:hAnsiTheme="majorHAnsi" w:cstheme="majorHAnsi"/>
          <w:sz w:val="22"/>
          <w:szCs w:val="22"/>
        </w:rPr>
        <w:t>teacher training institutions</w:t>
      </w:r>
      <w:r w:rsidRPr="0006336E">
        <w:rPr>
          <w:rFonts w:asciiTheme="majorHAnsi" w:hAnsiTheme="majorHAnsi" w:cstheme="majorHAnsi"/>
          <w:sz w:val="22"/>
          <w:szCs w:val="22"/>
        </w:rPr>
        <w:t xml:space="preserve"> that </w:t>
      </w:r>
      <w:proofErr w:type="gramStart"/>
      <w:r w:rsidRPr="0006336E">
        <w:rPr>
          <w:rFonts w:asciiTheme="majorHAnsi" w:hAnsiTheme="majorHAnsi" w:cstheme="majorHAnsi"/>
          <w:sz w:val="22"/>
          <w:szCs w:val="22"/>
        </w:rPr>
        <w:t>are located in</w:t>
      </w:r>
      <w:proofErr w:type="gramEnd"/>
      <w:r w:rsidRPr="0006336E">
        <w:rPr>
          <w:rFonts w:asciiTheme="majorHAnsi" w:hAnsiTheme="majorHAnsi" w:cstheme="majorHAnsi"/>
          <w:sz w:val="22"/>
          <w:szCs w:val="22"/>
        </w:rPr>
        <w:t xml:space="preserve"> targeted provinces, showing interest in engaging with the curriculum reforms in their own pre-service courses and have the potential to provide a sustainable source of support for teachers’ in-service needs. INOVASI Phase 2 has organically developed from local initiative</w:t>
      </w:r>
      <w:r>
        <w:rPr>
          <w:rFonts w:asciiTheme="majorHAnsi" w:hAnsiTheme="majorHAnsi" w:cstheme="majorHAnsi"/>
          <w:sz w:val="22"/>
          <w:szCs w:val="22"/>
        </w:rPr>
        <w:t>s</w:t>
      </w:r>
      <w:r w:rsidRPr="0006336E">
        <w:rPr>
          <w:rFonts w:asciiTheme="majorHAnsi" w:hAnsiTheme="majorHAnsi" w:cstheme="majorHAnsi"/>
          <w:sz w:val="22"/>
          <w:szCs w:val="22"/>
        </w:rPr>
        <w:t xml:space="preserve"> and opportunities </w:t>
      </w:r>
      <w:proofErr w:type="gramStart"/>
      <w:r w:rsidRPr="0006336E">
        <w:rPr>
          <w:rFonts w:asciiTheme="majorHAnsi" w:hAnsiTheme="majorHAnsi" w:cstheme="majorHAnsi"/>
          <w:sz w:val="22"/>
          <w:szCs w:val="22"/>
        </w:rPr>
        <w:t>a number of</w:t>
      </w:r>
      <w:proofErr w:type="gramEnd"/>
      <w:r w:rsidRPr="0006336E">
        <w:rPr>
          <w:rFonts w:asciiTheme="majorHAnsi" w:hAnsiTheme="majorHAnsi" w:cstheme="majorHAnsi"/>
          <w:sz w:val="22"/>
          <w:szCs w:val="22"/>
        </w:rPr>
        <w:t xml:space="preserve"> viable partnerships with universities in North Kalimantan, NTB and East Java, some of whose staff have become facilitators of teachers’ literacy and numeracy development. </w:t>
      </w:r>
    </w:p>
    <w:p w14:paraId="5ED09E3A" w14:textId="77777777" w:rsidR="002E2FE4" w:rsidRDefault="002E2FE4" w:rsidP="000B3609">
      <w:pPr>
        <w:pStyle w:val="BodyText"/>
        <w:spacing w:after="120" w:line="281" w:lineRule="auto"/>
        <w:rPr>
          <w:rFonts w:asciiTheme="majorHAnsi" w:hAnsiTheme="majorHAnsi"/>
          <w:sz w:val="22"/>
          <w:szCs w:val="22"/>
        </w:rPr>
      </w:pPr>
    </w:p>
    <w:p w14:paraId="045306DE" w14:textId="77777777" w:rsidR="002E2FE4" w:rsidRPr="0006336E" w:rsidRDefault="002E2FE4" w:rsidP="000B3609">
      <w:pPr>
        <w:pStyle w:val="BodyText"/>
        <w:spacing w:after="120" w:line="281" w:lineRule="auto"/>
        <w:rPr>
          <w:rFonts w:asciiTheme="majorHAnsi" w:hAnsiTheme="majorHAnsi"/>
          <w:sz w:val="22"/>
          <w:szCs w:val="22"/>
        </w:rPr>
      </w:pPr>
      <w:r w:rsidRPr="0006336E">
        <w:rPr>
          <w:rFonts w:asciiTheme="majorHAnsi" w:hAnsiTheme="majorHAnsi"/>
          <w:sz w:val="22"/>
          <w:szCs w:val="22"/>
        </w:rPr>
        <w:t>Other indicative support activities include:</w:t>
      </w:r>
    </w:p>
    <w:p w14:paraId="003B266E" w14:textId="77777777" w:rsidR="002E2FE4" w:rsidRPr="0006336E" w:rsidRDefault="002E2FE4" w:rsidP="008D1844">
      <w:pPr>
        <w:pStyle w:val="BodyText"/>
        <w:numPr>
          <w:ilvl w:val="0"/>
          <w:numId w:val="33"/>
        </w:numPr>
        <w:spacing w:after="120" w:line="281" w:lineRule="auto"/>
        <w:rPr>
          <w:rFonts w:asciiTheme="majorHAnsi" w:hAnsiTheme="majorHAnsi"/>
          <w:sz w:val="22"/>
          <w:szCs w:val="22"/>
        </w:rPr>
      </w:pPr>
      <w:r w:rsidRPr="0006336E">
        <w:rPr>
          <w:rFonts w:asciiTheme="majorHAnsi" w:hAnsiTheme="majorHAnsi"/>
          <w:sz w:val="22"/>
          <w:szCs w:val="22"/>
        </w:rPr>
        <w:t xml:space="preserve">Brokering policy engagement and collaboration between the different authorising stakeholder agencies in the district - Dinas Pendidikan, BPMP, </w:t>
      </w:r>
      <w:proofErr w:type="spellStart"/>
      <w:r w:rsidRPr="0006336E">
        <w:rPr>
          <w:rFonts w:asciiTheme="majorHAnsi" w:hAnsiTheme="majorHAnsi"/>
          <w:sz w:val="22"/>
          <w:szCs w:val="22"/>
        </w:rPr>
        <w:t>MoECRT</w:t>
      </w:r>
      <w:proofErr w:type="spellEnd"/>
      <w:r w:rsidRPr="0006336E">
        <w:rPr>
          <w:rFonts w:asciiTheme="majorHAnsi" w:hAnsiTheme="majorHAnsi"/>
          <w:sz w:val="22"/>
          <w:szCs w:val="22"/>
        </w:rPr>
        <w:t xml:space="preserve">, </w:t>
      </w:r>
      <w:proofErr w:type="spellStart"/>
      <w:r w:rsidRPr="0006336E">
        <w:rPr>
          <w:rFonts w:asciiTheme="majorHAnsi" w:hAnsiTheme="majorHAnsi"/>
          <w:sz w:val="22"/>
          <w:szCs w:val="22"/>
        </w:rPr>
        <w:t>MoRA</w:t>
      </w:r>
      <w:proofErr w:type="spellEnd"/>
      <w:r w:rsidRPr="0006336E">
        <w:rPr>
          <w:rFonts w:asciiTheme="majorHAnsi" w:hAnsiTheme="majorHAnsi"/>
          <w:sz w:val="22"/>
          <w:szCs w:val="22"/>
        </w:rPr>
        <w:t xml:space="preserve">, </w:t>
      </w:r>
      <w:proofErr w:type="spellStart"/>
      <w:r w:rsidRPr="0006336E">
        <w:rPr>
          <w:rFonts w:asciiTheme="majorHAnsi" w:hAnsiTheme="majorHAnsi"/>
          <w:sz w:val="22"/>
          <w:szCs w:val="22"/>
        </w:rPr>
        <w:t>MoHA</w:t>
      </w:r>
      <w:proofErr w:type="spellEnd"/>
      <w:r w:rsidRPr="0006336E">
        <w:rPr>
          <w:rFonts w:asciiTheme="majorHAnsi" w:hAnsiTheme="majorHAnsi"/>
          <w:sz w:val="22"/>
          <w:szCs w:val="22"/>
        </w:rPr>
        <w:t xml:space="preserve"> - to optimise efforts for student learning outcomes improvement in literacy and numeracy. </w:t>
      </w:r>
    </w:p>
    <w:p w14:paraId="783DEAC7" w14:textId="77777777" w:rsidR="002E2FE4" w:rsidRPr="0006336E" w:rsidRDefault="002E2FE4" w:rsidP="008D1844">
      <w:pPr>
        <w:pStyle w:val="BodyText"/>
        <w:numPr>
          <w:ilvl w:val="0"/>
          <w:numId w:val="33"/>
        </w:numPr>
        <w:spacing w:after="120" w:line="281" w:lineRule="auto"/>
        <w:rPr>
          <w:rFonts w:asciiTheme="majorHAnsi" w:hAnsiTheme="majorHAnsi"/>
          <w:sz w:val="22"/>
          <w:szCs w:val="22"/>
        </w:rPr>
      </w:pPr>
      <w:r w:rsidRPr="0006336E">
        <w:rPr>
          <w:rFonts w:asciiTheme="majorHAnsi" w:hAnsiTheme="majorHAnsi"/>
          <w:sz w:val="22"/>
          <w:szCs w:val="22"/>
        </w:rPr>
        <w:t xml:space="preserve">Supporting the district to integrate existing local institutions like the teachers’ and principals’ working groups (KKG, KKKS) into the work of the BGP and the learning communities of the </w:t>
      </w:r>
      <w:proofErr w:type="spellStart"/>
      <w:r w:rsidRPr="0006336E">
        <w:rPr>
          <w:rFonts w:asciiTheme="majorHAnsi" w:hAnsiTheme="majorHAnsi"/>
          <w:i/>
          <w:iCs/>
          <w:sz w:val="22"/>
          <w:szCs w:val="22"/>
        </w:rPr>
        <w:t>sekolah</w:t>
      </w:r>
      <w:proofErr w:type="spellEnd"/>
      <w:r w:rsidRPr="0006336E">
        <w:rPr>
          <w:rFonts w:asciiTheme="majorHAnsi" w:hAnsiTheme="majorHAnsi"/>
          <w:i/>
          <w:iCs/>
          <w:sz w:val="22"/>
          <w:szCs w:val="22"/>
        </w:rPr>
        <w:t xml:space="preserve"> </w:t>
      </w:r>
      <w:proofErr w:type="spellStart"/>
      <w:r w:rsidRPr="0006336E">
        <w:rPr>
          <w:rFonts w:asciiTheme="majorHAnsi" w:hAnsiTheme="majorHAnsi"/>
          <w:i/>
          <w:iCs/>
          <w:sz w:val="22"/>
          <w:szCs w:val="22"/>
        </w:rPr>
        <w:t>penggerak</w:t>
      </w:r>
      <w:proofErr w:type="spellEnd"/>
      <w:r w:rsidRPr="0006336E">
        <w:rPr>
          <w:rFonts w:asciiTheme="majorHAnsi" w:hAnsiTheme="majorHAnsi"/>
          <w:sz w:val="22"/>
          <w:szCs w:val="22"/>
        </w:rPr>
        <w:t>.</w:t>
      </w:r>
    </w:p>
    <w:p w14:paraId="7A64C38F" w14:textId="77777777" w:rsidR="002E2FE4" w:rsidRPr="0006336E" w:rsidRDefault="002E2FE4" w:rsidP="008D1844">
      <w:pPr>
        <w:pStyle w:val="BodyText"/>
        <w:numPr>
          <w:ilvl w:val="0"/>
          <w:numId w:val="33"/>
        </w:numPr>
        <w:spacing w:after="120" w:line="281" w:lineRule="auto"/>
        <w:rPr>
          <w:rFonts w:asciiTheme="majorHAnsi" w:hAnsiTheme="majorHAnsi"/>
          <w:sz w:val="22"/>
          <w:szCs w:val="22"/>
        </w:rPr>
      </w:pPr>
      <w:r w:rsidRPr="0006336E">
        <w:rPr>
          <w:rFonts w:asciiTheme="majorHAnsi" w:hAnsiTheme="majorHAnsi"/>
          <w:sz w:val="22"/>
          <w:szCs w:val="22"/>
        </w:rPr>
        <w:t xml:space="preserve">Helping the district guide schools in the development and delivery of curricula that will achieve the literacy and numeracy outcomes of the </w:t>
      </w:r>
      <w:proofErr w:type="spellStart"/>
      <w:r w:rsidRPr="0006336E">
        <w:rPr>
          <w:rFonts w:asciiTheme="majorHAnsi" w:hAnsiTheme="majorHAnsi"/>
          <w:i/>
          <w:iCs/>
          <w:sz w:val="22"/>
          <w:szCs w:val="22"/>
        </w:rPr>
        <w:t>Kurikulum</w:t>
      </w:r>
      <w:proofErr w:type="spellEnd"/>
      <w:r w:rsidRPr="0006336E">
        <w:rPr>
          <w:rFonts w:asciiTheme="majorHAnsi" w:hAnsiTheme="majorHAnsi"/>
          <w:i/>
          <w:iCs/>
          <w:sz w:val="22"/>
          <w:szCs w:val="22"/>
        </w:rPr>
        <w:t xml:space="preserve"> Merdeka</w:t>
      </w:r>
      <w:r w:rsidRPr="0006336E">
        <w:rPr>
          <w:rFonts w:asciiTheme="majorHAnsi" w:hAnsiTheme="majorHAnsi"/>
          <w:sz w:val="22"/>
          <w:szCs w:val="22"/>
        </w:rPr>
        <w:t xml:space="preserve">, as it did during the pandemic. </w:t>
      </w:r>
    </w:p>
    <w:p w14:paraId="06AF4980" w14:textId="77777777" w:rsidR="002E2FE4" w:rsidRPr="0006336E" w:rsidRDefault="002E2FE4" w:rsidP="008D1844">
      <w:pPr>
        <w:pStyle w:val="BodyText"/>
        <w:numPr>
          <w:ilvl w:val="0"/>
          <w:numId w:val="33"/>
        </w:numPr>
        <w:spacing w:after="120" w:line="281" w:lineRule="auto"/>
        <w:rPr>
          <w:rFonts w:asciiTheme="majorHAnsi" w:hAnsiTheme="majorHAnsi"/>
          <w:sz w:val="22"/>
          <w:szCs w:val="22"/>
        </w:rPr>
      </w:pPr>
      <w:r w:rsidRPr="0006336E">
        <w:rPr>
          <w:rFonts w:asciiTheme="majorHAnsi" w:hAnsiTheme="majorHAnsi"/>
          <w:sz w:val="22"/>
          <w:szCs w:val="22"/>
        </w:rPr>
        <w:t xml:space="preserve">Helping the district government partner with </w:t>
      </w:r>
      <w:proofErr w:type="spellStart"/>
      <w:r w:rsidRPr="0006336E">
        <w:rPr>
          <w:rFonts w:asciiTheme="majorHAnsi" w:hAnsiTheme="majorHAnsi"/>
          <w:sz w:val="22"/>
          <w:szCs w:val="22"/>
        </w:rPr>
        <w:t>MoECRT</w:t>
      </w:r>
      <w:proofErr w:type="spellEnd"/>
      <w:r w:rsidRPr="0006336E">
        <w:rPr>
          <w:rFonts w:asciiTheme="majorHAnsi" w:hAnsiTheme="majorHAnsi"/>
          <w:sz w:val="22"/>
          <w:szCs w:val="22"/>
        </w:rPr>
        <w:t xml:space="preserve"> in pre-service reform through supporting a partner TTI, orient the pre-service curriculum to classroom-based teacher preparation.</w:t>
      </w:r>
    </w:p>
    <w:p w14:paraId="0DA3736B" w14:textId="77777777" w:rsidR="002E2FE4" w:rsidRPr="0006336E" w:rsidRDefault="002E2FE4" w:rsidP="008D1844">
      <w:pPr>
        <w:pStyle w:val="BodyText"/>
        <w:numPr>
          <w:ilvl w:val="0"/>
          <w:numId w:val="33"/>
        </w:numPr>
        <w:spacing w:after="120" w:line="281" w:lineRule="auto"/>
        <w:rPr>
          <w:rFonts w:asciiTheme="majorHAnsi" w:hAnsiTheme="majorHAnsi"/>
          <w:sz w:val="22"/>
          <w:szCs w:val="22"/>
        </w:rPr>
      </w:pPr>
      <w:r w:rsidRPr="0006336E">
        <w:rPr>
          <w:rFonts w:asciiTheme="majorHAnsi" w:hAnsiTheme="majorHAnsi"/>
          <w:sz w:val="22"/>
          <w:szCs w:val="22"/>
        </w:rPr>
        <w:t xml:space="preserve">Support district authorities to lead the collective in developing bespoke district strategies for GEDSI and climate change approaches. </w:t>
      </w:r>
    </w:p>
    <w:p w14:paraId="528F8106" w14:textId="77777777" w:rsidR="002E2FE4" w:rsidRPr="0006336E" w:rsidRDefault="002E2FE4" w:rsidP="008D1844">
      <w:pPr>
        <w:pStyle w:val="BodyText"/>
        <w:numPr>
          <w:ilvl w:val="0"/>
          <w:numId w:val="33"/>
        </w:numPr>
        <w:spacing w:after="120" w:line="281" w:lineRule="auto"/>
        <w:rPr>
          <w:rFonts w:asciiTheme="majorHAnsi" w:hAnsiTheme="majorHAnsi"/>
          <w:sz w:val="22"/>
          <w:szCs w:val="22"/>
        </w:rPr>
      </w:pPr>
      <w:r w:rsidRPr="0006336E">
        <w:rPr>
          <w:rFonts w:asciiTheme="majorHAnsi" w:hAnsiTheme="majorHAnsi"/>
          <w:sz w:val="22"/>
          <w:szCs w:val="22"/>
        </w:rPr>
        <w:lastRenderedPageBreak/>
        <w:t xml:space="preserve">Co-piloting with the district Early Childhood Centres programs that address contextual issues of school </w:t>
      </w:r>
      <w:proofErr w:type="gramStart"/>
      <w:r w:rsidRPr="0006336E">
        <w:rPr>
          <w:rFonts w:asciiTheme="majorHAnsi" w:hAnsiTheme="majorHAnsi"/>
          <w:sz w:val="22"/>
          <w:szCs w:val="22"/>
        </w:rPr>
        <w:t>readiness, and</w:t>
      </w:r>
      <w:proofErr w:type="gramEnd"/>
      <w:r w:rsidRPr="0006336E">
        <w:rPr>
          <w:rFonts w:asciiTheme="majorHAnsi" w:hAnsiTheme="majorHAnsi"/>
          <w:sz w:val="22"/>
          <w:szCs w:val="22"/>
        </w:rPr>
        <w:t xml:space="preserve"> feed</w:t>
      </w:r>
      <w:r>
        <w:rPr>
          <w:rFonts w:asciiTheme="majorHAnsi" w:hAnsiTheme="majorHAnsi"/>
          <w:sz w:val="22"/>
          <w:szCs w:val="22"/>
        </w:rPr>
        <w:t xml:space="preserve">ing </w:t>
      </w:r>
      <w:r w:rsidRPr="0006336E">
        <w:rPr>
          <w:rFonts w:asciiTheme="majorHAnsi" w:hAnsiTheme="majorHAnsi"/>
          <w:sz w:val="22"/>
          <w:szCs w:val="22"/>
        </w:rPr>
        <w:t xml:space="preserve">back lessons to </w:t>
      </w:r>
      <w:proofErr w:type="spellStart"/>
      <w:r w:rsidRPr="0006336E">
        <w:rPr>
          <w:rFonts w:asciiTheme="majorHAnsi" w:hAnsiTheme="majorHAnsi"/>
          <w:sz w:val="22"/>
          <w:szCs w:val="22"/>
        </w:rPr>
        <w:t>MoECRT</w:t>
      </w:r>
      <w:proofErr w:type="spellEnd"/>
      <w:r w:rsidRPr="0006336E">
        <w:rPr>
          <w:rFonts w:asciiTheme="majorHAnsi" w:hAnsiTheme="majorHAnsi"/>
          <w:sz w:val="22"/>
          <w:szCs w:val="22"/>
        </w:rPr>
        <w:t xml:space="preserve"> for national policy development for a pre-school curriculum</w:t>
      </w:r>
      <w:r>
        <w:rPr>
          <w:rFonts w:asciiTheme="majorHAnsi" w:hAnsiTheme="majorHAnsi"/>
          <w:sz w:val="22"/>
          <w:szCs w:val="22"/>
        </w:rPr>
        <w:t>.</w:t>
      </w:r>
    </w:p>
    <w:p w14:paraId="6655A303" w14:textId="77777777" w:rsidR="002E2FE4" w:rsidRPr="0006336E" w:rsidRDefault="002E2FE4" w:rsidP="008D1844">
      <w:pPr>
        <w:pStyle w:val="BodyText"/>
        <w:numPr>
          <w:ilvl w:val="0"/>
          <w:numId w:val="33"/>
        </w:numPr>
        <w:spacing w:after="120" w:line="281" w:lineRule="auto"/>
        <w:rPr>
          <w:rFonts w:asciiTheme="majorHAnsi" w:hAnsiTheme="majorHAnsi"/>
          <w:sz w:val="22"/>
          <w:szCs w:val="22"/>
        </w:rPr>
      </w:pPr>
      <w:r w:rsidRPr="0006336E">
        <w:rPr>
          <w:rFonts w:asciiTheme="majorHAnsi" w:hAnsiTheme="majorHAnsi"/>
          <w:sz w:val="22"/>
          <w:szCs w:val="22"/>
        </w:rPr>
        <w:t xml:space="preserve">Coordinating and facilitating collaboration of community organisations and the district authorities to work on gender responsive schooling initiatives and the Reasonable Accommodation agenda for the district’s schools.  </w:t>
      </w:r>
    </w:p>
    <w:p w14:paraId="7E5B9024" w14:textId="77777777" w:rsidR="002E2FE4" w:rsidRPr="0006336E" w:rsidRDefault="002E2FE4" w:rsidP="000B3609">
      <w:pPr>
        <w:spacing w:after="120" w:line="281" w:lineRule="auto"/>
        <w:rPr>
          <w:rFonts w:asciiTheme="majorHAnsi" w:hAnsiTheme="majorHAnsi"/>
          <w:sz w:val="22"/>
          <w:szCs w:val="22"/>
        </w:rPr>
      </w:pPr>
      <w:r w:rsidRPr="0006336E">
        <w:rPr>
          <w:rFonts w:asciiTheme="majorHAnsi" w:hAnsiTheme="majorHAnsi"/>
          <w:sz w:val="22"/>
          <w:szCs w:val="22"/>
        </w:rPr>
        <w:t>Beyond developing capacities of specific categories of stakeholder, the program will support the collective potential to emerge, and the group to cohere and work cohesively together. A property of systems is their dynamic nature: the district ecosystems will be dynamic as stakeholders affect each other and create relationship in constant evolution.</w:t>
      </w:r>
      <w:r>
        <w:rPr>
          <w:rFonts w:asciiTheme="majorHAnsi" w:hAnsiTheme="majorHAnsi"/>
          <w:sz w:val="22"/>
          <w:szCs w:val="22"/>
        </w:rPr>
        <w:t xml:space="preserve"> </w:t>
      </w:r>
      <w:r w:rsidRPr="0006336E">
        <w:rPr>
          <w:rFonts w:asciiTheme="majorHAnsi" w:hAnsiTheme="majorHAnsi"/>
          <w:sz w:val="22"/>
          <w:szCs w:val="22"/>
        </w:rPr>
        <w:t xml:space="preserve">This requires from INOVASI an ability to understand and support relationships, akin to group coach or counselling expertise, and constant adjustment to the support provided. </w:t>
      </w:r>
    </w:p>
    <w:p w14:paraId="19B59E0E" w14:textId="77777777" w:rsidR="002E2FE4" w:rsidRPr="0006336E" w:rsidRDefault="002E2FE4" w:rsidP="000B3609">
      <w:pPr>
        <w:pStyle w:val="BodyText"/>
        <w:spacing w:after="120" w:line="281" w:lineRule="auto"/>
        <w:rPr>
          <w:rFonts w:asciiTheme="majorHAnsi" w:hAnsiTheme="majorHAnsi"/>
          <w:sz w:val="22"/>
          <w:szCs w:val="22"/>
        </w:rPr>
      </w:pPr>
      <w:r w:rsidRPr="0006336E">
        <w:rPr>
          <w:rFonts w:asciiTheme="majorHAnsi" w:hAnsiTheme="majorHAnsi"/>
          <w:sz w:val="22"/>
          <w:szCs w:val="22"/>
        </w:rPr>
        <w:t xml:space="preserve">Importantly, </w:t>
      </w:r>
      <w:proofErr w:type="spellStart"/>
      <w:r w:rsidRPr="0006336E">
        <w:rPr>
          <w:rFonts w:asciiTheme="majorHAnsi" w:hAnsiTheme="majorHAnsi"/>
          <w:sz w:val="22"/>
          <w:szCs w:val="22"/>
        </w:rPr>
        <w:t>MoECRT</w:t>
      </w:r>
      <w:proofErr w:type="spellEnd"/>
      <w:r w:rsidRPr="0006336E">
        <w:rPr>
          <w:rFonts w:asciiTheme="majorHAnsi" w:hAnsiTheme="majorHAnsi"/>
          <w:sz w:val="22"/>
          <w:szCs w:val="22"/>
        </w:rPr>
        <w:t xml:space="preserve"> is interested in learning lessons from INOVASI’s support and the evolution of ecosystems dynamic with a view to continuously iterate policy improvement. The success of INOVASI’s support is therefore not only contingent on ecosystems’ achievements but also tethered to the program’s ability to observe, investigate, learn, and disseminate lessons on the viability and effectiveness of the ecosystemic approach back to </w:t>
      </w:r>
      <w:proofErr w:type="spellStart"/>
      <w:r w:rsidRPr="0006336E">
        <w:rPr>
          <w:rFonts w:asciiTheme="majorHAnsi" w:hAnsiTheme="majorHAnsi"/>
          <w:sz w:val="22"/>
          <w:szCs w:val="22"/>
        </w:rPr>
        <w:t>MoECRT</w:t>
      </w:r>
      <w:proofErr w:type="spellEnd"/>
      <w:r w:rsidRPr="0006336E">
        <w:rPr>
          <w:rFonts w:asciiTheme="majorHAnsi" w:hAnsiTheme="majorHAnsi"/>
          <w:sz w:val="22"/>
          <w:szCs w:val="22"/>
        </w:rPr>
        <w:t xml:space="preserve"> – it is also the program strategy to scale out its approach.</w:t>
      </w:r>
    </w:p>
    <w:p w14:paraId="068F510B" w14:textId="77777777" w:rsidR="002E2FE4" w:rsidRPr="00974377" w:rsidRDefault="002E2FE4" w:rsidP="002E2FE4">
      <w:pPr>
        <w:spacing w:after="120" w:line="440" w:lineRule="atLeast"/>
        <w:rPr>
          <w:rFonts w:asciiTheme="majorHAnsi" w:eastAsiaTheme="majorEastAsia" w:hAnsiTheme="majorHAnsi" w:cstheme="majorBidi"/>
          <w:sz w:val="28"/>
          <w:szCs w:val="28"/>
        </w:rPr>
        <w:sectPr w:rsidR="002E2FE4" w:rsidRPr="00974377" w:rsidSect="00E23693">
          <w:pgSz w:w="11906" w:h="16838" w:code="9"/>
          <w:pgMar w:top="1418" w:right="1134" w:bottom="1701" w:left="1134" w:header="425" w:footer="493" w:gutter="0"/>
          <w:cols w:space="397"/>
          <w:docGrid w:linePitch="360"/>
        </w:sectPr>
      </w:pPr>
    </w:p>
    <w:p w14:paraId="4324CA4B" w14:textId="35972F32" w:rsidR="002E2FE4" w:rsidRDefault="002E2FE4" w:rsidP="007F167F">
      <w:pPr>
        <w:pStyle w:val="Heading1"/>
        <w:rPr>
          <w:sz w:val="28"/>
        </w:rPr>
      </w:pPr>
      <w:r w:rsidRPr="00F363B0">
        <w:rPr>
          <w:sz w:val="28"/>
          <w:szCs w:val="20"/>
          <w:u w:val="single"/>
        </w:rPr>
        <w:t xml:space="preserve">Annex </w:t>
      </w:r>
      <w:r w:rsidR="00475A9D">
        <w:rPr>
          <w:sz w:val="28"/>
          <w:szCs w:val="20"/>
          <w:u w:val="single"/>
        </w:rPr>
        <w:t>2</w:t>
      </w:r>
      <w:r w:rsidRPr="00F363B0">
        <w:rPr>
          <w:sz w:val="28"/>
          <w:szCs w:val="20"/>
          <w:u w:val="single"/>
        </w:rPr>
        <w:t xml:space="preserve"> - Indicative Results Framework for INOVASI Phase 3</w:t>
      </w:r>
    </w:p>
    <w:tbl>
      <w:tblPr>
        <w:tblStyle w:val="GridTable5Dark-Accent1"/>
        <w:tblpPr w:leftFromText="180" w:rightFromText="180" w:vertAnchor="text" w:horzAnchor="margin" w:tblpY="2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674"/>
        <w:gridCol w:w="1745"/>
        <w:gridCol w:w="1608"/>
        <w:gridCol w:w="1878"/>
        <w:gridCol w:w="1445"/>
        <w:gridCol w:w="1111"/>
        <w:gridCol w:w="992"/>
        <w:gridCol w:w="1852"/>
      </w:tblGrid>
      <w:tr w:rsidR="000313D7" w:rsidRPr="00F4392E" w14:paraId="7BD12025" w14:textId="77777777" w:rsidTr="000313D7">
        <w:trPr>
          <w:cnfStyle w:val="100000000000" w:firstRow="1" w:lastRow="0" w:firstColumn="0" w:lastColumn="0" w:oddVBand="0" w:evenVBand="0" w:oddHBand="0" w:evenHBand="0" w:firstRowFirstColumn="0" w:firstRowLastColumn="0" w:lastRowFirstColumn="0" w:lastRowLastColumn="0"/>
          <w:trHeight w:val="648"/>
          <w:tblHeader/>
        </w:trPr>
        <w:tc>
          <w:tcPr>
            <w:cnfStyle w:val="001000000000" w:firstRow="0" w:lastRow="0" w:firstColumn="1" w:lastColumn="0" w:oddVBand="0" w:evenVBand="0" w:oddHBand="0" w:evenHBand="0" w:firstRowFirstColumn="0" w:firstRowLastColumn="0" w:lastRowFirstColumn="0" w:lastRowLastColumn="0"/>
            <w:tcW w:w="512" w:type="pct"/>
            <w:tcBorders>
              <w:top w:val="none" w:sz="0" w:space="0" w:color="auto"/>
              <w:left w:val="none" w:sz="0" w:space="0" w:color="auto"/>
              <w:right w:val="none" w:sz="0" w:space="0" w:color="auto"/>
            </w:tcBorders>
            <w:shd w:val="clear" w:color="auto" w:fill="008080"/>
          </w:tcPr>
          <w:p w14:paraId="75717B08" w14:textId="77777777" w:rsidR="002E2FE4" w:rsidRPr="001B2371" w:rsidRDefault="002E2FE4">
            <w:pPr>
              <w:pStyle w:val="Tablecolumnheading"/>
              <w:spacing w:before="60" w:after="60" w:line="240" w:lineRule="auto"/>
              <w:rPr>
                <w:rFonts w:asciiTheme="minorHAnsi" w:hAnsiTheme="minorHAnsi" w:cstheme="minorHAnsi"/>
                <w:b/>
                <w:bCs w:val="0"/>
                <w:sz w:val="21"/>
                <w:szCs w:val="21"/>
              </w:rPr>
            </w:pPr>
            <w:bookmarkStart w:id="68" w:name="Title_LevelsofPL"/>
            <w:r w:rsidRPr="001B2371">
              <w:rPr>
                <w:rFonts w:asciiTheme="minorHAnsi" w:hAnsiTheme="minorHAnsi" w:cstheme="minorHAnsi"/>
                <w:b/>
                <w:bCs w:val="0"/>
                <w:sz w:val="21"/>
                <w:szCs w:val="21"/>
              </w:rPr>
              <w:t>Levels of Program Logic</w:t>
            </w:r>
            <w:bookmarkEnd w:id="68"/>
          </w:p>
        </w:tc>
        <w:tc>
          <w:tcPr>
            <w:tcW w:w="613" w:type="pct"/>
            <w:tcBorders>
              <w:top w:val="none" w:sz="0" w:space="0" w:color="auto"/>
              <w:left w:val="none" w:sz="0" w:space="0" w:color="auto"/>
              <w:right w:val="none" w:sz="0" w:space="0" w:color="auto"/>
            </w:tcBorders>
            <w:shd w:val="clear" w:color="auto" w:fill="008080"/>
          </w:tcPr>
          <w:p w14:paraId="1D89CF4E" w14:textId="77777777" w:rsidR="002E2FE4" w:rsidRPr="001B2371" w:rsidRDefault="002E2FE4">
            <w:pPr>
              <w:pStyle w:val="Tablecolumnheading"/>
              <w:spacing w:before="60" w:after="6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1"/>
                <w:szCs w:val="21"/>
              </w:rPr>
            </w:pPr>
            <w:bookmarkStart w:id="69" w:name="ColumnTitle_DesiredResult"/>
            <w:r w:rsidRPr="001B2371">
              <w:rPr>
                <w:rFonts w:asciiTheme="minorHAnsi" w:hAnsiTheme="minorHAnsi" w:cstheme="minorHAnsi"/>
                <w:b/>
                <w:bCs w:val="0"/>
                <w:sz w:val="21"/>
                <w:szCs w:val="21"/>
              </w:rPr>
              <w:t>Desired result</w:t>
            </w:r>
            <w:bookmarkEnd w:id="69"/>
          </w:p>
        </w:tc>
        <w:tc>
          <w:tcPr>
            <w:tcW w:w="639" w:type="pct"/>
            <w:tcBorders>
              <w:top w:val="none" w:sz="0" w:space="0" w:color="auto"/>
              <w:left w:val="none" w:sz="0" w:space="0" w:color="auto"/>
              <w:right w:val="none" w:sz="0" w:space="0" w:color="auto"/>
            </w:tcBorders>
            <w:shd w:val="clear" w:color="auto" w:fill="008080"/>
          </w:tcPr>
          <w:p w14:paraId="4AE29E4E" w14:textId="77777777" w:rsidR="002E2FE4" w:rsidRPr="001B2371" w:rsidRDefault="002E2FE4">
            <w:pPr>
              <w:pStyle w:val="Tablecolumnheading"/>
              <w:spacing w:before="60" w:after="6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1"/>
                <w:szCs w:val="21"/>
              </w:rPr>
            </w:pPr>
            <w:bookmarkStart w:id="70" w:name="ColumnTitle_Indicator"/>
            <w:r w:rsidRPr="001B2371">
              <w:rPr>
                <w:rFonts w:asciiTheme="minorHAnsi" w:hAnsiTheme="minorHAnsi" w:cstheme="minorHAnsi"/>
                <w:b/>
                <w:bCs w:val="0"/>
                <w:sz w:val="21"/>
                <w:szCs w:val="21"/>
              </w:rPr>
              <w:t>Indicator</w:t>
            </w:r>
            <w:bookmarkEnd w:id="70"/>
          </w:p>
        </w:tc>
        <w:tc>
          <w:tcPr>
            <w:tcW w:w="589" w:type="pct"/>
            <w:tcBorders>
              <w:top w:val="none" w:sz="0" w:space="0" w:color="auto"/>
              <w:left w:val="none" w:sz="0" w:space="0" w:color="auto"/>
              <w:right w:val="none" w:sz="0" w:space="0" w:color="auto"/>
            </w:tcBorders>
            <w:shd w:val="clear" w:color="auto" w:fill="008080"/>
          </w:tcPr>
          <w:p w14:paraId="72DFEE4D" w14:textId="77777777" w:rsidR="002E2FE4" w:rsidRPr="001B2371" w:rsidRDefault="002E2FE4">
            <w:pPr>
              <w:pStyle w:val="Tablecolumnheading"/>
              <w:spacing w:before="60" w:after="6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1"/>
                <w:szCs w:val="21"/>
              </w:rPr>
            </w:pPr>
            <w:bookmarkStart w:id="71" w:name="ColumnTitle_DataCollection"/>
            <w:r w:rsidRPr="001B2371">
              <w:rPr>
                <w:rFonts w:asciiTheme="minorHAnsi" w:hAnsiTheme="minorHAnsi" w:cstheme="minorHAnsi"/>
                <w:b/>
                <w:bCs w:val="0"/>
                <w:sz w:val="21"/>
                <w:szCs w:val="21"/>
              </w:rPr>
              <w:t>Data collection method &amp; frequency</w:t>
            </w:r>
            <w:bookmarkEnd w:id="71"/>
          </w:p>
        </w:tc>
        <w:tc>
          <w:tcPr>
            <w:tcW w:w="673" w:type="pct"/>
            <w:tcBorders>
              <w:top w:val="none" w:sz="0" w:space="0" w:color="auto"/>
              <w:left w:val="none" w:sz="0" w:space="0" w:color="auto"/>
              <w:right w:val="none" w:sz="0" w:space="0" w:color="auto"/>
            </w:tcBorders>
            <w:shd w:val="clear" w:color="auto" w:fill="008080"/>
          </w:tcPr>
          <w:p w14:paraId="13C5E341" w14:textId="77777777" w:rsidR="002E2FE4" w:rsidRPr="001B2371" w:rsidRDefault="002E2FE4">
            <w:pPr>
              <w:pStyle w:val="Tablecolumnheading"/>
              <w:spacing w:before="60" w:after="6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1"/>
                <w:szCs w:val="21"/>
              </w:rPr>
            </w:pPr>
            <w:bookmarkStart w:id="72" w:name="ColumnTitle_Risks"/>
            <w:r w:rsidRPr="001B2371">
              <w:rPr>
                <w:rFonts w:asciiTheme="minorHAnsi" w:hAnsiTheme="minorHAnsi" w:cstheme="minorHAnsi"/>
                <w:b/>
                <w:bCs w:val="0"/>
                <w:sz w:val="21"/>
                <w:szCs w:val="21"/>
              </w:rPr>
              <w:t>Risks</w:t>
            </w:r>
            <w:bookmarkEnd w:id="72"/>
          </w:p>
        </w:tc>
        <w:tc>
          <w:tcPr>
            <w:tcW w:w="527" w:type="pct"/>
            <w:tcBorders>
              <w:top w:val="none" w:sz="0" w:space="0" w:color="auto"/>
              <w:left w:val="none" w:sz="0" w:space="0" w:color="auto"/>
              <w:right w:val="none" w:sz="0" w:space="0" w:color="auto"/>
            </w:tcBorders>
            <w:shd w:val="clear" w:color="auto" w:fill="008080"/>
          </w:tcPr>
          <w:p w14:paraId="29AC0204" w14:textId="77777777" w:rsidR="002E2FE4" w:rsidRPr="001B2371" w:rsidRDefault="002E2FE4">
            <w:pPr>
              <w:pStyle w:val="Tablecolumnheading"/>
              <w:spacing w:before="60" w:after="6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1"/>
                <w:szCs w:val="21"/>
              </w:rPr>
            </w:pPr>
            <w:bookmarkStart w:id="73" w:name="ColumnTitle_WhoWillCollectData"/>
            <w:r w:rsidRPr="001B2371">
              <w:rPr>
                <w:rFonts w:asciiTheme="minorHAnsi" w:hAnsiTheme="minorHAnsi" w:cstheme="minorHAnsi"/>
                <w:b/>
                <w:bCs w:val="0"/>
                <w:sz w:val="21"/>
                <w:szCs w:val="21"/>
              </w:rPr>
              <w:t>Who will collect and analyse the data</w:t>
            </w:r>
            <w:bookmarkEnd w:id="73"/>
          </w:p>
        </w:tc>
        <w:tc>
          <w:tcPr>
            <w:tcW w:w="405" w:type="pct"/>
            <w:tcBorders>
              <w:top w:val="none" w:sz="0" w:space="0" w:color="auto"/>
              <w:left w:val="none" w:sz="0" w:space="0" w:color="auto"/>
              <w:right w:val="none" w:sz="0" w:space="0" w:color="auto"/>
            </w:tcBorders>
            <w:shd w:val="clear" w:color="auto" w:fill="008080"/>
          </w:tcPr>
          <w:p w14:paraId="46D61F48" w14:textId="77777777" w:rsidR="002E2FE4" w:rsidRPr="001B2371" w:rsidRDefault="002E2FE4">
            <w:pPr>
              <w:pStyle w:val="Tablecolumnheading"/>
              <w:spacing w:before="60" w:after="6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1"/>
                <w:szCs w:val="21"/>
              </w:rPr>
            </w:pPr>
            <w:bookmarkStart w:id="74" w:name="ColumnTitle_Baseline"/>
            <w:r w:rsidRPr="001B2371">
              <w:rPr>
                <w:rFonts w:asciiTheme="minorHAnsi" w:hAnsiTheme="minorHAnsi" w:cstheme="minorHAnsi"/>
                <w:b/>
                <w:bCs w:val="0"/>
                <w:sz w:val="21"/>
                <w:szCs w:val="21"/>
              </w:rPr>
              <w:t>Baseline</w:t>
            </w:r>
            <w:bookmarkEnd w:id="74"/>
          </w:p>
        </w:tc>
        <w:tc>
          <w:tcPr>
            <w:tcW w:w="362" w:type="pct"/>
            <w:tcBorders>
              <w:top w:val="none" w:sz="0" w:space="0" w:color="auto"/>
              <w:left w:val="none" w:sz="0" w:space="0" w:color="auto"/>
              <w:right w:val="none" w:sz="0" w:space="0" w:color="auto"/>
            </w:tcBorders>
            <w:shd w:val="clear" w:color="auto" w:fill="008080"/>
          </w:tcPr>
          <w:p w14:paraId="1F7AE01B" w14:textId="77777777" w:rsidR="002E2FE4" w:rsidRPr="001B2371" w:rsidRDefault="002E2FE4">
            <w:pPr>
              <w:pStyle w:val="Tablecolumnheading"/>
              <w:spacing w:before="60" w:after="6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1"/>
                <w:szCs w:val="21"/>
              </w:rPr>
            </w:pPr>
            <w:r w:rsidRPr="001B2371">
              <w:rPr>
                <w:rFonts w:asciiTheme="minorHAnsi" w:hAnsiTheme="minorHAnsi" w:cstheme="minorHAnsi"/>
                <w:b/>
                <w:bCs w:val="0"/>
                <w:sz w:val="21"/>
                <w:szCs w:val="21"/>
              </w:rPr>
              <w:t>Target</w:t>
            </w:r>
          </w:p>
        </w:tc>
        <w:tc>
          <w:tcPr>
            <w:tcW w:w="680" w:type="pct"/>
            <w:tcBorders>
              <w:top w:val="none" w:sz="0" w:space="0" w:color="auto"/>
              <w:left w:val="none" w:sz="0" w:space="0" w:color="auto"/>
              <w:right w:val="none" w:sz="0" w:space="0" w:color="auto"/>
            </w:tcBorders>
            <w:shd w:val="clear" w:color="auto" w:fill="008080"/>
          </w:tcPr>
          <w:p w14:paraId="47F42235" w14:textId="77777777" w:rsidR="002E2FE4" w:rsidRPr="001B2371" w:rsidRDefault="002E2FE4">
            <w:pPr>
              <w:pStyle w:val="Tablecolumnheading"/>
              <w:spacing w:before="60" w:after="6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1"/>
                <w:szCs w:val="21"/>
              </w:rPr>
            </w:pPr>
            <w:bookmarkStart w:id="75" w:name="ColumnTitle_Use"/>
            <w:r w:rsidRPr="001B2371">
              <w:rPr>
                <w:rFonts w:asciiTheme="minorHAnsi" w:hAnsiTheme="minorHAnsi" w:cstheme="minorHAnsi"/>
                <w:b/>
                <w:bCs w:val="0"/>
                <w:sz w:val="21"/>
                <w:szCs w:val="21"/>
              </w:rPr>
              <w:t>Use</w:t>
            </w:r>
            <w:bookmarkEnd w:id="75"/>
          </w:p>
        </w:tc>
      </w:tr>
      <w:tr w:rsidR="002E2FE4" w:rsidRPr="00F4392E" w14:paraId="0DD7C2F7" w14:textId="77777777" w:rsidTr="0003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Borders>
              <w:left w:val="none" w:sz="0" w:space="0" w:color="auto"/>
            </w:tcBorders>
            <w:shd w:val="clear" w:color="auto" w:fill="008080"/>
          </w:tcPr>
          <w:p w14:paraId="20CB23EE" w14:textId="77777777" w:rsidR="002E2FE4" w:rsidRPr="000313D7" w:rsidRDefault="002E2FE4" w:rsidP="00D96358">
            <w:pPr>
              <w:pStyle w:val="Tablecolumnheading"/>
              <w:spacing w:before="60" w:after="60" w:line="240" w:lineRule="auto"/>
              <w:jc w:val="left"/>
              <w:rPr>
                <w:rFonts w:asciiTheme="minorHAnsi" w:hAnsiTheme="minorHAnsi" w:cstheme="minorHAnsi"/>
                <w:b/>
                <w:bCs w:val="0"/>
                <w:sz w:val="21"/>
                <w:szCs w:val="21"/>
              </w:rPr>
            </w:pPr>
            <w:bookmarkStart w:id="76" w:name="RowTitle_BroaderGoal"/>
            <w:r w:rsidRPr="000313D7">
              <w:rPr>
                <w:rFonts w:asciiTheme="minorHAnsi" w:hAnsiTheme="minorHAnsi" w:cstheme="minorHAnsi"/>
                <w:b/>
                <w:bCs w:val="0"/>
                <w:sz w:val="21"/>
                <w:szCs w:val="21"/>
              </w:rPr>
              <w:t>Broader goal</w:t>
            </w:r>
            <w:bookmarkEnd w:id="76"/>
          </w:p>
        </w:tc>
        <w:tc>
          <w:tcPr>
            <w:tcW w:w="613" w:type="pct"/>
          </w:tcPr>
          <w:p w14:paraId="2C2E17EF"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Improved learning and achievement of foundational skills for all Indonesian primary students</w:t>
            </w:r>
            <w:r>
              <w:rPr>
                <w:rFonts w:asciiTheme="minorHAnsi" w:hAnsiTheme="minorHAnsi" w:cstheme="minorHAnsi"/>
                <w:sz w:val="21"/>
                <w:szCs w:val="21"/>
              </w:rPr>
              <w:t>.</w:t>
            </w:r>
          </w:p>
        </w:tc>
        <w:tc>
          <w:tcPr>
            <w:tcW w:w="639" w:type="pct"/>
          </w:tcPr>
          <w:p w14:paraId="7F5907AF"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Improved student learning outcomes scores, disaggregated by various factors of disadvantage/ inequity</w:t>
            </w:r>
            <w:r>
              <w:rPr>
                <w:rFonts w:asciiTheme="minorHAnsi" w:hAnsiTheme="minorHAnsi" w:cstheme="minorHAnsi"/>
                <w:sz w:val="21"/>
                <w:szCs w:val="21"/>
              </w:rPr>
              <w:t>.</w:t>
            </w:r>
          </w:p>
        </w:tc>
        <w:tc>
          <w:tcPr>
            <w:tcW w:w="589" w:type="pct"/>
          </w:tcPr>
          <w:p w14:paraId="1588B8F1"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lang w:eastAsia="en-GB"/>
              </w:rPr>
            </w:pPr>
            <w:r w:rsidRPr="00F4392E">
              <w:rPr>
                <w:rFonts w:asciiTheme="minorHAnsi" w:hAnsiTheme="minorHAnsi" w:cstheme="minorHAnsi"/>
                <w:color w:val="auto"/>
                <w:sz w:val="21"/>
                <w:szCs w:val="21"/>
                <w:lang w:eastAsia="en-GB"/>
              </w:rPr>
              <w:t>National assessment (</w:t>
            </w:r>
            <w:proofErr w:type="spellStart"/>
            <w:r>
              <w:rPr>
                <w:rFonts w:asciiTheme="minorHAnsi" w:hAnsiTheme="minorHAnsi" w:cstheme="minorHAnsi"/>
                <w:i/>
                <w:iCs/>
                <w:color w:val="auto"/>
                <w:sz w:val="21"/>
                <w:szCs w:val="21"/>
                <w:lang w:eastAsia="en-GB"/>
              </w:rPr>
              <w:t>Asesmen</w:t>
            </w:r>
            <w:proofErr w:type="spellEnd"/>
            <w:r>
              <w:rPr>
                <w:rFonts w:asciiTheme="minorHAnsi" w:hAnsiTheme="minorHAnsi" w:cstheme="minorHAnsi"/>
                <w:i/>
                <w:iCs/>
                <w:color w:val="auto"/>
                <w:sz w:val="21"/>
                <w:szCs w:val="21"/>
                <w:lang w:eastAsia="en-GB"/>
              </w:rPr>
              <w:t xml:space="preserve"> </w:t>
            </w:r>
            <w:proofErr w:type="spellStart"/>
            <w:r>
              <w:rPr>
                <w:rFonts w:asciiTheme="minorHAnsi" w:hAnsiTheme="minorHAnsi" w:cstheme="minorHAnsi"/>
                <w:i/>
                <w:iCs/>
                <w:color w:val="auto"/>
                <w:sz w:val="21"/>
                <w:szCs w:val="21"/>
                <w:lang w:eastAsia="en-GB"/>
              </w:rPr>
              <w:t>Kompetensi</w:t>
            </w:r>
            <w:proofErr w:type="spellEnd"/>
            <w:r>
              <w:rPr>
                <w:rFonts w:asciiTheme="minorHAnsi" w:hAnsiTheme="minorHAnsi" w:cstheme="minorHAnsi"/>
                <w:i/>
                <w:iCs/>
                <w:color w:val="auto"/>
                <w:sz w:val="21"/>
                <w:szCs w:val="21"/>
                <w:lang w:eastAsia="en-GB"/>
              </w:rPr>
              <w:t xml:space="preserve"> Minimum </w:t>
            </w:r>
            <w:r>
              <w:rPr>
                <w:rFonts w:asciiTheme="minorHAnsi" w:hAnsiTheme="minorHAnsi" w:cstheme="minorHAnsi"/>
                <w:color w:val="auto"/>
                <w:sz w:val="21"/>
                <w:szCs w:val="21"/>
                <w:lang w:eastAsia="en-GB"/>
              </w:rPr>
              <w:t xml:space="preserve">or AKM and school surveys, </w:t>
            </w:r>
            <w:r w:rsidRPr="00F4392E">
              <w:rPr>
                <w:rFonts w:asciiTheme="minorHAnsi" w:hAnsiTheme="minorHAnsi" w:cstheme="minorHAnsi"/>
                <w:color w:val="auto"/>
                <w:sz w:val="21"/>
                <w:szCs w:val="21"/>
                <w:lang w:eastAsia="en-GB"/>
              </w:rPr>
              <w:t>including measures of foundational skills)</w:t>
            </w:r>
            <w:r>
              <w:rPr>
                <w:rFonts w:asciiTheme="minorHAnsi" w:hAnsiTheme="minorHAnsi" w:cstheme="minorHAnsi"/>
                <w:color w:val="auto"/>
                <w:sz w:val="21"/>
                <w:szCs w:val="21"/>
                <w:lang w:eastAsia="en-GB"/>
              </w:rPr>
              <w:t>.</w:t>
            </w:r>
          </w:p>
          <w:p w14:paraId="392BAC79"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 xml:space="preserve">Other assessments/ evaluations that might be undertaken by </w:t>
            </w:r>
            <w:proofErr w:type="spellStart"/>
            <w:r w:rsidRPr="00F4392E">
              <w:rPr>
                <w:rFonts w:asciiTheme="minorHAnsi" w:hAnsiTheme="minorHAnsi" w:cstheme="minorHAnsi"/>
                <w:sz w:val="21"/>
                <w:szCs w:val="21"/>
              </w:rPr>
              <w:t>MoECRT</w:t>
            </w:r>
            <w:proofErr w:type="spellEnd"/>
            <w:r w:rsidRPr="00F4392E">
              <w:rPr>
                <w:rFonts w:asciiTheme="minorHAnsi" w:hAnsiTheme="minorHAnsi" w:cstheme="minorHAnsi"/>
                <w:sz w:val="21"/>
                <w:szCs w:val="21"/>
              </w:rPr>
              <w:t>/ other development partners</w:t>
            </w:r>
            <w:r>
              <w:rPr>
                <w:rFonts w:asciiTheme="minorHAnsi" w:hAnsiTheme="minorHAnsi" w:cstheme="minorHAnsi"/>
                <w:sz w:val="21"/>
                <w:szCs w:val="21"/>
              </w:rPr>
              <w:t>.</w:t>
            </w:r>
          </w:p>
        </w:tc>
        <w:tc>
          <w:tcPr>
            <w:tcW w:w="673" w:type="pct"/>
          </w:tcPr>
          <w:p w14:paraId="5B847D44"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lang w:eastAsia="en-GB"/>
              </w:rPr>
            </w:pPr>
            <w:r w:rsidRPr="00F4392E">
              <w:rPr>
                <w:rFonts w:asciiTheme="minorHAnsi" w:hAnsiTheme="minorHAnsi" w:cstheme="minorHAnsi"/>
                <w:color w:val="auto"/>
                <w:sz w:val="21"/>
                <w:szCs w:val="21"/>
                <w:lang w:eastAsia="en-GB"/>
              </w:rPr>
              <w:t xml:space="preserve">National assessment only covers grade </w:t>
            </w:r>
            <w:proofErr w:type="gramStart"/>
            <w:r w:rsidRPr="00F4392E">
              <w:rPr>
                <w:rFonts w:asciiTheme="minorHAnsi" w:hAnsiTheme="minorHAnsi" w:cstheme="minorHAnsi"/>
                <w:color w:val="auto"/>
                <w:sz w:val="21"/>
                <w:szCs w:val="21"/>
                <w:lang w:eastAsia="en-GB"/>
              </w:rPr>
              <w:t>5, and</w:t>
            </w:r>
            <w:proofErr w:type="gramEnd"/>
            <w:r w:rsidRPr="00F4392E">
              <w:rPr>
                <w:rFonts w:asciiTheme="minorHAnsi" w:hAnsiTheme="minorHAnsi" w:cstheme="minorHAnsi"/>
                <w:color w:val="auto"/>
                <w:sz w:val="21"/>
                <w:szCs w:val="21"/>
                <w:lang w:eastAsia="en-GB"/>
              </w:rPr>
              <w:t xml:space="preserve"> is limited in representativeness</w:t>
            </w:r>
            <w:r>
              <w:rPr>
                <w:rFonts w:asciiTheme="minorHAnsi" w:hAnsiTheme="minorHAnsi" w:cstheme="minorHAnsi"/>
                <w:color w:val="auto"/>
                <w:sz w:val="21"/>
                <w:szCs w:val="21"/>
                <w:lang w:eastAsia="en-GB"/>
              </w:rPr>
              <w:t>.</w:t>
            </w:r>
          </w:p>
        </w:tc>
        <w:tc>
          <w:tcPr>
            <w:tcW w:w="527" w:type="pct"/>
          </w:tcPr>
          <w:p w14:paraId="04C67558"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lang w:eastAsia="en-GB"/>
              </w:rPr>
            </w:pPr>
            <w:proofErr w:type="spellStart"/>
            <w:r w:rsidRPr="00F4392E">
              <w:rPr>
                <w:rFonts w:asciiTheme="minorHAnsi" w:hAnsiTheme="minorHAnsi" w:cstheme="minorHAnsi"/>
                <w:color w:val="auto"/>
                <w:sz w:val="21"/>
                <w:szCs w:val="21"/>
                <w:lang w:eastAsia="en-GB"/>
              </w:rPr>
              <w:t>MoECRT</w:t>
            </w:r>
            <w:proofErr w:type="spellEnd"/>
            <w:r w:rsidRPr="00F4392E">
              <w:rPr>
                <w:rFonts w:asciiTheme="minorHAnsi" w:hAnsiTheme="minorHAnsi" w:cstheme="minorHAnsi"/>
                <w:color w:val="auto"/>
                <w:sz w:val="21"/>
                <w:szCs w:val="21"/>
                <w:lang w:eastAsia="en-GB"/>
              </w:rPr>
              <w:t xml:space="preserve"> and other development partner programs depending on the instrument</w:t>
            </w:r>
            <w:r>
              <w:rPr>
                <w:rFonts w:asciiTheme="minorHAnsi" w:hAnsiTheme="minorHAnsi" w:cstheme="minorHAnsi"/>
                <w:color w:val="auto"/>
                <w:sz w:val="21"/>
                <w:szCs w:val="21"/>
                <w:lang w:eastAsia="en-GB"/>
              </w:rPr>
              <w:t>.</w:t>
            </w:r>
          </w:p>
          <w:p w14:paraId="4C906A10"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Annual analysis by MEL team</w:t>
            </w:r>
            <w:r>
              <w:rPr>
                <w:rFonts w:asciiTheme="minorHAnsi" w:hAnsiTheme="minorHAnsi" w:cstheme="minorHAnsi"/>
                <w:sz w:val="21"/>
                <w:szCs w:val="21"/>
              </w:rPr>
              <w:t>.</w:t>
            </w:r>
          </w:p>
        </w:tc>
        <w:tc>
          <w:tcPr>
            <w:tcW w:w="405" w:type="pct"/>
          </w:tcPr>
          <w:p w14:paraId="5B41D163"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TBD</w:t>
            </w:r>
          </w:p>
        </w:tc>
        <w:tc>
          <w:tcPr>
            <w:tcW w:w="362" w:type="pct"/>
          </w:tcPr>
          <w:p w14:paraId="070A9A2F"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TBD</w:t>
            </w:r>
          </w:p>
        </w:tc>
        <w:tc>
          <w:tcPr>
            <w:tcW w:w="680" w:type="pct"/>
          </w:tcPr>
          <w:p w14:paraId="3CC9C109"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Evidence (disaggregated by various factors) used to identify:</w:t>
            </w:r>
          </w:p>
          <w:p w14:paraId="22FF4672" w14:textId="77777777" w:rsidR="002E2FE4" w:rsidRPr="00F4392E" w:rsidRDefault="002E2FE4" w:rsidP="008D1844">
            <w:pPr>
              <w:pStyle w:val="BodyTextHanging"/>
              <w:numPr>
                <w:ilvl w:val="0"/>
                <w:numId w:val="38"/>
              </w:numPr>
              <w:suppressAutoHyphens/>
              <w:spacing w:before="60" w:after="60"/>
              <w:ind w:left="122" w:hanging="1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extent to which student learning outcomes are achieved, where and why</w:t>
            </w:r>
            <w:r>
              <w:rPr>
                <w:rFonts w:asciiTheme="minorHAnsi" w:hAnsiTheme="minorHAnsi" w:cstheme="minorHAnsi"/>
                <w:color w:val="auto"/>
                <w:sz w:val="21"/>
                <w:szCs w:val="21"/>
              </w:rPr>
              <w:t>.</w:t>
            </w:r>
          </w:p>
          <w:p w14:paraId="363E4487" w14:textId="77777777" w:rsidR="002E2FE4" w:rsidRPr="00F4392E" w:rsidRDefault="002E2FE4" w:rsidP="008D1844">
            <w:pPr>
              <w:pStyle w:val="BodyTextHanging"/>
              <w:numPr>
                <w:ilvl w:val="0"/>
                <w:numId w:val="38"/>
              </w:numPr>
              <w:suppressAutoHyphens/>
              <w:spacing w:before="60" w:after="60"/>
              <w:ind w:left="122" w:hanging="1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aspects of student learning that require further</w:t>
            </w:r>
            <w:r>
              <w:rPr>
                <w:rFonts w:asciiTheme="minorHAnsi" w:hAnsiTheme="minorHAnsi" w:cstheme="minorHAnsi"/>
                <w:color w:val="auto"/>
                <w:sz w:val="21"/>
                <w:szCs w:val="21"/>
              </w:rPr>
              <w:t>.</w:t>
            </w:r>
            <w:r w:rsidRPr="00F4392E">
              <w:rPr>
                <w:rFonts w:asciiTheme="minorHAnsi" w:hAnsiTheme="minorHAnsi" w:cstheme="minorHAnsi"/>
                <w:color w:val="auto"/>
                <w:sz w:val="21"/>
                <w:szCs w:val="21"/>
              </w:rPr>
              <w:t xml:space="preserve"> improvement, and how</w:t>
            </w:r>
            <w:r>
              <w:rPr>
                <w:rFonts w:asciiTheme="minorHAnsi" w:hAnsiTheme="minorHAnsi" w:cstheme="minorHAnsi"/>
                <w:color w:val="auto"/>
                <w:sz w:val="21"/>
                <w:szCs w:val="21"/>
              </w:rPr>
              <w:t>.</w:t>
            </w:r>
          </w:p>
        </w:tc>
      </w:tr>
      <w:tr w:rsidR="002E2FE4" w:rsidRPr="00F4392E" w14:paraId="602FECDB" w14:textId="77777777" w:rsidTr="000313D7">
        <w:tc>
          <w:tcPr>
            <w:cnfStyle w:val="001000000000" w:firstRow="0" w:lastRow="0" w:firstColumn="1" w:lastColumn="0" w:oddVBand="0" w:evenVBand="0" w:oddHBand="0" w:evenHBand="0" w:firstRowFirstColumn="0" w:firstRowLastColumn="0" w:lastRowFirstColumn="0" w:lastRowLastColumn="0"/>
            <w:tcW w:w="512" w:type="pct"/>
            <w:tcBorders>
              <w:left w:val="none" w:sz="0" w:space="0" w:color="auto"/>
            </w:tcBorders>
            <w:shd w:val="clear" w:color="auto" w:fill="008080"/>
          </w:tcPr>
          <w:p w14:paraId="295F41FE" w14:textId="77777777" w:rsidR="002E2FE4" w:rsidRPr="000313D7" w:rsidRDefault="002E2FE4" w:rsidP="00D96358">
            <w:pPr>
              <w:pStyle w:val="Tablecolumnheading"/>
              <w:spacing w:before="60" w:after="60" w:line="240" w:lineRule="auto"/>
              <w:jc w:val="left"/>
              <w:rPr>
                <w:rFonts w:asciiTheme="minorHAnsi" w:hAnsiTheme="minorHAnsi" w:cstheme="minorHAnsi"/>
                <w:b/>
                <w:bCs w:val="0"/>
                <w:sz w:val="21"/>
                <w:szCs w:val="21"/>
              </w:rPr>
            </w:pPr>
            <w:bookmarkStart w:id="77" w:name="RowTitle_Objective"/>
            <w:r w:rsidRPr="000313D7">
              <w:rPr>
                <w:rFonts w:asciiTheme="minorHAnsi" w:hAnsiTheme="minorHAnsi" w:cstheme="minorHAnsi"/>
                <w:b/>
                <w:bCs w:val="0"/>
                <w:sz w:val="21"/>
                <w:szCs w:val="21"/>
              </w:rPr>
              <w:t>Objective</w:t>
            </w:r>
            <w:bookmarkEnd w:id="77"/>
          </w:p>
        </w:tc>
        <w:tc>
          <w:tcPr>
            <w:tcW w:w="613" w:type="pct"/>
          </w:tcPr>
          <w:p w14:paraId="467372F5"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 xml:space="preserve">Australia supports Government of Indonesia to implement inclusive primary education policies and practices for </w:t>
            </w:r>
            <w:r w:rsidRPr="00F4392E">
              <w:rPr>
                <w:rFonts w:asciiTheme="minorHAnsi" w:hAnsiTheme="minorHAnsi" w:cstheme="minorHAnsi"/>
                <w:sz w:val="21"/>
                <w:szCs w:val="21"/>
              </w:rPr>
              <w:lastRenderedPageBreak/>
              <w:t>foundational skills nationwide</w:t>
            </w:r>
            <w:r>
              <w:rPr>
                <w:rFonts w:asciiTheme="minorHAnsi" w:hAnsiTheme="minorHAnsi" w:cstheme="minorHAnsi"/>
                <w:sz w:val="21"/>
                <w:szCs w:val="21"/>
              </w:rPr>
              <w:t>.</w:t>
            </w:r>
          </w:p>
        </w:tc>
        <w:tc>
          <w:tcPr>
            <w:tcW w:w="639" w:type="pct"/>
          </w:tcPr>
          <w:p w14:paraId="560DF7FF"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lastRenderedPageBreak/>
              <w:t>Number of non-target districts that implement INOVASI approaches</w:t>
            </w:r>
            <w:r>
              <w:rPr>
                <w:rFonts w:asciiTheme="minorHAnsi" w:hAnsiTheme="minorHAnsi" w:cstheme="minorHAnsi"/>
                <w:sz w:val="21"/>
                <w:szCs w:val="21"/>
              </w:rPr>
              <w:t>.</w:t>
            </w:r>
          </w:p>
        </w:tc>
        <w:tc>
          <w:tcPr>
            <w:tcW w:w="589" w:type="pct"/>
          </w:tcPr>
          <w:p w14:paraId="70EFC70D"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 xml:space="preserve">Purposive M&amp;E of teaching and learning in non-target districts, methods to be designed, (e.g., observations, case studies, contribution analysis, </w:t>
            </w:r>
            <w:r w:rsidRPr="00F4392E">
              <w:rPr>
                <w:rFonts w:asciiTheme="minorHAnsi" w:hAnsiTheme="minorHAnsi" w:cstheme="minorHAnsi"/>
                <w:color w:val="auto"/>
                <w:sz w:val="21"/>
                <w:szCs w:val="21"/>
              </w:rPr>
              <w:lastRenderedPageBreak/>
              <w:t>reflection workshops)</w:t>
            </w:r>
            <w:r>
              <w:rPr>
                <w:rFonts w:asciiTheme="minorHAnsi" w:hAnsiTheme="minorHAnsi" w:cstheme="minorHAnsi"/>
                <w:color w:val="auto"/>
                <w:sz w:val="21"/>
                <w:szCs w:val="21"/>
              </w:rPr>
              <w:t>.</w:t>
            </w:r>
          </w:p>
        </w:tc>
        <w:tc>
          <w:tcPr>
            <w:tcW w:w="673" w:type="pct"/>
          </w:tcPr>
          <w:p w14:paraId="39B440A0"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1"/>
                <w:szCs w:val="21"/>
                <w:lang w:eastAsia="en-US"/>
              </w:rPr>
            </w:pPr>
            <w:r w:rsidRPr="00F4392E">
              <w:rPr>
                <w:rFonts w:asciiTheme="minorHAnsi" w:eastAsia="Calibri" w:hAnsiTheme="minorHAnsi" w:cstheme="minorHAnsi"/>
                <w:sz w:val="21"/>
                <w:szCs w:val="21"/>
                <w:lang w:eastAsia="en-US"/>
              </w:rPr>
              <w:lastRenderedPageBreak/>
              <w:t xml:space="preserve">Evidence of implementation may not be available for provinces/districts/ agencies in which INOVASI has not been actively working. </w:t>
            </w:r>
          </w:p>
        </w:tc>
        <w:tc>
          <w:tcPr>
            <w:tcW w:w="527" w:type="pct"/>
          </w:tcPr>
          <w:p w14:paraId="531FFA30"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lang w:eastAsia="en-GB"/>
              </w:rPr>
            </w:pPr>
            <w:proofErr w:type="spellStart"/>
            <w:r w:rsidRPr="00F4392E">
              <w:rPr>
                <w:rFonts w:asciiTheme="minorHAnsi" w:hAnsiTheme="minorHAnsi" w:cstheme="minorHAnsi"/>
                <w:color w:val="auto"/>
                <w:sz w:val="21"/>
                <w:szCs w:val="21"/>
                <w:lang w:eastAsia="en-GB"/>
              </w:rPr>
              <w:t>MoECRT</w:t>
            </w:r>
            <w:proofErr w:type="spellEnd"/>
            <w:r w:rsidRPr="00F4392E">
              <w:rPr>
                <w:rFonts w:asciiTheme="minorHAnsi" w:hAnsiTheme="minorHAnsi" w:cstheme="minorHAnsi"/>
                <w:color w:val="auto"/>
                <w:sz w:val="21"/>
                <w:szCs w:val="21"/>
                <w:lang w:eastAsia="en-GB"/>
              </w:rPr>
              <w:t xml:space="preserve"> and other development partner programs depending on the instrument</w:t>
            </w:r>
            <w:r>
              <w:rPr>
                <w:rFonts w:asciiTheme="minorHAnsi" w:hAnsiTheme="minorHAnsi" w:cstheme="minorHAnsi"/>
                <w:color w:val="auto"/>
                <w:sz w:val="21"/>
                <w:szCs w:val="21"/>
                <w:lang w:eastAsia="en-GB"/>
              </w:rPr>
              <w:t>.</w:t>
            </w:r>
          </w:p>
          <w:p w14:paraId="0CCDE8E5"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lastRenderedPageBreak/>
              <w:t>Annual analysis by MEL team</w:t>
            </w:r>
            <w:r>
              <w:rPr>
                <w:rFonts w:asciiTheme="minorHAnsi" w:hAnsiTheme="minorHAnsi" w:cstheme="minorHAnsi"/>
                <w:sz w:val="21"/>
                <w:szCs w:val="21"/>
              </w:rPr>
              <w:t>.</w:t>
            </w:r>
          </w:p>
        </w:tc>
        <w:tc>
          <w:tcPr>
            <w:tcW w:w="405" w:type="pct"/>
          </w:tcPr>
          <w:p w14:paraId="526C4A6B"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lastRenderedPageBreak/>
              <w:t>TBD</w:t>
            </w:r>
          </w:p>
        </w:tc>
        <w:tc>
          <w:tcPr>
            <w:tcW w:w="362" w:type="pct"/>
          </w:tcPr>
          <w:p w14:paraId="1F6FD1AD"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TBD</w:t>
            </w:r>
          </w:p>
        </w:tc>
        <w:tc>
          <w:tcPr>
            <w:tcW w:w="680" w:type="pct"/>
          </w:tcPr>
          <w:p w14:paraId="1FCB956B"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 xml:space="preserve">Evidence (disaggregated by various factors) used to identify extent to which INOVASI contribution is making a difference and </w:t>
            </w:r>
            <w:r w:rsidRPr="00F4392E">
              <w:rPr>
                <w:rFonts w:asciiTheme="minorHAnsi" w:hAnsiTheme="minorHAnsi" w:cstheme="minorHAnsi"/>
                <w:color w:val="auto"/>
                <w:sz w:val="21"/>
                <w:szCs w:val="21"/>
              </w:rPr>
              <w:lastRenderedPageBreak/>
              <w:t>influence potential scale-up</w:t>
            </w:r>
            <w:r>
              <w:rPr>
                <w:rFonts w:asciiTheme="minorHAnsi" w:hAnsiTheme="minorHAnsi" w:cstheme="minorHAnsi"/>
                <w:color w:val="auto"/>
                <w:sz w:val="21"/>
                <w:szCs w:val="21"/>
              </w:rPr>
              <w:t>.</w:t>
            </w:r>
          </w:p>
        </w:tc>
      </w:tr>
      <w:tr w:rsidR="002E2FE4" w:rsidRPr="00F4392E" w14:paraId="71A18B75" w14:textId="77777777" w:rsidTr="0003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Borders>
              <w:left w:val="none" w:sz="0" w:space="0" w:color="auto"/>
            </w:tcBorders>
            <w:shd w:val="clear" w:color="auto" w:fill="008080"/>
          </w:tcPr>
          <w:p w14:paraId="299E763C" w14:textId="77777777" w:rsidR="002E2FE4" w:rsidRPr="000313D7" w:rsidRDefault="002E2FE4" w:rsidP="00D96358">
            <w:pPr>
              <w:pStyle w:val="Tablecolumnheading"/>
              <w:spacing w:before="60" w:after="60" w:line="240" w:lineRule="auto"/>
              <w:jc w:val="left"/>
              <w:rPr>
                <w:rFonts w:asciiTheme="minorHAnsi" w:hAnsiTheme="minorHAnsi" w:cstheme="minorHAnsi"/>
                <w:b/>
                <w:bCs w:val="0"/>
                <w:sz w:val="21"/>
                <w:szCs w:val="21"/>
              </w:rPr>
            </w:pPr>
            <w:bookmarkStart w:id="78" w:name="RowTitle_EOPO1"/>
            <w:r w:rsidRPr="000313D7">
              <w:rPr>
                <w:rFonts w:asciiTheme="minorHAnsi" w:hAnsiTheme="minorHAnsi" w:cstheme="minorHAnsi"/>
                <w:b/>
                <w:bCs w:val="0"/>
                <w:sz w:val="21"/>
                <w:szCs w:val="21"/>
              </w:rPr>
              <w:lastRenderedPageBreak/>
              <w:t>EOPO 1</w:t>
            </w:r>
          </w:p>
          <w:p w14:paraId="3F2AAC1F" w14:textId="77777777" w:rsidR="002E2FE4" w:rsidRPr="000313D7" w:rsidRDefault="002E2FE4" w:rsidP="00D96358">
            <w:pPr>
              <w:pStyle w:val="Tablecolumnheading"/>
              <w:spacing w:before="60" w:after="60" w:line="240" w:lineRule="auto"/>
              <w:jc w:val="left"/>
              <w:rPr>
                <w:rFonts w:asciiTheme="minorHAnsi" w:hAnsiTheme="minorHAnsi" w:cstheme="minorHAnsi"/>
                <w:b/>
                <w:bCs w:val="0"/>
                <w:sz w:val="21"/>
                <w:szCs w:val="21"/>
              </w:rPr>
            </w:pPr>
            <w:r w:rsidRPr="000313D7">
              <w:rPr>
                <w:rFonts w:asciiTheme="minorHAnsi" w:hAnsiTheme="minorHAnsi" w:cstheme="minorHAnsi"/>
                <w:b/>
                <w:bCs w:val="0"/>
                <w:sz w:val="21"/>
                <w:szCs w:val="21"/>
              </w:rPr>
              <w:t>Education policy</w:t>
            </w:r>
            <w:bookmarkEnd w:id="78"/>
          </w:p>
        </w:tc>
        <w:tc>
          <w:tcPr>
            <w:tcW w:w="613" w:type="pct"/>
          </w:tcPr>
          <w:p w14:paraId="6319F04F"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 xml:space="preserve">By 2031, </w:t>
            </w:r>
            <w:r w:rsidRPr="009A73E2">
              <w:rPr>
                <w:rFonts w:asciiTheme="minorHAnsi" w:hAnsiTheme="minorHAnsi" w:cstheme="minorHAnsi"/>
                <w:sz w:val="21"/>
                <w:szCs w:val="21"/>
              </w:rPr>
              <w:t>targeted national and sub-national stakeholders develop and/or implement inclusive education policies and systems that support foundational skills for all primary students, including children with disabilities</w:t>
            </w:r>
            <w:r>
              <w:rPr>
                <w:rFonts w:asciiTheme="minorHAnsi" w:hAnsiTheme="minorHAnsi" w:cstheme="minorHAnsi"/>
                <w:sz w:val="21"/>
                <w:szCs w:val="21"/>
              </w:rPr>
              <w:t>.</w:t>
            </w:r>
          </w:p>
        </w:tc>
        <w:tc>
          <w:tcPr>
            <w:tcW w:w="639" w:type="pct"/>
          </w:tcPr>
          <w:p w14:paraId="7524F8BD"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1"/>
                <w:szCs w:val="21"/>
                <w:lang w:eastAsia="en-US"/>
              </w:rPr>
            </w:pPr>
            <w:r w:rsidRPr="00F4392E">
              <w:rPr>
                <w:rFonts w:asciiTheme="minorHAnsi" w:hAnsiTheme="minorHAnsi" w:cstheme="minorHAnsi"/>
                <w:bCs/>
                <w:sz w:val="21"/>
                <w:szCs w:val="21"/>
              </w:rPr>
              <w:t>Evidence of</w:t>
            </w:r>
            <w:r w:rsidRPr="00F4392E">
              <w:rPr>
                <w:rFonts w:asciiTheme="minorHAnsi" w:eastAsia="Calibri" w:hAnsiTheme="minorHAnsi" w:cstheme="minorHAnsi"/>
                <w:sz w:val="21"/>
                <w:szCs w:val="21"/>
                <w:lang w:eastAsia="en-US"/>
              </w:rPr>
              <w:t xml:space="preserve"> relevant plans, policies, </w:t>
            </w:r>
            <w:proofErr w:type="gramStart"/>
            <w:r w:rsidRPr="00F4392E">
              <w:rPr>
                <w:rFonts w:asciiTheme="minorHAnsi" w:eastAsia="Calibri" w:hAnsiTheme="minorHAnsi" w:cstheme="minorHAnsi"/>
                <w:sz w:val="21"/>
                <w:szCs w:val="21"/>
                <w:lang w:eastAsia="en-US"/>
              </w:rPr>
              <w:t>processes</w:t>
            </w:r>
            <w:proofErr w:type="gramEnd"/>
            <w:r w:rsidRPr="00F4392E">
              <w:rPr>
                <w:rFonts w:asciiTheme="minorHAnsi" w:eastAsia="Calibri" w:hAnsiTheme="minorHAnsi" w:cstheme="minorHAnsi"/>
                <w:sz w:val="21"/>
                <w:szCs w:val="21"/>
                <w:lang w:eastAsia="en-US"/>
              </w:rPr>
              <w:t xml:space="preserve"> and</w:t>
            </w:r>
            <w:r>
              <w:rPr>
                <w:rFonts w:asciiTheme="minorHAnsi" w:eastAsia="Calibri" w:hAnsiTheme="minorHAnsi" w:cstheme="minorHAnsi"/>
                <w:sz w:val="21"/>
                <w:szCs w:val="21"/>
                <w:lang w:eastAsia="en-US"/>
              </w:rPr>
              <w:t xml:space="preserve"> </w:t>
            </w:r>
            <w:r w:rsidRPr="00F4392E">
              <w:rPr>
                <w:rFonts w:asciiTheme="minorHAnsi" w:eastAsia="Calibri" w:hAnsiTheme="minorHAnsi" w:cstheme="minorHAnsi"/>
                <w:sz w:val="21"/>
                <w:szCs w:val="21"/>
                <w:lang w:eastAsia="en-US"/>
              </w:rPr>
              <w:t>regulations improved and/or implemented</w:t>
            </w:r>
            <w:r w:rsidRPr="00F4392E">
              <w:rPr>
                <w:rFonts w:asciiTheme="minorHAnsi" w:hAnsiTheme="minorHAnsi" w:cstheme="minorHAnsi"/>
                <w:sz w:val="21"/>
                <w:szCs w:val="21"/>
              </w:rPr>
              <w:t xml:space="preserve">, </w:t>
            </w:r>
            <w:r w:rsidRPr="00F4392E">
              <w:rPr>
                <w:rFonts w:asciiTheme="minorHAnsi" w:eastAsia="Calibri" w:hAnsiTheme="minorHAnsi" w:cstheme="minorHAnsi"/>
                <w:sz w:val="21"/>
                <w:szCs w:val="21"/>
                <w:lang w:eastAsia="en-US"/>
              </w:rPr>
              <w:t>based on INOVASI support</w:t>
            </w:r>
            <w:r>
              <w:rPr>
                <w:rFonts w:asciiTheme="minorHAnsi" w:eastAsia="Calibri" w:hAnsiTheme="minorHAnsi" w:cstheme="minorHAnsi"/>
                <w:sz w:val="21"/>
                <w:szCs w:val="21"/>
                <w:lang w:eastAsia="en-US"/>
              </w:rPr>
              <w:t>.</w:t>
            </w:r>
          </w:p>
          <w:p w14:paraId="26675609"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Evidence of increased enrolment and learning support of children with disabilities in primary education in target districts</w:t>
            </w:r>
            <w:r>
              <w:rPr>
                <w:rFonts w:asciiTheme="minorHAnsi" w:hAnsiTheme="minorHAnsi" w:cstheme="minorHAnsi"/>
                <w:sz w:val="21"/>
                <w:szCs w:val="21"/>
              </w:rPr>
              <w:t>.</w:t>
            </w:r>
          </w:p>
        </w:tc>
        <w:tc>
          <w:tcPr>
            <w:tcW w:w="589" w:type="pct"/>
          </w:tcPr>
          <w:p w14:paraId="655C55FC"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Purposive longitudinal evaluation study (baseline and endline) in target districts, methods to be designed</w:t>
            </w:r>
            <w:r>
              <w:rPr>
                <w:rFonts w:asciiTheme="minorHAnsi" w:hAnsiTheme="minorHAnsi" w:cstheme="minorHAnsi"/>
                <w:color w:val="auto"/>
                <w:sz w:val="21"/>
                <w:szCs w:val="21"/>
              </w:rPr>
              <w:t>.</w:t>
            </w:r>
            <w:r w:rsidRPr="00F4392E">
              <w:rPr>
                <w:rFonts w:asciiTheme="minorHAnsi" w:hAnsiTheme="minorHAnsi" w:cstheme="minorHAnsi"/>
                <w:color w:val="auto"/>
                <w:sz w:val="21"/>
                <w:szCs w:val="21"/>
              </w:rPr>
              <w:t xml:space="preserve"> </w:t>
            </w:r>
          </w:p>
          <w:p w14:paraId="225B7FA9"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1"/>
                <w:szCs w:val="21"/>
              </w:rPr>
            </w:pPr>
            <w:r w:rsidRPr="00F4392E">
              <w:rPr>
                <w:rFonts w:asciiTheme="minorHAnsi" w:hAnsiTheme="minorHAnsi" w:cstheme="minorHAnsi"/>
                <w:color w:val="auto"/>
                <w:sz w:val="21"/>
                <w:szCs w:val="21"/>
              </w:rPr>
              <w:t xml:space="preserve">Desk review of available data, e.g., from </w:t>
            </w:r>
            <w:proofErr w:type="spellStart"/>
            <w:r w:rsidRPr="00F4392E">
              <w:rPr>
                <w:rFonts w:asciiTheme="minorHAnsi" w:hAnsiTheme="minorHAnsi" w:cstheme="minorHAnsi"/>
                <w:color w:val="auto"/>
                <w:sz w:val="21"/>
                <w:szCs w:val="21"/>
              </w:rPr>
              <w:t>MoECRT</w:t>
            </w:r>
            <w:proofErr w:type="spellEnd"/>
            <w:r w:rsidRPr="00F4392E">
              <w:rPr>
                <w:rFonts w:asciiTheme="minorHAnsi" w:hAnsiTheme="minorHAnsi" w:cstheme="minorHAnsi"/>
                <w:color w:val="auto"/>
                <w:sz w:val="21"/>
                <w:szCs w:val="21"/>
              </w:rPr>
              <w:t xml:space="preserve"> and/or other development partners</w:t>
            </w:r>
            <w:r>
              <w:rPr>
                <w:rFonts w:asciiTheme="minorHAnsi" w:hAnsiTheme="minorHAnsi" w:cstheme="minorHAnsi"/>
                <w:color w:val="auto"/>
                <w:sz w:val="21"/>
                <w:szCs w:val="21"/>
              </w:rPr>
              <w:t>.</w:t>
            </w:r>
            <w:r w:rsidRPr="00F4392E">
              <w:rPr>
                <w:rFonts w:asciiTheme="minorHAnsi" w:hAnsiTheme="minorHAnsi" w:cstheme="minorHAnsi"/>
                <w:color w:val="auto"/>
                <w:sz w:val="21"/>
                <w:szCs w:val="21"/>
              </w:rPr>
              <w:t xml:space="preserve"> </w:t>
            </w:r>
          </w:p>
        </w:tc>
        <w:tc>
          <w:tcPr>
            <w:tcW w:w="673" w:type="pct"/>
          </w:tcPr>
          <w:p w14:paraId="2B3D4B71" w14:textId="77777777" w:rsidR="002E2FE4"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1"/>
                <w:szCs w:val="21"/>
                <w:lang w:eastAsia="en-US"/>
              </w:rPr>
            </w:pPr>
            <w:r w:rsidRPr="00F4392E">
              <w:rPr>
                <w:rFonts w:asciiTheme="minorHAnsi" w:eastAsia="Calibri" w:hAnsiTheme="minorHAnsi" w:cstheme="minorHAnsi"/>
                <w:sz w:val="21"/>
                <w:szCs w:val="21"/>
                <w:lang w:eastAsia="en-US"/>
              </w:rPr>
              <w:t>Stakeholders may not be willing to publicly acknowledge contribution of INOVASI or not aware of contribution at technical/sub-levels.</w:t>
            </w:r>
          </w:p>
          <w:p w14:paraId="6983E7BE"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eastAsia="Calibri" w:hAnsiTheme="minorHAnsi" w:cstheme="minorHAnsi"/>
                <w:sz w:val="21"/>
                <w:szCs w:val="21"/>
              </w:rPr>
              <w:t>Stakeholders may not be able to adequately collect data on learners with disabilities.</w:t>
            </w:r>
          </w:p>
        </w:tc>
        <w:tc>
          <w:tcPr>
            <w:tcW w:w="527" w:type="pct"/>
          </w:tcPr>
          <w:p w14:paraId="045E5EFC"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MEL team/ Provincial Teams</w:t>
            </w:r>
            <w:r>
              <w:rPr>
                <w:rFonts w:asciiTheme="minorHAnsi" w:hAnsiTheme="minorHAnsi" w:cstheme="minorHAnsi"/>
                <w:color w:val="auto"/>
                <w:sz w:val="21"/>
                <w:szCs w:val="21"/>
              </w:rPr>
              <w:t>.</w:t>
            </w:r>
          </w:p>
          <w:p w14:paraId="336E9FCC"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Pr>
                <w:rFonts w:asciiTheme="minorHAnsi" w:eastAsia="Calibri" w:hAnsiTheme="minorHAnsi" w:cstheme="minorHAnsi"/>
                <w:sz w:val="21"/>
                <w:szCs w:val="21"/>
                <w:lang w:eastAsia="en-US"/>
              </w:rPr>
              <w:t>Annual a</w:t>
            </w:r>
            <w:r w:rsidRPr="00F4392E">
              <w:rPr>
                <w:rFonts w:asciiTheme="minorHAnsi" w:eastAsia="Calibri" w:hAnsiTheme="minorHAnsi" w:cstheme="minorHAnsi"/>
                <w:sz w:val="21"/>
                <w:szCs w:val="21"/>
                <w:lang w:eastAsia="en-US"/>
              </w:rPr>
              <w:t>ssessment and reflection</w:t>
            </w:r>
            <w:r>
              <w:rPr>
                <w:rFonts w:asciiTheme="minorHAnsi" w:eastAsia="Calibri" w:hAnsiTheme="minorHAnsi" w:cstheme="minorHAnsi"/>
                <w:sz w:val="21"/>
                <w:szCs w:val="21"/>
                <w:lang w:eastAsia="en-US"/>
              </w:rPr>
              <w:t>.</w:t>
            </w:r>
          </w:p>
        </w:tc>
        <w:tc>
          <w:tcPr>
            <w:tcW w:w="405" w:type="pct"/>
          </w:tcPr>
          <w:p w14:paraId="35F51C11"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bCs/>
                <w:sz w:val="21"/>
                <w:szCs w:val="21"/>
              </w:rPr>
              <w:t xml:space="preserve">TBD </w:t>
            </w:r>
          </w:p>
        </w:tc>
        <w:tc>
          <w:tcPr>
            <w:tcW w:w="362" w:type="pct"/>
          </w:tcPr>
          <w:p w14:paraId="1742928B"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bCs/>
                <w:sz w:val="21"/>
                <w:szCs w:val="21"/>
              </w:rPr>
              <w:t>TBD</w:t>
            </w:r>
          </w:p>
        </w:tc>
        <w:tc>
          <w:tcPr>
            <w:tcW w:w="680" w:type="pct"/>
          </w:tcPr>
          <w:p w14:paraId="6FFC9438"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Evidence to show:</w:t>
            </w:r>
          </w:p>
          <w:p w14:paraId="47CF0B40" w14:textId="77777777" w:rsidR="002E2FE4" w:rsidRPr="00F4392E" w:rsidRDefault="002E2FE4" w:rsidP="008D1844">
            <w:pPr>
              <w:pStyle w:val="BodyTextHanging"/>
              <w:numPr>
                <w:ilvl w:val="0"/>
                <w:numId w:val="38"/>
              </w:numPr>
              <w:suppressAutoHyphens/>
              <w:spacing w:before="60" w:after="60"/>
              <w:ind w:left="122" w:hanging="1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 xml:space="preserve">extent to which new curriculum, </w:t>
            </w:r>
            <w:proofErr w:type="gramStart"/>
            <w:r w:rsidRPr="00F4392E">
              <w:rPr>
                <w:rFonts w:asciiTheme="minorHAnsi" w:hAnsiTheme="minorHAnsi" w:cstheme="minorHAnsi"/>
                <w:color w:val="auto"/>
                <w:sz w:val="21"/>
                <w:szCs w:val="21"/>
              </w:rPr>
              <w:t>teaching</w:t>
            </w:r>
            <w:proofErr w:type="gramEnd"/>
            <w:r w:rsidRPr="00F4392E">
              <w:rPr>
                <w:rFonts w:asciiTheme="minorHAnsi" w:hAnsiTheme="minorHAnsi" w:cstheme="minorHAnsi"/>
                <w:color w:val="auto"/>
                <w:sz w:val="21"/>
                <w:szCs w:val="21"/>
              </w:rPr>
              <w:t xml:space="preserve"> and learning</w:t>
            </w:r>
            <w:r>
              <w:rPr>
                <w:rFonts w:asciiTheme="minorHAnsi" w:hAnsiTheme="minorHAnsi" w:cstheme="minorHAnsi"/>
                <w:color w:val="auto"/>
                <w:sz w:val="21"/>
                <w:szCs w:val="21"/>
              </w:rPr>
              <w:t>.</w:t>
            </w:r>
            <w:r w:rsidRPr="00F4392E">
              <w:rPr>
                <w:rFonts w:asciiTheme="minorHAnsi" w:hAnsiTheme="minorHAnsi" w:cstheme="minorHAnsi"/>
                <w:color w:val="auto"/>
                <w:sz w:val="21"/>
                <w:szCs w:val="21"/>
              </w:rPr>
              <w:t xml:space="preserve"> approaches are working (or not), and why</w:t>
            </w:r>
            <w:r>
              <w:rPr>
                <w:rFonts w:asciiTheme="minorHAnsi" w:hAnsiTheme="minorHAnsi" w:cstheme="minorHAnsi"/>
                <w:color w:val="auto"/>
                <w:sz w:val="21"/>
                <w:szCs w:val="21"/>
              </w:rPr>
              <w:t>.</w:t>
            </w:r>
          </w:p>
          <w:p w14:paraId="6CEF6718" w14:textId="77777777" w:rsidR="002E2FE4" w:rsidRPr="00F4392E" w:rsidRDefault="002E2FE4" w:rsidP="008D1844">
            <w:pPr>
              <w:pStyle w:val="BodyTextHanging"/>
              <w:numPr>
                <w:ilvl w:val="0"/>
                <w:numId w:val="38"/>
              </w:numPr>
              <w:suppressAutoHyphens/>
              <w:spacing w:before="60" w:after="60"/>
              <w:ind w:left="122" w:hanging="1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effectiveness of district ecosystemic approach</w:t>
            </w:r>
            <w:r>
              <w:rPr>
                <w:rFonts w:asciiTheme="minorHAnsi" w:hAnsiTheme="minorHAnsi" w:cstheme="minorHAnsi"/>
                <w:color w:val="auto"/>
                <w:sz w:val="21"/>
                <w:szCs w:val="21"/>
              </w:rPr>
              <w:t>.</w:t>
            </w:r>
          </w:p>
          <w:p w14:paraId="3753038C" w14:textId="77777777" w:rsidR="002E2FE4" w:rsidRPr="009A73E2" w:rsidRDefault="002E2FE4" w:rsidP="008D1844">
            <w:pPr>
              <w:pStyle w:val="BodyTextHanging"/>
              <w:numPr>
                <w:ilvl w:val="0"/>
                <w:numId w:val="38"/>
              </w:numPr>
              <w:suppressAutoHyphens/>
              <w:spacing w:before="60" w:after="60"/>
              <w:ind w:left="122" w:hanging="1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lang w:val="en-GB"/>
              </w:rPr>
            </w:pPr>
            <w:r w:rsidRPr="00F4392E">
              <w:rPr>
                <w:rFonts w:asciiTheme="minorHAnsi" w:hAnsiTheme="minorHAnsi" w:cstheme="minorHAnsi"/>
                <w:color w:val="auto"/>
                <w:sz w:val="21"/>
                <w:szCs w:val="21"/>
              </w:rPr>
              <w:t>potential for scale-up the approach</w:t>
            </w:r>
            <w:r>
              <w:rPr>
                <w:rFonts w:asciiTheme="minorHAnsi" w:hAnsiTheme="minorHAnsi" w:cstheme="minorHAnsi"/>
                <w:color w:val="auto"/>
                <w:sz w:val="21"/>
                <w:szCs w:val="21"/>
              </w:rPr>
              <w:t>.</w:t>
            </w:r>
          </w:p>
          <w:p w14:paraId="06BBE735" w14:textId="77777777" w:rsidR="002E2FE4" w:rsidRPr="00F4392E" w:rsidRDefault="002E2FE4" w:rsidP="008D1844">
            <w:pPr>
              <w:pStyle w:val="BodyTextHanging"/>
              <w:numPr>
                <w:ilvl w:val="0"/>
                <w:numId w:val="38"/>
              </w:numPr>
              <w:suppressAutoHyphens/>
              <w:spacing w:before="60" w:after="60"/>
              <w:ind w:left="122" w:hanging="1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lang w:val="en-GB"/>
              </w:rPr>
            </w:pPr>
            <w:r>
              <w:rPr>
                <w:rFonts w:asciiTheme="minorHAnsi" w:hAnsiTheme="minorHAnsi" w:cstheme="minorHAnsi"/>
                <w:color w:val="auto"/>
                <w:sz w:val="21"/>
                <w:szCs w:val="21"/>
              </w:rPr>
              <w:t>effectiveness of disability ID tools.</w:t>
            </w:r>
          </w:p>
        </w:tc>
      </w:tr>
      <w:tr w:rsidR="002E2FE4" w:rsidRPr="00F4392E" w14:paraId="1B7711A6" w14:textId="77777777" w:rsidTr="000313D7">
        <w:tc>
          <w:tcPr>
            <w:cnfStyle w:val="001000000000" w:firstRow="0" w:lastRow="0" w:firstColumn="1" w:lastColumn="0" w:oddVBand="0" w:evenVBand="0" w:oddHBand="0" w:evenHBand="0" w:firstRowFirstColumn="0" w:firstRowLastColumn="0" w:lastRowFirstColumn="0" w:lastRowLastColumn="0"/>
            <w:tcW w:w="512" w:type="pct"/>
            <w:tcBorders>
              <w:left w:val="none" w:sz="0" w:space="0" w:color="auto"/>
            </w:tcBorders>
            <w:shd w:val="clear" w:color="auto" w:fill="008080"/>
          </w:tcPr>
          <w:p w14:paraId="5D6FF1FA" w14:textId="77777777" w:rsidR="002E2FE4" w:rsidRPr="000313D7" w:rsidRDefault="002E2FE4" w:rsidP="00D96358">
            <w:pPr>
              <w:pStyle w:val="Tablecolumnheading"/>
              <w:spacing w:before="60" w:after="60" w:line="240" w:lineRule="auto"/>
              <w:jc w:val="left"/>
              <w:rPr>
                <w:rFonts w:asciiTheme="minorHAnsi" w:hAnsiTheme="minorHAnsi" w:cstheme="minorHAnsi"/>
                <w:b/>
                <w:bCs w:val="0"/>
                <w:sz w:val="21"/>
                <w:szCs w:val="21"/>
              </w:rPr>
            </w:pPr>
            <w:bookmarkStart w:id="79" w:name="RowTitle_EOPO2"/>
            <w:r w:rsidRPr="000313D7">
              <w:rPr>
                <w:rFonts w:asciiTheme="minorHAnsi" w:hAnsiTheme="minorHAnsi" w:cstheme="minorHAnsi"/>
                <w:b/>
                <w:bCs w:val="0"/>
                <w:sz w:val="21"/>
                <w:szCs w:val="21"/>
              </w:rPr>
              <w:t>EOPO 2</w:t>
            </w:r>
          </w:p>
          <w:p w14:paraId="2AA2E202" w14:textId="77777777" w:rsidR="002E2FE4" w:rsidRPr="000313D7" w:rsidRDefault="002E2FE4" w:rsidP="00D96358">
            <w:pPr>
              <w:pStyle w:val="Tablecolumnheading"/>
              <w:spacing w:before="60" w:after="60" w:line="240" w:lineRule="auto"/>
              <w:jc w:val="left"/>
              <w:rPr>
                <w:rFonts w:asciiTheme="minorHAnsi" w:hAnsiTheme="minorHAnsi" w:cstheme="minorHAnsi"/>
                <w:b/>
                <w:bCs w:val="0"/>
                <w:sz w:val="21"/>
                <w:szCs w:val="21"/>
              </w:rPr>
            </w:pPr>
            <w:r w:rsidRPr="000313D7">
              <w:rPr>
                <w:rFonts w:asciiTheme="minorHAnsi" w:hAnsiTheme="minorHAnsi" w:cstheme="minorHAnsi"/>
                <w:b/>
                <w:bCs w:val="0"/>
                <w:sz w:val="21"/>
                <w:szCs w:val="21"/>
              </w:rPr>
              <w:t>Education practices</w:t>
            </w:r>
            <w:bookmarkEnd w:id="79"/>
          </w:p>
        </w:tc>
        <w:tc>
          <w:tcPr>
            <w:tcW w:w="613" w:type="pct"/>
          </w:tcPr>
          <w:p w14:paraId="45C52691"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 xml:space="preserve">By 2031, </w:t>
            </w:r>
            <w:r w:rsidRPr="009A73E2">
              <w:rPr>
                <w:rFonts w:asciiTheme="minorHAnsi" w:hAnsiTheme="minorHAnsi" w:cstheme="minorHAnsi"/>
                <w:sz w:val="21"/>
                <w:szCs w:val="21"/>
              </w:rPr>
              <w:t xml:space="preserve">teachers and leaders of schools and madrasah in targeted districts demonstrate inclusive practices that result in </w:t>
            </w:r>
            <w:r w:rsidRPr="009A73E2">
              <w:rPr>
                <w:rFonts w:asciiTheme="minorHAnsi" w:hAnsiTheme="minorHAnsi" w:cstheme="minorHAnsi"/>
                <w:sz w:val="21"/>
                <w:szCs w:val="21"/>
              </w:rPr>
              <w:lastRenderedPageBreak/>
              <w:t>improved foundational skills for all primary students, including children with disabilities</w:t>
            </w:r>
            <w:r>
              <w:rPr>
                <w:rFonts w:asciiTheme="minorHAnsi" w:hAnsiTheme="minorHAnsi" w:cstheme="minorHAnsi"/>
                <w:sz w:val="21"/>
                <w:szCs w:val="21"/>
              </w:rPr>
              <w:t>.</w:t>
            </w:r>
          </w:p>
        </w:tc>
        <w:tc>
          <w:tcPr>
            <w:tcW w:w="639" w:type="pct"/>
          </w:tcPr>
          <w:p w14:paraId="37655939"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1"/>
                <w:szCs w:val="21"/>
                <w:lang w:eastAsia="en-US"/>
              </w:rPr>
            </w:pPr>
            <w:r w:rsidRPr="00F4392E">
              <w:rPr>
                <w:rFonts w:asciiTheme="minorHAnsi" w:eastAsia="Calibri" w:hAnsiTheme="minorHAnsi" w:cstheme="minorHAnsi"/>
                <w:sz w:val="21"/>
                <w:szCs w:val="21"/>
                <w:lang w:eastAsia="en-US"/>
              </w:rPr>
              <w:lastRenderedPageBreak/>
              <w:t>% teachers and principals demonstrating inclusive practices in schools and classrooms in target districts</w:t>
            </w:r>
            <w:r>
              <w:rPr>
                <w:rFonts w:asciiTheme="minorHAnsi" w:eastAsia="Calibri" w:hAnsiTheme="minorHAnsi" w:cstheme="minorHAnsi"/>
                <w:sz w:val="21"/>
                <w:szCs w:val="21"/>
                <w:lang w:eastAsia="en-US"/>
              </w:rPr>
              <w:t>.</w:t>
            </w:r>
          </w:p>
          <w:p w14:paraId="461CC3A9"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 xml:space="preserve">Improved student learning </w:t>
            </w:r>
            <w:r w:rsidRPr="00F4392E">
              <w:rPr>
                <w:rFonts w:asciiTheme="minorHAnsi" w:hAnsiTheme="minorHAnsi" w:cstheme="minorHAnsi"/>
                <w:sz w:val="21"/>
                <w:szCs w:val="21"/>
              </w:rPr>
              <w:lastRenderedPageBreak/>
              <w:t>outcomes scores in target districts, disaggregated by various factors of disadvantage/ inequity, specifically of children with a disability</w:t>
            </w:r>
            <w:r>
              <w:rPr>
                <w:rFonts w:asciiTheme="minorHAnsi" w:hAnsiTheme="minorHAnsi" w:cstheme="minorHAnsi"/>
                <w:sz w:val="21"/>
                <w:szCs w:val="21"/>
              </w:rPr>
              <w:t>.</w:t>
            </w:r>
            <w:r w:rsidRPr="00F4392E">
              <w:rPr>
                <w:rFonts w:asciiTheme="minorHAnsi" w:hAnsiTheme="minorHAnsi" w:cstheme="minorHAnsi"/>
                <w:sz w:val="21"/>
                <w:szCs w:val="21"/>
              </w:rPr>
              <w:t xml:space="preserve"> </w:t>
            </w:r>
          </w:p>
        </w:tc>
        <w:tc>
          <w:tcPr>
            <w:tcW w:w="589" w:type="pct"/>
          </w:tcPr>
          <w:p w14:paraId="588B1012"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lastRenderedPageBreak/>
              <w:t>Purposive longitudinal evaluation study (baseline and endline) in target districts, methods to be designed</w:t>
            </w:r>
            <w:r>
              <w:rPr>
                <w:rFonts w:asciiTheme="minorHAnsi" w:hAnsiTheme="minorHAnsi" w:cstheme="minorHAnsi"/>
                <w:color w:val="auto"/>
                <w:sz w:val="21"/>
                <w:szCs w:val="21"/>
              </w:rPr>
              <w:t>.</w:t>
            </w:r>
          </w:p>
          <w:p w14:paraId="69F46F08"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lang w:eastAsia="en-GB"/>
              </w:rPr>
            </w:pPr>
            <w:r w:rsidRPr="00F4392E">
              <w:rPr>
                <w:rFonts w:asciiTheme="minorHAnsi" w:hAnsiTheme="minorHAnsi" w:cstheme="minorHAnsi"/>
                <w:color w:val="auto"/>
                <w:sz w:val="21"/>
                <w:szCs w:val="21"/>
                <w:lang w:eastAsia="en-GB"/>
              </w:rPr>
              <w:t>National</w:t>
            </w:r>
            <w:r>
              <w:rPr>
                <w:rFonts w:asciiTheme="minorHAnsi" w:hAnsiTheme="minorHAnsi" w:cstheme="minorHAnsi"/>
                <w:color w:val="auto"/>
                <w:sz w:val="21"/>
                <w:szCs w:val="21"/>
                <w:lang w:eastAsia="en-GB"/>
              </w:rPr>
              <w:t xml:space="preserve"> </w:t>
            </w:r>
            <w:r w:rsidRPr="00F4392E">
              <w:rPr>
                <w:rFonts w:asciiTheme="minorHAnsi" w:hAnsiTheme="minorHAnsi" w:cstheme="minorHAnsi"/>
                <w:color w:val="auto"/>
                <w:sz w:val="21"/>
                <w:szCs w:val="21"/>
                <w:lang w:eastAsia="en-GB"/>
              </w:rPr>
              <w:t xml:space="preserve">assessment </w:t>
            </w:r>
            <w:r w:rsidRPr="00F4392E">
              <w:rPr>
                <w:rFonts w:asciiTheme="minorHAnsi" w:hAnsiTheme="minorHAnsi" w:cstheme="minorHAnsi"/>
                <w:color w:val="auto"/>
                <w:sz w:val="21"/>
                <w:szCs w:val="21"/>
                <w:lang w:eastAsia="en-GB"/>
              </w:rPr>
              <w:lastRenderedPageBreak/>
              <w:t>(</w:t>
            </w:r>
            <w:r>
              <w:rPr>
                <w:rFonts w:asciiTheme="minorHAnsi" w:hAnsiTheme="minorHAnsi" w:cstheme="minorHAnsi"/>
                <w:color w:val="auto"/>
                <w:sz w:val="21"/>
                <w:szCs w:val="21"/>
                <w:lang w:eastAsia="en-GB"/>
              </w:rPr>
              <w:t xml:space="preserve">AKM and school surveys, </w:t>
            </w:r>
            <w:r w:rsidRPr="00F4392E">
              <w:rPr>
                <w:rFonts w:asciiTheme="minorHAnsi" w:hAnsiTheme="minorHAnsi" w:cstheme="minorHAnsi"/>
                <w:color w:val="auto"/>
                <w:sz w:val="21"/>
                <w:szCs w:val="21"/>
                <w:lang w:eastAsia="en-GB"/>
              </w:rPr>
              <w:t>including measures of student foundational skills)</w:t>
            </w:r>
            <w:r>
              <w:rPr>
                <w:rFonts w:asciiTheme="minorHAnsi" w:hAnsiTheme="minorHAnsi" w:cstheme="minorHAnsi"/>
                <w:color w:val="auto"/>
                <w:sz w:val="21"/>
                <w:szCs w:val="21"/>
                <w:lang w:eastAsia="en-GB"/>
              </w:rPr>
              <w:t>.</w:t>
            </w:r>
          </w:p>
          <w:p w14:paraId="615486B5"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p>
        </w:tc>
        <w:tc>
          <w:tcPr>
            <w:tcW w:w="673" w:type="pct"/>
          </w:tcPr>
          <w:p w14:paraId="02C0B0D0" w14:textId="77777777" w:rsidR="002E2FE4"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F4392E">
              <w:rPr>
                <w:rFonts w:asciiTheme="minorHAnsi" w:hAnsiTheme="minorHAnsi" w:cstheme="minorHAnsi"/>
                <w:bCs/>
                <w:sz w:val="21"/>
                <w:szCs w:val="21"/>
              </w:rPr>
              <w:lastRenderedPageBreak/>
              <w:t>Limited data/ evaluation of teacher and principal performance and limited reliability</w:t>
            </w:r>
            <w:r>
              <w:rPr>
                <w:rFonts w:asciiTheme="minorHAnsi" w:hAnsiTheme="minorHAnsi" w:cstheme="minorHAnsi"/>
                <w:bCs/>
                <w:sz w:val="21"/>
                <w:szCs w:val="21"/>
              </w:rPr>
              <w:t>.</w:t>
            </w:r>
          </w:p>
          <w:p w14:paraId="354BD3FC"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As above.</w:t>
            </w:r>
            <w:r w:rsidRPr="00F4392E">
              <w:rPr>
                <w:rFonts w:asciiTheme="minorHAnsi" w:hAnsiTheme="minorHAnsi" w:cstheme="minorHAnsi"/>
                <w:bCs/>
                <w:sz w:val="21"/>
                <w:szCs w:val="21"/>
              </w:rPr>
              <w:t xml:space="preserve"> </w:t>
            </w:r>
          </w:p>
        </w:tc>
        <w:tc>
          <w:tcPr>
            <w:tcW w:w="527" w:type="pct"/>
          </w:tcPr>
          <w:p w14:paraId="39103BC6"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MEL team/ Provincial Teams</w:t>
            </w:r>
            <w:r>
              <w:rPr>
                <w:rFonts w:asciiTheme="minorHAnsi" w:hAnsiTheme="minorHAnsi" w:cstheme="minorHAnsi"/>
                <w:sz w:val="21"/>
                <w:szCs w:val="21"/>
              </w:rPr>
              <w:t>.</w:t>
            </w:r>
          </w:p>
          <w:p w14:paraId="3ED1E183"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eastAsia="Calibri" w:hAnsiTheme="minorHAnsi" w:cstheme="minorHAnsi"/>
                <w:sz w:val="21"/>
                <w:szCs w:val="21"/>
                <w:lang w:eastAsia="en-US"/>
              </w:rPr>
              <w:t>Annual a</w:t>
            </w:r>
            <w:r w:rsidRPr="00F4392E">
              <w:rPr>
                <w:rFonts w:asciiTheme="minorHAnsi" w:eastAsia="Calibri" w:hAnsiTheme="minorHAnsi" w:cstheme="minorHAnsi"/>
                <w:sz w:val="21"/>
                <w:szCs w:val="21"/>
                <w:lang w:eastAsia="en-US"/>
              </w:rPr>
              <w:t>ssessment and reflection</w:t>
            </w:r>
            <w:r>
              <w:rPr>
                <w:rFonts w:asciiTheme="minorHAnsi" w:eastAsia="Calibri" w:hAnsiTheme="minorHAnsi" w:cstheme="minorHAnsi"/>
                <w:sz w:val="21"/>
                <w:szCs w:val="21"/>
                <w:lang w:eastAsia="en-US"/>
              </w:rPr>
              <w:t>.</w:t>
            </w:r>
            <w:r w:rsidRPr="00F4392E">
              <w:rPr>
                <w:rFonts w:asciiTheme="minorHAnsi" w:eastAsia="Calibri" w:hAnsiTheme="minorHAnsi" w:cstheme="minorHAnsi"/>
                <w:sz w:val="21"/>
                <w:szCs w:val="21"/>
                <w:lang w:eastAsia="en-US"/>
              </w:rPr>
              <w:t xml:space="preserve"> </w:t>
            </w:r>
          </w:p>
        </w:tc>
        <w:tc>
          <w:tcPr>
            <w:tcW w:w="405" w:type="pct"/>
          </w:tcPr>
          <w:p w14:paraId="14C53C7A"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bCs/>
                <w:sz w:val="21"/>
                <w:szCs w:val="21"/>
              </w:rPr>
              <w:t>TBD</w:t>
            </w:r>
          </w:p>
        </w:tc>
        <w:tc>
          <w:tcPr>
            <w:tcW w:w="362" w:type="pct"/>
          </w:tcPr>
          <w:p w14:paraId="6DADDEA6"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bCs/>
                <w:sz w:val="21"/>
                <w:szCs w:val="21"/>
              </w:rPr>
              <w:t>TBD</w:t>
            </w:r>
          </w:p>
        </w:tc>
        <w:tc>
          <w:tcPr>
            <w:tcW w:w="680" w:type="pct"/>
          </w:tcPr>
          <w:p w14:paraId="42436756" w14:textId="77777777" w:rsidR="002E2FE4"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 xml:space="preserve">Evidence to </w:t>
            </w:r>
            <w:proofErr w:type="gramStart"/>
            <w:r w:rsidRPr="00F4392E">
              <w:rPr>
                <w:rFonts w:asciiTheme="minorHAnsi" w:hAnsiTheme="minorHAnsi" w:cstheme="minorHAnsi"/>
                <w:color w:val="auto"/>
                <w:sz w:val="21"/>
                <w:szCs w:val="21"/>
              </w:rPr>
              <w:t>show</w:t>
            </w:r>
            <w:proofErr w:type="gramEnd"/>
            <w:r w:rsidRPr="00F4392E">
              <w:rPr>
                <w:rFonts w:asciiTheme="minorHAnsi" w:hAnsiTheme="minorHAnsi" w:cstheme="minorHAnsi"/>
                <w:color w:val="auto"/>
                <w:sz w:val="21"/>
                <w:szCs w:val="21"/>
              </w:rPr>
              <w:t xml:space="preserve"> </w:t>
            </w:r>
          </w:p>
          <w:p w14:paraId="2EE030C6" w14:textId="77777777" w:rsidR="002E2FE4" w:rsidRPr="00F4392E" w:rsidRDefault="002E2FE4" w:rsidP="008D1844">
            <w:pPr>
              <w:pStyle w:val="BodyTextHanging"/>
              <w:numPr>
                <w:ilvl w:val="0"/>
                <w:numId w:val="38"/>
              </w:numPr>
              <w:suppressAutoHyphens/>
              <w:spacing w:before="60" w:after="60"/>
              <w:ind w:left="122" w:hanging="12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extent to which new curriculum, teaching and learning approaches are working (or not), and why</w:t>
            </w:r>
            <w:r>
              <w:rPr>
                <w:rFonts w:asciiTheme="minorHAnsi" w:hAnsiTheme="minorHAnsi" w:cstheme="minorHAnsi"/>
                <w:color w:val="auto"/>
                <w:sz w:val="21"/>
                <w:szCs w:val="21"/>
              </w:rPr>
              <w:t>.</w:t>
            </w:r>
          </w:p>
          <w:p w14:paraId="69BBF04C" w14:textId="77777777" w:rsidR="002E2FE4" w:rsidRDefault="002E2FE4" w:rsidP="008D1844">
            <w:pPr>
              <w:pStyle w:val="BodyTextHanging"/>
              <w:numPr>
                <w:ilvl w:val="0"/>
                <w:numId w:val="38"/>
              </w:numPr>
              <w:suppressAutoHyphens/>
              <w:spacing w:before="60" w:after="60"/>
              <w:ind w:left="122" w:hanging="12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 xml:space="preserve">effectiveness of district </w:t>
            </w:r>
            <w:r w:rsidRPr="00F4392E">
              <w:rPr>
                <w:rFonts w:asciiTheme="minorHAnsi" w:hAnsiTheme="minorHAnsi" w:cstheme="minorHAnsi"/>
                <w:color w:val="auto"/>
                <w:sz w:val="21"/>
                <w:szCs w:val="21"/>
              </w:rPr>
              <w:lastRenderedPageBreak/>
              <w:t>ecosystemic approach</w:t>
            </w:r>
            <w:r>
              <w:rPr>
                <w:rFonts w:asciiTheme="minorHAnsi" w:hAnsiTheme="minorHAnsi" w:cstheme="minorHAnsi"/>
                <w:color w:val="auto"/>
                <w:sz w:val="21"/>
                <w:szCs w:val="21"/>
              </w:rPr>
              <w:t>.</w:t>
            </w:r>
          </w:p>
          <w:p w14:paraId="69FE81AD" w14:textId="77777777" w:rsidR="002E2FE4" w:rsidRPr="00F4392E" w:rsidRDefault="002E2FE4" w:rsidP="008D1844">
            <w:pPr>
              <w:pStyle w:val="BodyTextHanging"/>
              <w:numPr>
                <w:ilvl w:val="0"/>
                <w:numId w:val="38"/>
              </w:numPr>
              <w:suppressAutoHyphens/>
              <w:spacing w:before="60" w:after="60"/>
              <w:ind w:left="122" w:hanging="12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Pr>
                <w:rFonts w:asciiTheme="minorHAnsi" w:hAnsiTheme="minorHAnsi" w:cstheme="minorHAnsi"/>
                <w:color w:val="auto"/>
                <w:sz w:val="21"/>
                <w:szCs w:val="21"/>
              </w:rPr>
              <w:t>effectiveness of disability ID tools</w:t>
            </w:r>
          </w:p>
          <w:p w14:paraId="63C1C388" w14:textId="77777777" w:rsidR="002E2FE4" w:rsidRPr="00F4392E" w:rsidRDefault="002E2FE4" w:rsidP="008D1844">
            <w:pPr>
              <w:pStyle w:val="BodyTextHanging"/>
              <w:numPr>
                <w:ilvl w:val="0"/>
                <w:numId w:val="38"/>
              </w:numPr>
              <w:suppressAutoHyphens/>
              <w:spacing w:before="60" w:after="60"/>
              <w:ind w:left="122" w:hanging="12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potential for scale-up the approach</w:t>
            </w:r>
            <w:r>
              <w:rPr>
                <w:rFonts w:asciiTheme="minorHAnsi" w:hAnsiTheme="minorHAnsi" w:cstheme="minorHAnsi"/>
                <w:color w:val="auto"/>
                <w:sz w:val="21"/>
                <w:szCs w:val="21"/>
              </w:rPr>
              <w:t>.</w:t>
            </w:r>
          </w:p>
        </w:tc>
      </w:tr>
      <w:tr w:rsidR="007A2D0B" w:rsidRPr="00F4392E" w14:paraId="6AE4FFB2" w14:textId="77777777" w:rsidTr="00265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Borders>
              <w:bottom w:val="single" w:sz="4" w:space="0" w:color="auto"/>
            </w:tcBorders>
            <w:shd w:val="clear" w:color="auto" w:fill="008080"/>
          </w:tcPr>
          <w:p w14:paraId="41ECCD98" w14:textId="77777777" w:rsidR="002E2FE4" w:rsidRPr="000313D7" w:rsidRDefault="002E2FE4" w:rsidP="00D96358">
            <w:pPr>
              <w:pStyle w:val="Tablecolumnheading"/>
              <w:spacing w:before="60" w:after="60" w:line="240" w:lineRule="auto"/>
              <w:jc w:val="left"/>
              <w:rPr>
                <w:rFonts w:asciiTheme="minorHAnsi" w:hAnsiTheme="minorHAnsi" w:cstheme="minorHAnsi"/>
                <w:b/>
                <w:bCs w:val="0"/>
                <w:sz w:val="21"/>
                <w:szCs w:val="21"/>
              </w:rPr>
            </w:pPr>
            <w:bookmarkStart w:id="80" w:name="RowTitle_IO1"/>
            <w:r w:rsidRPr="000313D7">
              <w:rPr>
                <w:rFonts w:asciiTheme="minorHAnsi" w:hAnsiTheme="minorHAnsi" w:cstheme="minorHAnsi"/>
                <w:b/>
                <w:bCs w:val="0"/>
                <w:sz w:val="21"/>
                <w:szCs w:val="21"/>
              </w:rPr>
              <w:lastRenderedPageBreak/>
              <w:t>IO1</w:t>
            </w:r>
          </w:p>
          <w:p w14:paraId="34981437" w14:textId="77777777" w:rsidR="002E2FE4" w:rsidRPr="00F4392E" w:rsidRDefault="002E2FE4" w:rsidP="00D96358">
            <w:pPr>
              <w:pStyle w:val="Tablecolumnheading"/>
              <w:spacing w:before="60" w:after="60" w:line="240" w:lineRule="auto"/>
              <w:jc w:val="left"/>
              <w:rPr>
                <w:rFonts w:asciiTheme="minorHAnsi" w:hAnsiTheme="minorHAnsi" w:cstheme="minorHAnsi"/>
                <w:color w:val="auto"/>
                <w:sz w:val="21"/>
                <w:szCs w:val="21"/>
              </w:rPr>
            </w:pPr>
            <w:r w:rsidRPr="000313D7">
              <w:rPr>
                <w:rFonts w:asciiTheme="minorHAnsi" w:hAnsiTheme="minorHAnsi" w:cstheme="minorHAnsi"/>
                <w:b/>
                <w:bCs w:val="0"/>
                <w:sz w:val="21"/>
                <w:szCs w:val="21"/>
              </w:rPr>
              <w:t>Curriculum and Assessment</w:t>
            </w:r>
            <w:bookmarkEnd w:id="80"/>
          </w:p>
        </w:tc>
        <w:tc>
          <w:tcPr>
            <w:tcW w:w="613" w:type="pct"/>
            <w:tcBorders>
              <w:bottom w:val="single" w:sz="4" w:space="0" w:color="auto"/>
            </w:tcBorders>
          </w:tcPr>
          <w:p w14:paraId="494C4D35"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A73E2">
              <w:rPr>
                <w:rFonts w:asciiTheme="minorHAnsi" w:hAnsiTheme="minorHAnsi" w:cstheme="minorHAnsi"/>
                <w:sz w:val="21"/>
                <w:szCs w:val="21"/>
              </w:rPr>
              <w:t>Improved policies, systems, and practices for inclusive primary curriculum, learning materials and assessment for foundational skills at national and sub-national level</w:t>
            </w:r>
            <w:r>
              <w:rPr>
                <w:rFonts w:asciiTheme="minorHAnsi" w:hAnsiTheme="minorHAnsi" w:cstheme="minorHAnsi"/>
                <w:sz w:val="21"/>
                <w:szCs w:val="21"/>
              </w:rPr>
              <w:t>.</w:t>
            </w:r>
          </w:p>
        </w:tc>
        <w:tc>
          <w:tcPr>
            <w:tcW w:w="639" w:type="pct"/>
            <w:tcBorders>
              <w:bottom w:val="single" w:sz="4" w:space="0" w:color="auto"/>
            </w:tcBorders>
          </w:tcPr>
          <w:p w14:paraId="0F3AD22F"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1"/>
                <w:szCs w:val="21"/>
                <w:lang w:eastAsia="en-US"/>
              </w:rPr>
            </w:pPr>
            <w:r w:rsidRPr="00F4392E">
              <w:rPr>
                <w:rFonts w:asciiTheme="minorHAnsi" w:eastAsia="Calibri" w:hAnsiTheme="minorHAnsi" w:cstheme="minorHAnsi"/>
                <w:sz w:val="21"/>
                <w:szCs w:val="21"/>
                <w:lang w:eastAsia="en-US"/>
              </w:rPr>
              <w:t>Evidence that partner agencies and districts have improved their policy, systems</w:t>
            </w:r>
            <w:r>
              <w:rPr>
                <w:rFonts w:asciiTheme="minorHAnsi" w:eastAsia="Calibri" w:hAnsiTheme="minorHAnsi" w:cstheme="minorHAnsi"/>
                <w:sz w:val="21"/>
                <w:szCs w:val="21"/>
                <w:lang w:eastAsia="en-US"/>
              </w:rPr>
              <w:t>, budget allocations</w:t>
            </w:r>
            <w:r w:rsidRPr="00F4392E">
              <w:rPr>
                <w:rFonts w:asciiTheme="minorHAnsi" w:eastAsia="Calibri" w:hAnsiTheme="minorHAnsi" w:cstheme="minorHAnsi"/>
                <w:sz w:val="21"/>
                <w:szCs w:val="21"/>
                <w:lang w:eastAsia="en-US"/>
              </w:rPr>
              <w:t xml:space="preserve"> and practices for primary curriculum &amp; assessment</w:t>
            </w:r>
            <w:r>
              <w:rPr>
                <w:rFonts w:asciiTheme="minorHAnsi" w:eastAsia="Calibri" w:hAnsiTheme="minorHAnsi" w:cstheme="minorHAnsi"/>
                <w:sz w:val="21"/>
                <w:szCs w:val="21"/>
                <w:lang w:eastAsia="en-US"/>
              </w:rPr>
              <w:t>.</w:t>
            </w:r>
          </w:p>
          <w:p w14:paraId="5E9E0613"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1"/>
                <w:szCs w:val="21"/>
                <w:lang w:eastAsia="en-US"/>
              </w:rPr>
            </w:pPr>
            <w:r w:rsidRPr="00F4392E">
              <w:rPr>
                <w:rFonts w:asciiTheme="minorHAnsi" w:eastAsia="Calibri" w:hAnsiTheme="minorHAnsi" w:cstheme="minorHAnsi"/>
                <w:sz w:val="21"/>
                <w:szCs w:val="21"/>
                <w:lang w:eastAsia="en-US"/>
              </w:rPr>
              <w:t xml:space="preserve">% </w:t>
            </w:r>
            <w:r>
              <w:rPr>
                <w:rFonts w:asciiTheme="minorHAnsi" w:eastAsia="Calibri" w:hAnsiTheme="minorHAnsi" w:cstheme="minorHAnsi"/>
                <w:sz w:val="21"/>
                <w:szCs w:val="21"/>
                <w:lang w:eastAsia="en-US"/>
              </w:rPr>
              <w:t xml:space="preserve">of </w:t>
            </w:r>
            <w:r w:rsidRPr="00F4392E">
              <w:rPr>
                <w:rFonts w:asciiTheme="minorHAnsi" w:eastAsia="Calibri" w:hAnsiTheme="minorHAnsi" w:cstheme="minorHAnsi"/>
                <w:sz w:val="21"/>
                <w:szCs w:val="21"/>
                <w:lang w:eastAsia="en-US"/>
              </w:rPr>
              <w:t>schools and madrasah in target districts that plan and implement the new primary curriculum and assess students’ performance on it</w:t>
            </w:r>
            <w:r>
              <w:rPr>
                <w:rFonts w:asciiTheme="minorHAnsi" w:eastAsia="Calibri" w:hAnsiTheme="minorHAnsi" w:cstheme="minorHAnsi"/>
                <w:sz w:val="21"/>
                <w:szCs w:val="21"/>
                <w:lang w:eastAsia="en-US"/>
              </w:rPr>
              <w:t>.</w:t>
            </w:r>
          </w:p>
        </w:tc>
        <w:tc>
          <w:tcPr>
            <w:tcW w:w="589" w:type="pct"/>
            <w:tcBorders>
              <w:bottom w:val="single" w:sz="4" w:space="0" w:color="auto"/>
            </w:tcBorders>
          </w:tcPr>
          <w:p w14:paraId="6F5BFF29" w14:textId="77777777" w:rsidR="002E2FE4"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 xml:space="preserve">Purposive M&amp;E of teaching practices in target districts, including key </w:t>
            </w:r>
            <w:r w:rsidRPr="00F4392E">
              <w:rPr>
                <w:rFonts w:asciiTheme="minorHAnsi" w:hAnsiTheme="minorHAnsi" w:cstheme="minorHAnsi"/>
                <w:bCs/>
                <w:color w:val="auto"/>
                <w:sz w:val="21"/>
                <w:szCs w:val="21"/>
              </w:rPr>
              <w:t>informant interviews, FGDs, case studies, c</w:t>
            </w:r>
            <w:r w:rsidRPr="00F4392E">
              <w:rPr>
                <w:rFonts w:asciiTheme="minorHAnsi" w:hAnsiTheme="minorHAnsi" w:cstheme="minorHAnsi"/>
                <w:color w:val="auto"/>
                <w:sz w:val="21"/>
                <w:szCs w:val="21"/>
              </w:rPr>
              <w:t>ontribution analysis, Impact Log, etc</w:t>
            </w:r>
            <w:r>
              <w:rPr>
                <w:rFonts w:asciiTheme="minorHAnsi" w:hAnsiTheme="minorHAnsi" w:cstheme="minorHAnsi"/>
                <w:color w:val="auto"/>
                <w:sz w:val="21"/>
                <w:szCs w:val="21"/>
              </w:rPr>
              <w:t>.</w:t>
            </w:r>
          </w:p>
          <w:p w14:paraId="3758B631"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1"/>
                <w:szCs w:val="21"/>
              </w:rPr>
            </w:pPr>
            <w:r>
              <w:rPr>
                <w:rFonts w:asciiTheme="minorHAnsi" w:hAnsiTheme="minorHAnsi" w:cstheme="minorHAnsi"/>
                <w:color w:val="auto"/>
                <w:sz w:val="21"/>
                <w:szCs w:val="21"/>
              </w:rPr>
              <w:t>District budgets.</w:t>
            </w:r>
          </w:p>
        </w:tc>
        <w:tc>
          <w:tcPr>
            <w:tcW w:w="673" w:type="pct"/>
            <w:tcBorders>
              <w:bottom w:val="single" w:sz="4" w:space="0" w:color="auto"/>
            </w:tcBorders>
          </w:tcPr>
          <w:p w14:paraId="615237A9"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1"/>
                <w:szCs w:val="21"/>
                <w:lang w:eastAsia="en-US"/>
              </w:rPr>
            </w:pPr>
            <w:r w:rsidRPr="00F4392E">
              <w:rPr>
                <w:rFonts w:asciiTheme="minorHAnsi" w:eastAsia="Calibri" w:hAnsiTheme="minorHAnsi" w:cstheme="minorHAnsi"/>
                <w:sz w:val="21"/>
                <w:szCs w:val="21"/>
                <w:lang w:eastAsia="en-US"/>
              </w:rPr>
              <w:t>Data not recorded on a regular basis</w:t>
            </w:r>
            <w:r>
              <w:rPr>
                <w:rFonts w:asciiTheme="minorHAnsi" w:eastAsia="Calibri" w:hAnsiTheme="minorHAnsi" w:cstheme="minorHAnsi"/>
                <w:sz w:val="21"/>
                <w:szCs w:val="21"/>
                <w:lang w:eastAsia="en-US"/>
              </w:rPr>
              <w:t>.</w:t>
            </w:r>
          </w:p>
          <w:p w14:paraId="2A2E41A3"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eastAsia="Calibri" w:hAnsiTheme="minorHAnsi" w:cstheme="minorHAnsi"/>
                <w:sz w:val="21"/>
                <w:szCs w:val="21"/>
                <w:lang w:eastAsia="en-US"/>
              </w:rPr>
              <w:t>Over-burdening partner agencies for data provision</w:t>
            </w:r>
            <w:r>
              <w:rPr>
                <w:rFonts w:asciiTheme="minorHAnsi" w:eastAsia="Calibri" w:hAnsiTheme="minorHAnsi" w:cstheme="minorHAnsi"/>
                <w:sz w:val="21"/>
                <w:szCs w:val="21"/>
                <w:lang w:eastAsia="en-US"/>
              </w:rPr>
              <w:t>.</w:t>
            </w:r>
          </w:p>
        </w:tc>
        <w:tc>
          <w:tcPr>
            <w:tcW w:w="527" w:type="pct"/>
            <w:tcBorders>
              <w:bottom w:val="single" w:sz="4" w:space="0" w:color="auto"/>
            </w:tcBorders>
          </w:tcPr>
          <w:p w14:paraId="4B98CBA0"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MEL team/ Provincial Teams</w:t>
            </w:r>
            <w:r>
              <w:rPr>
                <w:rFonts w:asciiTheme="minorHAnsi" w:hAnsiTheme="minorHAnsi" w:cstheme="minorHAnsi"/>
                <w:sz w:val="21"/>
                <w:szCs w:val="21"/>
              </w:rPr>
              <w:t>.</w:t>
            </w:r>
          </w:p>
          <w:p w14:paraId="3FC8A8EB"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District ecosystems (Dinas Pendidikan)</w:t>
            </w:r>
            <w:r>
              <w:rPr>
                <w:rFonts w:asciiTheme="minorHAnsi" w:hAnsiTheme="minorHAnsi" w:cstheme="minorHAnsi"/>
                <w:sz w:val="21"/>
                <w:szCs w:val="21"/>
              </w:rPr>
              <w:t>.</w:t>
            </w:r>
          </w:p>
        </w:tc>
        <w:tc>
          <w:tcPr>
            <w:tcW w:w="405" w:type="pct"/>
            <w:tcBorders>
              <w:bottom w:val="single" w:sz="4" w:space="0" w:color="auto"/>
            </w:tcBorders>
          </w:tcPr>
          <w:p w14:paraId="10051983"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bCs/>
                <w:sz w:val="21"/>
                <w:szCs w:val="21"/>
              </w:rPr>
              <w:t>TBD</w:t>
            </w:r>
          </w:p>
        </w:tc>
        <w:tc>
          <w:tcPr>
            <w:tcW w:w="362" w:type="pct"/>
            <w:tcBorders>
              <w:bottom w:val="single" w:sz="4" w:space="0" w:color="auto"/>
            </w:tcBorders>
          </w:tcPr>
          <w:p w14:paraId="2EB07DC6"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bCs/>
                <w:sz w:val="21"/>
                <w:szCs w:val="21"/>
              </w:rPr>
              <w:t>TBD</w:t>
            </w:r>
          </w:p>
        </w:tc>
        <w:tc>
          <w:tcPr>
            <w:tcW w:w="680" w:type="pct"/>
            <w:tcBorders>
              <w:bottom w:val="single" w:sz="4" w:space="0" w:color="auto"/>
            </w:tcBorders>
          </w:tcPr>
          <w:p w14:paraId="43D5DDD6" w14:textId="77777777" w:rsidR="002E2FE4"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 xml:space="preserve">Evidence to </w:t>
            </w:r>
            <w:proofErr w:type="gramStart"/>
            <w:r w:rsidRPr="00F4392E">
              <w:rPr>
                <w:rFonts w:asciiTheme="minorHAnsi" w:hAnsiTheme="minorHAnsi" w:cstheme="minorHAnsi"/>
                <w:sz w:val="21"/>
                <w:szCs w:val="21"/>
              </w:rPr>
              <w:t>show</w:t>
            </w:r>
            <w:proofErr w:type="gramEnd"/>
          </w:p>
          <w:p w14:paraId="7EAC2A76" w14:textId="77777777" w:rsidR="002E2FE4" w:rsidRPr="007F32B5" w:rsidRDefault="002E2FE4" w:rsidP="008D1844">
            <w:pPr>
              <w:pStyle w:val="BodyTextHanging"/>
              <w:numPr>
                <w:ilvl w:val="0"/>
                <w:numId w:val="38"/>
              </w:numPr>
              <w:suppressAutoHyphens/>
              <w:spacing w:before="60" w:after="60"/>
              <w:ind w:left="122" w:hanging="1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sz w:val="21"/>
                <w:szCs w:val="21"/>
              </w:rPr>
              <w:t xml:space="preserve">contribution of </w:t>
            </w:r>
            <w:r w:rsidRPr="007F32B5">
              <w:rPr>
                <w:rFonts w:asciiTheme="minorHAnsi" w:hAnsiTheme="minorHAnsi" w:cstheme="minorHAnsi"/>
                <w:color w:val="auto"/>
                <w:sz w:val="21"/>
                <w:szCs w:val="21"/>
              </w:rPr>
              <w:t>INOVASI activities to EOPOs</w:t>
            </w:r>
            <w:r>
              <w:rPr>
                <w:rFonts w:asciiTheme="minorHAnsi" w:hAnsiTheme="minorHAnsi" w:cstheme="minorHAnsi"/>
                <w:color w:val="auto"/>
                <w:sz w:val="21"/>
                <w:szCs w:val="21"/>
              </w:rPr>
              <w:t>.</w:t>
            </w:r>
          </w:p>
          <w:p w14:paraId="2DE5FB43" w14:textId="77777777" w:rsidR="002E2FE4" w:rsidRPr="00F4392E" w:rsidRDefault="002E2FE4" w:rsidP="008D1844">
            <w:pPr>
              <w:pStyle w:val="BodyTextHanging"/>
              <w:numPr>
                <w:ilvl w:val="0"/>
                <w:numId w:val="38"/>
              </w:numPr>
              <w:suppressAutoHyphens/>
              <w:spacing w:before="60" w:after="60"/>
              <w:ind w:left="122" w:hanging="1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F32B5">
              <w:rPr>
                <w:rFonts w:asciiTheme="minorHAnsi" w:hAnsiTheme="minorHAnsi" w:cstheme="minorHAnsi"/>
                <w:color w:val="auto"/>
                <w:sz w:val="21"/>
                <w:szCs w:val="21"/>
              </w:rPr>
              <w:t>progress</w:t>
            </w:r>
            <w:r w:rsidRPr="00F4392E">
              <w:rPr>
                <w:rFonts w:asciiTheme="minorHAnsi" w:hAnsiTheme="minorHAnsi" w:cstheme="minorHAnsi"/>
                <w:sz w:val="21"/>
                <w:szCs w:val="21"/>
              </w:rPr>
              <w:t xml:space="preserve"> towards attainment of EOPO 1</w:t>
            </w:r>
            <w:r>
              <w:rPr>
                <w:rFonts w:asciiTheme="minorHAnsi" w:hAnsiTheme="minorHAnsi" w:cstheme="minorHAnsi"/>
                <w:sz w:val="21"/>
                <w:szCs w:val="21"/>
              </w:rPr>
              <w:t>.</w:t>
            </w:r>
          </w:p>
        </w:tc>
      </w:tr>
      <w:tr w:rsidR="007A2D0B" w:rsidRPr="00F4392E" w14:paraId="5EFE6312" w14:textId="77777777" w:rsidTr="00265C24">
        <w:tc>
          <w:tcPr>
            <w:cnfStyle w:val="001000000000" w:firstRow="0" w:lastRow="0" w:firstColumn="1" w:lastColumn="0" w:oddVBand="0" w:evenVBand="0" w:oddHBand="0" w:evenHBand="0" w:firstRowFirstColumn="0" w:firstRowLastColumn="0" w:lastRowFirstColumn="0" w:lastRowLastColumn="0"/>
            <w:tcW w:w="512" w:type="pct"/>
            <w:tcBorders>
              <w:left w:val="single" w:sz="4" w:space="0" w:color="auto"/>
            </w:tcBorders>
            <w:shd w:val="clear" w:color="auto" w:fill="008080"/>
          </w:tcPr>
          <w:p w14:paraId="6E323F01" w14:textId="77777777" w:rsidR="002E2FE4" w:rsidRPr="003D2433" w:rsidRDefault="002E2FE4" w:rsidP="00D96358">
            <w:pPr>
              <w:pStyle w:val="Tablecolumnheading"/>
              <w:spacing w:before="60" w:after="60" w:line="240" w:lineRule="auto"/>
              <w:jc w:val="left"/>
              <w:rPr>
                <w:rFonts w:asciiTheme="minorHAnsi" w:hAnsiTheme="minorHAnsi" w:cstheme="minorHAnsi"/>
                <w:b/>
                <w:bCs w:val="0"/>
                <w:sz w:val="21"/>
                <w:szCs w:val="21"/>
              </w:rPr>
            </w:pPr>
            <w:bookmarkStart w:id="81" w:name="RowTitle_IO2"/>
            <w:r w:rsidRPr="003D2433">
              <w:rPr>
                <w:rFonts w:asciiTheme="minorHAnsi" w:hAnsiTheme="minorHAnsi" w:cstheme="minorHAnsi"/>
                <w:b/>
                <w:bCs w:val="0"/>
                <w:sz w:val="21"/>
                <w:szCs w:val="21"/>
              </w:rPr>
              <w:lastRenderedPageBreak/>
              <w:t>IO2</w:t>
            </w:r>
          </w:p>
          <w:p w14:paraId="18A80692" w14:textId="77777777" w:rsidR="002E2FE4" w:rsidRPr="003D2433" w:rsidRDefault="002E2FE4" w:rsidP="00D96358">
            <w:pPr>
              <w:pStyle w:val="Tablecolumnheading"/>
              <w:spacing w:before="60" w:after="60" w:line="240" w:lineRule="auto"/>
              <w:jc w:val="left"/>
              <w:rPr>
                <w:rFonts w:asciiTheme="minorHAnsi" w:hAnsiTheme="minorHAnsi" w:cstheme="minorHAnsi"/>
                <w:sz w:val="21"/>
                <w:szCs w:val="21"/>
              </w:rPr>
            </w:pPr>
            <w:r w:rsidRPr="003D2433">
              <w:rPr>
                <w:rFonts w:asciiTheme="minorHAnsi" w:hAnsiTheme="minorHAnsi" w:cstheme="minorHAnsi"/>
                <w:b/>
                <w:bCs w:val="0"/>
                <w:sz w:val="21"/>
                <w:szCs w:val="21"/>
              </w:rPr>
              <w:t>Teaching practices</w:t>
            </w:r>
            <w:bookmarkEnd w:id="81"/>
          </w:p>
        </w:tc>
        <w:tc>
          <w:tcPr>
            <w:tcW w:w="613" w:type="pct"/>
          </w:tcPr>
          <w:p w14:paraId="0110D69A" w14:textId="77777777" w:rsidR="002E2FE4" w:rsidRPr="009A73E2"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A73E2">
              <w:rPr>
                <w:rFonts w:asciiTheme="minorHAnsi" w:hAnsiTheme="minorHAnsi" w:cstheme="minorHAnsi"/>
                <w:sz w:val="21"/>
                <w:szCs w:val="21"/>
              </w:rPr>
              <w:t>Improved policies, systems, and practices for inclusive teaching of foundational skills in targeted districts</w:t>
            </w:r>
            <w:r>
              <w:rPr>
                <w:rFonts w:asciiTheme="minorHAnsi" w:hAnsiTheme="minorHAnsi" w:cstheme="minorHAnsi"/>
                <w:sz w:val="21"/>
                <w:szCs w:val="21"/>
              </w:rPr>
              <w:t>.</w:t>
            </w:r>
          </w:p>
          <w:p w14:paraId="7E0570F6"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639" w:type="pct"/>
          </w:tcPr>
          <w:p w14:paraId="31CB9537"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eastAsia="Calibri" w:hAnsiTheme="minorHAnsi" w:cstheme="minorHAnsi"/>
                <w:sz w:val="21"/>
                <w:szCs w:val="21"/>
                <w:lang w:eastAsia="en-US"/>
              </w:rPr>
              <w:t xml:space="preserve">Evidence that </w:t>
            </w:r>
            <w:r w:rsidRPr="00F4392E">
              <w:rPr>
                <w:rFonts w:asciiTheme="minorHAnsi" w:hAnsiTheme="minorHAnsi" w:cstheme="minorHAnsi"/>
                <w:sz w:val="21"/>
                <w:szCs w:val="21"/>
              </w:rPr>
              <w:t xml:space="preserve">inclusive teaching practices </w:t>
            </w:r>
            <w:r w:rsidRPr="00F4392E">
              <w:rPr>
                <w:rFonts w:asciiTheme="minorHAnsi" w:eastAsia="Calibri" w:hAnsiTheme="minorHAnsi" w:cstheme="minorHAnsi"/>
                <w:sz w:val="21"/>
                <w:szCs w:val="21"/>
                <w:lang w:eastAsia="en-US"/>
              </w:rPr>
              <w:t>have improved in target districts</w:t>
            </w:r>
            <w:r>
              <w:rPr>
                <w:rFonts w:asciiTheme="minorHAnsi" w:eastAsia="Calibri" w:hAnsiTheme="minorHAnsi" w:cstheme="minorHAnsi"/>
                <w:sz w:val="21"/>
                <w:szCs w:val="21"/>
                <w:lang w:eastAsia="en-US"/>
              </w:rPr>
              <w:t>.</w:t>
            </w:r>
          </w:p>
          <w:p w14:paraId="6A282A22" w14:textId="77777777" w:rsidR="002E2FE4"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1"/>
                <w:szCs w:val="21"/>
                <w:lang w:eastAsia="en-US"/>
              </w:rPr>
            </w:pPr>
            <w:r w:rsidRPr="00F4392E">
              <w:rPr>
                <w:rFonts w:asciiTheme="minorHAnsi" w:eastAsia="Calibri" w:hAnsiTheme="minorHAnsi" w:cstheme="minorHAnsi"/>
                <w:sz w:val="21"/>
                <w:szCs w:val="21"/>
                <w:lang w:eastAsia="en-US"/>
              </w:rPr>
              <w:t>% schools and madrasah in target districts that implement new pedagogical approaches</w:t>
            </w:r>
            <w:r>
              <w:rPr>
                <w:rFonts w:asciiTheme="minorHAnsi" w:eastAsia="Calibri" w:hAnsiTheme="minorHAnsi" w:cstheme="minorHAnsi"/>
                <w:sz w:val="21"/>
                <w:szCs w:val="21"/>
                <w:lang w:eastAsia="en-US"/>
              </w:rPr>
              <w:t>.</w:t>
            </w:r>
          </w:p>
          <w:p w14:paraId="21E53B50"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Districts are investing in improved teaching practice.</w:t>
            </w:r>
          </w:p>
        </w:tc>
        <w:tc>
          <w:tcPr>
            <w:tcW w:w="589" w:type="pct"/>
          </w:tcPr>
          <w:p w14:paraId="7221212F" w14:textId="77777777" w:rsidR="002E2FE4"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 xml:space="preserve">Purposive M&amp;E of teaching practices in target districts, including classroom observations key </w:t>
            </w:r>
            <w:r w:rsidRPr="00F4392E">
              <w:rPr>
                <w:rFonts w:asciiTheme="minorHAnsi" w:hAnsiTheme="minorHAnsi" w:cstheme="minorHAnsi"/>
                <w:bCs/>
                <w:color w:val="auto"/>
                <w:sz w:val="21"/>
                <w:szCs w:val="21"/>
              </w:rPr>
              <w:t>informant interviews, FGDs, case studies, c</w:t>
            </w:r>
            <w:r w:rsidRPr="00F4392E">
              <w:rPr>
                <w:rFonts w:asciiTheme="minorHAnsi" w:hAnsiTheme="minorHAnsi" w:cstheme="minorHAnsi"/>
                <w:color w:val="auto"/>
                <w:sz w:val="21"/>
                <w:szCs w:val="21"/>
              </w:rPr>
              <w:t>ontribution analysis, Impact Log, etc</w:t>
            </w:r>
            <w:r>
              <w:rPr>
                <w:rFonts w:asciiTheme="minorHAnsi" w:hAnsiTheme="minorHAnsi" w:cstheme="minorHAnsi"/>
                <w:color w:val="auto"/>
                <w:sz w:val="21"/>
                <w:szCs w:val="21"/>
              </w:rPr>
              <w:t>.</w:t>
            </w:r>
          </w:p>
          <w:p w14:paraId="7C02FFF5"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Pr>
                <w:rFonts w:asciiTheme="minorHAnsi" w:hAnsiTheme="minorHAnsi" w:cstheme="minorHAnsi"/>
                <w:color w:val="auto"/>
                <w:sz w:val="21"/>
                <w:szCs w:val="21"/>
              </w:rPr>
              <w:t>District budgets.</w:t>
            </w:r>
          </w:p>
        </w:tc>
        <w:tc>
          <w:tcPr>
            <w:tcW w:w="673" w:type="pct"/>
          </w:tcPr>
          <w:p w14:paraId="1A224BD3"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1"/>
                <w:szCs w:val="21"/>
                <w:lang w:eastAsia="en-US"/>
              </w:rPr>
            </w:pPr>
            <w:r w:rsidRPr="00F4392E">
              <w:rPr>
                <w:rFonts w:asciiTheme="minorHAnsi" w:eastAsia="Calibri" w:hAnsiTheme="minorHAnsi" w:cstheme="minorHAnsi"/>
                <w:sz w:val="21"/>
                <w:szCs w:val="21"/>
                <w:lang w:eastAsia="en-US"/>
              </w:rPr>
              <w:t>Data not recorded on a regular basis</w:t>
            </w:r>
            <w:r>
              <w:rPr>
                <w:rFonts w:asciiTheme="minorHAnsi" w:eastAsia="Calibri" w:hAnsiTheme="minorHAnsi" w:cstheme="minorHAnsi"/>
                <w:sz w:val="21"/>
                <w:szCs w:val="21"/>
                <w:lang w:eastAsia="en-US"/>
              </w:rPr>
              <w:t>.</w:t>
            </w:r>
          </w:p>
          <w:p w14:paraId="30C38DD5"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eastAsia="Calibri" w:hAnsiTheme="minorHAnsi" w:cstheme="minorHAnsi"/>
                <w:sz w:val="21"/>
                <w:szCs w:val="21"/>
                <w:lang w:eastAsia="en-US"/>
              </w:rPr>
              <w:t>Over-burdening partner agencies for data provision</w:t>
            </w:r>
            <w:r>
              <w:rPr>
                <w:rFonts w:asciiTheme="minorHAnsi" w:eastAsia="Calibri" w:hAnsiTheme="minorHAnsi" w:cstheme="minorHAnsi"/>
                <w:sz w:val="21"/>
                <w:szCs w:val="21"/>
                <w:lang w:eastAsia="en-US"/>
              </w:rPr>
              <w:t>.</w:t>
            </w:r>
          </w:p>
        </w:tc>
        <w:tc>
          <w:tcPr>
            <w:tcW w:w="527" w:type="pct"/>
          </w:tcPr>
          <w:p w14:paraId="5924F659"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MEL team/ Provincial Teams</w:t>
            </w:r>
            <w:r>
              <w:rPr>
                <w:rFonts w:asciiTheme="minorHAnsi" w:hAnsiTheme="minorHAnsi" w:cstheme="minorHAnsi"/>
                <w:sz w:val="21"/>
                <w:szCs w:val="21"/>
              </w:rPr>
              <w:t>.</w:t>
            </w:r>
          </w:p>
          <w:p w14:paraId="7A0BA997"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District ecosystems (Dinas Pendidikan)</w:t>
            </w:r>
            <w:r>
              <w:rPr>
                <w:rFonts w:asciiTheme="minorHAnsi" w:hAnsiTheme="minorHAnsi" w:cstheme="minorHAnsi"/>
                <w:sz w:val="21"/>
                <w:szCs w:val="21"/>
              </w:rPr>
              <w:t>.</w:t>
            </w:r>
          </w:p>
        </w:tc>
        <w:tc>
          <w:tcPr>
            <w:tcW w:w="405" w:type="pct"/>
          </w:tcPr>
          <w:p w14:paraId="2C761053"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bCs/>
                <w:sz w:val="21"/>
                <w:szCs w:val="21"/>
              </w:rPr>
              <w:t>TBD</w:t>
            </w:r>
          </w:p>
        </w:tc>
        <w:tc>
          <w:tcPr>
            <w:tcW w:w="362" w:type="pct"/>
          </w:tcPr>
          <w:p w14:paraId="485D0D67"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bCs/>
                <w:sz w:val="21"/>
                <w:szCs w:val="21"/>
              </w:rPr>
              <w:t>TBD</w:t>
            </w:r>
          </w:p>
        </w:tc>
        <w:tc>
          <w:tcPr>
            <w:tcW w:w="680" w:type="pct"/>
          </w:tcPr>
          <w:p w14:paraId="34D80CAC" w14:textId="77777777" w:rsidR="002E2FE4"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 xml:space="preserve">Evidence to </w:t>
            </w:r>
            <w:proofErr w:type="gramStart"/>
            <w:r w:rsidRPr="00F4392E">
              <w:rPr>
                <w:rFonts w:asciiTheme="minorHAnsi" w:hAnsiTheme="minorHAnsi" w:cstheme="minorHAnsi"/>
                <w:sz w:val="21"/>
                <w:szCs w:val="21"/>
              </w:rPr>
              <w:t>show</w:t>
            </w:r>
            <w:proofErr w:type="gramEnd"/>
          </w:p>
          <w:p w14:paraId="5F6AFDAC" w14:textId="77777777" w:rsidR="002E2FE4" w:rsidRDefault="002E2FE4" w:rsidP="008D1844">
            <w:pPr>
              <w:pStyle w:val="BodyTextHanging"/>
              <w:numPr>
                <w:ilvl w:val="0"/>
                <w:numId w:val="38"/>
              </w:numPr>
              <w:suppressAutoHyphens/>
              <w:spacing w:before="60" w:after="60"/>
              <w:ind w:left="122" w:hanging="12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sz w:val="21"/>
                <w:szCs w:val="21"/>
              </w:rPr>
              <w:t xml:space="preserve">contribution of </w:t>
            </w:r>
            <w:r w:rsidRPr="007F32B5">
              <w:rPr>
                <w:rFonts w:asciiTheme="minorHAnsi" w:hAnsiTheme="minorHAnsi" w:cstheme="minorHAnsi"/>
                <w:color w:val="auto"/>
                <w:sz w:val="21"/>
                <w:szCs w:val="21"/>
              </w:rPr>
              <w:t>INOVASI activities to EOPOs</w:t>
            </w:r>
            <w:r>
              <w:rPr>
                <w:rFonts w:asciiTheme="minorHAnsi" w:hAnsiTheme="minorHAnsi" w:cstheme="minorHAnsi"/>
                <w:color w:val="auto"/>
                <w:sz w:val="21"/>
                <w:szCs w:val="21"/>
              </w:rPr>
              <w:t>.</w:t>
            </w:r>
          </w:p>
          <w:p w14:paraId="26928B80" w14:textId="77777777" w:rsidR="002E2FE4" w:rsidRPr="007F32B5" w:rsidRDefault="002E2FE4" w:rsidP="008D1844">
            <w:pPr>
              <w:pStyle w:val="BodyTextHanging"/>
              <w:numPr>
                <w:ilvl w:val="0"/>
                <w:numId w:val="38"/>
              </w:numPr>
              <w:suppressAutoHyphens/>
              <w:spacing w:before="60" w:after="60"/>
              <w:ind w:left="122" w:hanging="12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7F32B5">
              <w:rPr>
                <w:rFonts w:asciiTheme="minorHAnsi" w:hAnsiTheme="minorHAnsi" w:cstheme="minorHAnsi"/>
                <w:color w:val="auto"/>
                <w:sz w:val="21"/>
                <w:szCs w:val="21"/>
              </w:rPr>
              <w:t>progress</w:t>
            </w:r>
            <w:r w:rsidRPr="007F32B5">
              <w:rPr>
                <w:rFonts w:asciiTheme="minorHAnsi" w:hAnsiTheme="minorHAnsi" w:cstheme="minorHAnsi"/>
                <w:sz w:val="21"/>
                <w:szCs w:val="21"/>
              </w:rPr>
              <w:t xml:space="preserve"> towards attainment of EOPO 2</w:t>
            </w:r>
            <w:r>
              <w:rPr>
                <w:rFonts w:asciiTheme="minorHAnsi" w:hAnsiTheme="minorHAnsi" w:cstheme="minorHAnsi"/>
                <w:sz w:val="21"/>
                <w:szCs w:val="21"/>
              </w:rPr>
              <w:t>.</w:t>
            </w:r>
          </w:p>
        </w:tc>
      </w:tr>
      <w:tr w:rsidR="007A2D0B" w:rsidRPr="00F4392E" w14:paraId="286E02FE" w14:textId="77777777" w:rsidTr="00265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Borders>
              <w:left w:val="single" w:sz="4" w:space="0" w:color="auto"/>
              <w:bottom w:val="single" w:sz="4" w:space="0" w:color="auto"/>
            </w:tcBorders>
            <w:shd w:val="clear" w:color="auto" w:fill="008080"/>
          </w:tcPr>
          <w:p w14:paraId="602BA4DF" w14:textId="77777777" w:rsidR="002E2FE4" w:rsidRPr="003D2433" w:rsidRDefault="002E2FE4" w:rsidP="00D96358">
            <w:pPr>
              <w:pStyle w:val="Tablecolumnheading"/>
              <w:spacing w:before="60" w:after="60" w:line="240" w:lineRule="auto"/>
              <w:jc w:val="left"/>
              <w:rPr>
                <w:rFonts w:asciiTheme="minorHAnsi" w:hAnsiTheme="minorHAnsi" w:cstheme="minorHAnsi"/>
                <w:b/>
                <w:bCs w:val="0"/>
                <w:sz w:val="21"/>
                <w:szCs w:val="21"/>
              </w:rPr>
            </w:pPr>
            <w:bookmarkStart w:id="82" w:name="RowTitle_IO3"/>
            <w:r w:rsidRPr="003D2433">
              <w:rPr>
                <w:rFonts w:asciiTheme="minorHAnsi" w:hAnsiTheme="minorHAnsi" w:cstheme="minorHAnsi"/>
                <w:b/>
                <w:bCs w:val="0"/>
                <w:sz w:val="21"/>
                <w:szCs w:val="21"/>
              </w:rPr>
              <w:t>IO3</w:t>
            </w:r>
          </w:p>
          <w:p w14:paraId="0560D81B" w14:textId="77777777" w:rsidR="002E2FE4" w:rsidRPr="003D2433" w:rsidRDefault="002E2FE4" w:rsidP="00D96358">
            <w:pPr>
              <w:pStyle w:val="Tablecolumnheading"/>
              <w:spacing w:before="60" w:after="60" w:line="240" w:lineRule="auto"/>
              <w:jc w:val="left"/>
              <w:rPr>
                <w:rFonts w:asciiTheme="minorHAnsi" w:hAnsiTheme="minorHAnsi" w:cstheme="minorHAnsi"/>
                <w:sz w:val="21"/>
                <w:szCs w:val="21"/>
              </w:rPr>
            </w:pPr>
            <w:r w:rsidRPr="003D2433">
              <w:rPr>
                <w:rFonts w:asciiTheme="minorHAnsi" w:hAnsiTheme="minorHAnsi" w:cstheme="minorHAnsi"/>
                <w:b/>
                <w:bCs w:val="0"/>
                <w:sz w:val="21"/>
                <w:szCs w:val="21"/>
              </w:rPr>
              <w:t>Educational Leadership</w:t>
            </w:r>
            <w:bookmarkEnd w:id="82"/>
          </w:p>
        </w:tc>
        <w:tc>
          <w:tcPr>
            <w:tcW w:w="613" w:type="pct"/>
            <w:tcBorders>
              <w:bottom w:val="single" w:sz="4" w:space="0" w:color="auto"/>
            </w:tcBorders>
          </w:tcPr>
          <w:p w14:paraId="6F4F3628"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A73E2">
              <w:rPr>
                <w:rFonts w:asciiTheme="minorHAnsi" w:hAnsiTheme="minorHAnsi" w:cstheme="minorHAnsi"/>
                <w:sz w:val="21"/>
                <w:szCs w:val="21"/>
              </w:rPr>
              <w:t>Improved policies, systems, and practices for inclusive leadership of teaching and learning in targeted districts</w:t>
            </w:r>
            <w:r>
              <w:rPr>
                <w:rFonts w:asciiTheme="minorHAnsi" w:hAnsiTheme="minorHAnsi" w:cstheme="minorHAnsi"/>
                <w:sz w:val="21"/>
                <w:szCs w:val="21"/>
              </w:rPr>
              <w:t>.</w:t>
            </w:r>
          </w:p>
        </w:tc>
        <w:tc>
          <w:tcPr>
            <w:tcW w:w="639" w:type="pct"/>
            <w:tcBorders>
              <w:bottom w:val="single" w:sz="4" w:space="0" w:color="auto"/>
            </w:tcBorders>
          </w:tcPr>
          <w:p w14:paraId="4CDD9F21"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eastAsia="Calibri" w:hAnsiTheme="minorHAnsi" w:cstheme="minorHAnsi"/>
                <w:sz w:val="21"/>
                <w:szCs w:val="21"/>
                <w:lang w:eastAsia="en-US"/>
              </w:rPr>
              <w:t xml:space="preserve">Evidence that </w:t>
            </w:r>
            <w:r w:rsidRPr="00F4392E">
              <w:rPr>
                <w:rFonts w:asciiTheme="minorHAnsi" w:hAnsiTheme="minorHAnsi" w:cstheme="minorHAnsi"/>
                <w:sz w:val="21"/>
                <w:szCs w:val="21"/>
              </w:rPr>
              <w:t xml:space="preserve">inclusive leadership practices </w:t>
            </w:r>
            <w:r w:rsidRPr="00F4392E">
              <w:rPr>
                <w:rFonts w:asciiTheme="minorHAnsi" w:eastAsia="Calibri" w:hAnsiTheme="minorHAnsi" w:cstheme="minorHAnsi"/>
                <w:sz w:val="21"/>
                <w:szCs w:val="21"/>
                <w:lang w:eastAsia="en-US"/>
              </w:rPr>
              <w:t>have improved in targets districts</w:t>
            </w:r>
            <w:r>
              <w:rPr>
                <w:rFonts w:asciiTheme="minorHAnsi" w:eastAsia="Calibri" w:hAnsiTheme="minorHAnsi" w:cstheme="minorHAnsi"/>
                <w:sz w:val="21"/>
                <w:szCs w:val="21"/>
                <w:lang w:eastAsia="en-US"/>
              </w:rPr>
              <w:t>.</w:t>
            </w:r>
          </w:p>
          <w:p w14:paraId="6D2EA5E7"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eastAsia="Calibri" w:hAnsiTheme="minorHAnsi" w:cstheme="minorHAnsi"/>
                <w:sz w:val="21"/>
                <w:szCs w:val="21"/>
                <w:lang w:eastAsia="en-US"/>
              </w:rPr>
              <w:t>% schools and madrasah in target districts that implement new leadership approaches</w:t>
            </w:r>
            <w:r>
              <w:rPr>
                <w:rFonts w:asciiTheme="minorHAnsi" w:eastAsia="Calibri" w:hAnsiTheme="minorHAnsi" w:cstheme="minorHAnsi"/>
                <w:sz w:val="21"/>
                <w:szCs w:val="21"/>
                <w:lang w:eastAsia="en-US"/>
              </w:rPr>
              <w:t>.</w:t>
            </w:r>
          </w:p>
        </w:tc>
        <w:tc>
          <w:tcPr>
            <w:tcW w:w="589" w:type="pct"/>
            <w:tcBorders>
              <w:bottom w:val="single" w:sz="4" w:space="0" w:color="auto"/>
            </w:tcBorders>
          </w:tcPr>
          <w:p w14:paraId="319F84DB" w14:textId="77777777" w:rsidR="002E2FE4" w:rsidRPr="007F32B5"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1"/>
                <w:szCs w:val="21"/>
              </w:rPr>
            </w:pPr>
            <w:r w:rsidRPr="00F4392E">
              <w:rPr>
                <w:rFonts w:asciiTheme="minorHAnsi" w:hAnsiTheme="minorHAnsi" w:cstheme="minorHAnsi"/>
                <w:color w:val="auto"/>
                <w:sz w:val="21"/>
                <w:szCs w:val="21"/>
              </w:rPr>
              <w:t xml:space="preserve">Purposive M&amp;E of leadership practices in target districts, including key </w:t>
            </w:r>
            <w:r w:rsidRPr="00F4392E">
              <w:rPr>
                <w:rFonts w:asciiTheme="minorHAnsi" w:hAnsiTheme="minorHAnsi" w:cstheme="minorHAnsi"/>
                <w:bCs/>
                <w:color w:val="auto"/>
                <w:sz w:val="21"/>
                <w:szCs w:val="21"/>
              </w:rPr>
              <w:t>informant interviews,</w:t>
            </w:r>
            <w:r>
              <w:rPr>
                <w:rFonts w:asciiTheme="minorHAnsi" w:hAnsiTheme="minorHAnsi" w:cstheme="minorHAnsi"/>
                <w:bCs/>
                <w:color w:val="auto"/>
                <w:sz w:val="21"/>
                <w:szCs w:val="21"/>
              </w:rPr>
              <w:t xml:space="preserve"> </w:t>
            </w:r>
            <w:r w:rsidRPr="00F4392E">
              <w:rPr>
                <w:rFonts w:asciiTheme="minorHAnsi" w:hAnsiTheme="minorHAnsi" w:cstheme="minorHAnsi"/>
                <w:bCs/>
                <w:color w:val="auto"/>
                <w:sz w:val="21"/>
                <w:szCs w:val="21"/>
              </w:rPr>
              <w:t>FGDs, case studies, c</w:t>
            </w:r>
            <w:r w:rsidRPr="00F4392E">
              <w:rPr>
                <w:rFonts w:asciiTheme="minorHAnsi" w:hAnsiTheme="minorHAnsi" w:cstheme="minorHAnsi"/>
                <w:color w:val="auto"/>
                <w:sz w:val="21"/>
                <w:szCs w:val="21"/>
              </w:rPr>
              <w:t>ontribution analysis, Impact Log, etc</w:t>
            </w:r>
            <w:r>
              <w:rPr>
                <w:rFonts w:asciiTheme="minorHAnsi" w:hAnsiTheme="minorHAnsi" w:cstheme="minorHAnsi"/>
                <w:color w:val="auto"/>
                <w:sz w:val="21"/>
                <w:szCs w:val="21"/>
              </w:rPr>
              <w:t>.</w:t>
            </w:r>
          </w:p>
          <w:p w14:paraId="4FB89BCD" w14:textId="77777777" w:rsidR="002E2FE4"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School policy documentation</w:t>
            </w:r>
            <w:r>
              <w:rPr>
                <w:rFonts w:asciiTheme="minorHAnsi" w:hAnsiTheme="minorHAnsi" w:cstheme="minorHAnsi"/>
                <w:color w:val="auto"/>
                <w:sz w:val="21"/>
                <w:szCs w:val="21"/>
              </w:rPr>
              <w:t>.</w:t>
            </w:r>
          </w:p>
          <w:p w14:paraId="783DE3EE"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Pr>
                <w:rFonts w:asciiTheme="minorHAnsi" w:hAnsiTheme="minorHAnsi" w:cstheme="minorHAnsi"/>
                <w:color w:val="auto"/>
                <w:sz w:val="21"/>
                <w:szCs w:val="21"/>
              </w:rPr>
              <w:t>District budgets.</w:t>
            </w:r>
            <w:r w:rsidRPr="00F4392E">
              <w:rPr>
                <w:rFonts w:asciiTheme="minorHAnsi" w:hAnsiTheme="minorHAnsi" w:cstheme="minorHAnsi"/>
                <w:color w:val="auto"/>
                <w:sz w:val="21"/>
                <w:szCs w:val="21"/>
              </w:rPr>
              <w:t xml:space="preserve"> </w:t>
            </w:r>
          </w:p>
        </w:tc>
        <w:tc>
          <w:tcPr>
            <w:tcW w:w="673" w:type="pct"/>
            <w:tcBorders>
              <w:bottom w:val="single" w:sz="4" w:space="0" w:color="auto"/>
            </w:tcBorders>
          </w:tcPr>
          <w:p w14:paraId="795E2734"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1"/>
                <w:szCs w:val="21"/>
                <w:lang w:eastAsia="en-US"/>
              </w:rPr>
            </w:pPr>
            <w:r w:rsidRPr="00F4392E">
              <w:rPr>
                <w:rFonts w:asciiTheme="minorHAnsi" w:eastAsia="Calibri" w:hAnsiTheme="minorHAnsi" w:cstheme="minorHAnsi"/>
                <w:sz w:val="21"/>
                <w:szCs w:val="21"/>
                <w:lang w:eastAsia="en-US"/>
              </w:rPr>
              <w:t>Data not recorded on a regular basis</w:t>
            </w:r>
            <w:r>
              <w:rPr>
                <w:rFonts w:asciiTheme="minorHAnsi" w:eastAsia="Calibri" w:hAnsiTheme="minorHAnsi" w:cstheme="minorHAnsi"/>
                <w:sz w:val="21"/>
                <w:szCs w:val="21"/>
                <w:lang w:eastAsia="en-US"/>
              </w:rPr>
              <w:t>.</w:t>
            </w:r>
          </w:p>
          <w:p w14:paraId="2C12FEF0"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eastAsia="Calibri" w:hAnsiTheme="minorHAnsi" w:cstheme="minorHAnsi"/>
                <w:sz w:val="21"/>
                <w:szCs w:val="21"/>
                <w:lang w:eastAsia="en-US"/>
              </w:rPr>
              <w:t>Over-burdening partner agencies for data provision</w:t>
            </w:r>
            <w:r>
              <w:rPr>
                <w:rFonts w:asciiTheme="minorHAnsi" w:eastAsia="Calibri" w:hAnsiTheme="minorHAnsi" w:cstheme="minorHAnsi"/>
                <w:sz w:val="21"/>
                <w:szCs w:val="21"/>
                <w:lang w:eastAsia="en-US"/>
              </w:rPr>
              <w:t>.</w:t>
            </w:r>
          </w:p>
        </w:tc>
        <w:tc>
          <w:tcPr>
            <w:tcW w:w="527" w:type="pct"/>
            <w:tcBorders>
              <w:bottom w:val="single" w:sz="4" w:space="0" w:color="auto"/>
            </w:tcBorders>
          </w:tcPr>
          <w:p w14:paraId="6FCAF934"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MEL team/ Provincial Teams</w:t>
            </w:r>
            <w:r>
              <w:rPr>
                <w:rFonts w:asciiTheme="minorHAnsi" w:hAnsiTheme="minorHAnsi" w:cstheme="minorHAnsi"/>
                <w:sz w:val="21"/>
                <w:szCs w:val="21"/>
              </w:rPr>
              <w:t>.</w:t>
            </w:r>
          </w:p>
          <w:p w14:paraId="58C72CAF"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District ecosystems (Dinas Pendidikan)</w:t>
            </w:r>
            <w:r>
              <w:rPr>
                <w:rFonts w:asciiTheme="minorHAnsi" w:hAnsiTheme="minorHAnsi" w:cstheme="minorHAnsi"/>
                <w:sz w:val="21"/>
                <w:szCs w:val="21"/>
              </w:rPr>
              <w:t>.</w:t>
            </w:r>
          </w:p>
        </w:tc>
        <w:tc>
          <w:tcPr>
            <w:tcW w:w="405" w:type="pct"/>
            <w:tcBorders>
              <w:bottom w:val="single" w:sz="4" w:space="0" w:color="auto"/>
            </w:tcBorders>
          </w:tcPr>
          <w:p w14:paraId="6C0A2BE2"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bCs/>
                <w:sz w:val="21"/>
                <w:szCs w:val="21"/>
              </w:rPr>
              <w:t>TBD</w:t>
            </w:r>
          </w:p>
        </w:tc>
        <w:tc>
          <w:tcPr>
            <w:tcW w:w="362" w:type="pct"/>
            <w:tcBorders>
              <w:bottom w:val="single" w:sz="4" w:space="0" w:color="auto"/>
            </w:tcBorders>
          </w:tcPr>
          <w:p w14:paraId="5D427609"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bCs/>
                <w:sz w:val="21"/>
                <w:szCs w:val="21"/>
              </w:rPr>
              <w:t>TBD</w:t>
            </w:r>
          </w:p>
        </w:tc>
        <w:tc>
          <w:tcPr>
            <w:tcW w:w="680" w:type="pct"/>
            <w:tcBorders>
              <w:bottom w:val="single" w:sz="4" w:space="0" w:color="auto"/>
            </w:tcBorders>
          </w:tcPr>
          <w:p w14:paraId="59B717B3" w14:textId="77777777" w:rsidR="002E2FE4"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 xml:space="preserve">Evidence to </w:t>
            </w:r>
            <w:proofErr w:type="gramStart"/>
            <w:r w:rsidRPr="00F4392E">
              <w:rPr>
                <w:rFonts w:asciiTheme="minorHAnsi" w:hAnsiTheme="minorHAnsi" w:cstheme="minorHAnsi"/>
                <w:sz w:val="21"/>
                <w:szCs w:val="21"/>
              </w:rPr>
              <w:t>show</w:t>
            </w:r>
            <w:proofErr w:type="gramEnd"/>
          </w:p>
          <w:p w14:paraId="60152576" w14:textId="77777777" w:rsidR="002E2FE4" w:rsidRDefault="002E2FE4" w:rsidP="008D1844">
            <w:pPr>
              <w:pStyle w:val="BodyTextHanging"/>
              <w:numPr>
                <w:ilvl w:val="0"/>
                <w:numId w:val="38"/>
              </w:numPr>
              <w:suppressAutoHyphens/>
              <w:spacing w:before="60" w:after="60"/>
              <w:ind w:left="122" w:hanging="1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sz w:val="21"/>
                <w:szCs w:val="21"/>
              </w:rPr>
              <w:t xml:space="preserve">contribution of </w:t>
            </w:r>
            <w:r w:rsidRPr="007F32B5">
              <w:rPr>
                <w:rFonts w:asciiTheme="minorHAnsi" w:hAnsiTheme="minorHAnsi" w:cstheme="minorHAnsi"/>
                <w:color w:val="auto"/>
                <w:sz w:val="21"/>
                <w:szCs w:val="21"/>
              </w:rPr>
              <w:t>INOVASI activities to EOPOs</w:t>
            </w:r>
            <w:r>
              <w:rPr>
                <w:rFonts w:asciiTheme="minorHAnsi" w:hAnsiTheme="minorHAnsi" w:cstheme="minorHAnsi"/>
                <w:color w:val="auto"/>
                <w:sz w:val="21"/>
                <w:szCs w:val="21"/>
              </w:rPr>
              <w:t>.</w:t>
            </w:r>
          </w:p>
          <w:p w14:paraId="264B0E3D" w14:textId="77777777" w:rsidR="002E2FE4" w:rsidRPr="007F32B5" w:rsidRDefault="002E2FE4" w:rsidP="008D1844">
            <w:pPr>
              <w:pStyle w:val="BodyTextHanging"/>
              <w:numPr>
                <w:ilvl w:val="0"/>
                <w:numId w:val="38"/>
              </w:numPr>
              <w:suppressAutoHyphens/>
              <w:spacing w:before="60" w:after="60"/>
              <w:ind w:left="122" w:hanging="1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7F32B5">
              <w:rPr>
                <w:rFonts w:asciiTheme="minorHAnsi" w:hAnsiTheme="minorHAnsi" w:cstheme="minorHAnsi"/>
                <w:color w:val="auto"/>
                <w:sz w:val="21"/>
                <w:szCs w:val="21"/>
              </w:rPr>
              <w:t>progress</w:t>
            </w:r>
            <w:r w:rsidRPr="007F32B5">
              <w:rPr>
                <w:rFonts w:asciiTheme="minorHAnsi" w:hAnsiTheme="minorHAnsi" w:cstheme="minorHAnsi"/>
                <w:sz w:val="21"/>
                <w:szCs w:val="21"/>
              </w:rPr>
              <w:t xml:space="preserve"> towards attainment of EOPO 1 and 2</w:t>
            </w:r>
            <w:r>
              <w:rPr>
                <w:rFonts w:asciiTheme="minorHAnsi" w:hAnsiTheme="minorHAnsi" w:cstheme="minorHAnsi"/>
                <w:sz w:val="21"/>
                <w:szCs w:val="21"/>
              </w:rPr>
              <w:t>.</w:t>
            </w:r>
          </w:p>
        </w:tc>
      </w:tr>
      <w:tr w:rsidR="0085029C" w:rsidRPr="00F4392E" w14:paraId="31CAD3AB" w14:textId="77777777" w:rsidTr="00265C24">
        <w:tc>
          <w:tcPr>
            <w:cnfStyle w:val="001000000000" w:firstRow="0" w:lastRow="0" w:firstColumn="1" w:lastColumn="0" w:oddVBand="0" w:evenVBand="0" w:oddHBand="0" w:evenHBand="0" w:firstRowFirstColumn="0" w:firstRowLastColumn="0" w:lastRowFirstColumn="0" w:lastRowLastColumn="0"/>
            <w:tcW w:w="512" w:type="pct"/>
            <w:tcBorders>
              <w:left w:val="single" w:sz="4" w:space="0" w:color="auto"/>
              <w:bottom w:val="single" w:sz="4" w:space="0" w:color="auto"/>
            </w:tcBorders>
            <w:shd w:val="clear" w:color="auto" w:fill="008080"/>
          </w:tcPr>
          <w:p w14:paraId="1F759308" w14:textId="77777777" w:rsidR="002E2FE4" w:rsidRPr="003D2433" w:rsidRDefault="002E2FE4" w:rsidP="00D96358">
            <w:pPr>
              <w:pStyle w:val="Tablecolumnheading"/>
              <w:spacing w:before="60" w:after="60" w:line="240" w:lineRule="auto"/>
              <w:jc w:val="left"/>
              <w:rPr>
                <w:rFonts w:asciiTheme="minorHAnsi" w:hAnsiTheme="minorHAnsi" w:cstheme="minorHAnsi"/>
                <w:b/>
                <w:bCs w:val="0"/>
                <w:sz w:val="21"/>
                <w:szCs w:val="21"/>
              </w:rPr>
            </w:pPr>
            <w:bookmarkStart w:id="83" w:name="RowTitle_IO4"/>
            <w:r w:rsidRPr="003D2433">
              <w:rPr>
                <w:rFonts w:asciiTheme="minorHAnsi" w:hAnsiTheme="minorHAnsi" w:cstheme="minorHAnsi"/>
                <w:b/>
                <w:bCs w:val="0"/>
                <w:sz w:val="21"/>
                <w:szCs w:val="21"/>
              </w:rPr>
              <w:lastRenderedPageBreak/>
              <w:t>IO4</w:t>
            </w:r>
          </w:p>
          <w:p w14:paraId="7C965BB1" w14:textId="77777777" w:rsidR="002E2FE4" w:rsidRPr="003D2433" w:rsidRDefault="002E2FE4" w:rsidP="00D96358">
            <w:pPr>
              <w:pStyle w:val="Tablecolumnheading"/>
              <w:spacing w:before="60" w:after="60" w:line="240" w:lineRule="auto"/>
              <w:jc w:val="left"/>
              <w:rPr>
                <w:rFonts w:asciiTheme="minorHAnsi" w:hAnsiTheme="minorHAnsi" w:cstheme="minorHAnsi"/>
                <w:sz w:val="21"/>
                <w:szCs w:val="21"/>
              </w:rPr>
            </w:pPr>
            <w:r w:rsidRPr="003D2433">
              <w:rPr>
                <w:rFonts w:asciiTheme="minorHAnsi" w:hAnsiTheme="minorHAnsi" w:cstheme="minorHAnsi"/>
                <w:b/>
                <w:bCs w:val="0"/>
                <w:sz w:val="21"/>
                <w:szCs w:val="21"/>
              </w:rPr>
              <w:t>Gender Equality</w:t>
            </w:r>
            <w:bookmarkEnd w:id="83"/>
          </w:p>
        </w:tc>
        <w:tc>
          <w:tcPr>
            <w:tcW w:w="613" w:type="pct"/>
            <w:tcBorders>
              <w:bottom w:val="single" w:sz="4" w:space="0" w:color="auto"/>
            </w:tcBorders>
          </w:tcPr>
          <w:p w14:paraId="2F488193" w14:textId="77777777" w:rsidR="002E2FE4" w:rsidRPr="009A73E2"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A73E2">
              <w:rPr>
                <w:rFonts w:asciiTheme="minorHAnsi" w:hAnsiTheme="minorHAnsi" w:cstheme="minorHAnsi"/>
                <w:sz w:val="21"/>
                <w:szCs w:val="21"/>
              </w:rPr>
              <w:t>Improved policies and practices for women leadership, boys’ engagement, and girls’ well-being in targeted districts</w:t>
            </w:r>
            <w:r>
              <w:rPr>
                <w:rFonts w:asciiTheme="minorHAnsi" w:hAnsiTheme="minorHAnsi" w:cstheme="minorHAnsi"/>
                <w:sz w:val="21"/>
                <w:szCs w:val="21"/>
              </w:rPr>
              <w:t>.</w:t>
            </w:r>
          </w:p>
        </w:tc>
        <w:tc>
          <w:tcPr>
            <w:tcW w:w="639" w:type="pct"/>
            <w:tcBorders>
              <w:bottom w:val="single" w:sz="4" w:space="0" w:color="auto"/>
            </w:tcBorders>
          </w:tcPr>
          <w:p w14:paraId="0B9FAA04"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1"/>
                <w:szCs w:val="21"/>
                <w:lang w:eastAsia="en-US"/>
              </w:rPr>
            </w:pPr>
            <w:r w:rsidRPr="00F4392E">
              <w:rPr>
                <w:rFonts w:asciiTheme="minorHAnsi" w:eastAsia="Calibri" w:hAnsiTheme="minorHAnsi" w:cstheme="minorHAnsi"/>
                <w:sz w:val="21"/>
                <w:szCs w:val="21"/>
                <w:lang w:eastAsia="en-US"/>
              </w:rPr>
              <w:t xml:space="preserve">% women principals in schools and madrasah </w:t>
            </w:r>
            <w:r>
              <w:rPr>
                <w:rFonts w:asciiTheme="minorHAnsi" w:eastAsia="Calibri" w:hAnsiTheme="minorHAnsi" w:cstheme="minorHAnsi"/>
                <w:sz w:val="21"/>
                <w:szCs w:val="21"/>
                <w:lang w:eastAsia="en-US"/>
              </w:rPr>
              <w:t>in target districts.</w:t>
            </w:r>
          </w:p>
          <w:p w14:paraId="074A051E"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color w:val="000000"/>
                <w:sz w:val="21"/>
                <w:szCs w:val="21"/>
              </w:rPr>
              <w:t>Evidence of boys increased participation (attendance, learning)</w:t>
            </w:r>
            <w:r w:rsidRPr="00F4392E">
              <w:rPr>
                <w:rFonts w:asciiTheme="minorHAnsi" w:hAnsiTheme="minorHAnsi" w:cstheme="minorHAnsi"/>
                <w:sz w:val="21"/>
                <w:szCs w:val="21"/>
              </w:rPr>
              <w:t xml:space="preserve"> </w:t>
            </w:r>
            <w:r w:rsidRPr="00F4392E">
              <w:rPr>
                <w:rFonts w:asciiTheme="minorHAnsi" w:eastAsia="Calibri" w:hAnsiTheme="minorHAnsi" w:cstheme="minorHAnsi"/>
                <w:sz w:val="21"/>
                <w:szCs w:val="21"/>
                <w:lang w:eastAsia="en-US"/>
              </w:rPr>
              <w:t>in target</w:t>
            </w:r>
            <w:r w:rsidRPr="00F4392E">
              <w:rPr>
                <w:rFonts w:asciiTheme="minorHAnsi" w:hAnsiTheme="minorHAnsi" w:cstheme="minorHAnsi"/>
                <w:sz w:val="21"/>
                <w:szCs w:val="21"/>
              </w:rPr>
              <w:t xml:space="preserve"> districts</w:t>
            </w:r>
            <w:r>
              <w:rPr>
                <w:rFonts w:asciiTheme="minorHAnsi" w:hAnsiTheme="minorHAnsi" w:cstheme="minorHAnsi"/>
                <w:sz w:val="21"/>
                <w:szCs w:val="21"/>
              </w:rPr>
              <w:t>.</w:t>
            </w:r>
          </w:p>
          <w:p w14:paraId="3DB30313"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Evidence of differentiation of teaching to needs of boys and girls</w:t>
            </w:r>
            <w:r>
              <w:rPr>
                <w:rFonts w:asciiTheme="minorHAnsi" w:hAnsiTheme="minorHAnsi" w:cstheme="minorHAnsi"/>
                <w:sz w:val="21"/>
                <w:szCs w:val="21"/>
              </w:rPr>
              <w:t>.</w:t>
            </w:r>
            <w:r w:rsidRPr="00F4392E">
              <w:rPr>
                <w:rFonts w:asciiTheme="minorHAnsi" w:hAnsiTheme="minorHAnsi" w:cstheme="minorHAnsi"/>
                <w:sz w:val="21"/>
                <w:szCs w:val="21"/>
              </w:rPr>
              <w:t xml:space="preserve"> </w:t>
            </w:r>
          </w:p>
          <w:p w14:paraId="1789CC11"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 xml:space="preserve">Evidence of changes in   norms </w:t>
            </w:r>
            <w:r>
              <w:rPr>
                <w:rFonts w:asciiTheme="minorHAnsi" w:hAnsiTheme="minorHAnsi" w:cstheme="minorHAnsi"/>
                <w:sz w:val="21"/>
                <w:szCs w:val="21"/>
              </w:rPr>
              <w:t xml:space="preserve">and </w:t>
            </w:r>
            <w:r w:rsidRPr="00F4392E">
              <w:rPr>
                <w:rFonts w:asciiTheme="minorHAnsi" w:hAnsiTheme="minorHAnsi" w:cstheme="minorHAnsi"/>
                <w:sz w:val="21"/>
                <w:szCs w:val="21"/>
              </w:rPr>
              <w:t xml:space="preserve">environment that affect </w:t>
            </w:r>
            <w:r>
              <w:rPr>
                <w:rFonts w:asciiTheme="minorHAnsi" w:hAnsiTheme="minorHAnsi" w:cstheme="minorHAnsi"/>
                <w:sz w:val="21"/>
                <w:szCs w:val="21"/>
              </w:rPr>
              <w:t>the</w:t>
            </w:r>
            <w:r w:rsidRPr="00F4392E">
              <w:rPr>
                <w:rFonts w:asciiTheme="minorHAnsi" w:hAnsiTheme="minorHAnsi" w:cstheme="minorHAnsi"/>
                <w:sz w:val="21"/>
                <w:szCs w:val="21"/>
              </w:rPr>
              <w:t xml:space="preserve"> well-being</w:t>
            </w:r>
            <w:r>
              <w:rPr>
                <w:rFonts w:asciiTheme="minorHAnsi" w:hAnsiTheme="minorHAnsi" w:cstheme="minorHAnsi"/>
                <w:sz w:val="21"/>
                <w:szCs w:val="21"/>
              </w:rPr>
              <w:t xml:space="preserve"> of girls.</w:t>
            </w:r>
          </w:p>
          <w:p w14:paraId="1C666BB0"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Number of complaints related to girls’ well-being in schools and madrasah</w:t>
            </w:r>
            <w:r>
              <w:rPr>
                <w:rFonts w:asciiTheme="minorHAnsi" w:hAnsiTheme="minorHAnsi" w:cstheme="minorHAnsi"/>
                <w:sz w:val="21"/>
                <w:szCs w:val="21"/>
              </w:rPr>
              <w:t xml:space="preserve"> in target districts.</w:t>
            </w:r>
          </w:p>
        </w:tc>
        <w:tc>
          <w:tcPr>
            <w:tcW w:w="589" w:type="pct"/>
            <w:tcBorders>
              <w:bottom w:val="single" w:sz="4" w:space="0" w:color="auto"/>
            </w:tcBorders>
          </w:tcPr>
          <w:p w14:paraId="203E0BAB"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1"/>
                <w:szCs w:val="21"/>
              </w:rPr>
            </w:pPr>
            <w:r w:rsidRPr="00F4392E">
              <w:rPr>
                <w:rFonts w:asciiTheme="minorHAnsi" w:hAnsiTheme="minorHAnsi" w:cstheme="minorHAnsi"/>
                <w:bCs/>
                <w:color w:val="auto"/>
                <w:sz w:val="21"/>
                <w:szCs w:val="21"/>
              </w:rPr>
              <w:t>Purposive M&amp;E of teaching practices in target districts, including classroom observations, key informant interviews, FGDs, case studies, contribution analysis, Impact Log, etc</w:t>
            </w:r>
            <w:r>
              <w:rPr>
                <w:rFonts w:asciiTheme="minorHAnsi" w:hAnsiTheme="minorHAnsi" w:cstheme="minorHAnsi"/>
                <w:bCs/>
                <w:color w:val="auto"/>
                <w:sz w:val="21"/>
                <w:szCs w:val="21"/>
              </w:rPr>
              <w:t>.</w:t>
            </w:r>
          </w:p>
          <w:p w14:paraId="0752529A"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1"/>
                <w:szCs w:val="21"/>
              </w:rPr>
            </w:pPr>
            <w:proofErr w:type="spellStart"/>
            <w:r w:rsidRPr="00F4392E">
              <w:rPr>
                <w:rFonts w:asciiTheme="minorHAnsi" w:hAnsiTheme="minorHAnsi" w:cstheme="minorHAnsi"/>
                <w:bCs/>
                <w:color w:val="auto"/>
                <w:sz w:val="21"/>
                <w:szCs w:val="21"/>
              </w:rPr>
              <w:t>MoECRT</w:t>
            </w:r>
            <w:proofErr w:type="spellEnd"/>
            <w:r w:rsidRPr="00F4392E">
              <w:rPr>
                <w:rFonts w:asciiTheme="minorHAnsi" w:hAnsiTheme="minorHAnsi" w:cstheme="minorHAnsi"/>
                <w:bCs/>
                <w:color w:val="auto"/>
                <w:sz w:val="21"/>
                <w:szCs w:val="21"/>
              </w:rPr>
              <w:t xml:space="preserve"> annual national school survey</w:t>
            </w:r>
            <w:r>
              <w:rPr>
                <w:rFonts w:asciiTheme="minorHAnsi" w:hAnsiTheme="minorHAnsi" w:cstheme="minorHAnsi"/>
                <w:bCs/>
                <w:color w:val="auto"/>
                <w:sz w:val="21"/>
                <w:szCs w:val="21"/>
              </w:rPr>
              <w:t>.</w:t>
            </w:r>
          </w:p>
        </w:tc>
        <w:tc>
          <w:tcPr>
            <w:tcW w:w="673" w:type="pct"/>
            <w:tcBorders>
              <w:bottom w:val="single" w:sz="4" w:space="0" w:color="auto"/>
            </w:tcBorders>
          </w:tcPr>
          <w:p w14:paraId="7C378940"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1"/>
                <w:szCs w:val="21"/>
                <w:lang w:eastAsia="en-US"/>
              </w:rPr>
            </w:pPr>
            <w:r w:rsidRPr="00F4392E">
              <w:rPr>
                <w:rFonts w:asciiTheme="minorHAnsi" w:eastAsia="Calibri" w:hAnsiTheme="minorHAnsi" w:cstheme="minorHAnsi"/>
                <w:sz w:val="21"/>
                <w:szCs w:val="21"/>
                <w:lang w:eastAsia="en-US"/>
              </w:rPr>
              <w:t>Data not recorded on a regular basis</w:t>
            </w:r>
            <w:r>
              <w:rPr>
                <w:rFonts w:asciiTheme="minorHAnsi" w:eastAsia="Calibri" w:hAnsiTheme="minorHAnsi" w:cstheme="minorHAnsi"/>
                <w:sz w:val="21"/>
                <w:szCs w:val="21"/>
                <w:lang w:eastAsia="en-US"/>
              </w:rPr>
              <w:t>.</w:t>
            </w:r>
          </w:p>
          <w:p w14:paraId="79995C00"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eastAsia="Calibri" w:hAnsiTheme="minorHAnsi" w:cstheme="minorHAnsi"/>
                <w:sz w:val="21"/>
                <w:szCs w:val="21"/>
                <w:lang w:eastAsia="en-US"/>
              </w:rPr>
              <w:t>Over-burdening partner agencies for data provision</w:t>
            </w:r>
            <w:r>
              <w:rPr>
                <w:rFonts w:asciiTheme="minorHAnsi" w:eastAsia="Calibri" w:hAnsiTheme="minorHAnsi" w:cstheme="minorHAnsi"/>
                <w:sz w:val="21"/>
                <w:szCs w:val="21"/>
                <w:lang w:eastAsia="en-US"/>
              </w:rPr>
              <w:t>.</w:t>
            </w:r>
          </w:p>
        </w:tc>
        <w:tc>
          <w:tcPr>
            <w:tcW w:w="527" w:type="pct"/>
            <w:tcBorders>
              <w:bottom w:val="single" w:sz="4" w:space="0" w:color="auto"/>
            </w:tcBorders>
          </w:tcPr>
          <w:p w14:paraId="0B6B60AB"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MEL team/ Provincial Teams</w:t>
            </w:r>
            <w:r>
              <w:rPr>
                <w:rFonts w:asciiTheme="minorHAnsi" w:hAnsiTheme="minorHAnsi" w:cstheme="minorHAnsi"/>
                <w:sz w:val="21"/>
                <w:szCs w:val="21"/>
              </w:rPr>
              <w:t>.</w:t>
            </w:r>
          </w:p>
          <w:p w14:paraId="31682C8E"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District ecosystems (Dinas Pendidikan)</w:t>
            </w:r>
            <w:r>
              <w:rPr>
                <w:rFonts w:asciiTheme="minorHAnsi" w:hAnsiTheme="minorHAnsi" w:cstheme="minorHAnsi"/>
                <w:sz w:val="21"/>
                <w:szCs w:val="21"/>
              </w:rPr>
              <w:t>.</w:t>
            </w:r>
          </w:p>
        </w:tc>
        <w:tc>
          <w:tcPr>
            <w:tcW w:w="405" w:type="pct"/>
            <w:tcBorders>
              <w:bottom w:val="single" w:sz="4" w:space="0" w:color="auto"/>
            </w:tcBorders>
          </w:tcPr>
          <w:p w14:paraId="0482126A"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bCs/>
                <w:sz w:val="21"/>
                <w:szCs w:val="21"/>
              </w:rPr>
              <w:t>TBD</w:t>
            </w:r>
          </w:p>
        </w:tc>
        <w:tc>
          <w:tcPr>
            <w:tcW w:w="362" w:type="pct"/>
            <w:tcBorders>
              <w:bottom w:val="single" w:sz="4" w:space="0" w:color="auto"/>
            </w:tcBorders>
          </w:tcPr>
          <w:p w14:paraId="0D092349"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bCs/>
                <w:sz w:val="21"/>
                <w:szCs w:val="21"/>
              </w:rPr>
              <w:t>TBD</w:t>
            </w:r>
          </w:p>
        </w:tc>
        <w:tc>
          <w:tcPr>
            <w:tcW w:w="680" w:type="pct"/>
            <w:tcBorders>
              <w:bottom w:val="single" w:sz="4" w:space="0" w:color="auto"/>
            </w:tcBorders>
          </w:tcPr>
          <w:p w14:paraId="329B5288" w14:textId="77777777" w:rsidR="002E2FE4"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 xml:space="preserve">Evidence to </w:t>
            </w:r>
            <w:proofErr w:type="gramStart"/>
            <w:r w:rsidRPr="00F4392E">
              <w:rPr>
                <w:rFonts w:asciiTheme="minorHAnsi" w:hAnsiTheme="minorHAnsi" w:cstheme="minorHAnsi"/>
                <w:sz w:val="21"/>
                <w:szCs w:val="21"/>
              </w:rPr>
              <w:t>show</w:t>
            </w:r>
            <w:proofErr w:type="gramEnd"/>
          </w:p>
          <w:p w14:paraId="0BB9E8ED" w14:textId="77777777" w:rsidR="002E2FE4" w:rsidRDefault="002E2FE4" w:rsidP="008D1844">
            <w:pPr>
              <w:pStyle w:val="BodyTextHanging"/>
              <w:numPr>
                <w:ilvl w:val="0"/>
                <w:numId w:val="38"/>
              </w:numPr>
              <w:suppressAutoHyphens/>
              <w:spacing w:before="60" w:after="60"/>
              <w:ind w:left="122" w:hanging="12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sz w:val="21"/>
                <w:szCs w:val="21"/>
              </w:rPr>
              <w:t xml:space="preserve">contribution of </w:t>
            </w:r>
            <w:r w:rsidRPr="007F32B5">
              <w:rPr>
                <w:rFonts w:asciiTheme="minorHAnsi" w:hAnsiTheme="minorHAnsi" w:cstheme="minorHAnsi"/>
                <w:color w:val="auto"/>
                <w:sz w:val="21"/>
                <w:szCs w:val="21"/>
              </w:rPr>
              <w:t>INOVASI activities to EOPOs</w:t>
            </w:r>
            <w:r>
              <w:rPr>
                <w:rFonts w:asciiTheme="minorHAnsi" w:hAnsiTheme="minorHAnsi" w:cstheme="minorHAnsi"/>
                <w:color w:val="auto"/>
                <w:sz w:val="21"/>
                <w:szCs w:val="21"/>
              </w:rPr>
              <w:t>.</w:t>
            </w:r>
          </w:p>
          <w:p w14:paraId="76298471" w14:textId="77777777" w:rsidR="002E2FE4" w:rsidRPr="007F32B5" w:rsidRDefault="002E2FE4" w:rsidP="008D1844">
            <w:pPr>
              <w:pStyle w:val="BodyTextHanging"/>
              <w:numPr>
                <w:ilvl w:val="0"/>
                <w:numId w:val="38"/>
              </w:numPr>
              <w:suppressAutoHyphens/>
              <w:spacing w:before="60" w:after="60"/>
              <w:ind w:left="122" w:hanging="12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7F32B5">
              <w:rPr>
                <w:rFonts w:asciiTheme="minorHAnsi" w:hAnsiTheme="minorHAnsi" w:cstheme="minorHAnsi"/>
                <w:color w:val="auto"/>
                <w:sz w:val="21"/>
                <w:szCs w:val="21"/>
              </w:rPr>
              <w:t>progress</w:t>
            </w:r>
            <w:r w:rsidRPr="007F32B5">
              <w:rPr>
                <w:rFonts w:asciiTheme="minorHAnsi" w:hAnsiTheme="minorHAnsi" w:cstheme="minorHAnsi"/>
                <w:sz w:val="21"/>
                <w:szCs w:val="21"/>
              </w:rPr>
              <w:t xml:space="preserve"> towards attainment of EOPO 1 and 2</w:t>
            </w:r>
            <w:r>
              <w:rPr>
                <w:rFonts w:asciiTheme="minorHAnsi" w:hAnsiTheme="minorHAnsi" w:cstheme="minorHAnsi"/>
                <w:sz w:val="21"/>
                <w:szCs w:val="21"/>
              </w:rPr>
              <w:t>.</w:t>
            </w:r>
          </w:p>
        </w:tc>
      </w:tr>
      <w:tr w:rsidR="0085029C" w:rsidRPr="00F4392E" w14:paraId="71E84F0F" w14:textId="77777777" w:rsidTr="00265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single" w:sz="4" w:space="0" w:color="auto"/>
              <w:right w:val="single" w:sz="4" w:space="0" w:color="auto"/>
            </w:tcBorders>
            <w:shd w:val="clear" w:color="auto" w:fill="008080"/>
          </w:tcPr>
          <w:p w14:paraId="4D272142" w14:textId="77777777" w:rsidR="002E2FE4" w:rsidRPr="003D2433" w:rsidRDefault="002E2FE4" w:rsidP="00D96358">
            <w:pPr>
              <w:pStyle w:val="Tablecolumnheading"/>
              <w:spacing w:before="60" w:after="60" w:line="240" w:lineRule="auto"/>
              <w:jc w:val="left"/>
              <w:rPr>
                <w:rFonts w:asciiTheme="minorHAnsi" w:hAnsiTheme="minorHAnsi" w:cstheme="minorHAnsi"/>
                <w:b/>
                <w:bCs w:val="0"/>
                <w:sz w:val="21"/>
                <w:szCs w:val="21"/>
              </w:rPr>
            </w:pPr>
            <w:bookmarkStart w:id="84" w:name="RowTitle_IO5"/>
            <w:r w:rsidRPr="003D2433">
              <w:rPr>
                <w:rFonts w:asciiTheme="minorHAnsi" w:hAnsiTheme="minorHAnsi" w:cstheme="minorHAnsi"/>
                <w:b/>
                <w:bCs w:val="0"/>
                <w:sz w:val="21"/>
                <w:szCs w:val="21"/>
              </w:rPr>
              <w:t>IO5</w:t>
            </w:r>
          </w:p>
          <w:p w14:paraId="7133CE85" w14:textId="77777777" w:rsidR="002E2FE4" w:rsidRPr="003D2433" w:rsidRDefault="002E2FE4" w:rsidP="00D96358">
            <w:pPr>
              <w:pStyle w:val="Tablecolumnheading"/>
              <w:spacing w:before="60" w:after="60" w:line="240" w:lineRule="auto"/>
              <w:jc w:val="left"/>
              <w:rPr>
                <w:rFonts w:asciiTheme="minorHAnsi" w:hAnsiTheme="minorHAnsi" w:cstheme="minorHAnsi"/>
                <w:sz w:val="21"/>
                <w:szCs w:val="21"/>
              </w:rPr>
            </w:pPr>
            <w:r w:rsidRPr="003D2433">
              <w:rPr>
                <w:rFonts w:asciiTheme="minorHAnsi" w:hAnsiTheme="minorHAnsi" w:cstheme="minorHAnsi"/>
                <w:b/>
                <w:bCs w:val="0"/>
                <w:sz w:val="21"/>
                <w:szCs w:val="21"/>
              </w:rPr>
              <w:t>Climate Change</w:t>
            </w:r>
            <w:bookmarkEnd w:id="84"/>
          </w:p>
        </w:tc>
        <w:tc>
          <w:tcPr>
            <w:tcW w:w="613" w:type="pct"/>
            <w:tcBorders>
              <w:top w:val="single" w:sz="4" w:space="0" w:color="auto"/>
              <w:left w:val="single" w:sz="4" w:space="0" w:color="auto"/>
              <w:bottom w:val="single" w:sz="4" w:space="0" w:color="auto"/>
              <w:right w:val="single" w:sz="4" w:space="0" w:color="auto"/>
            </w:tcBorders>
          </w:tcPr>
          <w:p w14:paraId="6B86B395"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A73E2">
              <w:rPr>
                <w:rFonts w:asciiTheme="minorHAnsi" w:hAnsiTheme="minorHAnsi" w:cstheme="minorHAnsi"/>
                <w:sz w:val="21"/>
                <w:szCs w:val="21"/>
              </w:rPr>
              <w:t xml:space="preserve">Improved policies and practices for </w:t>
            </w:r>
            <w:r w:rsidRPr="009A73E2">
              <w:rPr>
                <w:rFonts w:asciiTheme="minorHAnsi" w:hAnsiTheme="minorHAnsi" w:cstheme="minorHAnsi"/>
                <w:sz w:val="21"/>
                <w:szCs w:val="21"/>
              </w:rPr>
              <w:lastRenderedPageBreak/>
              <w:t>inclusive climate change mitigation and resilience in targeted districts</w:t>
            </w:r>
            <w:r>
              <w:rPr>
                <w:rFonts w:asciiTheme="minorHAnsi" w:hAnsiTheme="minorHAnsi" w:cstheme="minorHAnsi"/>
                <w:sz w:val="21"/>
                <w:szCs w:val="21"/>
              </w:rPr>
              <w:t>.</w:t>
            </w:r>
          </w:p>
        </w:tc>
        <w:tc>
          <w:tcPr>
            <w:tcW w:w="639" w:type="pct"/>
            <w:tcBorders>
              <w:top w:val="single" w:sz="4" w:space="0" w:color="auto"/>
              <w:left w:val="single" w:sz="4" w:space="0" w:color="auto"/>
              <w:bottom w:val="single" w:sz="4" w:space="0" w:color="auto"/>
              <w:right w:val="single" w:sz="4" w:space="0" w:color="auto"/>
            </w:tcBorders>
          </w:tcPr>
          <w:p w14:paraId="29A4514B"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1"/>
                <w:szCs w:val="21"/>
                <w:lang w:eastAsia="en-US"/>
              </w:rPr>
            </w:pPr>
            <w:r w:rsidRPr="00F4392E">
              <w:rPr>
                <w:rFonts w:asciiTheme="minorHAnsi" w:eastAsia="Calibri" w:hAnsiTheme="minorHAnsi" w:cstheme="minorHAnsi"/>
                <w:sz w:val="21"/>
                <w:szCs w:val="21"/>
                <w:lang w:eastAsia="en-US"/>
              </w:rPr>
              <w:lastRenderedPageBreak/>
              <w:t xml:space="preserve">Evidence of </w:t>
            </w:r>
            <w:r w:rsidRPr="00F4392E">
              <w:rPr>
                <w:rFonts w:asciiTheme="minorHAnsi" w:hAnsiTheme="minorHAnsi" w:cstheme="minorHAnsi"/>
                <w:sz w:val="21"/>
                <w:szCs w:val="21"/>
              </w:rPr>
              <w:t xml:space="preserve">inclusive climate change mitigation </w:t>
            </w:r>
            <w:r w:rsidRPr="00F4392E">
              <w:rPr>
                <w:rFonts w:asciiTheme="minorHAnsi" w:hAnsiTheme="minorHAnsi" w:cstheme="minorHAnsi"/>
                <w:sz w:val="21"/>
                <w:szCs w:val="21"/>
              </w:rPr>
              <w:lastRenderedPageBreak/>
              <w:t xml:space="preserve">and adaptation practices </w:t>
            </w:r>
            <w:r w:rsidRPr="00F4392E">
              <w:rPr>
                <w:rFonts w:asciiTheme="minorHAnsi" w:eastAsia="Calibri" w:hAnsiTheme="minorHAnsi" w:cstheme="minorHAnsi"/>
                <w:sz w:val="21"/>
                <w:szCs w:val="21"/>
                <w:lang w:eastAsia="en-US"/>
              </w:rPr>
              <w:t>in</w:t>
            </w:r>
            <w:r w:rsidRPr="00F4392E">
              <w:rPr>
                <w:rFonts w:asciiTheme="minorHAnsi" w:hAnsiTheme="minorHAnsi" w:cstheme="minorHAnsi"/>
                <w:sz w:val="21"/>
                <w:szCs w:val="21"/>
              </w:rPr>
              <w:t xml:space="preserve"> schools and madrasah</w:t>
            </w:r>
            <w:r>
              <w:rPr>
                <w:rFonts w:asciiTheme="minorHAnsi" w:hAnsiTheme="minorHAnsi" w:cstheme="minorHAnsi"/>
                <w:sz w:val="21"/>
                <w:szCs w:val="21"/>
              </w:rPr>
              <w:t xml:space="preserve"> in target districts.</w:t>
            </w:r>
          </w:p>
          <w:p w14:paraId="1FCF6EF5"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589" w:type="pct"/>
            <w:tcBorders>
              <w:top w:val="single" w:sz="4" w:space="0" w:color="auto"/>
              <w:left w:val="single" w:sz="4" w:space="0" w:color="auto"/>
              <w:bottom w:val="single" w:sz="4" w:space="0" w:color="auto"/>
              <w:right w:val="single" w:sz="4" w:space="0" w:color="auto"/>
            </w:tcBorders>
          </w:tcPr>
          <w:p w14:paraId="73E07622"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lastRenderedPageBreak/>
              <w:t xml:space="preserve">Purposive M&amp;E of teaching practices in </w:t>
            </w:r>
            <w:r w:rsidRPr="00F4392E">
              <w:rPr>
                <w:rFonts w:asciiTheme="minorHAnsi" w:hAnsiTheme="minorHAnsi" w:cstheme="minorHAnsi"/>
                <w:color w:val="auto"/>
                <w:sz w:val="21"/>
                <w:szCs w:val="21"/>
              </w:rPr>
              <w:lastRenderedPageBreak/>
              <w:t>target districts, including key informant interviews, contribution analysis, Impact Log, etc</w:t>
            </w:r>
            <w:r>
              <w:rPr>
                <w:rFonts w:asciiTheme="minorHAnsi" w:hAnsiTheme="minorHAnsi" w:cstheme="minorHAnsi"/>
                <w:color w:val="auto"/>
                <w:sz w:val="21"/>
                <w:szCs w:val="21"/>
              </w:rPr>
              <w:t>.</w:t>
            </w:r>
          </w:p>
        </w:tc>
        <w:tc>
          <w:tcPr>
            <w:tcW w:w="673" w:type="pct"/>
            <w:tcBorders>
              <w:top w:val="single" w:sz="4" w:space="0" w:color="auto"/>
              <w:left w:val="single" w:sz="4" w:space="0" w:color="auto"/>
              <w:bottom w:val="single" w:sz="4" w:space="0" w:color="auto"/>
              <w:right w:val="single" w:sz="4" w:space="0" w:color="auto"/>
            </w:tcBorders>
          </w:tcPr>
          <w:p w14:paraId="0520DAFC"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1"/>
                <w:szCs w:val="21"/>
                <w:lang w:eastAsia="en-US"/>
              </w:rPr>
            </w:pPr>
            <w:r w:rsidRPr="00F4392E">
              <w:rPr>
                <w:rFonts w:asciiTheme="minorHAnsi" w:eastAsia="Calibri" w:hAnsiTheme="minorHAnsi" w:cstheme="minorHAnsi"/>
                <w:sz w:val="21"/>
                <w:szCs w:val="21"/>
                <w:lang w:eastAsia="en-US"/>
              </w:rPr>
              <w:lastRenderedPageBreak/>
              <w:t>Data not recorded on a regular basis</w:t>
            </w:r>
            <w:r>
              <w:rPr>
                <w:rFonts w:asciiTheme="minorHAnsi" w:eastAsia="Calibri" w:hAnsiTheme="minorHAnsi" w:cstheme="minorHAnsi"/>
                <w:sz w:val="21"/>
                <w:szCs w:val="21"/>
                <w:lang w:eastAsia="en-US"/>
              </w:rPr>
              <w:t>.</w:t>
            </w:r>
          </w:p>
          <w:p w14:paraId="587DA6EC"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eastAsia="Calibri" w:hAnsiTheme="minorHAnsi" w:cstheme="minorHAnsi"/>
                <w:sz w:val="21"/>
                <w:szCs w:val="21"/>
                <w:lang w:eastAsia="en-US"/>
              </w:rPr>
              <w:lastRenderedPageBreak/>
              <w:t>Over-burdening partner agencies for data provision</w:t>
            </w:r>
            <w:r>
              <w:rPr>
                <w:rFonts w:asciiTheme="minorHAnsi" w:eastAsia="Calibri" w:hAnsiTheme="minorHAnsi" w:cstheme="minorHAnsi"/>
                <w:sz w:val="21"/>
                <w:szCs w:val="21"/>
                <w:lang w:eastAsia="en-US"/>
              </w:rPr>
              <w:t>.</w:t>
            </w:r>
          </w:p>
        </w:tc>
        <w:tc>
          <w:tcPr>
            <w:tcW w:w="527" w:type="pct"/>
            <w:tcBorders>
              <w:top w:val="single" w:sz="4" w:space="0" w:color="auto"/>
              <w:left w:val="single" w:sz="4" w:space="0" w:color="auto"/>
              <w:bottom w:val="single" w:sz="4" w:space="0" w:color="auto"/>
              <w:right w:val="single" w:sz="4" w:space="0" w:color="auto"/>
            </w:tcBorders>
          </w:tcPr>
          <w:p w14:paraId="6779A078"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lastRenderedPageBreak/>
              <w:t>MEL team/ Provincial Teams</w:t>
            </w:r>
            <w:r>
              <w:rPr>
                <w:rFonts w:asciiTheme="minorHAnsi" w:hAnsiTheme="minorHAnsi" w:cstheme="minorHAnsi"/>
                <w:sz w:val="21"/>
                <w:szCs w:val="21"/>
              </w:rPr>
              <w:t>.</w:t>
            </w:r>
          </w:p>
          <w:p w14:paraId="400E1BA6"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lastRenderedPageBreak/>
              <w:t>District ecosystems (Dinas Pendidikan)</w:t>
            </w:r>
            <w:r>
              <w:rPr>
                <w:rFonts w:asciiTheme="minorHAnsi" w:hAnsiTheme="minorHAnsi" w:cstheme="minorHAnsi"/>
                <w:sz w:val="21"/>
                <w:szCs w:val="21"/>
              </w:rPr>
              <w:t>.</w:t>
            </w:r>
          </w:p>
        </w:tc>
        <w:tc>
          <w:tcPr>
            <w:tcW w:w="405" w:type="pct"/>
            <w:tcBorders>
              <w:top w:val="single" w:sz="4" w:space="0" w:color="auto"/>
              <w:left w:val="single" w:sz="4" w:space="0" w:color="auto"/>
              <w:bottom w:val="single" w:sz="4" w:space="0" w:color="auto"/>
              <w:right w:val="single" w:sz="4" w:space="0" w:color="auto"/>
            </w:tcBorders>
          </w:tcPr>
          <w:p w14:paraId="78477309"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bCs/>
                <w:sz w:val="21"/>
                <w:szCs w:val="21"/>
              </w:rPr>
              <w:lastRenderedPageBreak/>
              <w:t>TBD</w:t>
            </w:r>
          </w:p>
        </w:tc>
        <w:tc>
          <w:tcPr>
            <w:tcW w:w="362" w:type="pct"/>
            <w:tcBorders>
              <w:top w:val="single" w:sz="4" w:space="0" w:color="auto"/>
              <w:left w:val="single" w:sz="4" w:space="0" w:color="auto"/>
              <w:bottom w:val="single" w:sz="4" w:space="0" w:color="auto"/>
              <w:right w:val="single" w:sz="4" w:space="0" w:color="auto"/>
            </w:tcBorders>
          </w:tcPr>
          <w:p w14:paraId="68152843"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bCs/>
                <w:sz w:val="21"/>
                <w:szCs w:val="21"/>
              </w:rPr>
              <w:t>TBD</w:t>
            </w:r>
          </w:p>
        </w:tc>
        <w:tc>
          <w:tcPr>
            <w:tcW w:w="680" w:type="pct"/>
            <w:tcBorders>
              <w:top w:val="single" w:sz="4" w:space="0" w:color="auto"/>
              <w:left w:val="single" w:sz="4" w:space="0" w:color="auto"/>
              <w:bottom w:val="single" w:sz="4" w:space="0" w:color="auto"/>
              <w:right w:val="single" w:sz="4" w:space="0" w:color="auto"/>
            </w:tcBorders>
          </w:tcPr>
          <w:p w14:paraId="0EB68642" w14:textId="77777777" w:rsidR="002E2FE4"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 xml:space="preserve">Evidence to </w:t>
            </w:r>
            <w:proofErr w:type="gramStart"/>
            <w:r w:rsidRPr="00F4392E">
              <w:rPr>
                <w:rFonts w:asciiTheme="minorHAnsi" w:hAnsiTheme="minorHAnsi" w:cstheme="minorHAnsi"/>
                <w:sz w:val="21"/>
                <w:szCs w:val="21"/>
              </w:rPr>
              <w:t>show</w:t>
            </w:r>
            <w:proofErr w:type="gramEnd"/>
          </w:p>
          <w:p w14:paraId="0B494562" w14:textId="77777777" w:rsidR="002E2FE4" w:rsidRDefault="002E2FE4" w:rsidP="008D1844">
            <w:pPr>
              <w:pStyle w:val="BodyTextHanging"/>
              <w:numPr>
                <w:ilvl w:val="0"/>
                <w:numId w:val="38"/>
              </w:numPr>
              <w:suppressAutoHyphens/>
              <w:spacing w:before="60" w:after="60"/>
              <w:ind w:left="122" w:hanging="1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sz w:val="21"/>
                <w:szCs w:val="21"/>
              </w:rPr>
              <w:lastRenderedPageBreak/>
              <w:t xml:space="preserve">contribution of </w:t>
            </w:r>
            <w:r w:rsidRPr="007F32B5">
              <w:rPr>
                <w:rFonts w:asciiTheme="minorHAnsi" w:hAnsiTheme="minorHAnsi" w:cstheme="minorHAnsi"/>
                <w:color w:val="auto"/>
                <w:sz w:val="21"/>
                <w:szCs w:val="21"/>
              </w:rPr>
              <w:t>INOVASI activities to EOPOs</w:t>
            </w:r>
            <w:r>
              <w:rPr>
                <w:rFonts w:asciiTheme="minorHAnsi" w:hAnsiTheme="minorHAnsi" w:cstheme="minorHAnsi"/>
                <w:color w:val="auto"/>
                <w:sz w:val="21"/>
                <w:szCs w:val="21"/>
              </w:rPr>
              <w:t>.</w:t>
            </w:r>
          </w:p>
          <w:p w14:paraId="14F764F2" w14:textId="77777777" w:rsidR="002E2FE4" w:rsidRPr="007F32B5" w:rsidRDefault="002E2FE4" w:rsidP="008D1844">
            <w:pPr>
              <w:pStyle w:val="BodyTextHanging"/>
              <w:numPr>
                <w:ilvl w:val="0"/>
                <w:numId w:val="38"/>
              </w:numPr>
              <w:suppressAutoHyphens/>
              <w:spacing w:before="60" w:after="60"/>
              <w:ind w:left="122" w:hanging="1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7F32B5">
              <w:rPr>
                <w:rFonts w:asciiTheme="minorHAnsi" w:hAnsiTheme="minorHAnsi" w:cstheme="minorHAnsi"/>
                <w:color w:val="auto"/>
                <w:sz w:val="21"/>
                <w:szCs w:val="21"/>
              </w:rPr>
              <w:t>progress</w:t>
            </w:r>
            <w:r w:rsidRPr="007F32B5">
              <w:rPr>
                <w:rFonts w:asciiTheme="minorHAnsi" w:hAnsiTheme="minorHAnsi" w:cstheme="minorHAnsi"/>
                <w:sz w:val="21"/>
                <w:szCs w:val="21"/>
              </w:rPr>
              <w:t xml:space="preserve"> towards attainment of EOPO 1 and 2</w:t>
            </w:r>
            <w:r>
              <w:rPr>
                <w:rFonts w:asciiTheme="minorHAnsi" w:hAnsiTheme="minorHAnsi" w:cstheme="minorHAnsi"/>
                <w:sz w:val="21"/>
                <w:szCs w:val="21"/>
              </w:rPr>
              <w:t>.</w:t>
            </w:r>
          </w:p>
        </w:tc>
      </w:tr>
      <w:tr w:rsidR="0085029C" w:rsidRPr="00F4392E" w14:paraId="5E9E9298" w14:textId="77777777" w:rsidTr="00265C24">
        <w:trPr>
          <w:trHeight w:val="483"/>
        </w:trPr>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single" w:sz="4" w:space="0" w:color="auto"/>
              <w:right w:val="single" w:sz="4" w:space="0" w:color="auto"/>
            </w:tcBorders>
            <w:shd w:val="clear" w:color="auto" w:fill="008080"/>
          </w:tcPr>
          <w:p w14:paraId="782DE6A9" w14:textId="77777777" w:rsidR="002E2FE4" w:rsidRPr="003D2433" w:rsidRDefault="002E2FE4" w:rsidP="00D96358">
            <w:pPr>
              <w:pStyle w:val="Tablecolumnheading"/>
              <w:spacing w:before="60" w:after="60" w:line="240" w:lineRule="auto"/>
              <w:jc w:val="left"/>
              <w:rPr>
                <w:rFonts w:asciiTheme="minorHAnsi" w:hAnsiTheme="minorHAnsi" w:cstheme="minorHAnsi"/>
                <w:b/>
                <w:bCs w:val="0"/>
                <w:sz w:val="21"/>
                <w:szCs w:val="21"/>
              </w:rPr>
            </w:pPr>
            <w:bookmarkStart w:id="85" w:name="RowTitle_Outputs"/>
            <w:r w:rsidRPr="003D2433">
              <w:rPr>
                <w:rFonts w:asciiTheme="minorHAnsi" w:hAnsiTheme="minorHAnsi" w:cstheme="minorHAnsi"/>
                <w:b/>
                <w:bCs w:val="0"/>
                <w:sz w:val="21"/>
                <w:szCs w:val="21"/>
              </w:rPr>
              <w:lastRenderedPageBreak/>
              <w:t>Outputs</w:t>
            </w:r>
            <w:bookmarkEnd w:id="85"/>
          </w:p>
        </w:tc>
        <w:tc>
          <w:tcPr>
            <w:tcW w:w="613" w:type="pct"/>
            <w:tcBorders>
              <w:top w:val="single" w:sz="4" w:space="0" w:color="auto"/>
              <w:left w:val="single" w:sz="4" w:space="0" w:color="auto"/>
              <w:bottom w:val="single" w:sz="4" w:space="0" w:color="auto"/>
              <w:right w:val="single" w:sz="4" w:space="0" w:color="auto"/>
            </w:tcBorders>
          </w:tcPr>
          <w:p w14:paraId="13F6D71C"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Outputs delivered/ produced</w:t>
            </w:r>
            <w:r>
              <w:rPr>
                <w:rFonts w:asciiTheme="minorHAnsi" w:hAnsiTheme="minorHAnsi" w:cstheme="minorHAnsi"/>
                <w:sz w:val="21"/>
                <w:szCs w:val="21"/>
              </w:rPr>
              <w:t>.</w:t>
            </w:r>
          </w:p>
        </w:tc>
        <w:tc>
          <w:tcPr>
            <w:tcW w:w="639" w:type="pct"/>
            <w:tcBorders>
              <w:top w:val="single" w:sz="4" w:space="0" w:color="auto"/>
              <w:left w:val="single" w:sz="4" w:space="0" w:color="auto"/>
              <w:bottom w:val="single" w:sz="4" w:space="0" w:color="auto"/>
              <w:right w:val="single" w:sz="4" w:space="0" w:color="auto"/>
            </w:tcBorders>
          </w:tcPr>
          <w:p w14:paraId="7FA70E6E"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Proportion of activities in which outputs were realised as expected, to a good quality standard</w:t>
            </w:r>
            <w:r>
              <w:rPr>
                <w:rFonts w:asciiTheme="minorHAnsi" w:hAnsiTheme="minorHAnsi" w:cstheme="minorHAnsi"/>
                <w:sz w:val="21"/>
                <w:szCs w:val="21"/>
              </w:rPr>
              <w:t xml:space="preserve">, representing </w:t>
            </w:r>
            <w:proofErr w:type="spellStart"/>
            <w:r>
              <w:rPr>
                <w:rFonts w:asciiTheme="minorHAnsi" w:hAnsiTheme="minorHAnsi" w:cstheme="minorHAnsi"/>
                <w:sz w:val="21"/>
                <w:szCs w:val="21"/>
              </w:rPr>
              <w:t>VfM</w:t>
            </w:r>
            <w:proofErr w:type="spellEnd"/>
            <w:r>
              <w:rPr>
                <w:rFonts w:asciiTheme="minorHAnsi" w:hAnsiTheme="minorHAnsi" w:cstheme="minorHAnsi"/>
                <w:sz w:val="21"/>
                <w:szCs w:val="21"/>
              </w:rPr>
              <w:t xml:space="preserve"> and sustainability.</w:t>
            </w:r>
          </w:p>
        </w:tc>
        <w:tc>
          <w:tcPr>
            <w:tcW w:w="589" w:type="pct"/>
            <w:tcBorders>
              <w:top w:val="single" w:sz="4" w:space="0" w:color="auto"/>
              <w:left w:val="single" w:sz="4" w:space="0" w:color="auto"/>
              <w:bottom w:val="single" w:sz="4" w:space="0" w:color="auto"/>
              <w:right w:val="single" w:sz="4" w:space="0" w:color="auto"/>
            </w:tcBorders>
          </w:tcPr>
          <w:p w14:paraId="46E19A2E"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 xml:space="preserve">Progress M&amp;E reports as per MEL plan </w:t>
            </w:r>
          </w:p>
          <w:p w14:paraId="57E4B93E"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Purposive interviews with key stakeholders</w:t>
            </w:r>
            <w:r>
              <w:rPr>
                <w:rFonts w:asciiTheme="minorHAnsi" w:hAnsiTheme="minorHAnsi" w:cstheme="minorHAnsi"/>
                <w:color w:val="auto"/>
                <w:sz w:val="21"/>
                <w:szCs w:val="21"/>
              </w:rPr>
              <w:t>.</w:t>
            </w:r>
          </w:p>
          <w:p w14:paraId="7CA353E4"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Reflection workshops</w:t>
            </w:r>
            <w:r>
              <w:rPr>
                <w:rFonts w:asciiTheme="minorHAnsi" w:hAnsiTheme="minorHAnsi" w:cstheme="minorHAnsi"/>
                <w:sz w:val="21"/>
                <w:szCs w:val="21"/>
              </w:rPr>
              <w:t>.</w:t>
            </w:r>
          </w:p>
        </w:tc>
        <w:tc>
          <w:tcPr>
            <w:tcW w:w="673" w:type="pct"/>
            <w:tcBorders>
              <w:top w:val="single" w:sz="4" w:space="0" w:color="auto"/>
              <w:left w:val="single" w:sz="4" w:space="0" w:color="auto"/>
              <w:bottom w:val="single" w:sz="4" w:space="0" w:color="auto"/>
              <w:right w:val="single" w:sz="4" w:space="0" w:color="auto"/>
            </w:tcBorders>
          </w:tcPr>
          <w:p w14:paraId="20D63FE6"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Lack of systematic M&amp;E</w:t>
            </w:r>
            <w:r>
              <w:rPr>
                <w:rFonts w:asciiTheme="minorHAnsi" w:hAnsiTheme="minorHAnsi" w:cstheme="minorHAnsi"/>
                <w:color w:val="auto"/>
                <w:sz w:val="21"/>
                <w:szCs w:val="21"/>
              </w:rPr>
              <w:t>.</w:t>
            </w:r>
          </w:p>
          <w:p w14:paraId="565E2DF3"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Stakeholders might be fatigued from regular M&amp;E and reluctant to participate</w:t>
            </w:r>
          </w:p>
        </w:tc>
        <w:tc>
          <w:tcPr>
            <w:tcW w:w="527" w:type="pct"/>
            <w:tcBorders>
              <w:top w:val="single" w:sz="4" w:space="0" w:color="auto"/>
              <w:left w:val="single" w:sz="4" w:space="0" w:color="auto"/>
              <w:bottom w:val="single" w:sz="4" w:space="0" w:color="auto"/>
              <w:right w:val="single" w:sz="4" w:space="0" w:color="auto"/>
            </w:tcBorders>
          </w:tcPr>
          <w:p w14:paraId="7615A37B"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MEL team/ Provincial Teams</w:t>
            </w:r>
            <w:r>
              <w:rPr>
                <w:rFonts w:asciiTheme="minorHAnsi" w:hAnsiTheme="minorHAnsi" w:cstheme="minorHAnsi"/>
                <w:sz w:val="21"/>
                <w:szCs w:val="21"/>
              </w:rPr>
              <w:t>.</w:t>
            </w:r>
          </w:p>
        </w:tc>
        <w:tc>
          <w:tcPr>
            <w:tcW w:w="405" w:type="pct"/>
            <w:tcBorders>
              <w:top w:val="single" w:sz="4" w:space="0" w:color="auto"/>
              <w:left w:val="single" w:sz="4" w:space="0" w:color="auto"/>
              <w:bottom w:val="single" w:sz="4" w:space="0" w:color="auto"/>
              <w:right w:val="single" w:sz="4" w:space="0" w:color="auto"/>
            </w:tcBorders>
          </w:tcPr>
          <w:p w14:paraId="372DAE94"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 xml:space="preserve">TBD </w:t>
            </w:r>
          </w:p>
        </w:tc>
        <w:tc>
          <w:tcPr>
            <w:tcW w:w="362" w:type="pct"/>
            <w:tcBorders>
              <w:top w:val="single" w:sz="4" w:space="0" w:color="auto"/>
              <w:left w:val="single" w:sz="4" w:space="0" w:color="auto"/>
              <w:bottom w:val="single" w:sz="4" w:space="0" w:color="auto"/>
              <w:right w:val="single" w:sz="4" w:space="0" w:color="auto"/>
            </w:tcBorders>
          </w:tcPr>
          <w:p w14:paraId="6E8F3835"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 xml:space="preserve">Majority of expected changes each year </w:t>
            </w:r>
            <w:proofErr w:type="gramStart"/>
            <w:r w:rsidRPr="00F4392E">
              <w:rPr>
                <w:rFonts w:asciiTheme="minorHAnsi" w:hAnsiTheme="minorHAnsi" w:cstheme="minorHAnsi"/>
                <w:sz w:val="21"/>
                <w:szCs w:val="21"/>
              </w:rPr>
              <w:t>(?%</w:t>
            </w:r>
            <w:proofErr w:type="gramEnd"/>
            <w:r w:rsidRPr="00F4392E">
              <w:rPr>
                <w:rFonts w:asciiTheme="minorHAnsi" w:hAnsiTheme="minorHAnsi" w:cstheme="minorHAnsi"/>
                <w:sz w:val="21"/>
                <w:szCs w:val="21"/>
              </w:rPr>
              <w:t>)</w:t>
            </w:r>
            <w:r>
              <w:rPr>
                <w:rFonts w:asciiTheme="minorHAnsi" w:hAnsiTheme="minorHAnsi" w:cstheme="minorHAnsi"/>
                <w:sz w:val="21"/>
                <w:szCs w:val="21"/>
              </w:rPr>
              <w:t>.</w:t>
            </w:r>
          </w:p>
        </w:tc>
        <w:tc>
          <w:tcPr>
            <w:tcW w:w="680" w:type="pct"/>
            <w:tcBorders>
              <w:top w:val="single" w:sz="4" w:space="0" w:color="auto"/>
              <w:left w:val="single" w:sz="4" w:space="0" w:color="auto"/>
              <w:bottom w:val="single" w:sz="4" w:space="0" w:color="auto"/>
              <w:right w:val="single" w:sz="4" w:space="0" w:color="auto"/>
            </w:tcBorders>
          </w:tcPr>
          <w:p w14:paraId="076C3E4C"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Evidence to show how effective outputs were in meeting needs and therefore likely to lead to outcomes</w:t>
            </w:r>
            <w:r>
              <w:rPr>
                <w:rFonts w:asciiTheme="minorHAnsi" w:hAnsiTheme="minorHAnsi" w:cstheme="minorHAnsi"/>
                <w:sz w:val="21"/>
                <w:szCs w:val="21"/>
              </w:rPr>
              <w:t>.</w:t>
            </w:r>
            <w:r w:rsidRPr="00F4392E">
              <w:rPr>
                <w:rFonts w:asciiTheme="minorHAnsi" w:hAnsiTheme="minorHAnsi" w:cstheme="minorHAnsi"/>
                <w:sz w:val="21"/>
                <w:szCs w:val="21"/>
              </w:rPr>
              <w:t xml:space="preserve"> </w:t>
            </w:r>
          </w:p>
        </w:tc>
      </w:tr>
      <w:tr w:rsidR="0085029C" w:rsidRPr="00F4392E" w14:paraId="6A273474" w14:textId="77777777" w:rsidTr="00265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single" w:sz="4" w:space="0" w:color="auto"/>
              <w:right w:val="single" w:sz="4" w:space="0" w:color="auto"/>
            </w:tcBorders>
            <w:shd w:val="clear" w:color="auto" w:fill="008080"/>
          </w:tcPr>
          <w:p w14:paraId="046AB8C6" w14:textId="77777777" w:rsidR="002E2FE4" w:rsidRPr="003D2433" w:rsidRDefault="002E2FE4" w:rsidP="00D96358">
            <w:pPr>
              <w:pStyle w:val="Tablecolumnheading"/>
              <w:spacing w:before="60" w:after="60" w:line="240" w:lineRule="auto"/>
              <w:jc w:val="left"/>
              <w:rPr>
                <w:rFonts w:asciiTheme="minorHAnsi" w:hAnsiTheme="minorHAnsi" w:cstheme="minorHAnsi"/>
                <w:b/>
                <w:bCs w:val="0"/>
                <w:sz w:val="21"/>
                <w:szCs w:val="21"/>
              </w:rPr>
            </w:pPr>
            <w:bookmarkStart w:id="86" w:name="RowTitle_Activities"/>
            <w:r w:rsidRPr="003D2433">
              <w:rPr>
                <w:rFonts w:asciiTheme="minorHAnsi" w:hAnsiTheme="minorHAnsi" w:cstheme="minorHAnsi"/>
                <w:b/>
                <w:bCs w:val="0"/>
                <w:sz w:val="21"/>
                <w:szCs w:val="21"/>
              </w:rPr>
              <w:t>Activities</w:t>
            </w:r>
            <w:bookmarkEnd w:id="86"/>
          </w:p>
        </w:tc>
        <w:tc>
          <w:tcPr>
            <w:tcW w:w="613" w:type="pct"/>
            <w:tcBorders>
              <w:top w:val="single" w:sz="4" w:space="0" w:color="auto"/>
              <w:left w:val="single" w:sz="4" w:space="0" w:color="auto"/>
              <w:bottom w:val="single" w:sz="4" w:space="0" w:color="auto"/>
              <w:right w:val="single" w:sz="4" w:space="0" w:color="auto"/>
            </w:tcBorders>
          </w:tcPr>
          <w:p w14:paraId="0D3F3875"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Program activities implemented</w:t>
            </w:r>
            <w:r>
              <w:rPr>
                <w:rFonts w:asciiTheme="minorHAnsi" w:hAnsiTheme="minorHAnsi" w:cstheme="minorHAnsi"/>
                <w:sz w:val="21"/>
                <w:szCs w:val="21"/>
              </w:rPr>
              <w:t>.</w:t>
            </w:r>
          </w:p>
        </w:tc>
        <w:tc>
          <w:tcPr>
            <w:tcW w:w="639" w:type="pct"/>
            <w:tcBorders>
              <w:top w:val="single" w:sz="4" w:space="0" w:color="auto"/>
              <w:left w:val="single" w:sz="4" w:space="0" w:color="auto"/>
              <w:bottom w:val="single" w:sz="4" w:space="0" w:color="auto"/>
              <w:right w:val="single" w:sz="4" w:space="0" w:color="auto"/>
            </w:tcBorders>
          </w:tcPr>
          <w:p w14:paraId="4D65A0A4"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Pr>
                <w:rFonts w:asciiTheme="minorHAnsi" w:hAnsiTheme="minorHAnsi" w:cstheme="minorHAnsi"/>
                <w:color w:val="auto"/>
                <w:sz w:val="21"/>
                <w:szCs w:val="21"/>
              </w:rPr>
              <w:t>%</w:t>
            </w:r>
            <w:r w:rsidRPr="00F4392E">
              <w:rPr>
                <w:rFonts w:asciiTheme="minorHAnsi" w:hAnsiTheme="minorHAnsi" w:cstheme="minorHAnsi"/>
                <w:color w:val="auto"/>
                <w:sz w:val="21"/>
                <w:szCs w:val="21"/>
              </w:rPr>
              <w:t xml:space="preserve"> activities that are effectively implemented and have an appropriate GEDSI methodology and targets</w:t>
            </w:r>
            <w:r>
              <w:rPr>
                <w:rFonts w:asciiTheme="minorHAnsi" w:hAnsiTheme="minorHAnsi" w:cstheme="minorHAnsi"/>
                <w:color w:val="auto"/>
                <w:sz w:val="21"/>
                <w:szCs w:val="21"/>
              </w:rPr>
              <w:t>.</w:t>
            </w:r>
          </w:p>
          <w:p w14:paraId="4ED0A000"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Timely identification and use of data of ‘what works (or does not)’</w:t>
            </w:r>
            <w:r>
              <w:rPr>
                <w:rFonts w:asciiTheme="minorHAnsi" w:hAnsiTheme="minorHAnsi" w:cstheme="minorHAnsi"/>
                <w:sz w:val="21"/>
                <w:szCs w:val="21"/>
              </w:rPr>
              <w:t>.</w:t>
            </w:r>
          </w:p>
        </w:tc>
        <w:tc>
          <w:tcPr>
            <w:tcW w:w="589" w:type="pct"/>
            <w:tcBorders>
              <w:top w:val="single" w:sz="4" w:space="0" w:color="auto"/>
              <w:left w:val="single" w:sz="4" w:space="0" w:color="auto"/>
              <w:bottom w:val="single" w:sz="4" w:space="0" w:color="auto"/>
              <w:right w:val="single" w:sz="4" w:space="0" w:color="auto"/>
            </w:tcBorders>
          </w:tcPr>
          <w:p w14:paraId="3496F379"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Desk review of activity documents</w:t>
            </w:r>
            <w:r>
              <w:rPr>
                <w:rFonts w:asciiTheme="minorHAnsi" w:hAnsiTheme="minorHAnsi" w:cstheme="minorHAnsi"/>
                <w:color w:val="auto"/>
                <w:sz w:val="21"/>
                <w:szCs w:val="21"/>
              </w:rPr>
              <w:t>.</w:t>
            </w:r>
          </w:p>
          <w:p w14:paraId="1E0729C6"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Instruments to be developed</w:t>
            </w:r>
            <w:r>
              <w:rPr>
                <w:rFonts w:asciiTheme="minorHAnsi" w:hAnsiTheme="minorHAnsi" w:cstheme="minorHAnsi"/>
                <w:sz w:val="21"/>
                <w:szCs w:val="21"/>
              </w:rPr>
              <w:t>.</w:t>
            </w:r>
          </w:p>
        </w:tc>
        <w:tc>
          <w:tcPr>
            <w:tcW w:w="673" w:type="pct"/>
            <w:tcBorders>
              <w:top w:val="single" w:sz="4" w:space="0" w:color="auto"/>
              <w:left w:val="single" w:sz="4" w:space="0" w:color="auto"/>
              <w:bottom w:val="single" w:sz="4" w:space="0" w:color="auto"/>
              <w:right w:val="single" w:sz="4" w:space="0" w:color="auto"/>
            </w:tcBorders>
          </w:tcPr>
          <w:p w14:paraId="13DA48FB"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Minimal</w:t>
            </w:r>
            <w:r>
              <w:rPr>
                <w:rFonts w:asciiTheme="minorHAnsi" w:hAnsiTheme="minorHAnsi" w:cstheme="minorHAnsi"/>
                <w:color w:val="auto"/>
                <w:sz w:val="21"/>
                <w:szCs w:val="21"/>
              </w:rPr>
              <w:t>.</w:t>
            </w:r>
          </w:p>
          <w:p w14:paraId="382E7391"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If records are not kept accurately and up-to-date, data will be compromised</w:t>
            </w:r>
            <w:r>
              <w:rPr>
                <w:rFonts w:asciiTheme="minorHAnsi" w:hAnsiTheme="minorHAnsi" w:cstheme="minorHAnsi"/>
                <w:color w:val="auto"/>
                <w:sz w:val="21"/>
                <w:szCs w:val="21"/>
              </w:rPr>
              <w:t>.</w:t>
            </w:r>
          </w:p>
          <w:p w14:paraId="691445DC"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p>
          <w:p w14:paraId="49C8EE00"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527" w:type="pct"/>
            <w:tcBorders>
              <w:top w:val="single" w:sz="4" w:space="0" w:color="auto"/>
              <w:left w:val="single" w:sz="4" w:space="0" w:color="auto"/>
              <w:bottom w:val="single" w:sz="4" w:space="0" w:color="auto"/>
              <w:right w:val="single" w:sz="4" w:space="0" w:color="auto"/>
            </w:tcBorders>
          </w:tcPr>
          <w:p w14:paraId="3C5F511D"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MEL team/ Provincial Teams</w:t>
            </w:r>
          </w:p>
        </w:tc>
        <w:tc>
          <w:tcPr>
            <w:tcW w:w="405" w:type="pct"/>
            <w:tcBorders>
              <w:top w:val="single" w:sz="4" w:space="0" w:color="auto"/>
              <w:left w:val="single" w:sz="4" w:space="0" w:color="auto"/>
              <w:bottom w:val="single" w:sz="4" w:space="0" w:color="auto"/>
              <w:right w:val="single" w:sz="4" w:space="0" w:color="auto"/>
            </w:tcBorders>
          </w:tcPr>
          <w:p w14:paraId="2FB79A95"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TBD</w:t>
            </w:r>
          </w:p>
        </w:tc>
        <w:tc>
          <w:tcPr>
            <w:tcW w:w="362" w:type="pct"/>
            <w:tcBorders>
              <w:top w:val="single" w:sz="4" w:space="0" w:color="auto"/>
              <w:left w:val="single" w:sz="4" w:space="0" w:color="auto"/>
              <w:bottom w:val="single" w:sz="4" w:space="0" w:color="auto"/>
              <w:right w:val="single" w:sz="4" w:space="0" w:color="auto"/>
            </w:tcBorders>
          </w:tcPr>
          <w:p w14:paraId="31B1FFD3" w14:textId="77777777" w:rsidR="002E2FE4" w:rsidRPr="00F4392E" w:rsidRDefault="002E2F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TBD</w:t>
            </w:r>
          </w:p>
        </w:tc>
        <w:tc>
          <w:tcPr>
            <w:tcW w:w="680" w:type="pct"/>
            <w:tcBorders>
              <w:top w:val="single" w:sz="4" w:space="0" w:color="auto"/>
              <w:left w:val="single" w:sz="4" w:space="0" w:color="auto"/>
              <w:bottom w:val="single" w:sz="4" w:space="0" w:color="auto"/>
              <w:right w:val="single" w:sz="4" w:space="0" w:color="auto"/>
            </w:tcBorders>
          </w:tcPr>
          <w:p w14:paraId="14B01640"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Evidence to show achieve</w:t>
            </w:r>
            <w:r>
              <w:rPr>
                <w:rFonts w:asciiTheme="minorHAnsi" w:hAnsiTheme="minorHAnsi" w:cstheme="minorHAnsi"/>
                <w:color w:val="auto"/>
                <w:sz w:val="21"/>
                <w:szCs w:val="21"/>
              </w:rPr>
              <w:t xml:space="preserve">ment of </w:t>
            </w:r>
            <w:r w:rsidRPr="00F4392E">
              <w:rPr>
                <w:rFonts w:asciiTheme="minorHAnsi" w:hAnsiTheme="minorHAnsi" w:cstheme="minorHAnsi"/>
                <w:color w:val="auto"/>
                <w:sz w:val="21"/>
                <w:szCs w:val="21"/>
              </w:rPr>
              <w:t>quantitative implementation targets</w:t>
            </w:r>
            <w:r>
              <w:rPr>
                <w:rFonts w:asciiTheme="minorHAnsi" w:hAnsiTheme="minorHAnsi" w:cstheme="minorHAnsi"/>
                <w:color w:val="auto"/>
                <w:sz w:val="21"/>
                <w:szCs w:val="21"/>
              </w:rPr>
              <w:t>.</w:t>
            </w:r>
          </w:p>
          <w:p w14:paraId="42524B80" w14:textId="77777777" w:rsidR="002E2FE4" w:rsidRPr="00F4392E" w:rsidRDefault="002E2FE4">
            <w:pPr>
              <w:pStyle w:val="BodyTextHang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Identification of areas for improvements, emerging issues, and possible adaptations for future activities</w:t>
            </w:r>
            <w:r>
              <w:rPr>
                <w:rFonts w:asciiTheme="minorHAnsi" w:hAnsiTheme="minorHAnsi" w:cstheme="minorHAnsi"/>
                <w:color w:val="auto"/>
                <w:sz w:val="21"/>
                <w:szCs w:val="21"/>
              </w:rPr>
              <w:t>.</w:t>
            </w:r>
          </w:p>
        </w:tc>
      </w:tr>
      <w:tr w:rsidR="0085029C" w:rsidRPr="00F4392E" w14:paraId="0A230518" w14:textId="77777777" w:rsidTr="00265C24">
        <w:trPr>
          <w:trHeight w:val="538"/>
        </w:trPr>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single" w:sz="4" w:space="0" w:color="auto"/>
              <w:right w:val="single" w:sz="4" w:space="0" w:color="auto"/>
            </w:tcBorders>
            <w:shd w:val="clear" w:color="auto" w:fill="008080"/>
          </w:tcPr>
          <w:p w14:paraId="7D1446DD" w14:textId="77777777" w:rsidR="002E2FE4" w:rsidRPr="003D2433" w:rsidRDefault="002E2FE4" w:rsidP="00D96358">
            <w:pPr>
              <w:pStyle w:val="Tablecolumnheading"/>
              <w:spacing w:before="60" w:after="60" w:line="240" w:lineRule="auto"/>
              <w:jc w:val="left"/>
              <w:rPr>
                <w:rFonts w:asciiTheme="minorHAnsi" w:hAnsiTheme="minorHAnsi" w:cstheme="minorHAnsi"/>
                <w:b/>
                <w:bCs w:val="0"/>
                <w:color w:val="auto"/>
                <w:sz w:val="21"/>
                <w:szCs w:val="21"/>
              </w:rPr>
            </w:pPr>
            <w:bookmarkStart w:id="87" w:name="RowTitle_Inputs"/>
            <w:r w:rsidRPr="003D2433">
              <w:rPr>
                <w:rFonts w:asciiTheme="minorHAnsi" w:hAnsiTheme="minorHAnsi" w:cstheme="minorHAnsi"/>
                <w:b/>
                <w:bCs w:val="0"/>
                <w:sz w:val="21"/>
                <w:szCs w:val="21"/>
              </w:rPr>
              <w:lastRenderedPageBreak/>
              <w:t>Inputs</w:t>
            </w:r>
            <w:bookmarkEnd w:id="87"/>
          </w:p>
        </w:tc>
        <w:tc>
          <w:tcPr>
            <w:tcW w:w="613" w:type="pct"/>
            <w:tcBorders>
              <w:top w:val="single" w:sz="4" w:space="0" w:color="auto"/>
              <w:left w:val="single" w:sz="4" w:space="0" w:color="auto"/>
              <w:bottom w:val="single" w:sz="4" w:space="0" w:color="auto"/>
              <w:right w:val="single" w:sz="4" w:space="0" w:color="auto"/>
            </w:tcBorders>
          </w:tcPr>
          <w:p w14:paraId="0DEF8EBD"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Program activities are efficiently administered and reach quantitative implementation targets</w:t>
            </w:r>
            <w:r>
              <w:rPr>
                <w:rFonts w:asciiTheme="minorHAnsi" w:hAnsiTheme="minorHAnsi" w:cstheme="minorHAnsi"/>
                <w:sz w:val="21"/>
                <w:szCs w:val="21"/>
              </w:rPr>
              <w:t>.</w:t>
            </w:r>
            <w:r w:rsidRPr="00F4392E">
              <w:rPr>
                <w:rFonts w:asciiTheme="minorHAnsi" w:hAnsiTheme="minorHAnsi" w:cstheme="minorHAnsi"/>
                <w:sz w:val="21"/>
                <w:szCs w:val="21"/>
              </w:rPr>
              <w:t xml:space="preserve"> </w:t>
            </w:r>
          </w:p>
        </w:tc>
        <w:tc>
          <w:tcPr>
            <w:tcW w:w="639" w:type="pct"/>
            <w:tcBorders>
              <w:top w:val="single" w:sz="4" w:space="0" w:color="auto"/>
              <w:left w:val="single" w:sz="4" w:space="0" w:color="auto"/>
              <w:bottom w:val="single" w:sz="4" w:space="0" w:color="auto"/>
              <w:right w:val="single" w:sz="4" w:space="0" w:color="auto"/>
            </w:tcBorders>
          </w:tcPr>
          <w:p w14:paraId="3A43A547"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Level, reach, coverage, and quality of inputs, time taken</w:t>
            </w:r>
            <w:r>
              <w:rPr>
                <w:rFonts w:asciiTheme="minorHAnsi" w:hAnsiTheme="minorHAnsi" w:cstheme="minorHAnsi"/>
                <w:color w:val="auto"/>
                <w:sz w:val="21"/>
                <w:szCs w:val="21"/>
              </w:rPr>
              <w:t>.</w:t>
            </w:r>
          </w:p>
          <w:p w14:paraId="50286C9C"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Level and rate of expenditure</w:t>
            </w:r>
            <w:r>
              <w:rPr>
                <w:rFonts w:asciiTheme="minorHAnsi" w:hAnsiTheme="minorHAnsi" w:cstheme="minorHAnsi"/>
                <w:sz w:val="21"/>
                <w:szCs w:val="21"/>
              </w:rPr>
              <w:t>.</w:t>
            </w:r>
            <w:r w:rsidRPr="00F4392E">
              <w:rPr>
                <w:rFonts w:asciiTheme="minorHAnsi" w:hAnsiTheme="minorHAnsi" w:cstheme="minorHAnsi"/>
                <w:sz w:val="21"/>
                <w:szCs w:val="21"/>
              </w:rPr>
              <w:t xml:space="preserve"> </w:t>
            </w:r>
          </w:p>
        </w:tc>
        <w:tc>
          <w:tcPr>
            <w:tcW w:w="589" w:type="pct"/>
            <w:tcBorders>
              <w:top w:val="single" w:sz="4" w:space="0" w:color="auto"/>
              <w:left w:val="single" w:sz="4" w:space="0" w:color="auto"/>
              <w:bottom w:val="single" w:sz="4" w:space="0" w:color="auto"/>
              <w:right w:val="single" w:sz="4" w:space="0" w:color="auto"/>
            </w:tcBorders>
          </w:tcPr>
          <w:p w14:paraId="39DB7204"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Activity records regularly updated</w:t>
            </w:r>
            <w:r>
              <w:rPr>
                <w:rFonts w:asciiTheme="minorHAnsi" w:hAnsiTheme="minorHAnsi" w:cstheme="minorHAnsi"/>
                <w:color w:val="auto"/>
                <w:sz w:val="21"/>
                <w:szCs w:val="21"/>
              </w:rPr>
              <w:t>.</w:t>
            </w:r>
          </w:p>
          <w:p w14:paraId="32B1D906"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Financial records, accounts</w:t>
            </w:r>
            <w:r>
              <w:rPr>
                <w:rFonts w:asciiTheme="minorHAnsi" w:hAnsiTheme="minorHAnsi" w:cstheme="minorHAnsi"/>
                <w:sz w:val="21"/>
                <w:szCs w:val="21"/>
              </w:rPr>
              <w:t>.</w:t>
            </w:r>
          </w:p>
        </w:tc>
        <w:tc>
          <w:tcPr>
            <w:tcW w:w="673" w:type="pct"/>
            <w:tcBorders>
              <w:top w:val="single" w:sz="4" w:space="0" w:color="auto"/>
              <w:left w:val="single" w:sz="4" w:space="0" w:color="auto"/>
              <w:bottom w:val="single" w:sz="4" w:space="0" w:color="auto"/>
              <w:right w:val="single" w:sz="4" w:space="0" w:color="auto"/>
            </w:tcBorders>
          </w:tcPr>
          <w:p w14:paraId="6BDF7F4A"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Minimal</w:t>
            </w:r>
            <w:r>
              <w:rPr>
                <w:rFonts w:asciiTheme="minorHAnsi" w:hAnsiTheme="minorHAnsi" w:cstheme="minorHAnsi"/>
                <w:color w:val="auto"/>
                <w:sz w:val="21"/>
                <w:szCs w:val="21"/>
              </w:rPr>
              <w:t>.</w:t>
            </w:r>
          </w:p>
          <w:p w14:paraId="782317FD"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If records are not kept accurately and up-to-date, data will be compromised</w:t>
            </w:r>
            <w:r>
              <w:rPr>
                <w:rFonts w:asciiTheme="minorHAnsi" w:hAnsiTheme="minorHAnsi" w:cstheme="minorHAnsi"/>
                <w:color w:val="auto"/>
                <w:sz w:val="21"/>
                <w:szCs w:val="21"/>
              </w:rPr>
              <w:t>.</w:t>
            </w:r>
          </w:p>
          <w:p w14:paraId="755C4A81"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527" w:type="pct"/>
            <w:tcBorders>
              <w:top w:val="single" w:sz="4" w:space="0" w:color="auto"/>
              <w:left w:val="single" w:sz="4" w:space="0" w:color="auto"/>
              <w:bottom w:val="single" w:sz="4" w:space="0" w:color="auto"/>
              <w:right w:val="single" w:sz="4" w:space="0" w:color="auto"/>
            </w:tcBorders>
          </w:tcPr>
          <w:p w14:paraId="70A331F8"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3FC0E1B8"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Provincial Teams, Administrative and finance teams</w:t>
            </w:r>
            <w:r>
              <w:rPr>
                <w:rFonts w:asciiTheme="minorHAnsi" w:hAnsiTheme="minorHAnsi" w:cstheme="minorHAnsi"/>
                <w:sz w:val="21"/>
                <w:szCs w:val="21"/>
              </w:rPr>
              <w:t>.</w:t>
            </w:r>
          </w:p>
        </w:tc>
        <w:tc>
          <w:tcPr>
            <w:tcW w:w="405" w:type="pct"/>
            <w:tcBorders>
              <w:top w:val="single" w:sz="4" w:space="0" w:color="auto"/>
              <w:left w:val="single" w:sz="4" w:space="0" w:color="auto"/>
              <w:bottom w:val="single" w:sz="4" w:space="0" w:color="auto"/>
              <w:right w:val="single" w:sz="4" w:space="0" w:color="auto"/>
            </w:tcBorders>
          </w:tcPr>
          <w:p w14:paraId="65A0159A"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 xml:space="preserve">TBD </w:t>
            </w:r>
          </w:p>
        </w:tc>
        <w:tc>
          <w:tcPr>
            <w:tcW w:w="362" w:type="pct"/>
            <w:tcBorders>
              <w:top w:val="single" w:sz="4" w:space="0" w:color="auto"/>
              <w:left w:val="single" w:sz="4" w:space="0" w:color="auto"/>
              <w:bottom w:val="single" w:sz="4" w:space="0" w:color="auto"/>
              <w:right w:val="single" w:sz="4" w:space="0" w:color="auto"/>
            </w:tcBorders>
          </w:tcPr>
          <w:p w14:paraId="496992E8" w14:textId="77777777" w:rsidR="002E2FE4" w:rsidRPr="00F4392E" w:rsidRDefault="002E2FE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4392E">
              <w:rPr>
                <w:rFonts w:asciiTheme="minorHAnsi" w:hAnsiTheme="minorHAnsi" w:cstheme="minorHAnsi"/>
                <w:sz w:val="21"/>
                <w:szCs w:val="21"/>
              </w:rPr>
              <w:t>TBD</w:t>
            </w:r>
          </w:p>
        </w:tc>
        <w:tc>
          <w:tcPr>
            <w:tcW w:w="680" w:type="pct"/>
            <w:tcBorders>
              <w:top w:val="single" w:sz="4" w:space="0" w:color="auto"/>
              <w:left w:val="single" w:sz="4" w:space="0" w:color="auto"/>
              <w:bottom w:val="single" w:sz="4" w:space="0" w:color="auto"/>
              <w:right w:val="single" w:sz="4" w:space="0" w:color="auto"/>
            </w:tcBorders>
          </w:tcPr>
          <w:p w14:paraId="72359F93" w14:textId="77777777" w:rsidR="002E2FE4" w:rsidRPr="00F4392E" w:rsidRDefault="002E2FE4">
            <w:pPr>
              <w:pStyle w:val="BodyTextHang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 xml:space="preserve">Evidence to show: </w:t>
            </w:r>
          </w:p>
          <w:p w14:paraId="0E37CDAE" w14:textId="77777777" w:rsidR="002E2FE4" w:rsidRPr="00F4392E" w:rsidRDefault="002E2FE4" w:rsidP="008D1844">
            <w:pPr>
              <w:pStyle w:val="BodyTextHanging"/>
              <w:numPr>
                <w:ilvl w:val="0"/>
                <w:numId w:val="37"/>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efficiency of activities</w:t>
            </w:r>
            <w:r>
              <w:rPr>
                <w:rFonts w:asciiTheme="minorHAnsi" w:hAnsiTheme="minorHAnsi" w:cstheme="minorHAnsi"/>
                <w:color w:val="auto"/>
                <w:sz w:val="21"/>
                <w:szCs w:val="21"/>
              </w:rPr>
              <w:t>.</w:t>
            </w:r>
            <w:r w:rsidRPr="00F4392E">
              <w:rPr>
                <w:rFonts w:asciiTheme="minorHAnsi" w:hAnsiTheme="minorHAnsi" w:cstheme="minorHAnsi"/>
                <w:color w:val="auto"/>
                <w:sz w:val="21"/>
                <w:szCs w:val="21"/>
              </w:rPr>
              <w:t xml:space="preserve"> </w:t>
            </w:r>
          </w:p>
          <w:p w14:paraId="0DDA48AE" w14:textId="77777777" w:rsidR="002E2FE4" w:rsidRPr="00F4392E" w:rsidRDefault="002E2FE4" w:rsidP="008D1844">
            <w:pPr>
              <w:pStyle w:val="BodyTextHanging"/>
              <w:numPr>
                <w:ilvl w:val="0"/>
                <w:numId w:val="37"/>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F4392E">
              <w:rPr>
                <w:rFonts w:asciiTheme="minorHAnsi" w:hAnsiTheme="minorHAnsi" w:cstheme="minorHAnsi"/>
                <w:color w:val="auto"/>
                <w:sz w:val="21"/>
                <w:szCs w:val="21"/>
              </w:rPr>
              <w:t>budget execution</w:t>
            </w:r>
            <w:r>
              <w:rPr>
                <w:rFonts w:asciiTheme="minorHAnsi" w:hAnsiTheme="minorHAnsi" w:cstheme="minorHAnsi"/>
                <w:color w:val="auto"/>
                <w:sz w:val="21"/>
                <w:szCs w:val="21"/>
              </w:rPr>
              <w:t>.</w:t>
            </w:r>
          </w:p>
        </w:tc>
      </w:tr>
    </w:tbl>
    <w:p w14:paraId="7C8720F0" w14:textId="77777777" w:rsidR="002E2FE4" w:rsidRDefault="002E2FE4" w:rsidP="002E2FE4">
      <w:pPr>
        <w:spacing w:after="120" w:line="440" w:lineRule="atLeast"/>
        <w:rPr>
          <w:rFonts w:asciiTheme="majorHAnsi" w:eastAsiaTheme="majorEastAsia" w:hAnsiTheme="majorHAnsi" w:cstheme="majorBidi"/>
          <w:sz w:val="28"/>
          <w:szCs w:val="28"/>
        </w:rPr>
        <w:sectPr w:rsidR="002E2FE4" w:rsidSect="0027114E">
          <w:pgSz w:w="16838" w:h="11906" w:orient="landscape" w:code="9"/>
          <w:pgMar w:top="993" w:right="1701" w:bottom="1134" w:left="1418" w:header="425" w:footer="493" w:gutter="0"/>
          <w:cols w:space="397"/>
          <w:titlePg/>
          <w:docGrid w:linePitch="360"/>
        </w:sectPr>
      </w:pPr>
    </w:p>
    <w:p w14:paraId="6707925E" w14:textId="378C032C" w:rsidR="002E2FE4" w:rsidRPr="0051233F" w:rsidRDefault="002E2FE4" w:rsidP="006D2C49">
      <w:pPr>
        <w:pStyle w:val="Heading1"/>
        <w:rPr>
          <w:sz w:val="28"/>
          <w:u w:val="single"/>
        </w:rPr>
      </w:pPr>
      <w:r w:rsidRPr="0051233F">
        <w:rPr>
          <w:sz w:val="28"/>
          <w:szCs w:val="20"/>
          <w:u w:val="single"/>
        </w:rPr>
        <w:lastRenderedPageBreak/>
        <w:t xml:space="preserve">Annex </w:t>
      </w:r>
      <w:r w:rsidR="00475A9D">
        <w:rPr>
          <w:sz w:val="28"/>
          <w:u w:val="single"/>
        </w:rPr>
        <w:t>3</w:t>
      </w:r>
      <w:r w:rsidRPr="0051233F">
        <w:rPr>
          <w:sz w:val="28"/>
          <w:u w:val="single"/>
        </w:rPr>
        <w:t xml:space="preserve"> – Preliminary Gender Equality Analysis</w:t>
      </w:r>
    </w:p>
    <w:p w14:paraId="382B73B6" w14:textId="77777777" w:rsidR="00181C26" w:rsidRPr="002E2FE4" w:rsidRDefault="00181C26" w:rsidP="00D96358">
      <w:pPr>
        <w:spacing w:after="120" w:line="281" w:lineRule="auto"/>
        <w:ind w:left="284"/>
        <w:rPr>
          <w:rFonts w:asciiTheme="majorHAnsi" w:hAnsiTheme="majorHAnsi" w:cstheme="minorHAnsi"/>
          <w:sz w:val="22"/>
          <w:szCs w:val="22"/>
        </w:rPr>
      </w:pPr>
    </w:p>
    <w:p w14:paraId="31887677" w14:textId="01C8AC04" w:rsidR="00756EE9" w:rsidRPr="00651EF4" w:rsidRDefault="00756EE9" w:rsidP="008D1844">
      <w:pPr>
        <w:pStyle w:val="Heading1"/>
        <w:numPr>
          <w:ilvl w:val="0"/>
          <w:numId w:val="51"/>
        </w:numPr>
        <w:spacing w:after="120" w:line="281" w:lineRule="auto"/>
        <w:contextualSpacing w:val="0"/>
        <w:rPr>
          <w:rFonts w:cs="Times New Roman (Headings CS)"/>
          <w:caps w:val="0"/>
          <w:sz w:val="22"/>
          <w:szCs w:val="22"/>
        </w:rPr>
      </w:pPr>
      <w:r w:rsidRPr="00651EF4">
        <w:rPr>
          <w:rFonts w:cs="Times New Roman (Headings CS)"/>
          <w:caps w:val="0"/>
          <w:sz w:val="22"/>
          <w:szCs w:val="22"/>
        </w:rPr>
        <w:t xml:space="preserve">Introduction </w:t>
      </w:r>
      <w:bookmarkEnd w:id="46"/>
    </w:p>
    <w:p w14:paraId="5B3573E4" w14:textId="77777777" w:rsidR="00756EE9" w:rsidRPr="00BE4B19" w:rsidRDefault="00756EE9" w:rsidP="008D1844">
      <w:pPr>
        <w:pStyle w:val="ListParagraph"/>
        <w:numPr>
          <w:ilvl w:val="0"/>
          <w:numId w:val="41"/>
        </w:numPr>
        <w:spacing w:after="120" w:line="281" w:lineRule="auto"/>
        <w:ind w:left="0" w:firstLine="142"/>
        <w:rPr>
          <w:rFonts w:asciiTheme="majorHAnsi" w:hAnsiTheme="majorHAnsi"/>
          <w:b/>
          <w:bCs/>
          <w:sz w:val="22"/>
          <w:szCs w:val="22"/>
        </w:rPr>
      </w:pPr>
      <w:r w:rsidRPr="00BE4B19">
        <w:rPr>
          <w:rFonts w:asciiTheme="majorHAnsi" w:hAnsiTheme="majorHAnsi"/>
          <w:b/>
          <w:bCs/>
          <w:sz w:val="22"/>
          <w:szCs w:val="22"/>
        </w:rPr>
        <w:t>Purpose</w:t>
      </w:r>
    </w:p>
    <w:p w14:paraId="2CABE8AA" w14:textId="6F67B933" w:rsidR="00756EE9" w:rsidRPr="00C214C3" w:rsidRDefault="00756EE9" w:rsidP="00D96358">
      <w:pPr>
        <w:pStyle w:val="BodyText"/>
        <w:spacing w:after="120" w:line="281" w:lineRule="auto"/>
        <w:rPr>
          <w:rFonts w:asciiTheme="majorHAnsi" w:hAnsiTheme="majorHAnsi"/>
          <w:sz w:val="22"/>
          <w:szCs w:val="22"/>
        </w:rPr>
      </w:pPr>
      <w:r w:rsidRPr="00C214C3">
        <w:rPr>
          <w:rFonts w:asciiTheme="majorHAnsi" w:hAnsiTheme="majorHAnsi"/>
          <w:sz w:val="22"/>
          <w:szCs w:val="22"/>
        </w:rPr>
        <w:t>Innovation for Indonesia’s School Children (INOVASI) is a partnership between the Governments of Indonesia (</w:t>
      </w:r>
      <w:proofErr w:type="spellStart"/>
      <w:r w:rsidRPr="00C214C3">
        <w:rPr>
          <w:rFonts w:asciiTheme="majorHAnsi" w:hAnsiTheme="majorHAnsi"/>
          <w:sz w:val="22"/>
          <w:szCs w:val="22"/>
        </w:rPr>
        <w:t>GoI</w:t>
      </w:r>
      <w:proofErr w:type="spellEnd"/>
      <w:r w:rsidRPr="00C214C3">
        <w:rPr>
          <w:rFonts w:asciiTheme="majorHAnsi" w:hAnsiTheme="majorHAnsi"/>
          <w:sz w:val="22"/>
          <w:szCs w:val="22"/>
        </w:rPr>
        <w:t xml:space="preserve">) and Australia to identify and support changes to education practice, </w:t>
      </w:r>
      <w:r w:rsidR="00327288" w:rsidRPr="00C214C3">
        <w:rPr>
          <w:rFonts w:asciiTheme="majorHAnsi" w:hAnsiTheme="majorHAnsi"/>
          <w:sz w:val="22"/>
          <w:szCs w:val="22"/>
        </w:rPr>
        <w:t>systems,</w:t>
      </w:r>
      <w:r w:rsidRPr="00C214C3">
        <w:rPr>
          <w:rFonts w:asciiTheme="majorHAnsi" w:hAnsiTheme="majorHAnsi"/>
          <w:sz w:val="22"/>
          <w:szCs w:val="22"/>
        </w:rPr>
        <w:t xml:space="preserve"> and policy to accelerate learning outcomes for children. It includes Indonesia’s Ministry of Education, Culture, Research and Technology (</w:t>
      </w:r>
      <w:proofErr w:type="spellStart"/>
      <w:r w:rsidRPr="00C214C3">
        <w:rPr>
          <w:rFonts w:asciiTheme="majorHAnsi" w:hAnsiTheme="majorHAnsi"/>
          <w:sz w:val="22"/>
          <w:szCs w:val="22"/>
        </w:rPr>
        <w:t>MoECRT</w:t>
      </w:r>
      <w:proofErr w:type="spellEnd"/>
      <w:r w:rsidRPr="00C214C3">
        <w:rPr>
          <w:rFonts w:asciiTheme="majorHAnsi" w:hAnsiTheme="majorHAnsi"/>
          <w:sz w:val="22"/>
          <w:szCs w:val="22"/>
        </w:rPr>
        <w:t xml:space="preserve">), Ministry of Religious Affairs, the National Development Planning </w:t>
      </w:r>
      <w:r w:rsidR="00575ACA" w:rsidRPr="00C214C3">
        <w:rPr>
          <w:rFonts w:asciiTheme="majorHAnsi" w:hAnsiTheme="majorHAnsi"/>
          <w:sz w:val="22"/>
          <w:szCs w:val="22"/>
        </w:rPr>
        <w:t>Ministry,</w:t>
      </w:r>
      <w:r w:rsidRPr="00C214C3">
        <w:rPr>
          <w:rFonts w:asciiTheme="majorHAnsi" w:hAnsiTheme="majorHAnsi"/>
          <w:sz w:val="22"/>
          <w:szCs w:val="22"/>
        </w:rPr>
        <w:t xml:space="preserve"> and sub-national partners in the provinces of West Nusa Tenggara, East Nusa Tenggara, North </w:t>
      </w:r>
      <w:r w:rsidR="004A451D" w:rsidRPr="00C214C3">
        <w:rPr>
          <w:rFonts w:asciiTheme="majorHAnsi" w:hAnsiTheme="majorHAnsi"/>
          <w:sz w:val="22"/>
          <w:szCs w:val="22"/>
        </w:rPr>
        <w:t>Kalimantan,</w:t>
      </w:r>
      <w:r w:rsidRPr="00C214C3">
        <w:rPr>
          <w:rFonts w:asciiTheme="majorHAnsi" w:hAnsiTheme="majorHAnsi"/>
          <w:sz w:val="22"/>
          <w:szCs w:val="22"/>
        </w:rPr>
        <w:t xml:space="preserve"> and East Java. The initiative commenced as a four-year project in 2016 and has been followed by INOVASI Phase Two in 2019 and is now preparing for the third phase.</w:t>
      </w:r>
    </w:p>
    <w:p w14:paraId="5A099EBE" w14:textId="77777777" w:rsidR="00756EE9" w:rsidRPr="00BE4B19" w:rsidRDefault="00756EE9" w:rsidP="00D96358">
      <w:pPr>
        <w:pStyle w:val="BodyText"/>
        <w:spacing w:after="120" w:line="281" w:lineRule="auto"/>
        <w:rPr>
          <w:rFonts w:asciiTheme="majorHAnsi" w:hAnsiTheme="majorHAnsi"/>
          <w:sz w:val="22"/>
          <w:szCs w:val="22"/>
        </w:rPr>
      </w:pPr>
      <w:r w:rsidRPr="00C214C3">
        <w:rPr>
          <w:rFonts w:asciiTheme="majorHAnsi" w:hAnsiTheme="majorHAnsi"/>
          <w:sz w:val="22"/>
          <w:szCs w:val="22"/>
        </w:rPr>
        <w:t>Promoting Gender Equality Disability and Social Inclusion (GEDSI) has been a key focus of INOVASI. In Phase 2, a GEDSI Update</w:t>
      </w:r>
      <w:r w:rsidRPr="00C214C3">
        <w:rPr>
          <w:rStyle w:val="FootnoteReference"/>
          <w:rFonts w:asciiTheme="majorHAnsi" w:hAnsiTheme="majorHAnsi"/>
          <w:sz w:val="22"/>
          <w:szCs w:val="22"/>
        </w:rPr>
        <w:footnoteReference w:id="56"/>
      </w:r>
      <w:r w:rsidRPr="00C214C3">
        <w:rPr>
          <w:rFonts w:asciiTheme="majorHAnsi" w:hAnsiTheme="majorHAnsi"/>
          <w:sz w:val="22"/>
          <w:szCs w:val="22"/>
        </w:rPr>
        <w:t xml:space="preserve"> was developed to provide a program wide focus on boys and girls, persons with disability and other at-risk groups. It was designed as a refresh of INOVASI’s GEDSI Strategy (November 2020) and articulated the contribution </w:t>
      </w:r>
      <w:r w:rsidRPr="00BE4B19">
        <w:rPr>
          <w:rFonts w:asciiTheme="majorHAnsi" w:hAnsiTheme="majorHAnsi"/>
          <w:sz w:val="22"/>
          <w:szCs w:val="22"/>
        </w:rPr>
        <w:t>of GEDSI activities to INOVASI outcomes. Its key strategies focused on addressing the lack of gender responsive teaching and learning and the low numbers of women in principal and leadership positions.</w:t>
      </w:r>
    </w:p>
    <w:p w14:paraId="3E1BC8D3" w14:textId="285C9F10"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The purpose of this gender analysis is to guide the development of the Investment Design Document (IDD) for INOVASI Phase 3.  The analysis explores three key issues that have been recurring themes impacting on gender equality and women’s empowerment in the education sector. These issues have been highlighted in the two previous INOVASI phases, the ISR and specific project studies. The issues have been formulated into the following research questions:</w:t>
      </w:r>
    </w:p>
    <w:p w14:paraId="4AF40C69" w14:textId="77777777" w:rsidR="00756EE9" w:rsidRPr="00BE4B19" w:rsidRDefault="00756EE9" w:rsidP="008D1844">
      <w:pPr>
        <w:pStyle w:val="BodyText"/>
        <w:numPr>
          <w:ilvl w:val="0"/>
          <w:numId w:val="40"/>
        </w:numPr>
        <w:spacing w:after="120" w:line="281" w:lineRule="auto"/>
        <w:ind w:left="284" w:firstLine="0"/>
        <w:rPr>
          <w:rFonts w:asciiTheme="majorHAnsi" w:hAnsiTheme="majorHAnsi"/>
          <w:sz w:val="22"/>
          <w:szCs w:val="22"/>
        </w:rPr>
      </w:pPr>
      <w:r w:rsidRPr="00BE4B19">
        <w:rPr>
          <w:rFonts w:asciiTheme="majorHAnsi" w:hAnsiTheme="majorHAnsi"/>
          <w:sz w:val="22"/>
          <w:szCs w:val="22"/>
        </w:rPr>
        <w:t>What are the barriers to women’s representation in leadership positions in the Education Sector?</w:t>
      </w:r>
    </w:p>
    <w:p w14:paraId="0F8CF61C" w14:textId="1B9784E9" w:rsidR="00756EE9" w:rsidRPr="00BE4B19" w:rsidRDefault="00756EE9" w:rsidP="008D1844">
      <w:pPr>
        <w:pStyle w:val="BodyText"/>
        <w:numPr>
          <w:ilvl w:val="0"/>
          <w:numId w:val="40"/>
        </w:numPr>
        <w:spacing w:after="120" w:line="281" w:lineRule="auto"/>
        <w:ind w:left="284" w:firstLine="0"/>
        <w:rPr>
          <w:rFonts w:asciiTheme="majorHAnsi" w:hAnsiTheme="majorHAnsi"/>
          <w:sz w:val="22"/>
          <w:szCs w:val="22"/>
        </w:rPr>
      </w:pPr>
      <w:r w:rsidRPr="00BE4B19">
        <w:rPr>
          <w:rFonts w:asciiTheme="majorHAnsi" w:hAnsiTheme="majorHAnsi"/>
          <w:sz w:val="22"/>
          <w:szCs w:val="22"/>
        </w:rPr>
        <w:t xml:space="preserve">What are the barriers to girl’s agency and </w:t>
      </w:r>
      <w:r w:rsidR="00431ECE">
        <w:rPr>
          <w:rFonts w:asciiTheme="majorHAnsi" w:hAnsiTheme="majorHAnsi"/>
          <w:sz w:val="22"/>
          <w:szCs w:val="22"/>
        </w:rPr>
        <w:t>well-being</w:t>
      </w:r>
      <w:r w:rsidRPr="00BE4B19">
        <w:rPr>
          <w:rFonts w:asciiTheme="majorHAnsi" w:hAnsiTheme="majorHAnsi"/>
          <w:sz w:val="22"/>
          <w:szCs w:val="22"/>
        </w:rPr>
        <w:t xml:space="preserve"> in the school environment? </w:t>
      </w:r>
    </w:p>
    <w:p w14:paraId="2DCA3B1B" w14:textId="77777777" w:rsidR="00756EE9" w:rsidRPr="00BE4B19" w:rsidRDefault="00756EE9" w:rsidP="008D1844">
      <w:pPr>
        <w:pStyle w:val="BodyText"/>
        <w:numPr>
          <w:ilvl w:val="0"/>
          <w:numId w:val="40"/>
        </w:numPr>
        <w:spacing w:after="120" w:line="281" w:lineRule="auto"/>
        <w:ind w:left="284" w:firstLine="0"/>
        <w:rPr>
          <w:rFonts w:asciiTheme="majorHAnsi" w:hAnsiTheme="majorHAnsi"/>
          <w:sz w:val="22"/>
          <w:szCs w:val="22"/>
        </w:rPr>
      </w:pPr>
      <w:r w:rsidRPr="00BE4B19">
        <w:rPr>
          <w:rFonts w:asciiTheme="majorHAnsi" w:hAnsiTheme="majorHAnsi"/>
          <w:sz w:val="22"/>
          <w:szCs w:val="22"/>
        </w:rPr>
        <w:t>What are the reasons for boys’ lower learning outcomes in comparison to girls?</w:t>
      </w:r>
    </w:p>
    <w:p w14:paraId="424A57B8" w14:textId="77777777"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The analysis takes place within the context of a renewed focus on gender equality and women’s empowerment within the Australian Governments development program.</w:t>
      </w:r>
      <w:r w:rsidRPr="00BE4B19">
        <w:rPr>
          <w:rStyle w:val="FootnoteReference"/>
          <w:rFonts w:asciiTheme="majorHAnsi" w:hAnsiTheme="majorHAnsi"/>
          <w:sz w:val="22"/>
          <w:szCs w:val="22"/>
        </w:rPr>
        <w:footnoteReference w:id="57"/>
      </w:r>
      <w:r w:rsidRPr="00BE4B19">
        <w:rPr>
          <w:rFonts w:asciiTheme="majorHAnsi" w:hAnsiTheme="majorHAnsi"/>
          <w:sz w:val="22"/>
          <w:szCs w:val="22"/>
        </w:rPr>
        <w:t xml:space="preserve"> It is important to note that key policy and strategy documents that guide the development program are in the process of being updated or renewed, notably the new International Development Policy, the Gender Equality and Women’s Empowerment Strategy, and the Disability Inclusion Strategy.</w:t>
      </w:r>
    </w:p>
    <w:p w14:paraId="391410AD" w14:textId="77777777" w:rsidR="00756EE9" w:rsidRPr="00BE4B19" w:rsidRDefault="00756EE9" w:rsidP="008D1844">
      <w:pPr>
        <w:pStyle w:val="ListParagraph"/>
        <w:numPr>
          <w:ilvl w:val="0"/>
          <w:numId w:val="41"/>
        </w:numPr>
        <w:spacing w:after="120" w:line="281" w:lineRule="auto"/>
        <w:ind w:left="0" w:firstLine="142"/>
        <w:rPr>
          <w:rFonts w:asciiTheme="majorHAnsi" w:hAnsiTheme="majorHAnsi"/>
          <w:b/>
          <w:bCs/>
          <w:sz w:val="22"/>
          <w:szCs w:val="22"/>
        </w:rPr>
      </w:pPr>
      <w:r w:rsidRPr="00BE4B19">
        <w:rPr>
          <w:rFonts w:asciiTheme="majorHAnsi" w:hAnsiTheme="majorHAnsi"/>
          <w:b/>
          <w:bCs/>
          <w:sz w:val="22"/>
          <w:szCs w:val="22"/>
        </w:rPr>
        <w:t>Approach</w:t>
      </w:r>
    </w:p>
    <w:p w14:paraId="51D086BA" w14:textId="41E46EF4"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This gender analysis uses Rao and Kelleher’s ‘Gender at Work Analytical Framework’</w:t>
      </w:r>
      <w:r w:rsidRPr="00BE4B19">
        <w:rPr>
          <w:rStyle w:val="FootnoteReference"/>
          <w:rFonts w:asciiTheme="majorHAnsi" w:hAnsiTheme="majorHAnsi"/>
          <w:sz w:val="22"/>
          <w:szCs w:val="22"/>
        </w:rPr>
        <w:footnoteReference w:id="58"/>
      </w:r>
      <w:r w:rsidRPr="00BE4B19">
        <w:rPr>
          <w:rFonts w:asciiTheme="majorHAnsi" w:hAnsiTheme="majorHAnsi"/>
          <w:sz w:val="22"/>
          <w:szCs w:val="22"/>
        </w:rPr>
        <w:t xml:space="preserve"> as shown in Figure </w:t>
      </w:r>
      <w:r w:rsidR="008E2FB6">
        <w:rPr>
          <w:rFonts w:asciiTheme="majorHAnsi" w:hAnsiTheme="majorHAnsi"/>
          <w:sz w:val="22"/>
          <w:szCs w:val="22"/>
        </w:rPr>
        <w:t>C</w:t>
      </w:r>
      <w:r w:rsidRPr="00BE4B19">
        <w:rPr>
          <w:rFonts w:asciiTheme="majorHAnsi" w:hAnsiTheme="majorHAnsi"/>
          <w:sz w:val="22"/>
          <w:szCs w:val="22"/>
        </w:rPr>
        <w:t xml:space="preserve">. </w:t>
      </w:r>
      <w:r w:rsidRPr="00BE4B19">
        <w:rPr>
          <w:rFonts w:asciiTheme="majorHAnsi" w:hAnsiTheme="majorHAnsi"/>
          <w:sz w:val="22"/>
          <w:szCs w:val="22"/>
        </w:rPr>
        <w:fldChar w:fldCharType="begin"/>
      </w:r>
      <w:r w:rsidRPr="00BE4B19">
        <w:rPr>
          <w:rFonts w:asciiTheme="majorHAnsi" w:hAnsiTheme="majorHAnsi"/>
          <w:sz w:val="22"/>
          <w:szCs w:val="22"/>
        </w:rPr>
        <w:instrText xml:space="preserve"> INCLUDEPICTURE "https://genderatwork.org/wp-content/uploads/2022/12/Framework-graphic-REVISED-1024x724-1.png" \* MERGEFORMATINET </w:instrText>
      </w:r>
      <w:r w:rsidR="00006A86">
        <w:rPr>
          <w:rFonts w:asciiTheme="majorHAnsi" w:hAnsiTheme="majorHAnsi"/>
          <w:sz w:val="22"/>
          <w:szCs w:val="22"/>
        </w:rPr>
        <w:fldChar w:fldCharType="separate"/>
      </w:r>
      <w:r w:rsidRPr="00BE4B19">
        <w:rPr>
          <w:rFonts w:asciiTheme="majorHAnsi" w:hAnsiTheme="majorHAnsi"/>
          <w:sz w:val="22"/>
          <w:szCs w:val="22"/>
        </w:rPr>
        <w:fldChar w:fldCharType="end"/>
      </w:r>
      <w:r w:rsidRPr="00BE4B19">
        <w:rPr>
          <w:rFonts w:asciiTheme="majorHAnsi" w:hAnsiTheme="majorHAnsi"/>
          <w:sz w:val="22"/>
          <w:szCs w:val="22"/>
        </w:rPr>
        <w:t xml:space="preserve"> The framework identifies four factors implicated in inequality, that interact recursively with each other and at individual and system levels. All must be considered and worked on to make a real difference.  The </w:t>
      </w:r>
      <w:r w:rsidRPr="00BE4B19">
        <w:rPr>
          <w:rFonts w:asciiTheme="majorHAnsi" w:hAnsiTheme="majorHAnsi"/>
          <w:sz w:val="22"/>
          <w:szCs w:val="22"/>
        </w:rPr>
        <w:lastRenderedPageBreak/>
        <w:t>discussion starts by identifying the evidence for the problem. The analysis then begins with the lower left-hand quadrant, identifying the informal exclusionary norms at play at a collective, cultural level and their influence on individual consciousness and capabilities (top left-hand quadrant). It then moves to the lower right-hand quadrant to show where difference could be made to resources and individual agency (the top right-hand quadrant) by improving formal policies and rules as they are relevant to the three different problems discussed. The quadrants fit the three cases differently, resulting in different emphases.</w:t>
      </w:r>
    </w:p>
    <w:p w14:paraId="47CD6B28" w14:textId="63BF6F6C" w:rsidR="00756EE9" w:rsidRPr="00D96358" w:rsidRDefault="00756EE9" w:rsidP="00651EF4">
      <w:pPr>
        <w:pStyle w:val="BodyText"/>
        <w:spacing w:after="120" w:line="281" w:lineRule="auto"/>
        <w:jc w:val="center"/>
        <w:rPr>
          <w:rFonts w:asciiTheme="majorHAnsi" w:hAnsiTheme="majorHAnsi"/>
          <w:b/>
          <w:sz w:val="22"/>
          <w:szCs w:val="22"/>
        </w:rPr>
      </w:pPr>
      <w:r w:rsidRPr="00D96358">
        <w:rPr>
          <w:rFonts w:asciiTheme="majorHAnsi" w:hAnsiTheme="majorHAnsi"/>
          <w:b/>
          <w:sz w:val="22"/>
          <w:szCs w:val="22"/>
        </w:rPr>
        <w:t xml:space="preserve">Figure </w:t>
      </w:r>
      <w:r w:rsidR="008E2FB6" w:rsidRPr="00D96358">
        <w:rPr>
          <w:rFonts w:asciiTheme="majorHAnsi" w:hAnsiTheme="majorHAnsi"/>
          <w:b/>
          <w:sz w:val="22"/>
          <w:szCs w:val="22"/>
        </w:rPr>
        <w:t>C</w:t>
      </w:r>
      <w:r w:rsidRPr="00D96358">
        <w:rPr>
          <w:rFonts w:asciiTheme="majorHAnsi" w:hAnsiTheme="majorHAnsi"/>
          <w:b/>
          <w:sz w:val="22"/>
          <w:szCs w:val="22"/>
        </w:rPr>
        <w:t xml:space="preserve"> – Gender at Work Analytical Framework’</w:t>
      </w:r>
    </w:p>
    <w:p w14:paraId="2E94B25A" w14:textId="77777777" w:rsidR="00756EE9" w:rsidRPr="00BE4B19" w:rsidRDefault="00756EE9" w:rsidP="00651EF4">
      <w:pPr>
        <w:pStyle w:val="BodyText"/>
        <w:spacing w:after="120" w:line="281" w:lineRule="auto"/>
        <w:jc w:val="center"/>
        <w:rPr>
          <w:rFonts w:asciiTheme="majorHAnsi" w:hAnsiTheme="majorHAnsi"/>
          <w:sz w:val="22"/>
          <w:szCs w:val="22"/>
        </w:rPr>
      </w:pPr>
      <w:bookmarkStart w:id="88" w:name="_Toc134339978"/>
      <w:r w:rsidRPr="00BE4B19">
        <w:rPr>
          <w:rFonts w:asciiTheme="majorHAnsi" w:hAnsiTheme="majorHAnsi"/>
          <w:noProof/>
          <w:sz w:val="22"/>
          <w:szCs w:val="22"/>
        </w:rPr>
        <w:drawing>
          <wp:inline distT="0" distB="0" distL="0" distR="0" wp14:anchorId="0BE21F63" wp14:editId="5C6F3D40">
            <wp:extent cx="3466481" cy="2453461"/>
            <wp:effectExtent l="12700" t="12700" r="13335" b="10795"/>
            <wp:docPr id="6" name="Picture 6" descr="The Gender at Work Analytical Framework consists of four quadrants. From the middle on upper right, the first quadrant is Resources, then to the bottom right is Formal Rules and Policies, then to the bottom left is Informal Norms and Exclusionary Practices, and finally to the upper left is Consciousness and Capabilities. There are also four levels, in clockwise from the middle is the Individual, then to the right is formal, then to the bottom is systemic and finally to the left is inf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ender at Work Analytical Framework consists of four quadrants. From the middle on upper right, the first quadrant is Resources, then to the bottom right is Formal Rules and Policies, then to the bottom left is Informal Norms and Exclusionary Practices, and finally to the upper left is Consciousness and Capabilities. There are also four levels, in clockwise from the middle is the Individual, then to the right is formal, then to the bottom is systemic and finally to the left is informa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70730" cy="2456469"/>
                    </a:xfrm>
                    <a:prstGeom prst="rect">
                      <a:avLst/>
                    </a:prstGeom>
                    <a:noFill/>
                    <a:ln>
                      <a:solidFill>
                        <a:prstClr val="black"/>
                      </a:solidFill>
                    </a:ln>
                  </pic:spPr>
                </pic:pic>
              </a:graphicData>
            </a:graphic>
          </wp:inline>
        </w:drawing>
      </w:r>
      <w:bookmarkEnd w:id="88"/>
    </w:p>
    <w:p w14:paraId="198AF1DA" w14:textId="46DC5F15"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 xml:space="preserve">Overall, the use of the framework enables the identification of driving forces behind the key issues that constrain opportunities of girls, boys, </w:t>
      </w:r>
      <w:r w:rsidR="007271B6" w:rsidRPr="00BE4B19">
        <w:rPr>
          <w:rFonts w:asciiTheme="majorHAnsi" w:hAnsiTheme="majorHAnsi"/>
          <w:sz w:val="22"/>
          <w:szCs w:val="22"/>
        </w:rPr>
        <w:t>women,</w:t>
      </w:r>
      <w:r w:rsidRPr="00BE4B19">
        <w:rPr>
          <w:rFonts w:asciiTheme="majorHAnsi" w:hAnsiTheme="majorHAnsi"/>
          <w:sz w:val="22"/>
          <w:szCs w:val="22"/>
        </w:rPr>
        <w:t xml:space="preserve"> and men to participate in the benefits of education based on their gender. </w:t>
      </w:r>
      <w:bookmarkStart w:id="89" w:name="_Toc135387113"/>
    </w:p>
    <w:p w14:paraId="026CF2CB" w14:textId="77777777" w:rsidR="00756EE9" w:rsidRPr="00BE4B19" w:rsidRDefault="00756EE9" w:rsidP="008D1844">
      <w:pPr>
        <w:pStyle w:val="ListParagraph"/>
        <w:numPr>
          <w:ilvl w:val="0"/>
          <w:numId w:val="41"/>
        </w:numPr>
        <w:spacing w:after="120" w:line="281" w:lineRule="auto"/>
        <w:ind w:left="0" w:firstLine="142"/>
        <w:rPr>
          <w:rFonts w:asciiTheme="majorHAnsi" w:hAnsiTheme="majorHAnsi"/>
          <w:b/>
          <w:bCs/>
          <w:sz w:val="22"/>
          <w:szCs w:val="22"/>
        </w:rPr>
      </w:pPr>
      <w:r w:rsidRPr="00BE4B19">
        <w:rPr>
          <w:rFonts w:asciiTheme="majorHAnsi" w:hAnsiTheme="majorHAnsi"/>
          <w:b/>
          <w:bCs/>
          <w:sz w:val="22"/>
          <w:szCs w:val="22"/>
        </w:rPr>
        <w:t>Methodology</w:t>
      </w:r>
    </w:p>
    <w:p w14:paraId="28AB0ADF" w14:textId="77777777"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A review of secondary data was completed to explore the qualitative and quantitative information available through grey literature.  Sources were included based on their relevance to Indonesia and to education, gender equality, child rights and disability inclusion. Documents from INOVASI Phases 1 and 2 were prioritised, including specific research studies and the ISR report.</w:t>
      </w:r>
    </w:p>
    <w:p w14:paraId="44CCDE89" w14:textId="09561F63"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Primary data was collected during April-May 2023, with an emphasis on the collection of in-depth qualitative information to understand participants’ perceptions and opinions. Interviews of key informants and Focus Group Discussions (FGD) were used to engage stakeholders. Criteria for selecting informants included their role or experience in either gender equality, disability inclusion, child rights and education in the Indonesian context. This included government officials, Organisations of Persons with Disability (</w:t>
      </w:r>
      <w:r w:rsidR="000E55CE">
        <w:rPr>
          <w:rFonts w:asciiTheme="majorHAnsi" w:hAnsiTheme="majorHAnsi"/>
          <w:sz w:val="22"/>
          <w:szCs w:val="22"/>
        </w:rPr>
        <w:t>OPDs</w:t>
      </w:r>
      <w:r w:rsidRPr="00BE4B19">
        <w:rPr>
          <w:rFonts w:asciiTheme="majorHAnsi" w:hAnsiTheme="majorHAnsi"/>
          <w:sz w:val="22"/>
          <w:szCs w:val="22"/>
        </w:rPr>
        <w:t>), women’s rights organisations, gender equality specialists, research institutions, primary and secondary school principals, and teachers and students. Stakeholders consulted included males and females, and persons with disability (see Annex A).</w:t>
      </w:r>
    </w:p>
    <w:p w14:paraId="0282103B" w14:textId="2492D82A"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Key informant interviews and FGD were facilitated in a way that promoted active participation from stakeholders</w:t>
      </w:r>
      <w:r w:rsidR="00221415">
        <w:rPr>
          <w:rFonts w:asciiTheme="majorHAnsi" w:hAnsiTheme="majorHAnsi"/>
          <w:sz w:val="22"/>
          <w:szCs w:val="22"/>
        </w:rPr>
        <w:t>,</w:t>
      </w:r>
      <w:r w:rsidRPr="00BE4B19">
        <w:rPr>
          <w:rFonts w:asciiTheme="majorHAnsi" w:hAnsiTheme="majorHAnsi"/>
          <w:sz w:val="22"/>
          <w:szCs w:val="22"/>
        </w:rPr>
        <w:t xml:space="preserve"> participants were each encouraged to share their views and those with specific needs were accommodated to ensure they could answer the questions easily. Effort was made to make participants feel comfortable, particularly female participants, many of whom were discussing sensitive issues for the first time. </w:t>
      </w:r>
    </w:p>
    <w:p w14:paraId="08E564A9" w14:textId="77777777" w:rsidR="00FE4022" w:rsidRDefault="00FE4022" w:rsidP="00D96358">
      <w:pPr>
        <w:pStyle w:val="BodyText"/>
        <w:spacing w:after="120" w:line="281" w:lineRule="auto"/>
        <w:rPr>
          <w:rFonts w:asciiTheme="majorHAnsi" w:hAnsiTheme="majorHAnsi"/>
          <w:sz w:val="22"/>
          <w:szCs w:val="22"/>
        </w:rPr>
      </w:pPr>
    </w:p>
    <w:p w14:paraId="52B54E78" w14:textId="0EDC9590"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A ‘Do No Harm’ Approach was taken to the collection of primary data with specific strategies being used to mitigate risk and protect the confidentiality of participants. The location for the interviews and focus group discussions was chosen based on perceived sensitivity of the participants. For example, face to face interviews were conducted with female principals instead of being carried out online, given the high probability of sensitive data being shared and the need for a safe space to be held by the facilitator to support this sharing. The team was prepared for disclosures of Gender Based Violence (GBV)</w:t>
      </w:r>
      <w:r w:rsidR="00221415">
        <w:rPr>
          <w:rFonts w:asciiTheme="majorHAnsi" w:hAnsiTheme="majorHAnsi"/>
          <w:sz w:val="22"/>
          <w:szCs w:val="22"/>
        </w:rPr>
        <w:t>,</w:t>
      </w:r>
      <w:r w:rsidRPr="00BE4B19">
        <w:rPr>
          <w:rFonts w:asciiTheme="majorHAnsi" w:hAnsiTheme="majorHAnsi"/>
          <w:sz w:val="22"/>
          <w:szCs w:val="22"/>
        </w:rPr>
        <w:t xml:space="preserve"> however, there were no direct reports from participants. The process for ensuring confidentiality of information was explained to participants, including the way personal data would be stored.</w:t>
      </w:r>
    </w:p>
    <w:p w14:paraId="109043CA" w14:textId="77777777"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On completion of data collection, the data was analysed according to the type and frequency of themes that were emerging to identify trends and patterns. The analysis produced insights that support the understanding of the root causes of the three key areas of enquiry. However, there were some limitations to the quantity and quality of data obtained. For example, there was a lack of publicly available disaggregated data to apply an intersectional analysis to education outcomes for children and leadership opportunities for teachers.  There was also a different conceptual understanding of gender, as understood in the Convention on the Elimination of All Forms of Discrimination Against Women and that of participants interviewed. Gender equality was commonly understood by participants as ‘sameness’ which effected the quality of the responses provided – the concept of equity was less recognised. For example, when the issues of opportunities for leadership by women in the education sector was discussed with stakeholders, the argument was used that there is no written regulation that prevents women from becoming principals.</w:t>
      </w:r>
    </w:p>
    <w:p w14:paraId="09855FF9" w14:textId="77777777" w:rsidR="00756EE9" w:rsidRPr="00651EF4" w:rsidRDefault="00756EE9" w:rsidP="008D1844">
      <w:pPr>
        <w:pStyle w:val="Heading1"/>
        <w:numPr>
          <w:ilvl w:val="0"/>
          <w:numId w:val="51"/>
        </w:numPr>
        <w:spacing w:after="120" w:line="281" w:lineRule="auto"/>
        <w:contextualSpacing w:val="0"/>
        <w:rPr>
          <w:rFonts w:cs="Times New Roman (Headings CS)"/>
          <w:caps w:val="0"/>
          <w:sz w:val="22"/>
          <w:szCs w:val="22"/>
        </w:rPr>
      </w:pPr>
      <w:r w:rsidRPr="00651EF4">
        <w:rPr>
          <w:rFonts w:cs="Times New Roman (Headings CS)"/>
          <w:caps w:val="0"/>
          <w:sz w:val="22"/>
          <w:szCs w:val="22"/>
        </w:rPr>
        <w:t>Context of gender equality in Indonesia</w:t>
      </w:r>
    </w:p>
    <w:p w14:paraId="5CBF80CA" w14:textId="77777777"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 xml:space="preserve">Indonesia holds strong commitments to gender equality, disability inclusion and inclusive education.  This is demonstrated by the ratification of the Convention on the Elimination of all Forms of Discrimination against Women (1984), the Convention on the Rights of the Child (1990), and the Convention on the Rights of Persons with Disability (2011). The Indonesian government has committed to the United Nations’ Sustainable Development Goals ‘to </w:t>
      </w:r>
      <w:r w:rsidRPr="00BE4B19">
        <w:rPr>
          <w:rFonts w:asciiTheme="majorHAnsi" w:hAnsiTheme="majorHAnsi" w:cstheme="minorHAnsi"/>
          <w:sz w:val="22"/>
          <w:szCs w:val="22"/>
          <w:lang w:eastAsia="en-ID"/>
        </w:rPr>
        <w:t>achieve gender equality and empower all women and girls’ and more specifically ‘</w:t>
      </w:r>
      <w:r w:rsidRPr="00BE4B19">
        <w:rPr>
          <w:rFonts w:asciiTheme="majorHAnsi" w:hAnsiTheme="majorHAnsi"/>
          <w:sz w:val="22"/>
          <w:szCs w:val="22"/>
        </w:rPr>
        <w:t>to eliminate all harmful practices, such as child, early and forced marriage’.</w:t>
      </w:r>
      <w:r w:rsidRPr="00BE4B19">
        <w:rPr>
          <w:rFonts w:asciiTheme="majorHAnsi" w:hAnsiTheme="majorHAnsi" w:cstheme="minorHAnsi"/>
          <w:i/>
          <w:iCs/>
          <w:sz w:val="22"/>
          <w:szCs w:val="22"/>
          <w:lang w:eastAsia="en-ID"/>
        </w:rPr>
        <w:t xml:space="preserve"> </w:t>
      </w:r>
      <w:r w:rsidRPr="00BE4B19">
        <w:rPr>
          <w:rFonts w:asciiTheme="majorHAnsi" w:hAnsiTheme="majorHAnsi"/>
          <w:sz w:val="22"/>
          <w:szCs w:val="22"/>
        </w:rPr>
        <w:t>As a member of Association of Southeast Nations, Indonesia also shares the commitment to the ASEAN Regional Plan of Action on the Elimination of Violence against Children 2016-2025</w:t>
      </w:r>
      <w:r w:rsidRPr="00BE4B19">
        <w:rPr>
          <w:rStyle w:val="FootnoteReference"/>
          <w:rFonts w:asciiTheme="majorHAnsi" w:hAnsiTheme="majorHAnsi"/>
          <w:sz w:val="22"/>
          <w:szCs w:val="22"/>
        </w:rPr>
        <w:footnoteReference w:id="59"/>
      </w:r>
      <w:r w:rsidRPr="00BE4B19">
        <w:rPr>
          <w:rFonts w:asciiTheme="majorHAnsi" w:hAnsiTheme="majorHAnsi"/>
          <w:sz w:val="22"/>
          <w:szCs w:val="22"/>
        </w:rPr>
        <w:t>.</w:t>
      </w:r>
    </w:p>
    <w:p w14:paraId="39BC9B1A" w14:textId="77777777"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 xml:space="preserve">The integration of gender equality into the education sector was adopted by the </w:t>
      </w:r>
      <w:proofErr w:type="spellStart"/>
      <w:r w:rsidRPr="00BE4B19">
        <w:rPr>
          <w:rFonts w:asciiTheme="majorHAnsi" w:hAnsiTheme="majorHAnsi"/>
          <w:sz w:val="22"/>
          <w:szCs w:val="22"/>
        </w:rPr>
        <w:t>MoECRT</w:t>
      </w:r>
      <w:proofErr w:type="spellEnd"/>
      <w:r w:rsidRPr="00BE4B19">
        <w:rPr>
          <w:rFonts w:asciiTheme="majorHAnsi" w:hAnsiTheme="majorHAnsi"/>
          <w:sz w:val="22"/>
          <w:szCs w:val="22"/>
        </w:rPr>
        <w:t xml:space="preserve"> in 2008 through the lens of ‘mainstreaming’, which means the needs, priorities and experiences of girls and boys, men and women were incorporated into all policies and programs. The Ministry also developed standards and indicators of gender-responsive education which covered eight elements of the national education standards.</w:t>
      </w:r>
      <w:r w:rsidRPr="00BE4B19">
        <w:rPr>
          <w:rStyle w:val="FootnoteReference"/>
          <w:rFonts w:asciiTheme="majorHAnsi" w:hAnsiTheme="majorHAnsi"/>
          <w:sz w:val="22"/>
          <w:szCs w:val="22"/>
        </w:rPr>
        <w:footnoteReference w:id="60"/>
      </w:r>
      <w:r w:rsidRPr="00BE4B19">
        <w:rPr>
          <w:rFonts w:asciiTheme="majorHAnsi" w:hAnsiTheme="majorHAnsi"/>
          <w:sz w:val="22"/>
          <w:szCs w:val="22"/>
        </w:rPr>
        <w:t xml:space="preserve"> </w:t>
      </w:r>
    </w:p>
    <w:p w14:paraId="1397067F" w14:textId="3DD6797E"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Gender equality has progressed in education at the national level. Indonesia has improved its Gender Parity Index (GPI) for school participation for primary aged children (7–12) from 0.89 in 1971 to 1.00 in 2018</w:t>
      </w:r>
      <w:r w:rsidR="00221415">
        <w:rPr>
          <w:rFonts w:asciiTheme="majorHAnsi" w:hAnsiTheme="majorHAnsi"/>
          <w:sz w:val="22"/>
          <w:szCs w:val="22"/>
        </w:rPr>
        <w:t>,</w:t>
      </w:r>
      <w:r w:rsidRPr="00BE4B19">
        <w:rPr>
          <w:rFonts w:asciiTheme="majorHAnsi" w:hAnsiTheme="majorHAnsi"/>
          <w:sz w:val="22"/>
          <w:szCs w:val="22"/>
        </w:rPr>
        <w:t xml:space="preserve"> and </w:t>
      </w:r>
      <w:r w:rsidRPr="00BE4B19">
        <w:rPr>
          <w:rFonts w:asciiTheme="majorHAnsi" w:hAnsiTheme="majorHAnsi"/>
          <w:sz w:val="22"/>
          <w:szCs w:val="22"/>
        </w:rPr>
        <w:lastRenderedPageBreak/>
        <w:t>through to the end of senior secondary school the national GPI is 1.02</w:t>
      </w:r>
      <w:r w:rsidRPr="00BE4B19">
        <w:rPr>
          <w:rStyle w:val="FootnoteReference"/>
          <w:rFonts w:asciiTheme="majorHAnsi" w:hAnsiTheme="majorHAnsi" w:cs="Helvetica Neue"/>
          <w:sz w:val="22"/>
          <w:szCs w:val="22"/>
          <w:lang w:val="en-GB"/>
        </w:rPr>
        <w:footnoteReference w:id="61"/>
      </w:r>
      <w:r w:rsidRPr="00BE4B19">
        <w:rPr>
          <w:rFonts w:asciiTheme="majorHAnsi" w:hAnsiTheme="majorHAnsi" w:cs="Helvetica Neue"/>
          <w:sz w:val="22"/>
          <w:szCs w:val="22"/>
          <w:lang w:val="en-GB"/>
        </w:rPr>
        <w:t>.</w:t>
      </w:r>
      <w:r w:rsidRPr="00BE4B19">
        <w:rPr>
          <w:rStyle w:val="FootnoteReference"/>
          <w:rFonts w:asciiTheme="majorHAnsi" w:hAnsiTheme="majorHAnsi" w:cs="Helvetica Neue"/>
          <w:sz w:val="22"/>
          <w:szCs w:val="22"/>
          <w:lang w:val="en-GB"/>
        </w:rPr>
        <w:t xml:space="preserve"> </w:t>
      </w:r>
      <w:r w:rsidRPr="00BE4B19">
        <w:rPr>
          <w:rFonts w:asciiTheme="majorHAnsi" w:hAnsiTheme="majorHAnsi"/>
          <w:sz w:val="22"/>
          <w:szCs w:val="22"/>
        </w:rPr>
        <w:t>Girls also outperform boys in Indonesia in learning both in primary and at secondary level, as indicated by PISA results.</w:t>
      </w:r>
      <w:r w:rsidRPr="00BE4B19">
        <w:rPr>
          <w:rStyle w:val="FootnoteReference"/>
          <w:rFonts w:asciiTheme="majorHAnsi" w:hAnsiTheme="majorHAnsi"/>
          <w:sz w:val="22"/>
          <w:szCs w:val="22"/>
        </w:rPr>
        <w:footnoteReference w:id="62"/>
      </w:r>
      <w:r w:rsidRPr="00BE4B19">
        <w:rPr>
          <w:rFonts w:asciiTheme="majorHAnsi" w:hAnsiTheme="majorHAnsi" w:cs="Helvetica Neue"/>
          <w:sz w:val="22"/>
          <w:szCs w:val="22"/>
          <w:lang w:val="en-GB"/>
        </w:rPr>
        <w:t xml:space="preserve"> </w:t>
      </w:r>
    </w:p>
    <w:p w14:paraId="23E0E5A5" w14:textId="77777777"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Whilst on the surface, this may indicate that gender equality is skewed towards females in the education sector, a more complex picture needs to be understood. As stated by a GOI official, “equal access does not guarantee equality. Achieving gender equality in education requires equal opportunity for females and males, and that they are treated equally and fairly. This will in turn translate to greater equality … beyond education, to equality of opportunities in the labour market and other spheres of life.”</w:t>
      </w:r>
      <w:r w:rsidRPr="00BE4B19">
        <w:rPr>
          <w:rStyle w:val="FootnoteReference"/>
          <w:rFonts w:asciiTheme="majorHAnsi" w:hAnsiTheme="majorHAnsi" w:cs="Calibri"/>
          <w:sz w:val="22"/>
          <w:szCs w:val="22"/>
        </w:rPr>
        <w:footnoteReference w:id="63"/>
      </w:r>
    </w:p>
    <w:p w14:paraId="05D6A491" w14:textId="77777777" w:rsidR="00756EE9" w:rsidRPr="00BE4B19" w:rsidRDefault="00756EE9" w:rsidP="00D96358">
      <w:pPr>
        <w:spacing w:after="120" w:line="281" w:lineRule="auto"/>
        <w:rPr>
          <w:rFonts w:asciiTheme="majorHAnsi" w:hAnsiTheme="majorHAnsi" w:cstheme="minorHAnsi"/>
          <w:sz w:val="22"/>
          <w:szCs w:val="22"/>
        </w:rPr>
      </w:pPr>
      <w:r w:rsidRPr="00BE4B19">
        <w:rPr>
          <w:rFonts w:asciiTheme="majorHAnsi" w:hAnsiTheme="majorHAnsi"/>
          <w:sz w:val="22"/>
          <w:szCs w:val="22"/>
        </w:rPr>
        <w:t xml:space="preserve">It is precisely in these other spheres of life that the situation of women and girls in Indonesia is generally characterised by inequality when compared to boys and men, as illustrated by the UNDP </w:t>
      </w:r>
      <w:r w:rsidRPr="00BE4B19">
        <w:rPr>
          <w:rFonts w:asciiTheme="majorHAnsi" w:hAnsiTheme="majorHAnsi" w:cs="Calibri"/>
          <w:sz w:val="22"/>
          <w:szCs w:val="22"/>
        </w:rPr>
        <w:t>Gender Inequality Index, where Indonesia is ranked 110th out of 191 countries</w:t>
      </w:r>
      <w:r w:rsidRPr="00BE4B19">
        <w:rPr>
          <w:rStyle w:val="FootnoteReference"/>
          <w:rFonts w:asciiTheme="majorHAnsi" w:hAnsiTheme="majorHAnsi" w:cs="Calibri"/>
          <w:sz w:val="22"/>
          <w:szCs w:val="22"/>
        </w:rPr>
        <w:footnoteReference w:id="64"/>
      </w:r>
      <w:r w:rsidRPr="00BE4B19">
        <w:rPr>
          <w:rFonts w:asciiTheme="majorHAnsi" w:hAnsiTheme="majorHAnsi" w:cs="Calibri"/>
          <w:sz w:val="22"/>
          <w:szCs w:val="22"/>
        </w:rPr>
        <w:t xml:space="preserve">. For instance, gender </w:t>
      </w:r>
      <w:r w:rsidRPr="00BE4B19">
        <w:rPr>
          <w:rFonts w:asciiTheme="majorHAnsi" w:hAnsiTheme="majorHAnsi"/>
          <w:sz w:val="22"/>
          <w:szCs w:val="22"/>
        </w:rPr>
        <w:t xml:space="preserve">inequality manifests itself in limited economic opportunities for women and the limited presence of women in leadership and/or positions of power. </w:t>
      </w:r>
      <w:r w:rsidRPr="00BE4B19">
        <w:rPr>
          <w:rFonts w:asciiTheme="majorHAnsi" w:hAnsiTheme="majorHAnsi" w:cstheme="minorHAnsi"/>
          <w:sz w:val="22"/>
          <w:szCs w:val="22"/>
        </w:rPr>
        <w:t>Seventy per cent of Indonesia’s female workforce is in the in low paying, low-skilled informal sector, earning only half of men's estimated income, and resulting in greater rates of poverty and vulnerability to economic shocks and downturns such as the COVID-19 pandemic. In the civil service sector, women are under-represented at all echelon levels, for example</w:t>
      </w:r>
      <w:r w:rsidRPr="00BE4B19">
        <w:rPr>
          <w:rFonts w:asciiTheme="majorHAnsi" w:hAnsiTheme="majorHAnsi"/>
          <w:sz w:val="22"/>
          <w:szCs w:val="22"/>
        </w:rPr>
        <w:t xml:space="preserve"> only 16% of </w:t>
      </w:r>
      <w:r w:rsidRPr="00BE4B19">
        <w:rPr>
          <w:rFonts w:asciiTheme="majorHAnsi" w:hAnsiTheme="majorHAnsi" w:cstheme="minorHAnsi"/>
          <w:sz w:val="22"/>
          <w:szCs w:val="22"/>
        </w:rPr>
        <w:t xml:space="preserve">Echelon Level 2 </w:t>
      </w:r>
      <w:r w:rsidRPr="00BE4B19">
        <w:rPr>
          <w:rFonts w:asciiTheme="majorHAnsi" w:hAnsiTheme="majorHAnsi"/>
          <w:sz w:val="22"/>
          <w:szCs w:val="22"/>
        </w:rPr>
        <w:t>employees (</w:t>
      </w:r>
      <w:r w:rsidRPr="00BE4B19">
        <w:rPr>
          <w:rFonts w:asciiTheme="majorHAnsi" w:hAnsiTheme="majorHAnsi" w:cstheme="minorHAnsi"/>
          <w:sz w:val="22"/>
          <w:szCs w:val="22"/>
        </w:rPr>
        <w:t>from which the top civil servants</w:t>
      </w:r>
      <w:r w:rsidRPr="00BE4B19">
        <w:rPr>
          <w:rFonts w:asciiTheme="majorHAnsi" w:hAnsiTheme="majorHAnsi"/>
          <w:sz w:val="22"/>
          <w:szCs w:val="22"/>
        </w:rPr>
        <w:t xml:space="preserve"> are drawn) are female.</w:t>
      </w:r>
      <w:r w:rsidRPr="00BE4B19">
        <w:rPr>
          <w:rStyle w:val="FootnoteReference"/>
          <w:rFonts w:asciiTheme="majorHAnsi" w:hAnsiTheme="majorHAnsi" w:cstheme="minorHAnsi"/>
          <w:sz w:val="22"/>
          <w:szCs w:val="22"/>
        </w:rPr>
        <w:footnoteReference w:id="65"/>
      </w:r>
      <w:r w:rsidRPr="00BE4B19">
        <w:rPr>
          <w:rFonts w:asciiTheme="majorHAnsi" w:hAnsiTheme="majorHAnsi" w:cstheme="minorHAnsi"/>
          <w:sz w:val="22"/>
          <w:szCs w:val="22"/>
        </w:rPr>
        <w:t xml:space="preserve"> </w:t>
      </w:r>
      <w:r w:rsidRPr="00BE4B19">
        <w:rPr>
          <w:rFonts w:asciiTheme="majorHAnsi" w:hAnsiTheme="majorHAnsi"/>
          <w:sz w:val="22"/>
          <w:szCs w:val="22"/>
        </w:rPr>
        <w:t xml:space="preserve"> This is despite the Law on State Civil Administration</w:t>
      </w:r>
      <w:r w:rsidRPr="00BE4B19">
        <w:rPr>
          <w:rStyle w:val="FootnoteReference"/>
          <w:rFonts w:asciiTheme="majorHAnsi" w:hAnsiTheme="majorHAnsi"/>
          <w:sz w:val="22"/>
          <w:szCs w:val="22"/>
        </w:rPr>
        <w:footnoteReference w:id="66"/>
      </w:r>
      <w:r w:rsidRPr="00BE4B19">
        <w:rPr>
          <w:rFonts w:asciiTheme="majorHAnsi" w:hAnsiTheme="majorHAnsi"/>
          <w:sz w:val="22"/>
          <w:szCs w:val="22"/>
        </w:rPr>
        <w:t xml:space="preserve"> disallowing differentiation in the career development of civil servants based on gender, ethnicity, religion, race, and other social groups. Women bear the burden of unpaid care and family work, yet even in this sphere, heads of households that are women have unequal status and access to support from services.</w:t>
      </w:r>
      <w:r w:rsidRPr="00BE4B19">
        <w:rPr>
          <w:rStyle w:val="FootnoteReference"/>
          <w:rFonts w:asciiTheme="majorHAnsi" w:hAnsiTheme="majorHAnsi"/>
          <w:sz w:val="22"/>
          <w:szCs w:val="22"/>
        </w:rPr>
        <w:footnoteReference w:id="67"/>
      </w:r>
      <w:r w:rsidRPr="00BE4B19">
        <w:rPr>
          <w:rFonts w:asciiTheme="majorHAnsi" w:hAnsiTheme="majorHAnsi"/>
          <w:sz w:val="22"/>
          <w:szCs w:val="22"/>
        </w:rPr>
        <w:t xml:space="preserve"> The percentage of households headed by women is recorded by the Bureau of Statistics as 15,7%.</w:t>
      </w:r>
      <w:bookmarkStart w:id="90" w:name="m_8406702559517402537__ftnref5"/>
      <w:r w:rsidRPr="00BE4B19">
        <w:rPr>
          <w:rStyle w:val="FootnoteReference"/>
          <w:rFonts w:asciiTheme="majorHAnsi" w:hAnsiTheme="majorHAnsi"/>
          <w:sz w:val="22"/>
          <w:szCs w:val="22"/>
        </w:rPr>
        <w:footnoteReference w:id="68"/>
      </w:r>
      <w:r w:rsidRPr="00BE4B19">
        <w:rPr>
          <w:rFonts w:asciiTheme="majorHAnsi" w:hAnsiTheme="majorHAnsi"/>
          <w:sz w:val="22"/>
          <w:szCs w:val="22"/>
        </w:rPr>
        <w:t xml:space="preserve"> </w:t>
      </w:r>
      <w:bookmarkEnd w:id="90"/>
      <w:r w:rsidRPr="00BE4B19">
        <w:rPr>
          <w:rFonts w:asciiTheme="majorHAnsi" w:hAnsiTheme="majorHAnsi"/>
          <w:sz w:val="22"/>
          <w:szCs w:val="22"/>
        </w:rPr>
        <w:t>However, the percentage is likely to be higher, as current household definition often overlooks de facto female headed households.</w:t>
      </w:r>
      <w:bookmarkStart w:id="91" w:name="m_8406702559517402537__ftnref6"/>
      <w:r w:rsidRPr="00BE4B19">
        <w:rPr>
          <w:rStyle w:val="FootnoteReference"/>
          <w:rFonts w:asciiTheme="majorHAnsi" w:hAnsiTheme="majorHAnsi"/>
          <w:sz w:val="22"/>
          <w:szCs w:val="22"/>
        </w:rPr>
        <w:footnoteReference w:id="69"/>
      </w:r>
      <w:bookmarkEnd w:id="91"/>
      <w:r w:rsidRPr="00BE4B19">
        <w:rPr>
          <w:rFonts w:asciiTheme="majorHAnsi" w:hAnsiTheme="majorHAnsi"/>
          <w:sz w:val="22"/>
          <w:szCs w:val="22"/>
        </w:rPr>
        <w:t xml:space="preserve"> Taking into account women whose husbands have left the household without divorcing them and other circumstances of single parenthood, the proportion of female headed households is probably around 26%, according to the national CSO </w:t>
      </w:r>
      <w:r w:rsidRPr="00BE4B19">
        <w:rPr>
          <w:rFonts w:asciiTheme="majorHAnsi" w:hAnsiTheme="majorHAnsi"/>
          <w:i/>
          <w:iCs/>
          <w:sz w:val="22"/>
          <w:szCs w:val="22"/>
        </w:rPr>
        <w:t xml:space="preserve">Perempuan Kepala </w:t>
      </w:r>
      <w:proofErr w:type="spellStart"/>
      <w:r w:rsidRPr="00BE4B19">
        <w:rPr>
          <w:rFonts w:asciiTheme="majorHAnsi" w:hAnsiTheme="majorHAnsi"/>
          <w:i/>
          <w:iCs/>
          <w:sz w:val="22"/>
          <w:szCs w:val="22"/>
        </w:rPr>
        <w:t>Keluarga</w:t>
      </w:r>
      <w:proofErr w:type="spellEnd"/>
      <w:r w:rsidRPr="00BE4B19">
        <w:rPr>
          <w:rFonts w:asciiTheme="majorHAnsi" w:hAnsiTheme="majorHAnsi"/>
          <w:sz w:val="22"/>
          <w:szCs w:val="22"/>
        </w:rPr>
        <w:t xml:space="preserve"> (PKKA - Female Heads of Households) monitoring this issue.</w:t>
      </w:r>
      <w:r w:rsidRPr="00BE4B19">
        <w:rPr>
          <w:rStyle w:val="FootnoteReference"/>
          <w:rFonts w:asciiTheme="majorHAnsi" w:hAnsiTheme="majorHAnsi"/>
          <w:sz w:val="22"/>
          <w:szCs w:val="22"/>
        </w:rPr>
        <w:footnoteReference w:id="70"/>
      </w:r>
    </w:p>
    <w:p w14:paraId="7D1EE440" w14:textId="77777777" w:rsidR="00FE4022" w:rsidRDefault="00FE4022">
      <w:pPr>
        <w:spacing w:after="120" w:line="440" w:lineRule="atLeast"/>
        <w:rPr>
          <w:rFonts w:asciiTheme="majorHAnsi" w:eastAsiaTheme="majorEastAsia" w:hAnsiTheme="majorHAnsi" w:cs="Times New Roman (Headings CS)"/>
          <w:b/>
          <w:bCs/>
          <w:sz w:val="22"/>
          <w:szCs w:val="22"/>
        </w:rPr>
      </w:pPr>
      <w:r>
        <w:rPr>
          <w:rFonts w:cs="Times New Roman (Headings CS)"/>
          <w:caps/>
          <w:sz w:val="22"/>
          <w:szCs w:val="22"/>
        </w:rPr>
        <w:br w:type="page"/>
      </w:r>
    </w:p>
    <w:p w14:paraId="1673F5F1" w14:textId="049F5235" w:rsidR="00756EE9" w:rsidRPr="00BE4B19" w:rsidRDefault="00756EE9" w:rsidP="008D1844">
      <w:pPr>
        <w:pStyle w:val="Heading1"/>
        <w:numPr>
          <w:ilvl w:val="0"/>
          <w:numId w:val="51"/>
        </w:numPr>
        <w:spacing w:after="120" w:line="281" w:lineRule="auto"/>
        <w:contextualSpacing w:val="0"/>
        <w:rPr>
          <w:rFonts w:cs="Times New Roman (Headings CS)"/>
          <w:caps w:val="0"/>
          <w:sz w:val="22"/>
          <w:szCs w:val="22"/>
        </w:rPr>
      </w:pPr>
      <w:r w:rsidRPr="00BE4B19">
        <w:rPr>
          <w:rFonts w:cs="Times New Roman (Headings CS)"/>
          <w:caps w:val="0"/>
          <w:sz w:val="22"/>
          <w:szCs w:val="22"/>
        </w:rPr>
        <w:lastRenderedPageBreak/>
        <w:t>Gender disparity in primary school leadership</w:t>
      </w:r>
      <w:bookmarkEnd w:id="89"/>
      <w:r w:rsidRPr="00BE4B19">
        <w:rPr>
          <w:rFonts w:cs="Times New Roman (Headings CS)"/>
          <w:caps w:val="0"/>
          <w:sz w:val="22"/>
          <w:szCs w:val="22"/>
        </w:rPr>
        <w:t xml:space="preserve"> </w:t>
      </w:r>
    </w:p>
    <w:p w14:paraId="79AED8EB" w14:textId="77777777" w:rsidR="00756EE9" w:rsidRPr="00BE4B19" w:rsidRDefault="00756EE9" w:rsidP="008D1844">
      <w:pPr>
        <w:pStyle w:val="ListParagraph"/>
        <w:numPr>
          <w:ilvl w:val="0"/>
          <w:numId w:val="52"/>
        </w:numPr>
        <w:spacing w:after="120" w:line="281" w:lineRule="auto"/>
        <w:rPr>
          <w:rFonts w:asciiTheme="majorHAnsi" w:hAnsiTheme="majorHAnsi"/>
          <w:b/>
          <w:bCs/>
          <w:sz w:val="22"/>
          <w:szCs w:val="22"/>
        </w:rPr>
      </w:pPr>
      <w:r w:rsidRPr="00BE4B19">
        <w:rPr>
          <w:rFonts w:asciiTheme="majorHAnsi" w:hAnsiTheme="majorHAnsi"/>
          <w:b/>
          <w:bCs/>
          <w:sz w:val="22"/>
          <w:szCs w:val="22"/>
        </w:rPr>
        <w:t>The situation</w:t>
      </w:r>
    </w:p>
    <w:p w14:paraId="43C49C51" w14:textId="77777777"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 xml:space="preserve">According to the World Bank, women occupy more than 50% of teaching roles, across </w:t>
      </w:r>
      <w:proofErr w:type="spellStart"/>
      <w:r w:rsidRPr="00BE4B19">
        <w:rPr>
          <w:rFonts w:asciiTheme="majorHAnsi" w:hAnsiTheme="majorHAnsi"/>
          <w:sz w:val="22"/>
          <w:szCs w:val="22"/>
        </w:rPr>
        <w:t>MoECRT</w:t>
      </w:r>
      <w:proofErr w:type="spellEnd"/>
      <w:r w:rsidRPr="00BE4B19">
        <w:rPr>
          <w:rFonts w:asciiTheme="majorHAnsi" w:hAnsiTheme="majorHAnsi"/>
          <w:sz w:val="22"/>
          <w:szCs w:val="22"/>
        </w:rPr>
        <w:t xml:space="preserve"> and </w:t>
      </w:r>
      <w:proofErr w:type="spellStart"/>
      <w:r w:rsidRPr="00BE4B19">
        <w:rPr>
          <w:rFonts w:asciiTheme="majorHAnsi" w:hAnsiTheme="majorHAnsi"/>
          <w:sz w:val="22"/>
          <w:szCs w:val="22"/>
        </w:rPr>
        <w:t>MoRA</w:t>
      </w:r>
      <w:proofErr w:type="spellEnd"/>
      <w:r w:rsidRPr="00BE4B19">
        <w:rPr>
          <w:rFonts w:asciiTheme="majorHAnsi" w:hAnsiTheme="majorHAnsi"/>
          <w:sz w:val="22"/>
          <w:szCs w:val="22"/>
        </w:rPr>
        <w:t xml:space="preserve"> schools, but only 31% of principal positions in </w:t>
      </w:r>
      <w:proofErr w:type="spellStart"/>
      <w:r w:rsidRPr="00BE4B19">
        <w:rPr>
          <w:rFonts w:asciiTheme="majorHAnsi" w:hAnsiTheme="majorHAnsi"/>
          <w:sz w:val="22"/>
          <w:szCs w:val="22"/>
        </w:rPr>
        <w:t>MoRA</w:t>
      </w:r>
      <w:proofErr w:type="spellEnd"/>
      <w:r w:rsidRPr="00BE4B19">
        <w:rPr>
          <w:rFonts w:asciiTheme="majorHAnsi" w:hAnsiTheme="majorHAnsi"/>
          <w:sz w:val="22"/>
          <w:szCs w:val="22"/>
        </w:rPr>
        <w:t xml:space="preserve"> primary madrasah and 45% in </w:t>
      </w:r>
      <w:proofErr w:type="spellStart"/>
      <w:r w:rsidRPr="00BE4B19">
        <w:rPr>
          <w:rFonts w:asciiTheme="majorHAnsi" w:hAnsiTheme="majorHAnsi"/>
          <w:sz w:val="22"/>
          <w:szCs w:val="22"/>
        </w:rPr>
        <w:t>MoECRT</w:t>
      </w:r>
      <w:proofErr w:type="spellEnd"/>
      <w:r w:rsidRPr="00BE4B19">
        <w:rPr>
          <w:rFonts w:asciiTheme="majorHAnsi" w:hAnsiTheme="majorHAnsi"/>
          <w:sz w:val="22"/>
          <w:szCs w:val="22"/>
        </w:rPr>
        <w:t xml:space="preserve"> primary schools</w:t>
      </w:r>
      <w:r w:rsidRPr="00BE4B19">
        <w:rPr>
          <w:rStyle w:val="FootnoteReference"/>
          <w:rFonts w:asciiTheme="majorHAnsi" w:hAnsiTheme="majorHAnsi"/>
          <w:sz w:val="22"/>
          <w:szCs w:val="22"/>
        </w:rPr>
        <w:footnoteReference w:id="71"/>
      </w:r>
      <w:r w:rsidRPr="00BE4B19">
        <w:rPr>
          <w:rFonts w:asciiTheme="majorHAnsi" w:hAnsiTheme="majorHAnsi"/>
          <w:sz w:val="22"/>
          <w:szCs w:val="22"/>
        </w:rPr>
        <w:t>. More significant is the progressive reduction at the higher levels - at junior secondary level the proportion of women principals declines to 29% and at senior secondary to 25%.</w:t>
      </w:r>
      <w:r w:rsidRPr="00BE4B19">
        <w:rPr>
          <w:rStyle w:val="FootnoteReference"/>
          <w:rFonts w:asciiTheme="majorHAnsi" w:hAnsiTheme="majorHAnsi"/>
          <w:sz w:val="22"/>
          <w:szCs w:val="22"/>
        </w:rPr>
        <w:footnoteReference w:id="72"/>
      </w:r>
      <w:r w:rsidRPr="00BE4B19">
        <w:rPr>
          <w:rFonts w:asciiTheme="majorHAnsi" w:hAnsiTheme="majorHAnsi"/>
          <w:sz w:val="22"/>
          <w:szCs w:val="22"/>
        </w:rPr>
        <w:t xml:space="preserve"> It is not only individual women who lose out because of this inequity, but the quality of the whole school system. Research shows indeed that female principals perform better on most criteria of school effectiveness than men. Based on a study of statistical data of 15 school management performance indicators, female principals performed better at a range of different indicators of school management, including financial transparency, setting time targets for priority agendas, enforcing regulations, performance appraisals, routine evaluations, evaluation, realising the availability of school facilities and helping teachers realise outcomes</w:t>
      </w:r>
      <w:r w:rsidRPr="00BE4B19">
        <w:rPr>
          <w:rStyle w:val="FootnoteReference"/>
          <w:rFonts w:asciiTheme="majorHAnsi" w:hAnsiTheme="majorHAnsi"/>
          <w:sz w:val="22"/>
          <w:szCs w:val="22"/>
        </w:rPr>
        <w:footnoteReference w:id="73"/>
      </w:r>
      <w:r w:rsidRPr="00BE4B19">
        <w:rPr>
          <w:rFonts w:asciiTheme="majorHAnsi" w:hAnsiTheme="majorHAnsi"/>
          <w:sz w:val="22"/>
          <w:szCs w:val="22"/>
        </w:rPr>
        <w:t xml:space="preserve">.  </w:t>
      </w:r>
    </w:p>
    <w:p w14:paraId="68ADAD75" w14:textId="77777777"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Research also shows the positive impact of female principals on women and girls in the school environment. For example, participants interviewed during the primary data collection identified multiple benefits of having a female principal, including greater awareness of menstruation and reproductive needs of staff and students, greater attention to creating safety within the school environment, and greater responsiveness to the specific learning needs of students with disability</w:t>
      </w:r>
      <w:r w:rsidRPr="00BE4B19">
        <w:rPr>
          <w:rStyle w:val="FootnoteReference"/>
          <w:rFonts w:asciiTheme="majorHAnsi" w:hAnsiTheme="majorHAnsi"/>
          <w:sz w:val="22"/>
          <w:szCs w:val="22"/>
        </w:rPr>
        <w:footnoteReference w:id="74"/>
      </w:r>
      <w:r w:rsidRPr="00BE4B19">
        <w:rPr>
          <w:rFonts w:asciiTheme="majorHAnsi" w:hAnsiTheme="majorHAnsi"/>
          <w:sz w:val="22"/>
          <w:szCs w:val="22"/>
        </w:rPr>
        <w:t>. According to the literature, women also play important roles in the community which can have the added value of influence within the school environment</w:t>
      </w:r>
      <w:r w:rsidRPr="00BE4B19">
        <w:rPr>
          <w:rStyle w:val="FootnoteReference"/>
          <w:rFonts w:asciiTheme="majorHAnsi" w:hAnsiTheme="majorHAnsi"/>
          <w:sz w:val="22"/>
          <w:szCs w:val="22"/>
        </w:rPr>
        <w:footnoteReference w:id="75"/>
      </w:r>
      <w:r w:rsidRPr="00BE4B19">
        <w:rPr>
          <w:rFonts w:asciiTheme="majorHAnsi" w:hAnsiTheme="majorHAnsi"/>
          <w:sz w:val="22"/>
          <w:szCs w:val="22"/>
        </w:rPr>
        <w:t>. However, this assertion was somewhat contracted during consultations which brought up the fact that women were often seen as less influential than men in leadership positions.</w:t>
      </w:r>
      <w:r w:rsidRPr="00BE4B19">
        <w:rPr>
          <w:rStyle w:val="FootnoteReference"/>
          <w:rFonts w:asciiTheme="majorHAnsi" w:hAnsiTheme="majorHAnsi"/>
          <w:sz w:val="22"/>
          <w:szCs w:val="22"/>
        </w:rPr>
        <w:footnoteReference w:id="76"/>
      </w:r>
      <w:r w:rsidRPr="00BE4B19">
        <w:rPr>
          <w:rFonts w:asciiTheme="majorHAnsi" w:hAnsiTheme="majorHAnsi"/>
          <w:sz w:val="22"/>
          <w:szCs w:val="22"/>
        </w:rPr>
        <w:t xml:space="preserve"> </w:t>
      </w:r>
    </w:p>
    <w:p w14:paraId="69E46021" w14:textId="77777777" w:rsidR="00756EE9" w:rsidRPr="00BE4B19" w:rsidRDefault="00756EE9" w:rsidP="008D1844">
      <w:pPr>
        <w:pStyle w:val="ListParagraph"/>
        <w:numPr>
          <w:ilvl w:val="0"/>
          <w:numId w:val="52"/>
        </w:numPr>
        <w:spacing w:after="120" w:line="281" w:lineRule="auto"/>
        <w:rPr>
          <w:rFonts w:asciiTheme="majorHAnsi" w:hAnsiTheme="majorHAnsi"/>
          <w:b/>
          <w:bCs/>
          <w:sz w:val="22"/>
          <w:szCs w:val="22"/>
        </w:rPr>
      </w:pPr>
      <w:bookmarkStart w:id="92" w:name="_Toc135387114"/>
      <w:r w:rsidRPr="00BE4B19">
        <w:rPr>
          <w:rFonts w:asciiTheme="majorHAnsi" w:hAnsiTheme="majorHAnsi"/>
          <w:b/>
          <w:bCs/>
          <w:sz w:val="22"/>
          <w:szCs w:val="22"/>
        </w:rPr>
        <w:t>The role of informal norms</w:t>
      </w:r>
      <w:bookmarkEnd w:id="92"/>
    </w:p>
    <w:p w14:paraId="7948D123" w14:textId="77777777" w:rsidR="00756EE9" w:rsidRPr="00BE4B19" w:rsidRDefault="00756EE9" w:rsidP="00D96358">
      <w:pPr>
        <w:pStyle w:val="BodyText"/>
        <w:spacing w:after="120" w:line="281" w:lineRule="auto"/>
        <w:rPr>
          <w:rFonts w:asciiTheme="majorHAnsi" w:hAnsiTheme="majorHAnsi" w:cstheme="minorHAnsi"/>
          <w:sz w:val="22"/>
          <w:szCs w:val="22"/>
        </w:rPr>
      </w:pPr>
      <w:r w:rsidRPr="00BE4B19">
        <w:rPr>
          <w:rFonts w:asciiTheme="majorHAnsi" w:hAnsiTheme="majorHAnsi"/>
          <w:sz w:val="22"/>
          <w:szCs w:val="22"/>
        </w:rPr>
        <w:t>Responses received from consultations with civil society organisations, education officials, principals and teachers during the primary data collection revealed a strong perception that there was no bias based on sex in the recruitment process for principals</w:t>
      </w:r>
      <w:r w:rsidRPr="00BE4B19">
        <w:rPr>
          <w:rStyle w:val="FootnoteReference"/>
          <w:rFonts w:asciiTheme="majorHAnsi" w:hAnsiTheme="majorHAnsi"/>
          <w:sz w:val="22"/>
          <w:szCs w:val="22"/>
        </w:rPr>
        <w:footnoteReference w:id="77"/>
      </w:r>
      <w:r w:rsidRPr="00BE4B19">
        <w:rPr>
          <w:rFonts w:asciiTheme="majorHAnsi" w:hAnsiTheme="majorHAnsi"/>
          <w:sz w:val="22"/>
          <w:szCs w:val="22"/>
        </w:rPr>
        <w:t xml:space="preserve">. An equal representation of both male and female teachers and principals </w:t>
      </w:r>
      <w:r w:rsidRPr="00BE4B19">
        <w:rPr>
          <w:rFonts w:asciiTheme="majorHAnsi" w:hAnsiTheme="majorHAnsi" w:cstheme="minorHAnsi"/>
          <w:sz w:val="22"/>
          <w:szCs w:val="22"/>
        </w:rPr>
        <w:t xml:space="preserve">viewed the process as gender neutral and made statements to explain this such as “naturally operating as merit” and “without considering the sex of candidates”. These perceptions indicate a lack of awareness of underlying obstacles to women being involved in leadership roles. While it may be that in terms of regulations there are no formal policies or rules restricting women from becoming leaders, restrictions that arise from gender-based norms are in place. These norms are also subscribed to by many </w:t>
      </w:r>
      <w:r w:rsidRPr="00BE4B19">
        <w:rPr>
          <w:rFonts w:asciiTheme="majorHAnsi" w:hAnsiTheme="majorHAnsi" w:cstheme="minorHAnsi"/>
          <w:sz w:val="22"/>
          <w:szCs w:val="22"/>
        </w:rPr>
        <w:lastRenderedPageBreak/>
        <w:t>women, showing the effect of cultural norms on individual consciousness, even for those who are oppressed by them. Conservative forces in society can reinforce informal norms in impeding women from engaging in activities outside the home, relating to time needed for travel, distance, based on the interests for which women are expected to sacrifice themselves.</w:t>
      </w:r>
      <w:r w:rsidRPr="00BE4B19">
        <w:rPr>
          <w:rStyle w:val="FootnoteReference"/>
          <w:rFonts w:asciiTheme="majorHAnsi" w:hAnsiTheme="majorHAnsi" w:cstheme="minorHAnsi"/>
          <w:sz w:val="22"/>
          <w:szCs w:val="22"/>
        </w:rPr>
        <w:t xml:space="preserve"> </w:t>
      </w:r>
      <w:r w:rsidRPr="00BE4B19">
        <w:rPr>
          <w:rStyle w:val="FootnoteReference"/>
          <w:rFonts w:asciiTheme="majorHAnsi" w:hAnsiTheme="majorHAnsi" w:cstheme="minorHAnsi"/>
          <w:sz w:val="22"/>
          <w:szCs w:val="22"/>
        </w:rPr>
        <w:footnoteReference w:id="78"/>
      </w:r>
    </w:p>
    <w:p w14:paraId="798C3548" w14:textId="77777777"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During consultations,</w:t>
      </w:r>
      <w:r w:rsidRPr="00BE4B19">
        <w:rPr>
          <w:rStyle w:val="FootnoteReference"/>
          <w:rFonts w:asciiTheme="majorHAnsi" w:hAnsiTheme="majorHAnsi"/>
          <w:sz w:val="22"/>
          <w:szCs w:val="22"/>
        </w:rPr>
        <w:footnoteReference w:id="79"/>
      </w:r>
      <w:r w:rsidRPr="00BE4B19">
        <w:rPr>
          <w:rFonts w:asciiTheme="majorHAnsi" w:hAnsiTheme="majorHAnsi"/>
          <w:sz w:val="22"/>
          <w:szCs w:val="22"/>
        </w:rPr>
        <w:t xml:space="preserve"> an equal representation of male and female teachers and principals said that the main reason why women were not in leadership positions was women’s choice not to apply. All respondents agreed that underlying reasons for this choice stem from gender norms related to caregiving and household tasks. The domestic sphere of labour is for women, not for men. This is reflected in the statement from a Madrasah representative who stated “after coming home from work, women still have to manage the family and the household, while men do not have the same duties as women”</w:t>
      </w:r>
      <w:r w:rsidRPr="00BE4B19">
        <w:rPr>
          <w:rStyle w:val="FootnoteReference"/>
          <w:rFonts w:asciiTheme="majorHAnsi" w:hAnsiTheme="majorHAnsi"/>
          <w:sz w:val="22"/>
          <w:szCs w:val="22"/>
        </w:rPr>
        <w:footnoteReference w:id="80"/>
      </w:r>
      <w:r w:rsidRPr="00BE4B19">
        <w:rPr>
          <w:rFonts w:asciiTheme="majorHAnsi" w:hAnsiTheme="majorHAnsi"/>
          <w:sz w:val="22"/>
          <w:szCs w:val="22"/>
        </w:rPr>
        <w:t>.</w:t>
      </w:r>
    </w:p>
    <w:p w14:paraId="12E4F7E1" w14:textId="77777777"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Data collected during interviews and focus group discussions indicated that respondents do not see the system as being responsible for the fewer numbers of women applying for leadership positions. Rather, there is a perception that women’s role at home is incompatible with the role in leadership positions. For example, training to be eligible for a principal position takes place in only one location and for a significant duration, without any accommodation of women’s needs and responsibilities with families.  Of particular interest, are the views of many participants who do not think that barriers women face to leadership are out of alignment with gendered norms expected of men and women. This is reflected in the comment “if there is a female teacher who can’t join because they need to take care of their families, then we do not force them.”</w:t>
      </w:r>
      <w:r w:rsidRPr="00BE4B19">
        <w:rPr>
          <w:rStyle w:val="FootnoteReference"/>
          <w:rFonts w:asciiTheme="majorHAnsi" w:hAnsiTheme="majorHAnsi"/>
          <w:sz w:val="22"/>
          <w:szCs w:val="22"/>
        </w:rPr>
        <w:footnoteReference w:id="81"/>
      </w:r>
    </w:p>
    <w:p w14:paraId="75063BCA" w14:textId="77777777"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 xml:space="preserve">A second reason given in interviews was husbands not giving permission for applying, or the expectation that this would be the case. Women respondents took for granted that they needed their husband’s permission to apply for a position, as gender norms dictate that they are not decision makers in matters outside of the home.  This permission is obtained through negotiation with the husband. Equality within marriage and family is connected to the roles and responsibilities that women play. Women take on the bulk of caring and domestic tasks which are time intensive and essential to the running of the family. The importance of these roles is a key consideration in the negotiation process between men and women when considering an economic opportunity, such as a leadership role as principal. This can be problematic when the applicants for principal positions are required to accept the role without knowing the location of the posting. During the primary data collection, an example was provided by a female principal who shared that she was only told the location of her posting the day before she was required to start. </w:t>
      </w:r>
    </w:p>
    <w:p w14:paraId="671F49B7" w14:textId="77DB19FE" w:rsidR="00756EE9" w:rsidRPr="00BE4B19" w:rsidRDefault="00756EE9" w:rsidP="00D96358">
      <w:pPr>
        <w:pStyle w:val="BodyText"/>
        <w:spacing w:after="120" w:line="281" w:lineRule="auto"/>
        <w:rPr>
          <w:rFonts w:asciiTheme="majorHAnsi" w:hAnsiTheme="majorHAnsi"/>
          <w:sz w:val="22"/>
          <w:szCs w:val="22"/>
        </w:rPr>
      </w:pPr>
      <w:r w:rsidRPr="00BE4B19">
        <w:rPr>
          <w:rFonts w:asciiTheme="majorHAnsi" w:hAnsiTheme="majorHAnsi"/>
          <w:sz w:val="22"/>
          <w:szCs w:val="22"/>
        </w:rPr>
        <w:t>The third set of reasons given by women respondents for not applying was that being a principal for a woman can be much more stressful than for men because it is harder for them to have their authority accepted. This occurs sometimes through undermining by male staff and through male supervisors’ unwillingness to work with them in school management.</w:t>
      </w:r>
      <w:r w:rsidRPr="00BE4B19">
        <w:rPr>
          <w:rStyle w:val="FootnoteReference"/>
          <w:rFonts w:asciiTheme="majorHAnsi" w:hAnsiTheme="majorHAnsi"/>
          <w:sz w:val="22"/>
          <w:szCs w:val="22"/>
        </w:rPr>
        <w:footnoteReference w:id="82"/>
      </w:r>
      <w:r w:rsidRPr="00BE4B19">
        <w:rPr>
          <w:rFonts w:asciiTheme="majorHAnsi" w:hAnsiTheme="majorHAnsi"/>
          <w:sz w:val="22"/>
          <w:szCs w:val="22"/>
        </w:rPr>
        <w:t xml:space="preserve"> </w:t>
      </w:r>
    </w:p>
    <w:p w14:paraId="1BD51E7C" w14:textId="69356AEE" w:rsidR="006904DB" w:rsidRPr="006904DB" w:rsidRDefault="00BE4B19" w:rsidP="006904DB">
      <w:pPr>
        <w:spacing w:before="120" w:after="120" w:line="281" w:lineRule="auto"/>
        <w:jc w:val="center"/>
        <w:rPr>
          <w:rFonts w:asciiTheme="majorHAnsi" w:hAnsiTheme="majorHAnsi"/>
          <w:b/>
          <w:i/>
          <w:iCs/>
          <w:sz w:val="22"/>
          <w:szCs w:val="22"/>
          <w:lang w:val="en-US"/>
        </w:rPr>
      </w:pPr>
      <w:r>
        <w:br w:type="page"/>
      </w:r>
      <w:r w:rsidR="006904DB" w:rsidRPr="006904DB">
        <w:rPr>
          <w:rFonts w:asciiTheme="majorHAnsi" w:hAnsiTheme="majorHAnsi"/>
          <w:b/>
          <w:i/>
          <w:iCs/>
          <w:sz w:val="22"/>
          <w:szCs w:val="22"/>
          <w:lang w:val="en-US"/>
        </w:rPr>
        <w:lastRenderedPageBreak/>
        <w:t>Figure D - Profile of a woman principal.</w:t>
      </w:r>
    </w:p>
    <w:p w14:paraId="59FF2A53" w14:textId="77777777" w:rsidR="006904DB" w:rsidRPr="004B4AFA" w:rsidRDefault="006904DB" w:rsidP="006904DB">
      <w:pPr>
        <w:spacing w:after="120" w:line="281" w:lineRule="auto"/>
        <w:rPr>
          <w:rFonts w:asciiTheme="majorHAnsi" w:hAnsiTheme="majorHAnsi"/>
          <w:i/>
          <w:iCs/>
          <w:sz w:val="22"/>
          <w:szCs w:val="22"/>
          <w:lang w:val="en-US"/>
        </w:rPr>
      </w:pPr>
      <w:proofErr w:type="spellStart"/>
      <w:r w:rsidRPr="004B4AFA">
        <w:rPr>
          <w:rFonts w:asciiTheme="majorHAnsi" w:hAnsiTheme="majorHAnsi"/>
          <w:i/>
          <w:iCs/>
          <w:sz w:val="22"/>
          <w:szCs w:val="22"/>
          <w:lang w:val="en-US"/>
        </w:rPr>
        <w:t>Yanti</w:t>
      </w:r>
      <w:proofErr w:type="spellEnd"/>
      <w:r w:rsidRPr="004B4AFA">
        <w:rPr>
          <w:rFonts w:asciiTheme="majorHAnsi" w:hAnsiTheme="majorHAnsi"/>
          <w:i/>
          <w:iCs/>
          <w:sz w:val="22"/>
          <w:szCs w:val="22"/>
          <w:lang w:val="en-US"/>
        </w:rPr>
        <w:t xml:space="preserve"> (not her real name) grew up in the city where she went to primary school and then later to high school. After graduating from high school, she entered the Primary School Teacher Education two-year diploma program at university. When reflecting on why she became a teacher, </w:t>
      </w:r>
      <w:proofErr w:type="spellStart"/>
      <w:r w:rsidRPr="004B4AFA">
        <w:rPr>
          <w:rFonts w:asciiTheme="majorHAnsi" w:hAnsiTheme="majorHAnsi"/>
          <w:i/>
          <w:iCs/>
          <w:sz w:val="22"/>
          <w:szCs w:val="22"/>
          <w:lang w:val="en-US"/>
        </w:rPr>
        <w:t>Yanti</w:t>
      </w:r>
      <w:proofErr w:type="spellEnd"/>
      <w:r w:rsidRPr="004B4AFA">
        <w:rPr>
          <w:rFonts w:asciiTheme="majorHAnsi" w:hAnsiTheme="majorHAnsi"/>
          <w:i/>
          <w:iCs/>
          <w:sz w:val="22"/>
          <w:szCs w:val="22"/>
          <w:lang w:val="en-US"/>
        </w:rPr>
        <w:t xml:space="preserve"> explained that for a woman, being a teacher is the ideal job.</w:t>
      </w:r>
    </w:p>
    <w:p w14:paraId="2D07A398" w14:textId="77777777" w:rsidR="006904DB" w:rsidRPr="004B4AFA" w:rsidRDefault="006904DB" w:rsidP="006904DB">
      <w:pPr>
        <w:spacing w:after="120" w:line="281" w:lineRule="auto"/>
        <w:rPr>
          <w:rFonts w:asciiTheme="majorHAnsi" w:hAnsiTheme="majorHAnsi"/>
          <w:i/>
          <w:iCs/>
          <w:sz w:val="22"/>
          <w:szCs w:val="22"/>
          <w:lang w:val="en-US"/>
        </w:rPr>
      </w:pPr>
      <w:r w:rsidRPr="004B4AFA">
        <w:rPr>
          <w:rFonts w:asciiTheme="majorHAnsi" w:hAnsiTheme="majorHAnsi"/>
          <w:i/>
          <w:iCs/>
          <w:sz w:val="22"/>
          <w:szCs w:val="22"/>
          <w:lang w:val="en-US"/>
        </w:rPr>
        <w:t xml:space="preserve">After passing the teacher candidate test, </w:t>
      </w:r>
      <w:proofErr w:type="spellStart"/>
      <w:r w:rsidRPr="004B4AFA">
        <w:rPr>
          <w:rFonts w:asciiTheme="majorHAnsi" w:hAnsiTheme="majorHAnsi"/>
          <w:i/>
          <w:iCs/>
          <w:sz w:val="22"/>
          <w:szCs w:val="22"/>
          <w:lang w:val="en-US"/>
        </w:rPr>
        <w:t>Yanti</w:t>
      </w:r>
      <w:proofErr w:type="spellEnd"/>
      <w:r w:rsidRPr="004B4AFA">
        <w:rPr>
          <w:rFonts w:asciiTheme="majorHAnsi" w:hAnsiTheme="majorHAnsi"/>
          <w:i/>
          <w:iCs/>
          <w:sz w:val="22"/>
          <w:szCs w:val="22"/>
          <w:lang w:val="en-US"/>
        </w:rPr>
        <w:t xml:space="preserve"> was placed at a school in a very remote location. At the time, there were only 30 students, only five of them girls. As her first step, she visited parents who had daughters to get them to attend school. She then took the ‘Principal Candidate Test’ and had to take part in Principal competency training for 11 days. At the time, her first child was only one year old and still nursing. But there was no facility for bringing children, it was considered an individual responsibility. She had to discard her breast milk while apart from her child, who she had left with her older sister, as her husband did not feel capable to take care of the baby.</w:t>
      </w:r>
    </w:p>
    <w:p w14:paraId="191BD836" w14:textId="77777777" w:rsidR="006904DB" w:rsidRPr="004B4AFA" w:rsidRDefault="006904DB" w:rsidP="006904DB">
      <w:pPr>
        <w:spacing w:after="120" w:line="281" w:lineRule="auto"/>
        <w:rPr>
          <w:rFonts w:asciiTheme="majorHAnsi" w:hAnsiTheme="majorHAnsi"/>
          <w:i/>
          <w:iCs/>
          <w:sz w:val="22"/>
          <w:szCs w:val="22"/>
          <w:lang w:val="en-US"/>
        </w:rPr>
      </w:pPr>
      <w:r w:rsidRPr="004B4AFA">
        <w:rPr>
          <w:rFonts w:asciiTheme="majorHAnsi" w:hAnsiTheme="majorHAnsi"/>
          <w:i/>
          <w:iCs/>
          <w:sz w:val="22"/>
          <w:szCs w:val="22"/>
          <w:lang w:val="en-US"/>
        </w:rPr>
        <w:t xml:space="preserve">After passing the test, she was placed as a principal in a location that was very far from her home. Her husband granted permission, but the school was in very bad condition. There were only 40 students, who often skipped school. She started by conducting outreach on the importance of school to the </w:t>
      </w:r>
      <w:proofErr w:type="gramStart"/>
      <w:r w:rsidRPr="004B4AFA">
        <w:rPr>
          <w:rFonts w:asciiTheme="majorHAnsi" w:hAnsiTheme="majorHAnsi"/>
          <w:i/>
          <w:iCs/>
          <w:sz w:val="22"/>
          <w:szCs w:val="22"/>
          <w:lang w:val="en-US"/>
        </w:rPr>
        <w:t>local residents</w:t>
      </w:r>
      <w:proofErr w:type="gramEnd"/>
      <w:r w:rsidRPr="004B4AFA">
        <w:rPr>
          <w:rFonts w:asciiTheme="majorHAnsi" w:hAnsiTheme="majorHAnsi"/>
          <w:i/>
          <w:iCs/>
          <w:sz w:val="22"/>
          <w:szCs w:val="22"/>
          <w:lang w:val="en-US"/>
        </w:rPr>
        <w:t xml:space="preserve"> (mostly from an indigenous ethnic group). She asked the local community to build a bridge to access the school. She also asked the students and the teachers to be more disciplined. At that time, there were ten teachers – six men and four women. For two years, she constantly faced resistance from several of the male teachers who disliked her leadership. But she received support from the students’ parents and the female teachers. After two years, the teachers saw the benefits of her leadership. She was successful in increasing the number of students to over 400, with improvements in students’ learning achievement and success in building school facilities. </w:t>
      </w:r>
    </w:p>
    <w:p w14:paraId="5C4248DC" w14:textId="77777777" w:rsidR="006904DB" w:rsidRPr="004B4AFA" w:rsidRDefault="006904DB" w:rsidP="006904DB">
      <w:pPr>
        <w:spacing w:after="120" w:line="281" w:lineRule="auto"/>
        <w:rPr>
          <w:rFonts w:asciiTheme="majorHAnsi" w:hAnsiTheme="majorHAnsi"/>
          <w:i/>
          <w:iCs/>
          <w:sz w:val="22"/>
          <w:szCs w:val="22"/>
          <w:lang w:val="en-US"/>
        </w:rPr>
      </w:pPr>
      <w:r w:rsidRPr="004B4AFA">
        <w:rPr>
          <w:rFonts w:asciiTheme="majorHAnsi" w:hAnsiTheme="majorHAnsi"/>
          <w:i/>
          <w:iCs/>
          <w:sz w:val="22"/>
          <w:szCs w:val="22"/>
          <w:lang w:val="en-US"/>
        </w:rPr>
        <w:t xml:space="preserve">After leading that school for five years and being considered successful, </w:t>
      </w:r>
      <w:proofErr w:type="spellStart"/>
      <w:r w:rsidRPr="004B4AFA">
        <w:rPr>
          <w:rFonts w:asciiTheme="majorHAnsi" w:hAnsiTheme="majorHAnsi"/>
          <w:i/>
          <w:iCs/>
          <w:sz w:val="22"/>
          <w:szCs w:val="22"/>
          <w:lang w:val="en-US"/>
        </w:rPr>
        <w:t>Yanti</w:t>
      </w:r>
      <w:proofErr w:type="spellEnd"/>
      <w:r w:rsidRPr="004B4AFA">
        <w:rPr>
          <w:rFonts w:asciiTheme="majorHAnsi" w:hAnsiTheme="majorHAnsi"/>
          <w:i/>
          <w:iCs/>
          <w:sz w:val="22"/>
          <w:szCs w:val="22"/>
          <w:lang w:val="en-US"/>
        </w:rPr>
        <w:t xml:space="preserve"> was transferred again. She was shocked, because she was placed in a school on the outskirts of an urban area that was in very poor condition, with two broken toilets and only 260 students. </w:t>
      </w:r>
      <w:proofErr w:type="spellStart"/>
      <w:r w:rsidRPr="004B4AFA">
        <w:rPr>
          <w:rFonts w:asciiTheme="majorHAnsi" w:hAnsiTheme="majorHAnsi"/>
          <w:i/>
          <w:iCs/>
          <w:sz w:val="22"/>
          <w:szCs w:val="22"/>
          <w:lang w:val="en-US"/>
        </w:rPr>
        <w:t>Yanti</w:t>
      </w:r>
      <w:proofErr w:type="spellEnd"/>
      <w:r w:rsidRPr="004B4AFA">
        <w:rPr>
          <w:rFonts w:asciiTheme="majorHAnsi" w:hAnsiTheme="majorHAnsi"/>
          <w:i/>
          <w:iCs/>
          <w:sz w:val="22"/>
          <w:szCs w:val="22"/>
          <w:lang w:val="en-US"/>
        </w:rPr>
        <w:t xml:space="preserve"> wondered why she was being transferred. She felt this was not a reward, rather, she felt she was being “punished” for being a woman principal who was considered too bold, outspoken in her opinions, independent, and seen as a “threat”. </w:t>
      </w:r>
    </w:p>
    <w:p w14:paraId="4C4DE5AD" w14:textId="77777777" w:rsidR="004B4AFA" w:rsidRPr="004B4AFA" w:rsidRDefault="006904DB" w:rsidP="006904DB">
      <w:pPr>
        <w:rPr>
          <w:rFonts w:asciiTheme="majorHAnsi" w:hAnsiTheme="majorHAnsi"/>
          <w:i/>
          <w:iCs/>
          <w:sz w:val="22"/>
          <w:szCs w:val="22"/>
          <w:lang w:val="en-US"/>
        </w:rPr>
      </w:pPr>
      <w:r w:rsidRPr="004B4AFA">
        <w:rPr>
          <w:rFonts w:asciiTheme="majorHAnsi" w:hAnsiTheme="majorHAnsi"/>
          <w:i/>
          <w:iCs/>
          <w:sz w:val="22"/>
          <w:szCs w:val="22"/>
          <w:lang w:val="en-US"/>
        </w:rPr>
        <w:t xml:space="preserve">Nevertheless, as a senior principal, </w:t>
      </w:r>
      <w:proofErr w:type="spellStart"/>
      <w:r w:rsidRPr="004B4AFA">
        <w:rPr>
          <w:rFonts w:asciiTheme="majorHAnsi" w:hAnsiTheme="majorHAnsi"/>
          <w:i/>
          <w:iCs/>
          <w:sz w:val="22"/>
          <w:szCs w:val="22"/>
          <w:lang w:val="en-US"/>
        </w:rPr>
        <w:t>Yanti</w:t>
      </w:r>
      <w:proofErr w:type="spellEnd"/>
      <w:r w:rsidRPr="004B4AFA">
        <w:rPr>
          <w:rFonts w:asciiTheme="majorHAnsi" w:hAnsiTheme="majorHAnsi"/>
          <w:i/>
          <w:iCs/>
          <w:sz w:val="22"/>
          <w:szCs w:val="22"/>
          <w:lang w:val="en-US"/>
        </w:rPr>
        <w:t xml:space="preserve"> feels she is greatly respected by other teachers. She is often asked for her opinion, especially by the younger teachers or by principals who face obstacles from their husbands. However, she feels she herself does not have adequate knowledge for how to face such psychological/gender problems. She also does not see any efforts for affirmative action that could help female principals and teachers at work with managing their reproductive roles in addition to their work roles, for example, school facilities that provide private space to nurse or express milk, access to childcare, or when they have other problems </w:t>
      </w:r>
      <w:r w:rsidRPr="004B4AFA">
        <w:rPr>
          <w:rFonts w:asciiTheme="majorHAnsi" w:hAnsiTheme="majorHAnsi" w:cstheme="minorHAnsi"/>
          <w:i/>
          <w:iCs/>
          <w:color w:val="202124"/>
          <w:sz w:val="22"/>
          <w:szCs w:val="22"/>
          <w:lang w:val="en" w:eastAsia="en-ID"/>
        </w:rPr>
        <w:t>related to their reproductive health.</w:t>
      </w:r>
      <w:r w:rsidRPr="004B4AFA">
        <w:rPr>
          <w:rFonts w:asciiTheme="majorHAnsi" w:hAnsiTheme="majorHAnsi"/>
          <w:i/>
          <w:iCs/>
          <w:sz w:val="22"/>
          <w:szCs w:val="22"/>
          <w:lang w:val="en-US"/>
        </w:rPr>
        <w:t xml:space="preserve"> Everything comes back to the policies of the respective principals. If they happen to be reasonably gender sensitive, they will seek solutions, but if not, the teachers must deal with these problems by themselves. Yet these are significant problems for female teachers or principals, as they face a double or even triple burden. She herself feels lucky, because her husband is willing to take over managing the household and the children and does not feel she is competing with him when she must run the school, which demands her full attention.</w:t>
      </w:r>
      <w:bookmarkStart w:id="93" w:name="_Toc135387115"/>
    </w:p>
    <w:p w14:paraId="0098A414" w14:textId="77777777" w:rsidR="004B4AFA" w:rsidRDefault="004B4AFA" w:rsidP="006904DB">
      <w:pPr>
        <w:rPr>
          <w:rFonts w:asciiTheme="majorHAnsi" w:hAnsiTheme="majorHAnsi"/>
          <w:sz w:val="22"/>
          <w:szCs w:val="22"/>
          <w:lang w:val="en-US"/>
        </w:rPr>
      </w:pPr>
    </w:p>
    <w:p w14:paraId="527C342B" w14:textId="6370FCA1" w:rsidR="00756EE9" w:rsidRPr="00BE4B19" w:rsidRDefault="00756EE9" w:rsidP="006904DB">
      <w:pPr>
        <w:rPr>
          <w:rFonts w:asciiTheme="majorHAnsi" w:hAnsiTheme="majorHAnsi" w:cstheme="minorHAnsi"/>
          <w:b/>
          <w:bCs/>
          <w:sz w:val="22"/>
          <w:szCs w:val="22"/>
        </w:rPr>
      </w:pPr>
      <w:r w:rsidRPr="00BE4B19">
        <w:rPr>
          <w:rFonts w:asciiTheme="majorHAnsi" w:hAnsiTheme="majorHAnsi" w:cstheme="minorHAnsi"/>
          <w:b/>
          <w:bCs/>
          <w:sz w:val="22"/>
          <w:szCs w:val="22"/>
        </w:rPr>
        <w:t xml:space="preserve">The influence of informal norms on </w:t>
      </w:r>
      <w:r w:rsidRPr="00651EF4">
        <w:rPr>
          <w:rFonts w:asciiTheme="majorHAnsi" w:hAnsiTheme="majorHAnsi"/>
          <w:b/>
          <w:bCs/>
          <w:sz w:val="22"/>
          <w:szCs w:val="22"/>
        </w:rPr>
        <w:t>women’s</w:t>
      </w:r>
      <w:r w:rsidRPr="00BE4B19">
        <w:rPr>
          <w:rFonts w:asciiTheme="majorHAnsi" w:hAnsiTheme="majorHAnsi" w:cstheme="minorHAnsi"/>
          <w:b/>
          <w:bCs/>
          <w:sz w:val="22"/>
          <w:szCs w:val="22"/>
        </w:rPr>
        <w:t xml:space="preserve"> recruitment as school principals</w:t>
      </w:r>
      <w:bookmarkEnd w:id="93"/>
    </w:p>
    <w:p w14:paraId="01EA38FB" w14:textId="0D6FB6C8"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Key findings of two topical research studies on school leadership point out to entrenched social norms as main barriers to entry. The </w:t>
      </w:r>
      <w:proofErr w:type="spellStart"/>
      <w:r w:rsidRPr="00BE4B19">
        <w:rPr>
          <w:rFonts w:asciiTheme="majorHAnsi" w:hAnsiTheme="majorHAnsi" w:cstheme="minorHAnsi"/>
          <w:sz w:val="22"/>
          <w:szCs w:val="22"/>
        </w:rPr>
        <w:t>MoECRT</w:t>
      </w:r>
      <w:proofErr w:type="spellEnd"/>
      <w:r w:rsidRPr="00BE4B19">
        <w:rPr>
          <w:rFonts w:asciiTheme="majorHAnsi" w:hAnsiTheme="majorHAnsi" w:cstheme="minorHAnsi"/>
          <w:sz w:val="22"/>
          <w:szCs w:val="22"/>
        </w:rPr>
        <w:t xml:space="preserve"> Regulation No 40/2021 on the Assignment of Teachers as School </w:t>
      </w:r>
      <w:r w:rsidRPr="00BE4B19">
        <w:rPr>
          <w:rFonts w:asciiTheme="majorHAnsi" w:hAnsiTheme="majorHAnsi" w:cstheme="minorHAnsi"/>
          <w:sz w:val="22"/>
          <w:szCs w:val="22"/>
        </w:rPr>
        <w:lastRenderedPageBreak/>
        <w:t xml:space="preserve">Principals controls the election of school and madrasah principals. The regulation </w:t>
      </w:r>
      <w:r w:rsidR="0014095F">
        <w:rPr>
          <w:rFonts w:asciiTheme="majorHAnsi" w:hAnsiTheme="majorHAnsi" w:cstheme="minorHAnsi"/>
          <w:sz w:val="22"/>
          <w:szCs w:val="22"/>
        </w:rPr>
        <w:t>has not</w:t>
      </w:r>
      <w:r w:rsidR="0014095F" w:rsidRPr="00BE4B19">
        <w:rPr>
          <w:rFonts w:asciiTheme="majorHAnsi" w:hAnsiTheme="majorHAnsi" w:cstheme="minorHAnsi"/>
          <w:sz w:val="22"/>
          <w:szCs w:val="22"/>
        </w:rPr>
        <w:t xml:space="preserve"> </w:t>
      </w:r>
      <w:r w:rsidRPr="00BE4B19">
        <w:rPr>
          <w:rFonts w:asciiTheme="majorHAnsi" w:hAnsiTheme="majorHAnsi" w:cstheme="minorHAnsi"/>
          <w:sz w:val="22"/>
          <w:szCs w:val="22"/>
        </w:rPr>
        <w:t>consider</w:t>
      </w:r>
      <w:r w:rsidR="0014095F">
        <w:rPr>
          <w:rFonts w:asciiTheme="majorHAnsi" w:hAnsiTheme="majorHAnsi" w:cstheme="minorHAnsi"/>
          <w:sz w:val="22"/>
          <w:szCs w:val="22"/>
        </w:rPr>
        <w:t>ed</w:t>
      </w:r>
      <w:r w:rsidRPr="00BE4B19">
        <w:rPr>
          <w:rFonts w:asciiTheme="majorHAnsi" w:hAnsiTheme="majorHAnsi" w:cstheme="minorHAnsi"/>
          <w:sz w:val="22"/>
          <w:szCs w:val="22"/>
        </w:rPr>
        <w:t xml:space="preserve"> the influence of gender norms on societal expectations of women and on women’s response to these norms. As the study puts it, “Regulations for selecting school principals that are purportedly gender neutral are a disincentive for women because these regulations cannot recognize the invisible barriers women face.”</w:t>
      </w:r>
      <w:r w:rsidRPr="00BE4B19">
        <w:rPr>
          <w:rStyle w:val="FootnoteReference"/>
          <w:rFonts w:asciiTheme="majorHAnsi" w:hAnsiTheme="majorHAnsi" w:cstheme="minorHAnsi"/>
          <w:sz w:val="22"/>
          <w:szCs w:val="22"/>
        </w:rPr>
        <w:footnoteReference w:id="83"/>
      </w:r>
      <w:r w:rsidRPr="00BE4B19">
        <w:rPr>
          <w:rFonts w:asciiTheme="majorHAnsi" w:hAnsiTheme="majorHAnsi" w:cstheme="minorHAnsi"/>
          <w:sz w:val="22"/>
          <w:szCs w:val="22"/>
        </w:rPr>
        <w:t xml:space="preserve"> This finding supports the wider generalisation of research on women’s participation in the labour market that “a key barrier to women’s greater participation … is the societal view that women’s roles are relegated largely to the private sphere and that the responsibility for family care falls to women, </w:t>
      </w:r>
      <w:r w:rsidRPr="00BE4B19">
        <w:rPr>
          <w:rFonts w:asciiTheme="majorHAnsi" w:hAnsiTheme="majorHAnsi" w:cstheme="minorHAnsi"/>
          <w:i/>
          <w:iCs/>
          <w:sz w:val="22"/>
          <w:szCs w:val="22"/>
        </w:rPr>
        <w:t xml:space="preserve">regardless </w:t>
      </w:r>
      <w:r w:rsidRPr="00BE4B19">
        <w:rPr>
          <w:rFonts w:asciiTheme="majorHAnsi" w:hAnsiTheme="majorHAnsi" w:cstheme="minorHAnsi"/>
          <w:sz w:val="22"/>
          <w:szCs w:val="22"/>
        </w:rPr>
        <w:t>of their employment status.“</w:t>
      </w:r>
      <w:r w:rsidRPr="00BE4B19">
        <w:rPr>
          <w:rStyle w:val="FootnoteReference"/>
          <w:rFonts w:asciiTheme="majorHAnsi" w:hAnsiTheme="majorHAnsi" w:cstheme="minorHAnsi"/>
          <w:sz w:val="22"/>
          <w:szCs w:val="22"/>
        </w:rPr>
        <w:footnoteReference w:id="84"/>
      </w:r>
      <w:r w:rsidRPr="00BE4B19">
        <w:rPr>
          <w:rFonts w:asciiTheme="majorHAnsi" w:hAnsiTheme="majorHAnsi" w:cstheme="minorHAnsi"/>
          <w:sz w:val="22"/>
          <w:szCs w:val="22"/>
        </w:rPr>
        <w:t xml:space="preserve"> </w:t>
      </w:r>
    </w:p>
    <w:p w14:paraId="1198A31E" w14:textId="559558E9"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A second norm operating on women’s participation in recruitment is the unequal position of men and women in decision-making. While women must negotiate with the husband over application, the reverse is not the case. Men can make unencumbered decisions in respect of their employment. The phenomenon has a consequence for the equitable and efficient deployment of the teacher workforce in the primary sector. In some locations, where PNS are scarce such as NTT, this results in an urban concentration for which married women are often blamed in official discussion about the distortions of teacher deployment, as indicated by participants in the primary data collection.</w:t>
      </w:r>
      <w:r w:rsidRPr="00BE4B19">
        <w:rPr>
          <w:rStyle w:val="FootnoteReference"/>
          <w:rFonts w:asciiTheme="majorHAnsi" w:hAnsiTheme="majorHAnsi" w:cstheme="minorHAnsi"/>
          <w:sz w:val="22"/>
          <w:szCs w:val="22"/>
        </w:rPr>
        <w:footnoteReference w:id="85"/>
      </w:r>
      <w:r w:rsidRPr="00BE4B19">
        <w:rPr>
          <w:rFonts w:asciiTheme="majorHAnsi" w:hAnsiTheme="majorHAnsi" w:cstheme="minorHAnsi"/>
          <w:sz w:val="22"/>
          <w:szCs w:val="22"/>
        </w:rPr>
        <w:t xml:space="preserve"> </w:t>
      </w:r>
    </w:p>
    <w:p w14:paraId="27B676A4" w14:textId="77777777"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Male headship of the family is affirmed in the 1974 Law No. 1 on Marriage, which explicitly recognizes the husband as the head of the family.</w:t>
      </w:r>
      <w:r w:rsidRPr="00BE4B19">
        <w:rPr>
          <w:rStyle w:val="FootnoteReference"/>
          <w:rFonts w:asciiTheme="majorHAnsi" w:hAnsiTheme="majorHAnsi" w:cstheme="minorHAnsi"/>
          <w:sz w:val="22"/>
          <w:szCs w:val="22"/>
        </w:rPr>
        <w:footnoteReference w:id="86"/>
      </w:r>
      <w:r w:rsidRPr="00BE4B19">
        <w:rPr>
          <w:rFonts w:asciiTheme="majorHAnsi" w:hAnsiTheme="majorHAnsi" w:cstheme="minorHAnsi"/>
          <w:sz w:val="22"/>
          <w:szCs w:val="22"/>
        </w:rPr>
        <w:t xml:space="preserve"> Interestingly, 30% of households in Indonesia are headed by women. This domain of headship in the private sphere is likely to affect societal views of women in authority positions in the public domain, as reflected in the difficulties that women interviewed found in having their authority as principals uncontested. It may help explain the decreasing appointment of women to principal positions at the higher levels of the school system where running schools has the high status of cognitive leadership, rather than lower status of caring work associated with headship of early childhood centres and primary schools.  </w:t>
      </w:r>
    </w:p>
    <w:p w14:paraId="1DF239A9" w14:textId="77777777" w:rsidR="00756EE9" w:rsidRPr="00BE4B19" w:rsidRDefault="00756EE9" w:rsidP="008D1844">
      <w:pPr>
        <w:pStyle w:val="ListParagraph"/>
        <w:numPr>
          <w:ilvl w:val="0"/>
          <w:numId w:val="52"/>
        </w:numPr>
        <w:spacing w:after="120" w:line="281" w:lineRule="auto"/>
        <w:rPr>
          <w:rFonts w:asciiTheme="majorHAnsi" w:hAnsiTheme="majorHAnsi" w:cstheme="minorHAnsi"/>
          <w:b/>
          <w:bCs/>
          <w:sz w:val="22"/>
          <w:szCs w:val="22"/>
        </w:rPr>
      </w:pPr>
      <w:bookmarkStart w:id="94" w:name="_Toc135387116"/>
      <w:r w:rsidRPr="00BE4B19">
        <w:rPr>
          <w:rFonts w:asciiTheme="majorHAnsi" w:hAnsiTheme="majorHAnsi" w:cstheme="minorHAnsi"/>
          <w:b/>
          <w:bCs/>
          <w:sz w:val="22"/>
          <w:szCs w:val="22"/>
        </w:rPr>
        <w:t xml:space="preserve">Influencing </w:t>
      </w:r>
      <w:r w:rsidRPr="00651EF4">
        <w:rPr>
          <w:rFonts w:asciiTheme="majorHAnsi" w:hAnsiTheme="majorHAnsi"/>
          <w:b/>
          <w:bCs/>
          <w:sz w:val="22"/>
          <w:szCs w:val="22"/>
        </w:rPr>
        <w:t>policies</w:t>
      </w:r>
      <w:r w:rsidRPr="00BE4B19">
        <w:rPr>
          <w:rFonts w:asciiTheme="majorHAnsi" w:hAnsiTheme="majorHAnsi" w:cstheme="minorHAnsi"/>
          <w:b/>
          <w:bCs/>
          <w:sz w:val="22"/>
          <w:szCs w:val="22"/>
        </w:rPr>
        <w:t xml:space="preserve"> to mitigate </w:t>
      </w:r>
      <w:bookmarkEnd w:id="94"/>
      <w:proofErr w:type="gramStart"/>
      <w:r w:rsidRPr="00BE4B19">
        <w:rPr>
          <w:rFonts w:asciiTheme="majorHAnsi" w:hAnsiTheme="majorHAnsi" w:cstheme="minorHAnsi"/>
          <w:b/>
          <w:bCs/>
          <w:sz w:val="22"/>
          <w:szCs w:val="22"/>
        </w:rPr>
        <w:t>discrimination</w:t>
      </w:r>
      <w:proofErr w:type="gramEnd"/>
    </w:p>
    <w:p w14:paraId="709AD831" w14:textId="5D80CBB1"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Part of the wide-ranging new reforms of the </w:t>
      </w:r>
      <w:r w:rsidRPr="00BE4B19">
        <w:rPr>
          <w:rFonts w:asciiTheme="majorHAnsi" w:hAnsiTheme="majorHAnsi" w:cstheme="minorHAnsi"/>
          <w:i/>
          <w:iCs/>
          <w:sz w:val="22"/>
          <w:szCs w:val="22"/>
        </w:rPr>
        <w:t xml:space="preserve">Merdeka </w:t>
      </w:r>
      <w:proofErr w:type="spellStart"/>
      <w:r w:rsidRPr="00BE4B19">
        <w:rPr>
          <w:rFonts w:asciiTheme="majorHAnsi" w:hAnsiTheme="majorHAnsi" w:cstheme="minorHAnsi"/>
          <w:i/>
          <w:iCs/>
          <w:sz w:val="22"/>
          <w:szCs w:val="22"/>
        </w:rPr>
        <w:t>Belajar</w:t>
      </w:r>
      <w:proofErr w:type="spellEnd"/>
      <w:r w:rsidRPr="00BE4B19">
        <w:rPr>
          <w:rFonts w:asciiTheme="majorHAnsi" w:hAnsiTheme="majorHAnsi" w:cstheme="minorHAnsi"/>
          <w:sz w:val="22"/>
          <w:szCs w:val="22"/>
        </w:rPr>
        <w:t xml:space="preserve"> agenda, is the change to the recruitment of school principals as per the Regulation on Education and Culture No 40/2021 and the program </w:t>
      </w:r>
      <w:r w:rsidRPr="00BE4B19">
        <w:rPr>
          <w:rFonts w:asciiTheme="majorHAnsi" w:hAnsiTheme="majorHAnsi" w:cstheme="minorHAnsi"/>
          <w:i/>
          <w:iCs/>
          <w:sz w:val="22"/>
          <w:szCs w:val="22"/>
        </w:rPr>
        <w:t xml:space="preserve">Guru </w:t>
      </w:r>
      <w:proofErr w:type="spellStart"/>
      <w:r w:rsidRPr="00BE4B19">
        <w:rPr>
          <w:rFonts w:asciiTheme="majorHAnsi" w:hAnsiTheme="majorHAnsi" w:cstheme="minorHAnsi"/>
          <w:i/>
          <w:iCs/>
          <w:sz w:val="22"/>
          <w:szCs w:val="22"/>
        </w:rPr>
        <w:t>Penggerak</w:t>
      </w:r>
      <w:proofErr w:type="spellEnd"/>
      <w:r w:rsidRPr="00BE4B19">
        <w:rPr>
          <w:rFonts w:asciiTheme="majorHAnsi" w:hAnsiTheme="majorHAnsi" w:cstheme="minorHAnsi"/>
          <w:sz w:val="22"/>
          <w:szCs w:val="22"/>
        </w:rPr>
        <w:t xml:space="preserve">. In these reforms, principals will be drawn from the cohorts of </w:t>
      </w:r>
      <w:r w:rsidRPr="00BE4B19">
        <w:rPr>
          <w:rFonts w:asciiTheme="majorHAnsi" w:hAnsiTheme="majorHAnsi" w:cstheme="minorHAnsi"/>
          <w:i/>
          <w:iCs/>
          <w:sz w:val="22"/>
          <w:szCs w:val="22"/>
        </w:rPr>
        <w:t xml:space="preserve">Guru </w:t>
      </w:r>
      <w:proofErr w:type="spellStart"/>
      <w:r w:rsidRPr="00BE4B19">
        <w:rPr>
          <w:rFonts w:asciiTheme="majorHAnsi" w:hAnsiTheme="majorHAnsi" w:cstheme="minorHAnsi"/>
          <w:i/>
          <w:iCs/>
          <w:sz w:val="22"/>
          <w:szCs w:val="22"/>
        </w:rPr>
        <w:t>Penggerak</w:t>
      </w:r>
      <w:proofErr w:type="spellEnd"/>
      <w:r w:rsidRPr="00BE4B19">
        <w:rPr>
          <w:rFonts w:asciiTheme="majorHAnsi" w:hAnsiTheme="majorHAnsi" w:cstheme="minorHAnsi"/>
          <w:sz w:val="22"/>
          <w:szCs w:val="22"/>
        </w:rPr>
        <w:t xml:space="preserve"> (change agent teachers selected through national processes). However, issues of travel to training still apply. There is still no advance information on the whereabouts of the position to be taken up. In addition, if a </w:t>
      </w:r>
      <w:r w:rsidRPr="00BE4B19">
        <w:rPr>
          <w:rFonts w:asciiTheme="majorHAnsi" w:hAnsiTheme="majorHAnsi" w:cstheme="minorHAnsi"/>
          <w:i/>
          <w:iCs/>
          <w:sz w:val="22"/>
          <w:szCs w:val="22"/>
        </w:rPr>
        <w:t xml:space="preserve">Guru </w:t>
      </w:r>
      <w:proofErr w:type="spellStart"/>
      <w:r w:rsidRPr="00BE4B19">
        <w:rPr>
          <w:rFonts w:asciiTheme="majorHAnsi" w:hAnsiTheme="majorHAnsi" w:cstheme="minorHAnsi"/>
          <w:i/>
          <w:iCs/>
          <w:sz w:val="22"/>
          <w:szCs w:val="22"/>
        </w:rPr>
        <w:t>Penggerak</w:t>
      </w:r>
      <w:proofErr w:type="spellEnd"/>
      <w:r w:rsidRPr="00BE4B19">
        <w:rPr>
          <w:rFonts w:asciiTheme="majorHAnsi" w:hAnsiTheme="majorHAnsi" w:cstheme="minorHAnsi"/>
          <w:sz w:val="22"/>
          <w:szCs w:val="22"/>
        </w:rPr>
        <w:t xml:space="preserve"> rejects a position offered, </w:t>
      </w:r>
      <w:r w:rsidR="00C55B1E">
        <w:rPr>
          <w:rFonts w:asciiTheme="majorHAnsi" w:hAnsiTheme="majorHAnsi" w:cstheme="minorHAnsi"/>
          <w:sz w:val="22"/>
          <w:szCs w:val="22"/>
        </w:rPr>
        <w:t xml:space="preserve">it might be difficult for them </w:t>
      </w:r>
      <w:r w:rsidRPr="00BE4B19">
        <w:rPr>
          <w:rFonts w:asciiTheme="majorHAnsi" w:hAnsiTheme="majorHAnsi" w:cstheme="minorHAnsi"/>
          <w:sz w:val="22"/>
          <w:szCs w:val="22"/>
        </w:rPr>
        <w:t xml:space="preserve">to secure a subsequent offer. This was confirmed for example, by a </w:t>
      </w:r>
      <w:r w:rsidRPr="00BD0494">
        <w:rPr>
          <w:rFonts w:asciiTheme="majorHAnsi" w:hAnsiTheme="majorHAnsi" w:cstheme="minorHAnsi"/>
          <w:i/>
          <w:iCs/>
          <w:sz w:val="22"/>
          <w:szCs w:val="22"/>
        </w:rPr>
        <w:t xml:space="preserve">Guru </w:t>
      </w:r>
      <w:proofErr w:type="spellStart"/>
      <w:r w:rsidRPr="00BD0494">
        <w:rPr>
          <w:rFonts w:asciiTheme="majorHAnsi" w:hAnsiTheme="majorHAnsi" w:cstheme="minorHAnsi"/>
          <w:i/>
          <w:iCs/>
          <w:sz w:val="22"/>
          <w:szCs w:val="22"/>
        </w:rPr>
        <w:t>Penggerak</w:t>
      </w:r>
      <w:proofErr w:type="spellEnd"/>
      <w:r w:rsidRPr="00BE4B19">
        <w:rPr>
          <w:rFonts w:asciiTheme="majorHAnsi" w:hAnsiTheme="majorHAnsi" w:cstheme="minorHAnsi"/>
          <w:sz w:val="22"/>
          <w:szCs w:val="22"/>
        </w:rPr>
        <w:t xml:space="preserve"> interviewed during the design mission who has been transferred three times to head schools with bad conditions. She said that if she refuses the placement or is unable to take part in the pre-position training as principal, she fears she will not get the opportunity to serve as a principal as she would be considered unwilling and/or incapable.</w:t>
      </w:r>
      <w:r w:rsidRPr="00BE4B19">
        <w:rPr>
          <w:rStyle w:val="FootnoteReference"/>
          <w:rFonts w:asciiTheme="majorHAnsi" w:hAnsiTheme="majorHAnsi" w:cstheme="minorHAnsi"/>
          <w:sz w:val="22"/>
          <w:szCs w:val="22"/>
        </w:rPr>
        <w:footnoteReference w:id="87"/>
      </w:r>
      <w:r w:rsidRPr="00BE4B19">
        <w:rPr>
          <w:rFonts w:asciiTheme="majorHAnsi" w:hAnsiTheme="majorHAnsi" w:cstheme="minorHAnsi"/>
          <w:sz w:val="22"/>
          <w:szCs w:val="22"/>
        </w:rPr>
        <w:t xml:space="preserve"> Underlying norms can affect the process in other ways and with new players. In interview, the head of the provincial body responsible for advising the local authority on placement, gave as an example of such advice, counsel against appointment of women </w:t>
      </w:r>
      <w:r w:rsidRPr="00BE4B19">
        <w:rPr>
          <w:rFonts w:asciiTheme="majorHAnsi" w:hAnsiTheme="majorHAnsi" w:cstheme="minorHAnsi"/>
          <w:sz w:val="22"/>
          <w:szCs w:val="22"/>
        </w:rPr>
        <w:lastRenderedPageBreak/>
        <w:t xml:space="preserve">candidates to remote postings as the challenge would be too much for them and they would not be so able to lead the kind of change in neighbouring schools required of a </w:t>
      </w:r>
      <w:r w:rsidRPr="00BE4B19">
        <w:rPr>
          <w:rFonts w:asciiTheme="majorHAnsi" w:hAnsiTheme="majorHAnsi" w:cstheme="minorHAnsi"/>
          <w:i/>
          <w:iCs/>
          <w:sz w:val="22"/>
          <w:szCs w:val="22"/>
        </w:rPr>
        <w:t xml:space="preserve">Guru </w:t>
      </w:r>
      <w:proofErr w:type="spellStart"/>
      <w:r w:rsidRPr="00BE4B19">
        <w:rPr>
          <w:rFonts w:asciiTheme="majorHAnsi" w:hAnsiTheme="majorHAnsi" w:cstheme="minorHAnsi"/>
          <w:i/>
          <w:iCs/>
          <w:sz w:val="22"/>
          <w:szCs w:val="22"/>
        </w:rPr>
        <w:t>Penggerak</w:t>
      </w:r>
      <w:proofErr w:type="spellEnd"/>
      <w:r w:rsidRPr="00BE4B19">
        <w:rPr>
          <w:rFonts w:asciiTheme="majorHAnsi" w:hAnsiTheme="majorHAnsi" w:cstheme="minorHAnsi"/>
          <w:sz w:val="22"/>
          <w:szCs w:val="22"/>
        </w:rPr>
        <w:t xml:space="preserve"> leader</w:t>
      </w:r>
      <w:r w:rsidRPr="00BE4B19">
        <w:rPr>
          <w:rStyle w:val="FootnoteReference"/>
          <w:rFonts w:asciiTheme="majorHAnsi" w:hAnsiTheme="majorHAnsi" w:cstheme="minorHAnsi"/>
          <w:sz w:val="22"/>
          <w:szCs w:val="22"/>
        </w:rPr>
        <w:footnoteReference w:id="88"/>
      </w:r>
      <w:r w:rsidRPr="00BE4B19">
        <w:rPr>
          <w:rFonts w:asciiTheme="majorHAnsi" w:hAnsiTheme="majorHAnsi" w:cstheme="minorHAnsi"/>
          <w:sz w:val="22"/>
          <w:szCs w:val="22"/>
        </w:rPr>
        <w:t xml:space="preserve">. In the district where this interview took place, the numbers of men and women applying for the position of </w:t>
      </w:r>
      <w:r w:rsidRPr="00BE4B19">
        <w:rPr>
          <w:rFonts w:asciiTheme="majorHAnsi" w:hAnsiTheme="majorHAnsi" w:cstheme="minorHAnsi"/>
          <w:i/>
          <w:iCs/>
          <w:sz w:val="22"/>
          <w:szCs w:val="22"/>
        </w:rPr>
        <w:t xml:space="preserve">Guru </w:t>
      </w:r>
      <w:proofErr w:type="spellStart"/>
      <w:r w:rsidRPr="00BE4B19">
        <w:rPr>
          <w:rFonts w:asciiTheme="majorHAnsi" w:hAnsiTheme="majorHAnsi" w:cstheme="minorHAnsi"/>
          <w:i/>
          <w:iCs/>
          <w:sz w:val="22"/>
          <w:szCs w:val="22"/>
        </w:rPr>
        <w:t>Penggerak</w:t>
      </w:r>
      <w:proofErr w:type="spellEnd"/>
      <w:r w:rsidRPr="00BE4B19">
        <w:rPr>
          <w:rFonts w:asciiTheme="majorHAnsi" w:hAnsiTheme="majorHAnsi" w:cstheme="minorHAnsi"/>
          <w:sz w:val="22"/>
          <w:szCs w:val="22"/>
        </w:rPr>
        <w:t xml:space="preserve"> had been even, seven candidates had passed the qualifying test and had been appointed principals</w:t>
      </w:r>
      <w:r w:rsidR="00221415">
        <w:rPr>
          <w:rFonts w:asciiTheme="majorHAnsi" w:hAnsiTheme="majorHAnsi" w:cstheme="minorHAnsi"/>
          <w:sz w:val="22"/>
          <w:szCs w:val="22"/>
        </w:rPr>
        <w:t>,</w:t>
      </w:r>
      <w:r w:rsidRPr="00BE4B19">
        <w:rPr>
          <w:rFonts w:asciiTheme="majorHAnsi" w:hAnsiTheme="majorHAnsi" w:cstheme="minorHAnsi"/>
          <w:sz w:val="22"/>
          <w:szCs w:val="22"/>
        </w:rPr>
        <w:t xml:space="preserve"> and two of that number were women, fitting the general disparity between male and female appointments to headship positions. </w:t>
      </w:r>
    </w:p>
    <w:p w14:paraId="7F64BACB" w14:textId="29F4A92C" w:rsidR="00756EE9" w:rsidRPr="00BE4B19" w:rsidRDefault="00756EE9" w:rsidP="00296329">
      <w:pPr>
        <w:pStyle w:val="BodyText"/>
        <w:spacing w:after="120" w:line="281" w:lineRule="auto"/>
        <w:rPr>
          <w:rFonts w:asciiTheme="majorHAnsi" w:hAnsiTheme="majorHAnsi" w:cstheme="minorHAnsi"/>
          <w:sz w:val="22"/>
          <w:szCs w:val="22"/>
          <w:highlight w:val="cyan"/>
        </w:rPr>
      </w:pPr>
      <w:r w:rsidRPr="00BE4B19">
        <w:rPr>
          <w:rFonts w:asciiTheme="majorHAnsi" w:hAnsiTheme="majorHAnsi" w:cstheme="minorHAnsi"/>
          <w:sz w:val="22"/>
          <w:szCs w:val="22"/>
        </w:rPr>
        <w:t xml:space="preserve">There is the possibility that this kind of insensitivity to gendered constraints is related to the seeming lapse in the use of gender analysis tools such as the Gender Analysis Pathway (GAP), which provides tools to measure access, participation, </w:t>
      </w:r>
      <w:r w:rsidR="00BD0494" w:rsidRPr="00BE4B19">
        <w:rPr>
          <w:rFonts w:asciiTheme="majorHAnsi" w:hAnsiTheme="majorHAnsi" w:cstheme="minorHAnsi"/>
          <w:sz w:val="22"/>
          <w:szCs w:val="22"/>
        </w:rPr>
        <w:t>benefit,</w:t>
      </w:r>
      <w:r w:rsidRPr="00BE4B19">
        <w:rPr>
          <w:rFonts w:asciiTheme="majorHAnsi" w:hAnsiTheme="majorHAnsi" w:cstheme="minorHAnsi"/>
          <w:sz w:val="22"/>
          <w:szCs w:val="22"/>
        </w:rPr>
        <w:t xml:space="preserve"> and control of a given policy to ensure that women are considered in a program or activity. GAP itself is a gender analysis tool developed in 2012 by </w:t>
      </w:r>
      <w:proofErr w:type="spellStart"/>
      <w:r w:rsidRPr="00BE4B19">
        <w:rPr>
          <w:rFonts w:asciiTheme="majorHAnsi" w:hAnsiTheme="majorHAnsi" w:cstheme="minorHAnsi"/>
          <w:sz w:val="22"/>
          <w:szCs w:val="22"/>
        </w:rPr>
        <w:t>Bappenas</w:t>
      </w:r>
      <w:proofErr w:type="spellEnd"/>
      <w:r w:rsidRPr="00BE4B19">
        <w:rPr>
          <w:rFonts w:asciiTheme="majorHAnsi" w:hAnsiTheme="majorHAnsi" w:cstheme="minorHAnsi"/>
          <w:sz w:val="22"/>
          <w:szCs w:val="22"/>
        </w:rPr>
        <w:t xml:space="preserve"> and the Ministry of Women Empowerment and Child Protection to support GOI’s 2009 mainstreaming policy for government positions. GAP and the other tool for mainstreaming— gender responsive budgeting (PPRG) —are designed to balance the differentiation of social roles and relations between women and men, based on gender that </w:t>
      </w:r>
      <w:proofErr w:type="gramStart"/>
      <w:r w:rsidRPr="00BE4B19">
        <w:rPr>
          <w:rFonts w:asciiTheme="majorHAnsi" w:hAnsiTheme="majorHAnsi" w:cstheme="minorHAnsi"/>
          <w:sz w:val="22"/>
          <w:szCs w:val="22"/>
        </w:rPr>
        <w:t>lead</w:t>
      </w:r>
      <w:proofErr w:type="gramEnd"/>
      <w:r w:rsidRPr="00BE4B19">
        <w:rPr>
          <w:rFonts w:asciiTheme="majorHAnsi" w:hAnsiTheme="majorHAnsi" w:cstheme="minorHAnsi"/>
          <w:sz w:val="22"/>
          <w:szCs w:val="22"/>
        </w:rPr>
        <w:t xml:space="preserve"> to differences in experience, aspirations, and needs and differentiation of access to, participation in, benefits of and control over development. </w:t>
      </w:r>
    </w:p>
    <w:p w14:paraId="565F0CA2" w14:textId="77777777" w:rsidR="00756EE9" w:rsidRPr="00BE4B19" w:rsidRDefault="00756EE9" w:rsidP="008D1844">
      <w:pPr>
        <w:pStyle w:val="ListParagraph"/>
        <w:numPr>
          <w:ilvl w:val="0"/>
          <w:numId w:val="52"/>
        </w:numPr>
        <w:spacing w:after="120" w:line="281" w:lineRule="auto"/>
        <w:rPr>
          <w:rFonts w:asciiTheme="majorHAnsi" w:hAnsiTheme="majorHAnsi" w:cstheme="minorHAnsi"/>
          <w:b/>
          <w:bCs/>
          <w:sz w:val="22"/>
          <w:szCs w:val="22"/>
        </w:rPr>
      </w:pPr>
      <w:bookmarkStart w:id="95" w:name="_Toc135387117"/>
      <w:r w:rsidRPr="00BE4B19">
        <w:rPr>
          <w:rFonts w:asciiTheme="majorHAnsi" w:hAnsiTheme="majorHAnsi" w:cstheme="minorHAnsi"/>
          <w:b/>
          <w:bCs/>
          <w:sz w:val="22"/>
          <w:szCs w:val="22"/>
        </w:rPr>
        <w:t xml:space="preserve">Resourcing </w:t>
      </w:r>
      <w:r w:rsidRPr="00651EF4">
        <w:rPr>
          <w:rFonts w:asciiTheme="majorHAnsi" w:hAnsiTheme="majorHAnsi"/>
          <w:b/>
          <w:bCs/>
          <w:sz w:val="22"/>
          <w:szCs w:val="22"/>
        </w:rPr>
        <w:t>women’s</w:t>
      </w:r>
      <w:r w:rsidRPr="00BE4B19">
        <w:rPr>
          <w:rFonts w:asciiTheme="majorHAnsi" w:hAnsiTheme="majorHAnsi" w:cstheme="minorHAnsi"/>
          <w:b/>
          <w:bCs/>
          <w:sz w:val="22"/>
          <w:szCs w:val="22"/>
        </w:rPr>
        <w:t xml:space="preserve"> agency to mitigate </w:t>
      </w:r>
      <w:bookmarkEnd w:id="95"/>
      <w:proofErr w:type="gramStart"/>
      <w:r w:rsidRPr="00BE4B19">
        <w:rPr>
          <w:rFonts w:asciiTheme="majorHAnsi" w:hAnsiTheme="majorHAnsi" w:cstheme="minorHAnsi"/>
          <w:b/>
          <w:bCs/>
          <w:sz w:val="22"/>
          <w:szCs w:val="22"/>
        </w:rPr>
        <w:t>discrimination</w:t>
      </w:r>
      <w:proofErr w:type="gramEnd"/>
    </w:p>
    <w:p w14:paraId="17748BAE" w14:textId="77777777"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Changes to the process of applying for leadership positions produced by the </w:t>
      </w:r>
      <w:proofErr w:type="spellStart"/>
      <w:r w:rsidRPr="00BE4B19">
        <w:rPr>
          <w:rFonts w:asciiTheme="majorHAnsi" w:hAnsiTheme="majorHAnsi" w:cstheme="minorHAnsi"/>
          <w:sz w:val="22"/>
          <w:szCs w:val="22"/>
        </w:rPr>
        <w:t>Bappenas</w:t>
      </w:r>
      <w:proofErr w:type="spellEnd"/>
      <w:r w:rsidRPr="00BE4B19">
        <w:rPr>
          <w:rFonts w:asciiTheme="majorHAnsi" w:hAnsiTheme="majorHAnsi" w:cstheme="minorHAnsi"/>
          <w:sz w:val="22"/>
          <w:szCs w:val="22"/>
        </w:rPr>
        <w:t xml:space="preserve"> gender mainstreaming tools will help increase women’s agency. There needs to be public recognition that the provision of a fair process requires policies and regulations to consider the different constraints on women and men that may emanate from the private sphere. Overtime, they would help to change private norms, as an equal representation of women principals at all levels of leadership begins to affect the idea of the natural order of things and the evidence of the assets that women bring to leadership become visible to education authorities. </w:t>
      </w:r>
      <w:bookmarkStart w:id="96" w:name="_Toc135387119"/>
    </w:p>
    <w:p w14:paraId="6D1F4A1B" w14:textId="12C31854" w:rsidR="00756EE9" w:rsidRPr="00651EF4" w:rsidRDefault="00756EE9" w:rsidP="008D1844">
      <w:pPr>
        <w:pStyle w:val="Heading1"/>
        <w:numPr>
          <w:ilvl w:val="0"/>
          <w:numId w:val="51"/>
        </w:numPr>
        <w:spacing w:after="120" w:line="281" w:lineRule="auto"/>
        <w:contextualSpacing w:val="0"/>
        <w:rPr>
          <w:rFonts w:cs="Times New Roman (Headings CS)"/>
          <w:caps w:val="0"/>
          <w:sz w:val="22"/>
          <w:szCs w:val="22"/>
        </w:rPr>
      </w:pPr>
      <w:r w:rsidRPr="00651EF4">
        <w:rPr>
          <w:rFonts w:cs="Times New Roman (Headings CS)"/>
          <w:caps w:val="0"/>
          <w:sz w:val="22"/>
          <w:szCs w:val="22"/>
        </w:rPr>
        <w:t xml:space="preserve">Barriers to girls’ agency and </w:t>
      </w:r>
      <w:r w:rsidR="00431ECE">
        <w:rPr>
          <w:rFonts w:cs="Times New Roman (Headings CS)"/>
          <w:caps w:val="0"/>
          <w:sz w:val="22"/>
          <w:szCs w:val="22"/>
        </w:rPr>
        <w:t>well-being</w:t>
      </w:r>
      <w:bookmarkEnd w:id="96"/>
      <w:r w:rsidRPr="00651EF4">
        <w:rPr>
          <w:rFonts w:cs="Times New Roman (Headings CS)"/>
          <w:caps w:val="0"/>
          <w:sz w:val="22"/>
          <w:szCs w:val="22"/>
        </w:rPr>
        <w:t xml:space="preserve"> </w:t>
      </w:r>
    </w:p>
    <w:p w14:paraId="646ADAFA" w14:textId="6EC9AC0C"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Barriers to the development of girls’ agency in Indonesia include 1) stereotyping in curriculum materials and treatment by teachers, and 2) bullying, </w:t>
      </w:r>
      <w:r w:rsidR="001216A7" w:rsidRPr="00BE4B19">
        <w:rPr>
          <w:rFonts w:asciiTheme="majorHAnsi" w:hAnsiTheme="majorHAnsi" w:cstheme="minorHAnsi"/>
          <w:sz w:val="22"/>
          <w:szCs w:val="22"/>
        </w:rPr>
        <w:t>violence,</w:t>
      </w:r>
      <w:r w:rsidRPr="00BE4B19">
        <w:rPr>
          <w:rFonts w:asciiTheme="majorHAnsi" w:hAnsiTheme="majorHAnsi" w:cstheme="minorHAnsi"/>
          <w:sz w:val="22"/>
          <w:szCs w:val="22"/>
        </w:rPr>
        <w:t xml:space="preserve"> and sexual harassment. A third barrier relevant to schooling with major impact on girls’ </w:t>
      </w:r>
      <w:r w:rsidR="00431ECE">
        <w:rPr>
          <w:rFonts w:asciiTheme="majorHAnsi" w:hAnsiTheme="majorHAnsi" w:cstheme="minorHAnsi"/>
          <w:sz w:val="22"/>
          <w:szCs w:val="22"/>
        </w:rPr>
        <w:t>well-being</w:t>
      </w:r>
      <w:r w:rsidRPr="00BE4B19">
        <w:rPr>
          <w:rFonts w:asciiTheme="majorHAnsi" w:hAnsiTheme="majorHAnsi" w:cstheme="minorHAnsi"/>
          <w:sz w:val="22"/>
          <w:szCs w:val="22"/>
        </w:rPr>
        <w:t xml:space="preserve"> and agency is child marriage, and its increased occurrence since COVID. All three barriers are underpinned by social norms reproduced in the school culture. Common implications can be drawn to address these, influence school and school related policies, and more broadly </w:t>
      </w:r>
      <w:r w:rsidR="007B7655" w:rsidRPr="00BE4B19">
        <w:rPr>
          <w:rFonts w:asciiTheme="majorHAnsi" w:hAnsiTheme="majorHAnsi" w:cstheme="minorHAnsi"/>
          <w:sz w:val="22"/>
          <w:szCs w:val="22"/>
        </w:rPr>
        <w:t>resourc</w:t>
      </w:r>
      <w:r w:rsidR="007B7655">
        <w:rPr>
          <w:rFonts w:asciiTheme="majorHAnsi" w:hAnsiTheme="majorHAnsi" w:cstheme="minorHAnsi"/>
          <w:sz w:val="22"/>
          <w:szCs w:val="22"/>
        </w:rPr>
        <w:t>e</w:t>
      </w:r>
      <w:r w:rsidR="007B7655" w:rsidRPr="00BE4B19">
        <w:rPr>
          <w:rFonts w:asciiTheme="majorHAnsi" w:hAnsiTheme="majorHAnsi" w:cstheme="minorHAnsi"/>
          <w:sz w:val="22"/>
          <w:szCs w:val="22"/>
        </w:rPr>
        <w:t xml:space="preserve"> </w:t>
      </w:r>
      <w:r w:rsidRPr="00BE4B19">
        <w:rPr>
          <w:rFonts w:asciiTheme="majorHAnsi" w:hAnsiTheme="majorHAnsi" w:cstheme="minorHAnsi"/>
          <w:sz w:val="22"/>
          <w:szCs w:val="22"/>
        </w:rPr>
        <w:t xml:space="preserve">girls’ agency and </w:t>
      </w:r>
      <w:r w:rsidR="00431ECE">
        <w:rPr>
          <w:rFonts w:asciiTheme="majorHAnsi" w:hAnsiTheme="majorHAnsi" w:cstheme="minorHAnsi"/>
          <w:sz w:val="22"/>
          <w:szCs w:val="22"/>
        </w:rPr>
        <w:t>well-being</w:t>
      </w:r>
      <w:r w:rsidRPr="00BE4B19">
        <w:rPr>
          <w:rFonts w:asciiTheme="majorHAnsi" w:hAnsiTheme="majorHAnsi" w:cstheme="minorHAnsi"/>
          <w:sz w:val="22"/>
          <w:szCs w:val="22"/>
        </w:rPr>
        <w:t>.</w:t>
      </w:r>
    </w:p>
    <w:p w14:paraId="725F9BAF" w14:textId="77777777" w:rsidR="00756EE9" w:rsidRPr="00BE4B19" w:rsidRDefault="00756EE9" w:rsidP="008D1844">
      <w:pPr>
        <w:pStyle w:val="ListParagraph"/>
        <w:numPr>
          <w:ilvl w:val="0"/>
          <w:numId w:val="53"/>
        </w:numPr>
        <w:spacing w:after="120" w:line="281" w:lineRule="auto"/>
        <w:contextualSpacing w:val="0"/>
        <w:rPr>
          <w:rFonts w:asciiTheme="majorHAnsi" w:hAnsiTheme="majorHAnsi" w:cstheme="minorHAnsi"/>
          <w:b/>
          <w:bCs/>
          <w:sz w:val="22"/>
          <w:szCs w:val="22"/>
        </w:rPr>
      </w:pPr>
      <w:r w:rsidRPr="00BE4B19">
        <w:rPr>
          <w:rFonts w:asciiTheme="majorHAnsi" w:hAnsiTheme="majorHAnsi" w:cstheme="minorHAnsi"/>
          <w:b/>
          <w:bCs/>
          <w:sz w:val="22"/>
          <w:szCs w:val="22"/>
        </w:rPr>
        <w:t>The Situation</w:t>
      </w:r>
    </w:p>
    <w:p w14:paraId="58E473DF" w14:textId="77777777" w:rsidR="00756EE9" w:rsidRPr="00BE4B19" w:rsidRDefault="00756EE9" w:rsidP="008D1844">
      <w:pPr>
        <w:pStyle w:val="ListParagraph"/>
        <w:numPr>
          <w:ilvl w:val="0"/>
          <w:numId w:val="42"/>
        </w:numPr>
        <w:spacing w:after="120" w:line="281" w:lineRule="auto"/>
        <w:ind w:left="0" w:firstLine="426"/>
        <w:rPr>
          <w:rFonts w:asciiTheme="majorHAnsi" w:hAnsiTheme="majorHAnsi" w:cstheme="minorHAnsi"/>
          <w:sz w:val="22"/>
          <w:szCs w:val="22"/>
        </w:rPr>
      </w:pPr>
      <w:bookmarkStart w:id="97" w:name="_Toc135387120"/>
      <w:r w:rsidRPr="00BE4B19">
        <w:rPr>
          <w:rFonts w:asciiTheme="majorHAnsi" w:hAnsiTheme="majorHAnsi" w:cstheme="minorHAnsi"/>
          <w:sz w:val="22"/>
          <w:szCs w:val="22"/>
        </w:rPr>
        <w:t>Discrimination through stereotyping</w:t>
      </w:r>
      <w:bookmarkEnd w:id="97"/>
    </w:p>
    <w:p w14:paraId="4F3E100C" w14:textId="76B18CFD"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Textbooks and learning media are powerful means for reinforcing or breaking down excluding and belittling stereotyping of groups. A gender analysis of textbooks produced by 15 publishers for Grades 1, 6, 9 and 12 found illustrations of domestic duties performed only by women dominant in all textbooks, with the highest stereotyping evident in Grade 6, followed by Grade 1</w:t>
      </w:r>
      <w:r w:rsidRPr="00BE4B19">
        <w:rPr>
          <w:rStyle w:val="FootnoteReference"/>
          <w:rFonts w:asciiTheme="majorHAnsi" w:hAnsiTheme="majorHAnsi" w:cstheme="minorHAnsi"/>
          <w:sz w:val="22"/>
          <w:szCs w:val="22"/>
        </w:rPr>
        <w:footnoteReference w:id="89"/>
      </w:r>
      <w:r w:rsidRPr="00BE4B19">
        <w:rPr>
          <w:rFonts w:asciiTheme="majorHAnsi" w:hAnsiTheme="majorHAnsi" w:cstheme="minorHAnsi"/>
          <w:sz w:val="22"/>
          <w:szCs w:val="22"/>
        </w:rPr>
        <w:t>. Stereotyping also took the form of males in dominant roles in the public sphere</w:t>
      </w:r>
      <w:r w:rsidR="00221415">
        <w:rPr>
          <w:rFonts w:asciiTheme="majorHAnsi" w:hAnsiTheme="majorHAnsi" w:cstheme="minorHAnsi"/>
          <w:sz w:val="22"/>
          <w:szCs w:val="22"/>
        </w:rPr>
        <w:t>,</w:t>
      </w:r>
      <w:r w:rsidRPr="00BE4B19">
        <w:rPr>
          <w:rFonts w:asciiTheme="majorHAnsi" w:hAnsiTheme="majorHAnsi" w:cstheme="minorHAnsi"/>
          <w:sz w:val="22"/>
          <w:szCs w:val="22"/>
        </w:rPr>
        <w:t xml:space="preserve"> and exhibiting greater competency compared to portrayed females. This pattern </w:t>
      </w:r>
      <w:r w:rsidRPr="00BE4B19">
        <w:rPr>
          <w:rFonts w:asciiTheme="majorHAnsi" w:hAnsiTheme="majorHAnsi" w:cstheme="minorHAnsi"/>
          <w:sz w:val="22"/>
          <w:szCs w:val="22"/>
        </w:rPr>
        <w:lastRenderedPageBreak/>
        <w:t xml:space="preserve">was found in all grades, with the highest number of portrayals found in Grade 6 texts. This is the year when students are at the onset of their adolescence, when gender identity vis-à -vis the other sex is strongly taking shape. </w:t>
      </w:r>
    </w:p>
    <w:p w14:paraId="1AFA74A1" w14:textId="77777777"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The INOVASI program also analysed Grades 1 and 4 textbooks and children’s literature across subject areas for stereotyping, including gender. The outcome of this analysis has been the adoption by </w:t>
      </w:r>
      <w:proofErr w:type="spellStart"/>
      <w:r w:rsidRPr="00BE4B19">
        <w:rPr>
          <w:rFonts w:asciiTheme="majorHAnsi" w:hAnsiTheme="majorHAnsi" w:cstheme="minorHAnsi"/>
          <w:sz w:val="22"/>
          <w:szCs w:val="22"/>
        </w:rPr>
        <w:t>MoECRT</w:t>
      </w:r>
      <w:proofErr w:type="spellEnd"/>
      <w:r w:rsidRPr="00BE4B19">
        <w:rPr>
          <w:rFonts w:asciiTheme="majorHAnsi" w:hAnsiTheme="majorHAnsi" w:cstheme="minorHAnsi"/>
          <w:sz w:val="22"/>
          <w:szCs w:val="22"/>
        </w:rPr>
        <w:t xml:space="preserve"> Centre for Books (Pusat </w:t>
      </w:r>
      <w:proofErr w:type="spellStart"/>
      <w:r w:rsidRPr="00BE4B19">
        <w:rPr>
          <w:rFonts w:asciiTheme="majorHAnsi" w:hAnsiTheme="majorHAnsi" w:cstheme="minorHAnsi"/>
          <w:sz w:val="22"/>
          <w:szCs w:val="22"/>
        </w:rPr>
        <w:t>Buku</w:t>
      </w:r>
      <w:proofErr w:type="spellEnd"/>
      <w:r w:rsidRPr="00BE4B19">
        <w:rPr>
          <w:rFonts w:asciiTheme="majorHAnsi" w:hAnsiTheme="majorHAnsi" w:cstheme="minorHAnsi"/>
          <w:sz w:val="22"/>
          <w:szCs w:val="22"/>
        </w:rPr>
        <w:t xml:space="preserve">) of a new instrument for reviewing all new books for stereotyping, and the inclusion on the Ministry’s digital platform of a module for teachers on recognising stereotyping in material. </w:t>
      </w:r>
    </w:p>
    <w:p w14:paraId="1558F6EB" w14:textId="77777777" w:rsidR="00756EE9" w:rsidRPr="00BE4B19" w:rsidRDefault="00756EE9" w:rsidP="008D1844">
      <w:pPr>
        <w:pStyle w:val="ListParagraph"/>
        <w:numPr>
          <w:ilvl w:val="0"/>
          <w:numId w:val="42"/>
        </w:numPr>
        <w:spacing w:after="120" w:line="281" w:lineRule="auto"/>
        <w:ind w:left="0" w:firstLine="426"/>
        <w:rPr>
          <w:rFonts w:asciiTheme="majorHAnsi" w:hAnsiTheme="majorHAnsi" w:cstheme="minorHAnsi"/>
          <w:sz w:val="22"/>
          <w:szCs w:val="22"/>
        </w:rPr>
      </w:pPr>
      <w:r w:rsidRPr="00BE4B19">
        <w:rPr>
          <w:rFonts w:asciiTheme="majorHAnsi" w:hAnsiTheme="majorHAnsi" w:cstheme="minorHAnsi"/>
          <w:sz w:val="22"/>
          <w:szCs w:val="22"/>
        </w:rPr>
        <w:t>Gender-Based Violence (GBV) in schools</w:t>
      </w:r>
    </w:p>
    <w:p w14:paraId="11055237" w14:textId="50CE439D"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On his inauguration in 2021, the current Minister of Education identified bullying and sexual harassment as two of “the three big sins” in education and committed to their elimination. Gender based violence in Indonesian schools is under-reported, based on reports to the National Commission on Women (</w:t>
      </w:r>
      <w:proofErr w:type="spellStart"/>
      <w:r w:rsidRPr="00BE4B19">
        <w:rPr>
          <w:rFonts w:asciiTheme="majorHAnsi" w:hAnsiTheme="majorHAnsi" w:cstheme="minorHAnsi"/>
          <w:sz w:val="22"/>
          <w:szCs w:val="22"/>
        </w:rPr>
        <w:t>Komnas</w:t>
      </w:r>
      <w:proofErr w:type="spellEnd"/>
      <w:r w:rsidRPr="00BE4B19">
        <w:rPr>
          <w:rFonts w:asciiTheme="majorHAnsi" w:hAnsiTheme="majorHAnsi" w:cstheme="minorHAnsi"/>
          <w:sz w:val="22"/>
          <w:szCs w:val="22"/>
        </w:rPr>
        <w:t xml:space="preserve"> Perempuan) and the Ministry of Women Empowerment and Child Protection (KPPPA). Multiple sources attest to its prevalence and increase since the pandemic. </w:t>
      </w:r>
      <w:r w:rsidRPr="00BE4B19">
        <w:rPr>
          <w:rStyle w:val="FootnoteReference"/>
          <w:rFonts w:asciiTheme="majorHAnsi" w:hAnsiTheme="majorHAnsi" w:cstheme="minorHAnsi"/>
          <w:sz w:val="22"/>
          <w:szCs w:val="22"/>
        </w:rPr>
        <w:footnoteReference w:id="90"/>
      </w:r>
      <w:r w:rsidRPr="00BE4B19">
        <w:rPr>
          <w:rFonts w:asciiTheme="majorHAnsi" w:hAnsiTheme="majorHAnsi" w:cstheme="minorHAnsi"/>
          <w:sz w:val="22"/>
          <w:szCs w:val="22"/>
        </w:rPr>
        <w:t xml:space="preserve"> According to KPPPA, there were 27,593 cases of school-based violence reported in 2022, of which 49% or 13,514 were girls and 14% or 4,127 were boys</w:t>
      </w:r>
      <w:r w:rsidRPr="00BE4B19">
        <w:rPr>
          <w:rStyle w:val="FootnoteReference"/>
          <w:rFonts w:asciiTheme="majorHAnsi" w:hAnsiTheme="majorHAnsi" w:cstheme="minorHAnsi"/>
          <w:sz w:val="22"/>
          <w:szCs w:val="22"/>
        </w:rPr>
        <w:footnoteReference w:id="91"/>
      </w:r>
      <w:r w:rsidRPr="00BE4B19">
        <w:rPr>
          <w:rFonts w:asciiTheme="majorHAnsi" w:hAnsiTheme="majorHAnsi" w:cstheme="minorHAnsi"/>
          <w:sz w:val="22"/>
          <w:szCs w:val="22"/>
        </w:rPr>
        <w:t>. Data from the Indonesian Child Protection Commission in 2021 showed that the highest percentage of victims of sexual violence (64.7%) were primary school students, with incidents taking place in classrooms, principals’ rooms, school grounds, computer laboratory, changing rooms, toilets, prayer rooms and libraries.</w:t>
      </w:r>
      <w:r w:rsidRPr="00BE4B19">
        <w:rPr>
          <w:rStyle w:val="FootnoteReference"/>
          <w:rFonts w:asciiTheme="majorHAnsi" w:hAnsiTheme="majorHAnsi" w:cstheme="minorHAnsi"/>
          <w:sz w:val="22"/>
          <w:szCs w:val="22"/>
        </w:rPr>
        <w:footnoteReference w:id="92"/>
      </w:r>
      <w:r w:rsidRPr="00BE4B19">
        <w:rPr>
          <w:rFonts w:asciiTheme="majorHAnsi" w:hAnsiTheme="majorHAnsi" w:cstheme="minorHAnsi"/>
          <w:sz w:val="22"/>
          <w:szCs w:val="22"/>
        </w:rPr>
        <w:t xml:space="preserve"> A survey of Indonesian women with disabilities found that 70% of respondents had experienced sexual abuse during COVID.</w:t>
      </w:r>
      <w:r w:rsidRPr="00BE4B19">
        <w:rPr>
          <w:rStyle w:val="FootnoteReference"/>
          <w:rFonts w:asciiTheme="majorHAnsi" w:hAnsiTheme="majorHAnsi" w:cstheme="minorHAnsi"/>
          <w:sz w:val="22"/>
          <w:szCs w:val="22"/>
        </w:rPr>
        <w:footnoteReference w:id="93"/>
      </w:r>
      <w:r w:rsidRPr="00BE4B19">
        <w:rPr>
          <w:rFonts w:asciiTheme="majorHAnsi" w:hAnsiTheme="majorHAnsi" w:cstheme="minorHAnsi"/>
          <w:sz w:val="22"/>
          <w:szCs w:val="22"/>
        </w:rPr>
        <w:t xml:space="preserve"> While disaggregated data on sexual violence to girls with a disability in Indonesia is not available, global data indicates that girls and young women with disabilities were significantly more exposed to sexual violence than those without a disability, even before the pandemic.</w:t>
      </w:r>
      <w:r w:rsidRPr="00BE4B19">
        <w:rPr>
          <w:rStyle w:val="FootnoteReference"/>
          <w:rFonts w:asciiTheme="majorHAnsi" w:hAnsiTheme="majorHAnsi" w:cstheme="minorHAnsi"/>
          <w:sz w:val="22"/>
          <w:szCs w:val="22"/>
        </w:rPr>
        <w:footnoteReference w:id="94"/>
      </w:r>
      <w:r w:rsidRPr="00BE4B19">
        <w:rPr>
          <w:rFonts w:asciiTheme="majorHAnsi" w:hAnsiTheme="majorHAnsi" w:cstheme="minorHAnsi"/>
          <w:sz w:val="22"/>
          <w:szCs w:val="22"/>
        </w:rPr>
        <w:t xml:space="preserve"> KORE </w:t>
      </w:r>
      <w:proofErr w:type="spellStart"/>
      <w:r w:rsidRPr="00BE4B19">
        <w:rPr>
          <w:rFonts w:asciiTheme="majorHAnsi" w:hAnsiTheme="majorHAnsi" w:cstheme="minorHAnsi"/>
          <w:sz w:val="22"/>
          <w:szCs w:val="22"/>
        </w:rPr>
        <w:t>Global’s</w:t>
      </w:r>
      <w:proofErr w:type="spellEnd"/>
      <w:r w:rsidRPr="00BE4B19">
        <w:rPr>
          <w:rFonts w:asciiTheme="majorHAnsi" w:hAnsiTheme="majorHAnsi" w:cstheme="minorHAnsi"/>
          <w:sz w:val="22"/>
          <w:szCs w:val="22"/>
        </w:rPr>
        <w:t xml:space="preserve"> research during COVID-19 has assembled global and Asia-Pacific regional findings on the negative effects on girls’ </w:t>
      </w:r>
      <w:r w:rsidR="00431ECE">
        <w:rPr>
          <w:rFonts w:asciiTheme="majorHAnsi" w:hAnsiTheme="majorHAnsi" w:cstheme="minorHAnsi"/>
          <w:sz w:val="22"/>
          <w:szCs w:val="22"/>
        </w:rPr>
        <w:t>well-being</w:t>
      </w:r>
      <w:r w:rsidRPr="00BE4B19">
        <w:rPr>
          <w:rFonts w:asciiTheme="majorHAnsi" w:hAnsiTheme="majorHAnsi" w:cstheme="minorHAnsi"/>
          <w:sz w:val="22"/>
          <w:szCs w:val="22"/>
        </w:rPr>
        <w:t xml:space="preserve"> of having been a victim of sexual harassment or violence, or a witness to it. This includes depression, anxiety, low self-esteem, and a desire not to draw attention to themselves in class by active participation or achievement and drop-out.</w:t>
      </w:r>
      <w:r w:rsidRPr="00BE4B19">
        <w:rPr>
          <w:rStyle w:val="FootnoteReference"/>
          <w:rFonts w:asciiTheme="majorHAnsi" w:hAnsiTheme="majorHAnsi" w:cstheme="minorHAnsi"/>
          <w:sz w:val="22"/>
          <w:szCs w:val="22"/>
        </w:rPr>
        <w:footnoteReference w:id="95"/>
      </w:r>
      <w:r w:rsidRPr="00BE4B19">
        <w:rPr>
          <w:rFonts w:asciiTheme="majorHAnsi" w:hAnsiTheme="majorHAnsi" w:cstheme="minorHAnsi"/>
          <w:sz w:val="22"/>
          <w:szCs w:val="22"/>
        </w:rPr>
        <w:t xml:space="preserve"> These effects are likely to still influence victims’ mental health and </w:t>
      </w:r>
      <w:r w:rsidR="00431ECE">
        <w:rPr>
          <w:rFonts w:asciiTheme="majorHAnsi" w:hAnsiTheme="majorHAnsi" w:cstheme="minorHAnsi"/>
          <w:sz w:val="22"/>
          <w:szCs w:val="22"/>
        </w:rPr>
        <w:t>well-being</w:t>
      </w:r>
      <w:r w:rsidRPr="00BE4B19">
        <w:rPr>
          <w:rFonts w:asciiTheme="majorHAnsi" w:hAnsiTheme="majorHAnsi" w:cstheme="minorHAnsi"/>
          <w:sz w:val="22"/>
          <w:szCs w:val="22"/>
        </w:rPr>
        <w:t xml:space="preserve"> in the resumption of face-to face schooling after the resumption of schooling in late 2021. </w:t>
      </w:r>
    </w:p>
    <w:p w14:paraId="142FCE57" w14:textId="77777777" w:rsidR="00756EE9" w:rsidRPr="00BE4B19" w:rsidRDefault="00756EE9" w:rsidP="008D1844">
      <w:pPr>
        <w:pStyle w:val="ListParagraph"/>
        <w:numPr>
          <w:ilvl w:val="0"/>
          <w:numId w:val="42"/>
        </w:numPr>
        <w:spacing w:after="120" w:line="281" w:lineRule="auto"/>
        <w:ind w:left="0" w:firstLine="426"/>
        <w:rPr>
          <w:rFonts w:asciiTheme="majorHAnsi" w:hAnsiTheme="majorHAnsi" w:cstheme="minorHAnsi"/>
          <w:sz w:val="22"/>
          <w:szCs w:val="22"/>
        </w:rPr>
      </w:pPr>
      <w:r w:rsidRPr="00BE4B19">
        <w:rPr>
          <w:rFonts w:asciiTheme="majorHAnsi" w:hAnsiTheme="majorHAnsi" w:cstheme="minorHAnsi"/>
          <w:sz w:val="22"/>
          <w:szCs w:val="22"/>
        </w:rPr>
        <w:t>Child Marriage</w:t>
      </w:r>
    </w:p>
    <w:p w14:paraId="090BA897" w14:textId="77777777"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The incidence of child marriage in Indonesia increased markedly during the pandemic. No definite nationwide figures are available that portray the impact of COVID-19 on child marriage, but in several regions </w:t>
      </w:r>
      <w:r w:rsidRPr="00BE4B19">
        <w:rPr>
          <w:rFonts w:asciiTheme="majorHAnsi" w:hAnsiTheme="majorHAnsi" w:cstheme="minorHAnsi"/>
          <w:sz w:val="22"/>
          <w:szCs w:val="22"/>
        </w:rPr>
        <w:lastRenderedPageBreak/>
        <w:t xml:space="preserve">such as Lombok Timur, Lombok Utara, and </w:t>
      </w:r>
      <w:proofErr w:type="spellStart"/>
      <w:r w:rsidRPr="00BE4B19">
        <w:rPr>
          <w:rFonts w:asciiTheme="majorHAnsi" w:hAnsiTheme="majorHAnsi" w:cstheme="minorHAnsi"/>
          <w:sz w:val="22"/>
          <w:szCs w:val="22"/>
        </w:rPr>
        <w:t>Sumenep</w:t>
      </w:r>
      <w:proofErr w:type="spellEnd"/>
      <w:r w:rsidRPr="00BE4B19">
        <w:rPr>
          <w:rFonts w:asciiTheme="majorHAnsi" w:hAnsiTheme="majorHAnsi" w:cstheme="minorHAnsi"/>
          <w:sz w:val="22"/>
          <w:szCs w:val="22"/>
        </w:rPr>
        <w:t xml:space="preserve"> (Madura), the results of studies by the University of Indonesia commissioned by INOVASI show an increase in child marriage during the pandemic period, through increase in requests for dispensations for marriage. A request for dispensation was often submitted by parents on the ground that the child had already quit school, though still of primary school age or in the first year of junior high school.</w:t>
      </w:r>
      <w:r w:rsidRPr="00BE4B19">
        <w:rPr>
          <w:rStyle w:val="FootnoteReference"/>
          <w:rFonts w:asciiTheme="majorHAnsi" w:hAnsiTheme="majorHAnsi" w:cstheme="minorHAnsi"/>
          <w:sz w:val="22"/>
          <w:szCs w:val="22"/>
        </w:rPr>
        <w:footnoteReference w:id="96"/>
      </w:r>
      <w:r w:rsidRPr="00BE4B19">
        <w:rPr>
          <w:rFonts w:asciiTheme="majorHAnsi" w:hAnsiTheme="majorHAnsi" w:cstheme="minorHAnsi"/>
          <w:sz w:val="22"/>
          <w:szCs w:val="22"/>
        </w:rPr>
        <w:t xml:space="preserve"> According to national data, in 2019 there were 24.864 requests made for dispensations for marriage, whereas by the end of 2020, this number has increased to 65,301.</w:t>
      </w:r>
      <w:r w:rsidRPr="00BE4B19">
        <w:rPr>
          <w:rStyle w:val="FootnoteReference"/>
          <w:rFonts w:asciiTheme="majorHAnsi" w:hAnsiTheme="majorHAnsi" w:cstheme="minorHAnsi"/>
          <w:sz w:val="22"/>
          <w:szCs w:val="22"/>
        </w:rPr>
        <w:footnoteReference w:id="97"/>
      </w:r>
    </w:p>
    <w:p w14:paraId="1F4F5930" w14:textId="77777777"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Amongst other effects - such as health and welfare effects - child marriage usually puts an end to girls’ participation in education. Although there is no law prohibiting married or pregnant girls from attending schools in Indonesia, these girls face multiple barriers to continuing their education. According to a study by Kore Global, girls who are married often take on new domestic and caring responsibilities making it more difficult to attend school or do homework</w:t>
      </w:r>
      <w:r w:rsidRPr="00BE4B19">
        <w:rPr>
          <w:rStyle w:val="FootnoteReference"/>
          <w:rFonts w:asciiTheme="majorHAnsi" w:hAnsiTheme="majorHAnsi" w:cstheme="minorHAnsi"/>
          <w:sz w:val="22"/>
          <w:szCs w:val="22"/>
        </w:rPr>
        <w:footnoteReference w:id="98"/>
      </w:r>
      <w:r w:rsidRPr="00BE4B19">
        <w:rPr>
          <w:rFonts w:asciiTheme="majorHAnsi" w:hAnsiTheme="majorHAnsi" w:cstheme="minorHAnsi"/>
          <w:sz w:val="22"/>
          <w:szCs w:val="22"/>
        </w:rPr>
        <w:t xml:space="preserve">. They also experience discrimination from peers and teachers making it uncomfortable to remain in school.  </w:t>
      </w:r>
    </w:p>
    <w:p w14:paraId="421D3FFC" w14:textId="77777777"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Child marriage not only has serious consequences for girls themselves but also contributes to intergenerational poverty. An INOVASI study of the attainment levels of children of child marriages found a much higher incidence of low learning outcomes than amongst the children of adult marriages</w:t>
      </w:r>
      <w:r w:rsidRPr="00BE4B19">
        <w:rPr>
          <w:rStyle w:val="FootnoteReference"/>
          <w:rFonts w:asciiTheme="majorHAnsi" w:hAnsiTheme="majorHAnsi" w:cstheme="minorHAnsi"/>
          <w:sz w:val="22"/>
          <w:szCs w:val="22"/>
        </w:rPr>
        <w:footnoteReference w:id="99"/>
      </w:r>
      <w:r w:rsidRPr="00BE4B19">
        <w:rPr>
          <w:rFonts w:asciiTheme="majorHAnsi" w:hAnsiTheme="majorHAnsi" w:cstheme="minorHAnsi"/>
          <w:sz w:val="22"/>
          <w:szCs w:val="22"/>
        </w:rPr>
        <w:t xml:space="preserve"> . </w:t>
      </w:r>
    </w:p>
    <w:p w14:paraId="772C6D34" w14:textId="77777777" w:rsidR="00756EE9" w:rsidRPr="00BE4B19" w:rsidRDefault="00756EE9" w:rsidP="008D1844">
      <w:pPr>
        <w:pStyle w:val="ListParagraph"/>
        <w:numPr>
          <w:ilvl w:val="0"/>
          <w:numId w:val="53"/>
        </w:numPr>
        <w:spacing w:after="120" w:line="281" w:lineRule="auto"/>
        <w:contextualSpacing w:val="0"/>
        <w:rPr>
          <w:rFonts w:asciiTheme="majorHAnsi" w:hAnsiTheme="majorHAnsi" w:cstheme="minorHAnsi"/>
          <w:b/>
          <w:bCs/>
          <w:sz w:val="22"/>
          <w:szCs w:val="22"/>
        </w:rPr>
      </w:pPr>
      <w:bookmarkStart w:id="98" w:name="_Toc135387121"/>
      <w:r w:rsidRPr="00BE4B19">
        <w:rPr>
          <w:rFonts w:asciiTheme="majorHAnsi" w:hAnsiTheme="majorHAnsi" w:cstheme="minorHAnsi"/>
          <w:b/>
          <w:bCs/>
          <w:sz w:val="22"/>
          <w:szCs w:val="22"/>
        </w:rPr>
        <w:t xml:space="preserve">The influence of social norms </w:t>
      </w:r>
      <w:bookmarkEnd w:id="98"/>
    </w:p>
    <w:p w14:paraId="7E6648BE" w14:textId="44995AA6"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Gender-based violence derives from relations of power and subordination, and the COVID-19 pandemic saw it manifest on the scale of a shadow epidemic. In times of economic crisis or loss of control over livelihoods and resources, the normative subordination of women to men can result in lost male status and power being replaced by increased patriarchal control over women. </w:t>
      </w:r>
    </w:p>
    <w:p w14:paraId="35018DBF" w14:textId="709DDCA2"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A potent norm governing the subordinate relation of women and girls to men, is the conservative cultural view that women are a source of moral crisis to men and therefore their behaviour, dress, </w:t>
      </w:r>
      <w:r w:rsidR="00BD0494" w:rsidRPr="00BE4B19">
        <w:rPr>
          <w:rFonts w:asciiTheme="majorHAnsi" w:hAnsiTheme="majorHAnsi" w:cstheme="minorHAnsi"/>
          <w:sz w:val="22"/>
          <w:szCs w:val="22"/>
        </w:rPr>
        <w:t>freedoms,</w:t>
      </w:r>
      <w:r w:rsidRPr="00BE4B19">
        <w:rPr>
          <w:rFonts w:asciiTheme="majorHAnsi" w:hAnsiTheme="majorHAnsi" w:cstheme="minorHAnsi"/>
          <w:sz w:val="22"/>
          <w:szCs w:val="22"/>
        </w:rPr>
        <w:t xml:space="preserve"> and relationships must be regulated by men to preserve the personal morality of women and girls, and to protect them, their </w:t>
      </w:r>
      <w:proofErr w:type="gramStart"/>
      <w:r w:rsidRPr="00BE4B19">
        <w:rPr>
          <w:rFonts w:asciiTheme="majorHAnsi" w:hAnsiTheme="majorHAnsi" w:cstheme="minorHAnsi"/>
          <w:sz w:val="22"/>
          <w:szCs w:val="22"/>
        </w:rPr>
        <w:t>families</w:t>
      </w:r>
      <w:proofErr w:type="gramEnd"/>
      <w:r w:rsidRPr="00BE4B19">
        <w:rPr>
          <w:rFonts w:asciiTheme="majorHAnsi" w:hAnsiTheme="majorHAnsi" w:cstheme="minorHAnsi"/>
          <w:sz w:val="22"/>
          <w:szCs w:val="22"/>
        </w:rPr>
        <w:t xml:space="preserve"> and communities from dishonour</w:t>
      </w:r>
      <w:r w:rsidRPr="00BE4B19">
        <w:rPr>
          <w:rStyle w:val="FootnoteReference"/>
          <w:rFonts w:asciiTheme="majorHAnsi" w:hAnsiTheme="majorHAnsi" w:cstheme="minorHAnsi"/>
          <w:sz w:val="22"/>
          <w:szCs w:val="22"/>
        </w:rPr>
        <w:footnoteReference w:id="100"/>
      </w:r>
      <w:r w:rsidRPr="00BE4B19">
        <w:rPr>
          <w:rFonts w:asciiTheme="majorHAnsi" w:hAnsiTheme="majorHAnsi" w:cstheme="minorHAnsi"/>
          <w:sz w:val="22"/>
          <w:szCs w:val="22"/>
        </w:rPr>
        <w:t xml:space="preserve">. Fear of loss of purity starts once menstruation begins with the possibility of girls becoming pregnant. Early marriage can be seen as a protection against this calamity. This norm can have devastating effects on the </w:t>
      </w:r>
      <w:r w:rsidR="00431ECE">
        <w:rPr>
          <w:rFonts w:asciiTheme="majorHAnsi" w:hAnsiTheme="majorHAnsi" w:cstheme="minorHAnsi"/>
          <w:sz w:val="22"/>
          <w:szCs w:val="22"/>
        </w:rPr>
        <w:t>well-being</w:t>
      </w:r>
      <w:r w:rsidRPr="00BE4B19">
        <w:rPr>
          <w:rFonts w:asciiTheme="majorHAnsi" w:hAnsiTheme="majorHAnsi" w:cstheme="minorHAnsi"/>
          <w:sz w:val="22"/>
          <w:szCs w:val="22"/>
        </w:rPr>
        <w:t xml:space="preserve"> and life chances of girls.</w:t>
      </w:r>
    </w:p>
    <w:p w14:paraId="17A7A172" w14:textId="6FDC771D"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Ascribed gender roles and status within the family also influence the allocation of resources and access to opportunity. With families’ descent into poverty, the subordinate status of women can result in girls being withdrawn before their brothers from school or pushed into early marriage. Research findings indicate that the predominant reason for child marriage is poverty, which the pandemic significantly increased. A large-scale survey conducted by UNICEF and the Ministry of Villages, Development of Disadvantaged </w:t>
      </w:r>
      <w:r w:rsidR="00BD0494" w:rsidRPr="00BE4B19">
        <w:rPr>
          <w:rFonts w:asciiTheme="majorHAnsi" w:hAnsiTheme="majorHAnsi" w:cstheme="minorHAnsi"/>
          <w:sz w:val="22"/>
          <w:szCs w:val="22"/>
        </w:rPr>
        <w:t>Regions,</w:t>
      </w:r>
      <w:r w:rsidRPr="00BE4B19">
        <w:rPr>
          <w:rFonts w:asciiTheme="majorHAnsi" w:hAnsiTheme="majorHAnsi" w:cstheme="minorHAnsi"/>
          <w:sz w:val="22"/>
          <w:szCs w:val="22"/>
        </w:rPr>
        <w:t xml:space="preserve"> and </w:t>
      </w:r>
      <w:r w:rsidRPr="00BE4B19">
        <w:rPr>
          <w:rFonts w:asciiTheme="majorHAnsi" w:hAnsiTheme="majorHAnsi" w:cstheme="minorHAnsi"/>
          <w:sz w:val="22"/>
          <w:szCs w:val="22"/>
        </w:rPr>
        <w:lastRenderedPageBreak/>
        <w:t>Transmigration (</w:t>
      </w:r>
      <w:proofErr w:type="spellStart"/>
      <w:r w:rsidRPr="00BE4B19">
        <w:rPr>
          <w:rFonts w:asciiTheme="majorHAnsi" w:hAnsiTheme="majorHAnsi" w:cstheme="minorHAnsi"/>
          <w:sz w:val="22"/>
          <w:szCs w:val="22"/>
        </w:rPr>
        <w:t>Kemendesa</w:t>
      </w:r>
      <w:proofErr w:type="spellEnd"/>
      <w:r w:rsidRPr="00BE4B19">
        <w:rPr>
          <w:rFonts w:asciiTheme="majorHAnsi" w:hAnsiTheme="majorHAnsi" w:cstheme="minorHAnsi"/>
          <w:sz w:val="22"/>
          <w:szCs w:val="22"/>
        </w:rPr>
        <w:t xml:space="preserve"> PDTT) in September 2020 found that three quarters of children and adolescents (aged seven to 18 years) in poor families experienced at least one risk factor that could cause them to drop out of school during the pandemic, with girls ten times more at risk of dropping out of school than boys</w:t>
      </w:r>
      <w:r w:rsidRPr="00BE4B19">
        <w:rPr>
          <w:rStyle w:val="FootnoteReference"/>
          <w:rFonts w:asciiTheme="majorHAnsi" w:hAnsiTheme="majorHAnsi" w:cstheme="minorHAnsi"/>
          <w:sz w:val="22"/>
          <w:szCs w:val="22"/>
        </w:rPr>
        <w:footnoteReference w:id="101"/>
      </w:r>
      <w:r w:rsidRPr="00BE4B19">
        <w:rPr>
          <w:rFonts w:asciiTheme="majorHAnsi" w:hAnsiTheme="majorHAnsi" w:cstheme="minorHAnsi"/>
          <w:sz w:val="22"/>
          <w:szCs w:val="22"/>
        </w:rPr>
        <w:t>. In a different economic context, but one with similar poverty outcomes, the incidence of child marriage in East Java/ Madura, West Sulawesi, and Lombok related to lost land ownership.</w:t>
      </w:r>
      <w:r w:rsidRPr="00BE4B19">
        <w:rPr>
          <w:rStyle w:val="FootnoteReference"/>
          <w:rFonts w:asciiTheme="majorHAnsi" w:hAnsiTheme="majorHAnsi" w:cstheme="minorHAnsi"/>
          <w:sz w:val="22"/>
          <w:szCs w:val="22"/>
        </w:rPr>
        <w:footnoteReference w:id="102"/>
      </w:r>
      <w:r w:rsidRPr="00BE4B19">
        <w:rPr>
          <w:rFonts w:asciiTheme="majorHAnsi" w:hAnsiTheme="majorHAnsi" w:cstheme="minorHAnsi"/>
          <w:sz w:val="22"/>
          <w:szCs w:val="22"/>
        </w:rPr>
        <w:t xml:space="preserve"> </w:t>
      </w:r>
    </w:p>
    <w:p w14:paraId="14E949B7" w14:textId="77777777" w:rsidR="00756EE9" w:rsidRPr="00BE4B19" w:rsidRDefault="00756EE9" w:rsidP="008D1844">
      <w:pPr>
        <w:pStyle w:val="ListParagraph"/>
        <w:numPr>
          <w:ilvl w:val="0"/>
          <w:numId w:val="53"/>
        </w:numPr>
        <w:spacing w:after="120" w:line="281" w:lineRule="auto"/>
        <w:contextualSpacing w:val="0"/>
        <w:rPr>
          <w:rFonts w:asciiTheme="majorHAnsi" w:hAnsiTheme="majorHAnsi" w:cstheme="minorHAnsi"/>
          <w:b/>
          <w:bCs/>
          <w:sz w:val="22"/>
          <w:szCs w:val="22"/>
        </w:rPr>
      </w:pPr>
      <w:bookmarkStart w:id="99" w:name="_Toc135387122"/>
      <w:r w:rsidRPr="00BE4B19">
        <w:rPr>
          <w:rFonts w:asciiTheme="majorHAnsi" w:hAnsiTheme="majorHAnsi" w:cstheme="minorHAnsi"/>
          <w:b/>
          <w:bCs/>
          <w:sz w:val="22"/>
          <w:szCs w:val="22"/>
        </w:rPr>
        <w:t>Regulations and policy against discrimination sexual violence and child marriage</w:t>
      </w:r>
      <w:bookmarkEnd w:id="99"/>
    </w:p>
    <w:p w14:paraId="54BDA6E7" w14:textId="563DC72D"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The Government has been proactive in combatting bullying, violence, sexual violence and harassment in schools and child marriage through regulation and school policy. This regulatory framework provides strong grounds for supporting effective implementation of the rules as a strategy for overcoming barriers to gender equality. Of particular significance to this analysis are the following regulations and policy</w:t>
      </w:r>
      <w:r w:rsidR="0079356A">
        <w:rPr>
          <w:rFonts w:asciiTheme="majorHAnsi" w:hAnsiTheme="majorHAnsi" w:cstheme="minorHAnsi"/>
          <w:sz w:val="22"/>
          <w:szCs w:val="22"/>
        </w:rPr>
        <w:t>:</w:t>
      </w:r>
    </w:p>
    <w:p w14:paraId="0AB8D951" w14:textId="77777777" w:rsidR="00756EE9" w:rsidRPr="00BE4B19" w:rsidRDefault="00756EE9" w:rsidP="008D1844">
      <w:pPr>
        <w:pStyle w:val="ListParagraph"/>
        <w:numPr>
          <w:ilvl w:val="0"/>
          <w:numId w:val="42"/>
        </w:numPr>
        <w:spacing w:after="120" w:line="281" w:lineRule="auto"/>
        <w:ind w:left="0" w:firstLine="426"/>
        <w:rPr>
          <w:rFonts w:asciiTheme="majorHAnsi" w:hAnsiTheme="majorHAnsi" w:cstheme="minorHAnsi"/>
          <w:sz w:val="22"/>
          <w:szCs w:val="22"/>
        </w:rPr>
      </w:pPr>
      <w:r w:rsidRPr="00BE4B19">
        <w:rPr>
          <w:rFonts w:asciiTheme="majorHAnsi" w:hAnsiTheme="majorHAnsi" w:cstheme="minorHAnsi"/>
          <w:sz w:val="22"/>
          <w:szCs w:val="22"/>
        </w:rPr>
        <w:t xml:space="preserve">Regulation – Child Protection </w:t>
      </w:r>
    </w:p>
    <w:p w14:paraId="7075B364" w14:textId="77777777"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The Ministry of Education has had child protection legislation in schools in place since 2002, outlawing physical punishment and non-physical abusive behaviour on the part of teachers and other school personnel. In the update on the Law in 2014 (Law No. 35, 2014), a clause was added to include protection against sexual violence perpetrated by teachers or students themselves. This legislation was then operationalised in the </w:t>
      </w:r>
      <w:proofErr w:type="spellStart"/>
      <w:r w:rsidRPr="003D1EB4">
        <w:rPr>
          <w:rFonts w:asciiTheme="majorHAnsi" w:hAnsiTheme="majorHAnsi" w:cstheme="minorHAnsi"/>
          <w:i/>
          <w:iCs/>
          <w:sz w:val="22"/>
          <w:szCs w:val="22"/>
        </w:rPr>
        <w:t>Permendikbud</w:t>
      </w:r>
      <w:proofErr w:type="spellEnd"/>
      <w:r w:rsidRPr="00BE4B19">
        <w:rPr>
          <w:rFonts w:asciiTheme="majorHAnsi" w:hAnsiTheme="majorHAnsi" w:cstheme="minorHAnsi"/>
          <w:sz w:val="22"/>
          <w:szCs w:val="22"/>
        </w:rPr>
        <w:t xml:space="preserve"> </w:t>
      </w:r>
      <w:r w:rsidRPr="002B04EF">
        <w:rPr>
          <w:rFonts w:asciiTheme="majorHAnsi" w:hAnsiTheme="majorHAnsi" w:cstheme="minorHAnsi"/>
          <w:sz w:val="22"/>
          <w:szCs w:val="22"/>
        </w:rPr>
        <w:t xml:space="preserve">No. 82 </w:t>
      </w:r>
      <w:proofErr w:type="spellStart"/>
      <w:r w:rsidRPr="003D1EB4">
        <w:rPr>
          <w:rFonts w:asciiTheme="majorHAnsi" w:hAnsiTheme="majorHAnsi" w:cstheme="minorHAnsi"/>
          <w:i/>
          <w:iCs/>
          <w:sz w:val="22"/>
          <w:szCs w:val="22"/>
        </w:rPr>
        <w:t>Tahun</w:t>
      </w:r>
      <w:proofErr w:type="spellEnd"/>
      <w:r w:rsidRPr="003D1EB4">
        <w:rPr>
          <w:rFonts w:asciiTheme="majorHAnsi" w:hAnsiTheme="majorHAnsi" w:cstheme="minorHAnsi"/>
          <w:i/>
          <w:iCs/>
          <w:sz w:val="22"/>
          <w:szCs w:val="22"/>
        </w:rPr>
        <w:t xml:space="preserve"> </w:t>
      </w:r>
      <w:r w:rsidRPr="002B04EF">
        <w:rPr>
          <w:rFonts w:asciiTheme="majorHAnsi" w:hAnsiTheme="majorHAnsi" w:cstheme="minorHAnsi"/>
          <w:sz w:val="22"/>
          <w:szCs w:val="22"/>
        </w:rPr>
        <w:t>2015</w:t>
      </w:r>
      <w:r w:rsidRPr="00BE4B19">
        <w:rPr>
          <w:rFonts w:asciiTheme="majorHAnsi" w:hAnsiTheme="majorHAnsi" w:cstheme="minorHAnsi"/>
          <w:sz w:val="22"/>
          <w:szCs w:val="22"/>
        </w:rPr>
        <w:t xml:space="preserve">, accompanied by Guidelines for Schools. The child protection guidelines have an emphasis on preventing sexual harassment. </w:t>
      </w:r>
    </w:p>
    <w:p w14:paraId="6E7001A8" w14:textId="77777777" w:rsidR="00756EE9" w:rsidRPr="00BE4B19" w:rsidRDefault="00756EE9" w:rsidP="008D1844">
      <w:pPr>
        <w:pStyle w:val="ListParagraph"/>
        <w:numPr>
          <w:ilvl w:val="0"/>
          <w:numId w:val="42"/>
        </w:numPr>
        <w:spacing w:after="120" w:line="281" w:lineRule="auto"/>
        <w:ind w:left="0" w:firstLine="426"/>
        <w:rPr>
          <w:rFonts w:asciiTheme="majorHAnsi" w:hAnsiTheme="majorHAnsi" w:cstheme="minorHAnsi"/>
          <w:sz w:val="22"/>
          <w:szCs w:val="22"/>
        </w:rPr>
      </w:pPr>
      <w:r w:rsidRPr="00BE4B19">
        <w:rPr>
          <w:rFonts w:asciiTheme="majorHAnsi" w:hAnsiTheme="majorHAnsi" w:cstheme="minorHAnsi"/>
          <w:sz w:val="22"/>
          <w:szCs w:val="22"/>
        </w:rPr>
        <w:t xml:space="preserve">Regulation – Child marriage </w:t>
      </w:r>
    </w:p>
    <w:p w14:paraId="59FC6D76" w14:textId="795491CE"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The Government has legislated against child marriage and sexual violence. The Marriage Law (16/2019) increased the legal age of marriage for girls from 16 to 19, and the government followed up in 2020 with a National Strategy for the Prevention of Child Marriage (STRANAS PPA). It is currently limiting the provision of dispensations by local religious authorities who have this power of dispensation.</w:t>
      </w:r>
      <w:r w:rsidRPr="00BE4B19">
        <w:rPr>
          <w:rStyle w:val="FootnoteReference"/>
          <w:rFonts w:asciiTheme="majorHAnsi" w:hAnsiTheme="majorHAnsi" w:cstheme="minorHAnsi"/>
          <w:sz w:val="22"/>
          <w:szCs w:val="22"/>
        </w:rPr>
        <w:footnoteReference w:id="103"/>
      </w:r>
      <w:r w:rsidRPr="00BE4B19">
        <w:rPr>
          <w:rFonts w:asciiTheme="majorHAnsi" w:hAnsiTheme="majorHAnsi" w:cstheme="minorHAnsi"/>
          <w:sz w:val="22"/>
          <w:szCs w:val="22"/>
          <w:lang w:val="en-US"/>
        </w:rPr>
        <w:t xml:space="preserve"> </w:t>
      </w:r>
    </w:p>
    <w:p w14:paraId="44002334" w14:textId="77777777" w:rsidR="00756EE9" w:rsidRPr="00BE4B19" w:rsidRDefault="00756EE9" w:rsidP="008D1844">
      <w:pPr>
        <w:pStyle w:val="ListParagraph"/>
        <w:numPr>
          <w:ilvl w:val="0"/>
          <w:numId w:val="42"/>
        </w:numPr>
        <w:spacing w:after="120" w:line="281" w:lineRule="auto"/>
        <w:ind w:left="0" w:firstLine="426"/>
        <w:rPr>
          <w:rFonts w:asciiTheme="majorHAnsi" w:hAnsiTheme="majorHAnsi" w:cstheme="minorHAnsi"/>
          <w:sz w:val="22"/>
          <w:szCs w:val="22"/>
        </w:rPr>
      </w:pPr>
      <w:r w:rsidRPr="00BE4B19">
        <w:rPr>
          <w:rFonts w:asciiTheme="majorHAnsi" w:hAnsiTheme="majorHAnsi" w:cstheme="minorHAnsi"/>
          <w:sz w:val="22"/>
          <w:szCs w:val="22"/>
        </w:rPr>
        <w:t xml:space="preserve">Regulation - Sexual Violence Crimes </w:t>
      </w:r>
    </w:p>
    <w:p w14:paraId="1B7EE7CE" w14:textId="2D640FB2" w:rsidR="00FE4022"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A law against sexual violence crimes (UU TPKS 12/2022), contested and long in the making, finally passed Parliament in 2022 and includes non-physical (verbal violence and harassment) as well as physical violence.</w:t>
      </w:r>
    </w:p>
    <w:p w14:paraId="1F5CEACD" w14:textId="3756E43E" w:rsidR="00756EE9" w:rsidRPr="00BE4B19" w:rsidRDefault="00756EE9" w:rsidP="008D1844">
      <w:pPr>
        <w:pStyle w:val="ListParagraph"/>
        <w:numPr>
          <w:ilvl w:val="0"/>
          <w:numId w:val="42"/>
        </w:numPr>
        <w:spacing w:after="120" w:line="281" w:lineRule="auto"/>
        <w:ind w:left="0" w:firstLine="426"/>
        <w:rPr>
          <w:rFonts w:asciiTheme="majorHAnsi" w:hAnsiTheme="majorHAnsi" w:cstheme="minorHAnsi"/>
          <w:sz w:val="22"/>
          <w:szCs w:val="22"/>
        </w:rPr>
      </w:pPr>
      <w:r w:rsidRPr="00BE4B19">
        <w:rPr>
          <w:rFonts w:asciiTheme="majorHAnsi" w:hAnsiTheme="majorHAnsi" w:cstheme="minorHAnsi"/>
          <w:sz w:val="22"/>
          <w:szCs w:val="22"/>
        </w:rPr>
        <w:t xml:space="preserve">Regulation – Sexual Violence in Education </w:t>
      </w:r>
    </w:p>
    <w:p w14:paraId="4AA89031" w14:textId="0965257C" w:rsidR="00756EE9" w:rsidRPr="00BE4B19" w:rsidRDefault="00756EE9" w:rsidP="00296329">
      <w:pPr>
        <w:pStyle w:val="NormalWeb"/>
        <w:spacing w:before="0" w:beforeAutospacing="0" w:after="120" w:afterAutospacing="0" w:line="281" w:lineRule="auto"/>
        <w:rPr>
          <w:rFonts w:asciiTheme="majorHAnsi" w:eastAsiaTheme="minorHAnsi" w:hAnsiTheme="majorHAnsi" w:cstheme="minorHAnsi"/>
          <w:b/>
          <w:bCs/>
          <w:sz w:val="22"/>
          <w:szCs w:val="22"/>
          <w:lang w:eastAsia="en-US"/>
        </w:rPr>
      </w:pPr>
      <w:r w:rsidRPr="00BE4B19">
        <w:rPr>
          <w:rFonts w:asciiTheme="majorHAnsi" w:hAnsiTheme="majorHAnsi" w:cstheme="minorHAnsi"/>
          <w:sz w:val="22"/>
          <w:szCs w:val="22"/>
          <w:lang w:eastAsia="en-ID"/>
        </w:rPr>
        <w:t>The current Minister of Education has also issued a Ministerial Regulation (</w:t>
      </w:r>
      <w:proofErr w:type="spellStart"/>
      <w:r w:rsidRPr="00BE4B19">
        <w:rPr>
          <w:rFonts w:asciiTheme="majorHAnsi" w:hAnsiTheme="majorHAnsi" w:cstheme="minorHAnsi"/>
          <w:i/>
          <w:iCs/>
          <w:sz w:val="22"/>
          <w:szCs w:val="22"/>
          <w:lang w:eastAsia="en-ID"/>
        </w:rPr>
        <w:t>Permendikbudristek</w:t>
      </w:r>
      <w:proofErr w:type="spellEnd"/>
      <w:r w:rsidRPr="00BE4B19">
        <w:rPr>
          <w:rFonts w:asciiTheme="majorHAnsi" w:hAnsiTheme="majorHAnsi" w:cstheme="minorHAnsi"/>
          <w:sz w:val="22"/>
          <w:szCs w:val="22"/>
          <w:lang w:eastAsia="en-ID"/>
        </w:rPr>
        <w:t xml:space="preserve"> 30/2021) against Sexual Violence in Higher </w:t>
      </w:r>
      <w:proofErr w:type="gramStart"/>
      <w:r w:rsidRPr="00BE4B19">
        <w:rPr>
          <w:rFonts w:asciiTheme="majorHAnsi" w:hAnsiTheme="majorHAnsi" w:cstheme="minorHAnsi"/>
          <w:sz w:val="22"/>
          <w:szCs w:val="22"/>
          <w:lang w:eastAsia="en-ID"/>
        </w:rPr>
        <w:t>Education, and</w:t>
      </w:r>
      <w:proofErr w:type="gramEnd"/>
      <w:r w:rsidRPr="00BE4B19">
        <w:rPr>
          <w:rFonts w:asciiTheme="majorHAnsi" w:hAnsiTheme="majorHAnsi" w:cstheme="minorHAnsi"/>
          <w:b/>
          <w:bCs/>
          <w:sz w:val="22"/>
          <w:szCs w:val="22"/>
          <w:lang w:eastAsia="en-ID"/>
        </w:rPr>
        <w:t xml:space="preserve"> </w:t>
      </w:r>
      <w:r w:rsidRPr="00BE4B19">
        <w:rPr>
          <w:rFonts w:asciiTheme="majorHAnsi" w:hAnsiTheme="majorHAnsi" w:cstheme="minorHAnsi"/>
          <w:sz w:val="22"/>
          <w:szCs w:val="22"/>
          <w:lang w:eastAsia="en-ID"/>
        </w:rPr>
        <w:t>is about to extend a similar</w:t>
      </w:r>
      <w:r w:rsidRPr="00BE4B19">
        <w:rPr>
          <w:rFonts w:asciiTheme="majorHAnsi" w:hAnsiTheme="majorHAnsi" w:cstheme="minorHAnsi"/>
          <w:b/>
          <w:bCs/>
          <w:sz w:val="22"/>
          <w:szCs w:val="22"/>
          <w:lang w:eastAsia="en-ID"/>
        </w:rPr>
        <w:t xml:space="preserve"> </w:t>
      </w:r>
      <w:r w:rsidRPr="00BE4B19">
        <w:rPr>
          <w:rFonts w:asciiTheme="majorHAnsi" w:hAnsiTheme="majorHAnsi" w:cstheme="minorHAnsi"/>
          <w:sz w:val="22"/>
          <w:szCs w:val="22"/>
          <w:lang w:eastAsia="en-ID"/>
        </w:rPr>
        <w:t>regulation to the primary school sector.</w:t>
      </w:r>
      <w:r w:rsidRPr="00BE4B19">
        <w:rPr>
          <w:rFonts w:asciiTheme="majorHAnsi" w:hAnsiTheme="majorHAnsi" w:cstheme="minorHAnsi"/>
          <w:sz w:val="22"/>
          <w:szCs w:val="22"/>
        </w:rPr>
        <w:t xml:space="preserve"> In addition, </w:t>
      </w:r>
      <w:proofErr w:type="spellStart"/>
      <w:r w:rsidRPr="00BE4B19">
        <w:rPr>
          <w:rFonts w:asciiTheme="majorHAnsi" w:hAnsiTheme="majorHAnsi" w:cstheme="minorHAnsi"/>
          <w:sz w:val="22"/>
          <w:szCs w:val="22"/>
        </w:rPr>
        <w:t>MoECRT</w:t>
      </w:r>
      <w:proofErr w:type="spellEnd"/>
      <w:r w:rsidRPr="00BE4B19">
        <w:rPr>
          <w:rFonts w:asciiTheme="majorHAnsi" w:hAnsiTheme="majorHAnsi" w:cstheme="minorHAnsi"/>
          <w:sz w:val="22"/>
          <w:szCs w:val="22"/>
        </w:rPr>
        <w:t xml:space="preserve"> has addressed violence in schools, including between students, in its anti-bullying guidelines for elementary schools. In 2022, </w:t>
      </w:r>
      <w:proofErr w:type="spellStart"/>
      <w:r w:rsidRPr="00BE4B19">
        <w:rPr>
          <w:rFonts w:asciiTheme="majorHAnsi" w:hAnsiTheme="majorHAnsi" w:cstheme="minorHAnsi"/>
          <w:sz w:val="22"/>
          <w:szCs w:val="22"/>
        </w:rPr>
        <w:t>M</w:t>
      </w:r>
      <w:r w:rsidR="002B04EF">
        <w:rPr>
          <w:rFonts w:asciiTheme="majorHAnsi" w:hAnsiTheme="majorHAnsi" w:cstheme="minorHAnsi"/>
          <w:sz w:val="22"/>
          <w:szCs w:val="22"/>
        </w:rPr>
        <w:t>o</w:t>
      </w:r>
      <w:r w:rsidRPr="00BE4B19">
        <w:rPr>
          <w:rFonts w:asciiTheme="majorHAnsi" w:hAnsiTheme="majorHAnsi" w:cstheme="minorHAnsi"/>
          <w:sz w:val="22"/>
          <w:szCs w:val="22"/>
        </w:rPr>
        <w:t>RA</w:t>
      </w:r>
      <w:proofErr w:type="spellEnd"/>
      <w:r w:rsidRPr="00BE4B19">
        <w:rPr>
          <w:rFonts w:asciiTheme="majorHAnsi" w:hAnsiTheme="majorHAnsi" w:cstheme="minorHAnsi"/>
          <w:sz w:val="22"/>
          <w:szCs w:val="22"/>
        </w:rPr>
        <w:t xml:space="preserve"> passed Reg No. 73/2022 on reducing sexual violence in Islamic Education.</w:t>
      </w:r>
    </w:p>
    <w:p w14:paraId="10AF3701" w14:textId="77777777" w:rsidR="00832EB5" w:rsidRPr="00BE4B19" w:rsidRDefault="00832EB5" w:rsidP="00296329">
      <w:pPr>
        <w:pStyle w:val="BodyText"/>
        <w:spacing w:after="120" w:line="281" w:lineRule="auto"/>
        <w:rPr>
          <w:rFonts w:asciiTheme="majorHAnsi" w:hAnsiTheme="majorHAnsi" w:cstheme="minorHAnsi"/>
          <w:sz w:val="22"/>
          <w:szCs w:val="22"/>
        </w:rPr>
      </w:pPr>
    </w:p>
    <w:p w14:paraId="2D134ECB" w14:textId="77777777" w:rsidR="00756EE9" w:rsidRPr="00BE4B19" w:rsidRDefault="00756EE9" w:rsidP="008D1844">
      <w:pPr>
        <w:pStyle w:val="ListParagraph"/>
        <w:numPr>
          <w:ilvl w:val="0"/>
          <w:numId w:val="53"/>
        </w:numPr>
        <w:spacing w:after="120" w:line="281" w:lineRule="auto"/>
        <w:contextualSpacing w:val="0"/>
        <w:rPr>
          <w:rFonts w:asciiTheme="majorHAnsi" w:hAnsiTheme="majorHAnsi" w:cstheme="minorHAnsi"/>
          <w:b/>
          <w:bCs/>
          <w:sz w:val="22"/>
          <w:szCs w:val="22"/>
        </w:rPr>
      </w:pPr>
      <w:bookmarkStart w:id="100" w:name="_Toc135387123"/>
      <w:r w:rsidRPr="00BE4B19">
        <w:rPr>
          <w:rFonts w:asciiTheme="majorHAnsi" w:hAnsiTheme="majorHAnsi" w:cstheme="minorHAnsi"/>
          <w:b/>
          <w:bCs/>
          <w:sz w:val="22"/>
          <w:szCs w:val="22"/>
        </w:rPr>
        <w:t>Resourcing girls’ agency</w:t>
      </w:r>
      <w:bookmarkEnd w:id="100"/>
      <w:r w:rsidRPr="00BE4B19">
        <w:rPr>
          <w:rFonts w:asciiTheme="majorHAnsi" w:hAnsiTheme="majorHAnsi" w:cstheme="minorHAnsi"/>
          <w:b/>
          <w:bCs/>
          <w:sz w:val="22"/>
          <w:szCs w:val="22"/>
        </w:rPr>
        <w:t xml:space="preserve"> </w:t>
      </w:r>
    </w:p>
    <w:p w14:paraId="58C28315" w14:textId="5F1AE6E9"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lastRenderedPageBreak/>
        <w:t xml:space="preserve">With supportive regulation already in place, the emphasis is on policy implementation to resource girls’ agency in school, cognisant of the multiple barriers of discrimination and sexual violence. While national policy may promote appreciation of diversity, the autonomy of local districts means their implementation may be interpreted in different directions. Policy implementation therefore needs to be envisaged </w:t>
      </w:r>
      <w:proofErr w:type="gramStart"/>
      <w:r w:rsidRPr="00BE4B19">
        <w:rPr>
          <w:rFonts w:asciiTheme="majorHAnsi" w:hAnsiTheme="majorHAnsi" w:cstheme="minorHAnsi"/>
          <w:sz w:val="22"/>
          <w:szCs w:val="22"/>
        </w:rPr>
        <w:t>in light of</w:t>
      </w:r>
      <w:proofErr w:type="gramEnd"/>
      <w:r w:rsidRPr="00BE4B19">
        <w:rPr>
          <w:rFonts w:asciiTheme="majorHAnsi" w:hAnsiTheme="majorHAnsi" w:cstheme="minorHAnsi"/>
          <w:sz w:val="22"/>
          <w:szCs w:val="22"/>
        </w:rPr>
        <w:t xml:space="preserve"> schools’ district context. </w:t>
      </w:r>
    </w:p>
    <w:p w14:paraId="392BA574" w14:textId="4B50B835"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Policy implementation can be supported by an ecosystem of stakeholders, at both the district level and at the school level. Gender equality, as other factors of diversity and inclusion, can be strengthened through the engagement of the community, the locus of normative control. Norms can be negotiated especially through the involvement of gender equality organisations and OPDs. All major legislations against sexual violence and child marriage have been achieved through coalitions of community actors, for example the </w:t>
      </w:r>
      <w:proofErr w:type="spellStart"/>
      <w:r w:rsidRPr="00BE4B19">
        <w:rPr>
          <w:rFonts w:asciiTheme="majorHAnsi" w:hAnsiTheme="majorHAnsi" w:cstheme="minorHAnsi"/>
          <w:i/>
          <w:iCs/>
          <w:sz w:val="22"/>
          <w:szCs w:val="22"/>
        </w:rPr>
        <w:t>Koalisi</w:t>
      </w:r>
      <w:proofErr w:type="spellEnd"/>
      <w:r w:rsidRPr="00BE4B19">
        <w:rPr>
          <w:rFonts w:asciiTheme="majorHAnsi" w:hAnsiTheme="majorHAnsi" w:cstheme="minorHAnsi"/>
          <w:i/>
          <w:iCs/>
          <w:sz w:val="22"/>
          <w:szCs w:val="22"/>
        </w:rPr>
        <w:t xml:space="preserve"> 18+</w:t>
      </w:r>
      <w:r w:rsidRPr="00BE4B19">
        <w:rPr>
          <w:rFonts w:asciiTheme="majorHAnsi" w:hAnsiTheme="majorHAnsi" w:cstheme="minorHAnsi"/>
          <w:sz w:val="22"/>
          <w:szCs w:val="22"/>
        </w:rPr>
        <w:t xml:space="preserve"> which is a group of civil society organisations collaborating with local religious organisations to achieve the legislation on girls’ and women’s rights. Key government departments such as KPPPA are also present at district level. </w:t>
      </w:r>
    </w:p>
    <w:p w14:paraId="5A773166" w14:textId="3E0B1809"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Borrowing from UNESCO</w:t>
      </w:r>
      <w:r w:rsidRPr="00BE4B19">
        <w:rPr>
          <w:rStyle w:val="FootnoteReference"/>
          <w:rFonts w:asciiTheme="majorHAnsi" w:hAnsiTheme="majorHAnsi" w:cstheme="minorHAnsi"/>
          <w:sz w:val="22"/>
          <w:szCs w:val="22"/>
        </w:rPr>
        <w:footnoteReference w:id="104"/>
      </w:r>
      <w:r w:rsidRPr="00BE4B19">
        <w:rPr>
          <w:rFonts w:asciiTheme="majorHAnsi" w:hAnsiTheme="majorHAnsi" w:cstheme="minorHAnsi"/>
          <w:sz w:val="22"/>
          <w:szCs w:val="22"/>
        </w:rPr>
        <w:t xml:space="preserve">, a model for gender-equal school ecosystem is illustrated in Figure </w:t>
      </w:r>
      <w:r w:rsidR="008E2FB6">
        <w:rPr>
          <w:rFonts w:asciiTheme="majorHAnsi" w:hAnsiTheme="majorHAnsi" w:cstheme="minorHAnsi"/>
          <w:sz w:val="22"/>
          <w:szCs w:val="22"/>
        </w:rPr>
        <w:t>E</w:t>
      </w:r>
      <w:r w:rsidR="00FE4022">
        <w:rPr>
          <w:rFonts w:asciiTheme="majorHAnsi" w:hAnsiTheme="majorHAnsi" w:cstheme="minorHAnsi"/>
          <w:sz w:val="22"/>
          <w:szCs w:val="22"/>
        </w:rPr>
        <w:t xml:space="preserve"> (overleaf)</w:t>
      </w:r>
      <w:r w:rsidRPr="00BE4B19">
        <w:rPr>
          <w:rFonts w:asciiTheme="majorHAnsi" w:hAnsiTheme="majorHAnsi" w:cstheme="minorHAnsi"/>
          <w:sz w:val="22"/>
          <w:szCs w:val="22"/>
        </w:rPr>
        <w:t>.</w:t>
      </w:r>
    </w:p>
    <w:p w14:paraId="25047706" w14:textId="77777777" w:rsidR="00FE4022" w:rsidRDefault="00FE4022">
      <w:pPr>
        <w:spacing w:after="120" w:line="440" w:lineRule="atLeast"/>
        <w:rPr>
          <w:rFonts w:asciiTheme="majorHAnsi" w:hAnsiTheme="majorHAnsi" w:cstheme="minorHAnsi"/>
          <w:b/>
          <w:bCs/>
          <w:i/>
          <w:iCs/>
          <w:sz w:val="22"/>
          <w:szCs w:val="22"/>
        </w:rPr>
      </w:pPr>
      <w:r>
        <w:rPr>
          <w:rFonts w:asciiTheme="majorHAnsi" w:hAnsiTheme="majorHAnsi" w:cstheme="minorHAnsi"/>
          <w:b/>
          <w:bCs/>
          <w:i/>
          <w:iCs/>
          <w:sz w:val="22"/>
          <w:szCs w:val="22"/>
        </w:rPr>
        <w:br w:type="page"/>
      </w:r>
    </w:p>
    <w:p w14:paraId="29AF033A" w14:textId="7B115D02" w:rsidR="00756EE9" w:rsidRPr="00296329" w:rsidRDefault="00756EE9" w:rsidP="00651EF4">
      <w:pPr>
        <w:pStyle w:val="BodyText"/>
        <w:spacing w:after="120" w:line="281" w:lineRule="auto"/>
        <w:jc w:val="center"/>
        <w:rPr>
          <w:rFonts w:asciiTheme="majorHAnsi" w:hAnsiTheme="majorHAnsi" w:cstheme="minorHAnsi"/>
          <w:b/>
          <w:sz w:val="22"/>
          <w:szCs w:val="22"/>
        </w:rPr>
      </w:pPr>
      <w:r w:rsidRPr="00296329">
        <w:rPr>
          <w:rFonts w:asciiTheme="majorHAnsi" w:hAnsiTheme="majorHAnsi" w:cstheme="minorHAnsi"/>
          <w:b/>
          <w:sz w:val="22"/>
          <w:szCs w:val="22"/>
        </w:rPr>
        <w:lastRenderedPageBreak/>
        <w:t xml:space="preserve">Figure </w:t>
      </w:r>
      <w:r w:rsidR="008E2FB6" w:rsidRPr="00296329">
        <w:rPr>
          <w:rFonts w:asciiTheme="majorHAnsi" w:hAnsiTheme="majorHAnsi" w:cstheme="minorHAnsi"/>
          <w:b/>
          <w:sz w:val="22"/>
          <w:szCs w:val="22"/>
        </w:rPr>
        <w:t>E</w:t>
      </w:r>
      <w:r w:rsidRPr="00296329">
        <w:rPr>
          <w:rFonts w:asciiTheme="majorHAnsi" w:hAnsiTheme="majorHAnsi" w:cstheme="minorHAnsi"/>
          <w:b/>
          <w:sz w:val="22"/>
          <w:szCs w:val="22"/>
        </w:rPr>
        <w:t xml:space="preserve"> - Ecosystem of a gender-equal </w:t>
      </w:r>
      <w:proofErr w:type="gramStart"/>
      <w:r w:rsidRPr="00296329">
        <w:rPr>
          <w:rFonts w:asciiTheme="majorHAnsi" w:hAnsiTheme="majorHAnsi" w:cstheme="minorHAnsi"/>
          <w:b/>
          <w:sz w:val="22"/>
          <w:szCs w:val="22"/>
        </w:rPr>
        <w:t>school</w:t>
      </w:r>
      <w:proofErr w:type="gramEnd"/>
    </w:p>
    <w:p w14:paraId="2FE6F690" w14:textId="05DC1E4B" w:rsidR="005A6DFD" w:rsidRDefault="00C049E5" w:rsidP="00651EF4">
      <w:pPr>
        <w:pStyle w:val="BodyText"/>
        <w:spacing w:after="120" w:line="281" w:lineRule="auto"/>
        <w:jc w:val="center"/>
        <w:rPr>
          <w:rFonts w:asciiTheme="majorHAnsi" w:hAnsiTheme="majorHAnsi" w:cstheme="minorHAnsi"/>
          <w:sz w:val="22"/>
          <w:szCs w:val="22"/>
        </w:rPr>
      </w:pPr>
      <w:r>
        <w:rPr>
          <w:rFonts w:asciiTheme="majorHAnsi" w:hAnsiTheme="majorHAnsi" w:cstheme="minorHAnsi"/>
          <w:noProof/>
          <w:sz w:val="22"/>
          <w:szCs w:val="22"/>
        </w:rPr>
        <w:drawing>
          <wp:inline distT="0" distB="0" distL="0" distR="0" wp14:anchorId="6882CEDA" wp14:editId="44CCE21E">
            <wp:extent cx="4275554" cy="2737685"/>
            <wp:effectExtent l="0" t="0" r="0" b="5715"/>
            <wp:docPr id="1409819887" name="Picture 8" descr="A Venn diagram or illustration of overlapping circles that show the logical relationship between two or more sets of items. In this case the diagram shows that gender-equal schooling's overlapping relationship with curriculum,  teaching and learning, with partnerships with parents, community and agencies, and with school culture, policies and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19887" name="Picture 8" descr="A Venn diagram or illustration of overlapping circles that show the logical relationship between two or more sets of items. In this case the diagram shows that gender-equal schooling's overlapping relationship with curriculum,  teaching and learning, with partnerships with parents, community and agencies, and with school culture, policies and relationship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75554" cy="2737685"/>
                    </a:xfrm>
                    <a:prstGeom prst="rect">
                      <a:avLst/>
                    </a:prstGeom>
                  </pic:spPr>
                </pic:pic>
              </a:graphicData>
            </a:graphic>
          </wp:inline>
        </w:drawing>
      </w:r>
    </w:p>
    <w:p w14:paraId="3A1B947F" w14:textId="59D30CA8" w:rsidR="00756EE9" w:rsidRPr="00BE4B19" w:rsidRDefault="00756EE9" w:rsidP="00651EF4">
      <w:pPr>
        <w:pStyle w:val="BodyText"/>
        <w:spacing w:after="120" w:line="281" w:lineRule="auto"/>
        <w:jc w:val="center"/>
        <w:rPr>
          <w:rFonts w:asciiTheme="majorHAnsi" w:hAnsiTheme="majorHAnsi" w:cstheme="minorHAnsi"/>
          <w:sz w:val="22"/>
          <w:szCs w:val="22"/>
        </w:rPr>
      </w:pPr>
    </w:p>
    <w:p w14:paraId="4F1CB077" w14:textId="77777777" w:rsidR="00756EE9" w:rsidRPr="00651EF4" w:rsidRDefault="00756EE9" w:rsidP="008D1844">
      <w:pPr>
        <w:pStyle w:val="Heading1"/>
        <w:numPr>
          <w:ilvl w:val="0"/>
          <w:numId w:val="51"/>
        </w:numPr>
        <w:spacing w:after="120" w:line="281" w:lineRule="auto"/>
        <w:contextualSpacing w:val="0"/>
        <w:rPr>
          <w:rFonts w:cs="Times New Roman (Headings CS)"/>
          <w:caps w:val="0"/>
          <w:sz w:val="22"/>
          <w:szCs w:val="22"/>
        </w:rPr>
      </w:pPr>
      <w:bookmarkStart w:id="101" w:name="_Toc135387125"/>
      <w:r w:rsidRPr="00651EF4">
        <w:rPr>
          <w:rFonts w:cs="Times New Roman (Headings CS)"/>
          <w:caps w:val="0"/>
          <w:sz w:val="22"/>
          <w:szCs w:val="22"/>
        </w:rPr>
        <w:t xml:space="preserve">Boys’ disengagement from learning </w:t>
      </w:r>
      <w:bookmarkEnd w:id="101"/>
    </w:p>
    <w:p w14:paraId="1AAAA764" w14:textId="77777777" w:rsidR="00756EE9" w:rsidRPr="00BE4B19" w:rsidRDefault="00756EE9" w:rsidP="008D1844">
      <w:pPr>
        <w:pStyle w:val="ListParagraph"/>
        <w:numPr>
          <w:ilvl w:val="0"/>
          <w:numId w:val="54"/>
        </w:numPr>
        <w:spacing w:after="120" w:line="281" w:lineRule="auto"/>
        <w:contextualSpacing w:val="0"/>
        <w:rPr>
          <w:rFonts w:asciiTheme="majorHAnsi" w:hAnsiTheme="majorHAnsi" w:cstheme="minorHAnsi"/>
          <w:b/>
          <w:bCs/>
          <w:sz w:val="22"/>
          <w:szCs w:val="22"/>
        </w:rPr>
      </w:pPr>
      <w:r w:rsidRPr="00BE4B19">
        <w:rPr>
          <w:rFonts w:asciiTheme="majorHAnsi" w:hAnsiTheme="majorHAnsi" w:cstheme="minorHAnsi"/>
          <w:b/>
          <w:bCs/>
          <w:sz w:val="22"/>
          <w:szCs w:val="22"/>
        </w:rPr>
        <w:t>The situation</w:t>
      </w:r>
    </w:p>
    <w:p w14:paraId="1FE458DC" w14:textId="77777777"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In partnership with INOVASI, the Australian Council for Educational Research assessed the learning gaps of 18,370 early grades Indonesian students in literacy and numeracy during the pandemic</w:t>
      </w:r>
      <w:r w:rsidRPr="00BE4B19">
        <w:rPr>
          <w:rStyle w:val="FootnoteReference"/>
          <w:rFonts w:asciiTheme="majorHAnsi" w:hAnsiTheme="majorHAnsi" w:cstheme="minorHAnsi"/>
          <w:sz w:val="22"/>
          <w:szCs w:val="22"/>
        </w:rPr>
        <w:footnoteReference w:id="105"/>
      </w:r>
      <w:r w:rsidRPr="00BE4B19">
        <w:rPr>
          <w:rFonts w:asciiTheme="majorHAnsi" w:hAnsiTheme="majorHAnsi" w:cstheme="minorHAnsi"/>
          <w:sz w:val="22"/>
          <w:szCs w:val="22"/>
        </w:rPr>
        <w:t xml:space="preserve">. The study found that the combination of gender with other disadvantaging factors produced the lowest educational performance. This was the case for both boys and for girls, in different contexts across Indonesia. The study indicated the need for a much more granular approach to national learning assessment to identify under-performing populations and understand factors of risks and vulnerability. This type of intersectional analysis is needed to identify necessary resources to combat disadvantage. </w:t>
      </w:r>
    </w:p>
    <w:p w14:paraId="1631A5E0" w14:textId="77777777"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Learning outcomes findings of the above-mentioned Learning Gap study reveals boys present on average the greater gender disadvantage. The proportion of male students (27%) at proficiency level 1 in literacy (below proficiency) was greater than the proportion of female students (19%).</w:t>
      </w:r>
      <w:r w:rsidRPr="00BE4B19">
        <w:rPr>
          <w:rStyle w:val="FootnoteReference"/>
          <w:rFonts w:asciiTheme="majorHAnsi" w:hAnsiTheme="majorHAnsi" w:cstheme="minorHAnsi"/>
          <w:sz w:val="22"/>
          <w:szCs w:val="22"/>
        </w:rPr>
        <w:footnoteReference w:id="106"/>
      </w:r>
      <w:r w:rsidRPr="00BE4B19">
        <w:rPr>
          <w:rFonts w:asciiTheme="majorHAnsi" w:hAnsiTheme="majorHAnsi" w:cstheme="minorHAnsi"/>
          <w:sz w:val="22"/>
          <w:szCs w:val="22"/>
        </w:rPr>
        <w:t xml:space="preserve"> The World Bank’s study on learning adjusted years of school also showed that girls outperformed boys, with girls attaining 8.1 years compared with 7.8 years for boys, indicating a female advantage in learning in Indonesia</w:t>
      </w:r>
      <w:r w:rsidRPr="00BE4B19">
        <w:rPr>
          <w:rStyle w:val="FootnoteReference"/>
          <w:rFonts w:asciiTheme="majorHAnsi" w:hAnsiTheme="majorHAnsi" w:cstheme="minorHAnsi"/>
          <w:sz w:val="22"/>
          <w:szCs w:val="22"/>
        </w:rPr>
        <w:footnoteReference w:id="107"/>
      </w:r>
      <w:r w:rsidRPr="00BE4B19">
        <w:rPr>
          <w:rFonts w:asciiTheme="majorHAnsi" w:hAnsiTheme="majorHAnsi" w:cstheme="minorHAnsi"/>
          <w:sz w:val="22"/>
          <w:szCs w:val="22"/>
        </w:rPr>
        <w:t xml:space="preserve"> </w:t>
      </w:r>
    </w:p>
    <w:p w14:paraId="09B52D76" w14:textId="77777777"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The Learning Gap study also found that the greatest intersection of learning disadvantages in literacy is for male students in rural areas with disability. The overwhelming majority of 91% of these students did not meet the minimum proficiency level, compared to 82% of urban boys with disability. Besides disability, the next more potent factor of intersectional disadvantage is language: 81% of rural and remote male students whose mother tongue was a local language did not meet the minimum proficiency level, and 71% of rural and remote girls whose mother tongue was a local language did not achieve the minimum proficiency levels </w:t>
      </w:r>
      <w:r w:rsidRPr="00BE4B19">
        <w:rPr>
          <w:rFonts w:asciiTheme="majorHAnsi" w:hAnsiTheme="majorHAnsi" w:cstheme="minorHAnsi"/>
          <w:sz w:val="22"/>
          <w:szCs w:val="22"/>
        </w:rPr>
        <w:lastRenderedPageBreak/>
        <w:t>in literacy. The study reports that rural and remote locations amplify disadvantage because schools have less access to resources, teachers have lower levels of qualifications, and there is less access to professional development and peer support. Whilst not mentioned by the study, access to specific pedagogy to teach children with disability within the mainstream school system may also be less available in these locations.</w:t>
      </w:r>
    </w:p>
    <w:p w14:paraId="069DCC5B" w14:textId="5A609862" w:rsidR="00756EE9" w:rsidRPr="00BE4B19" w:rsidRDefault="00756EE9" w:rsidP="008D1844">
      <w:pPr>
        <w:pStyle w:val="ListParagraph"/>
        <w:numPr>
          <w:ilvl w:val="0"/>
          <w:numId w:val="54"/>
        </w:numPr>
        <w:spacing w:after="120" w:line="281" w:lineRule="auto"/>
        <w:contextualSpacing w:val="0"/>
        <w:rPr>
          <w:rFonts w:asciiTheme="majorHAnsi" w:hAnsiTheme="majorHAnsi" w:cstheme="minorHAnsi"/>
          <w:b/>
          <w:bCs/>
          <w:sz w:val="22"/>
          <w:szCs w:val="22"/>
        </w:rPr>
      </w:pPr>
      <w:bookmarkStart w:id="102" w:name="_Toc135387126"/>
      <w:r w:rsidRPr="00BE4B19">
        <w:rPr>
          <w:rFonts w:asciiTheme="majorHAnsi" w:hAnsiTheme="majorHAnsi" w:cstheme="minorHAnsi"/>
          <w:b/>
          <w:bCs/>
          <w:sz w:val="22"/>
          <w:szCs w:val="22"/>
        </w:rPr>
        <w:t>The influence of social norms</w:t>
      </w:r>
      <w:bookmarkEnd w:id="102"/>
    </w:p>
    <w:p w14:paraId="6EB57348" w14:textId="1EFDCE32"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Alongside the effects of intersecting disadvantage, the general lower performance of boys relative to girls is sufficiently marked to require more analysis and treatment. In the absence of specific research on the subject, the primary and secondary data collected provides some insights into social norms’ influences on </w:t>
      </w:r>
      <w:r w:rsidR="00224D2C" w:rsidRPr="00BE4B19">
        <w:rPr>
          <w:rFonts w:asciiTheme="majorHAnsi" w:hAnsiTheme="majorHAnsi" w:cstheme="minorHAnsi"/>
          <w:sz w:val="22"/>
          <w:szCs w:val="22"/>
        </w:rPr>
        <w:t>boys’</w:t>
      </w:r>
      <w:r w:rsidRPr="00BE4B19">
        <w:rPr>
          <w:rFonts w:asciiTheme="majorHAnsi" w:hAnsiTheme="majorHAnsi" w:cstheme="minorHAnsi"/>
          <w:sz w:val="22"/>
          <w:szCs w:val="22"/>
        </w:rPr>
        <w:t xml:space="preserve"> performance. There is a perceived difference in the way that male students interact in schoolwork when activities involve both boys and girls. In these situation girls are often responsible for completing tasks whilst boys disengage. This may reflect the gender norms whereby females are responsible for ‘doing all the work’, as noted by one of the participants. Another import of cultural norms in schools is the gender dynamics of boys and female teachers, in great preponderance in primary classrooms. Women are not the authorities in home life, and classroom observations have shown a tendency of women teachers to be more deferential with boys than with girls when trying to manage disruptive behaviours. This may also contribute to the less inhibitions on boys’ classroom behaviour. </w:t>
      </w:r>
    </w:p>
    <w:p w14:paraId="42148226" w14:textId="18DB5B84"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A third factor may be different learning styles between boys and girls – these differences can be associated with girls’ greater facility with language and the effect on text-based learning that dominates in Indonesian classrooms.  Boys’ needs for release of physical energy are also </w:t>
      </w:r>
      <w:r w:rsidR="00BE4B19" w:rsidRPr="00BE4B19">
        <w:rPr>
          <w:rFonts w:asciiTheme="majorHAnsi" w:hAnsiTheme="majorHAnsi" w:cstheme="minorHAnsi"/>
          <w:sz w:val="22"/>
          <w:szCs w:val="22"/>
        </w:rPr>
        <w:t>not served</w:t>
      </w:r>
      <w:r w:rsidRPr="00BE4B19">
        <w:rPr>
          <w:rFonts w:asciiTheme="majorHAnsi" w:hAnsiTheme="majorHAnsi" w:cstheme="minorHAnsi"/>
          <w:sz w:val="22"/>
          <w:szCs w:val="22"/>
        </w:rPr>
        <w:t xml:space="preserve"> </w:t>
      </w:r>
      <w:r w:rsidR="00BE4B19" w:rsidRPr="00BE4B19">
        <w:rPr>
          <w:rFonts w:asciiTheme="majorHAnsi" w:hAnsiTheme="majorHAnsi" w:cstheme="minorHAnsi"/>
          <w:sz w:val="22"/>
          <w:szCs w:val="22"/>
        </w:rPr>
        <w:t xml:space="preserve">well </w:t>
      </w:r>
      <w:r w:rsidRPr="00BE4B19">
        <w:rPr>
          <w:rFonts w:asciiTheme="majorHAnsi" w:hAnsiTheme="majorHAnsi" w:cstheme="minorHAnsi"/>
          <w:sz w:val="22"/>
          <w:szCs w:val="22"/>
        </w:rPr>
        <w:t>by wholly sedentary classrooms. However, the lower performance of boys should not mask the fact that girls’ performance overall is not high. Girls would also be advantaged by more activity-based pedagogies: their better performance in school is also influenced by the cultural norms of compliance and obedience in face of unvarying routines in class, and these internalised dispositions may not be serving well their sense of agency or any future pathways valuing critical thinking skills and problem-solving.</w:t>
      </w:r>
    </w:p>
    <w:p w14:paraId="27D1C259" w14:textId="77777777" w:rsidR="00756EE9" w:rsidRPr="00BE4B19" w:rsidRDefault="00756EE9" w:rsidP="008D1844">
      <w:pPr>
        <w:pStyle w:val="ListParagraph"/>
        <w:numPr>
          <w:ilvl w:val="0"/>
          <w:numId w:val="54"/>
        </w:numPr>
        <w:spacing w:after="120" w:line="281" w:lineRule="auto"/>
        <w:contextualSpacing w:val="0"/>
        <w:rPr>
          <w:rFonts w:asciiTheme="majorHAnsi" w:hAnsiTheme="majorHAnsi" w:cstheme="minorHAnsi"/>
          <w:b/>
          <w:bCs/>
          <w:sz w:val="22"/>
          <w:szCs w:val="22"/>
        </w:rPr>
      </w:pPr>
      <w:r w:rsidRPr="00BE4B19">
        <w:rPr>
          <w:rFonts w:asciiTheme="majorHAnsi" w:hAnsiTheme="majorHAnsi" w:cstheme="minorHAnsi"/>
          <w:b/>
          <w:bCs/>
          <w:sz w:val="22"/>
          <w:szCs w:val="22"/>
        </w:rPr>
        <w:t>Understanding difference in learning engagement and outcomes</w:t>
      </w:r>
    </w:p>
    <w:p w14:paraId="3519A24E" w14:textId="77777777"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The current reforms of the </w:t>
      </w:r>
      <w:r w:rsidRPr="00BE4B19">
        <w:rPr>
          <w:rFonts w:asciiTheme="majorHAnsi" w:hAnsiTheme="majorHAnsi" w:cstheme="minorHAnsi"/>
          <w:i/>
          <w:iCs/>
          <w:sz w:val="22"/>
          <w:szCs w:val="22"/>
        </w:rPr>
        <w:t xml:space="preserve">Merdeka </w:t>
      </w:r>
      <w:proofErr w:type="spellStart"/>
      <w:r w:rsidRPr="00BE4B19">
        <w:rPr>
          <w:rFonts w:asciiTheme="majorHAnsi" w:hAnsiTheme="majorHAnsi" w:cstheme="minorHAnsi"/>
          <w:i/>
          <w:iCs/>
          <w:sz w:val="22"/>
          <w:szCs w:val="22"/>
        </w:rPr>
        <w:t>Belajar</w:t>
      </w:r>
      <w:proofErr w:type="spellEnd"/>
      <w:r w:rsidRPr="00BE4B19">
        <w:rPr>
          <w:rFonts w:asciiTheme="majorHAnsi" w:hAnsiTheme="majorHAnsi" w:cstheme="minorHAnsi"/>
          <w:sz w:val="22"/>
          <w:szCs w:val="22"/>
        </w:rPr>
        <w:t xml:space="preserve"> prioritise the pedagogy of Teaching </w:t>
      </w:r>
      <w:proofErr w:type="gramStart"/>
      <w:r w:rsidRPr="00BE4B19">
        <w:rPr>
          <w:rFonts w:asciiTheme="majorHAnsi" w:hAnsiTheme="majorHAnsi" w:cstheme="minorHAnsi"/>
          <w:sz w:val="22"/>
          <w:szCs w:val="22"/>
        </w:rPr>
        <w:t>At</w:t>
      </w:r>
      <w:proofErr w:type="gramEnd"/>
      <w:r w:rsidRPr="00BE4B19">
        <w:rPr>
          <w:rFonts w:asciiTheme="majorHAnsi" w:hAnsiTheme="majorHAnsi" w:cstheme="minorHAnsi"/>
          <w:sz w:val="22"/>
          <w:szCs w:val="22"/>
        </w:rPr>
        <w:t xml:space="preserve"> the Right Level (TARL) and diagnostic assessment. A better understanding of the underlying reasons for why learning engagement and outcomes for boys and girls differ is critical and requires targeted research. It would provide a basis of evidence for helping teachers implement reformed pedagogies effectively. Research into the role of gender norms operating at household, community and institutional levels is also required to understand the relationship between learning outcomes and disengagement for boys.</w:t>
      </w:r>
    </w:p>
    <w:p w14:paraId="3374593D" w14:textId="77777777" w:rsidR="00756EE9" w:rsidRPr="00651EF4" w:rsidRDefault="00756EE9" w:rsidP="008D1844">
      <w:pPr>
        <w:pStyle w:val="Heading1"/>
        <w:numPr>
          <w:ilvl w:val="0"/>
          <w:numId w:val="51"/>
        </w:numPr>
        <w:spacing w:after="120" w:line="281" w:lineRule="auto"/>
        <w:contextualSpacing w:val="0"/>
        <w:rPr>
          <w:rFonts w:cs="Times New Roman (Headings CS)"/>
          <w:caps w:val="0"/>
          <w:sz w:val="22"/>
          <w:szCs w:val="22"/>
        </w:rPr>
      </w:pPr>
      <w:r w:rsidRPr="00651EF4">
        <w:rPr>
          <w:rFonts w:cs="Times New Roman (Headings CS)"/>
          <w:caps w:val="0"/>
          <w:sz w:val="22"/>
          <w:szCs w:val="22"/>
        </w:rPr>
        <w:t>Conclusion</w:t>
      </w:r>
    </w:p>
    <w:p w14:paraId="119036E7" w14:textId="77777777"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This preliminary analysis will be expanded and refined during the program inception phase as part of a more comprehensive Gender Equality, Disability and Social Inclusion (GEDSI) analysis. The refined analysis will provide an opportunity to apply an intersectional lens to analyse and understand inequalities based on disability, age, mother tongue and geographic location. Areas to consider in the GEDSI analysis include:</w:t>
      </w:r>
    </w:p>
    <w:p w14:paraId="6497092B" w14:textId="77777777" w:rsidR="00756EE9" w:rsidRPr="00651EF4" w:rsidRDefault="00756EE9" w:rsidP="008D1844">
      <w:pPr>
        <w:pStyle w:val="ListParagraph"/>
        <w:numPr>
          <w:ilvl w:val="0"/>
          <w:numId w:val="55"/>
        </w:numPr>
        <w:spacing w:after="120" w:line="281" w:lineRule="auto"/>
        <w:ind w:left="357" w:hanging="357"/>
        <w:contextualSpacing w:val="0"/>
        <w:rPr>
          <w:rFonts w:asciiTheme="majorHAnsi" w:hAnsiTheme="majorHAnsi" w:cstheme="minorHAnsi"/>
          <w:sz w:val="22"/>
          <w:szCs w:val="22"/>
        </w:rPr>
      </w:pPr>
      <w:r w:rsidRPr="00651EF4">
        <w:rPr>
          <w:rFonts w:asciiTheme="majorHAnsi" w:hAnsiTheme="majorHAnsi" w:cstheme="minorHAnsi"/>
          <w:sz w:val="22"/>
          <w:szCs w:val="22"/>
        </w:rPr>
        <w:t>Gender norms at the household, community and institutional level that limit women’s involvement in decision making and roles outside of unpaid care and domestic work.</w:t>
      </w:r>
    </w:p>
    <w:p w14:paraId="11479AE1" w14:textId="77777777" w:rsidR="00756EE9" w:rsidRPr="00651EF4" w:rsidRDefault="00756EE9" w:rsidP="008D1844">
      <w:pPr>
        <w:pStyle w:val="ListParagraph"/>
        <w:numPr>
          <w:ilvl w:val="0"/>
          <w:numId w:val="55"/>
        </w:numPr>
        <w:spacing w:after="120" w:line="281" w:lineRule="auto"/>
        <w:ind w:left="357" w:hanging="357"/>
        <w:contextualSpacing w:val="0"/>
        <w:rPr>
          <w:rFonts w:asciiTheme="majorHAnsi" w:hAnsiTheme="majorHAnsi" w:cstheme="minorHAnsi"/>
          <w:sz w:val="22"/>
          <w:szCs w:val="22"/>
        </w:rPr>
      </w:pPr>
      <w:r w:rsidRPr="00651EF4">
        <w:rPr>
          <w:rFonts w:asciiTheme="majorHAnsi" w:hAnsiTheme="majorHAnsi" w:cstheme="minorHAnsi"/>
          <w:sz w:val="22"/>
          <w:szCs w:val="22"/>
        </w:rPr>
        <w:t>Availability of leadership training and support both pre- service and in service for female teachers and principals.</w:t>
      </w:r>
    </w:p>
    <w:p w14:paraId="030D5E91" w14:textId="77777777" w:rsidR="00756EE9" w:rsidRPr="00651EF4" w:rsidRDefault="00756EE9" w:rsidP="008D1844">
      <w:pPr>
        <w:pStyle w:val="ListParagraph"/>
        <w:numPr>
          <w:ilvl w:val="0"/>
          <w:numId w:val="55"/>
        </w:numPr>
        <w:spacing w:after="120" w:line="281" w:lineRule="auto"/>
        <w:ind w:left="357" w:hanging="357"/>
        <w:contextualSpacing w:val="0"/>
        <w:rPr>
          <w:rFonts w:asciiTheme="majorHAnsi" w:hAnsiTheme="majorHAnsi" w:cstheme="minorHAnsi"/>
          <w:sz w:val="22"/>
          <w:szCs w:val="22"/>
        </w:rPr>
      </w:pPr>
      <w:r w:rsidRPr="00651EF4">
        <w:rPr>
          <w:rFonts w:asciiTheme="majorHAnsi" w:hAnsiTheme="majorHAnsi" w:cstheme="minorHAnsi"/>
          <w:sz w:val="22"/>
          <w:szCs w:val="22"/>
        </w:rPr>
        <w:lastRenderedPageBreak/>
        <w:t>Availability of policies and procedures that facilitate recruitment and retention of recruitment and retention in the workplace e.g., Training for Hiring Managers on gender equality, Reasonable Accommodation, Flexible Work Arrangements, Prevention/Mitigation/Response to bullying and harassment, private spaces for breast feeding, family friendly travel policy, childcare etc.</w:t>
      </w:r>
    </w:p>
    <w:p w14:paraId="32F19653" w14:textId="77777777" w:rsidR="00756EE9" w:rsidRPr="00651EF4" w:rsidRDefault="00756EE9" w:rsidP="008D1844">
      <w:pPr>
        <w:pStyle w:val="ListParagraph"/>
        <w:numPr>
          <w:ilvl w:val="0"/>
          <w:numId w:val="55"/>
        </w:numPr>
        <w:spacing w:after="120" w:line="281" w:lineRule="auto"/>
        <w:ind w:left="357" w:hanging="357"/>
        <w:contextualSpacing w:val="0"/>
        <w:rPr>
          <w:rFonts w:asciiTheme="majorHAnsi" w:hAnsiTheme="majorHAnsi" w:cstheme="minorHAnsi"/>
          <w:sz w:val="22"/>
          <w:szCs w:val="22"/>
        </w:rPr>
      </w:pPr>
      <w:r w:rsidRPr="00651EF4">
        <w:rPr>
          <w:rFonts w:asciiTheme="majorHAnsi" w:hAnsiTheme="majorHAnsi" w:cstheme="minorHAnsi"/>
          <w:sz w:val="22"/>
          <w:szCs w:val="22"/>
        </w:rPr>
        <w:t>Current advocacy to change laws that constrain women’s involvement in decision making and economic activities outside of the home, for example, the law on males as head of household.</w:t>
      </w:r>
    </w:p>
    <w:p w14:paraId="7920CA17" w14:textId="5337DC9A" w:rsidR="00756EE9" w:rsidRPr="00651EF4" w:rsidRDefault="00756EE9" w:rsidP="008D1844">
      <w:pPr>
        <w:pStyle w:val="ListParagraph"/>
        <w:numPr>
          <w:ilvl w:val="0"/>
          <w:numId w:val="55"/>
        </w:numPr>
        <w:spacing w:after="120" w:line="281" w:lineRule="auto"/>
        <w:ind w:left="357" w:hanging="357"/>
        <w:contextualSpacing w:val="0"/>
        <w:rPr>
          <w:rFonts w:asciiTheme="majorHAnsi" w:hAnsiTheme="majorHAnsi" w:cstheme="minorHAnsi"/>
          <w:sz w:val="22"/>
          <w:szCs w:val="22"/>
        </w:rPr>
      </w:pPr>
      <w:r w:rsidRPr="00651EF4">
        <w:rPr>
          <w:rFonts w:asciiTheme="majorHAnsi" w:hAnsiTheme="majorHAnsi" w:cstheme="minorHAnsi"/>
          <w:sz w:val="22"/>
          <w:szCs w:val="22"/>
        </w:rPr>
        <w:t xml:space="preserve">Economic, </w:t>
      </w:r>
      <w:r w:rsidR="00224D2C" w:rsidRPr="00651EF4">
        <w:rPr>
          <w:rFonts w:asciiTheme="majorHAnsi" w:hAnsiTheme="majorHAnsi" w:cstheme="minorHAnsi"/>
          <w:sz w:val="22"/>
          <w:szCs w:val="22"/>
        </w:rPr>
        <w:t>political,</w:t>
      </w:r>
      <w:r w:rsidRPr="00651EF4">
        <w:rPr>
          <w:rFonts w:asciiTheme="majorHAnsi" w:hAnsiTheme="majorHAnsi" w:cstheme="minorHAnsi"/>
          <w:sz w:val="22"/>
          <w:szCs w:val="22"/>
        </w:rPr>
        <w:t xml:space="preserve"> and social factors that drive child marriage and how they can be addressed within the context of poverty and restrictive gender norms. </w:t>
      </w:r>
    </w:p>
    <w:p w14:paraId="79F5C053" w14:textId="20C429A1" w:rsidR="00756EE9" w:rsidRPr="00651EF4" w:rsidRDefault="00756EE9" w:rsidP="008D1844">
      <w:pPr>
        <w:pStyle w:val="ListParagraph"/>
        <w:numPr>
          <w:ilvl w:val="0"/>
          <w:numId w:val="55"/>
        </w:numPr>
        <w:spacing w:after="120" w:line="281" w:lineRule="auto"/>
        <w:ind w:left="357" w:hanging="357"/>
        <w:contextualSpacing w:val="0"/>
        <w:rPr>
          <w:rFonts w:asciiTheme="majorHAnsi" w:hAnsiTheme="majorHAnsi" w:cstheme="minorHAnsi"/>
          <w:sz w:val="22"/>
          <w:szCs w:val="22"/>
        </w:rPr>
      </w:pPr>
      <w:r w:rsidRPr="00651EF4">
        <w:rPr>
          <w:rFonts w:asciiTheme="majorHAnsi" w:hAnsiTheme="majorHAnsi" w:cstheme="minorHAnsi"/>
          <w:sz w:val="22"/>
          <w:szCs w:val="22"/>
        </w:rPr>
        <w:t xml:space="preserve">Economic, </w:t>
      </w:r>
      <w:r w:rsidR="00224D2C" w:rsidRPr="00651EF4">
        <w:rPr>
          <w:rFonts w:asciiTheme="majorHAnsi" w:hAnsiTheme="majorHAnsi" w:cstheme="minorHAnsi"/>
          <w:sz w:val="22"/>
          <w:szCs w:val="22"/>
        </w:rPr>
        <w:t>political,</w:t>
      </w:r>
      <w:r w:rsidRPr="00651EF4">
        <w:rPr>
          <w:rFonts w:asciiTheme="majorHAnsi" w:hAnsiTheme="majorHAnsi" w:cstheme="minorHAnsi"/>
          <w:sz w:val="22"/>
          <w:szCs w:val="22"/>
        </w:rPr>
        <w:t xml:space="preserve"> and social factors that drive boys’ disengagement with learning and the intersection with restrictive gender norms.</w:t>
      </w:r>
    </w:p>
    <w:p w14:paraId="2936359F" w14:textId="19470ED4" w:rsidR="00756EE9" w:rsidRPr="00BE4B19" w:rsidRDefault="00756EE9" w:rsidP="00296329">
      <w:pPr>
        <w:pStyle w:val="ListParagraph"/>
        <w:spacing w:after="120" w:line="281" w:lineRule="auto"/>
        <w:ind w:left="0"/>
        <w:rPr>
          <w:rFonts w:asciiTheme="majorHAnsi" w:hAnsiTheme="majorHAnsi" w:cstheme="minorHAnsi"/>
          <w:sz w:val="22"/>
          <w:szCs w:val="22"/>
        </w:rPr>
      </w:pPr>
      <w:r w:rsidRPr="00BE4B19">
        <w:rPr>
          <w:rFonts w:asciiTheme="majorHAnsi" w:hAnsiTheme="majorHAnsi" w:cstheme="minorHAnsi"/>
          <w:sz w:val="22"/>
          <w:szCs w:val="22"/>
        </w:rPr>
        <w:t xml:space="preserve">Importantly, the GEDSI analysis will inform the development of a </w:t>
      </w:r>
      <w:r w:rsidR="00224D2C" w:rsidRPr="00BE4B19">
        <w:rPr>
          <w:rFonts w:asciiTheme="majorHAnsi" w:hAnsiTheme="majorHAnsi" w:cstheme="minorHAnsi"/>
          <w:sz w:val="22"/>
          <w:szCs w:val="22"/>
        </w:rPr>
        <w:t>program wide</w:t>
      </w:r>
      <w:r w:rsidRPr="00BE4B19">
        <w:rPr>
          <w:rFonts w:asciiTheme="majorHAnsi" w:hAnsiTheme="majorHAnsi" w:cstheme="minorHAnsi"/>
          <w:sz w:val="22"/>
          <w:szCs w:val="22"/>
        </w:rPr>
        <w:t xml:space="preserve"> GEDSI strategy, to be submitted at the end of the inception period. The GEDSI Strategy will ensure specific interventions that target gender inequality are properly included in the program’s activity plan, </w:t>
      </w:r>
      <w:r w:rsidR="00224D2C" w:rsidRPr="00BE4B19">
        <w:rPr>
          <w:rFonts w:asciiTheme="majorHAnsi" w:hAnsiTheme="majorHAnsi" w:cstheme="minorHAnsi"/>
          <w:sz w:val="22"/>
          <w:szCs w:val="22"/>
        </w:rPr>
        <w:t>budget,</w:t>
      </w:r>
      <w:r w:rsidRPr="00BE4B19">
        <w:rPr>
          <w:rFonts w:asciiTheme="majorHAnsi" w:hAnsiTheme="majorHAnsi" w:cstheme="minorHAnsi"/>
          <w:sz w:val="22"/>
          <w:szCs w:val="22"/>
        </w:rPr>
        <w:t xml:space="preserve"> and MEL framework. Suggestions to consider under each gender equality priority are included below.</w:t>
      </w:r>
    </w:p>
    <w:p w14:paraId="31125502" w14:textId="275409E4" w:rsidR="00651EF4" w:rsidRPr="00BE4B19" w:rsidRDefault="00756EE9" w:rsidP="00296329">
      <w:pPr>
        <w:pStyle w:val="ListParagraph"/>
        <w:spacing w:before="240" w:after="120" w:line="281" w:lineRule="auto"/>
        <w:ind w:left="0"/>
        <w:contextualSpacing w:val="0"/>
        <w:rPr>
          <w:rFonts w:asciiTheme="majorHAnsi" w:hAnsiTheme="majorHAnsi" w:cstheme="minorHAnsi"/>
          <w:b/>
          <w:bCs/>
          <w:sz w:val="22"/>
          <w:szCs w:val="22"/>
        </w:rPr>
      </w:pPr>
      <w:r w:rsidRPr="00BE4B19">
        <w:rPr>
          <w:rFonts w:asciiTheme="majorHAnsi" w:hAnsiTheme="majorHAnsi" w:cstheme="minorHAnsi"/>
          <w:b/>
          <w:bCs/>
          <w:sz w:val="22"/>
          <w:szCs w:val="22"/>
        </w:rPr>
        <w:t xml:space="preserve">Priority 1: Strengthening the role of women in leadership positions in the education </w:t>
      </w:r>
      <w:proofErr w:type="gramStart"/>
      <w:r w:rsidRPr="00BE4B19">
        <w:rPr>
          <w:rFonts w:asciiTheme="majorHAnsi" w:hAnsiTheme="majorHAnsi" w:cstheme="minorHAnsi"/>
          <w:b/>
          <w:bCs/>
          <w:sz w:val="22"/>
          <w:szCs w:val="22"/>
        </w:rPr>
        <w:t>sector</w:t>
      </w:r>
      <w:proofErr w:type="gramEnd"/>
      <w:r w:rsidRPr="00BE4B19">
        <w:rPr>
          <w:rFonts w:asciiTheme="majorHAnsi" w:hAnsiTheme="majorHAnsi" w:cstheme="minorHAnsi"/>
          <w:b/>
          <w:bCs/>
          <w:sz w:val="22"/>
          <w:szCs w:val="22"/>
        </w:rPr>
        <w:t xml:space="preserve"> </w:t>
      </w:r>
    </w:p>
    <w:p w14:paraId="444F5839" w14:textId="77777777" w:rsidR="00756EE9" w:rsidRPr="00BE4B19" w:rsidRDefault="00756EE9" w:rsidP="008D1844">
      <w:pPr>
        <w:pStyle w:val="ListParagraph"/>
        <w:numPr>
          <w:ilvl w:val="0"/>
          <w:numId w:val="56"/>
        </w:num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Provide relevant government departments with training and support on how to use the Gender Analysis Pathway (GAP) tool and develop a Gender Action Plan </w:t>
      </w:r>
    </w:p>
    <w:p w14:paraId="32F86AC9" w14:textId="77777777" w:rsidR="00756EE9" w:rsidRPr="00BE4B19" w:rsidRDefault="00756EE9" w:rsidP="00296329">
      <w:pPr>
        <w:pStyle w:val="BodyText"/>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This would involve carrying out an initial mapping to understand how the tool is currently understood and used within government departments. Following this, the training on GAP should be delivered by women’s rights organisations, men’s organisations and OPDs. These CSOs could then support government departments to develop an action plan to address key findings, together with specific indicators to measure progress. Critical to the success of the GAP process would be the identification of barriers and solutions to recruitment and retention of women in leadership positions. </w:t>
      </w:r>
    </w:p>
    <w:p w14:paraId="7F255FF5" w14:textId="77777777" w:rsidR="00756EE9" w:rsidRPr="00BE4B19" w:rsidRDefault="00756EE9" w:rsidP="008D1844">
      <w:pPr>
        <w:pStyle w:val="ListParagraph"/>
        <w:numPr>
          <w:ilvl w:val="0"/>
          <w:numId w:val="56"/>
        </w:num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Explore opportunities to provide gender equality training at community level to address gender norms that influence the ability of women to engage in leadership roles outside of the </w:t>
      </w:r>
      <w:proofErr w:type="gramStart"/>
      <w:r w:rsidRPr="00BE4B19">
        <w:rPr>
          <w:rFonts w:asciiTheme="majorHAnsi" w:hAnsiTheme="majorHAnsi" w:cstheme="minorHAnsi"/>
          <w:sz w:val="22"/>
          <w:szCs w:val="22"/>
        </w:rPr>
        <w:t>home</w:t>
      </w:r>
      <w:proofErr w:type="gramEnd"/>
    </w:p>
    <w:p w14:paraId="57DF2A05" w14:textId="0713465D" w:rsidR="00756EE9" w:rsidRPr="00BE4B19" w:rsidRDefault="00756EE9" w:rsidP="00296329">
      <w:p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This would involve</w:t>
      </w:r>
      <w:r w:rsidRPr="00BE4B19">
        <w:rPr>
          <w:rFonts w:asciiTheme="majorHAnsi" w:hAnsiTheme="majorHAnsi" w:cstheme="minorHAnsi"/>
          <w:b/>
          <w:bCs/>
          <w:sz w:val="22"/>
          <w:szCs w:val="22"/>
        </w:rPr>
        <w:t xml:space="preserve"> </w:t>
      </w:r>
      <w:r w:rsidRPr="00BE4B19">
        <w:rPr>
          <w:rFonts w:asciiTheme="majorHAnsi" w:hAnsiTheme="majorHAnsi" w:cstheme="minorHAnsi"/>
          <w:sz w:val="22"/>
          <w:szCs w:val="22"/>
        </w:rPr>
        <w:t xml:space="preserve">a detailed exploration of the roles and responsibilities, access and control over resources and decision-making status of men and women, </w:t>
      </w:r>
      <w:r w:rsidR="00224D2C" w:rsidRPr="00BE4B19">
        <w:rPr>
          <w:rFonts w:asciiTheme="majorHAnsi" w:hAnsiTheme="majorHAnsi" w:cstheme="minorHAnsi"/>
          <w:sz w:val="22"/>
          <w:szCs w:val="22"/>
        </w:rPr>
        <w:t>boys,</w:t>
      </w:r>
      <w:r w:rsidRPr="00BE4B19">
        <w:rPr>
          <w:rFonts w:asciiTheme="majorHAnsi" w:hAnsiTheme="majorHAnsi" w:cstheme="minorHAnsi"/>
          <w:sz w:val="22"/>
          <w:szCs w:val="22"/>
        </w:rPr>
        <w:t xml:space="preserve"> and girls. The findings would then target specific interventions at the community level, for example, social behaviour change program, gender equality training, men’s behaviour change initiatives or support groups. The goal would be to address the underlying gender norms that are restricting women’s economic mobility and leadership opportunities both within the household and outside of the household.</w:t>
      </w:r>
    </w:p>
    <w:p w14:paraId="275BF0F0" w14:textId="77777777" w:rsidR="00756EE9" w:rsidRPr="00BE4B19" w:rsidRDefault="00756EE9" w:rsidP="008D1844">
      <w:pPr>
        <w:pStyle w:val="ListParagraph"/>
        <w:numPr>
          <w:ilvl w:val="0"/>
          <w:numId w:val="56"/>
        </w:num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Develop a performance measure to track change in the number of women in leadership </w:t>
      </w:r>
      <w:proofErr w:type="gramStart"/>
      <w:r w:rsidRPr="00BE4B19">
        <w:rPr>
          <w:rFonts w:asciiTheme="majorHAnsi" w:hAnsiTheme="majorHAnsi" w:cstheme="minorHAnsi"/>
          <w:sz w:val="22"/>
          <w:szCs w:val="22"/>
        </w:rPr>
        <w:t>positions</w:t>
      </w:r>
      <w:proofErr w:type="gramEnd"/>
    </w:p>
    <w:p w14:paraId="0D36E8FA" w14:textId="300A1E12" w:rsidR="00756EE9" w:rsidRDefault="00756EE9" w:rsidP="00296329">
      <w:p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This would involve the inclusion of a specific performance target for women’s employment in specific leadership positions in the education sector and the requirement for this to be reported against in annual plans.  This aligns with the Sustainable Development Goal Indicator 5.5.2 ‘Proportion of women in managerial </w:t>
      </w:r>
      <w:proofErr w:type="gramStart"/>
      <w:r w:rsidRPr="00BE4B19">
        <w:rPr>
          <w:rFonts w:asciiTheme="majorHAnsi" w:hAnsiTheme="majorHAnsi" w:cstheme="minorHAnsi"/>
          <w:sz w:val="22"/>
          <w:szCs w:val="22"/>
        </w:rPr>
        <w:t>positions’</w:t>
      </w:r>
      <w:proofErr w:type="gramEnd"/>
      <w:r w:rsidRPr="00BE4B19">
        <w:rPr>
          <w:rFonts w:asciiTheme="majorHAnsi" w:hAnsiTheme="majorHAnsi" w:cstheme="minorHAnsi"/>
          <w:sz w:val="22"/>
          <w:szCs w:val="22"/>
        </w:rPr>
        <w:t xml:space="preserve">. INOVASI could assist in developing sender sensitive recruitment and retention policies and practices to assist the education sector to realise these targets. </w:t>
      </w:r>
    </w:p>
    <w:p w14:paraId="0F306D70" w14:textId="77777777" w:rsidR="00DB3B2F" w:rsidRPr="00BE4B19" w:rsidRDefault="00DB3B2F" w:rsidP="00296329">
      <w:pPr>
        <w:spacing w:after="120" w:line="281" w:lineRule="auto"/>
        <w:rPr>
          <w:rFonts w:asciiTheme="majorHAnsi" w:hAnsiTheme="majorHAnsi" w:cstheme="minorHAnsi"/>
          <w:sz w:val="22"/>
          <w:szCs w:val="22"/>
        </w:rPr>
      </w:pPr>
    </w:p>
    <w:p w14:paraId="0E9484BB" w14:textId="77777777" w:rsidR="00756EE9" w:rsidRPr="00BE4B19" w:rsidRDefault="00756EE9" w:rsidP="008D1844">
      <w:pPr>
        <w:pStyle w:val="ListParagraph"/>
        <w:numPr>
          <w:ilvl w:val="0"/>
          <w:numId w:val="56"/>
        </w:num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lastRenderedPageBreak/>
        <w:t xml:space="preserve">Develop a partnership with an international institute of women/female </w:t>
      </w:r>
      <w:proofErr w:type="gramStart"/>
      <w:r w:rsidRPr="00BE4B19">
        <w:rPr>
          <w:rFonts w:asciiTheme="majorHAnsi" w:hAnsiTheme="majorHAnsi" w:cstheme="minorHAnsi"/>
          <w:sz w:val="22"/>
          <w:szCs w:val="22"/>
        </w:rPr>
        <w:t>principals</w:t>
      </w:r>
      <w:proofErr w:type="gramEnd"/>
    </w:p>
    <w:p w14:paraId="72B4BF77" w14:textId="77777777" w:rsidR="00756EE9" w:rsidRPr="00BE4B19" w:rsidRDefault="00756EE9" w:rsidP="00296329">
      <w:p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This would involve the development of an institutional partnership to provide professional coaching and/or mentorship between women leaders in the education sector.</w:t>
      </w:r>
      <w:r w:rsidRPr="00BE4B19">
        <w:rPr>
          <w:rFonts w:asciiTheme="majorHAnsi" w:hAnsiTheme="majorHAnsi" w:cstheme="minorHAnsi"/>
          <w:b/>
          <w:bCs/>
          <w:sz w:val="22"/>
          <w:szCs w:val="22"/>
        </w:rPr>
        <w:t xml:space="preserve"> </w:t>
      </w:r>
      <w:r w:rsidRPr="00BE4B19">
        <w:rPr>
          <w:rFonts w:asciiTheme="majorHAnsi" w:hAnsiTheme="majorHAnsi" w:cstheme="minorHAnsi"/>
          <w:sz w:val="22"/>
          <w:szCs w:val="22"/>
        </w:rPr>
        <w:t>The purpose would be to provide specific leadership training to women to advance their careers and identify opportunities for the development of a national association to strengthen networks and advocacy for women in the Indonesian education sector in Indonesia.</w:t>
      </w:r>
    </w:p>
    <w:p w14:paraId="1B2227A7" w14:textId="436707A4" w:rsidR="00756EE9" w:rsidRPr="00651EF4" w:rsidRDefault="00756EE9" w:rsidP="00296329">
      <w:pPr>
        <w:pStyle w:val="ListParagraph"/>
        <w:spacing w:before="240" w:after="120" w:line="281" w:lineRule="auto"/>
        <w:ind w:left="0"/>
        <w:contextualSpacing w:val="0"/>
        <w:rPr>
          <w:rFonts w:asciiTheme="majorHAnsi" w:hAnsiTheme="majorHAnsi" w:cstheme="minorHAnsi"/>
          <w:b/>
          <w:bCs/>
          <w:sz w:val="22"/>
          <w:szCs w:val="22"/>
        </w:rPr>
      </w:pPr>
      <w:r w:rsidRPr="00BE4B19">
        <w:rPr>
          <w:rFonts w:asciiTheme="majorHAnsi" w:hAnsiTheme="majorHAnsi" w:cstheme="minorHAnsi"/>
          <w:b/>
          <w:bCs/>
          <w:sz w:val="22"/>
          <w:szCs w:val="22"/>
        </w:rPr>
        <w:t xml:space="preserve">Priority 2: Strengthening girl’s agency and </w:t>
      </w:r>
      <w:proofErr w:type="gramStart"/>
      <w:r w:rsidR="00431ECE">
        <w:rPr>
          <w:rFonts w:asciiTheme="majorHAnsi" w:hAnsiTheme="majorHAnsi" w:cstheme="minorHAnsi"/>
          <w:b/>
          <w:bCs/>
          <w:sz w:val="22"/>
          <w:szCs w:val="22"/>
        </w:rPr>
        <w:t>well-being</w:t>
      </w:r>
      <w:proofErr w:type="gramEnd"/>
    </w:p>
    <w:p w14:paraId="0857E90B" w14:textId="77777777" w:rsidR="00756EE9" w:rsidRPr="00BE4B19" w:rsidRDefault="00756EE9" w:rsidP="008D1844">
      <w:pPr>
        <w:pStyle w:val="ListParagraph"/>
        <w:numPr>
          <w:ilvl w:val="0"/>
          <w:numId w:val="56"/>
        </w:num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Collaborate with schools to develop/adopt specific gender equality policies, strategies and training for school leadership and </w:t>
      </w:r>
      <w:proofErr w:type="gramStart"/>
      <w:r w:rsidRPr="00BE4B19">
        <w:rPr>
          <w:rFonts w:asciiTheme="majorHAnsi" w:hAnsiTheme="majorHAnsi" w:cstheme="minorHAnsi"/>
          <w:sz w:val="22"/>
          <w:szCs w:val="22"/>
        </w:rPr>
        <w:t>teachers</w:t>
      </w:r>
      <w:proofErr w:type="gramEnd"/>
    </w:p>
    <w:p w14:paraId="2F940764" w14:textId="77777777" w:rsidR="00756EE9" w:rsidRPr="00BE4B19" w:rsidRDefault="00756EE9" w:rsidP="00296329">
      <w:p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To strengthen the implementation of gender equality policy in primary school/madrasah settings, INOVASI could support district ecosystems to engage schools in specific capacity building initiatives to understand, adopt and develop practical strategies to promote gender equality in their environment. This means gender would specifically be named as a dimension of diversity and needing to be embraced in the teacher competency standards, alongside other forms of diversity to be catered for in school-based curriculum development, character education and the development of inclusive school cultures.</w:t>
      </w:r>
      <w:r w:rsidRPr="00BE4B19">
        <w:rPr>
          <w:rFonts w:asciiTheme="majorHAnsi" w:hAnsiTheme="majorHAnsi" w:cstheme="minorHAnsi"/>
          <w:b/>
          <w:bCs/>
          <w:sz w:val="22"/>
          <w:szCs w:val="22"/>
        </w:rPr>
        <w:t xml:space="preserve"> </w:t>
      </w:r>
      <w:r w:rsidRPr="00BE4B19">
        <w:rPr>
          <w:rFonts w:asciiTheme="majorHAnsi" w:hAnsiTheme="majorHAnsi" w:cstheme="minorHAnsi"/>
          <w:sz w:val="22"/>
          <w:szCs w:val="22"/>
        </w:rPr>
        <w:t xml:space="preserve">This could include the development of a specific performance target to track policies at the school level that promote, </w:t>
      </w:r>
      <w:proofErr w:type="gramStart"/>
      <w:r w:rsidRPr="00BE4B19">
        <w:rPr>
          <w:rFonts w:asciiTheme="majorHAnsi" w:hAnsiTheme="majorHAnsi" w:cstheme="minorHAnsi"/>
          <w:sz w:val="22"/>
          <w:szCs w:val="22"/>
        </w:rPr>
        <w:t>enforce</w:t>
      </w:r>
      <w:proofErr w:type="gramEnd"/>
      <w:r w:rsidRPr="00BE4B19">
        <w:rPr>
          <w:rFonts w:asciiTheme="majorHAnsi" w:hAnsiTheme="majorHAnsi" w:cstheme="minorHAnsi"/>
          <w:sz w:val="22"/>
          <w:szCs w:val="22"/>
        </w:rPr>
        <w:t xml:space="preserve"> and monitor equality and non-discrimination based on sex, as per Sustainable Development Indicator 5.1.1. </w:t>
      </w:r>
    </w:p>
    <w:p w14:paraId="5CEC4A3D" w14:textId="112AC596" w:rsidR="00756EE9" w:rsidRPr="00BE4B19" w:rsidRDefault="00756EE9" w:rsidP="008D1844">
      <w:pPr>
        <w:pStyle w:val="ListParagraph"/>
        <w:numPr>
          <w:ilvl w:val="0"/>
          <w:numId w:val="56"/>
        </w:num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Strengthen school-based bullying and harassment policies, strategies</w:t>
      </w:r>
      <w:r w:rsidR="00D47967">
        <w:rPr>
          <w:rFonts w:asciiTheme="majorHAnsi" w:hAnsiTheme="majorHAnsi" w:cstheme="minorHAnsi"/>
          <w:sz w:val="22"/>
          <w:szCs w:val="22"/>
        </w:rPr>
        <w:t>,</w:t>
      </w:r>
      <w:r w:rsidRPr="00BE4B19">
        <w:rPr>
          <w:rFonts w:asciiTheme="majorHAnsi" w:hAnsiTheme="majorHAnsi" w:cstheme="minorHAnsi"/>
          <w:sz w:val="22"/>
          <w:szCs w:val="22"/>
        </w:rPr>
        <w:t xml:space="preserve"> and </w:t>
      </w:r>
      <w:proofErr w:type="gramStart"/>
      <w:r w:rsidR="00D47967" w:rsidRPr="00BE4B19">
        <w:rPr>
          <w:rFonts w:asciiTheme="majorHAnsi" w:hAnsiTheme="majorHAnsi" w:cstheme="minorHAnsi"/>
          <w:sz w:val="22"/>
          <w:szCs w:val="22"/>
        </w:rPr>
        <w:t>training</w:t>
      </w:r>
      <w:proofErr w:type="gramEnd"/>
    </w:p>
    <w:p w14:paraId="6FE8E7DD" w14:textId="3C782F29" w:rsidR="00756EE9" w:rsidRPr="00BE4B19" w:rsidRDefault="00756EE9" w:rsidP="00296329">
      <w:pPr>
        <w:spacing w:after="120" w:line="281" w:lineRule="auto"/>
        <w:rPr>
          <w:rFonts w:asciiTheme="majorHAnsi" w:hAnsiTheme="majorHAnsi" w:cstheme="minorHAnsi"/>
          <w:b/>
          <w:bCs/>
          <w:sz w:val="22"/>
          <w:szCs w:val="22"/>
        </w:rPr>
      </w:pPr>
      <w:r w:rsidRPr="00BE4B19">
        <w:rPr>
          <w:rFonts w:asciiTheme="majorHAnsi" w:hAnsiTheme="majorHAnsi" w:cstheme="minorHAnsi"/>
          <w:sz w:val="22"/>
          <w:szCs w:val="22"/>
        </w:rPr>
        <w:t xml:space="preserve">Bullying and harassment effects boys and girls, women and men and persons with disability in different ways. The development of a policy will enable a strong commitment and provide an overarching strategy to prevent and respond to bullying and harassment that occurs on the way to school/madrasah, in the playground, classroom and staff rooms. The development of the policy and strategy should engage a diverse mix of students, teachers, </w:t>
      </w:r>
      <w:r w:rsidR="00D47967" w:rsidRPr="00BE4B19">
        <w:rPr>
          <w:rFonts w:asciiTheme="majorHAnsi" w:hAnsiTheme="majorHAnsi" w:cstheme="minorHAnsi"/>
          <w:sz w:val="22"/>
          <w:szCs w:val="22"/>
        </w:rPr>
        <w:t>parents,</w:t>
      </w:r>
      <w:r w:rsidRPr="00BE4B19">
        <w:rPr>
          <w:rFonts w:asciiTheme="majorHAnsi" w:hAnsiTheme="majorHAnsi" w:cstheme="minorHAnsi"/>
          <w:sz w:val="22"/>
          <w:szCs w:val="22"/>
        </w:rPr>
        <w:t xml:space="preserve"> and civil society organisations to explore the needs and priorities of different groups. The development and roll out of a training program should also engage a diverse representation of the school community and civil society organisations to enable students to learn from their peers and persons in position of influence. Popular sporting clubs can also play an important role in being role models for boys in this respect.</w:t>
      </w:r>
    </w:p>
    <w:p w14:paraId="55140417" w14:textId="77777777" w:rsidR="00756EE9" w:rsidRPr="00BE4B19" w:rsidRDefault="00756EE9" w:rsidP="008D1844">
      <w:pPr>
        <w:pStyle w:val="ListParagraph"/>
        <w:numPr>
          <w:ilvl w:val="0"/>
          <w:numId w:val="56"/>
        </w:num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Incorporate respectful relationships and sexual and reproductive health education into the </w:t>
      </w:r>
      <w:proofErr w:type="gramStart"/>
      <w:r w:rsidRPr="00BE4B19">
        <w:rPr>
          <w:rFonts w:asciiTheme="majorHAnsi" w:hAnsiTheme="majorHAnsi" w:cstheme="minorHAnsi"/>
          <w:sz w:val="22"/>
          <w:szCs w:val="22"/>
        </w:rPr>
        <w:t>curriculum</w:t>
      </w:r>
      <w:proofErr w:type="gramEnd"/>
    </w:p>
    <w:p w14:paraId="7BEDDB77" w14:textId="77777777" w:rsidR="00756EE9" w:rsidRPr="00BE4B19" w:rsidRDefault="00756EE9" w:rsidP="00296329">
      <w:p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The mandating of school-based curriculum development in the </w:t>
      </w:r>
      <w:r w:rsidRPr="00BE4B19">
        <w:rPr>
          <w:rFonts w:asciiTheme="majorHAnsi" w:hAnsiTheme="majorHAnsi" w:cstheme="minorHAnsi"/>
          <w:i/>
          <w:iCs/>
          <w:sz w:val="22"/>
          <w:szCs w:val="22"/>
        </w:rPr>
        <w:t xml:space="preserve">Merdeka </w:t>
      </w:r>
      <w:proofErr w:type="spellStart"/>
      <w:r w:rsidRPr="00BE4B19">
        <w:rPr>
          <w:rFonts w:asciiTheme="majorHAnsi" w:hAnsiTheme="majorHAnsi" w:cstheme="minorHAnsi"/>
          <w:i/>
          <w:iCs/>
          <w:sz w:val="22"/>
          <w:szCs w:val="22"/>
        </w:rPr>
        <w:t>Belajar</w:t>
      </w:r>
      <w:proofErr w:type="spellEnd"/>
      <w:r w:rsidRPr="00BE4B19">
        <w:rPr>
          <w:rFonts w:asciiTheme="majorHAnsi" w:hAnsiTheme="majorHAnsi" w:cstheme="minorHAnsi"/>
          <w:sz w:val="22"/>
          <w:szCs w:val="22"/>
        </w:rPr>
        <w:t xml:space="preserve"> agenda provides an unparalleled opportunity for including gender equality perspectives into the curriculum at Grades 5 and 6 levels. At these grades, students are beginning their adolescence and gender attitudes and relationships develop a new salience in their lives. For at least 20% of them who will not continue to junior secondary, these grades will be their last opportunity to acquire the kind of knowledge and understanding that will equip them with best choices for their futures. At present there is no provision for any sex education in the upper grades of primary school. When interviewed, some women teachers said that parents of around half of their students do not inform them about their sexual development, and that teachers sometimes take it on themselves to raise it in a science class, but with no support from the male teachers in the school to do this work with boys. </w:t>
      </w:r>
    </w:p>
    <w:p w14:paraId="5487AB40" w14:textId="77777777" w:rsidR="00DB3B2F" w:rsidRDefault="00DB3B2F" w:rsidP="00296329">
      <w:pPr>
        <w:spacing w:after="120" w:line="281" w:lineRule="auto"/>
        <w:rPr>
          <w:rFonts w:asciiTheme="majorHAnsi" w:hAnsiTheme="majorHAnsi" w:cstheme="minorHAnsi"/>
          <w:sz w:val="22"/>
          <w:szCs w:val="22"/>
        </w:rPr>
      </w:pPr>
    </w:p>
    <w:p w14:paraId="6F0960C2" w14:textId="72B7AC28" w:rsidR="00756EE9" w:rsidRPr="00BE4B19" w:rsidRDefault="00756EE9" w:rsidP="00296329">
      <w:p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lastRenderedPageBreak/>
        <w:t xml:space="preserve">The character education component of </w:t>
      </w:r>
      <w:proofErr w:type="spellStart"/>
      <w:r w:rsidRPr="00BE4B19">
        <w:rPr>
          <w:rFonts w:asciiTheme="majorHAnsi" w:hAnsiTheme="majorHAnsi" w:cstheme="minorHAnsi"/>
          <w:i/>
          <w:iCs/>
          <w:sz w:val="22"/>
          <w:szCs w:val="22"/>
        </w:rPr>
        <w:t>Kurikulum</w:t>
      </w:r>
      <w:proofErr w:type="spellEnd"/>
      <w:r w:rsidRPr="00BE4B19">
        <w:rPr>
          <w:rFonts w:asciiTheme="majorHAnsi" w:hAnsiTheme="majorHAnsi" w:cstheme="minorHAnsi"/>
          <w:i/>
          <w:iCs/>
          <w:sz w:val="22"/>
          <w:szCs w:val="22"/>
        </w:rPr>
        <w:t xml:space="preserve"> Merdeka</w:t>
      </w:r>
      <w:r w:rsidRPr="00BE4B19">
        <w:rPr>
          <w:rFonts w:asciiTheme="majorHAnsi" w:hAnsiTheme="majorHAnsi" w:cstheme="minorHAnsi"/>
          <w:sz w:val="22"/>
          <w:szCs w:val="22"/>
        </w:rPr>
        <w:t xml:space="preserve"> lends itself to the inclusion of programs like UNESCO’s ‘Connect with Respect’</w:t>
      </w:r>
      <w:r w:rsidRPr="00BE4B19">
        <w:rPr>
          <w:rFonts w:asciiTheme="majorHAnsi" w:hAnsiTheme="majorHAnsi" w:cstheme="minorHAnsi"/>
          <w:i/>
          <w:iCs/>
          <w:sz w:val="22"/>
          <w:szCs w:val="22"/>
        </w:rPr>
        <w:t xml:space="preserve">. </w:t>
      </w:r>
      <w:r w:rsidRPr="00BE4B19">
        <w:rPr>
          <w:rFonts w:asciiTheme="majorHAnsi" w:hAnsiTheme="majorHAnsi" w:cstheme="minorHAnsi"/>
          <w:sz w:val="22"/>
          <w:szCs w:val="22"/>
        </w:rPr>
        <w:t xml:space="preserve">This is a curriculum framework for sex education and healthy relationships which could be co-developed with input from the community, including gender equality organisations, OPDs, teachers and students. It could provide girls and boys with the basic understanding of their bodies and reproductive health, unequal gender relationships and their consequences for present and future </w:t>
      </w:r>
      <w:r w:rsidR="00431ECE">
        <w:rPr>
          <w:rFonts w:asciiTheme="majorHAnsi" w:hAnsiTheme="majorHAnsi" w:cstheme="minorHAnsi"/>
          <w:sz w:val="22"/>
          <w:szCs w:val="22"/>
        </w:rPr>
        <w:t>well-being</w:t>
      </w:r>
      <w:r w:rsidRPr="00BE4B19">
        <w:rPr>
          <w:rFonts w:asciiTheme="majorHAnsi" w:hAnsiTheme="majorHAnsi" w:cstheme="minorHAnsi"/>
          <w:sz w:val="22"/>
          <w:szCs w:val="22"/>
        </w:rPr>
        <w:t xml:space="preserve">, sexual harassment violence, and child marriage. A critical literacy </w:t>
      </w:r>
      <w:proofErr w:type="gramStart"/>
      <w:r w:rsidRPr="00BE4B19">
        <w:rPr>
          <w:rFonts w:asciiTheme="majorHAnsi" w:hAnsiTheme="majorHAnsi" w:cstheme="minorHAnsi"/>
          <w:sz w:val="22"/>
          <w:szCs w:val="22"/>
        </w:rPr>
        <w:t>focus</w:t>
      </w:r>
      <w:proofErr w:type="gramEnd"/>
      <w:r w:rsidRPr="00BE4B19">
        <w:rPr>
          <w:rFonts w:asciiTheme="majorHAnsi" w:hAnsiTheme="majorHAnsi" w:cstheme="minorHAnsi"/>
          <w:sz w:val="22"/>
          <w:szCs w:val="22"/>
        </w:rPr>
        <w:t xml:space="preserve"> in Bahasa Indonesia, a specified </w:t>
      </w:r>
      <w:proofErr w:type="spellStart"/>
      <w:r w:rsidRPr="00BE4B19">
        <w:rPr>
          <w:rFonts w:asciiTheme="majorHAnsi" w:hAnsiTheme="majorHAnsi" w:cstheme="minorHAnsi"/>
          <w:i/>
          <w:iCs/>
          <w:sz w:val="22"/>
          <w:szCs w:val="22"/>
        </w:rPr>
        <w:t>Kurikulum</w:t>
      </w:r>
      <w:proofErr w:type="spellEnd"/>
      <w:r w:rsidRPr="00BE4B19">
        <w:rPr>
          <w:rFonts w:asciiTheme="majorHAnsi" w:hAnsiTheme="majorHAnsi" w:cstheme="minorHAnsi"/>
          <w:i/>
          <w:iCs/>
          <w:sz w:val="22"/>
          <w:szCs w:val="22"/>
        </w:rPr>
        <w:t xml:space="preserve"> Merdeka </w:t>
      </w:r>
      <w:r w:rsidRPr="00BE4B19">
        <w:rPr>
          <w:rFonts w:asciiTheme="majorHAnsi" w:hAnsiTheme="majorHAnsi" w:cstheme="minorHAnsi"/>
          <w:sz w:val="22"/>
          <w:szCs w:val="22"/>
        </w:rPr>
        <w:t>outcome at this level, also lends itself to analysis of the social construction of gender identities and their stereotyping effects in text and graphics analysis. The ‘Gender Sensitive School’ module developed by UMSIDA - a partner university of INOVASI Phase 2 - and accepted by the Ministry as a resource for teachers, is a good example of this approach.</w:t>
      </w:r>
      <w:r w:rsidRPr="00BE4B19">
        <w:rPr>
          <w:rStyle w:val="FootnoteReference"/>
          <w:rFonts w:asciiTheme="majorHAnsi" w:hAnsiTheme="majorHAnsi" w:cstheme="minorHAnsi"/>
          <w:sz w:val="22"/>
          <w:szCs w:val="22"/>
        </w:rPr>
        <w:footnoteReference w:id="108"/>
      </w:r>
      <w:r w:rsidRPr="00BE4B19">
        <w:rPr>
          <w:rFonts w:asciiTheme="majorHAnsi" w:hAnsiTheme="majorHAnsi" w:cstheme="minorHAnsi"/>
          <w:sz w:val="22"/>
          <w:szCs w:val="22"/>
        </w:rPr>
        <w:t xml:space="preserve"> </w:t>
      </w:r>
    </w:p>
    <w:p w14:paraId="55D1EE7B" w14:textId="77777777" w:rsidR="00756EE9" w:rsidRPr="00BE4B19" w:rsidRDefault="00756EE9" w:rsidP="008D1844">
      <w:pPr>
        <w:pStyle w:val="ListParagraph"/>
        <w:numPr>
          <w:ilvl w:val="0"/>
          <w:numId w:val="56"/>
        </w:num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Develop a community-based strategy to address underlying causes of child marriage and gender </w:t>
      </w:r>
      <w:proofErr w:type="gramStart"/>
      <w:r w:rsidRPr="00BE4B19">
        <w:rPr>
          <w:rFonts w:asciiTheme="majorHAnsi" w:hAnsiTheme="majorHAnsi" w:cstheme="minorHAnsi"/>
          <w:sz w:val="22"/>
          <w:szCs w:val="22"/>
        </w:rPr>
        <w:t>inequality</w:t>
      </w:r>
      <w:proofErr w:type="gramEnd"/>
      <w:r w:rsidRPr="00BE4B19">
        <w:rPr>
          <w:rFonts w:asciiTheme="majorHAnsi" w:hAnsiTheme="majorHAnsi" w:cstheme="minorHAnsi"/>
          <w:sz w:val="22"/>
          <w:szCs w:val="22"/>
        </w:rPr>
        <w:t xml:space="preserve"> </w:t>
      </w:r>
    </w:p>
    <w:p w14:paraId="71B6D632" w14:textId="77777777" w:rsidR="00756EE9" w:rsidRPr="00BE4B19" w:rsidRDefault="00756EE9" w:rsidP="00296329">
      <w:p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As described above, community gender norms and other factors such as poverty are root causes of early and forced child marriage in Indonesia. The UNESCO’s ‘Connect with Respect’ curriculum can help educating girls and boys on these issues and in addition</w:t>
      </w:r>
      <w:r w:rsidRPr="00BE4B19">
        <w:rPr>
          <w:rFonts w:asciiTheme="majorHAnsi" w:hAnsiTheme="majorHAnsi" w:cstheme="minorHAnsi"/>
          <w:i/>
          <w:iCs/>
          <w:sz w:val="22"/>
          <w:szCs w:val="22"/>
        </w:rPr>
        <w:t xml:space="preserve"> </w:t>
      </w:r>
      <w:r w:rsidRPr="00BE4B19">
        <w:rPr>
          <w:rFonts w:asciiTheme="majorHAnsi" w:hAnsiTheme="majorHAnsi" w:cstheme="minorHAnsi"/>
          <w:sz w:val="22"/>
          <w:szCs w:val="22"/>
        </w:rPr>
        <w:t>community-based solutions should be explored. This is particularly important given that children are grounded in families and communities which can either reinforce or challenge harmful or limiting gender norms and stereotypes.</w:t>
      </w:r>
    </w:p>
    <w:p w14:paraId="0E44437D" w14:textId="77777777" w:rsidR="00756EE9" w:rsidRPr="00BE4B19" w:rsidRDefault="00756EE9" w:rsidP="00296329">
      <w:pPr>
        <w:pStyle w:val="ListParagraph"/>
        <w:spacing w:before="240" w:after="120" w:line="281" w:lineRule="auto"/>
        <w:ind w:left="0"/>
        <w:contextualSpacing w:val="0"/>
        <w:rPr>
          <w:rFonts w:asciiTheme="majorHAnsi" w:hAnsiTheme="majorHAnsi" w:cstheme="minorHAnsi"/>
          <w:b/>
          <w:bCs/>
          <w:sz w:val="22"/>
          <w:szCs w:val="22"/>
        </w:rPr>
      </w:pPr>
      <w:r w:rsidRPr="00BE4B19">
        <w:rPr>
          <w:rFonts w:asciiTheme="majorHAnsi" w:hAnsiTheme="majorHAnsi" w:cstheme="minorHAnsi"/>
          <w:b/>
          <w:bCs/>
          <w:sz w:val="22"/>
          <w:szCs w:val="22"/>
        </w:rPr>
        <w:t xml:space="preserve">Priority 3: Strengthening boys’ engagement in learning and better learning </w:t>
      </w:r>
      <w:proofErr w:type="gramStart"/>
      <w:r w:rsidRPr="00BE4B19">
        <w:rPr>
          <w:rFonts w:asciiTheme="majorHAnsi" w:hAnsiTheme="majorHAnsi" w:cstheme="minorHAnsi"/>
          <w:b/>
          <w:bCs/>
          <w:sz w:val="22"/>
          <w:szCs w:val="22"/>
        </w:rPr>
        <w:t>outcome</w:t>
      </w:r>
      <w:proofErr w:type="gramEnd"/>
    </w:p>
    <w:p w14:paraId="6BDDC7AF" w14:textId="77777777" w:rsidR="00756EE9" w:rsidRPr="00BE4B19" w:rsidRDefault="00756EE9" w:rsidP="008D1844">
      <w:pPr>
        <w:pStyle w:val="ListParagraph"/>
        <w:numPr>
          <w:ilvl w:val="0"/>
          <w:numId w:val="56"/>
        </w:num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Conduct research to understand how sex, gender, disability status and other aspects of identity intersect with learning outcomes for children in primary and secondary </w:t>
      </w:r>
      <w:proofErr w:type="gramStart"/>
      <w:r w:rsidRPr="00BE4B19">
        <w:rPr>
          <w:rFonts w:asciiTheme="majorHAnsi" w:hAnsiTheme="majorHAnsi" w:cstheme="minorHAnsi"/>
          <w:sz w:val="22"/>
          <w:szCs w:val="22"/>
        </w:rPr>
        <w:t>school</w:t>
      </w:r>
      <w:proofErr w:type="gramEnd"/>
      <w:r w:rsidRPr="00BE4B19">
        <w:rPr>
          <w:rFonts w:asciiTheme="majorHAnsi" w:hAnsiTheme="majorHAnsi" w:cstheme="minorHAnsi"/>
          <w:sz w:val="22"/>
          <w:szCs w:val="22"/>
        </w:rPr>
        <w:t xml:space="preserve"> </w:t>
      </w:r>
    </w:p>
    <w:p w14:paraId="36426409" w14:textId="77777777" w:rsidR="00756EE9" w:rsidRPr="00BE4B19" w:rsidRDefault="00756EE9" w:rsidP="00296329">
      <w:p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This research should be undertaken within the program inception phase (as part of the GEDSI analysis) to inform the development of the GEDSI Strategy and targeted interventions early on.</w:t>
      </w:r>
    </w:p>
    <w:p w14:paraId="2C0470A2" w14:textId="77777777" w:rsidR="00756EE9" w:rsidRPr="00BE4B19" w:rsidRDefault="00756EE9" w:rsidP="008D1844">
      <w:pPr>
        <w:pStyle w:val="ListParagraph"/>
        <w:numPr>
          <w:ilvl w:val="0"/>
          <w:numId w:val="56"/>
        </w:num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Pilot gender sensitive and disability inclusive pedagogies to address harmful gender and social norms that impact on learning outcomes for </w:t>
      </w:r>
      <w:proofErr w:type="gramStart"/>
      <w:r w:rsidRPr="00BE4B19">
        <w:rPr>
          <w:rFonts w:asciiTheme="majorHAnsi" w:hAnsiTheme="majorHAnsi" w:cstheme="minorHAnsi"/>
          <w:sz w:val="22"/>
          <w:szCs w:val="22"/>
        </w:rPr>
        <w:t>children</w:t>
      </w:r>
      <w:proofErr w:type="gramEnd"/>
      <w:r w:rsidRPr="00BE4B19">
        <w:rPr>
          <w:rFonts w:asciiTheme="majorHAnsi" w:hAnsiTheme="majorHAnsi" w:cstheme="minorHAnsi"/>
          <w:sz w:val="22"/>
          <w:szCs w:val="22"/>
        </w:rPr>
        <w:t xml:space="preserve"> </w:t>
      </w:r>
    </w:p>
    <w:p w14:paraId="4161B5A4" w14:textId="77777777" w:rsidR="00756EE9" w:rsidRPr="00BE4B19" w:rsidRDefault="00756EE9" w:rsidP="00296329">
      <w:pPr>
        <w:spacing w:after="120" w:line="281" w:lineRule="auto"/>
        <w:rPr>
          <w:rFonts w:asciiTheme="majorHAnsi" w:hAnsiTheme="majorHAnsi" w:cstheme="minorHAnsi"/>
          <w:sz w:val="22"/>
          <w:szCs w:val="22"/>
        </w:rPr>
      </w:pPr>
      <w:r w:rsidRPr="00BE4B19">
        <w:rPr>
          <w:rFonts w:asciiTheme="majorHAnsi" w:hAnsiTheme="majorHAnsi" w:cstheme="minorHAnsi"/>
          <w:sz w:val="22"/>
          <w:szCs w:val="22"/>
        </w:rPr>
        <w:t xml:space="preserve">This pilot would involve training teachers on gender sensitive pedagogy and inclusive education pedagogy, aligning with existing policies and programs that are already taking place in Indonesia to strengthen teacher skills in these specific areas. </w:t>
      </w:r>
    </w:p>
    <w:p w14:paraId="5C8236A8" w14:textId="77777777" w:rsidR="00756EE9" w:rsidRPr="00892FAA" w:rsidRDefault="00756EE9" w:rsidP="00756EE9">
      <w:pPr>
        <w:spacing w:after="120" w:line="281" w:lineRule="auto"/>
        <w:ind w:left="426"/>
        <w:rPr>
          <w:sz w:val="22"/>
          <w:szCs w:val="22"/>
        </w:rPr>
      </w:pPr>
      <w:r w:rsidRPr="00892FAA">
        <w:rPr>
          <w:sz w:val="22"/>
          <w:szCs w:val="22"/>
        </w:rPr>
        <w:t xml:space="preserve"> </w:t>
      </w:r>
    </w:p>
    <w:p w14:paraId="0A77C252" w14:textId="77777777" w:rsidR="00756EE9" w:rsidRPr="00892FAA" w:rsidRDefault="00756EE9" w:rsidP="00756EE9">
      <w:pPr>
        <w:spacing w:after="120" w:line="281" w:lineRule="auto"/>
        <w:ind w:left="426"/>
        <w:rPr>
          <w:sz w:val="22"/>
          <w:szCs w:val="22"/>
        </w:rPr>
      </w:pPr>
      <w:r w:rsidRPr="00892FAA">
        <w:rPr>
          <w:sz w:val="22"/>
          <w:szCs w:val="22"/>
        </w:rPr>
        <w:br w:type="page"/>
      </w:r>
    </w:p>
    <w:p w14:paraId="2F667DDC" w14:textId="53122E6F" w:rsidR="004E7542" w:rsidRPr="00BB32A4" w:rsidRDefault="00756EE9" w:rsidP="00CA4228">
      <w:pPr>
        <w:pStyle w:val="Heading3"/>
        <w:rPr>
          <w:b/>
          <w:sz w:val="22"/>
          <w:szCs w:val="20"/>
        </w:rPr>
      </w:pPr>
      <w:r w:rsidRPr="00BB32A4">
        <w:rPr>
          <w:b/>
          <w:sz w:val="22"/>
          <w:szCs w:val="20"/>
        </w:rPr>
        <w:lastRenderedPageBreak/>
        <w:t xml:space="preserve">Annex A: Stakeholders </w:t>
      </w:r>
      <w:proofErr w:type="gramStart"/>
      <w:r w:rsidRPr="00BB32A4">
        <w:rPr>
          <w:b/>
          <w:sz w:val="22"/>
          <w:szCs w:val="20"/>
        </w:rPr>
        <w:t>consulte</w:t>
      </w:r>
      <w:r w:rsidR="004E7542" w:rsidRPr="00BB32A4">
        <w:rPr>
          <w:b/>
          <w:sz w:val="22"/>
          <w:szCs w:val="20"/>
        </w:rPr>
        <w:t>d</w:t>
      </w:r>
      <w:proofErr w:type="gramEnd"/>
    </w:p>
    <w:p w14:paraId="7CFE2780" w14:textId="6488D448" w:rsidR="004E7542" w:rsidRPr="004E7542" w:rsidRDefault="004E7542" w:rsidP="004E7542">
      <w:pPr>
        <w:rPr>
          <w:rFonts w:asciiTheme="minorHAnsi" w:hAnsiTheme="minorHAnsi" w:cstheme="minorHAnsi"/>
          <w:b/>
          <w:bCs/>
          <w:sz w:val="22"/>
          <w:szCs w:val="22"/>
        </w:rPr>
      </w:pPr>
      <w:r w:rsidRPr="004E7542">
        <w:rPr>
          <w:rFonts w:asciiTheme="minorHAnsi" w:hAnsiTheme="minorHAnsi" w:cstheme="minorHAnsi"/>
          <w:b/>
          <w:bCs/>
          <w:sz w:val="22"/>
          <w:szCs w:val="22"/>
        </w:rPr>
        <w:t>Table 1: Teachers / principals</w:t>
      </w:r>
    </w:p>
    <w:tbl>
      <w:tblPr>
        <w:tblStyle w:val="GridTable5Dark-Accent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2"/>
        <w:gridCol w:w="1134"/>
        <w:gridCol w:w="1046"/>
        <w:gridCol w:w="1046"/>
        <w:gridCol w:w="819"/>
        <w:gridCol w:w="1018"/>
        <w:gridCol w:w="1046"/>
        <w:gridCol w:w="1103"/>
      </w:tblGrid>
      <w:tr w:rsidR="00C24B19" w:rsidRPr="00840FDA" w14:paraId="2BE21FF0" w14:textId="77777777" w:rsidTr="00DF5874">
        <w:trPr>
          <w:cnfStyle w:val="100000000000" w:firstRow="1" w:lastRow="0" w:firstColumn="0" w:lastColumn="0" w:oddVBand="0" w:evenVBand="0" w:oddHBand="0" w:evenHBand="0" w:firstRowFirstColumn="0" w:firstRowLastColumn="0" w:lastRowFirstColumn="0" w:lastRowLastColumn="0"/>
          <w:trHeight w:val="1733"/>
          <w:tblHeader/>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right w:val="none" w:sz="0" w:space="0" w:color="auto"/>
            </w:tcBorders>
            <w:hideMark/>
          </w:tcPr>
          <w:p w14:paraId="31E4DE93" w14:textId="77777777" w:rsidR="004E7542" w:rsidRPr="007005CD" w:rsidRDefault="004E7542">
            <w:pPr>
              <w:jc w:val="center"/>
              <w:rPr>
                <w:rFonts w:ascii="Calibri" w:hAnsi="Calibri" w:cs="Calibri"/>
                <w:color w:val="auto"/>
                <w:sz w:val="22"/>
                <w:szCs w:val="22"/>
                <w:lang w:eastAsia="en-AU"/>
              </w:rPr>
            </w:pPr>
            <w:bookmarkStart w:id="103" w:name="Title_Stakeholder1"/>
            <w:r w:rsidRPr="007005CD">
              <w:rPr>
                <w:rFonts w:ascii="Calibri" w:hAnsi="Calibri" w:cs="Calibri"/>
                <w:color w:val="auto"/>
                <w:sz w:val="22"/>
                <w:szCs w:val="22"/>
              </w:rPr>
              <w:t>Institutions/Expert</w:t>
            </w:r>
            <w:bookmarkEnd w:id="103"/>
          </w:p>
        </w:tc>
        <w:tc>
          <w:tcPr>
            <w:tcW w:w="992" w:type="dxa"/>
            <w:tcBorders>
              <w:top w:val="none" w:sz="0" w:space="0" w:color="auto"/>
              <w:left w:val="none" w:sz="0" w:space="0" w:color="auto"/>
              <w:right w:val="none" w:sz="0" w:space="0" w:color="auto"/>
            </w:tcBorders>
            <w:hideMark/>
          </w:tcPr>
          <w:p w14:paraId="343B89F1" w14:textId="77777777" w:rsidR="004E7542" w:rsidRPr="007005CD"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04" w:name="ColumnTitle_AdultMale1"/>
            <w:r w:rsidRPr="007005CD">
              <w:rPr>
                <w:rFonts w:ascii="Calibri" w:hAnsi="Calibri" w:cs="Calibri"/>
                <w:color w:val="auto"/>
                <w:sz w:val="22"/>
                <w:szCs w:val="22"/>
              </w:rPr>
              <w:t>Adult (Male)</w:t>
            </w:r>
            <w:bookmarkEnd w:id="104"/>
          </w:p>
        </w:tc>
        <w:tc>
          <w:tcPr>
            <w:tcW w:w="1134" w:type="dxa"/>
            <w:tcBorders>
              <w:top w:val="none" w:sz="0" w:space="0" w:color="auto"/>
              <w:left w:val="none" w:sz="0" w:space="0" w:color="auto"/>
              <w:right w:val="none" w:sz="0" w:space="0" w:color="auto"/>
            </w:tcBorders>
            <w:hideMark/>
          </w:tcPr>
          <w:p w14:paraId="6B27A28A" w14:textId="77777777" w:rsidR="004E7542" w:rsidRPr="007005CD"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05" w:name="ColumnTitle_AdultFemale1"/>
            <w:r w:rsidRPr="007005CD">
              <w:rPr>
                <w:rFonts w:ascii="Calibri" w:hAnsi="Calibri" w:cs="Calibri"/>
                <w:color w:val="auto"/>
                <w:sz w:val="22"/>
                <w:szCs w:val="22"/>
              </w:rPr>
              <w:t>Adult (Female)</w:t>
            </w:r>
            <w:bookmarkEnd w:id="105"/>
          </w:p>
        </w:tc>
        <w:tc>
          <w:tcPr>
            <w:tcW w:w="1014" w:type="dxa"/>
            <w:tcBorders>
              <w:top w:val="none" w:sz="0" w:space="0" w:color="auto"/>
              <w:left w:val="none" w:sz="0" w:space="0" w:color="auto"/>
              <w:right w:val="none" w:sz="0" w:space="0" w:color="auto"/>
            </w:tcBorders>
            <w:hideMark/>
          </w:tcPr>
          <w:p w14:paraId="6A93669D" w14:textId="77777777" w:rsidR="004E7542" w:rsidRPr="007005CD"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06" w:name="ColumnTitle_AdultWDMale1"/>
            <w:r w:rsidRPr="007005CD">
              <w:rPr>
                <w:rFonts w:ascii="Calibri" w:hAnsi="Calibri" w:cs="Calibri"/>
                <w:color w:val="auto"/>
                <w:sz w:val="22"/>
                <w:szCs w:val="22"/>
              </w:rPr>
              <w:t>Adult Person with disability (Male)</w:t>
            </w:r>
            <w:bookmarkEnd w:id="106"/>
          </w:p>
        </w:tc>
        <w:tc>
          <w:tcPr>
            <w:tcW w:w="1014" w:type="dxa"/>
            <w:tcBorders>
              <w:top w:val="none" w:sz="0" w:space="0" w:color="auto"/>
              <w:left w:val="none" w:sz="0" w:space="0" w:color="auto"/>
              <w:right w:val="none" w:sz="0" w:space="0" w:color="auto"/>
            </w:tcBorders>
            <w:hideMark/>
          </w:tcPr>
          <w:p w14:paraId="33D49730" w14:textId="77777777" w:rsidR="004E7542" w:rsidRPr="007005CD"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07" w:name="ColumnTitle_AdultWDFemale1"/>
            <w:r w:rsidRPr="007005CD">
              <w:rPr>
                <w:rFonts w:ascii="Calibri" w:hAnsi="Calibri" w:cs="Calibri"/>
                <w:color w:val="auto"/>
                <w:sz w:val="22"/>
                <w:szCs w:val="22"/>
              </w:rPr>
              <w:t>Adult Person with disability (Female)</w:t>
            </w:r>
            <w:bookmarkEnd w:id="107"/>
          </w:p>
        </w:tc>
        <w:tc>
          <w:tcPr>
            <w:tcW w:w="807" w:type="dxa"/>
            <w:tcBorders>
              <w:top w:val="none" w:sz="0" w:space="0" w:color="auto"/>
              <w:left w:val="none" w:sz="0" w:space="0" w:color="auto"/>
              <w:right w:val="none" w:sz="0" w:space="0" w:color="auto"/>
            </w:tcBorders>
            <w:hideMark/>
          </w:tcPr>
          <w:p w14:paraId="7DB8D377" w14:textId="77777777" w:rsidR="004E7542" w:rsidRPr="007005CD"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08" w:name="ColumnTitle_ChildMale1"/>
            <w:r w:rsidRPr="007005CD">
              <w:rPr>
                <w:rFonts w:ascii="Calibri" w:hAnsi="Calibri" w:cs="Calibri"/>
                <w:color w:val="auto"/>
                <w:sz w:val="22"/>
                <w:szCs w:val="22"/>
              </w:rPr>
              <w:t>Child (Male)</w:t>
            </w:r>
            <w:bookmarkEnd w:id="108"/>
          </w:p>
        </w:tc>
        <w:tc>
          <w:tcPr>
            <w:tcW w:w="1002" w:type="dxa"/>
            <w:tcBorders>
              <w:top w:val="none" w:sz="0" w:space="0" w:color="auto"/>
              <w:left w:val="none" w:sz="0" w:space="0" w:color="auto"/>
              <w:right w:val="none" w:sz="0" w:space="0" w:color="auto"/>
            </w:tcBorders>
            <w:hideMark/>
          </w:tcPr>
          <w:p w14:paraId="369583ED" w14:textId="77777777" w:rsidR="004E7542" w:rsidRPr="007005CD"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09" w:name="ColumnTitle_ChildFemale1"/>
            <w:r w:rsidRPr="007005CD">
              <w:rPr>
                <w:rFonts w:ascii="Calibri" w:hAnsi="Calibri" w:cs="Calibri"/>
                <w:color w:val="auto"/>
                <w:sz w:val="22"/>
                <w:szCs w:val="22"/>
              </w:rPr>
              <w:t>Child (Female)</w:t>
            </w:r>
            <w:bookmarkEnd w:id="109"/>
          </w:p>
        </w:tc>
        <w:tc>
          <w:tcPr>
            <w:tcW w:w="1014" w:type="dxa"/>
            <w:tcBorders>
              <w:top w:val="none" w:sz="0" w:space="0" w:color="auto"/>
              <w:left w:val="none" w:sz="0" w:space="0" w:color="auto"/>
              <w:right w:val="none" w:sz="0" w:space="0" w:color="auto"/>
            </w:tcBorders>
            <w:hideMark/>
          </w:tcPr>
          <w:p w14:paraId="20F2F324" w14:textId="77777777" w:rsidR="004E7542" w:rsidRPr="007005CD"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10" w:name="ColumnTitle_ChildWDMale1"/>
            <w:r w:rsidRPr="007005CD">
              <w:rPr>
                <w:rFonts w:ascii="Calibri" w:hAnsi="Calibri" w:cs="Calibri"/>
                <w:color w:val="auto"/>
                <w:sz w:val="22"/>
                <w:szCs w:val="22"/>
              </w:rPr>
              <w:t>Child with disability (Male)</w:t>
            </w:r>
            <w:bookmarkEnd w:id="110"/>
          </w:p>
        </w:tc>
        <w:tc>
          <w:tcPr>
            <w:tcW w:w="1103" w:type="dxa"/>
            <w:tcBorders>
              <w:top w:val="none" w:sz="0" w:space="0" w:color="auto"/>
              <w:left w:val="none" w:sz="0" w:space="0" w:color="auto"/>
              <w:right w:val="none" w:sz="0" w:space="0" w:color="auto"/>
            </w:tcBorders>
            <w:hideMark/>
          </w:tcPr>
          <w:p w14:paraId="23666FF7" w14:textId="77777777" w:rsidR="004E7542" w:rsidRPr="007005CD"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11" w:name="ColumnTitle_ChildWDFemale1"/>
            <w:r w:rsidRPr="007005CD">
              <w:rPr>
                <w:rFonts w:ascii="Calibri" w:hAnsi="Calibri" w:cs="Calibri"/>
                <w:color w:val="auto"/>
                <w:sz w:val="22"/>
                <w:szCs w:val="22"/>
              </w:rPr>
              <w:t>Child with disability (Female)</w:t>
            </w:r>
            <w:bookmarkEnd w:id="111"/>
          </w:p>
        </w:tc>
      </w:tr>
      <w:tr w:rsidR="004E7542" w:rsidRPr="00840FDA" w14:paraId="0F12E044" w14:textId="77777777" w:rsidTr="008A25D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vAlign w:val="center"/>
          </w:tcPr>
          <w:p w14:paraId="1CEFFF6C" w14:textId="77777777" w:rsidR="004E7542" w:rsidRPr="00840FDA" w:rsidRDefault="004E7542">
            <w:pPr>
              <w:rPr>
                <w:rFonts w:ascii="Calibri" w:hAnsi="Calibri" w:cs="Calibri"/>
                <w:sz w:val="22"/>
                <w:szCs w:val="22"/>
              </w:rPr>
            </w:pPr>
            <w:bookmarkStart w:id="112" w:name="RowTitle_PKK" w:colFirst="0" w:colLast="0"/>
            <w:r w:rsidRPr="003319C9">
              <w:rPr>
                <w:rFonts w:ascii="Calibri" w:hAnsi="Calibri" w:cs="Calibri"/>
                <w:color w:val="auto"/>
                <w:sz w:val="22"/>
                <w:szCs w:val="22"/>
              </w:rPr>
              <w:t>PKK, PPPA, IKBM</w:t>
            </w:r>
          </w:p>
        </w:tc>
        <w:tc>
          <w:tcPr>
            <w:tcW w:w="992" w:type="dxa"/>
            <w:noWrap/>
            <w:vAlign w:val="center"/>
          </w:tcPr>
          <w:p w14:paraId="3E26A5C8"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2</w:t>
            </w:r>
          </w:p>
        </w:tc>
        <w:tc>
          <w:tcPr>
            <w:tcW w:w="1134" w:type="dxa"/>
            <w:noWrap/>
            <w:vAlign w:val="center"/>
          </w:tcPr>
          <w:p w14:paraId="6BB2B16F"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9</w:t>
            </w:r>
          </w:p>
        </w:tc>
        <w:tc>
          <w:tcPr>
            <w:tcW w:w="1014" w:type="dxa"/>
            <w:noWrap/>
            <w:vAlign w:val="center"/>
          </w:tcPr>
          <w:p w14:paraId="414DEFFA"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0</w:t>
            </w:r>
          </w:p>
        </w:tc>
        <w:tc>
          <w:tcPr>
            <w:tcW w:w="1014" w:type="dxa"/>
            <w:noWrap/>
            <w:vAlign w:val="center"/>
          </w:tcPr>
          <w:p w14:paraId="65FC1F03"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0</w:t>
            </w:r>
          </w:p>
        </w:tc>
        <w:tc>
          <w:tcPr>
            <w:tcW w:w="807" w:type="dxa"/>
            <w:noWrap/>
            <w:vAlign w:val="center"/>
          </w:tcPr>
          <w:p w14:paraId="143EA416"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0</w:t>
            </w:r>
          </w:p>
        </w:tc>
        <w:tc>
          <w:tcPr>
            <w:tcW w:w="1002" w:type="dxa"/>
            <w:noWrap/>
            <w:vAlign w:val="center"/>
          </w:tcPr>
          <w:p w14:paraId="4229AC58"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0</w:t>
            </w:r>
          </w:p>
        </w:tc>
        <w:tc>
          <w:tcPr>
            <w:tcW w:w="1014" w:type="dxa"/>
            <w:noWrap/>
            <w:vAlign w:val="center"/>
          </w:tcPr>
          <w:p w14:paraId="53C58954"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0</w:t>
            </w:r>
          </w:p>
        </w:tc>
        <w:tc>
          <w:tcPr>
            <w:tcW w:w="1103" w:type="dxa"/>
            <w:noWrap/>
            <w:vAlign w:val="center"/>
          </w:tcPr>
          <w:p w14:paraId="5C3241CB"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0</w:t>
            </w:r>
          </w:p>
        </w:tc>
      </w:tr>
      <w:tr w:rsidR="004E7542" w:rsidRPr="00840FDA" w14:paraId="7C4ED52B" w14:textId="77777777" w:rsidTr="008A25DD">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vAlign w:val="center"/>
          </w:tcPr>
          <w:p w14:paraId="62324A2C" w14:textId="77777777" w:rsidR="004E7542" w:rsidRPr="00840FDA" w:rsidRDefault="004E7542">
            <w:pPr>
              <w:rPr>
                <w:rFonts w:ascii="Calibri" w:hAnsi="Calibri" w:cs="Calibri"/>
                <w:sz w:val="22"/>
                <w:szCs w:val="22"/>
              </w:rPr>
            </w:pPr>
            <w:bookmarkStart w:id="113" w:name="RowTitle_SDN2TjSelor"/>
            <w:bookmarkEnd w:id="112"/>
            <w:r w:rsidRPr="003319C9">
              <w:rPr>
                <w:rFonts w:ascii="Calibri" w:hAnsi="Calibri" w:cs="Calibri"/>
                <w:color w:val="auto"/>
                <w:sz w:val="22"/>
                <w:szCs w:val="22"/>
              </w:rPr>
              <w:t xml:space="preserve">SDN 2 Tanjung </w:t>
            </w:r>
            <w:proofErr w:type="spellStart"/>
            <w:r w:rsidRPr="003319C9">
              <w:rPr>
                <w:rFonts w:ascii="Calibri" w:hAnsi="Calibri" w:cs="Calibri"/>
                <w:color w:val="auto"/>
                <w:sz w:val="22"/>
                <w:szCs w:val="22"/>
              </w:rPr>
              <w:t>Selor</w:t>
            </w:r>
            <w:bookmarkEnd w:id="113"/>
            <w:proofErr w:type="spellEnd"/>
          </w:p>
        </w:tc>
        <w:tc>
          <w:tcPr>
            <w:tcW w:w="992" w:type="dxa"/>
            <w:noWrap/>
            <w:vAlign w:val="center"/>
          </w:tcPr>
          <w:p w14:paraId="3E54600A"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3</w:t>
            </w:r>
          </w:p>
        </w:tc>
        <w:tc>
          <w:tcPr>
            <w:tcW w:w="1134" w:type="dxa"/>
            <w:noWrap/>
            <w:vAlign w:val="center"/>
          </w:tcPr>
          <w:p w14:paraId="45F5223E"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5</w:t>
            </w:r>
          </w:p>
        </w:tc>
        <w:tc>
          <w:tcPr>
            <w:tcW w:w="1014" w:type="dxa"/>
            <w:noWrap/>
            <w:vAlign w:val="center"/>
          </w:tcPr>
          <w:p w14:paraId="682F90B8"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0</w:t>
            </w:r>
          </w:p>
        </w:tc>
        <w:tc>
          <w:tcPr>
            <w:tcW w:w="1014" w:type="dxa"/>
            <w:noWrap/>
            <w:vAlign w:val="center"/>
          </w:tcPr>
          <w:p w14:paraId="03CFC7C7"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0</w:t>
            </w:r>
          </w:p>
        </w:tc>
        <w:tc>
          <w:tcPr>
            <w:tcW w:w="807" w:type="dxa"/>
            <w:noWrap/>
            <w:vAlign w:val="center"/>
          </w:tcPr>
          <w:p w14:paraId="552FC41B"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2</w:t>
            </w:r>
          </w:p>
        </w:tc>
        <w:tc>
          <w:tcPr>
            <w:tcW w:w="1002" w:type="dxa"/>
            <w:noWrap/>
            <w:vAlign w:val="center"/>
          </w:tcPr>
          <w:p w14:paraId="24831D19"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4</w:t>
            </w:r>
          </w:p>
        </w:tc>
        <w:tc>
          <w:tcPr>
            <w:tcW w:w="1014" w:type="dxa"/>
            <w:noWrap/>
            <w:vAlign w:val="center"/>
          </w:tcPr>
          <w:p w14:paraId="55000107"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1</w:t>
            </w:r>
          </w:p>
        </w:tc>
        <w:tc>
          <w:tcPr>
            <w:tcW w:w="1103" w:type="dxa"/>
            <w:noWrap/>
            <w:vAlign w:val="center"/>
          </w:tcPr>
          <w:p w14:paraId="7C34452D"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1</w:t>
            </w:r>
          </w:p>
        </w:tc>
      </w:tr>
      <w:tr w:rsidR="004E7542" w:rsidRPr="00840FDA" w14:paraId="55E6418B" w14:textId="77777777" w:rsidTr="008A25D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vAlign w:val="center"/>
          </w:tcPr>
          <w:p w14:paraId="7754BC58" w14:textId="77777777" w:rsidR="004E7542" w:rsidRPr="003319C9" w:rsidRDefault="004E7542">
            <w:pPr>
              <w:rPr>
                <w:rFonts w:asciiTheme="minorHAnsi" w:hAnsiTheme="minorHAnsi" w:cstheme="minorHAnsi"/>
                <w:color w:val="auto"/>
                <w:sz w:val="22"/>
                <w:szCs w:val="22"/>
              </w:rPr>
            </w:pPr>
            <w:bookmarkStart w:id="114" w:name="RowTitle_PrincipalsBulungan"/>
            <w:r w:rsidRPr="003319C9">
              <w:rPr>
                <w:rFonts w:ascii="Calibri" w:hAnsi="Calibri" w:cs="Calibri"/>
                <w:color w:val="auto"/>
                <w:sz w:val="22"/>
                <w:szCs w:val="22"/>
              </w:rPr>
              <w:t xml:space="preserve">Groups of principals from </w:t>
            </w:r>
            <w:proofErr w:type="spellStart"/>
            <w:r w:rsidRPr="003319C9">
              <w:rPr>
                <w:rFonts w:ascii="Calibri" w:hAnsi="Calibri" w:cs="Calibri"/>
                <w:color w:val="auto"/>
                <w:sz w:val="22"/>
                <w:szCs w:val="22"/>
              </w:rPr>
              <w:t>Bulungan</w:t>
            </w:r>
            <w:bookmarkEnd w:id="114"/>
            <w:proofErr w:type="spellEnd"/>
          </w:p>
        </w:tc>
        <w:tc>
          <w:tcPr>
            <w:tcW w:w="992" w:type="dxa"/>
            <w:noWrap/>
            <w:vAlign w:val="center"/>
          </w:tcPr>
          <w:p w14:paraId="08CA6133"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3</w:t>
            </w:r>
          </w:p>
        </w:tc>
        <w:tc>
          <w:tcPr>
            <w:tcW w:w="1134" w:type="dxa"/>
            <w:noWrap/>
            <w:vAlign w:val="center"/>
          </w:tcPr>
          <w:p w14:paraId="56FFA44A"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2</w:t>
            </w:r>
          </w:p>
        </w:tc>
        <w:tc>
          <w:tcPr>
            <w:tcW w:w="1014" w:type="dxa"/>
            <w:noWrap/>
            <w:vAlign w:val="center"/>
          </w:tcPr>
          <w:p w14:paraId="284E7EA8"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0</w:t>
            </w:r>
          </w:p>
        </w:tc>
        <w:tc>
          <w:tcPr>
            <w:tcW w:w="1014" w:type="dxa"/>
            <w:noWrap/>
            <w:vAlign w:val="center"/>
          </w:tcPr>
          <w:p w14:paraId="665DA95A"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0</w:t>
            </w:r>
          </w:p>
        </w:tc>
        <w:tc>
          <w:tcPr>
            <w:tcW w:w="807" w:type="dxa"/>
            <w:noWrap/>
            <w:vAlign w:val="center"/>
          </w:tcPr>
          <w:p w14:paraId="3236D5FC"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0</w:t>
            </w:r>
          </w:p>
        </w:tc>
        <w:tc>
          <w:tcPr>
            <w:tcW w:w="1002" w:type="dxa"/>
            <w:noWrap/>
            <w:vAlign w:val="center"/>
          </w:tcPr>
          <w:p w14:paraId="7CBBFAC9"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0</w:t>
            </w:r>
          </w:p>
        </w:tc>
        <w:tc>
          <w:tcPr>
            <w:tcW w:w="1014" w:type="dxa"/>
            <w:noWrap/>
            <w:vAlign w:val="center"/>
          </w:tcPr>
          <w:p w14:paraId="5290F3D8"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0</w:t>
            </w:r>
          </w:p>
        </w:tc>
        <w:tc>
          <w:tcPr>
            <w:tcW w:w="1103" w:type="dxa"/>
            <w:noWrap/>
            <w:vAlign w:val="center"/>
          </w:tcPr>
          <w:p w14:paraId="1DE78501" w14:textId="77777777" w:rsidR="004E7542" w:rsidRPr="00840FDA" w:rsidRDefault="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0</w:t>
            </w:r>
          </w:p>
        </w:tc>
      </w:tr>
      <w:tr w:rsidR="004E7542" w:rsidRPr="00840FDA" w14:paraId="19234AF5" w14:textId="77777777" w:rsidTr="008A25DD">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vAlign w:val="center"/>
          </w:tcPr>
          <w:p w14:paraId="7D6D4497" w14:textId="77777777" w:rsidR="004E7542" w:rsidRPr="003319C9" w:rsidRDefault="004E7542">
            <w:pPr>
              <w:rPr>
                <w:rFonts w:asciiTheme="minorHAnsi" w:hAnsiTheme="minorHAnsi" w:cstheme="minorHAnsi"/>
                <w:i/>
                <w:color w:val="auto"/>
                <w:sz w:val="22"/>
                <w:szCs w:val="22"/>
              </w:rPr>
            </w:pPr>
            <w:bookmarkStart w:id="115" w:name="RowTitle_TeachersBulungan"/>
            <w:r w:rsidRPr="003319C9">
              <w:rPr>
                <w:rFonts w:ascii="Calibri" w:hAnsi="Calibri" w:cs="Calibri"/>
                <w:color w:val="auto"/>
                <w:sz w:val="22"/>
                <w:szCs w:val="22"/>
              </w:rPr>
              <w:t xml:space="preserve">Groups of teachers from </w:t>
            </w:r>
            <w:proofErr w:type="spellStart"/>
            <w:r w:rsidRPr="003319C9">
              <w:rPr>
                <w:rFonts w:ascii="Calibri" w:hAnsi="Calibri" w:cs="Calibri"/>
                <w:color w:val="auto"/>
                <w:sz w:val="22"/>
                <w:szCs w:val="22"/>
              </w:rPr>
              <w:t>Bulungan</w:t>
            </w:r>
            <w:proofErr w:type="spellEnd"/>
            <w:r w:rsidRPr="003319C9">
              <w:rPr>
                <w:rFonts w:ascii="Calibri" w:hAnsi="Calibri" w:cs="Calibri"/>
                <w:color w:val="auto"/>
                <w:sz w:val="22"/>
                <w:szCs w:val="22"/>
              </w:rPr>
              <w:t xml:space="preserve"> </w:t>
            </w:r>
            <w:bookmarkEnd w:id="115"/>
          </w:p>
        </w:tc>
        <w:tc>
          <w:tcPr>
            <w:tcW w:w="992" w:type="dxa"/>
            <w:noWrap/>
            <w:vAlign w:val="center"/>
          </w:tcPr>
          <w:p w14:paraId="63ED3F8D"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0</w:t>
            </w:r>
          </w:p>
        </w:tc>
        <w:tc>
          <w:tcPr>
            <w:tcW w:w="1134" w:type="dxa"/>
            <w:noWrap/>
            <w:vAlign w:val="center"/>
          </w:tcPr>
          <w:p w14:paraId="1FABF73D"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2</w:t>
            </w:r>
          </w:p>
        </w:tc>
        <w:tc>
          <w:tcPr>
            <w:tcW w:w="1014" w:type="dxa"/>
            <w:noWrap/>
            <w:vAlign w:val="center"/>
          </w:tcPr>
          <w:p w14:paraId="2338B208"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0</w:t>
            </w:r>
          </w:p>
        </w:tc>
        <w:tc>
          <w:tcPr>
            <w:tcW w:w="1014" w:type="dxa"/>
            <w:noWrap/>
            <w:vAlign w:val="center"/>
          </w:tcPr>
          <w:p w14:paraId="5112B2B3"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0</w:t>
            </w:r>
          </w:p>
        </w:tc>
        <w:tc>
          <w:tcPr>
            <w:tcW w:w="807" w:type="dxa"/>
            <w:noWrap/>
            <w:vAlign w:val="center"/>
          </w:tcPr>
          <w:p w14:paraId="555E560B"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0</w:t>
            </w:r>
          </w:p>
        </w:tc>
        <w:tc>
          <w:tcPr>
            <w:tcW w:w="1002" w:type="dxa"/>
            <w:noWrap/>
            <w:vAlign w:val="center"/>
          </w:tcPr>
          <w:p w14:paraId="1F17B5BF"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0</w:t>
            </w:r>
          </w:p>
        </w:tc>
        <w:tc>
          <w:tcPr>
            <w:tcW w:w="1014" w:type="dxa"/>
            <w:noWrap/>
            <w:vAlign w:val="center"/>
          </w:tcPr>
          <w:p w14:paraId="6BA41A61"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0</w:t>
            </w:r>
          </w:p>
        </w:tc>
        <w:tc>
          <w:tcPr>
            <w:tcW w:w="1103" w:type="dxa"/>
            <w:noWrap/>
            <w:vAlign w:val="center"/>
          </w:tcPr>
          <w:p w14:paraId="1194EBB5" w14:textId="77777777" w:rsidR="004E7542" w:rsidRPr="00840FDA" w:rsidRDefault="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cs="Calibri"/>
                <w:color w:val="000000"/>
                <w:sz w:val="22"/>
                <w:szCs w:val="22"/>
              </w:rPr>
              <w:t>0</w:t>
            </w:r>
          </w:p>
        </w:tc>
      </w:tr>
      <w:tr w:rsidR="004E7542" w:rsidRPr="00840FDA" w14:paraId="6B7BC748" w14:textId="77777777" w:rsidTr="008A25D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noWrap/>
            <w:vAlign w:val="center"/>
          </w:tcPr>
          <w:p w14:paraId="79FF686D" w14:textId="77777777" w:rsidR="004E7542" w:rsidRPr="003319C9" w:rsidRDefault="004E7542">
            <w:pPr>
              <w:rPr>
                <w:rFonts w:ascii="Calibri" w:hAnsi="Calibri" w:cs="Calibri"/>
                <w:color w:val="auto"/>
                <w:sz w:val="22"/>
                <w:szCs w:val="22"/>
              </w:rPr>
            </w:pPr>
            <w:bookmarkStart w:id="116" w:name="RowTitle_FPMI"/>
            <w:r w:rsidRPr="003319C9">
              <w:rPr>
                <w:rFonts w:ascii="Calibri" w:hAnsi="Calibri" w:cs="Calibri"/>
                <w:i/>
                <w:color w:val="auto"/>
                <w:sz w:val="22"/>
                <w:szCs w:val="22"/>
              </w:rPr>
              <w:t xml:space="preserve">Forum Pendidikan Madrasah </w:t>
            </w:r>
            <w:proofErr w:type="spellStart"/>
            <w:r w:rsidRPr="003319C9">
              <w:rPr>
                <w:rFonts w:ascii="Calibri" w:hAnsi="Calibri" w:cs="Calibri"/>
                <w:i/>
                <w:color w:val="auto"/>
                <w:sz w:val="22"/>
                <w:szCs w:val="22"/>
              </w:rPr>
              <w:t>Inklusif</w:t>
            </w:r>
            <w:proofErr w:type="spellEnd"/>
            <w:r w:rsidRPr="003319C9">
              <w:rPr>
                <w:rFonts w:ascii="Calibri" w:hAnsi="Calibri" w:cs="Calibri"/>
                <w:color w:val="auto"/>
                <w:sz w:val="22"/>
                <w:szCs w:val="22"/>
              </w:rPr>
              <w:t xml:space="preserve"> (FPMI)</w:t>
            </w:r>
            <w:bookmarkEnd w:id="116"/>
          </w:p>
        </w:tc>
        <w:tc>
          <w:tcPr>
            <w:tcW w:w="992" w:type="dxa"/>
            <w:noWrap/>
            <w:vAlign w:val="center"/>
          </w:tcPr>
          <w:p w14:paraId="56560C1E" w14:textId="77777777" w:rsidR="004E7542"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w:t>
            </w:r>
          </w:p>
        </w:tc>
        <w:tc>
          <w:tcPr>
            <w:tcW w:w="1134" w:type="dxa"/>
            <w:noWrap/>
            <w:vAlign w:val="center"/>
          </w:tcPr>
          <w:p w14:paraId="3E1BB1BE" w14:textId="77777777" w:rsidR="004E7542"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c>
          <w:tcPr>
            <w:tcW w:w="1014" w:type="dxa"/>
            <w:noWrap/>
            <w:vAlign w:val="center"/>
          </w:tcPr>
          <w:p w14:paraId="477E8D81" w14:textId="77777777" w:rsidR="004E7542"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014" w:type="dxa"/>
            <w:noWrap/>
            <w:vAlign w:val="center"/>
          </w:tcPr>
          <w:p w14:paraId="5D0772A4" w14:textId="77777777" w:rsidR="004E7542"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807" w:type="dxa"/>
            <w:noWrap/>
            <w:vAlign w:val="center"/>
          </w:tcPr>
          <w:p w14:paraId="01C5E32F" w14:textId="77777777" w:rsidR="004E7542"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002" w:type="dxa"/>
            <w:noWrap/>
            <w:vAlign w:val="center"/>
          </w:tcPr>
          <w:p w14:paraId="1FA9413E" w14:textId="77777777" w:rsidR="004E7542"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014" w:type="dxa"/>
            <w:noWrap/>
            <w:vAlign w:val="center"/>
          </w:tcPr>
          <w:p w14:paraId="3B389FB9" w14:textId="77777777" w:rsidR="004E7542"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1103" w:type="dxa"/>
            <w:noWrap/>
            <w:vAlign w:val="center"/>
          </w:tcPr>
          <w:p w14:paraId="06544F88" w14:textId="77777777" w:rsidR="004E7542" w:rsidRDefault="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r>
    </w:tbl>
    <w:p w14:paraId="1C8DA6C0" w14:textId="77777777" w:rsidR="00E52A65" w:rsidRPr="004E7542" w:rsidRDefault="00E52A65" w:rsidP="004E7542">
      <w:pPr>
        <w:rPr>
          <w:rFonts w:asciiTheme="minorHAnsi" w:hAnsiTheme="minorHAnsi" w:cstheme="minorHAnsi"/>
          <w:b/>
          <w:bCs/>
          <w:sz w:val="22"/>
          <w:szCs w:val="22"/>
        </w:rPr>
      </w:pPr>
    </w:p>
    <w:p w14:paraId="601BE6AF" w14:textId="4587060B" w:rsidR="004E7542" w:rsidRPr="004E7542" w:rsidRDefault="004E7542" w:rsidP="004E7542">
      <w:pPr>
        <w:rPr>
          <w:rFonts w:asciiTheme="minorHAnsi" w:hAnsiTheme="minorHAnsi" w:cstheme="minorHAnsi"/>
          <w:b/>
          <w:bCs/>
          <w:sz w:val="22"/>
          <w:szCs w:val="22"/>
        </w:rPr>
      </w:pPr>
      <w:r w:rsidRPr="004E7542">
        <w:rPr>
          <w:rFonts w:asciiTheme="minorHAnsi" w:hAnsiTheme="minorHAnsi" w:cstheme="minorHAnsi"/>
          <w:b/>
          <w:bCs/>
          <w:sz w:val="22"/>
          <w:szCs w:val="22"/>
        </w:rPr>
        <w:t>Table 2: OPD</w:t>
      </w:r>
    </w:p>
    <w:tbl>
      <w:tblPr>
        <w:tblStyle w:val="GridTable5Dark-Accent1"/>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2"/>
        <w:gridCol w:w="1134"/>
        <w:gridCol w:w="1046"/>
        <w:gridCol w:w="1046"/>
        <w:gridCol w:w="819"/>
        <w:gridCol w:w="1018"/>
        <w:gridCol w:w="1046"/>
        <w:gridCol w:w="1103"/>
      </w:tblGrid>
      <w:tr w:rsidR="004B2812" w14:paraId="248093AC" w14:textId="77777777" w:rsidTr="00393078">
        <w:trPr>
          <w:cnfStyle w:val="100000000000" w:firstRow="1" w:lastRow="0" w:firstColumn="0" w:lastColumn="0" w:oddVBand="0" w:evenVBand="0" w:oddHBand="0" w:evenHBand="0" w:firstRowFirstColumn="0" w:firstRowLastColumn="0" w:lastRowFirstColumn="0" w:lastRowLastColumn="0"/>
          <w:trHeight w:val="1733"/>
          <w:tblHeader/>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right w:val="none" w:sz="0" w:space="0" w:color="auto"/>
            </w:tcBorders>
            <w:hideMark/>
          </w:tcPr>
          <w:p w14:paraId="296DBDF6" w14:textId="77777777" w:rsidR="004E7542" w:rsidRPr="00646D31" w:rsidRDefault="004E7542">
            <w:pPr>
              <w:jc w:val="center"/>
              <w:rPr>
                <w:rFonts w:ascii="Calibri" w:hAnsi="Calibri" w:cs="Calibri"/>
                <w:color w:val="auto"/>
                <w:sz w:val="22"/>
                <w:szCs w:val="22"/>
                <w:lang w:eastAsia="en-AU"/>
              </w:rPr>
            </w:pPr>
            <w:bookmarkStart w:id="117" w:name="Title_Institutions2"/>
            <w:bookmarkStart w:id="118" w:name="ColumnTitle_ChildMale2" w:colFirst="5" w:colLast="5"/>
            <w:r w:rsidRPr="00646D31">
              <w:rPr>
                <w:rFonts w:ascii="Calibri" w:hAnsi="Calibri" w:cs="Calibri"/>
                <w:color w:val="auto"/>
                <w:sz w:val="22"/>
                <w:szCs w:val="22"/>
              </w:rPr>
              <w:t>Institutions/Expert</w:t>
            </w:r>
            <w:bookmarkEnd w:id="117"/>
          </w:p>
        </w:tc>
        <w:tc>
          <w:tcPr>
            <w:tcW w:w="992" w:type="dxa"/>
            <w:tcBorders>
              <w:top w:val="none" w:sz="0" w:space="0" w:color="auto"/>
              <w:left w:val="none" w:sz="0" w:space="0" w:color="auto"/>
              <w:right w:val="none" w:sz="0" w:space="0" w:color="auto"/>
            </w:tcBorders>
            <w:hideMark/>
          </w:tcPr>
          <w:p w14:paraId="721D5FE7" w14:textId="77777777" w:rsidR="004E7542" w:rsidRPr="00646D31"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19" w:name="ColumnTitle_AdultMale2"/>
            <w:r w:rsidRPr="00646D31">
              <w:rPr>
                <w:rFonts w:ascii="Calibri" w:hAnsi="Calibri" w:cs="Calibri"/>
                <w:color w:val="auto"/>
                <w:sz w:val="22"/>
                <w:szCs w:val="22"/>
              </w:rPr>
              <w:t>Adult (Male)</w:t>
            </w:r>
            <w:bookmarkEnd w:id="119"/>
          </w:p>
        </w:tc>
        <w:tc>
          <w:tcPr>
            <w:tcW w:w="1134" w:type="dxa"/>
            <w:tcBorders>
              <w:top w:val="none" w:sz="0" w:space="0" w:color="auto"/>
              <w:left w:val="none" w:sz="0" w:space="0" w:color="auto"/>
              <w:right w:val="none" w:sz="0" w:space="0" w:color="auto"/>
            </w:tcBorders>
            <w:hideMark/>
          </w:tcPr>
          <w:p w14:paraId="6BF52371" w14:textId="77777777" w:rsidR="004E7542" w:rsidRPr="00646D31"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20" w:name="ColumnTitle_AdultFemale2"/>
            <w:r w:rsidRPr="00646D31">
              <w:rPr>
                <w:rFonts w:ascii="Calibri" w:hAnsi="Calibri" w:cs="Calibri"/>
                <w:color w:val="auto"/>
                <w:sz w:val="22"/>
                <w:szCs w:val="22"/>
              </w:rPr>
              <w:t>Adult (Female)</w:t>
            </w:r>
            <w:bookmarkEnd w:id="120"/>
          </w:p>
        </w:tc>
        <w:tc>
          <w:tcPr>
            <w:tcW w:w="1046" w:type="dxa"/>
            <w:tcBorders>
              <w:top w:val="none" w:sz="0" w:space="0" w:color="auto"/>
              <w:left w:val="none" w:sz="0" w:space="0" w:color="auto"/>
              <w:right w:val="none" w:sz="0" w:space="0" w:color="auto"/>
            </w:tcBorders>
            <w:hideMark/>
          </w:tcPr>
          <w:p w14:paraId="365D9013" w14:textId="77777777" w:rsidR="004E7542" w:rsidRPr="00646D31"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21" w:name="ColumnTitle_AdultPWDMale1"/>
            <w:r w:rsidRPr="00646D31">
              <w:rPr>
                <w:rFonts w:ascii="Calibri" w:hAnsi="Calibri" w:cs="Calibri"/>
                <w:color w:val="auto"/>
                <w:sz w:val="22"/>
                <w:szCs w:val="22"/>
              </w:rPr>
              <w:t>Adult Person with disability (Male)</w:t>
            </w:r>
            <w:bookmarkEnd w:id="121"/>
          </w:p>
        </w:tc>
        <w:tc>
          <w:tcPr>
            <w:tcW w:w="1046" w:type="dxa"/>
            <w:tcBorders>
              <w:top w:val="none" w:sz="0" w:space="0" w:color="auto"/>
              <w:left w:val="none" w:sz="0" w:space="0" w:color="auto"/>
              <w:right w:val="none" w:sz="0" w:space="0" w:color="auto"/>
            </w:tcBorders>
            <w:hideMark/>
          </w:tcPr>
          <w:p w14:paraId="3E6D03A4" w14:textId="77777777" w:rsidR="004E7542" w:rsidRPr="00646D31"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22" w:name="ColumnTitle_AdultWDFemale2"/>
            <w:r w:rsidRPr="00646D31">
              <w:rPr>
                <w:rFonts w:ascii="Calibri" w:hAnsi="Calibri" w:cs="Calibri"/>
                <w:color w:val="auto"/>
                <w:sz w:val="22"/>
                <w:szCs w:val="22"/>
              </w:rPr>
              <w:t>Adult Person with disability (Female)</w:t>
            </w:r>
            <w:bookmarkEnd w:id="122"/>
          </w:p>
        </w:tc>
        <w:tc>
          <w:tcPr>
            <w:tcW w:w="819" w:type="dxa"/>
            <w:tcBorders>
              <w:top w:val="none" w:sz="0" w:space="0" w:color="auto"/>
              <w:left w:val="none" w:sz="0" w:space="0" w:color="auto"/>
              <w:right w:val="none" w:sz="0" w:space="0" w:color="auto"/>
            </w:tcBorders>
            <w:hideMark/>
          </w:tcPr>
          <w:p w14:paraId="77318324" w14:textId="77777777" w:rsidR="004E7542" w:rsidRPr="00646D31"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646D31">
              <w:rPr>
                <w:rFonts w:ascii="Calibri" w:hAnsi="Calibri" w:cs="Calibri"/>
                <w:color w:val="auto"/>
                <w:sz w:val="22"/>
                <w:szCs w:val="22"/>
              </w:rPr>
              <w:t>Child (Male)</w:t>
            </w:r>
          </w:p>
        </w:tc>
        <w:tc>
          <w:tcPr>
            <w:tcW w:w="1018" w:type="dxa"/>
            <w:tcBorders>
              <w:top w:val="none" w:sz="0" w:space="0" w:color="auto"/>
              <w:left w:val="none" w:sz="0" w:space="0" w:color="auto"/>
              <w:right w:val="none" w:sz="0" w:space="0" w:color="auto"/>
            </w:tcBorders>
            <w:hideMark/>
          </w:tcPr>
          <w:p w14:paraId="4180F0BE" w14:textId="77777777" w:rsidR="004E7542" w:rsidRPr="00646D31"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23" w:name="ColumnTitle_ChildFemale2"/>
            <w:r w:rsidRPr="00646D31">
              <w:rPr>
                <w:rFonts w:ascii="Calibri" w:hAnsi="Calibri" w:cs="Calibri"/>
                <w:color w:val="auto"/>
                <w:sz w:val="22"/>
                <w:szCs w:val="22"/>
              </w:rPr>
              <w:t>Child (Female)</w:t>
            </w:r>
            <w:bookmarkEnd w:id="123"/>
          </w:p>
        </w:tc>
        <w:tc>
          <w:tcPr>
            <w:tcW w:w="1046" w:type="dxa"/>
            <w:tcBorders>
              <w:top w:val="none" w:sz="0" w:space="0" w:color="auto"/>
              <w:left w:val="none" w:sz="0" w:space="0" w:color="auto"/>
              <w:right w:val="none" w:sz="0" w:space="0" w:color="auto"/>
            </w:tcBorders>
            <w:hideMark/>
          </w:tcPr>
          <w:p w14:paraId="0AA07BD3" w14:textId="77777777" w:rsidR="004E7542" w:rsidRPr="00646D31"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24" w:name="ColumnTitle_CWDMale2"/>
            <w:r w:rsidRPr="00646D31">
              <w:rPr>
                <w:rFonts w:ascii="Calibri" w:hAnsi="Calibri" w:cs="Calibri"/>
                <w:color w:val="auto"/>
                <w:sz w:val="22"/>
                <w:szCs w:val="22"/>
              </w:rPr>
              <w:t>Child with disability (Male)</w:t>
            </w:r>
            <w:bookmarkEnd w:id="124"/>
          </w:p>
        </w:tc>
        <w:tc>
          <w:tcPr>
            <w:tcW w:w="1103" w:type="dxa"/>
            <w:tcBorders>
              <w:top w:val="none" w:sz="0" w:space="0" w:color="auto"/>
              <w:left w:val="none" w:sz="0" w:space="0" w:color="auto"/>
              <w:right w:val="none" w:sz="0" w:space="0" w:color="auto"/>
            </w:tcBorders>
            <w:hideMark/>
          </w:tcPr>
          <w:p w14:paraId="49BAF61D" w14:textId="77777777" w:rsidR="004E7542" w:rsidRPr="00646D31"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25" w:name="ColumnTitle_CWDFemale2"/>
            <w:r w:rsidRPr="00646D31">
              <w:rPr>
                <w:rFonts w:ascii="Calibri" w:hAnsi="Calibri" w:cs="Calibri"/>
                <w:color w:val="auto"/>
                <w:sz w:val="22"/>
                <w:szCs w:val="22"/>
              </w:rPr>
              <w:t>Child with disability (Female)</w:t>
            </w:r>
            <w:bookmarkEnd w:id="125"/>
          </w:p>
        </w:tc>
      </w:tr>
      <w:tr w:rsidR="0085029C" w14:paraId="3DADABC3" w14:textId="77777777" w:rsidTr="008A25D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vAlign w:val="bottom"/>
          </w:tcPr>
          <w:p w14:paraId="73ADFEDB" w14:textId="028AA338" w:rsidR="004E7542" w:rsidRPr="00646D31" w:rsidRDefault="004E7542" w:rsidP="004E7542">
            <w:pPr>
              <w:rPr>
                <w:rFonts w:ascii="Calibri" w:hAnsi="Calibri" w:cs="Calibri"/>
                <w:color w:val="auto"/>
                <w:sz w:val="22"/>
                <w:szCs w:val="22"/>
              </w:rPr>
            </w:pPr>
            <w:bookmarkStart w:id="126" w:name="RowTitle_PPDI"/>
            <w:bookmarkEnd w:id="118"/>
            <w:proofErr w:type="spellStart"/>
            <w:r w:rsidRPr="00646D31">
              <w:rPr>
                <w:rFonts w:asciiTheme="minorHAnsi" w:hAnsiTheme="minorHAnsi" w:cstheme="minorHAnsi"/>
                <w:i/>
                <w:color w:val="auto"/>
                <w:sz w:val="22"/>
                <w:szCs w:val="22"/>
              </w:rPr>
              <w:t>Perkumpulan</w:t>
            </w:r>
            <w:proofErr w:type="spellEnd"/>
            <w:r w:rsidRPr="00646D31">
              <w:rPr>
                <w:rFonts w:asciiTheme="minorHAnsi" w:hAnsiTheme="minorHAnsi" w:cstheme="minorHAnsi"/>
                <w:i/>
                <w:color w:val="auto"/>
                <w:sz w:val="22"/>
                <w:szCs w:val="22"/>
              </w:rPr>
              <w:t xml:space="preserve"> </w:t>
            </w:r>
            <w:proofErr w:type="spellStart"/>
            <w:r w:rsidRPr="00646D31">
              <w:rPr>
                <w:rFonts w:asciiTheme="minorHAnsi" w:hAnsiTheme="minorHAnsi" w:cstheme="minorHAnsi"/>
                <w:i/>
                <w:color w:val="auto"/>
                <w:sz w:val="22"/>
                <w:szCs w:val="22"/>
              </w:rPr>
              <w:t>Penyandang</w:t>
            </w:r>
            <w:proofErr w:type="spellEnd"/>
            <w:r w:rsidRPr="00646D31">
              <w:rPr>
                <w:rFonts w:asciiTheme="minorHAnsi" w:hAnsiTheme="minorHAnsi" w:cstheme="minorHAnsi"/>
                <w:i/>
                <w:color w:val="auto"/>
                <w:sz w:val="22"/>
                <w:szCs w:val="22"/>
              </w:rPr>
              <w:t xml:space="preserve"> </w:t>
            </w:r>
            <w:proofErr w:type="spellStart"/>
            <w:r w:rsidRPr="00646D31">
              <w:rPr>
                <w:rFonts w:asciiTheme="minorHAnsi" w:hAnsiTheme="minorHAnsi" w:cstheme="minorHAnsi"/>
                <w:i/>
                <w:color w:val="auto"/>
                <w:sz w:val="22"/>
                <w:szCs w:val="22"/>
              </w:rPr>
              <w:t>Disabilitas</w:t>
            </w:r>
            <w:proofErr w:type="spellEnd"/>
            <w:r w:rsidRPr="00646D31">
              <w:rPr>
                <w:rFonts w:asciiTheme="minorHAnsi" w:hAnsiTheme="minorHAnsi" w:cstheme="minorHAnsi"/>
                <w:i/>
                <w:color w:val="auto"/>
                <w:sz w:val="22"/>
                <w:szCs w:val="22"/>
              </w:rPr>
              <w:t xml:space="preserve"> Indonesia</w:t>
            </w:r>
            <w:r w:rsidRPr="00646D31">
              <w:rPr>
                <w:rFonts w:asciiTheme="minorHAnsi" w:hAnsiTheme="minorHAnsi" w:cstheme="minorHAnsi"/>
                <w:color w:val="auto"/>
                <w:sz w:val="22"/>
                <w:szCs w:val="22"/>
              </w:rPr>
              <w:t xml:space="preserve"> (PPDI)</w:t>
            </w:r>
            <w:bookmarkEnd w:id="126"/>
          </w:p>
        </w:tc>
        <w:tc>
          <w:tcPr>
            <w:tcW w:w="992" w:type="dxa"/>
            <w:noWrap/>
            <w:vAlign w:val="center"/>
          </w:tcPr>
          <w:p w14:paraId="7516FB6F" w14:textId="6B6A5EAB" w:rsidR="004E7542" w:rsidRPr="00840FDA" w:rsidRDefault="003319C9"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p>
        </w:tc>
        <w:tc>
          <w:tcPr>
            <w:tcW w:w="1134" w:type="dxa"/>
            <w:noWrap/>
            <w:vAlign w:val="center"/>
          </w:tcPr>
          <w:p w14:paraId="0DB8D67A" w14:textId="6ABEAD12" w:rsidR="004E7542" w:rsidRPr="00840FDA" w:rsidRDefault="003319C9"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vAlign w:val="center"/>
          </w:tcPr>
          <w:p w14:paraId="0708B142" w14:textId="6081DDF7"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1</w:t>
            </w:r>
          </w:p>
        </w:tc>
        <w:tc>
          <w:tcPr>
            <w:tcW w:w="1046" w:type="dxa"/>
            <w:noWrap/>
            <w:vAlign w:val="center"/>
          </w:tcPr>
          <w:p w14:paraId="7384E786" w14:textId="79B154B8" w:rsidR="004E7542" w:rsidRPr="00840FDA" w:rsidRDefault="0074451C"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p>
        </w:tc>
        <w:tc>
          <w:tcPr>
            <w:tcW w:w="819" w:type="dxa"/>
            <w:noWrap/>
            <w:vAlign w:val="center"/>
          </w:tcPr>
          <w:p w14:paraId="4CB2E282" w14:textId="30027B8F" w:rsidR="004E7542" w:rsidRPr="00840FDA" w:rsidRDefault="003319C9"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p>
        </w:tc>
        <w:tc>
          <w:tcPr>
            <w:tcW w:w="1018" w:type="dxa"/>
            <w:noWrap/>
            <w:vAlign w:val="center"/>
          </w:tcPr>
          <w:p w14:paraId="05A8858C" w14:textId="6A4AE5A1" w:rsidR="004E7542" w:rsidRPr="00840FDA" w:rsidRDefault="003319C9"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p>
        </w:tc>
        <w:tc>
          <w:tcPr>
            <w:tcW w:w="1046" w:type="dxa"/>
            <w:noWrap/>
            <w:vAlign w:val="center"/>
          </w:tcPr>
          <w:p w14:paraId="2D180A0D" w14:textId="565832AB" w:rsidR="004E7542" w:rsidRPr="00840FDA" w:rsidRDefault="003319C9"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p>
        </w:tc>
        <w:tc>
          <w:tcPr>
            <w:tcW w:w="1103" w:type="dxa"/>
            <w:noWrap/>
            <w:vAlign w:val="center"/>
          </w:tcPr>
          <w:p w14:paraId="0E46656C" w14:textId="109CBA84" w:rsidR="004E7542" w:rsidRPr="00840FDA" w:rsidRDefault="003319C9"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p>
        </w:tc>
      </w:tr>
      <w:tr w:rsidR="0085029C" w14:paraId="51162BDC" w14:textId="77777777" w:rsidTr="008A25DD">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vAlign w:val="bottom"/>
          </w:tcPr>
          <w:p w14:paraId="4AA33546" w14:textId="07E6D1AF" w:rsidR="004E7542" w:rsidRPr="00646D31" w:rsidRDefault="004E7542" w:rsidP="004E7542">
            <w:pPr>
              <w:rPr>
                <w:rFonts w:ascii="Calibri" w:hAnsi="Calibri" w:cs="Calibri"/>
                <w:color w:val="auto"/>
                <w:sz w:val="22"/>
                <w:szCs w:val="22"/>
              </w:rPr>
            </w:pPr>
            <w:bookmarkStart w:id="127" w:name="RowTitle_HWDI"/>
            <w:proofErr w:type="spellStart"/>
            <w:r w:rsidRPr="00646D31">
              <w:rPr>
                <w:rFonts w:asciiTheme="minorHAnsi" w:hAnsiTheme="minorHAnsi" w:cstheme="minorHAnsi"/>
                <w:i/>
                <w:color w:val="auto"/>
                <w:sz w:val="22"/>
                <w:szCs w:val="22"/>
              </w:rPr>
              <w:t>Himpunan</w:t>
            </w:r>
            <w:proofErr w:type="spellEnd"/>
            <w:r w:rsidRPr="00646D31">
              <w:rPr>
                <w:rFonts w:asciiTheme="minorHAnsi" w:hAnsiTheme="minorHAnsi" w:cstheme="minorHAnsi"/>
                <w:i/>
                <w:color w:val="auto"/>
                <w:sz w:val="22"/>
                <w:szCs w:val="22"/>
              </w:rPr>
              <w:t xml:space="preserve"> Wanita </w:t>
            </w:r>
            <w:proofErr w:type="spellStart"/>
            <w:r w:rsidRPr="00646D31">
              <w:rPr>
                <w:rFonts w:asciiTheme="minorHAnsi" w:hAnsiTheme="minorHAnsi" w:cstheme="minorHAnsi"/>
                <w:i/>
                <w:color w:val="auto"/>
                <w:sz w:val="22"/>
                <w:szCs w:val="22"/>
              </w:rPr>
              <w:t>Disabilitas</w:t>
            </w:r>
            <w:proofErr w:type="spellEnd"/>
            <w:r w:rsidRPr="00646D31">
              <w:rPr>
                <w:rFonts w:asciiTheme="minorHAnsi" w:hAnsiTheme="minorHAnsi" w:cstheme="minorHAnsi"/>
                <w:i/>
                <w:color w:val="auto"/>
                <w:sz w:val="22"/>
                <w:szCs w:val="22"/>
              </w:rPr>
              <w:t xml:space="preserve"> Indonesia</w:t>
            </w:r>
            <w:r w:rsidRPr="00646D31">
              <w:rPr>
                <w:rFonts w:asciiTheme="minorHAnsi" w:hAnsiTheme="minorHAnsi" w:cstheme="minorHAnsi"/>
                <w:color w:val="auto"/>
                <w:sz w:val="22"/>
                <w:szCs w:val="22"/>
              </w:rPr>
              <w:t xml:space="preserve"> (HWDI)</w:t>
            </w:r>
            <w:bookmarkEnd w:id="127"/>
          </w:p>
        </w:tc>
        <w:tc>
          <w:tcPr>
            <w:tcW w:w="992" w:type="dxa"/>
            <w:noWrap/>
            <w:vAlign w:val="center"/>
          </w:tcPr>
          <w:p w14:paraId="723FABAC" w14:textId="3D1311AF" w:rsidR="004E7542" w:rsidRPr="00840FDA"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 </w:t>
            </w:r>
            <w:r w:rsidR="003319C9">
              <w:rPr>
                <w:rFonts w:asciiTheme="minorHAnsi" w:hAnsiTheme="minorHAnsi" w:cstheme="minorHAnsi"/>
                <w:sz w:val="22"/>
                <w:szCs w:val="22"/>
              </w:rPr>
              <w:t>0</w:t>
            </w:r>
          </w:p>
        </w:tc>
        <w:tc>
          <w:tcPr>
            <w:tcW w:w="1134" w:type="dxa"/>
            <w:noWrap/>
            <w:vAlign w:val="center"/>
          </w:tcPr>
          <w:p w14:paraId="0FA9DF3F" w14:textId="1B869EFE" w:rsidR="004E7542" w:rsidRPr="00840FDA"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 </w:t>
            </w:r>
            <w:r w:rsidR="003319C9">
              <w:rPr>
                <w:rFonts w:asciiTheme="minorHAnsi" w:hAnsiTheme="minorHAnsi" w:cstheme="minorHAnsi"/>
                <w:sz w:val="22"/>
                <w:szCs w:val="22"/>
              </w:rPr>
              <w:t>0</w:t>
            </w:r>
          </w:p>
        </w:tc>
        <w:tc>
          <w:tcPr>
            <w:tcW w:w="1046" w:type="dxa"/>
            <w:noWrap/>
            <w:vAlign w:val="center"/>
          </w:tcPr>
          <w:p w14:paraId="02E62DCF" w14:textId="36A0ED57" w:rsidR="004E7542" w:rsidRPr="00840FDA"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 </w:t>
            </w:r>
            <w:r w:rsidR="003319C9">
              <w:rPr>
                <w:rFonts w:asciiTheme="minorHAnsi" w:hAnsiTheme="minorHAnsi" w:cstheme="minorHAnsi"/>
                <w:sz w:val="22"/>
                <w:szCs w:val="22"/>
              </w:rPr>
              <w:t>0</w:t>
            </w:r>
          </w:p>
        </w:tc>
        <w:tc>
          <w:tcPr>
            <w:tcW w:w="1046" w:type="dxa"/>
            <w:noWrap/>
            <w:vAlign w:val="center"/>
          </w:tcPr>
          <w:p w14:paraId="53782156" w14:textId="68380A52" w:rsidR="004E7542" w:rsidRPr="00840FDA"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1</w:t>
            </w:r>
          </w:p>
        </w:tc>
        <w:tc>
          <w:tcPr>
            <w:tcW w:w="819" w:type="dxa"/>
            <w:noWrap/>
            <w:vAlign w:val="center"/>
          </w:tcPr>
          <w:p w14:paraId="42A3B07E" w14:textId="738EB30F" w:rsidR="004E7542" w:rsidRPr="00840FDA" w:rsidRDefault="003319C9"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p>
        </w:tc>
        <w:tc>
          <w:tcPr>
            <w:tcW w:w="1018" w:type="dxa"/>
            <w:noWrap/>
            <w:vAlign w:val="center"/>
          </w:tcPr>
          <w:p w14:paraId="1CB6B0DC" w14:textId="0ED142EF" w:rsidR="004E7542" w:rsidRPr="00840FDA" w:rsidRDefault="003319C9"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p>
        </w:tc>
        <w:tc>
          <w:tcPr>
            <w:tcW w:w="1046" w:type="dxa"/>
            <w:noWrap/>
            <w:vAlign w:val="center"/>
          </w:tcPr>
          <w:p w14:paraId="27ABAEA8" w14:textId="0B71873B" w:rsidR="004E7542" w:rsidRPr="00840FDA" w:rsidRDefault="003319C9"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p>
        </w:tc>
        <w:tc>
          <w:tcPr>
            <w:tcW w:w="1103" w:type="dxa"/>
            <w:noWrap/>
            <w:vAlign w:val="center"/>
          </w:tcPr>
          <w:p w14:paraId="0058287E" w14:textId="20281750" w:rsidR="004E7542" w:rsidRPr="00840FDA" w:rsidRDefault="003319C9"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p>
        </w:tc>
      </w:tr>
      <w:tr w:rsidR="0085029C" w14:paraId="4A88995C" w14:textId="77777777" w:rsidTr="008A25D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vAlign w:val="bottom"/>
          </w:tcPr>
          <w:p w14:paraId="5A9D78B4" w14:textId="4CA86238" w:rsidR="004E7542" w:rsidRPr="00646D31" w:rsidRDefault="004E7542" w:rsidP="004E7542">
            <w:pPr>
              <w:rPr>
                <w:rFonts w:asciiTheme="minorHAnsi" w:hAnsiTheme="minorHAnsi" w:cstheme="minorHAnsi"/>
                <w:color w:val="auto"/>
                <w:sz w:val="22"/>
                <w:szCs w:val="22"/>
              </w:rPr>
            </w:pPr>
            <w:bookmarkStart w:id="128" w:name="RowTitle_APOI"/>
            <w:proofErr w:type="spellStart"/>
            <w:r w:rsidRPr="00646D31">
              <w:rPr>
                <w:rFonts w:asciiTheme="minorHAnsi" w:hAnsiTheme="minorHAnsi" w:cstheme="minorHAnsi"/>
                <w:i/>
                <w:color w:val="auto"/>
                <w:sz w:val="22"/>
                <w:szCs w:val="22"/>
              </w:rPr>
              <w:t>Asosiasi</w:t>
            </w:r>
            <w:proofErr w:type="spellEnd"/>
            <w:r w:rsidRPr="00646D31">
              <w:rPr>
                <w:rFonts w:asciiTheme="minorHAnsi" w:hAnsiTheme="minorHAnsi" w:cstheme="minorHAnsi"/>
                <w:i/>
                <w:color w:val="auto"/>
                <w:sz w:val="22"/>
                <w:szCs w:val="22"/>
              </w:rPr>
              <w:t xml:space="preserve"> </w:t>
            </w:r>
            <w:proofErr w:type="spellStart"/>
            <w:r w:rsidRPr="00646D31">
              <w:rPr>
                <w:rFonts w:asciiTheme="minorHAnsi" w:hAnsiTheme="minorHAnsi" w:cstheme="minorHAnsi"/>
                <w:i/>
                <w:color w:val="auto"/>
                <w:sz w:val="22"/>
                <w:szCs w:val="22"/>
              </w:rPr>
              <w:t>Profesi</w:t>
            </w:r>
            <w:proofErr w:type="spellEnd"/>
            <w:r w:rsidRPr="00646D31">
              <w:rPr>
                <w:rFonts w:asciiTheme="minorHAnsi" w:hAnsiTheme="minorHAnsi" w:cstheme="minorHAnsi"/>
                <w:i/>
                <w:color w:val="auto"/>
                <w:sz w:val="22"/>
                <w:szCs w:val="22"/>
              </w:rPr>
              <w:t xml:space="preserve"> </w:t>
            </w:r>
            <w:proofErr w:type="spellStart"/>
            <w:r w:rsidRPr="00646D31">
              <w:rPr>
                <w:rFonts w:asciiTheme="minorHAnsi" w:hAnsiTheme="minorHAnsi" w:cstheme="minorHAnsi"/>
                <w:i/>
                <w:color w:val="auto"/>
                <w:sz w:val="22"/>
                <w:szCs w:val="22"/>
              </w:rPr>
              <w:t>Ortopedagogik</w:t>
            </w:r>
            <w:proofErr w:type="spellEnd"/>
            <w:r w:rsidRPr="00646D31">
              <w:rPr>
                <w:rFonts w:asciiTheme="minorHAnsi" w:hAnsiTheme="minorHAnsi" w:cstheme="minorHAnsi"/>
                <w:i/>
                <w:color w:val="auto"/>
                <w:sz w:val="22"/>
                <w:szCs w:val="22"/>
              </w:rPr>
              <w:t xml:space="preserve"> Indonesia</w:t>
            </w:r>
            <w:r w:rsidRPr="00646D31">
              <w:rPr>
                <w:rFonts w:asciiTheme="minorHAnsi" w:hAnsiTheme="minorHAnsi" w:cstheme="minorHAnsi"/>
                <w:color w:val="auto"/>
                <w:sz w:val="22"/>
                <w:szCs w:val="22"/>
              </w:rPr>
              <w:t xml:space="preserve"> (APOI)</w:t>
            </w:r>
            <w:bookmarkEnd w:id="128"/>
          </w:p>
        </w:tc>
        <w:tc>
          <w:tcPr>
            <w:tcW w:w="992" w:type="dxa"/>
            <w:noWrap/>
            <w:vAlign w:val="center"/>
          </w:tcPr>
          <w:p w14:paraId="662C7B30" w14:textId="3F6CC3A3"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134" w:type="dxa"/>
            <w:noWrap/>
            <w:vAlign w:val="center"/>
          </w:tcPr>
          <w:p w14:paraId="537ECC8F" w14:textId="1D258FF6"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3319C9">
              <w:rPr>
                <w:rFonts w:asciiTheme="minorHAnsi" w:hAnsiTheme="minorHAnsi" w:cstheme="minorHAnsi"/>
                <w:sz w:val="22"/>
                <w:szCs w:val="22"/>
              </w:rPr>
              <w:t>0</w:t>
            </w:r>
          </w:p>
        </w:tc>
        <w:tc>
          <w:tcPr>
            <w:tcW w:w="1046" w:type="dxa"/>
            <w:noWrap/>
            <w:vAlign w:val="center"/>
          </w:tcPr>
          <w:p w14:paraId="427A67E9" w14:textId="24F8781E"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3319C9">
              <w:rPr>
                <w:rFonts w:asciiTheme="minorHAnsi" w:hAnsiTheme="minorHAnsi" w:cstheme="minorHAnsi"/>
                <w:sz w:val="22"/>
                <w:szCs w:val="22"/>
              </w:rPr>
              <w:t>0</w:t>
            </w:r>
          </w:p>
        </w:tc>
        <w:tc>
          <w:tcPr>
            <w:tcW w:w="1046" w:type="dxa"/>
            <w:noWrap/>
            <w:vAlign w:val="center"/>
          </w:tcPr>
          <w:p w14:paraId="6CF126F0" w14:textId="569F28D7"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3319C9">
              <w:rPr>
                <w:rFonts w:asciiTheme="minorHAnsi" w:hAnsiTheme="minorHAnsi" w:cstheme="minorHAnsi"/>
                <w:sz w:val="22"/>
                <w:szCs w:val="22"/>
              </w:rPr>
              <w:t>0</w:t>
            </w:r>
          </w:p>
        </w:tc>
        <w:tc>
          <w:tcPr>
            <w:tcW w:w="819" w:type="dxa"/>
            <w:noWrap/>
            <w:vAlign w:val="center"/>
          </w:tcPr>
          <w:p w14:paraId="7A6FC875" w14:textId="7FA6A451"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3319C9">
              <w:rPr>
                <w:rFonts w:asciiTheme="minorHAnsi" w:hAnsiTheme="minorHAnsi" w:cstheme="minorHAnsi"/>
                <w:sz w:val="22"/>
                <w:szCs w:val="22"/>
              </w:rPr>
              <w:t>0</w:t>
            </w:r>
          </w:p>
        </w:tc>
        <w:tc>
          <w:tcPr>
            <w:tcW w:w="1018" w:type="dxa"/>
            <w:noWrap/>
            <w:vAlign w:val="center"/>
          </w:tcPr>
          <w:p w14:paraId="2D6A39B3" w14:textId="37D3996F"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3319C9">
              <w:rPr>
                <w:rFonts w:asciiTheme="minorHAnsi" w:hAnsiTheme="minorHAnsi" w:cstheme="minorHAnsi"/>
                <w:sz w:val="22"/>
                <w:szCs w:val="22"/>
              </w:rPr>
              <w:t>0</w:t>
            </w:r>
          </w:p>
        </w:tc>
        <w:tc>
          <w:tcPr>
            <w:tcW w:w="1046" w:type="dxa"/>
            <w:noWrap/>
            <w:vAlign w:val="center"/>
          </w:tcPr>
          <w:p w14:paraId="5F3451FB" w14:textId="7702B923"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3319C9">
              <w:rPr>
                <w:rFonts w:asciiTheme="minorHAnsi" w:hAnsiTheme="minorHAnsi" w:cstheme="minorHAnsi"/>
                <w:sz w:val="22"/>
                <w:szCs w:val="22"/>
              </w:rPr>
              <w:t>0</w:t>
            </w:r>
          </w:p>
        </w:tc>
        <w:tc>
          <w:tcPr>
            <w:tcW w:w="1103" w:type="dxa"/>
            <w:noWrap/>
            <w:vAlign w:val="center"/>
          </w:tcPr>
          <w:p w14:paraId="7539EEBC" w14:textId="6A048D68"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3319C9">
              <w:rPr>
                <w:rFonts w:asciiTheme="minorHAnsi" w:hAnsiTheme="minorHAnsi" w:cstheme="minorHAnsi"/>
                <w:sz w:val="22"/>
                <w:szCs w:val="22"/>
              </w:rPr>
              <w:t>0</w:t>
            </w:r>
          </w:p>
        </w:tc>
      </w:tr>
      <w:tr w:rsidR="0085029C" w14:paraId="0D659338" w14:textId="77777777" w:rsidTr="008A25DD">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noWrap/>
            <w:vAlign w:val="bottom"/>
          </w:tcPr>
          <w:p w14:paraId="75702A06" w14:textId="38E1857D" w:rsidR="004E7542" w:rsidRPr="00646D31" w:rsidRDefault="004E7542" w:rsidP="004E7542">
            <w:pPr>
              <w:rPr>
                <w:rFonts w:asciiTheme="minorHAnsi" w:hAnsiTheme="minorHAnsi" w:cstheme="minorHAnsi"/>
                <w:i/>
                <w:color w:val="auto"/>
                <w:sz w:val="22"/>
                <w:szCs w:val="22"/>
              </w:rPr>
            </w:pPr>
            <w:bookmarkStart w:id="129" w:name="RowTitle_WII"/>
            <w:proofErr w:type="spellStart"/>
            <w:r w:rsidRPr="00646D31">
              <w:rPr>
                <w:rFonts w:asciiTheme="minorHAnsi" w:hAnsiTheme="minorHAnsi" w:cstheme="minorHAnsi"/>
                <w:i/>
                <w:color w:val="auto"/>
                <w:sz w:val="22"/>
                <w:szCs w:val="22"/>
              </w:rPr>
              <w:t>Wahana</w:t>
            </w:r>
            <w:proofErr w:type="spellEnd"/>
            <w:r w:rsidRPr="00646D31">
              <w:rPr>
                <w:rFonts w:asciiTheme="minorHAnsi" w:hAnsiTheme="minorHAnsi" w:cstheme="minorHAnsi"/>
                <w:i/>
                <w:color w:val="auto"/>
                <w:sz w:val="22"/>
                <w:szCs w:val="22"/>
              </w:rPr>
              <w:t xml:space="preserve"> </w:t>
            </w:r>
            <w:proofErr w:type="spellStart"/>
            <w:r w:rsidRPr="00646D31">
              <w:rPr>
                <w:rFonts w:asciiTheme="minorHAnsi" w:hAnsiTheme="minorHAnsi" w:cstheme="minorHAnsi"/>
                <w:i/>
                <w:color w:val="auto"/>
                <w:sz w:val="22"/>
                <w:szCs w:val="22"/>
              </w:rPr>
              <w:t>Inklusif</w:t>
            </w:r>
            <w:proofErr w:type="spellEnd"/>
            <w:r w:rsidRPr="00646D31">
              <w:rPr>
                <w:rFonts w:asciiTheme="minorHAnsi" w:hAnsiTheme="minorHAnsi" w:cstheme="minorHAnsi"/>
                <w:i/>
                <w:color w:val="auto"/>
                <w:sz w:val="22"/>
                <w:szCs w:val="22"/>
              </w:rPr>
              <w:t xml:space="preserve"> Indonesia</w:t>
            </w:r>
            <w:r w:rsidRPr="00646D31">
              <w:rPr>
                <w:rFonts w:asciiTheme="minorHAnsi" w:hAnsiTheme="minorHAnsi" w:cstheme="minorHAnsi"/>
                <w:color w:val="auto"/>
                <w:sz w:val="22"/>
                <w:szCs w:val="22"/>
              </w:rPr>
              <w:t xml:space="preserve"> (WII)</w:t>
            </w:r>
            <w:bookmarkEnd w:id="129"/>
          </w:p>
        </w:tc>
        <w:tc>
          <w:tcPr>
            <w:tcW w:w="992" w:type="dxa"/>
            <w:noWrap/>
            <w:vAlign w:val="center"/>
          </w:tcPr>
          <w:p w14:paraId="6B090C95" w14:textId="525DA867" w:rsidR="004E7542" w:rsidRPr="00840FDA"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134" w:type="dxa"/>
            <w:noWrap/>
            <w:vAlign w:val="center"/>
          </w:tcPr>
          <w:p w14:paraId="55349941" w14:textId="2E9D2515" w:rsidR="004E7542" w:rsidRPr="00840FDA" w:rsidRDefault="003319C9"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vAlign w:val="center"/>
          </w:tcPr>
          <w:p w14:paraId="5DE82675" w14:textId="4E851101" w:rsidR="004E7542" w:rsidRPr="00840FDA"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046" w:type="dxa"/>
            <w:noWrap/>
            <w:vAlign w:val="center"/>
          </w:tcPr>
          <w:p w14:paraId="2E183A29" w14:textId="41122EF7" w:rsidR="004E7542" w:rsidRPr="00840FDA"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3319C9">
              <w:rPr>
                <w:rFonts w:asciiTheme="minorHAnsi" w:hAnsiTheme="minorHAnsi" w:cstheme="minorHAnsi"/>
                <w:sz w:val="22"/>
                <w:szCs w:val="22"/>
              </w:rPr>
              <w:t>0</w:t>
            </w:r>
          </w:p>
        </w:tc>
        <w:tc>
          <w:tcPr>
            <w:tcW w:w="819" w:type="dxa"/>
            <w:noWrap/>
            <w:vAlign w:val="center"/>
          </w:tcPr>
          <w:p w14:paraId="727C00B2" w14:textId="3361EAF1" w:rsidR="004E7542" w:rsidRPr="00840FDA" w:rsidRDefault="003319C9"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vAlign w:val="center"/>
          </w:tcPr>
          <w:p w14:paraId="1A33A9A6" w14:textId="1118B20B" w:rsidR="004E7542" w:rsidRPr="00840FDA"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3319C9">
              <w:rPr>
                <w:rFonts w:asciiTheme="minorHAnsi" w:hAnsiTheme="minorHAnsi" w:cstheme="minorHAnsi"/>
                <w:sz w:val="22"/>
                <w:szCs w:val="22"/>
              </w:rPr>
              <w:t>0</w:t>
            </w:r>
          </w:p>
        </w:tc>
        <w:tc>
          <w:tcPr>
            <w:tcW w:w="1046" w:type="dxa"/>
            <w:noWrap/>
            <w:vAlign w:val="center"/>
          </w:tcPr>
          <w:p w14:paraId="4AFFF7E2" w14:textId="4CF25EE1" w:rsidR="004E7542" w:rsidRPr="00840FDA" w:rsidRDefault="003319C9"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vAlign w:val="center"/>
          </w:tcPr>
          <w:p w14:paraId="58D563E1" w14:textId="359994E4" w:rsidR="004E7542" w:rsidRPr="00840FDA"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3319C9">
              <w:rPr>
                <w:rFonts w:asciiTheme="minorHAnsi" w:hAnsiTheme="minorHAnsi" w:cstheme="minorHAnsi"/>
                <w:sz w:val="22"/>
                <w:szCs w:val="22"/>
              </w:rPr>
              <w:t>0</w:t>
            </w:r>
          </w:p>
        </w:tc>
      </w:tr>
    </w:tbl>
    <w:p w14:paraId="1D532ED1" w14:textId="77777777" w:rsidR="00F82D40" w:rsidRDefault="00F82D40" w:rsidP="00F853E5">
      <w:pPr>
        <w:rPr>
          <w:rFonts w:asciiTheme="minorHAnsi" w:hAnsiTheme="minorHAnsi" w:cstheme="minorHAnsi"/>
          <w:b/>
          <w:bCs/>
          <w:sz w:val="22"/>
          <w:szCs w:val="22"/>
        </w:rPr>
      </w:pPr>
    </w:p>
    <w:p w14:paraId="4F79B664" w14:textId="5497B51D" w:rsidR="00751CA0" w:rsidRDefault="00751CA0" w:rsidP="00F853E5">
      <w:pPr>
        <w:rPr>
          <w:rFonts w:asciiTheme="minorHAnsi" w:hAnsiTheme="minorHAnsi" w:cstheme="minorHAnsi"/>
          <w:b/>
          <w:bCs/>
          <w:sz w:val="22"/>
          <w:szCs w:val="22"/>
        </w:rPr>
      </w:pPr>
      <w:r>
        <w:rPr>
          <w:rFonts w:asciiTheme="minorHAnsi" w:hAnsiTheme="minorHAnsi" w:cstheme="minorHAnsi"/>
          <w:b/>
          <w:bCs/>
          <w:sz w:val="22"/>
          <w:szCs w:val="22"/>
        </w:rPr>
        <w:t>Table 3: Other Gender and Disability Experts</w:t>
      </w:r>
    </w:p>
    <w:tbl>
      <w:tblPr>
        <w:tblStyle w:val="GridTable5Dark-Accent1"/>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2"/>
        <w:gridCol w:w="1134"/>
        <w:gridCol w:w="1046"/>
        <w:gridCol w:w="1046"/>
        <w:gridCol w:w="819"/>
        <w:gridCol w:w="1018"/>
        <w:gridCol w:w="1046"/>
        <w:gridCol w:w="1103"/>
      </w:tblGrid>
      <w:tr w:rsidR="00F82D40" w14:paraId="0C398FFC" w14:textId="77777777" w:rsidTr="00393078">
        <w:trPr>
          <w:cnfStyle w:val="100000000000" w:firstRow="1" w:lastRow="0" w:firstColumn="0" w:lastColumn="0" w:oddVBand="0" w:evenVBand="0" w:oddHBand="0" w:evenHBand="0" w:firstRowFirstColumn="0" w:firstRowLastColumn="0" w:lastRowFirstColumn="0" w:lastRowLastColumn="0"/>
          <w:trHeight w:val="1733"/>
          <w:tblHeader/>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right w:val="none" w:sz="0" w:space="0" w:color="auto"/>
            </w:tcBorders>
            <w:hideMark/>
          </w:tcPr>
          <w:p w14:paraId="0F0D76F5" w14:textId="77777777" w:rsidR="004E7542" w:rsidRPr="00AE67C8" w:rsidRDefault="004E7542" w:rsidP="006C24B3">
            <w:pPr>
              <w:rPr>
                <w:rFonts w:asciiTheme="majorHAnsi" w:hAnsiTheme="majorHAnsi" w:cstheme="majorHAnsi"/>
                <w:color w:val="auto"/>
                <w:sz w:val="22"/>
                <w:szCs w:val="22"/>
                <w:lang w:eastAsia="en-AU"/>
              </w:rPr>
            </w:pPr>
            <w:bookmarkStart w:id="130" w:name="Title_Intitutions3"/>
            <w:r w:rsidRPr="00AE67C8">
              <w:rPr>
                <w:rFonts w:asciiTheme="majorHAnsi" w:hAnsiTheme="majorHAnsi" w:cstheme="majorHAnsi"/>
                <w:color w:val="auto"/>
                <w:sz w:val="22"/>
                <w:szCs w:val="22"/>
              </w:rPr>
              <w:lastRenderedPageBreak/>
              <w:t>Institutions/Expert</w:t>
            </w:r>
            <w:bookmarkEnd w:id="130"/>
          </w:p>
        </w:tc>
        <w:tc>
          <w:tcPr>
            <w:tcW w:w="992" w:type="dxa"/>
            <w:tcBorders>
              <w:top w:val="none" w:sz="0" w:space="0" w:color="auto"/>
              <w:left w:val="none" w:sz="0" w:space="0" w:color="auto"/>
              <w:right w:val="none" w:sz="0" w:space="0" w:color="auto"/>
            </w:tcBorders>
            <w:hideMark/>
          </w:tcPr>
          <w:p w14:paraId="12995CF1"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bookmarkStart w:id="131" w:name="ColumnTitle_AdultMale3"/>
            <w:r w:rsidRPr="00AE67C8">
              <w:rPr>
                <w:rFonts w:asciiTheme="majorHAnsi" w:hAnsiTheme="majorHAnsi" w:cstheme="majorHAnsi"/>
                <w:color w:val="auto"/>
                <w:sz w:val="22"/>
                <w:szCs w:val="22"/>
              </w:rPr>
              <w:t>Adult (Male)</w:t>
            </w:r>
            <w:bookmarkEnd w:id="131"/>
          </w:p>
        </w:tc>
        <w:tc>
          <w:tcPr>
            <w:tcW w:w="1134" w:type="dxa"/>
            <w:tcBorders>
              <w:top w:val="none" w:sz="0" w:space="0" w:color="auto"/>
              <w:left w:val="none" w:sz="0" w:space="0" w:color="auto"/>
              <w:right w:val="none" w:sz="0" w:space="0" w:color="auto"/>
            </w:tcBorders>
            <w:hideMark/>
          </w:tcPr>
          <w:p w14:paraId="208F3C0E"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bookmarkStart w:id="132" w:name="ColumnTitle_AdultFemale3"/>
            <w:r w:rsidRPr="00AE67C8">
              <w:rPr>
                <w:rFonts w:asciiTheme="majorHAnsi" w:hAnsiTheme="majorHAnsi" w:cstheme="majorHAnsi"/>
                <w:color w:val="auto"/>
                <w:sz w:val="22"/>
                <w:szCs w:val="22"/>
              </w:rPr>
              <w:t>Adult (Female)</w:t>
            </w:r>
            <w:bookmarkEnd w:id="132"/>
          </w:p>
        </w:tc>
        <w:tc>
          <w:tcPr>
            <w:tcW w:w="1046" w:type="dxa"/>
            <w:tcBorders>
              <w:top w:val="none" w:sz="0" w:space="0" w:color="auto"/>
              <w:left w:val="none" w:sz="0" w:space="0" w:color="auto"/>
              <w:right w:val="none" w:sz="0" w:space="0" w:color="auto"/>
            </w:tcBorders>
            <w:hideMark/>
          </w:tcPr>
          <w:p w14:paraId="31FFA8E6"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bookmarkStart w:id="133" w:name="ColumnTitle_AdultPWD3"/>
            <w:r w:rsidRPr="00AE67C8">
              <w:rPr>
                <w:rFonts w:asciiTheme="majorHAnsi" w:hAnsiTheme="majorHAnsi" w:cstheme="majorHAnsi"/>
                <w:color w:val="auto"/>
                <w:sz w:val="22"/>
                <w:szCs w:val="22"/>
              </w:rPr>
              <w:t>Adult Person with disability (Male)</w:t>
            </w:r>
            <w:bookmarkEnd w:id="133"/>
          </w:p>
        </w:tc>
        <w:tc>
          <w:tcPr>
            <w:tcW w:w="1046" w:type="dxa"/>
            <w:tcBorders>
              <w:top w:val="none" w:sz="0" w:space="0" w:color="auto"/>
              <w:left w:val="none" w:sz="0" w:space="0" w:color="auto"/>
              <w:right w:val="none" w:sz="0" w:space="0" w:color="auto"/>
            </w:tcBorders>
            <w:hideMark/>
          </w:tcPr>
          <w:p w14:paraId="37FF41CB"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bookmarkStart w:id="134" w:name="ColumnTitle_AdultPWD3Female"/>
            <w:r w:rsidRPr="00AE67C8">
              <w:rPr>
                <w:rFonts w:asciiTheme="majorHAnsi" w:hAnsiTheme="majorHAnsi" w:cstheme="majorHAnsi"/>
                <w:color w:val="auto"/>
                <w:sz w:val="22"/>
                <w:szCs w:val="22"/>
              </w:rPr>
              <w:t>Adult Person with disability (Female)</w:t>
            </w:r>
            <w:bookmarkEnd w:id="134"/>
          </w:p>
        </w:tc>
        <w:tc>
          <w:tcPr>
            <w:tcW w:w="819" w:type="dxa"/>
            <w:tcBorders>
              <w:top w:val="none" w:sz="0" w:space="0" w:color="auto"/>
              <w:left w:val="none" w:sz="0" w:space="0" w:color="auto"/>
              <w:right w:val="none" w:sz="0" w:space="0" w:color="auto"/>
            </w:tcBorders>
            <w:hideMark/>
          </w:tcPr>
          <w:p w14:paraId="568BD21A"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bookmarkStart w:id="135" w:name="ColumnTitle_ChildMale3"/>
            <w:r w:rsidRPr="00AE67C8">
              <w:rPr>
                <w:rFonts w:asciiTheme="majorHAnsi" w:hAnsiTheme="majorHAnsi" w:cstheme="majorHAnsi"/>
                <w:color w:val="auto"/>
                <w:sz w:val="22"/>
                <w:szCs w:val="22"/>
              </w:rPr>
              <w:t>Child (Male)</w:t>
            </w:r>
            <w:bookmarkEnd w:id="135"/>
          </w:p>
        </w:tc>
        <w:tc>
          <w:tcPr>
            <w:tcW w:w="1018" w:type="dxa"/>
            <w:tcBorders>
              <w:top w:val="none" w:sz="0" w:space="0" w:color="auto"/>
              <w:left w:val="none" w:sz="0" w:space="0" w:color="auto"/>
              <w:right w:val="none" w:sz="0" w:space="0" w:color="auto"/>
            </w:tcBorders>
            <w:hideMark/>
          </w:tcPr>
          <w:p w14:paraId="4D08029E"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bookmarkStart w:id="136" w:name="ColumnTitle_ChildFemale3"/>
            <w:r w:rsidRPr="00AE67C8">
              <w:rPr>
                <w:rFonts w:asciiTheme="majorHAnsi" w:hAnsiTheme="majorHAnsi" w:cstheme="majorHAnsi"/>
                <w:color w:val="auto"/>
                <w:sz w:val="22"/>
                <w:szCs w:val="22"/>
              </w:rPr>
              <w:t>Child (Female)</w:t>
            </w:r>
            <w:bookmarkEnd w:id="136"/>
          </w:p>
        </w:tc>
        <w:tc>
          <w:tcPr>
            <w:tcW w:w="1046" w:type="dxa"/>
            <w:tcBorders>
              <w:top w:val="none" w:sz="0" w:space="0" w:color="auto"/>
              <w:left w:val="none" w:sz="0" w:space="0" w:color="auto"/>
              <w:right w:val="none" w:sz="0" w:space="0" w:color="auto"/>
            </w:tcBorders>
            <w:hideMark/>
          </w:tcPr>
          <w:p w14:paraId="475932B4"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bookmarkStart w:id="137" w:name="ColumnTitle_CWDMale3"/>
            <w:r w:rsidRPr="00AE67C8">
              <w:rPr>
                <w:rFonts w:asciiTheme="majorHAnsi" w:hAnsiTheme="majorHAnsi" w:cstheme="majorHAnsi"/>
                <w:color w:val="auto"/>
                <w:sz w:val="22"/>
                <w:szCs w:val="22"/>
              </w:rPr>
              <w:t>Child with disability (Male)</w:t>
            </w:r>
            <w:bookmarkEnd w:id="137"/>
          </w:p>
        </w:tc>
        <w:tc>
          <w:tcPr>
            <w:tcW w:w="1103" w:type="dxa"/>
            <w:tcBorders>
              <w:top w:val="none" w:sz="0" w:space="0" w:color="auto"/>
              <w:left w:val="none" w:sz="0" w:space="0" w:color="auto"/>
              <w:right w:val="none" w:sz="0" w:space="0" w:color="auto"/>
            </w:tcBorders>
            <w:hideMark/>
          </w:tcPr>
          <w:p w14:paraId="01F7319E" w14:textId="77777777" w:rsidR="004E7542" w:rsidRDefault="004E754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2"/>
                <w:szCs w:val="22"/>
              </w:rPr>
            </w:pPr>
            <w:bookmarkStart w:id="138" w:name="ColumnTitle_CWDFemale3"/>
            <w:r w:rsidRPr="00AE67C8">
              <w:rPr>
                <w:rFonts w:asciiTheme="majorHAnsi" w:hAnsiTheme="majorHAnsi" w:cstheme="majorHAnsi"/>
                <w:color w:val="auto"/>
                <w:sz w:val="22"/>
                <w:szCs w:val="22"/>
              </w:rPr>
              <w:t>Child with disability (Female)</w:t>
            </w:r>
            <w:bookmarkEnd w:id="138"/>
          </w:p>
          <w:p w14:paraId="43FAEBEC" w14:textId="3F17752E" w:rsidR="0006790D" w:rsidRPr="00AE67C8" w:rsidRDefault="0006790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p>
        </w:tc>
      </w:tr>
      <w:tr w:rsidR="0085029C" w14:paraId="55374092" w14:textId="77777777" w:rsidTr="00BB26F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17556275" w14:textId="6BA35D13" w:rsidR="004E7542" w:rsidRPr="00AE67C8" w:rsidRDefault="004E7542" w:rsidP="004E7542">
            <w:pPr>
              <w:rPr>
                <w:rFonts w:asciiTheme="minorHAnsi" w:hAnsiTheme="minorHAnsi" w:cstheme="minorHAnsi"/>
                <w:color w:val="auto"/>
                <w:sz w:val="22"/>
                <w:szCs w:val="22"/>
              </w:rPr>
            </w:pPr>
            <w:bookmarkStart w:id="139" w:name="RowTitle_PSHK"/>
            <w:r w:rsidRPr="00AE67C8">
              <w:rPr>
                <w:rFonts w:asciiTheme="minorHAnsi" w:hAnsiTheme="minorHAnsi" w:cstheme="minorHAnsi"/>
                <w:color w:val="auto"/>
                <w:sz w:val="22"/>
                <w:szCs w:val="22"/>
              </w:rPr>
              <w:t xml:space="preserve">M. </w:t>
            </w:r>
            <w:proofErr w:type="spellStart"/>
            <w:r w:rsidRPr="00AE67C8">
              <w:rPr>
                <w:rFonts w:asciiTheme="minorHAnsi" w:hAnsiTheme="minorHAnsi" w:cstheme="minorHAnsi"/>
                <w:color w:val="auto"/>
                <w:sz w:val="22"/>
                <w:szCs w:val="22"/>
              </w:rPr>
              <w:t>Fajri</w:t>
            </w:r>
            <w:proofErr w:type="spellEnd"/>
            <w:r w:rsidRPr="00AE67C8">
              <w:rPr>
                <w:rFonts w:asciiTheme="minorHAnsi" w:hAnsiTheme="minorHAnsi" w:cstheme="minorHAnsi"/>
                <w:color w:val="auto"/>
                <w:sz w:val="22"/>
                <w:szCs w:val="22"/>
              </w:rPr>
              <w:t xml:space="preserve"> </w:t>
            </w:r>
            <w:proofErr w:type="spellStart"/>
            <w:r w:rsidRPr="00AE67C8">
              <w:rPr>
                <w:rFonts w:asciiTheme="minorHAnsi" w:hAnsiTheme="minorHAnsi" w:cstheme="minorHAnsi"/>
                <w:color w:val="auto"/>
                <w:sz w:val="22"/>
                <w:szCs w:val="22"/>
              </w:rPr>
              <w:t>Nursyamsi</w:t>
            </w:r>
            <w:proofErr w:type="spellEnd"/>
            <w:r w:rsidRPr="00AE67C8">
              <w:rPr>
                <w:rFonts w:asciiTheme="minorHAnsi" w:hAnsiTheme="minorHAnsi" w:cstheme="minorHAnsi"/>
                <w:color w:val="auto"/>
                <w:sz w:val="22"/>
                <w:szCs w:val="22"/>
              </w:rPr>
              <w:br/>
              <w:t xml:space="preserve">Director for Advocacy and Networks, </w:t>
            </w:r>
            <w:r w:rsidRPr="00AE67C8">
              <w:rPr>
                <w:rFonts w:asciiTheme="minorHAnsi" w:hAnsiTheme="minorHAnsi" w:cstheme="minorHAnsi"/>
                <w:i/>
                <w:color w:val="auto"/>
                <w:sz w:val="22"/>
                <w:szCs w:val="22"/>
              </w:rPr>
              <w:t xml:space="preserve">Pusat </w:t>
            </w:r>
            <w:proofErr w:type="spellStart"/>
            <w:r w:rsidRPr="00AE67C8">
              <w:rPr>
                <w:rFonts w:asciiTheme="minorHAnsi" w:hAnsiTheme="minorHAnsi" w:cstheme="minorHAnsi"/>
                <w:i/>
                <w:color w:val="auto"/>
                <w:sz w:val="22"/>
                <w:szCs w:val="22"/>
              </w:rPr>
              <w:t>Studi</w:t>
            </w:r>
            <w:proofErr w:type="spellEnd"/>
            <w:r w:rsidRPr="00AE67C8">
              <w:rPr>
                <w:rFonts w:asciiTheme="minorHAnsi" w:hAnsiTheme="minorHAnsi" w:cstheme="minorHAnsi"/>
                <w:i/>
                <w:color w:val="auto"/>
                <w:sz w:val="22"/>
                <w:szCs w:val="22"/>
              </w:rPr>
              <w:t xml:space="preserve"> Hukum dan </w:t>
            </w:r>
            <w:proofErr w:type="spellStart"/>
            <w:r w:rsidRPr="00AE67C8">
              <w:rPr>
                <w:rFonts w:asciiTheme="minorHAnsi" w:hAnsiTheme="minorHAnsi" w:cstheme="minorHAnsi"/>
                <w:i/>
                <w:color w:val="auto"/>
                <w:sz w:val="22"/>
                <w:szCs w:val="22"/>
              </w:rPr>
              <w:t>Kebijakan</w:t>
            </w:r>
            <w:proofErr w:type="spellEnd"/>
            <w:r w:rsidRPr="00AE67C8">
              <w:rPr>
                <w:rFonts w:asciiTheme="minorHAnsi" w:hAnsiTheme="minorHAnsi" w:cstheme="minorHAnsi"/>
                <w:color w:val="auto"/>
                <w:sz w:val="22"/>
                <w:szCs w:val="22"/>
              </w:rPr>
              <w:t xml:space="preserve"> (PSHK, </w:t>
            </w:r>
            <w:proofErr w:type="spellStart"/>
            <w:r w:rsidRPr="00AE67C8">
              <w:rPr>
                <w:rFonts w:asciiTheme="minorHAnsi" w:hAnsiTheme="minorHAnsi" w:cstheme="minorHAnsi"/>
                <w:color w:val="auto"/>
                <w:sz w:val="22"/>
                <w:szCs w:val="22"/>
              </w:rPr>
              <w:t>Center</w:t>
            </w:r>
            <w:proofErr w:type="spellEnd"/>
            <w:r w:rsidRPr="00AE67C8">
              <w:rPr>
                <w:rFonts w:asciiTheme="minorHAnsi" w:hAnsiTheme="minorHAnsi" w:cstheme="minorHAnsi"/>
                <w:color w:val="auto"/>
                <w:sz w:val="22"/>
                <w:szCs w:val="22"/>
              </w:rPr>
              <w:t xml:space="preserve"> for Study of Law and Policy) </w:t>
            </w:r>
            <w:bookmarkEnd w:id="139"/>
          </w:p>
        </w:tc>
        <w:tc>
          <w:tcPr>
            <w:tcW w:w="992" w:type="dxa"/>
            <w:noWrap/>
          </w:tcPr>
          <w:p w14:paraId="41AEE6EA" w14:textId="395AB533"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1</w:t>
            </w:r>
          </w:p>
        </w:tc>
        <w:tc>
          <w:tcPr>
            <w:tcW w:w="1134" w:type="dxa"/>
            <w:noWrap/>
          </w:tcPr>
          <w:p w14:paraId="6DDD72A0" w14:textId="28CF6DF0" w:rsidR="004E7542" w:rsidRPr="00840FDA"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6383593C" w14:textId="38B9568C" w:rsidR="004E7542" w:rsidRPr="00840FDA"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41034F67" w14:textId="393A01D7" w:rsidR="004E7542" w:rsidRPr="00840FDA"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3709FEE1" w14:textId="01656BCD" w:rsidR="004E7542" w:rsidRPr="00840FDA"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1583DD20" w14:textId="2AE55105"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046" w:type="dxa"/>
            <w:noWrap/>
          </w:tcPr>
          <w:p w14:paraId="7EC6D0DD" w14:textId="3A61F37A"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103" w:type="dxa"/>
            <w:noWrap/>
          </w:tcPr>
          <w:p w14:paraId="2C47AFFD" w14:textId="5AC65950"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r>
      <w:tr w:rsidR="0085029C" w14:paraId="0EB578C1" w14:textId="77777777" w:rsidTr="00BB26FF">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43B4FBB4" w14:textId="75368E9F" w:rsidR="004E7542" w:rsidRPr="00AE67C8" w:rsidRDefault="004E7542" w:rsidP="004E7542">
            <w:pPr>
              <w:rPr>
                <w:rFonts w:asciiTheme="minorHAnsi" w:hAnsiTheme="minorHAnsi" w:cstheme="minorHAnsi"/>
                <w:color w:val="auto"/>
                <w:sz w:val="22"/>
                <w:szCs w:val="22"/>
              </w:rPr>
            </w:pPr>
            <w:bookmarkStart w:id="140" w:name="RowTitle_PerkumpulanInninawaMakassar"/>
            <w:bookmarkStart w:id="141" w:name="RowTitle_IshakSalim"/>
            <w:r w:rsidRPr="00AE67C8">
              <w:rPr>
                <w:rFonts w:asciiTheme="minorHAnsi" w:hAnsiTheme="minorHAnsi" w:cstheme="minorHAnsi"/>
                <w:color w:val="auto"/>
                <w:sz w:val="22"/>
                <w:szCs w:val="22"/>
              </w:rPr>
              <w:t xml:space="preserve">Dr. Ishak Salim, </w:t>
            </w:r>
            <w:proofErr w:type="spellStart"/>
            <w:r w:rsidRPr="00AE67C8">
              <w:rPr>
                <w:rFonts w:asciiTheme="minorHAnsi" w:hAnsiTheme="minorHAnsi" w:cstheme="minorHAnsi"/>
                <w:i/>
                <w:color w:val="auto"/>
                <w:sz w:val="22"/>
                <w:szCs w:val="22"/>
              </w:rPr>
              <w:t>Perkumpulan</w:t>
            </w:r>
            <w:proofErr w:type="spellEnd"/>
            <w:r w:rsidRPr="00AE67C8">
              <w:rPr>
                <w:rFonts w:asciiTheme="minorHAnsi" w:hAnsiTheme="minorHAnsi" w:cstheme="minorHAnsi"/>
                <w:i/>
                <w:color w:val="auto"/>
                <w:sz w:val="22"/>
                <w:szCs w:val="22"/>
              </w:rPr>
              <w:t xml:space="preserve"> </w:t>
            </w:r>
            <w:proofErr w:type="spellStart"/>
            <w:r w:rsidRPr="00AE67C8">
              <w:rPr>
                <w:rFonts w:asciiTheme="minorHAnsi" w:hAnsiTheme="minorHAnsi" w:cstheme="minorHAnsi"/>
                <w:i/>
                <w:color w:val="auto"/>
                <w:sz w:val="22"/>
                <w:szCs w:val="22"/>
              </w:rPr>
              <w:t>Inninawa</w:t>
            </w:r>
            <w:proofErr w:type="spellEnd"/>
            <w:r w:rsidRPr="00AE67C8">
              <w:rPr>
                <w:rFonts w:asciiTheme="minorHAnsi" w:hAnsiTheme="minorHAnsi" w:cstheme="minorHAnsi"/>
                <w:i/>
                <w:color w:val="auto"/>
                <w:sz w:val="22"/>
                <w:szCs w:val="22"/>
              </w:rPr>
              <w:t xml:space="preserve"> Makassar</w:t>
            </w:r>
            <w:r w:rsidRPr="00AE67C8">
              <w:rPr>
                <w:rFonts w:asciiTheme="minorHAnsi" w:hAnsiTheme="minorHAnsi" w:cstheme="minorHAnsi"/>
                <w:color w:val="auto"/>
                <w:sz w:val="22"/>
                <w:szCs w:val="22"/>
              </w:rPr>
              <w:t>, Consultant to AIPJ on disability issues.</w:t>
            </w:r>
            <w:bookmarkEnd w:id="140"/>
            <w:bookmarkEnd w:id="141"/>
          </w:p>
        </w:tc>
        <w:tc>
          <w:tcPr>
            <w:tcW w:w="992" w:type="dxa"/>
            <w:noWrap/>
          </w:tcPr>
          <w:p w14:paraId="1128F9FE" w14:textId="44764045" w:rsidR="004E7542" w:rsidRPr="00840FDA"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1</w:t>
            </w:r>
          </w:p>
        </w:tc>
        <w:tc>
          <w:tcPr>
            <w:tcW w:w="1134" w:type="dxa"/>
            <w:noWrap/>
          </w:tcPr>
          <w:p w14:paraId="6C0B3154" w14:textId="065D26E3" w:rsidR="004E7542" w:rsidRPr="00840FDA"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046" w:type="dxa"/>
            <w:noWrap/>
          </w:tcPr>
          <w:p w14:paraId="04705C3B" w14:textId="3EA97741" w:rsidR="004E7542" w:rsidRPr="00840FDA"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658EE885" w14:textId="0650D993" w:rsidR="004E7542" w:rsidRPr="00840FDA"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367B3326" w14:textId="66B79186" w:rsidR="004E7542" w:rsidRPr="00840FDA"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2F6603CF" w14:textId="2B56B991" w:rsidR="004E7542" w:rsidRPr="00840FDA"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77ACEF37" w14:textId="3919BB21" w:rsidR="004E7542" w:rsidRPr="00840FDA"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40621B13" w14:textId="2B2CB775" w:rsidR="004E7542" w:rsidRPr="00840FDA"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373CD1C5" w14:textId="77777777" w:rsidTr="00BB26F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62E63736" w14:textId="490A592E" w:rsidR="004E7542" w:rsidRPr="00AE67C8" w:rsidRDefault="004E7542" w:rsidP="004E7542">
            <w:pPr>
              <w:rPr>
                <w:rFonts w:asciiTheme="minorHAnsi" w:hAnsiTheme="minorHAnsi" w:cstheme="minorHAnsi"/>
                <w:color w:val="auto"/>
                <w:sz w:val="22"/>
                <w:szCs w:val="22"/>
              </w:rPr>
            </w:pPr>
            <w:bookmarkStart w:id="142" w:name="RowTitle_KUPI"/>
            <w:bookmarkStart w:id="143" w:name="RowTitle_Masruchah"/>
            <w:proofErr w:type="spellStart"/>
            <w:r w:rsidRPr="00AE67C8">
              <w:rPr>
                <w:rFonts w:asciiTheme="minorHAnsi" w:hAnsiTheme="minorHAnsi" w:cstheme="minorHAnsi"/>
                <w:color w:val="auto"/>
                <w:sz w:val="22"/>
                <w:szCs w:val="22"/>
              </w:rPr>
              <w:t>Masruchah</w:t>
            </w:r>
            <w:proofErr w:type="spellEnd"/>
            <w:r w:rsidRPr="00AE67C8">
              <w:rPr>
                <w:rFonts w:asciiTheme="minorHAnsi" w:hAnsiTheme="minorHAnsi" w:cstheme="minorHAnsi"/>
                <w:color w:val="auto"/>
                <w:sz w:val="22"/>
                <w:szCs w:val="22"/>
              </w:rPr>
              <w:t>, a figure from the Indonesian Congress of Women Ulama (</w:t>
            </w:r>
            <w:proofErr w:type="spellStart"/>
            <w:r w:rsidRPr="00AE67C8">
              <w:rPr>
                <w:rFonts w:asciiTheme="minorHAnsi" w:hAnsiTheme="minorHAnsi" w:cstheme="minorHAnsi"/>
                <w:i/>
                <w:color w:val="auto"/>
                <w:sz w:val="22"/>
                <w:szCs w:val="22"/>
              </w:rPr>
              <w:t>Kongres</w:t>
            </w:r>
            <w:proofErr w:type="spellEnd"/>
            <w:r w:rsidRPr="00AE67C8">
              <w:rPr>
                <w:rFonts w:asciiTheme="minorHAnsi" w:hAnsiTheme="minorHAnsi" w:cstheme="minorHAnsi"/>
                <w:i/>
                <w:color w:val="auto"/>
                <w:sz w:val="22"/>
                <w:szCs w:val="22"/>
              </w:rPr>
              <w:t xml:space="preserve"> Ulama Perempuan Indonesia</w:t>
            </w:r>
            <w:r w:rsidRPr="00AE67C8">
              <w:rPr>
                <w:rFonts w:asciiTheme="minorHAnsi" w:hAnsiTheme="minorHAnsi" w:cstheme="minorHAnsi"/>
                <w:color w:val="auto"/>
                <w:sz w:val="22"/>
                <w:szCs w:val="22"/>
              </w:rPr>
              <w:t xml:space="preserve">, </w:t>
            </w:r>
            <w:r w:rsidRPr="00AE67C8">
              <w:rPr>
                <w:rFonts w:asciiTheme="minorHAnsi" w:hAnsiTheme="minorHAnsi" w:cstheme="minorHAnsi"/>
                <w:i/>
                <w:color w:val="auto"/>
                <w:sz w:val="22"/>
                <w:szCs w:val="22"/>
              </w:rPr>
              <w:t>KUP</w:t>
            </w:r>
            <w:r w:rsidRPr="00AE67C8">
              <w:rPr>
                <w:rFonts w:asciiTheme="minorHAnsi" w:hAnsiTheme="minorHAnsi" w:cstheme="minorHAnsi"/>
                <w:color w:val="auto"/>
                <w:sz w:val="22"/>
                <w:szCs w:val="22"/>
              </w:rPr>
              <w:t>I)</w:t>
            </w:r>
            <w:bookmarkEnd w:id="142"/>
            <w:bookmarkEnd w:id="143"/>
          </w:p>
        </w:tc>
        <w:tc>
          <w:tcPr>
            <w:tcW w:w="992" w:type="dxa"/>
            <w:noWrap/>
          </w:tcPr>
          <w:p w14:paraId="34E10E2D" w14:textId="7AB02504"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38E99BFB" w14:textId="0161C9BC"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046" w:type="dxa"/>
            <w:noWrap/>
          </w:tcPr>
          <w:p w14:paraId="7511B888" w14:textId="7DC2AF86"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43E13D21" w14:textId="6A0571BD"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32F3016B" w14:textId="2B7A2532"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2F8A24F6" w14:textId="5CC27632"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61B8C8F5" w14:textId="68FF76FF"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090245CF" w14:textId="26EE4249"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2B62C675" w14:textId="77777777" w:rsidTr="00BB26FF">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3348358E" w14:textId="2D0C1773" w:rsidR="004E7542" w:rsidRPr="00AE67C8" w:rsidRDefault="004E7542" w:rsidP="004E7542">
            <w:pPr>
              <w:rPr>
                <w:rFonts w:asciiTheme="minorHAnsi" w:hAnsiTheme="minorHAnsi" w:cstheme="minorHAnsi"/>
                <w:color w:val="auto"/>
                <w:sz w:val="22"/>
                <w:szCs w:val="22"/>
              </w:rPr>
            </w:pPr>
            <w:bookmarkStart w:id="144" w:name="RowTitle_MusdahMulia"/>
            <w:bookmarkStart w:id="145" w:name="RowTitle_Musdah"/>
            <w:r w:rsidRPr="00AE67C8">
              <w:rPr>
                <w:rFonts w:asciiTheme="minorHAnsi" w:hAnsiTheme="minorHAnsi" w:cstheme="minorHAnsi"/>
                <w:color w:val="auto"/>
                <w:sz w:val="22"/>
                <w:szCs w:val="22"/>
              </w:rPr>
              <w:t xml:space="preserve">Prof. </w:t>
            </w:r>
            <w:proofErr w:type="spellStart"/>
            <w:r w:rsidRPr="00AE67C8">
              <w:rPr>
                <w:rFonts w:asciiTheme="minorHAnsi" w:hAnsiTheme="minorHAnsi" w:cstheme="minorHAnsi"/>
                <w:color w:val="auto"/>
                <w:sz w:val="22"/>
                <w:szCs w:val="22"/>
              </w:rPr>
              <w:t>Musdah</w:t>
            </w:r>
            <w:proofErr w:type="spellEnd"/>
            <w:r w:rsidRPr="00AE67C8">
              <w:rPr>
                <w:rFonts w:asciiTheme="minorHAnsi" w:hAnsiTheme="minorHAnsi" w:cstheme="minorHAnsi"/>
                <w:color w:val="auto"/>
                <w:sz w:val="22"/>
                <w:szCs w:val="22"/>
              </w:rPr>
              <w:t xml:space="preserve"> </w:t>
            </w:r>
            <w:proofErr w:type="spellStart"/>
            <w:r w:rsidRPr="00AE67C8">
              <w:rPr>
                <w:rFonts w:asciiTheme="minorHAnsi" w:hAnsiTheme="minorHAnsi" w:cstheme="minorHAnsi"/>
                <w:color w:val="auto"/>
                <w:sz w:val="22"/>
                <w:szCs w:val="22"/>
              </w:rPr>
              <w:t>Mulia</w:t>
            </w:r>
            <w:bookmarkEnd w:id="144"/>
            <w:bookmarkEnd w:id="145"/>
            <w:proofErr w:type="spellEnd"/>
          </w:p>
        </w:tc>
        <w:tc>
          <w:tcPr>
            <w:tcW w:w="992" w:type="dxa"/>
            <w:noWrap/>
          </w:tcPr>
          <w:p w14:paraId="743B4AE5" w14:textId="2FB0AD53"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21B529E1" w14:textId="25959F62"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046" w:type="dxa"/>
            <w:noWrap/>
          </w:tcPr>
          <w:p w14:paraId="3E146BCA" w14:textId="20FE8301"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3077F010" w14:textId="67230587"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04415AD3" w14:textId="72BEF9B7"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5A460F4B" w14:textId="5309E653"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4CC58464" w14:textId="505316DE"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5074C97E" w14:textId="25759D18"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373CB3B1" w14:textId="77777777" w:rsidTr="00BB26F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07644EA0" w14:textId="43EC532B" w:rsidR="004E7542" w:rsidRPr="00AE67C8" w:rsidRDefault="004E7542" w:rsidP="004E7542">
            <w:pPr>
              <w:rPr>
                <w:rFonts w:asciiTheme="minorHAnsi" w:hAnsiTheme="minorHAnsi" w:cstheme="minorHAnsi"/>
                <w:color w:val="auto"/>
                <w:sz w:val="22"/>
                <w:szCs w:val="22"/>
              </w:rPr>
            </w:pPr>
            <w:bookmarkStart w:id="146" w:name="RowTitle_KPPPA1"/>
            <w:bookmarkStart w:id="147" w:name="RowTitle_KPPPA"/>
            <w:r w:rsidRPr="00AE67C8">
              <w:rPr>
                <w:rFonts w:asciiTheme="minorHAnsi" w:hAnsiTheme="minorHAnsi" w:cstheme="minorHAnsi"/>
                <w:color w:val="auto"/>
                <w:sz w:val="22"/>
                <w:szCs w:val="22"/>
              </w:rPr>
              <w:t xml:space="preserve">Ibu </w:t>
            </w:r>
            <w:proofErr w:type="spellStart"/>
            <w:r w:rsidRPr="00AE67C8">
              <w:rPr>
                <w:rFonts w:asciiTheme="minorHAnsi" w:hAnsiTheme="minorHAnsi" w:cstheme="minorHAnsi"/>
                <w:color w:val="auto"/>
                <w:sz w:val="22"/>
                <w:szCs w:val="22"/>
              </w:rPr>
              <w:t>Ciput</w:t>
            </w:r>
            <w:proofErr w:type="spellEnd"/>
            <w:r w:rsidRPr="00AE67C8">
              <w:rPr>
                <w:rFonts w:asciiTheme="minorHAnsi" w:hAnsiTheme="minorHAnsi" w:cstheme="minorHAnsi"/>
                <w:color w:val="auto"/>
                <w:sz w:val="22"/>
                <w:szCs w:val="22"/>
              </w:rPr>
              <w:t xml:space="preserve"> Eka </w:t>
            </w:r>
            <w:proofErr w:type="spellStart"/>
            <w:r w:rsidRPr="00AE67C8">
              <w:rPr>
                <w:rFonts w:asciiTheme="minorHAnsi" w:hAnsiTheme="minorHAnsi" w:cstheme="minorHAnsi"/>
                <w:color w:val="auto"/>
                <w:sz w:val="22"/>
                <w:szCs w:val="22"/>
              </w:rPr>
              <w:t>Purwianti</w:t>
            </w:r>
            <w:proofErr w:type="spellEnd"/>
            <w:r w:rsidRPr="00AE67C8">
              <w:rPr>
                <w:rFonts w:asciiTheme="minorHAnsi" w:hAnsiTheme="minorHAnsi" w:cstheme="minorHAnsi"/>
                <w:color w:val="auto"/>
                <w:sz w:val="22"/>
                <w:szCs w:val="22"/>
              </w:rPr>
              <w:t xml:space="preserve"> </w:t>
            </w:r>
            <w:proofErr w:type="gramStart"/>
            <w:r w:rsidRPr="00AE67C8">
              <w:rPr>
                <w:rFonts w:asciiTheme="minorHAnsi" w:hAnsiTheme="minorHAnsi" w:cstheme="minorHAnsi"/>
                <w:color w:val="auto"/>
                <w:sz w:val="22"/>
                <w:szCs w:val="22"/>
              </w:rPr>
              <w:t>S.Si.MA</w:t>
            </w:r>
            <w:proofErr w:type="gramEnd"/>
            <w:r w:rsidRPr="00AE67C8">
              <w:rPr>
                <w:rFonts w:asciiTheme="minorHAnsi" w:hAnsiTheme="minorHAnsi" w:cstheme="minorHAnsi"/>
                <w:color w:val="auto"/>
                <w:sz w:val="22"/>
                <w:szCs w:val="22"/>
              </w:rPr>
              <w:br/>
              <w:t>Assistant Deputy for Child Protection and Violence, Ministry of Women Empowerment and Child Protection (KPPPA)</w:t>
            </w:r>
            <w:bookmarkEnd w:id="146"/>
            <w:bookmarkEnd w:id="147"/>
          </w:p>
        </w:tc>
        <w:tc>
          <w:tcPr>
            <w:tcW w:w="992" w:type="dxa"/>
            <w:noWrap/>
          </w:tcPr>
          <w:p w14:paraId="2E28F49E" w14:textId="2A664B5C"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743D167B" w14:textId="2CFF1201"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046" w:type="dxa"/>
            <w:noWrap/>
          </w:tcPr>
          <w:p w14:paraId="669458A7" w14:textId="6D65B531"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6419F521" w14:textId="7BC3BB47"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52DDD37F" w14:textId="28140E3F"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2307872E" w14:textId="77C8C2F5"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72D9B398" w14:textId="5D768374"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24CBBDCA" w14:textId="10EA2AE4"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25A57949" w14:textId="77777777" w:rsidTr="00BB26FF">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497FD23A" w14:textId="582AB6AA" w:rsidR="004E7542" w:rsidRPr="00AE67C8" w:rsidRDefault="004E7542" w:rsidP="004E7542">
            <w:pPr>
              <w:rPr>
                <w:rFonts w:asciiTheme="minorHAnsi" w:hAnsiTheme="minorHAnsi" w:cstheme="minorHAnsi"/>
                <w:color w:val="auto"/>
                <w:sz w:val="22"/>
                <w:szCs w:val="22"/>
              </w:rPr>
            </w:pPr>
            <w:bookmarkStart w:id="148" w:name="RowTitle_KPPPA2"/>
            <w:r w:rsidRPr="00AE67C8">
              <w:rPr>
                <w:rFonts w:asciiTheme="minorHAnsi" w:hAnsiTheme="minorHAnsi" w:cstheme="minorHAnsi"/>
                <w:color w:val="auto"/>
                <w:sz w:val="22"/>
                <w:szCs w:val="22"/>
              </w:rPr>
              <w:t>Lenny Rosaline, Deputy, KPPPA</w:t>
            </w:r>
            <w:bookmarkEnd w:id="148"/>
          </w:p>
        </w:tc>
        <w:tc>
          <w:tcPr>
            <w:tcW w:w="992" w:type="dxa"/>
            <w:noWrap/>
          </w:tcPr>
          <w:p w14:paraId="47B0DE80" w14:textId="16E54351"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6754AFC3" w14:textId="60A7B817"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046" w:type="dxa"/>
            <w:noWrap/>
          </w:tcPr>
          <w:p w14:paraId="36E7AED2" w14:textId="5DDFF505"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712A861A" w14:textId="4C1A69FA"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07678F28" w14:textId="0DE48B2C"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2AEBA0D0" w14:textId="2447BA14"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2C8516A4" w14:textId="7E055AFF"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08C26B92" w14:textId="246B3B18"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42B1FEA1" w14:textId="77777777" w:rsidTr="00BB26F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791A7E13" w14:textId="418234CA" w:rsidR="004E7542" w:rsidRPr="00AE67C8" w:rsidRDefault="004E7542" w:rsidP="004E7542">
            <w:pPr>
              <w:rPr>
                <w:rFonts w:asciiTheme="minorHAnsi" w:hAnsiTheme="minorHAnsi" w:cstheme="minorHAnsi"/>
                <w:color w:val="auto"/>
                <w:sz w:val="22"/>
                <w:szCs w:val="22"/>
              </w:rPr>
            </w:pPr>
            <w:bookmarkStart w:id="149" w:name="RowTitle_KomnasPerempuan"/>
            <w:r w:rsidRPr="00AE67C8">
              <w:rPr>
                <w:rFonts w:asciiTheme="minorHAnsi" w:hAnsiTheme="minorHAnsi" w:cstheme="minorHAnsi"/>
                <w:color w:val="auto"/>
                <w:sz w:val="22"/>
                <w:szCs w:val="22"/>
              </w:rPr>
              <w:t xml:space="preserve">Dr. Maria </w:t>
            </w:r>
            <w:proofErr w:type="spellStart"/>
            <w:r w:rsidRPr="00AE67C8">
              <w:rPr>
                <w:rFonts w:asciiTheme="minorHAnsi" w:hAnsiTheme="minorHAnsi" w:cstheme="minorHAnsi"/>
                <w:color w:val="auto"/>
                <w:sz w:val="22"/>
                <w:szCs w:val="22"/>
              </w:rPr>
              <w:t>Ulfah</w:t>
            </w:r>
            <w:proofErr w:type="spellEnd"/>
            <w:r w:rsidRPr="00AE67C8">
              <w:rPr>
                <w:rFonts w:asciiTheme="minorHAnsi" w:hAnsiTheme="minorHAnsi" w:cstheme="minorHAnsi"/>
                <w:color w:val="auto"/>
                <w:sz w:val="22"/>
                <w:szCs w:val="22"/>
              </w:rPr>
              <w:t xml:space="preserve"> </w:t>
            </w:r>
            <w:proofErr w:type="spellStart"/>
            <w:r w:rsidRPr="00AE67C8">
              <w:rPr>
                <w:rFonts w:asciiTheme="minorHAnsi" w:hAnsiTheme="minorHAnsi" w:cstheme="minorHAnsi"/>
                <w:color w:val="auto"/>
                <w:sz w:val="22"/>
                <w:szCs w:val="22"/>
              </w:rPr>
              <w:t>Anshor</w:t>
            </w:r>
            <w:proofErr w:type="spellEnd"/>
            <w:r w:rsidRPr="00AE67C8">
              <w:rPr>
                <w:rFonts w:asciiTheme="minorHAnsi" w:hAnsiTheme="minorHAnsi" w:cstheme="minorHAnsi"/>
                <w:color w:val="auto"/>
                <w:sz w:val="22"/>
                <w:szCs w:val="22"/>
              </w:rPr>
              <w:t xml:space="preserve">, Commissioner, </w:t>
            </w:r>
            <w:proofErr w:type="spellStart"/>
            <w:r w:rsidRPr="00AE67C8">
              <w:rPr>
                <w:rFonts w:asciiTheme="minorHAnsi" w:hAnsiTheme="minorHAnsi" w:cstheme="minorHAnsi"/>
                <w:color w:val="auto"/>
                <w:sz w:val="22"/>
                <w:szCs w:val="22"/>
              </w:rPr>
              <w:t>Komnas</w:t>
            </w:r>
            <w:proofErr w:type="spellEnd"/>
            <w:r w:rsidRPr="00AE67C8">
              <w:rPr>
                <w:rFonts w:asciiTheme="minorHAnsi" w:hAnsiTheme="minorHAnsi" w:cstheme="minorHAnsi"/>
                <w:color w:val="auto"/>
                <w:sz w:val="22"/>
                <w:szCs w:val="22"/>
              </w:rPr>
              <w:t xml:space="preserve"> Perempuan</w:t>
            </w:r>
            <w:bookmarkEnd w:id="149"/>
          </w:p>
        </w:tc>
        <w:tc>
          <w:tcPr>
            <w:tcW w:w="992" w:type="dxa"/>
            <w:noWrap/>
          </w:tcPr>
          <w:p w14:paraId="08639BA9" w14:textId="2A65B391"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70576680" w14:textId="7FC680E1"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046" w:type="dxa"/>
            <w:noWrap/>
          </w:tcPr>
          <w:p w14:paraId="640440F9" w14:textId="480D1D20"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123D6FB2" w14:textId="7252E18E"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59F2ADF8" w14:textId="5E83D4B3"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4E08E6AC" w14:textId="11D73E4E"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46863DAF" w14:textId="4062A383"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26F93D50" w14:textId="4342EB29"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74584746" w14:textId="77777777" w:rsidTr="00BB26FF">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071BDE59" w14:textId="1C197413" w:rsidR="004E7542" w:rsidRPr="00AE67C8" w:rsidRDefault="004E7542" w:rsidP="004E7542">
            <w:pPr>
              <w:rPr>
                <w:rFonts w:asciiTheme="minorHAnsi" w:hAnsiTheme="minorHAnsi" w:cstheme="minorHAnsi"/>
                <w:color w:val="auto"/>
                <w:sz w:val="22"/>
                <w:szCs w:val="22"/>
              </w:rPr>
            </w:pPr>
            <w:bookmarkStart w:id="150" w:name="RowTitle_AmarAlfikar"/>
            <w:bookmarkStart w:id="151" w:name="RowTitle_AmarAlfikal"/>
            <w:r w:rsidRPr="00AE67C8">
              <w:rPr>
                <w:rFonts w:asciiTheme="minorHAnsi" w:hAnsiTheme="minorHAnsi" w:cstheme="minorHAnsi"/>
                <w:color w:val="auto"/>
                <w:sz w:val="22"/>
                <w:szCs w:val="22"/>
              </w:rPr>
              <w:t xml:space="preserve">Amar </w:t>
            </w:r>
            <w:proofErr w:type="spellStart"/>
            <w:r w:rsidRPr="00AE67C8">
              <w:rPr>
                <w:rFonts w:asciiTheme="minorHAnsi" w:hAnsiTheme="minorHAnsi" w:cstheme="minorHAnsi"/>
                <w:color w:val="auto"/>
                <w:sz w:val="22"/>
                <w:szCs w:val="22"/>
              </w:rPr>
              <w:t>Alfika</w:t>
            </w:r>
            <w:r w:rsidR="00C843C9">
              <w:rPr>
                <w:rFonts w:asciiTheme="minorHAnsi" w:hAnsiTheme="minorHAnsi" w:cstheme="minorHAnsi"/>
                <w:color w:val="auto"/>
                <w:sz w:val="22"/>
                <w:szCs w:val="22"/>
              </w:rPr>
              <w:t>r</w:t>
            </w:r>
            <w:proofErr w:type="spellEnd"/>
            <w:r w:rsidRPr="00AE67C8">
              <w:rPr>
                <w:rFonts w:asciiTheme="minorHAnsi" w:hAnsiTheme="minorHAnsi" w:cstheme="minorHAnsi"/>
                <w:color w:val="auto"/>
                <w:sz w:val="22"/>
                <w:szCs w:val="22"/>
              </w:rPr>
              <w:t xml:space="preserve"> (transman)</w:t>
            </w:r>
            <w:bookmarkEnd w:id="150"/>
            <w:bookmarkEnd w:id="151"/>
          </w:p>
        </w:tc>
        <w:tc>
          <w:tcPr>
            <w:tcW w:w="992" w:type="dxa"/>
            <w:noWrap/>
          </w:tcPr>
          <w:p w14:paraId="532DB0A2" w14:textId="59437754"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134" w:type="dxa"/>
            <w:noWrap/>
          </w:tcPr>
          <w:p w14:paraId="1ADE0873" w14:textId="7077514B"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046" w:type="dxa"/>
            <w:noWrap/>
          </w:tcPr>
          <w:p w14:paraId="52F6F633" w14:textId="2DF004E3"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674FD4DF" w14:textId="2E5544B6"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7CA660C0" w14:textId="7AB0D043"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15DA9B9D" w14:textId="6CB5D45C"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7E90A53B" w14:textId="31B2883C"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0E1FC86A" w14:textId="7B5C8457"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08B26817" w14:textId="77777777" w:rsidTr="00BB26F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272758F5" w14:textId="3F50012A" w:rsidR="004E7542" w:rsidRPr="00AE67C8" w:rsidRDefault="004E7542" w:rsidP="004E7542">
            <w:pPr>
              <w:rPr>
                <w:rFonts w:asciiTheme="minorHAnsi" w:hAnsiTheme="minorHAnsi" w:cstheme="minorHAnsi"/>
                <w:color w:val="auto"/>
                <w:sz w:val="22"/>
                <w:szCs w:val="22"/>
              </w:rPr>
            </w:pPr>
            <w:bookmarkStart w:id="152" w:name="RowTitle_YayasanCahayaGuru"/>
            <w:bookmarkStart w:id="153" w:name="RowTitle_HennySupolo"/>
            <w:r w:rsidRPr="00AE67C8">
              <w:rPr>
                <w:rFonts w:asciiTheme="minorHAnsi" w:hAnsiTheme="minorHAnsi" w:cstheme="minorHAnsi"/>
                <w:color w:val="auto"/>
                <w:sz w:val="22"/>
                <w:szCs w:val="22"/>
              </w:rPr>
              <w:lastRenderedPageBreak/>
              <w:t xml:space="preserve">Henny </w:t>
            </w:r>
            <w:proofErr w:type="spellStart"/>
            <w:r w:rsidRPr="00AE67C8">
              <w:rPr>
                <w:rFonts w:asciiTheme="minorHAnsi" w:hAnsiTheme="minorHAnsi" w:cstheme="minorHAnsi"/>
                <w:color w:val="auto"/>
                <w:sz w:val="22"/>
                <w:szCs w:val="22"/>
              </w:rPr>
              <w:t>Supolo</w:t>
            </w:r>
            <w:proofErr w:type="spellEnd"/>
            <w:r w:rsidRPr="00AE67C8">
              <w:rPr>
                <w:rFonts w:asciiTheme="minorHAnsi" w:hAnsiTheme="minorHAnsi" w:cstheme="minorHAnsi"/>
                <w:color w:val="auto"/>
                <w:sz w:val="22"/>
                <w:szCs w:val="22"/>
              </w:rPr>
              <w:t xml:space="preserve"> </w:t>
            </w:r>
            <w:proofErr w:type="spellStart"/>
            <w:r w:rsidRPr="00AE67C8">
              <w:rPr>
                <w:rFonts w:asciiTheme="minorHAnsi" w:hAnsiTheme="minorHAnsi" w:cstheme="minorHAnsi"/>
                <w:color w:val="auto"/>
                <w:sz w:val="22"/>
                <w:szCs w:val="22"/>
              </w:rPr>
              <w:t>Sitepu</w:t>
            </w:r>
            <w:proofErr w:type="spellEnd"/>
            <w:r w:rsidRPr="00AE67C8">
              <w:rPr>
                <w:rFonts w:asciiTheme="minorHAnsi" w:hAnsiTheme="minorHAnsi" w:cstheme="minorHAnsi"/>
                <w:color w:val="auto"/>
                <w:sz w:val="22"/>
                <w:szCs w:val="22"/>
              </w:rPr>
              <w:t xml:space="preserve"> (</w:t>
            </w:r>
            <w:r w:rsidRPr="00AE67C8">
              <w:rPr>
                <w:rFonts w:asciiTheme="minorHAnsi" w:hAnsiTheme="minorHAnsi" w:cstheme="minorHAnsi"/>
                <w:i/>
                <w:color w:val="auto"/>
                <w:sz w:val="22"/>
                <w:szCs w:val="22"/>
              </w:rPr>
              <w:t>Yayasan Cahaya Guru</w:t>
            </w:r>
            <w:r w:rsidRPr="00AE67C8">
              <w:rPr>
                <w:rFonts w:asciiTheme="minorHAnsi" w:hAnsiTheme="minorHAnsi" w:cstheme="minorHAnsi"/>
                <w:color w:val="auto"/>
                <w:sz w:val="22"/>
                <w:szCs w:val="22"/>
              </w:rPr>
              <w:t>)</w:t>
            </w:r>
            <w:bookmarkEnd w:id="152"/>
            <w:bookmarkEnd w:id="153"/>
          </w:p>
        </w:tc>
        <w:tc>
          <w:tcPr>
            <w:tcW w:w="992" w:type="dxa"/>
            <w:noWrap/>
          </w:tcPr>
          <w:p w14:paraId="2B8C7DD4" w14:textId="252A0CE2"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47C40B27" w14:textId="14CE91C6"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046" w:type="dxa"/>
            <w:noWrap/>
          </w:tcPr>
          <w:p w14:paraId="46ECA88A" w14:textId="49172C1E"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000A9A04" w14:textId="5744BC0C"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31C343CD" w14:textId="228F4E8E"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2B0CD9BB" w14:textId="28021F18"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27099C46" w14:textId="7A339C09"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36BCEBE4" w14:textId="7FE3D438"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6D901882" w14:textId="77777777" w:rsidTr="00BB26FF">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797466B5" w14:textId="1786C74F" w:rsidR="004E7542" w:rsidRPr="00AE67C8" w:rsidRDefault="004E7542" w:rsidP="004E7542">
            <w:pPr>
              <w:rPr>
                <w:rFonts w:asciiTheme="minorHAnsi" w:hAnsiTheme="minorHAnsi" w:cstheme="minorHAnsi"/>
                <w:color w:val="auto"/>
                <w:sz w:val="22"/>
                <w:szCs w:val="22"/>
              </w:rPr>
            </w:pPr>
            <w:bookmarkStart w:id="154" w:name="RowTitle_LBHApik"/>
            <w:proofErr w:type="spellStart"/>
            <w:r w:rsidRPr="00AE67C8">
              <w:rPr>
                <w:rFonts w:asciiTheme="minorHAnsi" w:hAnsiTheme="minorHAnsi" w:cstheme="minorHAnsi"/>
                <w:color w:val="auto"/>
                <w:sz w:val="22"/>
                <w:szCs w:val="22"/>
              </w:rPr>
              <w:t>Nursyahbani</w:t>
            </w:r>
            <w:proofErr w:type="spellEnd"/>
            <w:r w:rsidRPr="00AE67C8">
              <w:rPr>
                <w:rFonts w:asciiTheme="minorHAnsi" w:hAnsiTheme="minorHAnsi" w:cstheme="minorHAnsi"/>
                <w:color w:val="auto"/>
                <w:sz w:val="22"/>
                <w:szCs w:val="22"/>
              </w:rPr>
              <w:t xml:space="preserve"> </w:t>
            </w:r>
            <w:proofErr w:type="spellStart"/>
            <w:r w:rsidRPr="00AE67C8">
              <w:rPr>
                <w:rFonts w:asciiTheme="minorHAnsi" w:hAnsiTheme="minorHAnsi" w:cstheme="minorHAnsi"/>
                <w:color w:val="auto"/>
                <w:sz w:val="22"/>
                <w:szCs w:val="22"/>
              </w:rPr>
              <w:t>Katjasungkana</w:t>
            </w:r>
            <w:proofErr w:type="spellEnd"/>
            <w:r w:rsidRPr="00AE67C8">
              <w:rPr>
                <w:rFonts w:asciiTheme="minorHAnsi" w:hAnsiTheme="minorHAnsi" w:cstheme="minorHAnsi"/>
                <w:color w:val="auto"/>
                <w:sz w:val="22"/>
                <w:szCs w:val="22"/>
              </w:rPr>
              <w:t xml:space="preserve"> (</w:t>
            </w:r>
            <w:proofErr w:type="spellStart"/>
            <w:r w:rsidRPr="00AE67C8">
              <w:rPr>
                <w:rFonts w:asciiTheme="minorHAnsi" w:hAnsiTheme="minorHAnsi" w:cstheme="minorHAnsi"/>
                <w:i/>
                <w:color w:val="auto"/>
                <w:sz w:val="22"/>
                <w:szCs w:val="22"/>
              </w:rPr>
              <w:t>Lembaha</w:t>
            </w:r>
            <w:proofErr w:type="spellEnd"/>
            <w:r w:rsidRPr="00AE67C8">
              <w:rPr>
                <w:rFonts w:asciiTheme="minorHAnsi" w:hAnsiTheme="minorHAnsi" w:cstheme="minorHAnsi"/>
                <w:i/>
                <w:color w:val="auto"/>
                <w:sz w:val="22"/>
                <w:szCs w:val="22"/>
              </w:rPr>
              <w:t xml:space="preserve"> </w:t>
            </w:r>
            <w:proofErr w:type="spellStart"/>
            <w:r w:rsidRPr="00AE67C8">
              <w:rPr>
                <w:rFonts w:asciiTheme="minorHAnsi" w:hAnsiTheme="minorHAnsi" w:cstheme="minorHAnsi"/>
                <w:i/>
                <w:color w:val="auto"/>
                <w:sz w:val="22"/>
                <w:szCs w:val="22"/>
              </w:rPr>
              <w:t>B</w:t>
            </w:r>
            <w:r w:rsidR="00C843C9">
              <w:rPr>
                <w:rFonts w:asciiTheme="minorHAnsi" w:hAnsiTheme="minorHAnsi" w:cstheme="minorHAnsi"/>
                <w:i/>
                <w:color w:val="auto"/>
                <w:sz w:val="22"/>
                <w:szCs w:val="22"/>
              </w:rPr>
              <w:t>a</w:t>
            </w:r>
            <w:r w:rsidRPr="00AE67C8">
              <w:rPr>
                <w:rFonts w:asciiTheme="minorHAnsi" w:hAnsiTheme="minorHAnsi" w:cstheme="minorHAnsi"/>
                <w:i/>
                <w:color w:val="auto"/>
                <w:sz w:val="22"/>
                <w:szCs w:val="22"/>
              </w:rPr>
              <w:t>ntuan</w:t>
            </w:r>
            <w:proofErr w:type="spellEnd"/>
            <w:r w:rsidRPr="00AE67C8">
              <w:rPr>
                <w:rFonts w:asciiTheme="minorHAnsi" w:hAnsiTheme="minorHAnsi" w:cstheme="minorHAnsi"/>
                <w:i/>
                <w:color w:val="auto"/>
                <w:sz w:val="22"/>
                <w:szCs w:val="22"/>
              </w:rPr>
              <w:t xml:space="preserve"> Hukum </w:t>
            </w:r>
            <w:proofErr w:type="spellStart"/>
            <w:r w:rsidRPr="00AE67C8">
              <w:rPr>
                <w:rFonts w:asciiTheme="minorHAnsi" w:hAnsiTheme="minorHAnsi" w:cstheme="minorHAnsi"/>
                <w:i/>
                <w:color w:val="auto"/>
                <w:sz w:val="22"/>
                <w:szCs w:val="22"/>
              </w:rPr>
              <w:t>Apik</w:t>
            </w:r>
            <w:proofErr w:type="spellEnd"/>
            <w:r w:rsidRPr="00AE67C8">
              <w:rPr>
                <w:rFonts w:asciiTheme="minorHAnsi" w:hAnsiTheme="minorHAnsi" w:cstheme="minorHAnsi"/>
                <w:color w:val="auto"/>
                <w:sz w:val="22"/>
                <w:szCs w:val="22"/>
              </w:rPr>
              <w:t xml:space="preserve">) </w:t>
            </w:r>
            <w:bookmarkEnd w:id="154"/>
          </w:p>
        </w:tc>
        <w:tc>
          <w:tcPr>
            <w:tcW w:w="992" w:type="dxa"/>
            <w:noWrap/>
          </w:tcPr>
          <w:p w14:paraId="0195196E" w14:textId="156D0C02"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4FFD452F" w14:textId="27253319"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046" w:type="dxa"/>
            <w:noWrap/>
          </w:tcPr>
          <w:p w14:paraId="42540D11" w14:textId="21C9AA47"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2D86272F" w14:textId="2B98E39E"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0E9A0008" w14:textId="56EFEAE8"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44FFF119" w14:textId="0576D0FD"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29D11CC8" w14:textId="31EAFD89"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5649F02F" w14:textId="588FFB66"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2ABE1FC5" w14:textId="77777777" w:rsidTr="00BB26F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7D836F59" w14:textId="5AD59571" w:rsidR="004E7542" w:rsidRPr="00AE67C8" w:rsidRDefault="004E7542" w:rsidP="004E7542">
            <w:pPr>
              <w:rPr>
                <w:rFonts w:asciiTheme="minorHAnsi" w:hAnsiTheme="minorHAnsi" w:cstheme="minorHAnsi"/>
                <w:color w:val="auto"/>
                <w:sz w:val="22"/>
                <w:szCs w:val="22"/>
              </w:rPr>
            </w:pPr>
            <w:bookmarkStart w:id="155" w:name="RowTitle_PEKKA"/>
            <w:r w:rsidRPr="00AE67C8">
              <w:rPr>
                <w:rFonts w:asciiTheme="minorHAnsi" w:hAnsiTheme="minorHAnsi" w:cstheme="minorHAnsi"/>
                <w:color w:val="auto"/>
                <w:sz w:val="22"/>
                <w:szCs w:val="22"/>
              </w:rPr>
              <w:t xml:space="preserve">Nani </w:t>
            </w:r>
            <w:proofErr w:type="spellStart"/>
            <w:r w:rsidRPr="00AE67C8">
              <w:rPr>
                <w:rFonts w:asciiTheme="minorHAnsi" w:hAnsiTheme="minorHAnsi" w:cstheme="minorHAnsi"/>
                <w:color w:val="auto"/>
                <w:sz w:val="22"/>
                <w:szCs w:val="22"/>
              </w:rPr>
              <w:t>Zulminarni</w:t>
            </w:r>
            <w:proofErr w:type="spellEnd"/>
            <w:r w:rsidRPr="00AE67C8">
              <w:rPr>
                <w:rFonts w:asciiTheme="minorHAnsi" w:hAnsiTheme="minorHAnsi" w:cstheme="minorHAnsi"/>
                <w:color w:val="auto"/>
                <w:sz w:val="22"/>
                <w:szCs w:val="22"/>
              </w:rPr>
              <w:t>, Director, Ashoka Foundation/ former Director, PEKKA</w:t>
            </w:r>
            <w:bookmarkEnd w:id="155"/>
          </w:p>
        </w:tc>
        <w:tc>
          <w:tcPr>
            <w:tcW w:w="992" w:type="dxa"/>
            <w:noWrap/>
          </w:tcPr>
          <w:p w14:paraId="3653A0FE" w14:textId="6478900E"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41540D42" w14:textId="00A8000D"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046" w:type="dxa"/>
            <w:noWrap/>
          </w:tcPr>
          <w:p w14:paraId="508D86C6" w14:textId="29F55B6D"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6078460D" w14:textId="40B6AC33"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01243EB0" w14:textId="7EFCBF0C"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668590DF" w14:textId="6ED26968"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2D1397ED" w14:textId="624CDFCF"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63B82707" w14:textId="50D95FFB"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4AB35030" w14:textId="77777777" w:rsidTr="00BB26FF">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2F78796E" w14:textId="5C181E46" w:rsidR="004E7542" w:rsidRPr="00AE67C8" w:rsidRDefault="004E7542" w:rsidP="004E7542">
            <w:pPr>
              <w:rPr>
                <w:rFonts w:asciiTheme="minorHAnsi" w:hAnsiTheme="minorHAnsi" w:cstheme="minorHAnsi"/>
                <w:color w:val="auto"/>
                <w:sz w:val="22"/>
                <w:szCs w:val="22"/>
              </w:rPr>
            </w:pPr>
            <w:bookmarkStart w:id="156" w:name="RowTitle_PesantrinBabakan"/>
            <w:bookmarkStart w:id="157" w:name="RowTitle_PesantrenBabakan"/>
            <w:r w:rsidRPr="00AE67C8">
              <w:rPr>
                <w:rFonts w:asciiTheme="minorHAnsi" w:hAnsiTheme="minorHAnsi" w:cstheme="minorHAnsi"/>
                <w:color w:val="auto"/>
                <w:sz w:val="22"/>
                <w:szCs w:val="22"/>
              </w:rPr>
              <w:t xml:space="preserve">Jamaluddin Muhammad, RK researcher/ Head of </w:t>
            </w:r>
            <w:proofErr w:type="spellStart"/>
            <w:r w:rsidRPr="00AE67C8">
              <w:rPr>
                <w:rFonts w:asciiTheme="minorHAnsi" w:hAnsiTheme="minorHAnsi" w:cstheme="minorHAnsi"/>
                <w:i/>
                <w:color w:val="auto"/>
                <w:sz w:val="22"/>
                <w:szCs w:val="22"/>
              </w:rPr>
              <w:t>Pondok</w:t>
            </w:r>
            <w:proofErr w:type="spellEnd"/>
            <w:r w:rsidRPr="00AE67C8">
              <w:rPr>
                <w:rFonts w:asciiTheme="minorHAnsi" w:hAnsiTheme="minorHAnsi" w:cstheme="minorHAnsi"/>
                <w:i/>
                <w:color w:val="auto"/>
                <w:sz w:val="22"/>
                <w:szCs w:val="22"/>
              </w:rPr>
              <w:t xml:space="preserve"> </w:t>
            </w:r>
            <w:proofErr w:type="spellStart"/>
            <w:r w:rsidRPr="00AE67C8">
              <w:rPr>
                <w:rFonts w:asciiTheme="minorHAnsi" w:hAnsiTheme="minorHAnsi" w:cstheme="minorHAnsi"/>
                <w:i/>
                <w:color w:val="auto"/>
                <w:sz w:val="22"/>
                <w:szCs w:val="22"/>
              </w:rPr>
              <w:t>Pesantren</w:t>
            </w:r>
            <w:proofErr w:type="spellEnd"/>
            <w:r w:rsidRPr="00AE67C8">
              <w:rPr>
                <w:rFonts w:asciiTheme="minorHAnsi" w:hAnsiTheme="minorHAnsi" w:cstheme="minorHAnsi"/>
                <w:i/>
                <w:color w:val="auto"/>
                <w:sz w:val="22"/>
                <w:szCs w:val="22"/>
              </w:rPr>
              <w:t xml:space="preserve"> </w:t>
            </w:r>
            <w:proofErr w:type="spellStart"/>
            <w:r w:rsidRPr="00AE67C8">
              <w:rPr>
                <w:rFonts w:asciiTheme="minorHAnsi" w:hAnsiTheme="minorHAnsi" w:cstheme="minorHAnsi"/>
                <w:i/>
                <w:color w:val="auto"/>
                <w:sz w:val="22"/>
                <w:szCs w:val="22"/>
              </w:rPr>
              <w:t>Babakan</w:t>
            </w:r>
            <w:proofErr w:type="spellEnd"/>
            <w:r w:rsidRPr="00AE67C8">
              <w:rPr>
                <w:rFonts w:asciiTheme="minorHAnsi" w:hAnsiTheme="minorHAnsi" w:cstheme="minorHAnsi"/>
                <w:i/>
                <w:color w:val="auto"/>
                <w:sz w:val="22"/>
                <w:szCs w:val="22"/>
              </w:rPr>
              <w:t xml:space="preserve"> </w:t>
            </w:r>
            <w:proofErr w:type="spellStart"/>
            <w:r w:rsidRPr="00AE67C8">
              <w:rPr>
                <w:rFonts w:asciiTheme="minorHAnsi" w:hAnsiTheme="minorHAnsi" w:cstheme="minorHAnsi"/>
                <w:i/>
                <w:color w:val="auto"/>
                <w:sz w:val="22"/>
                <w:szCs w:val="22"/>
              </w:rPr>
              <w:t>Ciwaringin</w:t>
            </w:r>
            <w:proofErr w:type="spellEnd"/>
            <w:r w:rsidRPr="00AE67C8">
              <w:rPr>
                <w:rFonts w:asciiTheme="minorHAnsi" w:hAnsiTheme="minorHAnsi" w:cstheme="minorHAnsi"/>
                <w:color w:val="auto"/>
                <w:sz w:val="22"/>
                <w:szCs w:val="22"/>
              </w:rPr>
              <w:t>, Cirebon</w:t>
            </w:r>
            <w:bookmarkEnd w:id="156"/>
            <w:bookmarkEnd w:id="157"/>
          </w:p>
        </w:tc>
        <w:tc>
          <w:tcPr>
            <w:tcW w:w="992" w:type="dxa"/>
            <w:noWrap/>
          </w:tcPr>
          <w:p w14:paraId="3BD7507F" w14:textId="0645DA4E"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134" w:type="dxa"/>
            <w:noWrap/>
          </w:tcPr>
          <w:p w14:paraId="4E37E251" w14:textId="392212A6"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50F21085" w14:textId="7EF4D912"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7170A903" w14:textId="1ECA899E"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0A10CB1C" w14:textId="493A2F43"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414C9DC1" w14:textId="5CB2907A"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334CD1E0" w14:textId="224D30EC"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251C5345" w14:textId="715F5869"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p>
        </w:tc>
      </w:tr>
      <w:tr w:rsidR="0085029C" w14:paraId="0CB6A174" w14:textId="77777777" w:rsidTr="00BB26F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1798C835" w14:textId="555C8A99" w:rsidR="004E7542" w:rsidRPr="00AE67C8" w:rsidRDefault="004E7542" w:rsidP="004E7542">
            <w:pPr>
              <w:rPr>
                <w:rFonts w:asciiTheme="minorHAnsi" w:hAnsiTheme="minorHAnsi" w:cstheme="minorHAnsi"/>
                <w:color w:val="auto"/>
                <w:sz w:val="22"/>
                <w:szCs w:val="22"/>
              </w:rPr>
            </w:pPr>
            <w:bookmarkStart w:id="158" w:name="RowTitle_RumahKitab"/>
            <w:proofErr w:type="spellStart"/>
            <w:r w:rsidRPr="00AE67C8">
              <w:rPr>
                <w:rFonts w:asciiTheme="minorHAnsi" w:hAnsiTheme="minorHAnsi" w:cstheme="minorHAnsi"/>
                <w:color w:val="auto"/>
                <w:sz w:val="22"/>
                <w:szCs w:val="22"/>
              </w:rPr>
              <w:t>Nurasiah</w:t>
            </w:r>
            <w:proofErr w:type="spellEnd"/>
            <w:r w:rsidRPr="00AE67C8">
              <w:rPr>
                <w:rFonts w:asciiTheme="minorHAnsi" w:hAnsiTheme="minorHAnsi" w:cstheme="minorHAnsi"/>
                <w:color w:val="auto"/>
                <w:sz w:val="22"/>
                <w:szCs w:val="22"/>
              </w:rPr>
              <w:t xml:space="preserve"> Jamil, Program Officer, </w:t>
            </w:r>
            <w:proofErr w:type="spellStart"/>
            <w:r w:rsidRPr="00AE67C8">
              <w:rPr>
                <w:rFonts w:asciiTheme="minorHAnsi" w:hAnsiTheme="minorHAnsi" w:cstheme="minorHAnsi"/>
                <w:i/>
                <w:color w:val="auto"/>
                <w:sz w:val="22"/>
                <w:szCs w:val="22"/>
              </w:rPr>
              <w:t>Rumah</w:t>
            </w:r>
            <w:proofErr w:type="spellEnd"/>
            <w:r w:rsidRPr="00AE67C8">
              <w:rPr>
                <w:rFonts w:asciiTheme="minorHAnsi" w:hAnsiTheme="minorHAnsi" w:cstheme="minorHAnsi"/>
                <w:i/>
                <w:color w:val="auto"/>
                <w:sz w:val="22"/>
                <w:szCs w:val="22"/>
              </w:rPr>
              <w:t xml:space="preserve"> </w:t>
            </w:r>
            <w:proofErr w:type="spellStart"/>
            <w:r w:rsidRPr="00AE67C8">
              <w:rPr>
                <w:rFonts w:asciiTheme="minorHAnsi" w:hAnsiTheme="minorHAnsi" w:cstheme="minorHAnsi"/>
                <w:i/>
                <w:color w:val="auto"/>
                <w:sz w:val="22"/>
                <w:szCs w:val="22"/>
              </w:rPr>
              <w:t>KitaB</w:t>
            </w:r>
            <w:bookmarkEnd w:id="158"/>
            <w:proofErr w:type="spellEnd"/>
          </w:p>
        </w:tc>
        <w:tc>
          <w:tcPr>
            <w:tcW w:w="992" w:type="dxa"/>
            <w:noWrap/>
          </w:tcPr>
          <w:p w14:paraId="5B454E4E" w14:textId="5F64F323"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0CD9DC65" w14:textId="5D3901E0"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046" w:type="dxa"/>
            <w:noWrap/>
          </w:tcPr>
          <w:p w14:paraId="1CE8C697" w14:textId="65BFF2BC"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291755AA" w14:textId="3C720461"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7F3E272E" w14:textId="2402A25F"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0E721A68" w14:textId="095A3E00"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4A6BC3A6" w14:textId="0A03199A"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233D962A" w14:textId="125EFA5C"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5B7477DC" w14:textId="77777777" w:rsidTr="00BB26FF">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5C2133FC" w14:textId="1E272CAF" w:rsidR="004E7542" w:rsidRPr="00AE67C8" w:rsidRDefault="004E7542" w:rsidP="004E7542">
            <w:pPr>
              <w:rPr>
                <w:rFonts w:asciiTheme="minorHAnsi" w:hAnsiTheme="minorHAnsi" w:cstheme="minorHAnsi"/>
                <w:color w:val="auto"/>
                <w:sz w:val="22"/>
                <w:szCs w:val="22"/>
              </w:rPr>
            </w:pPr>
            <w:bookmarkStart w:id="159" w:name="RowTitle_KomnasPerempuan2"/>
            <w:r w:rsidRPr="00AE67C8">
              <w:rPr>
                <w:rFonts w:asciiTheme="minorHAnsi" w:hAnsiTheme="minorHAnsi" w:cstheme="minorHAnsi"/>
                <w:color w:val="auto"/>
                <w:sz w:val="22"/>
                <w:szCs w:val="22"/>
              </w:rPr>
              <w:t xml:space="preserve">Kiai Imam </w:t>
            </w:r>
            <w:proofErr w:type="spellStart"/>
            <w:r w:rsidRPr="00AE67C8">
              <w:rPr>
                <w:rFonts w:asciiTheme="minorHAnsi" w:hAnsiTheme="minorHAnsi" w:cstheme="minorHAnsi"/>
                <w:color w:val="auto"/>
                <w:sz w:val="22"/>
                <w:szCs w:val="22"/>
              </w:rPr>
              <w:t>Nakhai</w:t>
            </w:r>
            <w:proofErr w:type="spellEnd"/>
            <w:r w:rsidRPr="00AE67C8">
              <w:rPr>
                <w:rFonts w:asciiTheme="minorHAnsi" w:hAnsiTheme="minorHAnsi" w:cstheme="minorHAnsi"/>
                <w:color w:val="auto"/>
                <w:sz w:val="22"/>
                <w:szCs w:val="22"/>
              </w:rPr>
              <w:t>, Commissioner, National Commission for Women (</w:t>
            </w:r>
            <w:proofErr w:type="spellStart"/>
            <w:r w:rsidRPr="00AE67C8">
              <w:rPr>
                <w:rFonts w:asciiTheme="minorHAnsi" w:hAnsiTheme="minorHAnsi" w:cstheme="minorHAnsi"/>
                <w:i/>
                <w:color w:val="auto"/>
                <w:sz w:val="22"/>
                <w:szCs w:val="22"/>
              </w:rPr>
              <w:t>Komnas</w:t>
            </w:r>
            <w:proofErr w:type="spellEnd"/>
            <w:r w:rsidRPr="00AE67C8">
              <w:rPr>
                <w:rFonts w:asciiTheme="minorHAnsi" w:hAnsiTheme="minorHAnsi" w:cstheme="minorHAnsi"/>
                <w:i/>
                <w:color w:val="auto"/>
                <w:sz w:val="22"/>
                <w:szCs w:val="22"/>
              </w:rPr>
              <w:t xml:space="preserve"> Perempuan</w:t>
            </w:r>
            <w:r w:rsidRPr="00AE67C8">
              <w:rPr>
                <w:rFonts w:asciiTheme="minorHAnsi" w:hAnsiTheme="minorHAnsi" w:cstheme="minorHAnsi"/>
                <w:color w:val="auto"/>
                <w:sz w:val="22"/>
                <w:szCs w:val="22"/>
              </w:rPr>
              <w:t>)</w:t>
            </w:r>
            <w:bookmarkEnd w:id="159"/>
          </w:p>
        </w:tc>
        <w:tc>
          <w:tcPr>
            <w:tcW w:w="992" w:type="dxa"/>
            <w:noWrap/>
          </w:tcPr>
          <w:p w14:paraId="00D4213E" w14:textId="4D990770"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650C0111" w14:textId="7B2886E0"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046" w:type="dxa"/>
            <w:noWrap/>
          </w:tcPr>
          <w:p w14:paraId="1891D633" w14:textId="7C10DC7D"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2DD32C7C" w14:textId="27A94B4E"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195E4F3D" w14:textId="27AE6F9B"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5212A7DB" w14:textId="110B65A1"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30BE6E73" w14:textId="16A6DB0D"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14A00F37" w14:textId="7A1D72CD"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621AD15B" w14:textId="77777777" w:rsidTr="00BB26F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7FFEBC6E" w14:textId="39DE7117" w:rsidR="004E7542" w:rsidRPr="00AE67C8" w:rsidRDefault="004E7542" w:rsidP="004E7542">
            <w:pPr>
              <w:rPr>
                <w:rFonts w:asciiTheme="minorHAnsi" w:hAnsiTheme="minorHAnsi" w:cstheme="minorHAnsi"/>
                <w:color w:val="auto"/>
                <w:sz w:val="22"/>
                <w:szCs w:val="22"/>
              </w:rPr>
            </w:pPr>
            <w:bookmarkStart w:id="160" w:name="RowTitle_NurhadyS"/>
            <w:bookmarkStart w:id="161" w:name="RowTitle_Nurhady"/>
            <w:proofErr w:type="spellStart"/>
            <w:r w:rsidRPr="00AE67C8">
              <w:rPr>
                <w:rFonts w:asciiTheme="minorHAnsi" w:hAnsiTheme="minorHAnsi" w:cstheme="minorHAnsi"/>
                <w:color w:val="auto"/>
                <w:sz w:val="22"/>
                <w:szCs w:val="22"/>
              </w:rPr>
              <w:t>Nurhady</w:t>
            </w:r>
            <w:proofErr w:type="spellEnd"/>
            <w:r w:rsidRPr="00AE67C8">
              <w:rPr>
                <w:rFonts w:asciiTheme="minorHAnsi" w:hAnsiTheme="minorHAnsi" w:cstheme="minorHAnsi"/>
                <w:color w:val="auto"/>
                <w:sz w:val="22"/>
                <w:szCs w:val="22"/>
              </w:rPr>
              <w:t xml:space="preserve"> </w:t>
            </w:r>
            <w:proofErr w:type="spellStart"/>
            <w:r w:rsidRPr="00AE67C8">
              <w:rPr>
                <w:rFonts w:asciiTheme="minorHAnsi" w:hAnsiTheme="minorHAnsi" w:cstheme="minorHAnsi"/>
                <w:color w:val="auto"/>
                <w:sz w:val="22"/>
                <w:szCs w:val="22"/>
              </w:rPr>
              <w:t>Sirimorok</w:t>
            </w:r>
            <w:proofErr w:type="spellEnd"/>
            <w:r w:rsidRPr="00AE67C8">
              <w:rPr>
                <w:rFonts w:asciiTheme="minorHAnsi" w:hAnsiTheme="minorHAnsi" w:cstheme="minorHAnsi"/>
                <w:color w:val="auto"/>
                <w:sz w:val="22"/>
                <w:szCs w:val="22"/>
              </w:rPr>
              <w:t xml:space="preserve"> </w:t>
            </w:r>
            <w:bookmarkEnd w:id="160"/>
            <w:bookmarkEnd w:id="161"/>
          </w:p>
        </w:tc>
        <w:tc>
          <w:tcPr>
            <w:tcW w:w="992" w:type="dxa"/>
            <w:noWrap/>
          </w:tcPr>
          <w:p w14:paraId="6A8FC5B0" w14:textId="69E1CDC6"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134" w:type="dxa"/>
            <w:noWrap/>
          </w:tcPr>
          <w:p w14:paraId="289FE959" w14:textId="44C77D5E"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19C7D134" w14:textId="7DD899A8"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21B17183" w14:textId="01DDE72A"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2F5C7C38" w14:textId="68548E47"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0A162AB7" w14:textId="3AC24503"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0F717511" w14:textId="72956754"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0EA4C4B3" w14:textId="3561F1DD"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p>
        </w:tc>
      </w:tr>
      <w:tr w:rsidR="0085029C" w14:paraId="025174C3" w14:textId="77777777" w:rsidTr="00BB26FF">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35336CC3" w14:textId="09F90109" w:rsidR="004E7542" w:rsidRPr="00AE67C8" w:rsidRDefault="004E7542" w:rsidP="004E7542">
            <w:pPr>
              <w:rPr>
                <w:rFonts w:asciiTheme="minorHAnsi" w:hAnsiTheme="minorHAnsi" w:cstheme="minorHAnsi"/>
                <w:color w:val="auto"/>
                <w:sz w:val="22"/>
                <w:szCs w:val="22"/>
              </w:rPr>
            </w:pPr>
            <w:bookmarkStart w:id="162" w:name="RowTitle_KomnasPerempuan3"/>
            <w:r w:rsidRPr="00AE67C8">
              <w:rPr>
                <w:rFonts w:asciiTheme="minorHAnsi" w:hAnsiTheme="minorHAnsi" w:cstheme="minorHAnsi"/>
                <w:color w:val="auto"/>
                <w:sz w:val="22"/>
                <w:szCs w:val="22"/>
              </w:rPr>
              <w:t xml:space="preserve">Kamala </w:t>
            </w:r>
            <w:proofErr w:type="spellStart"/>
            <w:r w:rsidRPr="00AE67C8">
              <w:rPr>
                <w:rFonts w:asciiTheme="minorHAnsi" w:hAnsiTheme="minorHAnsi" w:cstheme="minorHAnsi"/>
                <w:color w:val="auto"/>
                <w:sz w:val="22"/>
                <w:szCs w:val="22"/>
              </w:rPr>
              <w:t>Chandrakirana</w:t>
            </w:r>
            <w:proofErr w:type="spellEnd"/>
            <w:r w:rsidRPr="00AE67C8">
              <w:rPr>
                <w:rFonts w:asciiTheme="minorHAnsi" w:hAnsiTheme="minorHAnsi" w:cstheme="minorHAnsi"/>
                <w:color w:val="auto"/>
                <w:sz w:val="22"/>
                <w:szCs w:val="22"/>
              </w:rPr>
              <w:t xml:space="preserve"> (Former Chief Commissioner, </w:t>
            </w:r>
            <w:proofErr w:type="spellStart"/>
            <w:r w:rsidRPr="00AE67C8">
              <w:rPr>
                <w:rFonts w:asciiTheme="minorHAnsi" w:hAnsiTheme="minorHAnsi" w:cstheme="minorHAnsi"/>
                <w:color w:val="auto"/>
                <w:sz w:val="22"/>
                <w:szCs w:val="22"/>
              </w:rPr>
              <w:t>Komnas</w:t>
            </w:r>
            <w:proofErr w:type="spellEnd"/>
            <w:r w:rsidRPr="00AE67C8">
              <w:rPr>
                <w:rFonts w:asciiTheme="minorHAnsi" w:hAnsiTheme="minorHAnsi" w:cstheme="minorHAnsi"/>
                <w:color w:val="auto"/>
                <w:sz w:val="22"/>
                <w:szCs w:val="22"/>
              </w:rPr>
              <w:t xml:space="preserve"> Perempuan)</w:t>
            </w:r>
            <w:bookmarkEnd w:id="162"/>
          </w:p>
        </w:tc>
        <w:tc>
          <w:tcPr>
            <w:tcW w:w="992" w:type="dxa"/>
            <w:noWrap/>
          </w:tcPr>
          <w:p w14:paraId="10E0520E" w14:textId="3598846A"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08B89511" w14:textId="5F3C3F51"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046" w:type="dxa"/>
            <w:noWrap/>
          </w:tcPr>
          <w:p w14:paraId="2C3B6693" w14:textId="6E3DF7B2"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7DDACE1F" w14:textId="707B1FEA"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4E22685B" w14:textId="72DF2D1F"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190A56E2" w14:textId="159322E9"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3CB3DE30" w14:textId="7E5CED4E"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5B5FB938" w14:textId="427EC100"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0D3AD609" w14:textId="77777777" w:rsidTr="00BB26F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03BD3EB6" w14:textId="2531DAA2" w:rsidR="004E7542" w:rsidRPr="00AE67C8" w:rsidRDefault="004E7542" w:rsidP="004E7542">
            <w:pPr>
              <w:rPr>
                <w:rFonts w:asciiTheme="minorHAnsi" w:hAnsiTheme="minorHAnsi" w:cstheme="minorHAnsi"/>
                <w:color w:val="auto"/>
                <w:sz w:val="22"/>
                <w:szCs w:val="22"/>
              </w:rPr>
            </w:pPr>
            <w:bookmarkStart w:id="163" w:name="RowTitle_HivosIndonesia"/>
            <w:bookmarkStart w:id="164" w:name="RowTitle_HIVOS"/>
            <w:r w:rsidRPr="00AE67C8">
              <w:rPr>
                <w:rFonts w:asciiTheme="minorHAnsi" w:hAnsiTheme="minorHAnsi" w:cstheme="minorHAnsi"/>
                <w:color w:val="auto"/>
                <w:sz w:val="22"/>
                <w:szCs w:val="22"/>
              </w:rPr>
              <w:t xml:space="preserve">Tunggal </w:t>
            </w:r>
            <w:proofErr w:type="spellStart"/>
            <w:r w:rsidRPr="00AE67C8">
              <w:rPr>
                <w:rFonts w:asciiTheme="minorHAnsi" w:hAnsiTheme="minorHAnsi" w:cstheme="minorHAnsi"/>
                <w:color w:val="auto"/>
                <w:sz w:val="22"/>
                <w:szCs w:val="22"/>
              </w:rPr>
              <w:t>Pawestri</w:t>
            </w:r>
            <w:proofErr w:type="spellEnd"/>
            <w:r w:rsidRPr="00AE67C8">
              <w:rPr>
                <w:rFonts w:asciiTheme="minorHAnsi" w:hAnsiTheme="minorHAnsi" w:cstheme="minorHAnsi"/>
                <w:color w:val="auto"/>
                <w:sz w:val="22"/>
                <w:szCs w:val="22"/>
              </w:rPr>
              <w:t xml:space="preserve"> (Director, </w:t>
            </w:r>
            <w:proofErr w:type="spellStart"/>
            <w:r w:rsidRPr="00AE67C8">
              <w:rPr>
                <w:rFonts w:asciiTheme="minorHAnsi" w:hAnsiTheme="minorHAnsi" w:cstheme="minorHAnsi"/>
                <w:color w:val="auto"/>
                <w:sz w:val="22"/>
                <w:szCs w:val="22"/>
              </w:rPr>
              <w:t>Hivos</w:t>
            </w:r>
            <w:proofErr w:type="spellEnd"/>
            <w:r w:rsidRPr="00AE67C8">
              <w:rPr>
                <w:rFonts w:asciiTheme="minorHAnsi" w:hAnsiTheme="minorHAnsi" w:cstheme="minorHAnsi"/>
                <w:color w:val="auto"/>
                <w:sz w:val="22"/>
                <w:szCs w:val="22"/>
              </w:rPr>
              <w:t xml:space="preserve"> Indonesia)</w:t>
            </w:r>
            <w:bookmarkEnd w:id="163"/>
            <w:bookmarkEnd w:id="164"/>
          </w:p>
        </w:tc>
        <w:tc>
          <w:tcPr>
            <w:tcW w:w="992" w:type="dxa"/>
            <w:noWrap/>
          </w:tcPr>
          <w:p w14:paraId="0E1B84EB" w14:textId="4F52734B"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50C6D2B5" w14:textId="7CDD4121" w:rsidR="004E7542" w:rsidRPr="00BE4B19"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046" w:type="dxa"/>
            <w:noWrap/>
          </w:tcPr>
          <w:p w14:paraId="768E5174" w14:textId="7DFD682A"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4CD7B7F7" w14:textId="68B67F8A"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0AB95D12" w14:textId="27D53D55"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043422F5" w14:textId="75CF174A"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5F2DB2F2" w14:textId="13588189"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7736D29D" w14:textId="2BB919A8" w:rsidR="004E7542" w:rsidRPr="00BE4B19"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03E95ED9" w14:textId="77777777" w:rsidTr="00BB26FF">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noWrap/>
          </w:tcPr>
          <w:p w14:paraId="4270757B" w14:textId="2AE85A90" w:rsidR="004E7542" w:rsidRPr="00AE67C8" w:rsidRDefault="004E7542" w:rsidP="004E7542">
            <w:pPr>
              <w:rPr>
                <w:rFonts w:asciiTheme="minorHAnsi" w:hAnsiTheme="minorHAnsi" w:cstheme="minorHAnsi"/>
                <w:color w:val="auto"/>
                <w:sz w:val="22"/>
                <w:szCs w:val="22"/>
              </w:rPr>
            </w:pPr>
            <w:bookmarkStart w:id="165" w:name="RowTitle_YayasanSamdhana"/>
            <w:r w:rsidRPr="00AE67C8">
              <w:rPr>
                <w:rFonts w:asciiTheme="minorHAnsi" w:hAnsiTheme="minorHAnsi" w:cstheme="minorHAnsi"/>
                <w:color w:val="auto"/>
                <w:sz w:val="22"/>
                <w:szCs w:val="22"/>
              </w:rPr>
              <w:t xml:space="preserve">Melani Abdul </w:t>
            </w:r>
            <w:proofErr w:type="spellStart"/>
            <w:r w:rsidRPr="00AE67C8">
              <w:rPr>
                <w:rFonts w:asciiTheme="minorHAnsi" w:hAnsiTheme="minorHAnsi" w:cstheme="minorHAnsi"/>
                <w:color w:val="auto"/>
                <w:sz w:val="22"/>
                <w:szCs w:val="22"/>
              </w:rPr>
              <w:t>Kodir</w:t>
            </w:r>
            <w:proofErr w:type="spellEnd"/>
            <w:r w:rsidRPr="00AE67C8">
              <w:rPr>
                <w:rFonts w:asciiTheme="minorHAnsi" w:hAnsiTheme="minorHAnsi" w:cstheme="minorHAnsi"/>
                <w:color w:val="auto"/>
                <w:sz w:val="22"/>
                <w:szCs w:val="22"/>
              </w:rPr>
              <w:t xml:space="preserve">- </w:t>
            </w:r>
            <w:proofErr w:type="spellStart"/>
            <w:r w:rsidRPr="00AE67C8">
              <w:rPr>
                <w:rFonts w:asciiTheme="minorHAnsi" w:hAnsiTheme="minorHAnsi" w:cstheme="minorHAnsi"/>
                <w:color w:val="auto"/>
                <w:sz w:val="22"/>
                <w:szCs w:val="22"/>
              </w:rPr>
              <w:t>Sunito</w:t>
            </w:r>
            <w:proofErr w:type="spellEnd"/>
            <w:r w:rsidRPr="00AE67C8">
              <w:rPr>
                <w:rFonts w:asciiTheme="minorHAnsi" w:hAnsiTheme="minorHAnsi" w:cstheme="minorHAnsi"/>
                <w:color w:val="auto"/>
                <w:sz w:val="22"/>
                <w:szCs w:val="22"/>
              </w:rPr>
              <w:t xml:space="preserve"> (</w:t>
            </w:r>
            <w:r w:rsidRPr="00AE67C8">
              <w:rPr>
                <w:rFonts w:asciiTheme="minorHAnsi" w:hAnsiTheme="minorHAnsi" w:cstheme="minorHAnsi"/>
                <w:i/>
                <w:color w:val="auto"/>
                <w:sz w:val="22"/>
                <w:szCs w:val="22"/>
              </w:rPr>
              <w:t xml:space="preserve">Yayasan </w:t>
            </w:r>
            <w:proofErr w:type="spellStart"/>
            <w:r w:rsidRPr="00AE67C8">
              <w:rPr>
                <w:rFonts w:asciiTheme="minorHAnsi" w:hAnsiTheme="minorHAnsi" w:cstheme="minorHAnsi"/>
                <w:i/>
                <w:color w:val="auto"/>
                <w:sz w:val="22"/>
                <w:szCs w:val="22"/>
              </w:rPr>
              <w:t>Samdhana</w:t>
            </w:r>
            <w:proofErr w:type="spellEnd"/>
            <w:r w:rsidRPr="00AE67C8">
              <w:rPr>
                <w:rFonts w:asciiTheme="minorHAnsi" w:hAnsiTheme="minorHAnsi" w:cstheme="minorHAnsi"/>
                <w:color w:val="auto"/>
                <w:sz w:val="22"/>
                <w:szCs w:val="22"/>
              </w:rPr>
              <w:t xml:space="preserve">) </w:t>
            </w:r>
            <w:bookmarkEnd w:id="165"/>
          </w:p>
        </w:tc>
        <w:tc>
          <w:tcPr>
            <w:tcW w:w="992" w:type="dxa"/>
            <w:noWrap/>
          </w:tcPr>
          <w:p w14:paraId="6F57B537" w14:textId="0E1AB8B7"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12CFEE67" w14:textId="04CC25AD" w:rsidR="004E7542" w:rsidRPr="00BE4B19"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1</w:t>
            </w:r>
          </w:p>
        </w:tc>
        <w:tc>
          <w:tcPr>
            <w:tcW w:w="1046" w:type="dxa"/>
            <w:noWrap/>
          </w:tcPr>
          <w:p w14:paraId="4DF99CCA" w14:textId="4ADD2A6D"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7C00D423" w14:textId="3148111E"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tcPr>
          <w:p w14:paraId="46D72BFD" w14:textId="15D9D5AB"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tcPr>
          <w:p w14:paraId="47BF6AB1" w14:textId="0CC52D9A"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tcPr>
          <w:p w14:paraId="156CE3B7" w14:textId="76083A5D"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tcPr>
          <w:p w14:paraId="0D68AE0A" w14:textId="789A9A35" w:rsidR="004E7542" w:rsidRPr="00BE4B19"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bl>
    <w:p w14:paraId="3C1050F5" w14:textId="77777777" w:rsidR="006E6670" w:rsidRDefault="006E6670" w:rsidP="004E7542">
      <w:pPr>
        <w:rPr>
          <w:rFonts w:asciiTheme="minorHAnsi" w:hAnsiTheme="minorHAnsi" w:cstheme="minorHAnsi"/>
          <w:b/>
          <w:bCs/>
          <w:sz w:val="22"/>
          <w:szCs w:val="22"/>
        </w:rPr>
      </w:pPr>
    </w:p>
    <w:p w14:paraId="44EEB227" w14:textId="77777777" w:rsidR="006E6670" w:rsidRDefault="006E6670" w:rsidP="004E7542">
      <w:pPr>
        <w:rPr>
          <w:rFonts w:asciiTheme="minorHAnsi" w:hAnsiTheme="minorHAnsi" w:cstheme="minorHAnsi"/>
          <w:b/>
          <w:bCs/>
          <w:sz w:val="22"/>
          <w:szCs w:val="22"/>
        </w:rPr>
      </w:pPr>
    </w:p>
    <w:p w14:paraId="1A8C37CE" w14:textId="155E390C" w:rsidR="004E7542" w:rsidRPr="004E7542" w:rsidRDefault="004E7542" w:rsidP="004E7542">
      <w:pPr>
        <w:rPr>
          <w:rFonts w:asciiTheme="minorHAnsi" w:hAnsiTheme="minorHAnsi" w:cstheme="minorHAnsi"/>
          <w:b/>
          <w:bCs/>
          <w:sz w:val="22"/>
          <w:szCs w:val="22"/>
        </w:rPr>
      </w:pPr>
      <w:r w:rsidRPr="004E7542">
        <w:rPr>
          <w:rFonts w:asciiTheme="minorHAnsi" w:hAnsiTheme="minorHAnsi" w:cstheme="minorHAnsi"/>
          <w:b/>
          <w:bCs/>
          <w:sz w:val="22"/>
          <w:szCs w:val="22"/>
        </w:rPr>
        <w:t>Table 4: Research institutions</w:t>
      </w:r>
    </w:p>
    <w:tbl>
      <w:tblPr>
        <w:tblStyle w:val="GridTable5Dark-Accent1"/>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2"/>
        <w:gridCol w:w="1134"/>
        <w:gridCol w:w="1046"/>
        <w:gridCol w:w="1046"/>
        <w:gridCol w:w="819"/>
        <w:gridCol w:w="1018"/>
        <w:gridCol w:w="1046"/>
        <w:gridCol w:w="1103"/>
      </w:tblGrid>
      <w:tr w:rsidR="00AA3865" w14:paraId="06B37D5A" w14:textId="77777777" w:rsidTr="00393078">
        <w:trPr>
          <w:cnfStyle w:val="100000000000" w:firstRow="1" w:lastRow="0" w:firstColumn="0" w:lastColumn="0" w:oddVBand="0" w:evenVBand="0" w:oddHBand="0" w:evenHBand="0" w:firstRowFirstColumn="0" w:firstRowLastColumn="0" w:lastRowFirstColumn="0" w:lastRowLastColumn="0"/>
          <w:trHeight w:val="1733"/>
          <w:tblHead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hideMark/>
          </w:tcPr>
          <w:p w14:paraId="5D11E99B" w14:textId="77777777" w:rsidR="00AA3865" w:rsidRPr="00AE67C8" w:rsidRDefault="00AA3865">
            <w:pPr>
              <w:jc w:val="center"/>
              <w:rPr>
                <w:rFonts w:ascii="Calibri" w:hAnsi="Calibri" w:cs="Calibri"/>
                <w:color w:val="auto"/>
                <w:sz w:val="22"/>
                <w:szCs w:val="22"/>
                <w:lang w:eastAsia="en-AU"/>
              </w:rPr>
            </w:pPr>
            <w:bookmarkStart w:id="166" w:name="Title_Stakeholder4"/>
            <w:r w:rsidRPr="00AE67C8">
              <w:rPr>
                <w:rFonts w:ascii="Calibri" w:hAnsi="Calibri" w:cs="Calibri"/>
                <w:color w:val="auto"/>
                <w:sz w:val="22"/>
                <w:szCs w:val="22"/>
              </w:rPr>
              <w:lastRenderedPageBreak/>
              <w:t>Institutions/Expert</w:t>
            </w:r>
            <w:bookmarkEnd w:id="166"/>
          </w:p>
        </w:tc>
        <w:tc>
          <w:tcPr>
            <w:tcW w:w="992" w:type="dxa"/>
            <w:tcBorders>
              <w:top w:val="single" w:sz="4" w:space="0" w:color="auto"/>
              <w:left w:val="single" w:sz="4" w:space="0" w:color="auto"/>
              <w:bottom w:val="single" w:sz="4" w:space="0" w:color="auto"/>
              <w:right w:val="single" w:sz="4" w:space="0" w:color="auto"/>
            </w:tcBorders>
            <w:hideMark/>
          </w:tcPr>
          <w:p w14:paraId="133BC990" w14:textId="77777777" w:rsidR="00AA3865" w:rsidRPr="00AE67C8" w:rsidRDefault="00AA38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67" w:name="ColumnTitle_AdultMale4"/>
            <w:r w:rsidRPr="00AE67C8">
              <w:rPr>
                <w:rFonts w:ascii="Calibri" w:hAnsi="Calibri" w:cs="Calibri"/>
                <w:color w:val="auto"/>
                <w:sz w:val="22"/>
                <w:szCs w:val="22"/>
              </w:rPr>
              <w:t>Adult (Male)</w:t>
            </w:r>
            <w:bookmarkEnd w:id="167"/>
          </w:p>
        </w:tc>
        <w:tc>
          <w:tcPr>
            <w:tcW w:w="1134" w:type="dxa"/>
            <w:tcBorders>
              <w:top w:val="single" w:sz="4" w:space="0" w:color="auto"/>
              <w:left w:val="single" w:sz="4" w:space="0" w:color="auto"/>
              <w:bottom w:val="single" w:sz="4" w:space="0" w:color="auto"/>
              <w:right w:val="single" w:sz="4" w:space="0" w:color="auto"/>
            </w:tcBorders>
            <w:hideMark/>
          </w:tcPr>
          <w:p w14:paraId="77B05327" w14:textId="77777777" w:rsidR="00AA3865" w:rsidRPr="00AE67C8" w:rsidRDefault="00AA38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68" w:name="ColumnTitle_AdultFemale4"/>
            <w:r w:rsidRPr="00AE67C8">
              <w:rPr>
                <w:rFonts w:ascii="Calibri" w:hAnsi="Calibri" w:cs="Calibri"/>
                <w:color w:val="auto"/>
                <w:sz w:val="22"/>
                <w:szCs w:val="22"/>
              </w:rPr>
              <w:t>Adult (Female)</w:t>
            </w:r>
            <w:bookmarkEnd w:id="168"/>
          </w:p>
        </w:tc>
        <w:tc>
          <w:tcPr>
            <w:tcW w:w="1046" w:type="dxa"/>
            <w:tcBorders>
              <w:top w:val="single" w:sz="4" w:space="0" w:color="auto"/>
              <w:left w:val="single" w:sz="4" w:space="0" w:color="auto"/>
              <w:bottom w:val="single" w:sz="4" w:space="0" w:color="auto"/>
              <w:right w:val="single" w:sz="4" w:space="0" w:color="auto"/>
            </w:tcBorders>
            <w:hideMark/>
          </w:tcPr>
          <w:p w14:paraId="42730810" w14:textId="77777777" w:rsidR="00AA3865" w:rsidRPr="00AE67C8" w:rsidRDefault="00AA38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69" w:name="ColumnTitle_AdultPWD4Male"/>
            <w:r w:rsidRPr="00AE67C8">
              <w:rPr>
                <w:rFonts w:ascii="Calibri" w:hAnsi="Calibri" w:cs="Calibri"/>
                <w:color w:val="auto"/>
                <w:sz w:val="22"/>
                <w:szCs w:val="22"/>
              </w:rPr>
              <w:t>Adult Person with disability (Male)</w:t>
            </w:r>
            <w:bookmarkEnd w:id="169"/>
          </w:p>
        </w:tc>
        <w:tc>
          <w:tcPr>
            <w:tcW w:w="1046" w:type="dxa"/>
            <w:tcBorders>
              <w:top w:val="single" w:sz="4" w:space="0" w:color="auto"/>
              <w:left w:val="single" w:sz="4" w:space="0" w:color="auto"/>
              <w:bottom w:val="single" w:sz="4" w:space="0" w:color="auto"/>
              <w:right w:val="single" w:sz="4" w:space="0" w:color="auto"/>
            </w:tcBorders>
            <w:hideMark/>
          </w:tcPr>
          <w:p w14:paraId="52092242" w14:textId="77777777" w:rsidR="00AA3865" w:rsidRPr="00AE67C8" w:rsidRDefault="00AA38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70" w:name="ColumnTitle_AdultPWD4Female"/>
            <w:r w:rsidRPr="00AE67C8">
              <w:rPr>
                <w:rFonts w:ascii="Calibri" w:hAnsi="Calibri" w:cs="Calibri"/>
                <w:color w:val="auto"/>
                <w:sz w:val="22"/>
                <w:szCs w:val="22"/>
              </w:rPr>
              <w:t>Adult Person with disability (Female)</w:t>
            </w:r>
            <w:bookmarkEnd w:id="170"/>
          </w:p>
        </w:tc>
        <w:tc>
          <w:tcPr>
            <w:tcW w:w="819" w:type="dxa"/>
            <w:tcBorders>
              <w:top w:val="single" w:sz="4" w:space="0" w:color="auto"/>
              <w:left w:val="single" w:sz="4" w:space="0" w:color="auto"/>
              <w:bottom w:val="single" w:sz="4" w:space="0" w:color="auto"/>
              <w:right w:val="single" w:sz="4" w:space="0" w:color="auto"/>
            </w:tcBorders>
            <w:hideMark/>
          </w:tcPr>
          <w:p w14:paraId="43740CA7" w14:textId="77777777" w:rsidR="00AA3865" w:rsidRPr="00AE67C8" w:rsidRDefault="00AA38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71" w:name="ColumnTitle_ChildMale4"/>
            <w:r w:rsidRPr="00AE67C8">
              <w:rPr>
                <w:rFonts w:ascii="Calibri" w:hAnsi="Calibri" w:cs="Calibri"/>
                <w:color w:val="auto"/>
                <w:sz w:val="22"/>
                <w:szCs w:val="22"/>
              </w:rPr>
              <w:t>Child (Male)</w:t>
            </w:r>
            <w:bookmarkEnd w:id="171"/>
          </w:p>
        </w:tc>
        <w:tc>
          <w:tcPr>
            <w:tcW w:w="1018" w:type="dxa"/>
            <w:tcBorders>
              <w:top w:val="single" w:sz="4" w:space="0" w:color="auto"/>
              <w:left w:val="single" w:sz="4" w:space="0" w:color="auto"/>
              <w:bottom w:val="single" w:sz="4" w:space="0" w:color="auto"/>
              <w:right w:val="single" w:sz="4" w:space="0" w:color="auto"/>
            </w:tcBorders>
            <w:hideMark/>
          </w:tcPr>
          <w:p w14:paraId="561631DE" w14:textId="77777777" w:rsidR="00AA3865" w:rsidRPr="00AE67C8" w:rsidRDefault="00AA38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72" w:name="ColumnTitle_ChildFemale4"/>
            <w:r w:rsidRPr="00AE67C8">
              <w:rPr>
                <w:rFonts w:ascii="Calibri" w:hAnsi="Calibri" w:cs="Calibri"/>
                <w:color w:val="auto"/>
                <w:sz w:val="22"/>
                <w:szCs w:val="22"/>
              </w:rPr>
              <w:t>Child (Female)</w:t>
            </w:r>
            <w:bookmarkEnd w:id="172"/>
          </w:p>
        </w:tc>
        <w:tc>
          <w:tcPr>
            <w:tcW w:w="1046" w:type="dxa"/>
            <w:tcBorders>
              <w:top w:val="single" w:sz="4" w:space="0" w:color="auto"/>
              <w:left w:val="single" w:sz="4" w:space="0" w:color="auto"/>
              <w:bottom w:val="single" w:sz="4" w:space="0" w:color="auto"/>
              <w:right w:val="single" w:sz="4" w:space="0" w:color="auto"/>
            </w:tcBorders>
            <w:hideMark/>
          </w:tcPr>
          <w:p w14:paraId="2C83EB44" w14:textId="77777777" w:rsidR="00AA3865" w:rsidRPr="00AE67C8" w:rsidRDefault="00AA38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73" w:name="ColumnTitle_ChildWDMale4"/>
            <w:r w:rsidRPr="00AE67C8">
              <w:rPr>
                <w:rFonts w:ascii="Calibri" w:hAnsi="Calibri" w:cs="Calibri"/>
                <w:color w:val="auto"/>
                <w:sz w:val="22"/>
                <w:szCs w:val="22"/>
              </w:rPr>
              <w:t>Child with disability (Male)</w:t>
            </w:r>
            <w:bookmarkEnd w:id="173"/>
          </w:p>
        </w:tc>
        <w:tc>
          <w:tcPr>
            <w:tcW w:w="1103" w:type="dxa"/>
            <w:tcBorders>
              <w:top w:val="single" w:sz="4" w:space="0" w:color="auto"/>
              <w:left w:val="single" w:sz="4" w:space="0" w:color="auto"/>
              <w:bottom w:val="single" w:sz="4" w:space="0" w:color="auto"/>
              <w:right w:val="single" w:sz="4" w:space="0" w:color="auto"/>
            </w:tcBorders>
            <w:hideMark/>
          </w:tcPr>
          <w:p w14:paraId="5BE54C78" w14:textId="77777777" w:rsidR="00AA3865" w:rsidRPr="00AE67C8" w:rsidRDefault="00AA38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74" w:name="ColumnTitle_ChildWDFemale4"/>
            <w:r w:rsidRPr="00AE67C8">
              <w:rPr>
                <w:rFonts w:ascii="Calibri" w:hAnsi="Calibri" w:cs="Calibri"/>
                <w:color w:val="auto"/>
                <w:sz w:val="22"/>
                <w:szCs w:val="22"/>
              </w:rPr>
              <w:t>Child with disability (Female)</w:t>
            </w:r>
            <w:bookmarkEnd w:id="174"/>
          </w:p>
        </w:tc>
      </w:tr>
      <w:tr w:rsidR="00AA3865" w14:paraId="6AFBE03B" w14:textId="77777777" w:rsidTr="008A25D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2EDC8C6F" w14:textId="62F12EB4" w:rsidR="00AA3865" w:rsidRPr="00840FDA" w:rsidRDefault="00AA3865" w:rsidP="00AA3865">
            <w:pPr>
              <w:rPr>
                <w:rFonts w:ascii="Calibri" w:hAnsi="Calibri" w:cs="Calibri"/>
                <w:color w:val="auto"/>
                <w:sz w:val="22"/>
                <w:szCs w:val="22"/>
              </w:rPr>
            </w:pPr>
            <w:bookmarkStart w:id="175" w:name="RowTitle_CWI"/>
            <w:r w:rsidRPr="00840FDA">
              <w:rPr>
                <w:rFonts w:asciiTheme="minorHAnsi" w:hAnsiTheme="minorHAnsi" w:cstheme="minorHAnsi"/>
                <w:color w:val="auto"/>
                <w:sz w:val="22"/>
                <w:szCs w:val="22"/>
              </w:rPr>
              <w:t xml:space="preserve">Cakra </w:t>
            </w:r>
            <w:proofErr w:type="spellStart"/>
            <w:r w:rsidRPr="00840FDA">
              <w:rPr>
                <w:rFonts w:asciiTheme="minorHAnsi" w:hAnsiTheme="minorHAnsi" w:cstheme="minorHAnsi"/>
                <w:color w:val="auto"/>
                <w:sz w:val="22"/>
                <w:szCs w:val="22"/>
              </w:rPr>
              <w:t>Wikara</w:t>
            </w:r>
            <w:proofErr w:type="spellEnd"/>
            <w:r w:rsidRPr="00840FDA">
              <w:rPr>
                <w:rFonts w:asciiTheme="minorHAnsi" w:hAnsiTheme="minorHAnsi" w:cstheme="minorHAnsi"/>
                <w:color w:val="auto"/>
                <w:sz w:val="22"/>
                <w:szCs w:val="22"/>
              </w:rPr>
              <w:t xml:space="preserve"> Indonesia</w:t>
            </w:r>
            <w:bookmarkEnd w:id="175"/>
          </w:p>
        </w:tc>
        <w:tc>
          <w:tcPr>
            <w:tcW w:w="992" w:type="dxa"/>
            <w:noWrap/>
          </w:tcPr>
          <w:p w14:paraId="5E0454A4" w14:textId="7B229B57" w:rsidR="00AA3865" w:rsidRPr="00840FDA" w:rsidRDefault="00AA3865" w:rsidP="00AA38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40FDA">
              <w:rPr>
                <w:rFonts w:asciiTheme="minorHAnsi" w:hAnsiTheme="minorHAnsi" w:cstheme="minorHAnsi"/>
                <w:sz w:val="22"/>
                <w:szCs w:val="22"/>
              </w:rPr>
              <w:t>2</w:t>
            </w:r>
          </w:p>
        </w:tc>
        <w:tc>
          <w:tcPr>
            <w:tcW w:w="1134" w:type="dxa"/>
            <w:noWrap/>
          </w:tcPr>
          <w:p w14:paraId="672FFB02" w14:textId="31EABF6E" w:rsidR="00AA3865" w:rsidRPr="00840FDA" w:rsidRDefault="00AA3865" w:rsidP="00AA38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40FDA">
              <w:rPr>
                <w:rFonts w:asciiTheme="minorHAnsi" w:hAnsiTheme="minorHAnsi" w:cstheme="minorHAnsi"/>
                <w:sz w:val="22"/>
                <w:szCs w:val="22"/>
              </w:rPr>
              <w:t>1</w:t>
            </w:r>
          </w:p>
        </w:tc>
        <w:tc>
          <w:tcPr>
            <w:tcW w:w="1046" w:type="dxa"/>
            <w:noWrap/>
            <w:vAlign w:val="center"/>
          </w:tcPr>
          <w:p w14:paraId="36BD56FD" w14:textId="0E618B35" w:rsidR="00AA3865" w:rsidRPr="00840FDA" w:rsidRDefault="0010516B" w:rsidP="00AA38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AA3865" w:rsidRPr="00840FDA">
              <w:rPr>
                <w:rFonts w:asciiTheme="minorHAnsi" w:hAnsiTheme="minorHAnsi" w:cstheme="minorHAnsi"/>
                <w:sz w:val="22"/>
                <w:szCs w:val="22"/>
              </w:rPr>
              <w:t> </w:t>
            </w:r>
          </w:p>
        </w:tc>
        <w:tc>
          <w:tcPr>
            <w:tcW w:w="1046" w:type="dxa"/>
            <w:noWrap/>
            <w:vAlign w:val="center"/>
          </w:tcPr>
          <w:p w14:paraId="18BF0AE5" w14:textId="043899FD" w:rsidR="00AA3865" w:rsidRPr="00840FDA" w:rsidRDefault="0010516B" w:rsidP="00AA38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AA3865" w:rsidRPr="00840FDA">
              <w:rPr>
                <w:rFonts w:asciiTheme="minorHAnsi" w:hAnsiTheme="minorHAnsi" w:cstheme="minorHAnsi"/>
                <w:sz w:val="22"/>
                <w:szCs w:val="22"/>
              </w:rPr>
              <w:t> </w:t>
            </w:r>
          </w:p>
        </w:tc>
        <w:tc>
          <w:tcPr>
            <w:tcW w:w="819" w:type="dxa"/>
            <w:noWrap/>
            <w:vAlign w:val="center"/>
          </w:tcPr>
          <w:p w14:paraId="7411A4A4" w14:textId="42BB7469" w:rsidR="00AA3865" w:rsidRPr="00840FDA" w:rsidRDefault="0010516B" w:rsidP="00AA38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AA3865" w:rsidRPr="00840FDA">
              <w:rPr>
                <w:rFonts w:asciiTheme="minorHAnsi" w:hAnsiTheme="minorHAnsi" w:cstheme="minorHAnsi"/>
                <w:sz w:val="22"/>
                <w:szCs w:val="22"/>
              </w:rPr>
              <w:t> </w:t>
            </w:r>
          </w:p>
        </w:tc>
        <w:tc>
          <w:tcPr>
            <w:tcW w:w="1018" w:type="dxa"/>
            <w:noWrap/>
            <w:vAlign w:val="center"/>
          </w:tcPr>
          <w:p w14:paraId="63E62348" w14:textId="06DB5D5D" w:rsidR="00AA3865" w:rsidRPr="00840FDA" w:rsidRDefault="0010516B" w:rsidP="00AA38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AA3865" w:rsidRPr="00840FDA">
              <w:rPr>
                <w:rFonts w:asciiTheme="minorHAnsi" w:hAnsiTheme="minorHAnsi" w:cstheme="minorHAnsi"/>
                <w:sz w:val="22"/>
                <w:szCs w:val="22"/>
              </w:rPr>
              <w:t> </w:t>
            </w:r>
          </w:p>
        </w:tc>
        <w:tc>
          <w:tcPr>
            <w:tcW w:w="1046" w:type="dxa"/>
            <w:noWrap/>
            <w:vAlign w:val="center"/>
          </w:tcPr>
          <w:p w14:paraId="0EE47D2A" w14:textId="20345F84" w:rsidR="00AA3865" w:rsidRPr="00840FDA" w:rsidRDefault="0010516B" w:rsidP="00AA38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AA3865" w:rsidRPr="00840FDA">
              <w:rPr>
                <w:rFonts w:asciiTheme="minorHAnsi" w:hAnsiTheme="minorHAnsi" w:cstheme="minorHAnsi"/>
                <w:sz w:val="22"/>
                <w:szCs w:val="22"/>
              </w:rPr>
              <w:t> </w:t>
            </w:r>
          </w:p>
        </w:tc>
        <w:tc>
          <w:tcPr>
            <w:tcW w:w="1103" w:type="dxa"/>
            <w:noWrap/>
            <w:vAlign w:val="center"/>
          </w:tcPr>
          <w:p w14:paraId="6EA27F55" w14:textId="1DAF8527" w:rsidR="00AA3865" w:rsidRPr="00840FDA" w:rsidRDefault="0010516B" w:rsidP="00AA38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AA3865" w:rsidRPr="00840FDA">
              <w:rPr>
                <w:rFonts w:asciiTheme="minorHAnsi" w:hAnsiTheme="minorHAnsi" w:cstheme="minorHAnsi"/>
                <w:sz w:val="22"/>
                <w:szCs w:val="22"/>
              </w:rPr>
              <w:t> </w:t>
            </w:r>
          </w:p>
        </w:tc>
      </w:tr>
      <w:tr w:rsidR="00D81147" w14:paraId="6DBD86BC" w14:textId="77777777" w:rsidTr="00D03B10">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noWrap/>
          </w:tcPr>
          <w:p w14:paraId="5BD6171E" w14:textId="59998ACE" w:rsidR="00AA3865" w:rsidRPr="00840FDA" w:rsidRDefault="00AA3865" w:rsidP="00AA3865">
            <w:pPr>
              <w:rPr>
                <w:rFonts w:ascii="Calibri" w:hAnsi="Calibri" w:cs="Calibri"/>
                <w:color w:val="auto"/>
                <w:sz w:val="22"/>
                <w:szCs w:val="22"/>
              </w:rPr>
            </w:pPr>
            <w:bookmarkStart w:id="176" w:name="RowTitle_SMERU"/>
            <w:r w:rsidRPr="00840FDA">
              <w:rPr>
                <w:rFonts w:asciiTheme="minorHAnsi" w:hAnsiTheme="minorHAnsi" w:cstheme="minorHAnsi"/>
                <w:color w:val="auto"/>
                <w:sz w:val="22"/>
                <w:szCs w:val="22"/>
              </w:rPr>
              <w:t>SMERU</w:t>
            </w:r>
            <w:bookmarkEnd w:id="176"/>
          </w:p>
        </w:tc>
        <w:tc>
          <w:tcPr>
            <w:tcW w:w="992" w:type="dxa"/>
            <w:noWrap/>
          </w:tcPr>
          <w:p w14:paraId="3F41B217" w14:textId="01218E0D" w:rsidR="00AA3865" w:rsidRPr="00840FDA" w:rsidRDefault="00AA3865" w:rsidP="00AA38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40FDA">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5659EE2D" w14:textId="728AB4FC" w:rsidR="00AA3865" w:rsidRPr="00840FDA" w:rsidRDefault="00AA3865" w:rsidP="00AA38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40FDA">
              <w:rPr>
                <w:rFonts w:asciiTheme="minorHAnsi" w:hAnsiTheme="minorHAnsi" w:cstheme="minorHAnsi"/>
                <w:sz w:val="22"/>
                <w:szCs w:val="22"/>
              </w:rPr>
              <w:t>4</w:t>
            </w:r>
          </w:p>
        </w:tc>
        <w:tc>
          <w:tcPr>
            <w:tcW w:w="1046" w:type="dxa"/>
            <w:noWrap/>
            <w:vAlign w:val="center"/>
          </w:tcPr>
          <w:p w14:paraId="53131BAC" w14:textId="38C38C7A" w:rsidR="00AA3865" w:rsidRPr="00840FDA" w:rsidRDefault="0010516B" w:rsidP="00AA38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AA3865" w:rsidRPr="00840FDA">
              <w:rPr>
                <w:rFonts w:asciiTheme="minorHAnsi" w:hAnsiTheme="minorHAnsi" w:cstheme="minorHAnsi"/>
                <w:sz w:val="22"/>
                <w:szCs w:val="22"/>
              </w:rPr>
              <w:t> </w:t>
            </w:r>
          </w:p>
        </w:tc>
        <w:tc>
          <w:tcPr>
            <w:tcW w:w="1046" w:type="dxa"/>
            <w:noWrap/>
            <w:vAlign w:val="center"/>
          </w:tcPr>
          <w:p w14:paraId="1F1981D5" w14:textId="76B82F0F" w:rsidR="00AA3865" w:rsidRPr="00840FDA" w:rsidRDefault="0010516B" w:rsidP="00AA38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AA3865" w:rsidRPr="00840FDA">
              <w:rPr>
                <w:rFonts w:asciiTheme="minorHAnsi" w:hAnsiTheme="minorHAnsi" w:cstheme="minorHAnsi"/>
                <w:sz w:val="22"/>
                <w:szCs w:val="22"/>
              </w:rPr>
              <w:t> </w:t>
            </w:r>
          </w:p>
        </w:tc>
        <w:tc>
          <w:tcPr>
            <w:tcW w:w="819" w:type="dxa"/>
            <w:noWrap/>
            <w:vAlign w:val="center"/>
          </w:tcPr>
          <w:p w14:paraId="309694E2" w14:textId="719C6D8D" w:rsidR="00AA3865" w:rsidRPr="00840FDA" w:rsidRDefault="0010516B" w:rsidP="00AA38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AA3865" w:rsidRPr="00840FDA">
              <w:rPr>
                <w:rFonts w:asciiTheme="minorHAnsi" w:hAnsiTheme="minorHAnsi" w:cstheme="minorHAnsi"/>
                <w:sz w:val="22"/>
                <w:szCs w:val="22"/>
              </w:rPr>
              <w:t> </w:t>
            </w:r>
          </w:p>
        </w:tc>
        <w:tc>
          <w:tcPr>
            <w:tcW w:w="1018" w:type="dxa"/>
            <w:noWrap/>
            <w:vAlign w:val="center"/>
          </w:tcPr>
          <w:p w14:paraId="1BDA670A" w14:textId="0B68D146" w:rsidR="00AA3865" w:rsidRPr="00840FDA" w:rsidRDefault="0010516B" w:rsidP="00AA38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AA3865" w:rsidRPr="00840FDA">
              <w:rPr>
                <w:rFonts w:asciiTheme="minorHAnsi" w:hAnsiTheme="minorHAnsi" w:cstheme="minorHAnsi"/>
                <w:sz w:val="22"/>
                <w:szCs w:val="22"/>
              </w:rPr>
              <w:t> </w:t>
            </w:r>
          </w:p>
        </w:tc>
        <w:tc>
          <w:tcPr>
            <w:tcW w:w="1046" w:type="dxa"/>
            <w:noWrap/>
            <w:vAlign w:val="center"/>
          </w:tcPr>
          <w:p w14:paraId="24AFA24E" w14:textId="2DB09849" w:rsidR="00AA3865" w:rsidRPr="00840FDA" w:rsidRDefault="0010516B" w:rsidP="00AA38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AA3865" w:rsidRPr="00840FDA">
              <w:rPr>
                <w:rFonts w:asciiTheme="minorHAnsi" w:hAnsiTheme="minorHAnsi" w:cstheme="minorHAnsi"/>
                <w:sz w:val="22"/>
                <w:szCs w:val="22"/>
              </w:rPr>
              <w:t> </w:t>
            </w:r>
          </w:p>
        </w:tc>
        <w:tc>
          <w:tcPr>
            <w:tcW w:w="1103" w:type="dxa"/>
            <w:noWrap/>
            <w:vAlign w:val="center"/>
          </w:tcPr>
          <w:p w14:paraId="00F2629B" w14:textId="21D9BDC3" w:rsidR="00AA3865" w:rsidRPr="00840FDA" w:rsidRDefault="0010516B" w:rsidP="00AA38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AA3865" w:rsidRPr="00840FDA">
              <w:rPr>
                <w:rFonts w:asciiTheme="minorHAnsi" w:hAnsiTheme="minorHAnsi" w:cstheme="minorHAnsi"/>
                <w:sz w:val="22"/>
                <w:szCs w:val="22"/>
              </w:rPr>
              <w:t> </w:t>
            </w:r>
          </w:p>
        </w:tc>
      </w:tr>
      <w:tr w:rsidR="00D81147" w14:paraId="60283110" w14:textId="77777777" w:rsidTr="00D03B10">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noWrap/>
          </w:tcPr>
          <w:p w14:paraId="04C3C51E" w14:textId="2F8BD520" w:rsidR="00AA3865" w:rsidRPr="00840FDA" w:rsidRDefault="00AA3865" w:rsidP="00AA3865">
            <w:pPr>
              <w:rPr>
                <w:rFonts w:asciiTheme="minorHAnsi" w:hAnsiTheme="minorHAnsi" w:cstheme="minorHAnsi"/>
                <w:sz w:val="22"/>
                <w:szCs w:val="22"/>
              </w:rPr>
            </w:pPr>
            <w:bookmarkStart w:id="177" w:name="RowTitle_PSGPAUMSIDA"/>
            <w:r w:rsidRPr="00840FDA">
              <w:rPr>
                <w:rFonts w:asciiTheme="minorHAnsi" w:hAnsiTheme="minorHAnsi" w:cstheme="minorHAnsi"/>
                <w:i/>
                <w:iCs/>
                <w:color w:val="auto"/>
                <w:sz w:val="22"/>
                <w:szCs w:val="22"/>
              </w:rPr>
              <w:t xml:space="preserve">Pusat </w:t>
            </w:r>
            <w:proofErr w:type="spellStart"/>
            <w:r w:rsidRPr="00840FDA">
              <w:rPr>
                <w:rFonts w:asciiTheme="minorHAnsi" w:hAnsiTheme="minorHAnsi" w:cstheme="minorHAnsi"/>
                <w:i/>
                <w:iCs/>
                <w:color w:val="auto"/>
                <w:sz w:val="22"/>
                <w:szCs w:val="22"/>
              </w:rPr>
              <w:t>Studi</w:t>
            </w:r>
            <w:proofErr w:type="spellEnd"/>
            <w:r w:rsidRPr="00840FDA">
              <w:rPr>
                <w:rFonts w:asciiTheme="minorHAnsi" w:hAnsiTheme="minorHAnsi" w:cstheme="minorHAnsi"/>
                <w:i/>
                <w:iCs/>
                <w:color w:val="auto"/>
                <w:sz w:val="22"/>
                <w:szCs w:val="22"/>
              </w:rPr>
              <w:t xml:space="preserve"> Gender dan </w:t>
            </w:r>
            <w:proofErr w:type="spellStart"/>
            <w:r w:rsidRPr="00840FDA">
              <w:rPr>
                <w:rFonts w:asciiTheme="minorHAnsi" w:hAnsiTheme="minorHAnsi" w:cstheme="minorHAnsi"/>
                <w:i/>
                <w:iCs/>
                <w:color w:val="auto"/>
                <w:sz w:val="22"/>
                <w:szCs w:val="22"/>
              </w:rPr>
              <w:t>Perlindungan</w:t>
            </w:r>
            <w:proofErr w:type="spellEnd"/>
            <w:r w:rsidRPr="00840FDA">
              <w:rPr>
                <w:rFonts w:asciiTheme="minorHAnsi" w:hAnsiTheme="minorHAnsi" w:cstheme="minorHAnsi"/>
                <w:i/>
                <w:iCs/>
                <w:color w:val="auto"/>
                <w:sz w:val="22"/>
                <w:szCs w:val="22"/>
              </w:rPr>
              <w:t xml:space="preserve"> Anak</w:t>
            </w:r>
            <w:r w:rsidRPr="00840FDA">
              <w:rPr>
                <w:rFonts w:asciiTheme="minorHAnsi" w:hAnsiTheme="minorHAnsi" w:cstheme="minorHAnsi"/>
                <w:color w:val="auto"/>
                <w:sz w:val="22"/>
                <w:szCs w:val="22"/>
              </w:rPr>
              <w:t xml:space="preserve"> (PSGPA) Universitas Muhammadiyah </w:t>
            </w:r>
            <w:proofErr w:type="spellStart"/>
            <w:r w:rsidRPr="00840FDA">
              <w:rPr>
                <w:rFonts w:asciiTheme="minorHAnsi" w:hAnsiTheme="minorHAnsi" w:cstheme="minorHAnsi"/>
                <w:color w:val="auto"/>
                <w:sz w:val="22"/>
                <w:szCs w:val="22"/>
              </w:rPr>
              <w:t>Sidoarjo</w:t>
            </w:r>
            <w:proofErr w:type="spellEnd"/>
            <w:r w:rsidRPr="00840FDA">
              <w:rPr>
                <w:rFonts w:asciiTheme="minorHAnsi" w:hAnsiTheme="minorHAnsi" w:cstheme="minorHAnsi"/>
                <w:color w:val="auto"/>
                <w:sz w:val="22"/>
                <w:szCs w:val="22"/>
              </w:rPr>
              <w:t xml:space="preserve"> (</w:t>
            </w:r>
            <w:r w:rsidR="0058400F">
              <w:rPr>
                <w:rFonts w:asciiTheme="minorHAnsi" w:hAnsiTheme="minorHAnsi" w:cstheme="minorHAnsi"/>
                <w:color w:val="auto"/>
                <w:sz w:val="22"/>
                <w:szCs w:val="22"/>
              </w:rPr>
              <w:t>UMSIDA</w:t>
            </w:r>
            <w:r w:rsidRPr="00840FDA">
              <w:rPr>
                <w:rFonts w:asciiTheme="minorHAnsi" w:hAnsiTheme="minorHAnsi" w:cstheme="minorHAnsi"/>
                <w:color w:val="auto"/>
                <w:sz w:val="22"/>
                <w:szCs w:val="22"/>
              </w:rPr>
              <w:t>)</w:t>
            </w:r>
            <w:bookmarkEnd w:id="177"/>
          </w:p>
        </w:tc>
        <w:tc>
          <w:tcPr>
            <w:tcW w:w="992" w:type="dxa"/>
            <w:noWrap/>
          </w:tcPr>
          <w:p w14:paraId="656DC818" w14:textId="7F533B72" w:rsidR="00AA3865" w:rsidRPr="00840FDA" w:rsidRDefault="00AA3865" w:rsidP="00AA386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0FDA">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noWrap/>
          </w:tcPr>
          <w:p w14:paraId="3FA22366" w14:textId="23F9694C" w:rsidR="00AA3865" w:rsidRPr="00840FDA" w:rsidRDefault="00AA3865" w:rsidP="00AA386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0FDA">
              <w:rPr>
                <w:rFonts w:asciiTheme="minorHAnsi" w:hAnsiTheme="minorHAnsi" w:cstheme="minorHAnsi"/>
                <w:sz w:val="22"/>
                <w:szCs w:val="22"/>
              </w:rPr>
              <w:t>1</w:t>
            </w:r>
          </w:p>
        </w:tc>
        <w:tc>
          <w:tcPr>
            <w:tcW w:w="1046" w:type="dxa"/>
            <w:noWrap/>
            <w:vAlign w:val="center"/>
          </w:tcPr>
          <w:p w14:paraId="4A34E25C" w14:textId="77F34FF2" w:rsidR="00AA3865" w:rsidRPr="00840FDA" w:rsidRDefault="0010516B" w:rsidP="00AA386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Pr="00BE4B19">
              <w:rPr>
                <w:rFonts w:asciiTheme="minorHAnsi" w:hAnsiTheme="minorHAnsi" w:cstheme="minorHAnsi"/>
                <w:sz w:val="22"/>
                <w:szCs w:val="22"/>
              </w:rPr>
              <w:t> </w:t>
            </w:r>
          </w:p>
        </w:tc>
        <w:tc>
          <w:tcPr>
            <w:tcW w:w="1046" w:type="dxa"/>
            <w:noWrap/>
            <w:vAlign w:val="center"/>
          </w:tcPr>
          <w:p w14:paraId="69DCC93F" w14:textId="4C4EF95D" w:rsidR="00AA3865" w:rsidRPr="00840FDA" w:rsidRDefault="0010516B" w:rsidP="00AA386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Pr="00BE4B19">
              <w:rPr>
                <w:rFonts w:asciiTheme="minorHAnsi" w:hAnsiTheme="minorHAnsi" w:cstheme="minorHAnsi"/>
                <w:sz w:val="22"/>
                <w:szCs w:val="22"/>
              </w:rPr>
              <w:t> </w:t>
            </w:r>
          </w:p>
        </w:tc>
        <w:tc>
          <w:tcPr>
            <w:tcW w:w="819" w:type="dxa"/>
            <w:noWrap/>
            <w:vAlign w:val="center"/>
          </w:tcPr>
          <w:p w14:paraId="56217052" w14:textId="0CC147C5" w:rsidR="00AA3865" w:rsidRPr="00840FDA" w:rsidRDefault="0010516B" w:rsidP="00AA386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Pr="00BE4B19">
              <w:rPr>
                <w:rFonts w:asciiTheme="minorHAnsi" w:hAnsiTheme="minorHAnsi" w:cstheme="minorHAnsi"/>
                <w:sz w:val="22"/>
                <w:szCs w:val="22"/>
              </w:rPr>
              <w:t> </w:t>
            </w:r>
          </w:p>
        </w:tc>
        <w:tc>
          <w:tcPr>
            <w:tcW w:w="1018" w:type="dxa"/>
            <w:noWrap/>
            <w:vAlign w:val="center"/>
          </w:tcPr>
          <w:p w14:paraId="5BDECBFC" w14:textId="6DEB0204" w:rsidR="00AA3865" w:rsidRPr="00840FDA" w:rsidRDefault="0010516B" w:rsidP="00AA386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Pr="00BE4B19">
              <w:rPr>
                <w:rFonts w:asciiTheme="minorHAnsi" w:hAnsiTheme="minorHAnsi" w:cstheme="minorHAnsi"/>
                <w:sz w:val="22"/>
                <w:szCs w:val="22"/>
              </w:rPr>
              <w:t> </w:t>
            </w:r>
          </w:p>
        </w:tc>
        <w:tc>
          <w:tcPr>
            <w:tcW w:w="1046" w:type="dxa"/>
            <w:noWrap/>
            <w:vAlign w:val="center"/>
          </w:tcPr>
          <w:p w14:paraId="0D44665B" w14:textId="6BB94F28" w:rsidR="00AA3865" w:rsidRPr="00840FDA" w:rsidRDefault="0010516B" w:rsidP="00AA386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Pr="00BE4B19">
              <w:rPr>
                <w:rFonts w:asciiTheme="minorHAnsi" w:hAnsiTheme="minorHAnsi" w:cstheme="minorHAnsi"/>
                <w:sz w:val="22"/>
                <w:szCs w:val="22"/>
              </w:rPr>
              <w:t> </w:t>
            </w:r>
          </w:p>
        </w:tc>
        <w:tc>
          <w:tcPr>
            <w:tcW w:w="1103" w:type="dxa"/>
            <w:noWrap/>
            <w:vAlign w:val="center"/>
          </w:tcPr>
          <w:p w14:paraId="14176270" w14:textId="3F1EAD8A" w:rsidR="00AA3865" w:rsidRPr="00840FDA" w:rsidRDefault="0010516B" w:rsidP="00AA386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Pr="00BE4B19">
              <w:rPr>
                <w:rFonts w:asciiTheme="minorHAnsi" w:hAnsiTheme="minorHAnsi" w:cstheme="minorHAnsi"/>
                <w:sz w:val="22"/>
                <w:szCs w:val="22"/>
              </w:rPr>
              <w:t> </w:t>
            </w:r>
          </w:p>
        </w:tc>
      </w:tr>
      <w:tr w:rsidR="00D81147" w14:paraId="37182DA8" w14:textId="77777777" w:rsidTr="00D03B10">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bottom w:val="single" w:sz="4" w:space="0" w:color="auto"/>
            </w:tcBorders>
            <w:noWrap/>
          </w:tcPr>
          <w:p w14:paraId="3689A1E2" w14:textId="359C674A" w:rsidR="00AA3865" w:rsidRPr="00840FDA" w:rsidRDefault="00AA3865" w:rsidP="00AA3865">
            <w:pPr>
              <w:rPr>
                <w:rFonts w:asciiTheme="minorHAnsi" w:hAnsiTheme="minorHAnsi" w:cstheme="minorHAnsi"/>
                <w:i/>
                <w:iCs/>
                <w:sz w:val="22"/>
                <w:szCs w:val="22"/>
              </w:rPr>
            </w:pPr>
            <w:bookmarkStart w:id="178" w:name="RowTitle_WRI"/>
            <w:r w:rsidRPr="00840FDA">
              <w:rPr>
                <w:rFonts w:asciiTheme="minorHAnsi" w:hAnsiTheme="minorHAnsi" w:cstheme="minorHAnsi"/>
                <w:color w:val="auto"/>
                <w:sz w:val="22"/>
                <w:szCs w:val="22"/>
              </w:rPr>
              <w:t xml:space="preserve">Women Research Institute (Sita </w:t>
            </w:r>
            <w:proofErr w:type="spellStart"/>
            <w:r w:rsidRPr="00840FDA">
              <w:rPr>
                <w:rFonts w:asciiTheme="minorHAnsi" w:hAnsiTheme="minorHAnsi" w:cstheme="minorHAnsi"/>
                <w:color w:val="auto"/>
                <w:sz w:val="22"/>
                <w:szCs w:val="22"/>
              </w:rPr>
              <w:t>Aripurnami</w:t>
            </w:r>
            <w:proofErr w:type="spellEnd"/>
            <w:r w:rsidRPr="00840FDA">
              <w:rPr>
                <w:rFonts w:asciiTheme="minorHAnsi" w:hAnsiTheme="minorHAnsi" w:cstheme="minorHAnsi"/>
                <w:color w:val="auto"/>
                <w:sz w:val="22"/>
                <w:szCs w:val="22"/>
              </w:rPr>
              <w:t>, Director)</w:t>
            </w:r>
            <w:bookmarkEnd w:id="178"/>
          </w:p>
        </w:tc>
        <w:tc>
          <w:tcPr>
            <w:tcW w:w="992" w:type="dxa"/>
            <w:tcBorders>
              <w:bottom w:val="single" w:sz="4" w:space="0" w:color="auto"/>
            </w:tcBorders>
            <w:noWrap/>
          </w:tcPr>
          <w:p w14:paraId="59142B20" w14:textId="371C837F" w:rsidR="00AA3865" w:rsidRPr="00840FDA" w:rsidRDefault="00AA3865" w:rsidP="00AA386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40FDA">
              <w:rPr>
                <w:rFonts w:asciiTheme="minorHAnsi" w:hAnsiTheme="minorHAnsi" w:cstheme="minorHAnsi"/>
                <w:sz w:val="22"/>
                <w:szCs w:val="22"/>
              </w:rPr>
              <w:t> </w:t>
            </w:r>
            <w:r w:rsidR="0010516B">
              <w:rPr>
                <w:rFonts w:asciiTheme="minorHAnsi" w:hAnsiTheme="minorHAnsi" w:cstheme="minorHAnsi"/>
                <w:sz w:val="22"/>
                <w:szCs w:val="22"/>
              </w:rPr>
              <w:t>0</w:t>
            </w:r>
          </w:p>
        </w:tc>
        <w:tc>
          <w:tcPr>
            <w:tcW w:w="1134" w:type="dxa"/>
            <w:tcBorders>
              <w:bottom w:val="single" w:sz="4" w:space="0" w:color="auto"/>
            </w:tcBorders>
            <w:noWrap/>
          </w:tcPr>
          <w:p w14:paraId="75C74429" w14:textId="40DA6F69" w:rsidR="00AA3865" w:rsidRPr="00840FDA" w:rsidRDefault="00AA3865" w:rsidP="00AA386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40FDA">
              <w:rPr>
                <w:rFonts w:asciiTheme="minorHAnsi" w:hAnsiTheme="minorHAnsi" w:cstheme="minorHAnsi"/>
                <w:sz w:val="22"/>
                <w:szCs w:val="22"/>
              </w:rPr>
              <w:t>1</w:t>
            </w:r>
          </w:p>
        </w:tc>
        <w:tc>
          <w:tcPr>
            <w:tcW w:w="1046" w:type="dxa"/>
            <w:tcBorders>
              <w:bottom w:val="single" w:sz="4" w:space="0" w:color="auto"/>
            </w:tcBorders>
            <w:noWrap/>
            <w:vAlign w:val="center"/>
          </w:tcPr>
          <w:p w14:paraId="788EDB6B" w14:textId="0678D96D" w:rsidR="00AA3865" w:rsidRPr="00840FDA" w:rsidRDefault="0010516B" w:rsidP="00AA386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Pr="00BE4B19">
              <w:rPr>
                <w:rFonts w:asciiTheme="minorHAnsi" w:hAnsiTheme="minorHAnsi" w:cstheme="minorHAnsi"/>
                <w:sz w:val="22"/>
                <w:szCs w:val="22"/>
              </w:rPr>
              <w:t> </w:t>
            </w:r>
          </w:p>
        </w:tc>
        <w:tc>
          <w:tcPr>
            <w:tcW w:w="1046" w:type="dxa"/>
            <w:tcBorders>
              <w:bottom w:val="single" w:sz="4" w:space="0" w:color="auto"/>
            </w:tcBorders>
            <w:noWrap/>
            <w:vAlign w:val="center"/>
          </w:tcPr>
          <w:p w14:paraId="1B8481E6" w14:textId="6539CE90" w:rsidR="00AA3865" w:rsidRPr="00840FDA" w:rsidRDefault="0010516B" w:rsidP="00AA386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Pr="00BE4B19">
              <w:rPr>
                <w:rFonts w:asciiTheme="minorHAnsi" w:hAnsiTheme="minorHAnsi" w:cstheme="minorHAnsi"/>
                <w:sz w:val="22"/>
                <w:szCs w:val="22"/>
              </w:rPr>
              <w:t> </w:t>
            </w:r>
          </w:p>
        </w:tc>
        <w:tc>
          <w:tcPr>
            <w:tcW w:w="819" w:type="dxa"/>
            <w:tcBorders>
              <w:bottom w:val="single" w:sz="4" w:space="0" w:color="auto"/>
            </w:tcBorders>
            <w:noWrap/>
            <w:vAlign w:val="center"/>
          </w:tcPr>
          <w:p w14:paraId="457808EE" w14:textId="75B64B57" w:rsidR="00AA3865" w:rsidRPr="00840FDA" w:rsidRDefault="0010516B" w:rsidP="00AA386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Pr="00BE4B19">
              <w:rPr>
                <w:rFonts w:asciiTheme="minorHAnsi" w:hAnsiTheme="minorHAnsi" w:cstheme="minorHAnsi"/>
                <w:sz w:val="22"/>
                <w:szCs w:val="22"/>
              </w:rPr>
              <w:t> </w:t>
            </w:r>
          </w:p>
        </w:tc>
        <w:tc>
          <w:tcPr>
            <w:tcW w:w="1018" w:type="dxa"/>
            <w:tcBorders>
              <w:bottom w:val="single" w:sz="4" w:space="0" w:color="auto"/>
            </w:tcBorders>
            <w:noWrap/>
            <w:vAlign w:val="center"/>
          </w:tcPr>
          <w:p w14:paraId="28FB6B07" w14:textId="6D75516C" w:rsidR="00AA3865" w:rsidRPr="00840FDA" w:rsidRDefault="0010516B" w:rsidP="00AA386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Pr="00BE4B19">
              <w:rPr>
                <w:rFonts w:asciiTheme="minorHAnsi" w:hAnsiTheme="minorHAnsi" w:cstheme="minorHAnsi"/>
                <w:sz w:val="22"/>
                <w:szCs w:val="22"/>
              </w:rPr>
              <w:t> </w:t>
            </w:r>
          </w:p>
        </w:tc>
        <w:tc>
          <w:tcPr>
            <w:tcW w:w="1046" w:type="dxa"/>
            <w:tcBorders>
              <w:bottom w:val="single" w:sz="4" w:space="0" w:color="auto"/>
            </w:tcBorders>
            <w:noWrap/>
            <w:vAlign w:val="center"/>
          </w:tcPr>
          <w:p w14:paraId="5045B9D8" w14:textId="48C19026" w:rsidR="00AA3865" w:rsidRPr="00840FDA" w:rsidRDefault="0010516B" w:rsidP="00AA386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Pr="00BE4B19">
              <w:rPr>
                <w:rFonts w:asciiTheme="minorHAnsi" w:hAnsiTheme="minorHAnsi" w:cstheme="minorHAnsi"/>
                <w:sz w:val="22"/>
                <w:szCs w:val="22"/>
              </w:rPr>
              <w:t> </w:t>
            </w:r>
          </w:p>
        </w:tc>
        <w:tc>
          <w:tcPr>
            <w:tcW w:w="1103" w:type="dxa"/>
            <w:tcBorders>
              <w:bottom w:val="single" w:sz="4" w:space="0" w:color="auto"/>
            </w:tcBorders>
            <w:noWrap/>
            <w:vAlign w:val="center"/>
          </w:tcPr>
          <w:p w14:paraId="1DF76631" w14:textId="44C3DBA5" w:rsidR="00AA3865" w:rsidRPr="00840FDA" w:rsidRDefault="0010516B" w:rsidP="00AA386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r w:rsidRPr="00BE4B19">
              <w:rPr>
                <w:rFonts w:asciiTheme="minorHAnsi" w:hAnsiTheme="minorHAnsi" w:cstheme="minorHAnsi"/>
                <w:sz w:val="22"/>
                <w:szCs w:val="22"/>
              </w:rPr>
              <w:t> </w:t>
            </w:r>
          </w:p>
        </w:tc>
      </w:tr>
    </w:tbl>
    <w:p w14:paraId="1790C7D5" w14:textId="77777777" w:rsidR="004E7542" w:rsidRDefault="004E7542" w:rsidP="004E7542"/>
    <w:p w14:paraId="08D0A669" w14:textId="7863AC90" w:rsidR="004E7542" w:rsidRPr="004E7542" w:rsidRDefault="004E7542" w:rsidP="004E7542">
      <w:pPr>
        <w:rPr>
          <w:rFonts w:asciiTheme="minorHAnsi" w:hAnsiTheme="minorHAnsi" w:cstheme="minorHAnsi"/>
          <w:b/>
          <w:bCs/>
          <w:sz w:val="22"/>
          <w:szCs w:val="22"/>
        </w:rPr>
      </w:pPr>
      <w:r w:rsidRPr="004E7542">
        <w:rPr>
          <w:rFonts w:asciiTheme="minorHAnsi" w:hAnsiTheme="minorHAnsi" w:cstheme="minorHAnsi"/>
          <w:b/>
          <w:bCs/>
          <w:sz w:val="22"/>
          <w:szCs w:val="22"/>
        </w:rPr>
        <w:t>Table 5: INOVASI</w:t>
      </w:r>
    </w:p>
    <w:tbl>
      <w:tblPr>
        <w:tblStyle w:val="GridTable5Dark-Accent1"/>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2"/>
        <w:gridCol w:w="1134"/>
        <w:gridCol w:w="1046"/>
        <w:gridCol w:w="1046"/>
        <w:gridCol w:w="819"/>
        <w:gridCol w:w="1018"/>
        <w:gridCol w:w="1046"/>
        <w:gridCol w:w="1103"/>
      </w:tblGrid>
      <w:tr w:rsidR="001119F0" w14:paraId="360F7F47" w14:textId="77777777" w:rsidTr="00393078">
        <w:trPr>
          <w:cnfStyle w:val="100000000000" w:firstRow="1" w:lastRow="0" w:firstColumn="0" w:lastColumn="0" w:oddVBand="0" w:evenVBand="0" w:oddHBand="0" w:evenHBand="0" w:firstRowFirstColumn="0" w:firstRowLastColumn="0" w:lastRowFirstColumn="0" w:lastRowLastColumn="0"/>
          <w:trHeight w:val="1733"/>
          <w:tblHeader/>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right w:val="none" w:sz="0" w:space="0" w:color="auto"/>
            </w:tcBorders>
            <w:hideMark/>
          </w:tcPr>
          <w:p w14:paraId="478CBD18" w14:textId="77777777" w:rsidR="004E7542" w:rsidRPr="00D03B10" w:rsidRDefault="004E7542">
            <w:pPr>
              <w:jc w:val="center"/>
              <w:rPr>
                <w:rFonts w:ascii="Calibri" w:hAnsi="Calibri" w:cs="Calibri"/>
                <w:color w:val="auto"/>
                <w:sz w:val="22"/>
                <w:szCs w:val="22"/>
                <w:lang w:eastAsia="en-AU"/>
              </w:rPr>
            </w:pPr>
            <w:bookmarkStart w:id="179" w:name="Title_Stakeholder5"/>
            <w:r w:rsidRPr="00D03B10">
              <w:rPr>
                <w:rFonts w:ascii="Calibri" w:hAnsi="Calibri" w:cs="Calibri"/>
                <w:color w:val="auto"/>
                <w:sz w:val="22"/>
                <w:szCs w:val="22"/>
              </w:rPr>
              <w:t>Institutions/Expert</w:t>
            </w:r>
            <w:bookmarkEnd w:id="179"/>
          </w:p>
        </w:tc>
        <w:tc>
          <w:tcPr>
            <w:tcW w:w="992" w:type="dxa"/>
            <w:tcBorders>
              <w:top w:val="none" w:sz="0" w:space="0" w:color="auto"/>
              <w:left w:val="none" w:sz="0" w:space="0" w:color="auto"/>
              <w:right w:val="none" w:sz="0" w:space="0" w:color="auto"/>
            </w:tcBorders>
            <w:hideMark/>
          </w:tcPr>
          <w:p w14:paraId="7D3F2F56" w14:textId="77777777" w:rsidR="004E7542" w:rsidRPr="00D03B10"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80" w:name="ColumnTitle_AdultMale5"/>
            <w:r w:rsidRPr="00D03B10">
              <w:rPr>
                <w:rFonts w:ascii="Calibri" w:hAnsi="Calibri" w:cs="Calibri"/>
                <w:color w:val="auto"/>
                <w:sz w:val="22"/>
                <w:szCs w:val="22"/>
              </w:rPr>
              <w:t>Adult (Male)</w:t>
            </w:r>
            <w:bookmarkEnd w:id="180"/>
          </w:p>
        </w:tc>
        <w:tc>
          <w:tcPr>
            <w:tcW w:w="1134" w:type="dxa"/>
            <w:tcBorders>
              <w:top w:val="none" w:sz="0" w:space="0" w:color="auto"/>
              <w:left w:val="none" w:sz="0" w:space="0" w:color="auto"/>
              <w:right w:val="none" w:sz="0" w:space="0" w:color="auto"/>
            </w:tcBorders>
            <w:hideMark/>
          </w:tcPr>
          <w:p w14:paraId="7C07EC7A" w14:textId="77777777" w:rsidR="004E7542" w:rsidRPr="00D03B10"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81" w:name="ColumnTitle_AdultFemale5"/>
            <w:r w:rsidRPr="00D03B10">
              <w:rPr>
                <w:rFonts w:ascii="Calibri" w:hAnsi="Calibri" w:cs="Calibri"/>
                <w:color w:val="auto"/>
                <w:sz w:val="22"/>
                <w:szCs w:val="22"/>
              </w:rPr>
              <w:t>Adult (Female)</w:t>
            </w:r>
            <w:bookmarkEnd w:id="181"/>
          </w:p>
        </w:tc>
        <w:tc>
          <w:tcPr>
            <w:tcW w:w="1046" w:type="dxa"/>
            <w:tcBorders>
              <w:top w:val="none" w:sz="0" w:space="0" w:color="auto"/>
              <w:left w:val="none" w:sz="0" w:space="0" w:color="auto"/>
              <w:right w:val="none" w:sz="0" w:space="0" w:color="auto"/>
            </w:tcBorders>
            <w:hideMark/>
          </w:tcPr>
          <w:p w14:paraId="5707F66F" w14:textId="77777777" w:rsidR="004E7542" w:rsidRPr="00D03B10"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82" w:name="ColumnTitle_AdultPWD5Male"/>
            <w:r w:rsidRPr="00D03B10">
              <w:rPr>
                <w:rFonts w:ascii="Calibri" w:hAnsi="Calibri" w:cs="Calibri"/>
                <w:color w:val="auto"/>
                <w:sz w:val="22"/>
                <w:szCs w:val="22"/>
              </w:rPr>
              <w:t>Adult Person with disability (Male</w:t>
            </w:r>
            <w:bookmarkEnd w:id="182"/>
            <w:r w:rsidRPr="00D03B10">
              <w:rPr>
                <w:rFonts w:ascii="Calibri" w:hAnsi="Calibri" w:cs="Calibri"/>
                <w:color w:val="auto"/>
                <w:sz w:val="22"/>
                <w:szCs w:val="22"/>
              </w:rPr>
              <w:t>)</w:t>
            </w:r>
          </w:p>
        </w:tc>
        <w:tc>
          <w:tcPr>
            <w:tcW w:w="1046" w:type="dxa"/>
            <w:tcBorders>
              <w:top w:val="none" w:sz="0" w:space="0" w:color="auto"/>
              <w:left w:val="none" w:sz="0" w:space="0" w:color="auto"/>
              <w:right w:val="none" w:sz="0" w:space="0" w:color="auto"/>
            </w:tcBorders>
            <w:hideMark/>
          </w:tcPr>
          <w:p w14:paraId="6785F2BD" w14:textId="77777777" w:rsidR="004E7542" w:rsidRPr="00D03B10"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83" w:name="ColumnTitle_AdultPWD5Female"/>
            <w:r w:rsidRPr="00D03B10">
              <w:rPr>
                <w:rFonts w:ascii="Calibri" w:hAnsi="Calibri" w:cs="Calibri"/>
                <w:color w:val="auto"/>
                <w:sz w:val="22"/>
                <w:szCs w:val="22"/>
              </w:rPr>
              <w:t>Adult Person with disability (Female)</w:t>
            </w:r>
            <w:bookmarkEnd w:id="183"/>
          </w:p>
        </w:tc>
        <w:tc>
          <w:tcPr>
            <w:tcW w:w="819" w:type="dxa"/>
            <w:tcBorders>
              <w:top w:val="none" w:sz="0" w:space="0" w:color="auto"/>
              <w:left w:val="none" w:sz="0" w:space="0" w:color="auto"/>
              <w:right w:val="none" w:sz="0" w:space="0" w:color="auto"/>
            </w:tcBorders>
            <w:hideMark/>
          </w:tcPr>
          <w:p w14:paraId="18BE2483" w14:textId="77777777" w:rsidR="004E7542" w:rsidRPr="00D03B10"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84" w:name="ColumnTitle_ChildMale5"/>
            <w:r w:rsidRPr="00D03B10">
              <w:rPr>
                <w:rFonts w:ascii="Calibri" w:hAnsi="Calibri" w:cs="Calibri"/>
                <w:color w:val="auto"/>
                <w:sz w:val="22"/>
                <w:szCs w:val="22"/>
              </w:rPr>
              <w:t>Child (Male)</w:t>
            </w:r>
            <w:bookmarkEnd w:id="184"/>
          </w:p>
        </w:tc>
        <w:tc>
          <w:tcPr>
            <w:tcW w:w="1018" w:type="dxa"/>
            <w:tcBorders>
              <w:top w:val="none" w:sz="0" w:space="0" w:color="auto"/>
              <w:left w:val="none" w:sz="0" w:space="0" w:color="auto"/>
              <w:right w:val="none" w:sz="0" w:space="0" w:color="auto"/>
            </w:tcBorders>
            <w:hideMark/>
          </w:tcPr>
          <w:p w14:paraId="518B85FD" w14:textId="77777777" w:rsidR="004E7542" w:rsidRPr="00D03B10"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85" w:name="ColumnTitle_ChildFemale5"/>
            <w:r w:rsidRPr="00D03B10">
              <w:rPr>
                <w:rFonts w:ascii="Calibri" w:hAnsi="Calibri" w:cs="Calibri"/>
                <w:color w:val="auto"/>
                <w:sz w:val="22"/>
                <w:szCs w:val="22"/>
              </w:rPr>
              <w:t>Child (Female)</w:t>
            </w:r>
            <w:bookmarkEnd w:id="185"/>
          </w:p>
        </w:tc>
        <w:tc>
          <w:tcPr>
            <w:tcW w:w="1046" w:type="dxa"/>
            <w:tcBorders>
              <w:top w:val="none" w:sz="0" w:space="0" w:color="auto"/>
              <w:left w:val="none" w:sz="0" w:space="0" w:color="auto"/>
              <w:right w:val="none" w:sz="0" w:space="0" w:color="auto"/>
            </w:tcBorders>
            <w:hideMark/>
          </w:tcPr>
          <w:p w14:paraId="70A010ED" w14:textId="77777777" w:rsidR="004E7542" w:rsidRPr="00D03B10"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86" w:name="ColumnTitle_ChildWDMale5"/>
            <w:r w:rsidRPr="00D03B10">
              <w:rPr>
                <w:rFonts w:ascii="Calibri" w:hAnsi="Calibri" w:cs="Calibri"/>
                <w:color w:val="auto"/>
                <w:sz w:val="22"/>
                <w:szCs w:val="22"/>
              </w:rPr>
              <w:t>Child with disability (Male)</w:t>
            </w:r>
            <w:bookmarkEnd w:id="186"/>
          </w:p>
        </w:tc>
        <w:tc>
          <w:tcPr>
            <w:tcW w:w="1103" w:type="dxa"/>
            <w:tcBorders>
              <w:top w:val="none" w:sz="0" w:space="0" w:color="auto"/>
              <w:left w:val="none" w:sz="0" w:space="0" w:color="auto"/>
              <w:right w:val="none" w:sz="0" w:space="0" w:color="auto"/>
            </w:tcBorders>
            <w:hideMark/>
          </w:tcPr>
          <w:p w14:paraId="47B64204" w14:textId="77777777" w:rsidR="004E7542" w:rsidRPr="00D03B10"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87" w:name="ColumnTitle_ChildWDFemale5"/>
            <w:r w:rsidRPr="00D03B10">
              <w:rPr>
                <w:rFonts w:ascii="Calibri" w:hAnsi="Calibri" w:cs="Calibri"/>
                <w:color w:val="auto"/>
                <w:sz w:val="22"/>
                <w:szCs w:val="22"/>
              </w:rPr>
              <w:t>Child with disability (Female)</w:t>
            </w:r>
            <w:bookmarkEnd w:id="187"/>
          </w:p>
        </w:tc>
      </w:tr>
      <w:tr w:rsidR="0085029C" w14:paraId="60F37B2A" w14:textId="77777777" w:rsidTr="008A25D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noWrap/>
          </w:tcPr>
          <w:p w14:paraId="0B9288E2" w14:textId="6D78BF75" w:rsidR="004E7542" w:rsidRPr="00840FDA" w:rsidRDefault="004E7542" w:rsidP="004E7542">
            <w:pPr>
              <w:rPr>
                <w:rFonts w:ascii="Calibri" w:hAnsi="Calibri" w:cs="Calibri"/>
                <w:color w:val="auto"/>
                <w:sz w:val="22"/>
                <w:szCs w:val="22"/>
              </w:rPr>
            </w:pPr>
            <w:bookmarkStart w:id="188" w:name="RowTitle_INOVASIJKT"/>
            <w:r w:rsidRPr="00840FDA">
              <w:rPr>
                <w:rFonts w:asciiTheme="minorHAnsi" w:hAnsiTheme="minorHAnsi" w:cstheme="minorHAnsi"/>
                <w:color w:val="auto"/>
                <w:sz w:val="22"/>
                <w:szCs w:val="22"/>
              </w:rPr>
              <w:t>Jakarta team</w:t>
            </w:r>
            <w:bookmarkEnd w:id="188"/>
          </w:p>
        </w:tc>
        <w:tc>
          <w:tcPr>
            <w:tcW w:w="992" w:type="dxa"/>
            <w:noWrap/>
          </w:tcPr>
          <w:p w14:paraId="0F9A0186" w14:textId="3417E581"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4</w:t>
            </w:r>
          </w:p>
        </w:tc>
        <w:tc>
          <w:tcPr>
            <w:tcW w:w="1134" w:type="dxa"/>
            <w:noWrap/>
          </w:tcPr>
          <w:p w14:paraId="223926BB" w14:textId="13CC4A5A" w:rsidR="004E7542" w:rsidRPr="00840FDA"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5</w:t>
            </w:r>
          </w:p>
        </w:tc>
        <w:tc>
          <w:tcPr>
            <w:tcW w:w="1046" w:type="dxa"/>
            <w:noWrap/>
            <w:vAlign w:val="center"/>
          </w:tcPr>
          <w:p w14:paraId="058F9E7E" w14:textId="2C98AB64" w:rsidR="004E7542" w:rsidRPr="00840FDA"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vAlign w:val="center"/>
          </w:tcPr>
          <w:p w14:paraId="71BFF0FB" w14:textId="62092736" w:rsidR="004E7542" w:rsidRPr="00840FDA"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vAlign w:val="center"/>
          </w:tcPr>
          <w:p w14:paraId="6B8CC9A3" w14:textId="616F06B1" w:rsidR="004E7542" w:rsidRPr="00840FDA"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vAlign w:val="center"/>
          </w:tcPr>
          <w:p w14:paraId="1320672E" w14:textId="44A0F113" w:rsidR="004E7542" w:rsidRPr="00840FDA"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vAlign w:val="center"/>
          </w:tcPr>
          <w:p w14:paraId="5D231804" w14:textId="47932DB2" w:rsidR="004E7542" w:rsidRPr="00840FDA"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vAlign w:val="center"/>
          </w:tcPr>
          <w:p w14:paraId="265D3629" w14:textId="441BAA0D" w:rsidR="004E7542" w:rsidRPr="00840FDA"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7E3DB245" w14:textId="77777777" w:rsidTr="008A25DD">
        <w:trPr>
          <w:trHeight w:val="345"/>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noWrap/>
          </w:tcPr>
          <w:p w14:paraId="77C8E3E7" w14:textId="4C55D168" w:rsidR="004E7542" w:rsidRPr="00840FDA" w:rsidRDefault="004E7542" w:rsidP="004E7542">
            <w:pPr>
              <w:rPr>
                <w:rFonts w:ascii="Calibri" w:hAnsi="Calibri" w:cs="Calibri"/>
                <w:color w:val="auto"/>
                <w:sz w:val="22"/>
                <w:szCs w:val="22"/>
              </w:rPr>
            </w:pPr>
            <w:bookmarkStart w:id="189" w:name="RowTitle_INOVASIKaltara"/>
            <w:r w:rsidRPr="00840FDA">
              <w:rPr>
                <w:rFonts w:asciiTheme="minorHAnsi" w:hAnsiTheme="minorHAnsi" w:cstheme="minorHAnsi"/>
                <w:color w:val="auto"/>
                <w:sz w:val="22"/>
                <w:szCs w:val="22"/>
              </w:rPr>
              <w:t>Kalimantan Utara team</w:t>
            </w:r>
            <w:bookmarkEnd w:id="189"/>
          </w:p>
        </w:tc>
        <w:tc>
          <w:tcPr>
            <w:tcW w:w="992" w:type="dxa"/>
            <w:noWrap/>
          </w:tcPr>
          <w:p w14:paraId="70DC1977" w14:textId="4B1EB77C" w:rsidR="004E7542" w:rsidRPr="00840FDA"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4</w:t>
            </w:r>
          </w:p>
        </w:tc>
        <w:tc>
          <w:tcPr>
            <w:tcW w:w="1134" w:type="dxa"/>
            <w:noWrap/>
          </w:tcPr>
          <w:p w14:paraId="46C9D082" w14:textId="7471F8DE" w:rsidR="004E7542" w:rsidRPr="00840FDA"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E4B19">
              <w:rPr>
                <w:rFonts w:asciiTheme="minorHAnsi" w:hAnsiTheme="minorHAnsi" w:cstheme="minorHAnsi"/>
                <w:sz w:val="22"/>
                <w:szCs w:val="22"/>
              </w:rPr>
              <w:t>3</w:t>
            </w:r>
          </w:p>
        </w:tc>
        <w:tc>
          <w:tcPr>
            <w:tcW w:w="1046" w:type="dxa"/>
            <w:noWrap/>
            <w:vAlign w:val="center"/>
          </w:tcPr>
          <w:p w14:paraId="4750E2D1" w14:textId="4C133E67" w:rsidR="004E7542" w:rsidRPr="00840FDA"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vAlign w:val="center"/>
          </w:tcPr>
          <w:p w14:paraId="051A52BB" w14:textId="592BE79D" w:rsidR="004E7542" w:rsidRPr="00840FDA"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819" w:type="dxa"/>
            <w:noWrap/>
            <w:vAlign w:val="center"/>
          </w:tcPr>
          <w:p w14:paraId="5DE48B80" w14:textId="24665983" w:rsidR="004E7542" w:rsidRPr="00840FDA"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vAlign w:val="center"/>
          </w:tcPr>
          <w:p w14:paraId="23C896DA" w14:textId="52A7645B" w:rsidR="004E7542" w:rsidRPr="00840FDA"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vAlign w:val="center"/>
          </w:tcPr>
          <w:p w14:paraId="614FEB81" w14:textId="7BC4F334" w:rsidR="004E7542" w:rsidRPr="00840FDA"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103" w:type="dxa"/>
            <w:noWrap/>
            <w:vAlign w:val="center"/>
          </w:tcPr>
          <w:p w14:paraId="520AAA8D" w14:textId="66601BC7" w:rsidR="004E7542" w:rsidRPr="00840FDA"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bl>
    <w:p w14:paraId="090D1A4D" w14:textId="77777777" w:rsidR="004E7542" w:rsidRDefault="004E7542" w:rsidP="004E7542"/>
    <w:p w14:paraId="11CDBD82" w14:textId="0CC17D00" w:rsidR="004E7542" w:rsidRPr="004E7542" w:rsidRDefault="004E7542" w:rsidP="004E7542">
      <w:pPr>
        <w:rPr>
          <w:rFonts w:asciiTheme="minorHAnsi" w:hAnsiTheme="minorHAnsi" w:cstheme="minorHAnsi"/>
          <w:b/>
          <w:bCs/>
          <w:sz w:val="22"/>
          <w:szCs w:val="22"/>
        </w:rPr>
      </w:pPr>
      <w:r w:rsidRPr="004E7542">
        <w:rPr>
          <w:rFonts w:asciiTheme="minorHAnsi" w:hAnsiTheme="minorHAnsi" w:cstheme="minorHAnsi"/>
          <w:b/>
          <w:bCs/>
          <w:sz w:val="22"/>
          <w:szCs w:val="22"/>
        </w:rPr>
        <w:t>Table 6: DFAT</w:t>
      </w:r>
    </w:p>
    <w:tbl>
      <w:tblPr>
        <w:tblStyle w:val="GridTable5Dark-Accent1"/>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943"/>
        <w:gridCol w:w="1078"/>
        <w:gridCol w:w="1046"/>
        <w:gridCol w:w="1046"/>
        <w:gridCol w:w="902"/>
        <w:gridCol w:w="1018"/>
        <w:gridCol w:w="1046"/>
        <w:gridCol w:w="1075"/>
      </w:tblGrid>
      <w:tr w:rsidR="001119F0" w14:paraId="4D498041" w14:textId="77777777" w:rsidTr="00393078">
        <w:trPr>
          <w:cnfStyle w:val="100000000000" w:firstRow="1" w:lastRow="0" w:firstColumn="0" w:lastColumn="0" w:oddVBand="0" w:evenVBand="0" w:oddHBand="0" w:evenHBand="0" w:firstRowFirstColumn="0" w:firstRowLastColumn="0" w:lastRowFirstColumn="0" w:lastRowLastColumn="0"/>
          <w:trHeight w:val="1648"/>
          <w:tblHeader/>
        </w:trPr>
        <w:tc>
          <w:tcPr>
            <w:cnfStyle w:val="001000000000" w:firstRow="0" w:lastRow="0" w:firstColumn="1" w:lastColumn="0" w:oddVBand="0" w:evenVBand="0" w:oddHBand="0" w:evenHBand="0" w:firstRowFirstColumn="0" w:firstRowLastColumn="0" w:lastRowFirstColumn="0" w:lastRowLastColumn="0"/>
            <w:tcW w:w="2018" w:type="dxa"/>
            <w:tcBorders>
              <w:top w:val="none" w:sz="0" w:space="0" w:color="auto"/>
              <w:left w:val="none" w:sz="0" w:space="0" w:color="auto"/>
              <w:right w:val="none" w:sz="0" w:space="0" w:color="auto"/>
            </w:tcBorders>
            <w:hideMark/>
          </w:tcPr>
          <w:p w14:paraId="1CEBF108" w14:textId="77777777" w:rsidR="004E7542" w:rsidRPr="00AE67C8" w:rsidRDefault="004E7542">
            <w:pPr>
              <w:jc w:val="center"/>
              <w:rPr>
                <w:rFonts w:ascii="Calibri" w:hAnsi="Calibri" w:cs="Calibri"/>
                <w:color w:val="auto"/>
                <w:sz w:val="22"/>
                <w:szCs w:val="22"/>
                <w:lang w:eastAsia="en-AU"/>
              </w:rPr>
            </w:pPr>
            <w:bookmarkStart w:id="190" w:name="Title_Institutions6"/>
            <w:r w:rsidRPr="00AE67C8">
              <w:rPr>
                <w:rFonts w:ascii="Calibri" w:hAnsi="Calibri" w:cs="Calibri"/>
                <w:color w:val="auto"/>
                <w:sz w:val="22"/>
                <w:szCs w:val="22"/>
              </w:rPr>
              <w:t>Institutions/Expert</w:t>
            </w:r>
            <w:bookmarkEnd w:id="190"/>
          </w:p>
        </w:tc>
        <w:tc>
          <w:tcPr>
            <w:tcW w:w="943" w:type="dxa"/>
            <w:tcBorders>
              <w:top w:val="none" w:sz="0" w:space="0" w:color="auto"/>
              <w:left w:val="none" w:sz="0" w:space="0" w:color="auto"/>
              <w:right w:val="none" w:sz="0" w:space="0" w:color="auto"/>
            </w:tcBorders>
            <w:hideMark/>
          </w:tcPr>
          <w:p w14:paraId="228A7A5A"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91" w:name="ColumnTitle_AdultMale6"/>
            <w:r w:rsidRPr="00AE67C8">
              <w:rPr>
                <w:rFonts w:ascii="Calibri" w:hAnsi="Calibri" w:cs="Calibri"/>
                <w:color w:val="auto"/>
                <w:sz w:val="22"/>
                <w:szCs w:val="22"/>
              </w:rPr>
              <w:t>Adult (Male)</w:t>
            </w:r>
            <w:bookmarkEnd w:id="191"/>
          </w:p>
        </w:tc>
        <w:tc>
          <w:tcPr>
            <w:tcW w:w="1078" w:type="dxa"/>
            <w:tcBorders>
              <w:top w:val="none" w:sz="0" w:space="0" w:color="auto"/>
              <w:left w:val="none" w:sz="0" w:space="0" w:color="auto"/>
              <w:right w:val="none" w:sz="0" w:space="0" w:color="auto"/>
            </w:tcBorders>
            <w:hideMark/>
          </w:tcPr>
          <w:p w14:paraId="35849C3F" w14:textId="77777777" w:rsidR="004E7542" w:rsidRPr="00AE67C8" w:rsidRDefault="00B907F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92" w:name="ColumnTitle_AdultFemale6"/>
            <w:r>
              <w:rPr>
                <w:rFonts w:ascii="Calibri" w:hAnsi="Calibri" w:cs="Calibri"/>
                <w:color w:val="auto"/>
                <w:sz w:val="22"/>
                <w:szCs w:val="22"/>
              </w:rPr>
              <w:t>Adult (Female)</w:t>
            </w:r>
            <w:bookmarkEnd w:id="192"/>
          </w:p>
        </w:tc>
        <w:tc>
          <w:tcPr>
            <w:tcW w:w="1046" w:type="dxa"/>
            <w:tcBorders>
              <w:top w:val="none" w:sz="0" w:space="0" w:color="auto"/>
              <w:left w:val="none" w:sz="0" w:space="0" w:color="auto"/>
              <w:right w:val="none" w:sz="0" w:space="0" w:color="auto"/>
            </w:tcBorders>
            <w:hideMark/>
          </w:tcPr>
          <w:p w14:paraId="3B6AF6A7"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93" w:name="ColumnTitle_AdultPWDMale6"/>
            <w:r w:rsidRPr="00AE67C8">
              <w:rPr>
                <w:rFonts w:ascii="Calibri" w:hAnsi="Calibri" w:cs="Calibri"/>
                <w:color w:val="auto"/>
                <w:sz w:val="22"/>
                <w:szCs w:val="22"/>
              </w:rPr>
              <w:t>Adult Person with disability (Male)</w:t>
            </w:r>
            <w:bookmarkEnd w:id="193"/>
          </w:p>
        </w:tc>
        <w:tc>
          <w:tcPr>
            <w:tcW w:w="1046" w:type="dxa"/>
            <w:tcBorders>
              <w:top w:val="none" w:sz="0" w:space="0" w:color="auto"/>
              <w:left w:val="none" w:sz="0" w:space="0" w:color="auto"/>
              <w:right w:val="none" w:sz="0" w:space="0" w:color="auto"/>
            </w:tcBorders>
            <w:hideMark/>
          </w:tcPr>
          <w:p w14:paraId="11852F60"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94" w:name="ColumnTitle_AdultWDFemale6"/>
            <w:r w:rsidRPr="00AE67C8">
              <w:rPr>
                <w:rFonts w:ascii="Calibri" w:hAnsi="Calibri" w:cs="Calibri"/>
                <w:color w:val="auto"/>
                <w:sz w:val="22"/>
                <w:szCs w:val="22"/>
              </w:rPr>
              <w:t>Adult Person with disability (Female)</w:t>
            </w:r>
            <w:bookmarkEnd w:id="194"/>
          </w:p>
        </w:tc>
        <w:tc>
          <w:tcPr>
            <w:tcW w:w="902" w:type="dxa"/>
            <w:tcBorders>
              <w:top w:val="none" w:sz="0" w:space="0" w:color="auto"/>
              <w:left w:val="none" w:sz="0" w:space="0" w:color="auto"/>
              <w:right w:val="none" w:sz="0" w:space="0" w:color="auto"/>
            </w:tcBorders>
            <w:hideMark/>
          </w:tcPr>
          <w:p w14:paraId="3D772D06"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95" w:name="ColumnTitle_ChildMale6"/>
            <w:r w:rsidRPr="00AE67C8">
              <w:rPr>
                <w:rFonts w:ascii="Calibri" w:hAnsi="Calibri" w:cs="Calibri"/>
                <w:color w:val="auto"/>
                <w:sz w:val="22"/>
                <w:szCs w:val="22"/>
              </w:rPr>
              <w:t>Child (Male)</w:t>
            </w:r>
            <w:bookmarkEnd w:id="195"/>
          </w:p>
        </w:tc>
        <w:tc>
          <w:tcPr>
            <w:tcW w:w="1018" w:type="dxa"/>
            <w:tcBorders>
              <w:top w:val="none" w:sz="0" w:space="0" w:color="auto"/>
              <w:left w:val="none" w:sz="0" w:space="0" w:color="auto"/>
              <w:right w:val="none" w:sz="0" w:space="0" w:color="auto"/>
            </w:tcBorders>
            <w:hideMark/>
          </w:tcPr>
          <w:p w14:paraId="20070D08"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96" w:name="ColumnTitle_ChildFemale6"/>
            <w:r w:rsidRPr="00AE67C8">
              <w:rPr>
                <w:rFonts w:ascii="Calibri" w:hAnsi="Calibri" w:cs="Calibri"/>
                <w:color w:val="auto"/>
                <w:sz w:val="22"/>
                <w:szCs w:val="22"/>
              </w:rPr>
              <w:t>Child (Female)</w:t>
            </w:r>
            <w:bookmarkEnd w:id="196"/>
          </w:p>
        </w:tc>
        <w:tc>
          <w:tcPr>
            <w:tcW w:w="1046" w:type="dxa"/>
            <w:tcBorders>
              <w:top w:val="none" w:sz="0" w:space="0" w:color="auto"/>
              <w:left w:val="none" w:sz="0" w:space="0" w:color="auto"/>
              <w:right w:val="none" w:sz="0" w:space="0" w:color="auto"/>
            </w:tcBorders>
            <w:hideMark/>
          </w:tcPr>
          <w:p w14:paraId="498BBB2E"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97" w:name="ColumnTitle_CWDMale6"/>
            <w:r w:rsidRPr="00AE67C8">
              <w:rPr>
                <w:rFonts w:ascii="Calibri" w:hAnsi="Calibri" w:cs="Calibri"/>
                <w:color w:val="auto"/>
                <w:sz w:val="22"/>
                <w:szCs w:val="22"/>
              </w:rPr>
              <w:t>Child with disability (Male)</w:t>
            </w:r>
            <w:bookmarkEnd w:id="197"/>
          </w:p>
        </w:tc>
        <w:tc>
          <w:tcPr>
            <w:tcW w:w="1075" w:type="dxa"/>
            <w:tcBorders>
              <w:top w:val="none" w:sz="0" w:space="0" w:color="auto"/>
              <w:left w:val="none" w:sz="0" w:space="0" w:color="auto"/>
              <w:right w:val="none" w:sz="0" w:space="0" w:color="auto"/>
            </w:tcBorders>
            <w:hideMark/>
          </w:tcPr>
          <w:p w14:paraId="1098B44C"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198" w:name="ColumnTitle_CWDFemale6"/>
            <w:r w:rsidRPr="00AE67C8">
              <w:rPr>
                <w:rFonts w:ascii="Calibri" w:hAnsi="Calibri" w:cs="Calibri"/>
                <w:color w:val="auto"/>
                <w:sz w:val="22"/>
                <w:szCs w:val="22"/>
              </w:rPr>
              <w:t>Child with disability (Female)</w:t>
            </w:r>
            <w:bookmarkEnd w:id="198"/>
          </w:p>
        </w:tc>
      </w:tr>
      <w:tr w:rsidR="0085029C" w14:paraId="2F83A649" w14:textId="77777777" w:rsidTr="008A25DD">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018" w:type="dxa"/>
            <w:tcBorders>
              <w:left w:val="none" w:sz="0" w:space="0" w:color="auto"/>
            </w:tcBorders>
            <w:noWrap/>
          </w:tcPr>
          <w:p w14:paraId="17CA23BE" w14:textId="3B9CA5DB" w:rsidR="004E7542" w:rsidRPr="00840FDA" w:rsidRDefault="004E7542" w:rsidP="004E7542">
            <w:pPr>
              <w:rPr>
                <w:rFonts w:ascii="Calibri" w:hAnsi="Calibri" w:cs="Calibri"/>
                <w:color w:val="auto"/>
                <w:sz w:val="22"/>
                <w:szCs w:val="22"/>
              </w:rPr>
            </w:pPr>
            <w:bookmarkStart w:id="199" w:name="RowTitle_JakartaTeam"/>
            <w:r w:rsidRPr="00840FDA">
              <w:rPr>
                <w:rFonts w:asciiTheme="minorHAnsi" w:hAnsiTheme="minorHAnsi" w:cstheme="minorHAnsi"/>
                <w:color w:val="auto"/>
                <w:sz w:val="22"/>
                <w:szCs w:val="22"/>
              </w:rPr>
              <w:t>Jakarta team</w:t>
            </w:r>
            <w:bookmarkEnd w:id="199"/>
          </w:p>
        </w:tc>
        <w:tc>
          <w:tcPr>
            <w:tcW w:w="943" w:type="dxa"/>
            <w:noWrap/>
          </w:tcPr>
          <w:p w14:paraId="40C9F99A" w14:textId="4DBC0B11" w:rsidR="004E7542"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E4B19">
              <w:rPr>
                <w:rFonts w:asciiTheme="minorHAnsi" w:hAnsiTheme="minorHAnsi" w:cstheme="minorHAnsi"/>
                <w:sz w:val="22"/>
                <w:szCs w:val="22"/>
              </w:rPr>
              <w:t>3</w:t>
            </w:r>
          </w:p>
        </w:tc>
        <w:tc>
          <w:tcPr>
            <w:tcW w:w="1078" w:type="dxa"/>
            <w:noWrap/>
          </w:tcPr>
          <w:p w14:paraId="1F797106" w14:textId="4B8CF09D" w:rsidR="004E7542"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E4B19">
              <w:rPr>
                <w:rFonts w:asciiTheme="minorHAnsi" w:hAnsiTheme="minorHAnsi" w:cstheme="minorHAnsi"/>
                <w:sz w:val="22"/>
                <w:szCs w:val="22"/>
              </w:rPr>
              <w:t>12</w:t>
            </w:r>
          </w:p>
        </w:tc>
        <w:tc>
          <w:tcPr>
            <w:tcW w:w="1046" w:type="dxa"/>
            <w:noWrap/>
            <w:vAlign w:val="center"/>
          </w:tcPr>
          <w:p w14:paraId="10F1B21F" w14:textId="4310A7A6" w:rsidR="004E7542"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vAlign w:val="center"/>
          </w:tcPr>
          <w:p w14:paraId="234B18EB" w14:textId="1FA6D842" w:rsidR="004E7542"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902" w:type="dxa"/>
            <w:noWrap/>
            <w:vAlign w:val="center"/>
          </w:tcPr>
          <w:p w14:paraId="1307B80E" w14:textId="0102EF77" w:rsidR="004E7542"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vAlign w:val="center"/>
          </w:tcPr>
          <w:p w14:paraId="2A2CABE8" w14:textId="44413FA7" w:rsidR="004E7542"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vAlign w:val="center"/>
          </w:tcPr>
          <w:p w14:paraId="0ECBAD50" w14:textId="58D21B90" w:rsidR="004E7542"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75" w:type="dxa"/>
            <w:noWrap/>
            <w:vAlign w:val="center"/>
          </w:tcPr>
          <w:p w14:paraId="36C49B39" w14:textId="16864809" w:rsidR="004E7542" w:rsidRDefault="0010516B"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r w:rsidR="0085029C" w14:paraId="0281CF10" w14:textId="77777777" w:rsidTr="008A25DD">
        <w:trPr>
          <w:trHeight w:val="328"/>
        </w:trPr>
        <w:tc>
          <w:tcPr>
            <w:cnfStyle w:val="001000000000" w:firstRow="0" w:lastRow="0" w:firstColumn="1" w:lastColumn="0" w:oddVBand="0" w:evenVBand="0" w:oddHBand="0" w:evenHBand="0" w:firstRowFirstColumn="0" w:firstRowLastColumn="0" w:lastRowFirstColumn="0" w:lastRowLastColumn="0"/>
            <w:tcW w:w="2018" w:type="dxa"/>
            <w:tcBorders>
              <w:left w:val="none" w:sz="0" w:space="0" w:color="auto"/>
              <w:bottom w:val="none" w:sz="0" w:space="0" w:color="auto"/>
            </w:tcBorders>
            <w:noWrap/>
          </w:tcPr>
          <w:p w14:paraId="688F0A6B" w14:textId="2B01E7C0" w:rsidR="004E7542" w:rsidRPr="00840FDA" w:rsidRDefault="004E7542" w:rsidP="004E7542">
            <w:pPr>
              <w:rPr>
                <w:rFonts w:ascii="Calibri" w:hAnsi="Calibri" w:cs="Calibri"/>
                <w:color w:val="auto"/>
                <w:sz w:val="22"/>
                <w:szCs w:val="22"/>
              </w:rPr>
            </w:pPr>
            <w:bookmarkStart w:id="200" w:name="RowTitle_CanberraTeam"/>
            <w:r w:rsidRPr="00840FDA">
              <w:rPr>
                <w:rFonts w:asciiTheme="minorHAnsi" w:hAnsiTheme="minorHAnsi" w:cstheme="minorHAnsi"/>
                <w:color w:val="auto"/>
                <w:sz w:val="22"/>
                <w:szCs w:val="22"/>
              </w:rPr>
              <w:t>Canberra team</w:t>
            </w:r>
            <w:bookmarkEnd w:id="200"/>
          </w:p>
        </w:tc>
        <w:tc>
          <w:tcPr>
            <w:tcW w:w="943" w:type="dxa"/>
            <w:noWrap/>
          </w:tcPr>
          <w:p w14:paraId="528FAB26" w14:textId="2AFF9EE0" w:rsidR="004E7542"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4B19">
              <w:rPr>
                <w:rFonts w:asciiTheme="minorHAnsi" w:hAnsiTheme="minorHAnsi" w:cstheme="minorHAnsi"/>
                <w:sz w:val="22"/>
                <w:szCs w:val="22"/>
              </w:rPr>
              <w:t> </w:t>
            </w:r>
          </w:p>
        </w:tc>
        <w:tc>
          <w:tcPr>
            <w:tcW w:w="1078" w:type="dxa"/>
            <w:noWrap/>
          </w:tcPr>
          <w:p w14:paraId="6CA5A971" w14:textId="38C5EF55" w:rsidR="004E7542" w:rsidRDefault="004E7542"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4B19">
              <w:rPr>
                <w:rFonts w:asciiTheme="minorHAnsi" w:hAnsiTheme="minorHAnsi" w:cstheme="minorHAnsi"/>
                <w:sz w:val="22"/>
                <w:szCs w:val="22"/>
              </w:rPr>
              <w:t>4</w:t>
            </w:r>
          </w:p>
        </w:tc>
        <w:tc>
          <w:tcPr>
            <w:tcW w:w="1046" w:type="dxa"/>
            <w:noWrap/>
            <w:vAlign w:val="center"/>
          </w:tcPr>
          <w:p w14:paraId="2A624FAF" w14:textId="575BB0CF" w:rsidR="004E7542"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vAlign w:val="center"/>
          </w:tcPr>
          <w:p w14:paraId="1897BB54" w14:textId="154A8134" w:rsidR="004E7542"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902" w:type="dxa"/>
            <w:noWrap/>
            <w:vAlign w:val="center"/>
          </w:tcPr>
          <w:p w14:paraId="0FFA3553" w14:textId="765E5B66" w:rsidR="004E7542"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18" w:type="dxa"/>
            <w:noWrap/>
            <w:vAlign w:val="center"/>
          </w:tcPr>
          <w:p w14:paraId="0CDC6049" w14:textId="26B3DF80" w:rsidR="004E7542"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46" w:type="dxa"/>
            <w:noWrap/>
            <w:vAlign w:val="center"/>
          </w:tcPr>
          <w:p w14:paraId="7D668DA8" w14:textId="43126516" w:rsidR="004E7542"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c>
          <w:tcPr>
            <w:tcW w:w="1075" w:type="dxa"/>
            <w:noWrap/>
            <w:vAlign w:val="center"/>
          </w:tcPr>
          <w:p w14:paraId="62556EA0" w14:textId="6BECB92E" w:rsidR="004E7542" w:rsidRDefault="0010516B" w:rsidP="004E75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Theme="minorHAnsi" w:hAnsiTheme="minorHAnsi" w:cstheme="minorHAnsi"/>
                <w:sz w:val="22"/>
                <w:szCs w:val="22"/>
              </w:rPr>
              <w:t>0</w:t>
            </w:r>
            <w:r w:rsidR="004E7542" w:rsidRPr="00BE4B19">
              <w:rPr>
                <w:rFonts w:asciiTheme="minorHAnsi" w:hAnsiTheme="minorHAnsi" w:cstheme="minorHAnsi"/>
                <w:sz w:val="22"/>
                <w:szCs w:val="22"/>
              </w:rPr>
              <w:t> </w:t>
            </w:r>
          </w:p>
        </w:tc>
      </w:tr>
    </w:tbl>
    <w:p w14:paraId="2EC667D1" w14:textId="77777777" w:rsidR="004E7542" w:rsidRDefault="004E7542" w:rsidP="004E7542"/>
    <w:p w14:paraId="41C38B9C" w14:textId="45495BE1" w:rsidR="002C7744" w:rsidRPr="004E7542" w:rsidRDefault="004E7542" w:rsidP="004E7542">
      <w:pPr>
        <w:rPr>
          <w:rFonts w:asciiTheme="minorHAnsi" w:hAnsiTheme="minorHAnsi" w:cstheme="minorHAnsi"/>
          <w:b/>
          <w:bCs/>
          <w:sz w:val="22"/>
          <w:szCs w:val="22"/>
        </w:rPr>
      </w:pPr>
      <w:r w:rsidRPr="004E7542">
        <w:rPr>
          <w:rFonts w:asciiTheme="minorHAnsi" w:hAnsiTheme="minorHAnsi" w:cstheme="minorHAnsi"/>
          <w:b/>
          <w:bCs/>
          <w:sz w:val="22"/>
          <w:szCs w:val="22"/>
        </w:rPr>
        <w:t>Table 7: Total</w:t>
      </w:r>
      <w:r>
        <w:rPr>
          <w:rFonts w:asciiTheme="minorHAnsi" w:hAnsiTheme="minorHAnsi" w:cstheme="minorHAnsi"/>
          <w:b/>
          <w:bCs/>
          <w:sz w:val="22"/>
          <w:szCs w:val="22"/>
        </w:rPr>
        <w:t xml:space="preserve"> stakeholders </w:t>
      </w:r>
      <w:proofErr w:type="gramStart"/>
      <w:r>
        <w:rPr>
          <w:rFonts w:asciiTheme="minorHAnsi" w:hAnsiTheme="minorHAnsi" w:cstheme="minorHAnsi"/>
          <w:b/>
          <w:bCs/>
          <w:sz w:val="22"/>
          <w:szCs w:val="22"/>
        </w:rPr>
        <w:t>consulted</w:t>
      </w:r>
      <w:proofErr w:type="gramEnd"/>
    </w:p>
    <w:tbl>
      <w:tblPr>
        <w:tblStyle w:val="ListTable3-Accent1"/>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319"/>
        <w:gridCol w:w="1355"/>
        <w:gridCol w:w="1355"/>
        <w:gridCol w:w="1061"/>
        <w:gridCol w:w="1319"/>
        <w:gridCol w:w="1355"/>
        <w:gridCol w:w="1355"/>
      </w:tblGrid>
      <w:tr w:rsidR="0085722F" w14:paraId="046552F6" w14:textId="77777777" w:rsidTr="00393078">
        <w:trPr>
          <w:cnfStyle w:val="100000000000" w:firstRow="1" w:lastRow="0" w:firstColumn="0" w:lastColumn="0" w:oddVBand="0" w:evenVBand="0" w:oddHBand="0" w:evenHBand="0" w:firstRowFirstColumn="0" w:firstRowLastColumn="0" w:lastRowFirstColumn="0" w:lastRowLastColumn="0"/>
          <w:trHeight w:val="1065"/>
          <w:tblHeader/>
        </w:trPr>
        <w:tc>
          <w:tcPr>
            <w:cnfStyle w:val="001000000100" w:firstRow="0" w:lastRow="0" w:firstColumn="1" w:lastColumn="0" w:oddVBand="0" w:evenVBand="0" w:oddHBand="0" w:evenHBand="0" w:firstRowFirstColumn="1" w:firstRowLastColumn="0" w:lastRowFirstColumn="0" w:lastRowLastColumn="0"/>
            <w:tcW w:w="1061" w:type="dxa"/>
            <w:tcBorders>
              <w:bottom w:val="none" w:sz="0" w:space="0" w:color="auto"/>
              <w:right w:val="none" w:sz="0" w:space="0" w:color="auto"/>
            </w:tcBorders>
            <w:hideMark/>
          </w:tcPr>
          <w:p w14:paraId="0380A6F9" w14:textId="77777777" w:rsidR="004E7542" w:rsidRPr="00AE67C8" w:rsidRDefault="004E7542">
            <w:pPr>
              <w:jc w:val="center"/>
              <w:rPr>
                <w:rFonts w:ascii="Calibri" w:hAnsi="Calibri" w:cs="Calibri"/>
                <w:color w:val="auto"/>
                <w:sz w:val="22"/>
                <w:szCs w:val="22"/>
              </w:rPr>
            </w:pPr>
            <w:bookmarkStart w:id="201" w:name="ColumnTitle_TotalConsultedAdultMale"/>
            <w:r w:rsidRPr="00AE67C8">
              <w:rPr>
                <w:rFonts w:ascii="Calibri" w:hAnsi="Calibri" w:cs="Calibri"/>
                <w:color w:val="auto"/>
                <w:sz w:val="22"/>
                <w:szCs w:val="22"/>
              </w:rPr>
              <w:t>Adult (Male)</w:t>
            </w:r>
            <w:bookmarkEnd w:id="201"/>
          </w:p>
        </w:tc>
        <w:tc>
          <w:tcPr>
            <w:tcW w:w="1319" w:type="dxa"/>
            <w:hideMark/>
          </w:tcPr>
          <w:p w14:paraId="7992438B"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202" w:name="ColumnTitle_TotalConsultedAdultFemale"/>
            <w:r w:rsidRPr="00AE67C8">
              <w:rPr>
                <w:rFonts w:ascii="Calibri" w:hAnsi="Calibri" w:cs="Calibri"/>
                <w:color w:val="auto"/>
                <w:sz w:val="22"/>
                <w:szCs w:val="22"/>
              </w:rPr>
              <w:t>Adult (Female)</w:t>
            </w:r>
            <w:bookmarkEnd w:id="202"/>
          </w:p>
        </w:tc>
        <w:tc>
          <w:tcPr>
            <w:tcW w:w="1355" w:type="dxa"/>
            <w:hideMark/>
          </w:tcPr>
          <w:p w14:paraId="7B362853"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203" w:name="ColumnTitle_TotalConsultedAdultPWDMale"/>
            <w:r w:rsidRPr="00AE67C8">
              <w:rPr>
                <w:rFonts w:ascii="Calibri" w:hAnsi="Calibri" w:cs="Calibri"/>
                <w:color w:val="auto"/>
                <w:sz w:val="22"/>
                <w:szCs w:val="22"/>
              </w:rPr>
              <w:t>Adult Person with disability (Male)</w:t>
            </w:r>
            <w:bookmarkEnd w:id="203"/>
          </w:p>
        </w:tc>
        <w:tc>
          <w:tcPr>
            <w:tcW w:w="1355" w:type="dxa"/>
            <w:hideMark/>
          </w:tcPr>
          <w:p w14:paraId="67B5E9AB"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204" w:name="ColumnTitle_TotalConsultedAdultPWDFemale"/>
            <w:r w:rsidRPr="00AE67C8">
              <w:rPr>
                <w:rFonts w:ascii="Calibri" w:hAnsi="Calibri" w:cs="Calibri"/>
                <w:color w:val="auto"/>
                <w:sz w:val="22"/>
                <w:szCs w:val="22"/>
              </w:rPr>
              <w:t>Adult Person with disability (Female)</w:t>
            </w:r>
            <w:bookmarkEnd w:id="204"/>
          </w:p>
        </w:tc>
        <w:tc>
          <w:tcPr>
            <w:tcW w:w="1061" w:type="dxa"/>
            <w:hideMark/>
          </w:tcPr>
          <w:p w14:paraId="48D22627"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205" w:name="ColumnTitle_TotalConsultedChildMale"/>
            <w:r w:rsidRPr="00AE67C8">
              <w:rPr>
                <w:rFonts w:ascii="Calibri" w:hAnsi="Calibri" w:cs="Calibri"/>
                <w:color w:val="auto"/>
                <w:sz w:val="22"/>
                <w:szCs w:val="22"/>
              </w:rPr>
              <w:t>Child (Male)</w:t>
            </w:r>
            <w:bookmarkEnd w:id="205"/>
          </w:p>
        </w:tc>
        <w:tc>
          <w:tcPr>
            <w:tcW w:w="1319" w:type="dxa"/>
            <w:hideMark/>
          </w:tcPr>
          <w:p w14:paraId="410E88A0"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206" w:name="ColumnTitle_TotalConsultedChildFemale"/>
            <w:r w:rsidRPr="00AE67C8">
              <w:rPr>
                <w:rFonts w:ascii="Calibri" w:hAnsi="Calibri" w:cs="Calibri"/>
                <w:color w:val="auto"/>
                <w:sz w:val="22"/>
                <w:szCs w:val="22"/>
              </w:rPr>
              <w:t>Child (Female)</w:t>
            </w:r>
            <w:bookmarkEnd w:id="206"/>
          </w:p>
        </w:tc>
        <w:tc>
          <w:tcPr>
            <w:tcW w:w="1355" w:type="dxa"/>
            <w:hideMark/>
          </w:tcPr>
          <w:p w14:paraId="659C2F86"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207" w:name="ColumnTitle_TotalConsultedChildWDMale"/>
            <w:r w:rsidRPr="00AE67C8">
              <w:rPr>
                <w:rFonts w:ascii="Calibri" w:hAnsi="Calibri" w:cs="Calibri"/>
                <w:color w:val="auto"/>
                <w:sz w:val="22"/>
                <w:szCs w:val="22"/>
              </w:rPr>
              <w:t>Child with disability (Male)</w:t>
            </w:r>
            <w:bookmarkEnd w:id="207"/>
          </w:p>
        </w:tc>
        <w:tc>
          <w:tcPr>
            <w:tcW w:w="1355" w:type="dxa"/>
            <w:hideMark/>
          </w:tcPr>
          <w:p w14:paraId="33D819DF" w14:textId="77777777" w:rsidR="004E7542" w:rsidRPr="00AE67C8" w:rsidRDefault="004E75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bookmarkStart w:id="208" w:name="ColumnTitle_TotalConsultedChildWDFemale"/>
            <w:r w:rsidRPr="00AE67C8">
              <w:rPr>
                <w:rFonts w:ascii="Calibri" w:hAnsi="Calibri" w:cs="Calibri"/>
                <w:color w:val="auto"/>
                <w:sz w:val="22"/>
                <w:szCs w:val="22"/>
              </w:rPr>
              <w:t>Child with disability (Female)</w:t>
            </w:r>
            <w:bookmarkEnd w:id="208"/>
          </w:p>
        </w:tc>
      </w:tr>
      <w:tr w:rsidR="004E7542" w14:paraId="777B16AF" w14:textId="77777777" w:rsidTr="00163FC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061" w:type="dxa"/>
            <w:tcBorders>
              <w:top w:val="none" w:sz="0" w:space="0" w:color="auto"/>
              <w:bottom w:val="none" w:sz="0" w:space="0" w:color="auto"/>
              <w:right w:val="none" w:sz="0" w:space="0" w:color="auto"/>
            </w:tcBorders>
            <w:noWrap/>
          </w:tcPr>
          <w:p w14:paraId="4715FD19" w14:textId="13D3448C" w:rsidR="004E7542" w:rsidRPr="004E7542" w:rsidRDefault="004E7542" w:rsidP="004E7542">
            <w:pPr>
              <w:jc w:val="center"/>
              <w:rPr>
                <w:rFonts w:ascii="Calibri" w:hAnsi="Calibri" w:cs="Calibri"/>
                <w:sz w:val="22"/>
                <w:szCs w:val="22"/>
              </w:rPr>
            </w:pPr>
            <w:r w:rsidRPr="004E7542">
              <w:rPr>
                <w:rFonts w:asciiTheme="minorHAnsi" w:hAnsiTheme="minorHAnsi" w:cstheme="minorHAnsi"/>
                <w:b w:val="0"/>
                <w:sz w:val="22"/>
                <w:szCs w:val="22"/>
              </w:rPr>
              <w:t>33</w:t>
            </w:r>
          </w:p>
        </w:tc>
        <w:tc>
          <w:tcPr>
            <w:tcW w:w="1319" w:type="dxa"/>
            <w:tcBorders>
              <w:top w:val="none" w:sz="0" w:space="0" w:color="auto"/>
              <w:bottom w:val="none" w:sz="0" w:space="0" w:color="auto"/>
            </w:tcBorders>
            <w:noWrap/>
          </w:tcPr>
          <w:p w14:paraId="319B7A34" w14:textId="3B1EDBD9" w:rsidR="004E7542" w:rsidRPr="004E7542"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C7744">
              <w:rPr>
                <w:rFonts w:asciiTheme="minorHAnsi" w:hAnsiTheme="minorHAnsi" w:cstheme="minorHAnsi"/>
                <w:sz w:val="22"/>
                <w:szCs w:val="22"/>
              </w:rPr>
              <w:t>66</w:t>
            </w:r>
          </w:p>
        </w:tc>
        <w:tc>
          <w:tcPr>
            <w:tcW w:w="1355" w:type="dxa"/>
            <w:tcBorders>
              <w:top w:val="none" w:sz="0" w:space="0" w:color="auto"/>
              <w:bottom w:val="none" w:sz="0" w:space="0" w:color="auto"/>
            </w:tcBorders>
            <w:noWrap/>
          </w:tcPr>
          <w:p w14:paraId="34ABF9BA" w14:textId="4CF20301" w:rsidR="004E7542" w:rsidRPr="004E7542"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C7744">
              <w:rPr>
                <w:rFonts w:asciiTheme="minorHAnsi" w:hAnsiTheme="minorHAnsi" w:cstheme="minorHAnsi"/>
                <w:sz w:val="22"/>
                <w:szCs w:val="22"/>
              </w:rPr>
              <w:t>2</w:t>
            </w:r>
          </w:p>
        </w:tc>
        <w:tc>
          <w:tcPr>
            <w:tcW w:w="1355" w:type="dxa"/>
            <w:tcBorders>
              <w:top w:val="none" w:sz="0" w:space="0" w:color="auto"/>
              <w:bottom w:val="none" w:sz="0" w:space="0" w:color="auto"/>
            </w:tcBorders>
            <w:noWrap/>
          </w:tcPr>
          <w:p w14:paraId="4498306F" w14:textId="2EF503FB" w:rsidR="004E7542" w:rsidRPr="004E7542"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C7744">
              <w:rPr>
                <w:rFonts w:asciiTheme="minorHAnsi" w:hAnsiTheme="minorHAnsi" w:cstheme="minorHAnsi"/>
                <w:sz w:val="22"/>
                <w:szCs w:val="22"/>
              </w:rPr>
              <w:t>1</w:t>
            </w:r>
          </w:p>
        </w:tc>
        <w:tc>
          <w:tcPr>
            <w:tcW w:w="1061" w:type="dxa"/>
            <w:tcBorders>
              <w:top w:val="none" w:sz="0" w:space="0" w:color="auto"/>
              <w:bottom w:val="none" w:sz="0" w:space="0" w:color="auto"/>
            </w:tcBorders>
            <w:noWrap/>
          </w:tcPr>
          <w:p w14:paraId="1D86E054" w14:textId="74A3FBE3" w:rsidR="004E7542" w:rsidRPr="004E7542"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C7744">
              <w:rPr>
                <w:rFonts w:asciiTheme="minorHAnsi" w:hAnsiTheme="minorHAnsi" w:cstheme="minorHAnsi"/>
                <w:sz w:val="22"/>
                <w:szCs w:val="22"/>
              </w:rPr>
              <w:t>2</w:t>
            </w:r>
          </w:p>
        </w:tc>
        <w:tc>
          <w:tcPr>
            <w:tcW w:w="1319" w:type="dxa"/>
            <w:tcBorders>
              <w:top w:val="none" w:sz="0" w:space="0" w:color="auto"/>
              <w:bottom w:val="none" w:sz="0" w:space="0" w:color="auto"/>
            </w:tcBorders>
            <w:noWrap/>
          </w:tcPr>
          <w:p w14:paraId="5A58AD5D" w14:textId="6135299B" w:rsidR="004E7542" w:rsidRPr="004E7542"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C7744">
              <w:rPr>
                <w:rFonts w:asciiTheme="minorHAnsi" w:hAnsiTheme="minorHAnsi" w:cstheme="minorHAnsi"/>
                <w:sz w:val="22"/>
                <w:szCs w:val="22"/>
              </w:rPr>
              <w:t>4</w:t>
            </w:r>
          </w:p>
        </w:tc>
        <w:tc>
          <w:tcPr>
            <w:tcW w:w="1355" w:type="dxa"/>
            <w:tcBorders>
              <w:top w:val="none" w:sz="0" w:space="0" w:color="auto"/>
              <w:bottom w:val="none" w:sz="0" w:space="0" w:color="auto"/>
            </w:tcBorders>
            <w:noWrap/>
          </w:tcPr>
          <w:p w14:paraId="16FFA121" w14:textId="7DFF37C1" w:rsidR="004E7542" w:rsidRPr="004E7542"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C7744">
              <w:rPr>
                <w:rFonts w:asciiTheme="minorHAnsi" w:hAnsiTheme="minorHAnsi" w:cstheme="minorHAnsi"/>
                <w:sz w:val="22"/>
                <w:szCs w:val="22"/>
              </w:rPr>
              <w:t>1</w:t>
            </w:r>
          </w:p>
        </w:tc>
        <w:tc>
          <w:tcPr>
            <w:tcW w:w="1355" w:type="dxa"/>
            <w:tcBorders>
              <w:top w:val="none" w:sz="0" w:space="0" w:color="auto"/>
              <w:bottom w:val="none" w:sz="0" w:space="0" w:color="auto"/>
            </w:tcBorders>
            <w:noWrap/>
          </w:tcPr>
          <w:p w14:paraId="67D52862" w14:textId="13420CCC" w:rsidR="004E7542" w:rsidRPr="004E7542" w:rsidRDefault="004E7542" w:rsidP="004E75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C7744">
              <w:rPr>
                <w:rFonts w:asciiTheme="minorHAnsi" w:hAnsiTheme="minorHAnsi" w:cstheme="minorHAnsi"/>
                <w:sz w:val="22"/>
                <w:szCs w:val="22"/>
              </w:rPr>
              <w:t>1</w:t>
            </w:r>
          </w:p>
        </w:tc>
      </w:tr>
    </w:tbl>
    <w:p w14:paraId="71FA55C0" w14:textId="7C6D9D02" w:rsidR="00077C0E" w:rsidRDefault="00077C0E" w:rsidP="0023037A">
      <w:pPr>
        <w:pBdr>
          <w:bottom w:val="single" w:sz="4" w:space="1" w:color="auto"/>
        </w:pBdr>
        <w:spacing w:after="240" w:line="440" w:lineRule="atLeast"/>
        <w:rPr>
          <w:rFonts w:asciiTheme="majorHAnsi" w:eastAsiaTheme="majorEastAsia" w:hAnsiTheme="majorHAnsi" w:cstheme="majorBidi"/>
          <w:sz w:val="28"/>
          <w:szCs w:val="28"/>
        </w:rPr>
        <w:sectPr w:rsidR="00077C0E" w:rsidSect="00077C0E">
          <w:pgSz w:w="11906" w:h="16838" w:code="9"/>
          <w:pgMar w:top="1418" w:right="993" w:bottom="1701" w:left="1134" w:header="425" w:footer="493" w:gutter="0"/>
          <w:cols w:space="397"/>
          <w:titlePg/>
          <w:docGrid w:linePitch="360"/>
        </w:sectPr>
      </w:pPr>
    </w:p>
    <w:p w14:paraId="55143FC3" w14:textId="798C9B52" w:rsidR="00974377" w:rsidRPr="005C241F" w:rsidRDefault="004F196E" w:rsidP="00A564C9">
      <w:pPr>
        <w:pStyle w:val="Heading1"/>
        <w:rPr>
          <w:sz w:val="28"/>
          <w:u w:val="single"/>
        </w:rPr>
      </w:pPr>
      <w:r w:rsidRPr="005C241F">
        <w:rPr>
          <w:sz w:val="28"/>
          <w:u w:val="single"/>
        </w:rPr>
        <w:lastRenderedPageBreak/>
        <w:t xml:space="preserve">Annex </w:t>
      </w:r>
      <w:r w:rsidR="00475A9D">
        <w:rPr>
          <w:sz w:val="28"/>
          <w:u w:val="single"/>
        </w:rPr>
        <w:t>4</w:t>
      </w:r>
      <w:r w:rsidRPr="005C241F">
        <w:rPr>
          <w:sz w:val="28"/>
          <w:u w:val="single"/>
        </w:rPr>
        <w:t xml:space="preserve"> -</w:t>
      </w:r>
      <w:r w:rsidR="0023037A" w:rsidRPr="005C241F">
        <w:rPr>
          <w:sz w:val="28"/>
          <w:u w:val="single"/>
        </w:rPr>
        <w:t xml:space="preserve"> Considerations of </w:t>
      </w:r>
      <w:r w:rsidR="00DB3B2F" w:rsidRPr="005C241F">
        <w:rPr>
          <w:sz w:val="28"/>
          <w:u w:val="single"/>
        </w:rPr>
        <w:t>R</w:t>
      </w:r>
      <w:r w:rsidR="0023037A" w:rsidRPr="005C241F">
        <w:rPr>
          <w:sz w:val="28"/>
          <w:u w:val="single"/>
        </w:rPr>
        <w:t xml:space="preserve">elevant ISR </w:t>
      </w:r>
      <w:r w:rsidR="00DB3B2F" w:rsidRPr="005C241F">
        <w:rPr>
          <w:sz w:val="28"/>
          <w:u w:val="single"/>
        </w:rPr>
        <w:t>R</w:t>
      </w:r>
      <w:r w:rsidR="0023037A" w:rsidRPr="005C241F">
        <w:rPr>
          <w:sz w:val="28"/>
          <w:u w:val="single"/>
        </w:rPr>
        <w:t>ecommendations in INOVASI Phase 3 Design Update</w:t>
      </w:r>
    </w:p>
    <w:tbl>
      <w:tblPr>
        <w:tblStyle w:val="GridTable5Dark-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4110"/>
        <w:gridCol w:w="6342"/>
      </w:tblGrid>
      <w:tr w:rsidR="002F4248" w:rsidRPr="00BE4B19" w14:paraId="65C2DB29" w14:textId="77777777" w:rsidTr="00741094">
        <w:trPr>
          <w:cnfStyle w:val="100000000000" w:firstRow="1" w:lastRow="0" w:firstColumn="0" w:lastColumn="0" w:oddVBand="0" w:evenVBand="0" w:oddHBand="0" w:evenHBand="0" w:firstRowFirstColumn="0" w:firstRowLastColumn="0" w:lastRowFirstColumn="0" w:lastRowLastColumn="0"/>
          <w:trHeight w:val="538"/>
          <w:tblHead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left w:val="single" w:sz="4" w:space="0" w:color="auto"/>
              <w:right w:val="single" w:sz="4" w:space="0" w:color="auto"/>
            </w:tcBorders>
          </w:tcPr>
          <w:p w14:paraId="4E67BB04" w14:textId="77777777" w:rsidR="002F4248" w:rsidRPr="00FA3FDD" w:rsidRDefault="002F4248" w:rsidP="002F4248">
            <w:pPr>
              <w:spacing w:before="120" w:after="120"/>
              <w:jc w:val="center"/>
              <w:rPr>
                <w:rFonts w:asciiTheme="minorHAnsi" w:hAnsiTheme="minorHAnsi" w:cstheme="minorHAnsi"/>
                <w:b w:val="0"/>
                <w:color w:val="auto"/>
                <w:sz w:val="22"/>
                <w:szCs w:val="22"/>
              </w:rPr>
            </w:pPr>
            <w:bookmarkStart w:id="209" w:name="Title_ISRRecommendations"/>
            <w:r w:rsidRPr="00FA3FDD">
              <w:rPr>
                <w:rFonts w:asciiTheme="minorHAnsi" w:hAnsiTheme="minorHAnsi" w:cstheme="minorHAnsi"/>
                <w:color w:val="auto"/>
                <w:sz w:val="22"/>
                <w:szCs w:val="22"/>
              </w:rPr>
              <w:t>ISR Recommendations</w:t>
            </w:r>
            <w:bookmarkEnd w:id="209"/>
          </w:p>
        </w:tc>
        <w:tc>
          <w:tcPr>
            <w:tcW w:w="1499" w:type="pct"/>
            <w:tcBorders>
              <w:top w:val="single" w:sz="4" w:space="0" w:color="auto"/>
              <w:left w:val="single" w:sz="4" w:space="0" w:color="auto"/>
              <w:right w:val="single" w:sz="4" w:space="0" w:color="auto"/>
            </w:tcBorders>
          </w:tcPr>
          <w:p w14:paraId="7C7E6210" w14:textId="77777777" w:rsidR="002F4248" w:rsidRPr="00FA3FDD" w:rsidRDefault="002F4248" w:rsidP="002F4248">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bookmarkStart w:id="210" w:name="ColumnTitle_DFATResponse"/>
            <w:r w:rsidRPr="00FA3FDD">
              <w:rPr>
                <w:rFonts w:asciiTheme="minorHAnsi" w:hAnsiTheme="minorHAnsi" w:cstheme="minorHAnsi"/>
                <w:color w:val="auto"/>
                <w:sz w:val="22"/>
                <w:szCs w:val="22"/>
              </w:rPr>
              <w:t>DFAT Response / Action Plan</w:t>
            </w:r>
            <w:bookmarkEnd w:id="210"/>
          </w:p>
        </w:tc>
        <w:tc>
          <w:tcPr>
            <w:tcW w:w="2313" w:type="pct"/>
            <w:tcBorders>
              <w:top w:val="single" w:sz="4" w:space="0" w:color="auto"/>
              <w:left w:val="single" w:sz="4" w:space="0" w:color="auto"/>
              <w:right w:val="single" w:sz="4" w:space="0" w:color="auto"/>
            </w:tcBorders>
          </w:tcPr>
          <w:p w14:paraId="1785094F" w14:textId="77777777" w:rsidR="002F4248" w:rsidRPr="00FA3FDD" w:rsidRDefault="002F4248" w:rsidP="002F4248">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bookmarkStart w:id="211" w:name="ColumnTitle_Considerations"/>
            <w:r w:rsidRPr="00FA3FDD">
              <w:rPr>
                <w:rFonts w:asciiTheme="minorHAnsi" w:hAnsiTheme="minorHAnsi" w:cstheme="minorHAnsi"/>
                <w:color w:val="auto"/>
                <w:sz w:val="22"/>
                <w:szCs w:val="22"/>
              </w:rPr>
              <w:t>Considerations in Design Update</w:t>
            </w:r>
            <w:bookmarkEnd w:id="211"/>
          </w:p>
        </w:tc>
      </w:tr>
      <w:tr w:rsidR="002F4248" w:rsidRPr="00BE4B19" w14:paraId="0EA3E889" w14:textId="77777777" w:rsidTr="00C10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pct"/>
            <w:tcBorders>
              <w:left w:val="single" w:sz="4" w:space="0" w:color="auto"/>
            </w:tcBorders>
          </w:tcPr>
          <w:p w14:paraId="7F5EAE53" w14:textId="77777777" w:rsidR="002F4248" w:rsidRPr="00FA3FDD" w:rsidRDefault="002F4248" w:rsidP="002F4248">
            <w:pPr>
              <w:pStyle w:val="NormalWeb"/>
              <w:spacing w:before="120" w:beforeAutospacing="0" w:after="120" w:afterAutospacing="0"/>
              <w:rPr>
                <w:rFonts w:asciiTheme="minorHAnsi" w:hAnsiTheme="minorHAnsi" w:cstheme="minorHAnsi"/>
                <w:color w:val="auto"/>
                <w:sz w:val="22"/>
                <w:szCs w:val="22"/>
              </w:rPr>
            </w:pPr>
            <w:bookmarkStart w:id="212" w:name="RowTitle_Recommendation4"/>
            <w:r w:rsidRPr="00FA3FDD">
              <w:rPr>
                <w:rFonts w:asciiTheme="minorHAnsi" w:hAnsiTheme="minorHAnsi" w:cstheme="minorHAnsi"/>
                <w:color w:val="auto"/>
                <w:sz w:val="22"/>
                <w:szCs w:val="22"/>
              </w:rPr>
              <w:t xml:space="preserve">Recommendation 4 </w:t>
            </w:r>
          </w:p>
          <w:p w14:paraId="6E529EB6" w14:textId="77777777" w:rsidR="002F4248" w:rsidRPr="00FA3FDD" w:rsidRDefault="002F4248" w:rsidP="002F4248">
            <w:pPr>
              <w:spacing w:before="120" w:after="120"/>
              <w:rPr>
                <w:rFonts w:asciiTheme="minorHAnsi" w:hAnsiTheme="minorHAnsi" w:cstheme="minorHAnsi"/>
                <w:color w:val="auto"/>
                <w:sz w:val="22"/>
                <w:szCs w:val="22"/>
              </w:rPr>
            </w:pPr>
            <w:r w:rsidRPr="00FA3FDD">
              <w:rPr>
                <w:rFonts w:asciiTheme="minorHAnsi" w:hAnsiTheme="minorHAnsi" w:cstheme="minorHAnsi"/>
                <w:color w:val="auto"/>
                <w:sz w:val="22"/>
                <w:szCs w:val="22"/>
              </w:rPr>
              <w:t xml:space="preserve">Australia is well-placed to continue to support effective basic education improvement and reform in Indonesia, particularly on foundational skills development. </w:t>
            </w:r>
            <w:bookmarkEnd w:id="212"/>
          </w:p>
        </w:tc>
        <w:tc>
          <w:tcPr>
            <w:tcW w:w="1499" w:type="pct"/>
          </w:tcPr>
          <w:p w14:paraId="729F8FFE" w14:textId="77777777" w:rsidR="002F4248" w:rsidRPr="00BE4B19" w:rsidRDefault="002F4248" w:rsidP="002F4248">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Noted. DFAT will start consideration of a new investment that will build on the work of INOVASI. During these processes, DFAT will consult with counterparts to map future priorities and needs in basic education, while cementing achievements that have been proven to work.</w:t>
            </w:r>
          </w:p>
        </w:tc>
        <w:tc>
          <w:tcPr>
            <w:tcW w:w="2313" w:type="pct"/>
          </w:tcPr>
          <w:p w14:paraId="6E64086B" w14:textId="48FD06A6" w:rsidR="002F4248" w:rsidRPr="00BE4B19" w:rsidRDefault="002F4248" w:rsidP="002F4248">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xml:space="preserve">INOVASI Phase 3 will continue to support the development and implementation of current education reforms in Indonesia, focusing on the development of strong foundational skills for primary school and madrasah students in literacy, </w:t>
            </w:r>
            <w:r w:rsidR="001F75A0" w:rsidRPr="00BE4B19">
              <w:rPr>
                <w:rFonts w:asciiTheme="minorHAnsi" w:hAnsiTheme="minorHAnsi" w:cstheme="minorHAnsi"/>
                <w:sz w:val="22"/>
                <w:szCs w:val="22"/>
              </w:rPr>
              <w:t>numeracy,</w:t>
            </w:r>
            <w:r w:rsidRPr="00BE4B19">
              <w:rPr>
                <w:rFonts w:asciiTheme="minorHAnsi" w:hAnsiTheme="minorHAnsi" w:cstheme="minorHAnsi"/>
                <w:sz w:val="22"/>
                <w:szCs w:val="22"/>
              </w:rPr>
              <w:t xml:space="preserve"> and character education. While support to literacy learning will continue, the program will include a greater focus on numeracy and </w:t>
            </w:r>
            <w:r w:rsidR="001F75A0" w:rsidRPr="00BE4B19">
              <w:rPr>
                <w:rFonts w:asciiTheme="minorHAnsi" w:hAnsiTheme="minorHAnsi" w:cstheme="minorHAnsi"/>
                <w:sz w:val="22"/>
                <w:szCs w:val="22"/>
              </w:rPr>
              <w:t>character</w:t>
            </w:r>
            <w:r w:rsidR="001F75A0">
              <w:rPr>
                <w:rFonts w:asciiTheme="minorHAnsi" w:hAnsiTheme="minorHAnsi" w:cstheme="minorHAnsi"/>
                <w:sz w:val="22"/>
                <w:szCs w:val="22"/>
              </w:rPr>
              <w:t>-building</w:t>
            </w:r>
            <w:r w:rsidRPr="00BE4B19">
              <w:rPr>
                <w:rFonts w:asciiTheme="minorHAnsi" w:hAnsiTheme="minorHAnsi" w:cstheme="minorHAnsi"/>
                <w:sz w:val="22"/>
                <w:szCs w:val="22"/>
              </w:rPr>
              <w:t xml:space="preserve"> improvements. This is reflected in the statements and descriptions of the program goal, objectives and two EOPOs (see Section C and D). </w:t>
            </w:r>
          </w:p>
        </w:tc>
      </w:tr>
      <w:tr w:rsidR="002F4248" w:rsidRPr="00BE4B19" w14:paraId="47300380" w14:textId="77777777" w:rsidTr="00C10A8A">
        <w:tc>
          <w:tcPr>
            <w:cnfStyle w:val="001000000000" w:firstRow="0" w:lastRow="0" w:firstColumn="1" w:lastColumn="0" w:oddVBand="0" w:evenVBand="0" w:oddHBand="0" w:evenHBand="0" w:firstRowFirstColumn="0" w:firstRowLastColumn="0" w:lastRowFirstColumn="0" w:lastRowLastColumn="0"/>
            <w:tcW w:w="1188" w:type="pct"/>
            <w:tcBorders>
              <w:left w:val="single" w:sz="4" w:space="0" w:color="auto"/>
            </w:tcBorders>
          </w:tcPr>
          <w:p w14:paraId="411C8664" w14:textId="77777777" w:rsidR="002F4248" w:rsidRPr="00FA3FDD" w:rsidRDefault="002F4248" w:rsidP="002F4248">
            <w:pPr>
              <w:pStyle w:val="NormalWeb"/>
              <w:spacing w:before="120" w:beforeAutospacing="0" w:after="120" w:afterAutospacing="0"/>
              <w:rPr>
                <w:rFonts w:asciiTheme="minorHAnsi" w:hAnsiTheme="minorHAnsi" w:cstheme="minorHAnsi"/>
                <w:color w:val="auto"/>
                <w:sz w:val="22"/>
                <w:szCs w:val="22"/>
              </w:rPr>
            </w:pPr>
            <w:bookmarkStart w:id="213" w:name="RowTitle_Recommendation5"/>
            <w:r w:rsidRPr="00FA3FDD">
              <w:rPr>
                <w:rFonts w:asciiTheme="minorHAnsi" w:hAnsiTheme="minorHAnsi" w:cstheme="minorHAnsi"/>
                <w:color w:val="auto"/>
                <w:sz w:val="22"/>
                <w:szCs w:val="22"/>
              </w:rPr>
              <w:t xml:space="preserve">Recommendation 5 </w:t>
            </w:r>
          </w:p>
          <w:p w14:paraId="7E5C9420" w14:textId="77777777" w:rsidR="002F4248" w:rsidRPr="00FA3FDD" w:rsidRDefault="002F4248" w:rsidP="002F4248">
            <w:pPr>
              <w:spacing w:before="120" w:after="120"/>
              <w:rPr>
                <w:rFonts w:asciiTheme="minorHAnsi" w:hAnsiTheme="minorHAnsi" w:cstheme="minorHAnsi"/>
                <w:color w:val="auto"/>
                <w:sz w:val="22"/>
                <w:szCs w:val="22"/>
              </w:rPr>
            </w:pPr>
            <w:r w:rsidRPr="00FA3FDD">
              <w:rPr>
                <w:rFonts w:asciiTheme="minorHAnsi" w:hAnsiTheme="minorHAnsi" w:cstheme="minorHAnsi"/>
                <w:color w:val="auto"/>
                <w:sz w:val="22"/>
                <w:szCs w:val="22"/>
              </w:rPr>
              <w:t xml:space="preserve">Australia’s approach of providing national policy development support and subnational policy and practice implementation assistance remains effective and should be continued. </w:t>
            </w:r>
            <w:bookmarkEnd w:id="213"/>
          </w:p>
        </w:tc>
        <w:tc>
          <w:tcPr>
            <w:tcW w:w="1499" w:type="pct"/>
          </w:tcPr>
          <w:p w14:paraId="40AB7BBF" w14:textId="77777777" w:rsidR="002F4248" w:rsidRPr="00BE4B19" w:rsidRDefault="002F4248" w:rsidP="002F4248">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Noted. DFAT will consider review recommendations as future investment options are planned.</w:t>
            </w:r>
          </w:p>
        </w:tc>
        <w:tc>
          <w:tcPr>
            <w:tcW w:w="2313" w:type="pct"/>
          </w:tcPr>
          <w:p w14:paraId="0DB72C6D" w14:textId="7B1BAB8A" w:rsidR="002F4248" w:rsidRPr="00BE4B19" w:rsidRDefault="002F4248" w:rsidP="002F42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 xml:space="preserve">The Design Update articulates a set of program’s objectives and an approach to implement them that cover both national policy development support and subnational policy and practice implementation assistance. Although it emphasises the need to increase the focus on policy implementation, it also recognises the importance of remaining supportive of policy </w:t>
            </w:r>
            <w:proofErr w:type="gramStart"/>
            <w:r w:rsidRPr="00BE4B19">
              <w:rPr>
                <w:rFonts w:asciiTheme="minorHAnsi" w:hAnsiTheme="minorHAnsi" w:cstheme="minorHAnsi"/>
                <w:sz w:val="22"/>
                <w:szCs w:val="22"/>
              </w:rPr>
              <w:t>development, and</w:t>
            </w:r>
            <w:proofErr w:type="gramEnd"/>
            <w:r w:rsidRPr="00BE4B19">
              <w:rPr>
                <w:rFonts w:asciiTheme="minorHAnsi" w:hAnsiTheme="minorHAnsi" w:cstheme="minorHAnsi"/>
                <w:sz w:val="22"/>
                <w:szCs w:val="22"/>
              </w:rPr>
              <w:t xml:space="preserve"> provides examples where that might be the case (see Section D).</w:t>
            </w:r>
          </w:p>
        </w:tc>
      </w:tr>
      <w:tr w:rsidR="002F4248" w:rsidRPr="00BE4B19" w14:paraId="5E111E8F" w14:textId="77777777" w:rsidTr="00C10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pct"/>
            <w:tcBorders>
              <w:left w:val="single" w:sz="4" w:space="0" w:color="auto"/>
              <w:bottom w:val="single" w:sz="4" w:space="0" w:color="auto"/>
            </w:tcBorders>
          </w:tcPr>
          <w:p w14:paraId="18031E4B" w14:textId="77777777" w:rsidR="002F4248" w:rsidRPr="00FA3FDD" w:rsidRDefault="002F4248" w:rsidP="002F4248">
            <w:pPr>
              <w:pStyle w:val="NormalWeb"/>
              <w:spacing w:before="120" w:beforeAutospacing="0" w:after="120" w:afterAutospacing="0"/>
              <w:rPr>
                <w:rFonts w:asciiTheme="minorHAnsi" w:hAnsiTheme="minorHAnsi" w:cstheme="minorHAnsi"/>
                <w:color w:val="auto"/>
                <w:sz w:val="22"/>
                <w:szCs w:val="22"/>
              </w:rPr>
            </w:pPr>
            <w:bookmarkStart w:id="214" w:name="RowTitle_Recommendation6"/>
            <w:r w:rsidRPr="00FA3FDD">
              <w:rPr>
                <w:rFonts w:asciiTheme="minorHAnsi" w:hAnsiTheme="minorHAnsi" w:cstheme="minorHAnsi"/>
                <w:color w:val="auto"/>
                <w:sz w:val="22"/>
                <w:szCs w:val="22"/>
              </w:rPr>
              <w:t xml:space="preserve">Recommendation 6 </w:t>
            </w:r>
          </w:p>
          <w:p w14:paraId="4AADE016" w14:textId="77777777" w:rsidR="002F4248" w:rsidRPr="00FA3FDD" w:rsidRDefault="002F4248" w:rsidP="002F4248">
            <w:pPr>
              <w:spacing w:before="120" w:after="120"/>
              <w:rPr>
                <w:rFonts w:asciiTheme="minorHAnsi" w:hAnsiTheme="minorHAnsi" w:cstheme="minorHAnsi"/>
                <w:color w:val="auto"/>
                <w:sz w:val="22"/>
                <w:szCs w:val="22"/>
              </w:rPr>
            </w:pPr>
            <w:r w:rsidRPr="00FA3FDD">
              <w:rPr>
                <w:rFonts w:asciiTheme="minorHAnsi" w:hAnsiTheme="minorHAnsi" w:cstheme="minorHAnsi"/>
                <w:color w:val="auto"/>
                <w:sz w:val="22"/>
                <w:szCs w:val="22"/>
              </w:rPr>
              <w:t xml:space="preserve">Future basic education investments should expand support to early childhood education. </w:t>
            </w:r>
            <w:bookmarkEnd w:id="214"/>
          </w:p>
        </w:tc>
        <w:tc>
          <w:tcPr>
            <w:tcW w:w="1499" w:type="pct"/>
            <w:tcBorders>
              <w:bottom w:val="single" w:sz="4" w:space="0" w:color="auto"/>
            </w:tcBorders>
          </w:tcPr>
          <w:p w14:paraId="0B7A98B7" w14:textId="77777777" w:rsidR="002F4248" w:rsidRPr="00BE4B19" w:rsidRDefault="002F4248" w:rsidP="002F4248">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Noted. DFAT will consider broadening future basic education assistance to include support for ECE, in close consultation with a broad range of Indonesian stakeholders, including government, the education sector, other development partners and civil society organisations.</w:t>
            </w:r>
          </w:p>
        </w:tc>
        <w:tc>
          <w:tcPr>
            <w:tcW w:w="2313" w:type="pct"/>
            <w:tcBorders>
              <w:bottom w:val="single" w:sz="4" w:space="0" w:color="auto"/>
            </w:tcBorders>
          </w:tcPr>
          <w:p w14:paraId="79416D75" w14:textId="1950720D" w:rsidR="002F4248" w:rsidRPr="00BE4B19" w:rsidRDefault="002F4248" w:rsidP="002F4248">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t>Given stakeholders’ support during consultation process, the Design Update recommends expanding the program scope from the current focus on early grades (grades 1-3) to cover all primary school years (grades 1-6) and early childhood education</w:t>
            </w:r>
            <w:r w:rsidR="00DB3B2F">
              <w:rPr>
                <w:rFonts w:asciiTheme="minorHAnsi" w:hAnsiTheme="minorHAnsi" w:cstheme="minorHAnsi"/>
                <w:sz w:val="22"/>
                <w:szCs w:val="22"/>
              </w:rPr>
              <w:t xml:space="preserve"> (ECE)</w:t>
            </w:r>
            <w:r w:rsidRPr="00BE4B19">
              <w:rPr>
                <w:rFonts w:asciiTheme="minorHAnsi" w:hAnsiTheme="minorHAnsi" w:cstheme="minorHAnsi"/>
                <w:sz w:val="22"/>
                <w:szCs w:val="22"/>
              </w:rPr>
              <w:t xml:space="preserve">. The </w:t>
            </w:r>
            <w:r w:rsidR="00DB3B2F">
              <w:rPr>
                <w:rFonts w:asciiTheme="minorHAnsi" w:hAnsiTheme="minorHAnsi" w:cstheme="minorHAnsi"/>
                <w:sz w:val="22"/>
                <w:szCs w:val="22"/>
              </w:rPr>
              <w:t>program will support ECE</w:t>
            </w:r>
            <w:r w:rsidRPr="00BE4B19">
              <w:rPr>
                <w:rFonts w:asciiTheme="minorHAnsi" w:hAnsiTheme="minorHAnsi" w:cstheme="minorHAnsi"/>
                <w:sz w:val="22"/>
                <w:szCs w:val="22"/>
              </w:rPr>
              <w:t xml:space="preserve"> in non-systematic and opportunistic manner, when and where feasible and relevant, </w:t>
            </w:r>
            <w:r w:rsidR="001F75A0" w:rsidRPr="00BE4B19">
              <w:rPr>
                <w:rFonts w:asciiTheme="minorHAnsi" w:hAnsiTheme="minorHAnsi" w:cstheme="minorHAnsi"/>
                <w:sz w:val="22"/>
                <w:szCs w:val="22"/>
              </w:rPr>
              <w:t>e.g.,</w:t>
            </w:r>
            <w:r w:rsidRPr="00BE4B19">
              <w:rPr>
                <w:rFonts w:asciiTheme="minorHAnsi" w:hAnsiTheme="minorHAnsi" w:cstheme="minorHAnsi"/>
                <w:sz w:val="22"/>
                <w:szCs w:val="22"/>
              </w:rPr>
              <w:t xml:space="preserve"> through pilots, technical assistance and/or analytical work</w:t>
            </w:r>
            <w:r w:rsidR="00DB3B2F">
              <w:rPr>
                <w:rFonts w:asciiTheme="minorHAnsi" w:hAnsiTheme="minorHAnsi" w:cstheme="minorHAnsi"/>
                <w:sz w:val="22"/>
                <w:szCs w:val="22"/>
              </w:rPr>
              <w:t>,</w:t>
            </w:r>
            <w:r w:rsidRPr="00BE4B19">
              <w:rPr>
                <w:rFonts w:asciiTheme="minorHAnsi" w:hAnsiTheme="minorHAnsi" w:cstheme="minorHAnsi"/>
                <w:sz w:val="22"/>
                <w:szCs w:val="22"/>
              </w:rPr>
              <w:t xml:space="preserve"> and will focus on the improvement of education services in the pre-school transition year (kindergarten) (see Section C).</w:t>
            </w:r>
          </w:p>
        </w:tc>
      </w:tr>
      <w:tr w:rsidR="007005CD" w:rsidRPr="00BE4B19" w14:paraId="026CF1AE" w14:textId="77777777" w:rsidTr="007005CD">
        <w:tc>
          <w:tcPr>
            <w:cnfStyle w:val="001000000000" w:firstRow="0" w:lastRow="0" w:firstColumn="1" w:lastColumn="0" w:oddVBand="0" w:evenVBand="0" w:oddHBand="0" w:evenHBand="0" w:firstRowFirstColumn="0" w:firstRowLastColumn="0" w:lastRowFirstColumn="0" w:lastRowLastColumn="0"/>
            <w:tcW w:w="1188" w:type="pct"/>
            <w:tcBorders>
              <w:left w:val="single" w:sz="4" w:space="0" w:color="auto"/>
              <w:bottom w:val="single" w:sz="4" w:space="0" w:color="auto"/>
            </w:tcBorders>
          </w:tcPr>
          <w:p w14:paraId="0C62B5D3" w14:textId="77777777" w:rsidR="007005CD" w:rsidRPr="007005CD" w:rsidRDefault="007005CD" w:rsidP="007005CD">
            <w:pPr>
              <w:pStyle w:val="NormalWeb"/>
              <w:spacing w:before="120" w:beforeAutospacing="0" w:after="120" w:afterAutospacing="0"/>
              <w:rPr>
                <w:rFonts w:asciiTheme="minorHAnsi" w:hAnsiTheme="minorHAnsi" w:cstheme="minorHAnsi"/>
                <w:b w:val="0"/>
                <w:bCs w:val="0"/>
                <w:color w:val="auto"/>
                <w:sz w:val="22"/>
                <w:szCs w:val="22"/>
              </w:rPr>
            </w:pPr>
            <w:r w:rsidRPr="007005CD">
              <w:rPr>
                <w:rFonts w:asciiTheme="minorHAnsi" w:hAnsiTheme="minorHAnsi" w:cstheme="minorHAnsi"/>
                <w:color w:val="auto"/>
                <w:sz w:val="22"/>
                <w:szCs w:val="22"/>
              </w:rPr>
              <w:t xml:space="preserve">Recommendation 7 </w:t>
            </w:r>
          </w:p>
          <w:p w14:paraId="4FEBBDF6" w14:textId="1EC52680" w:rsidR="007005CD" w:rsidRPr="00FA3FDD" w:rsidRDefault="007005CD" w:rsidP="007005CD">
            <w:pPr>
              <w:pStyle w:val="NormalWeb"/>
              <w:spacing w:before="120" w:beforeAutospacing="0" w:after="120" w:afterAutospacing="0"/>
              <w:rPr>
                <w:rFonts w:asciiTheme="minorHAnsi" w:hAnsiTheme="minorHAnsi" w:cstheme="minorHAnsi"/>
                <w:sz w:val="22"/>
                <w:szCs w:val="22"/>
              </w:rPr>
            </w:pPr>
            <w:bookmarkStart w:id="215" w:name="RowTitle_Recommendation7"/>
            <w:r w:rsidRPr="007005CD">
              <w:rPr>
                <w:rFonts w:asciiTheme="minorHAnsi" w:hAnsiTheme="minorHAnsi" w:cstheme="minorHAnsi"/>
                <w:color w:val="auto"/>
                <w:sz w:val="22"/>
                <w:szCs w:val="22"/>
              </w:rPr>
              <w:lastRenderedPageBreak/>
              <w:t>Future investments should continue to focus on inclusive basic education.</w:t>
            </w:r>
            <w:bookmarkEnd w:id="215"/>
          </w:p>
        </w:tc>
        <w:tc>
          <w:tcPr>
            <w:tcW w:w="1499" w:type="pct"/>
            <w:tcBorders>
              <w:bottom w:val="single" w:sz="4" w:space="0" w:color="auto"/>
            </w:tcBorders>
          </w:tcPr>
          <w:p w14:paraId="21E35EB6" w14:textId="0AA327C4" w:rsidR="007005CD" w:rsidRPr="00BE4B19" w:rsidRDefault="007005CD" w:rsidP="007005C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lastRenderedPageBreak/>
              <w:t xml:space="preserve">Noted. DFAT will prioritise inclusive education and a GEDSI- focused approach to basic education service delivery in any </w:t>
            </w:r>
            <w:r w:rsidRPr="00BE4B19">
              <w:rPr>
                <w:rFonts w:asciiTheme="minorHAnsi" w:hAnsiTheme="minorHAnsi" w:cstheme="minorHAnsi"/>
                <w:sz w:val="22"/>
                <w:szCs w:val="22"/>
              </w:rPr>
              <w:lastRenderedPageBreak/>
              <w:t xml:space="preserve">future assistance, including in developing future program design. </w:t>
            </w:r>
          </w:p>
        </w:tc>
        <w:tc>
          <w:tcPr>
            <w:tcW w:w="2313" w:type="pct"/>
            <w:tcBorders>
              <w:bottom w:val="single" w:sz="4" w:space="0" w:color="auto"/>
            </w:tcBorders>
          </w:tcPr>
          <w:p w14:paraId="2AB52584" w14:textId="30393763" w:rsidR="007005CD" w:rsidRPr="00BE4B19" w:rsidRDefault="007005CD" w:rsidP="007005C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4B19">
              <w:rPr>
                <w:rFonts w:asciiTheme="minorHAnsi" w:hAnsiTheme="minorHAnsi" w:cstheme="minorHAnsi"/>
                <w:sz w:val="22"/>
                <w:szCs w:val="22"/>
              </w:rPr>
              <w:lastRenderedPageBreak/>
              <w:t xml:space="preserve">As stated in Section C, INOVASI Phase 3 will focus squarely on inclusive education and raise the profile of GEDSI issues and intersectionality as critical to the improvement of Indonesia’s </w:t>
            </w:r>
            <w:r w:rsidRPr="00BE4B19">
              <w:rPr>
                <w:rFonts w:asciiTheme="minorHAnsi" w:hAnsiTheme="minorHAnsi" w:cstheme="minorHAnsi"/>
                <w:sz w:val="22"/>
                <w:szCs w:val="22"/>
              </w:rPr>
              <w:lastRenderedPageBreak/>
              <w:t>education system, particularly where it matters most: in schools and madrasah. To do so, it will apply a twin-track complementary approach: 1) mainstreaming GEDSI considerations through all its operations and activities, and 2) deploying targeted initiatives that respond to gaps in gender equality and opportunities for inclusion of children with a disability, inclusion both from participation and benefits standpoints.</w:t>
            </w:r>
          </w:p>
        </w:tc>
      </w:tr>
    </w:tbl>
    <w:p w14:paraId="0DE39073" w14:textId="4E0AF537" w:rsidR="00985BCA" w:rsidRPr="002F4248" w:rsidRDefault="00985BCA" w:rsidP="00475A9D">
      <w:pPr>
        <w:rPr>
          <w:sz w:val="22"/>
          <w:szCs w:val="22"/>
        </w:rPr>
      </w:pPr>
    </w:p>
    <w:sectPr w:rsidR="00985BCA" w:rsidRPr="002F4248" w:rsidSect="0027114E">
      <w:pgSz w:w="16838" w:h="11906" w:orient="landscape" w:code="9"/>
      <w:pgMar w:top="993" w:right="1701" w:bottom="1134" w:left="1418"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829C" w14:textId="77777777" w:rsidR="00A11EFB" w:rsidRDefault="00A11EFB" w:rsidP="00D37B04">
      <w:r>
        <w:separator/>
      </w:r>
    </w:p>
  </w:endnote>
  <w:endnote w:type="continuationSeparator" w:id="0">
    <w:p w14:paraId="149C4894" w14:textId="77777777" w:rsidR="00A11EFB" w:rsidRDefault="00A11EFB" w:rsidP="00D37B04">
      <w:r>
        <w:continuationSeparator/>
      </w:r>
    </w:p>
  </w:endnote>
  <w:endnote w:type="continuationNotice" w:id="1">
    <w:p w14:paraId="6D37F35B" w14:textId="77777777" w:rsidR="00A11EFB" w:rsidRDefault="00A11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lear Sans Lt">
    <w:altName w:val="Calibri"/>
    <w:panose1 w:val="00000000000000000000"/>
    <w:charset w:val="00"/>
    <w:family w:val="swiss"/>
    <w:notTrueType/>
    <w:pitch w:val="default"/>
    <w:sig w:usb0="00000003" w:usb1="00000000" w:usb2="00000000" w:usb3="00000000" w:csb0="00000001" w:csb1="00000000"/>
  </w:font>
  <w:font w:name="Calibri (Headings)">
    <w:charset w:val="00"/>
    <w:family w:val="roman"/>
    <w:pitch w:val="default"/>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C450" w14:textId="77777777" w:rsidR="002D2DDE" w:rsidRDefault="002D2DDE">
    <w:pPr>
      <w:pStyle w:val="Footer"/>
    </w:pPr>
  </w:p>
  <w:p w14:paraId="24D49111" w14:textId="1AFDF19C" w:rsidR="002D2DDE" w:rsidRDefault="002D2DDE">
    <w:pPr>
      <w:pStyle w:val="Footer"/>
    </w:pPr>
  </w:p>
  <w:p w14:paraId="3473CC22" w14:textId="7073C835" w:rsidR="009D6CA8" w:rsidRDefault="009D6C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676279"/>
      <w:docPartObj>
        <w:docPartGallery w:val="Page Numbers (Bottom of Page)"/>
        <w:docPartUnique/>
      </w:docPartObj>
    </w:sdtPr>
    <w:sdtEndPr>
      <w:rPr>
        <w:noProof/>
        <w:color w:val="000000" w:themeColor="text1"/>
      </w:rPr>
    </w:sdtEndPr>
    <w:sdtContent>
      <w:p w14:paraId="40D49206" w14:textId="241B66E6" w:rsidR="004B4D17" w:rsidRPr="00EF1E65" w:rsidRDefault="004B4D17">
        <w:pPr>
          <w:pStyle w:val="Footer"/>
          <w:jc w:val="right"/>
          <w:rPr>
            <w:color w:val="000000" w:themeColor="text1"/>
          </w:rPr>
        </w:pPr>
        <w:r w:rsidRPr="00EF1E65">
          <w:rPr>
            <w:color w:val="000000" w:themeColor="text1"/>
          </w:rPr>
          <w:fldChar w:fldCharType="begin"/>
        </w:r>
        <w:r w:rsidRPr="00EF1E65">
          <w:rPr>
            <w:color w:val="000000" w:themeColor="text1"/>
          </w:rPr>
          <w:instrText xml:space="preserve"> PAGE   \* MERGEFORMAT </w:instrText>
        </w:r>
        <w:r w:rsidRPr="00EF1E65">
          <w:rPr>
            <w:color w:val="000000" w:themeColor="text1"/>
          </w:rPr>
          <w:fldChar w:fldCharType="separate"/>
        </w:r>
        <w:r w:rsidRPr="00EF1E65">
          <w:rPr>
            <w:noProof/>
            <w:color w:val="000000" w:themeColor="text1"/>
          </w:rPr>
          <w:t>2</w:t>
        </w:r>
        <w:r w:rsidRPr="00EF1E65">
          <w:rPr>
            <w:noProof/>
            <w:color w:val="000000" w:themeColor="text1"/>
          </w:rPr>
          <w:fldChar w:fldCharType="end"/>
        </w:r>
      </w:p>
    </w:sdtContent>
  </w:sdt>
  <w:p w14:paraId="02E2C8FD" w14:textId="029F3718" w:rsidR="00EC1345" w:rsidRPr="00FC322F" w:rsidRDefault="00EC1345" w:rsidP="00D4074B">
    <w:pPr>
      <w:pStyle w:val="Footer"/>
      <w:tabs>
        <w:tab w:val="left" w:pos="6555"/>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FD81" w14:textId="56DA1A2C" w:rsidR="00EC1345" w:rsidRDefault="00EC1345">
    <w:pPr>
      <w:pStyle w:val="Footer"/>
      <w:jc w:val="right"/>
    </w:pPr>
    <w:r w:rsidRPr="006D6C4B">
      <w:rPr>
        <w:color w:val="auto"/>
      </w:rPr>
      <w:fldChar w:fldCharType="begin"/>
    </w:r>
    <w:r w:rsidRPr="006D6C4B">
      <w:rPr>
        <w:color w:val="auto"/>
      </w:rPr>
      <w:instrText xml:space="preserve"> PAGE   \* MERGEFORMAT </w:instrText>
    </w:r>
    <w:r w:rsidRPr="006D6C4B">
      <w:rPr>
        <w:color w:val="auto"/>
      </w:rPr>
      <w:fldChar w:fldCharType="separate"/>
    </w:r>
    <w:r w:rsidRPr="006D6C4B">
      <w:rPr>
        <w:noProof/>
        <w:color w:val="auto"/>
      </w:rPr>
      <w:t>8</w:t>
    </w:r>
    <w:r w:rsidRPr="006D6C4B">
      <w:rPr>
        <w:noProof/>
        <w:color w:val="auto"/>
      </w:rPr>
      <w:fldChar w:fldCharType="end"/>
    </w:r>
  </w:p>
  <w:p w14:paraId="0C3712FC" w14:textId="77777777" w:rsidR="00EC1345" w:rsidRPr="00FC322F" w:rsidRDefault="00EC1345"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2A45" w14:textId="77777777" w:rsidR="00A11EFB" w:rsidRPr="008C5A0E" w:rsidRDefault="00A11EFB" w:rsidP="00D37B04">
      <w:pPr>
        <w:pStyle w:val="Footer"/>
      </w:pPr>
    </w:p>
  </w:footnote>
  <w:footnote w:type="continuationSeparator" w:id="0">
    <w:p w14:paraId="79B9413E" w14:textId="77777777" w:rsidR="00A11EFB" w:rsidRDefault="00A11EFB" w:rsidP="00D37B04">
      <w:r>
        <w:continuationSeparator/>
      </w:r>
    </w:p>
  </w:footnote>
  <w:footnote w:type="continuationNotice" w:id="1">
    <w:p w14:paraId="180A982E" w14:textId="77777777" w:rsidR="00A11EFB" w:rsidRDefault="00A11EFB"/>
  </w:footnote>
  <w:footnote w:id="2">
    <w:p w14:paraId="52C4D1F2" w14:textId="77777777" w:rsidR="00EC1345" w:rsidRPr="004E1187" w:rsidRDefault="00EC1345" w:rsidP="004E1187">
      <w:pPr>
        <w:pStyle w:val="FootnoteText"/>
        <w:pBdr>
          <w:top w:val="single" w:sz="4" w:space="1" w:color="auto"/>
        </w:pBdr>
        <w:spacing w:after="60" w:line="240" w:lineRule="auto"/>
        <w:rPr>
          <w:rFonts w:asciiTheme="minorHAnsi" w:hAnsiTheme="minorHAnsi" w:cstheme="minorHAnsi"/>
          <w:sz w:val="18"/>
          <w:szCs w:val="18"/>
          <w:lang w:val="en-GB"/>
        </w:rPr>
      </w:pPr>
      <w:r w:rsidRPr="004E1187">
        <w:rPr>
          <w:rStyle w:val="FootnoteReference"/>
          <w:rFonts w:asciiTheme="minorHAnsi" w:hAnsiTheme="minorHAnsi" w:cstheme="minorHAnsi"/>
          <w:sz w:val="18"/>
          <w:szCs w:val="18"/>
        </w:rPr>
        <w:footnoteRef/>
      </w:r>
      <w:r w:rsidRPr="004E1187">
        <w:rPr>
          <w:rFonts w:asciiTheme="minorHAnsi" w:hAnsiTheme="minorHAnsi" w:cstheme="minorHAnsi"/>
          <w:sz w:val="18"/>
          <w:szCs w:val="18"/>
        </w:rPr>
        <w:t xml:space="preserve"> See </w:t>
      </w:r>
      <w:proofErr w:type="gramStart"/>
      <w:r w:rsidRPr="004E1187">
        <w:rPr>
          <w:rFonts w:asciiTheme="minorHAnsi" w:hAnsiTheme="minorHAnsi" w:cstheme="minorHAnsi"/>
          <w:sz w:val="18"/>
          <w:szCs w:val="18"/>
        </w:rPr>
        <w:t>https://www.cambridge.org/core/journals/journal-of-asian-studies/article/abs/surprising-democratic-behemoth-indonesia-in-comparative-asian-perspective/303FCBC63F37D3EF34866CAE1D29E322</w:t>
      </w:r>
      <w:proofErr w:type="gramEnd"/>
    </w:p>
  </w:footnote>
  <w:footnote w:id="3">
    <w:p w14:paraId="63B712EB" w14:textId="77777777" w:rsidR="00EC1345" w:rsidRPr="004E1187" w:rsidRDefault="00EC1345" w:rsidP="004E1187">
      <w:pPr>
        <w:pStyle w:val="FootnoteText"/>
        <w:spacing w:after="60" w:line="240" w:lineRule="auto"/>
        <w:rPr>
          <w:rFonts w:asciiTheme="minorHAnsi" w:hAnsiTheme="minorHAnsi" w:cstheme="minorHAnsi"/>
          <w:sz w:val="18"/>
          <w:szCs w:val="18"/>
        </w:rPr>
      </w:pPr>
      <w:r w:rsidRPr="004E1187">
        <w:rPr>
          <w:rStyle w:val="FootnoteReference"/>
          <w:rFonts w:asciiTheme="minorHAnsi" w:hAnsiTheme="minorHAnsi" w:cstheme="minorHAnsi"/>
          <w:sz w:val="18"/>
          <w:szCs w:val="18"/>
        </w:rPr>
        <w:footnoteRef/>
      </w:r>
      <w:r w:rsidRPr="004E1187">
        <w:rPr>
          <w:rFonts w:asciiTheme="minorHAnsi" w:hAnsiTheme="minorHAnsi" w:cstheme="minorHAnsi"/>
          <w:sz w:val="18"/>
          <w:szCs w:val="18"/>
        </w:rPr>
        <w:t xml:space="preserve"> A high-income economy is defined by the World Bank as a nation with a gross national income per capita of US$12,696 or more in 2020, calculated using the Atlas method.</w:t>
      </w:r>
    </w:p>
  </w:footnote>
  <w:footnote w:id="4">
    <w:p w14:paraId="015DB1B1" w14:textId="77777777" w:rsidR="00EC1345" w:rsidRPr="004E1187" w:rsidRDefault="00EC1345" w:rsidP="004E1187">
      <w:pPr>
        <w:pStyle w:val="FootnoteText"/>
        <w:pBdr>
          <w:top w:val="single" w:sz="4" w:space="1" w:color="auto"/>
        </w:pBdr>
        <w:spacing w:after="60" w:line="240" w:lineRule="auto"/>
        <w:rPr>
          <w:rFonts w:asciiTheme="minorHAnsi" w:hAnsiTheme="minorHAnsi" w:cstheme="minorHAnsi"/>
          <w:sz w:val="18"/>
          <w:szCs w:val="18"/>
        </w:rPr>
      </w:pPr>
      <w:r w:rsidRPr="004E1187">
        <w:rPr>
          <w:rStyle w:val="FootnoteReference"/>
          <w:rFonts w:asciiTheme="minorHAnsi" w:hAnsiTheme="minorHAnsi" w:cstheme="minorHAnsi"/>
          <w:sz w:val="18"/>
          <w:szCs w:val="18"/>
        </w:rPr>
        <w:footnoteRef/>
      </w:r>
      <w:r w:rsidRPr="004E1187">
        <w:rPr>
          <w:rFonts w:asciiTheme="minorHAnsi" w:hAnsiTheme="minorHAnsi" w:cstheme="minorHAnsi"/>
          <w:sz w:val="18"/>
          <w:szCs w:val="18"/>
        </w:rPr>
        <w:t xml:space="preserve"> Ministerial press conference, 11/02/2022. https://nasional.tempo.co/read/1559712/nadiem-makarim-sebut-indonesia-masuki-masa-krisis-pembelajaran </w:t>
      </w:r>
    </w:p>
  </w:footnote>
  <w:footnote w:id="5">
    <w:p w14:paraId="0276917F" w14:textId="77777777" w:rsidR="00EC1345" w:rsidRPr="004E1187" w:rsidRDefault="00EC1345" w:rsidP="004E1187">
      <w:pPr>
        <w:pStyle w:val="FootnoteText"/>
        <w:spacing w:after="60" w:line="240" w:lineRule="auto"/>
        <w:rPr>
          <w:rFonts w:asciiTheme="minorHAnsi" w:hAnsiTheme="minorHAnsi" w:cstheme="minorHAnsi"/>
          <w:sz w:val="18"/>
          <w:szCs w:val="18"/>
        </w:rPr>
      </w:pPr>
      <w:r w:rsidRPr="004E1187">
        <w:rPr>
          <w:rStyle w:val="FootnoteReference"/>
          <w:rFonts w:asciiTheme="minorHAnsi" w:hAnsiTheme="minorHAnsi" w:cstheme="minorHAnsi"/>
          <w:sz w:val="18"/>
          <w:szCs w:val="18"/>
        </w:rPr>
        <w:footnoteRef/>
      </w:r>
      <w:r w:rsidRPr="004E1187">
        <w:rPr>
          <w:rFonts w:asciiTheme="minorHAnsi" w:hAnsiTheme="minorHAnsi" w:cstheme="minorHAnsi"/>
          <w:sz w:val="18"/>
          <w:szCs w:val="18"/>
        </w:rPr>
        <w:t xml:space="preserve"> World Bank Group 2018. Indonesia PISA 2018.</w:t>
      </w:r>
    </w:p>
  </w:footnote>
  <w:footnote w:id="6">
    <w:p w14:paraId="26F46B14" w14:textId="07F55FB0" w:rsidR="00EC1345" w:rsidRPr="004E1187" w:rsidRDefault="00EC1345" w:rsidP="004E1187">
      <w:pPr>
        <w:pStyle w:val="FootnoteText"/>
        <w:spacing w:after="60" w:line="240" w:lineRule="auto"/>
        <w:rPr>
          <w:rFonts w:asciiTheme="minorHAnsi" w:hAnsiTheme="minorHAnsi" w:cstheme="minorHAnsi"/>
          <w:sz w:val="18"/>
          <w:szCs w:val="18"/>
        </w:rPr>
      </w:pPr>
      <w:r w:rsidRPr="004E1187">
        <w:rPr>
          <w:rStyle w:val="FootnoteReference"/>
          <w:rFonts w:asciiTheme="minorHAnsi" w:hAnsiTheme="minorHAnsi" w:cstheme="minorHAnsi"/>
          <w:sz w:val="18"/>
          <w:szCs w:val="18"/>
        </w:rPr>
        <w:footnoteRef/>
      </w:r>
      <w:r w:rsidRPr="004E1187">
        <w:rPr>
          <w:rFonts w:asciiTheme="minorHAnsi" w:hAnsiTheme="minorHAnsi" w:cstheme="minorHAnsi"/>
          <w:sz w:val="18"/>
          <w:szCs w:val="18"/>
        </w:rPr>
        <w:t xml:space="preserve"> Spink, J, </w:t>
      </w:r>
      <w:proofErr w:type="spellStart"/>
      <w:r w:rsidRPr="004E1187">
        <w:rPr>
          <w:rFonts w:asciiTheme="minorHAnsi" w:hAnsiTheme="minorHAnsi" w:cstheme="minorHAnsi"/>
          <w:sz w:val="18"/>
          <w:szCs w:val="18"/>
        </w:rPr>
        <w:t>Cloney</w:t>
      </w:r>
      <w:proofErr w:type="spellEnd"/>
      <w:r w:rsidRPr="004E1187">
        <w:rPr>
          <w:rFonts w:asciiTheme="minorHAnsi" w:hAnsiTheme="minorHAnsi" w:cstheme="minorHAnsi"/>
          <w:sz w:val="18"/>
          <w:szCs w:val="18"/>
        </w:rPr>
        <w:t>, D, and Berry, A. (ACER) Learning Gap Report, 2021, p. 6. Minimum Proficiency Levels (MPL) are international metrics for measuring attainment of the SDG indicator 4.1.1.</w:t>
      </w:r>
    </w:p>
  </w:footnote>
  <w:footnote w:id="7">
    <w:p w14:paraId="68CE7820" w14:textId="4E4F3495" w:rsidR="00EC1345" w:rsidRPr="004E1187" w:rsidRDefault="00EC1345" w:rsidP="004E1187">
      <w:pPr>
        <w:pStyle w:val="FootnoteText"/>
        <w:spacing w:after="60" w:line="240" w:lineRule="auto"/>
        <w:rPr>
          <w:rFonts w:asciiTheme="minorHAnsi" w:hAnsiTheme="minorHAnsi" w:cstheme="minorHAnsi"/>
          <w:sz w:val="18"/>
          <w:szCs w:val="18"/>
          <w:lang w:val="fr-FR"/>
        </w:rPr>
      </w:pPr>
      <w:r w:rsidRPr="004E1187">
        <w:rPr>
          <w:rStyle w:val="FootnoteReference"/>
          <w:rFonts w:asciiTheme="minorHAnsi" w:hAnsiTheme="minorHAnsi" w:cstheme="minorHAnsi"/>
          <w:sz w:val="18"/>
          <w:szCs w:val="18"/>
        </w:rPr>
        <w:footnoteRef/>
      </w:r>
      <w:r w:rsidRPr="004E1187">
        <w:rPr>
          <w:rFonts w:asciiTheme="minorHAnsi" w:hAnsiTheme="minorHAnsi" w:cstheme="minorHAnsi"/>
          <w:sz w:val="18"/>
          <w:szCs w:val="18"/>
          <w:lang w:val="fr-FR"/>
        </w:rPr>
        <w:t xml:space="preserve"> INOVASI, 2023.  </w:t>
      </w:r>
      <w:r w:rsidRPr="004E1187">
        <w:rPr>
          <w:rFonts w:asciiTheme="minorHAnsi" w:hAnsiTheme="minorHAnsi" w:cstheme="minorHAnsi"/>
          <w:sz w:val="18"/>
          <w:szCs w:val="18"/>
          <w:lang w:val="nb-NO"/>
        </w:rPr>
        <w:t>Bangkit Lebih Kuat: Pemulihan Pembelajaran Paska Pandemi (Studi Kasus INOVASI)</w:t>
      </w:r>
    </w:p>
  </w:footnote>
  <w:footnote w:id="8">
    <w:p w14:paraId="51337BFC" w14:textId="00C1D247" w:rsidR="00EC1345" w:rsidRPr="004E1187" w:rsidRDefault="00EC1345" w:rsidP="004E1187">
      <w:pPr>
        <w:pStyle w:val="FootnoteText"/>
        <w:spacing w:after="60" w:line="240" w:lineRule="auto"/>
        <w:rPr>
          <w:rFonts w:asciiTheme="minorHAnsi" w:hAnsiTheme="minorHAnsi" w:cstheme="minorHAnsi"/>
          <w:sz w:val="18"/>
          <w:szCs w:val="18"/>
        </w:rPr>
      </w:pPr>
      <w:r w:rsidRPr="004E1187">
        <w:rPr>
          <w:rStyle w:val="FootnoteReference"/>
          <w:rFonts w:asciiTheme="minorHAnsi" w:hAnsiTheme="minorHAnsi" w:cstheme="minorHAnsi"/>
          <w:sz w:val="18"/>
          <w:szCs w:val="18"/>
        </w:rPr>
        <w:footnoteRef/>
      </w:r>
      <w:r w:rsidRPr="004E1187">
        <w:rPr>
          <w:rFonts w:asciiTheme="minorHAnsi" w:hAnsiTheme="minorHAnsi" w:cstheme="minorHAnsi"/>
          <w:sz w:val="18"/>
          <w:szCs w:val="18"/>
        </w:rPr>
        <w:t xml:space="preserve"> INOVASI, 2022. A widening gap: Impacts of the COVID-19 pandemic on Indonesia’s most marginalised students. The Learning Gap series – Three, p.22.</w:t>
      </w:r>
    </w:p>
  </w:footnote>
  <w:footnote w:id="9">
    <w:p w14:paraId="3FDF8259" w14:textId="756202BB" w:rsidR="00EC1345" w:rsidRPr="004E1187" w:rsidRDefault="00EC1345" w:rsidP="00115DBA">
      <w:pPr>
        <w:pStyle w:val="FootnoteText"/>
        <w:pBdr>
          <w:top w:val="single" w:sz="4" w:space="1" w:color="auto"/>
        </w:pBdr>
        <w:spacing w:after="60" w:line="240" w:lineRule="auto"/>
        <w:rPr>
          <w:rFonts w:asciiTheme="minorHAnsi" w:hAnsiTheme="minorHAnsi" w:cstheme="minorHAnsi"/>
          <w:sz w:val="18"/>
          <w:szCs w:val="18"/>
        </w:rPr>
      </w:pPr>
      <w:r w:rsidRPr="004E1187">
        <w:rPr>
          <w:rStyle w:val="FootnoteReference"/>
          <w:rFonts w:asciiTheme="minorHAnsi" w:hAnsiTheme="minorHAnsi" w:cstheme="minorHAnsi"/>
          <w:sz w:val="18"/>
          <w:szCs w:val="18"/>
        </w:rPr>
        <w:footnoteRef/>
      </w:r>
      <w:r w:rsidRPr="004E1187">
        <w:rPr>
          <w:rFonts w:asciiTheme="minorHAnsi" w:hAnsiTheme="minorHAnsi" w:cstheme="minorHAnsi"/>
          <w:sz w:val="18"/>
          <w:szCs w:val="18"/>
        </w:rPr>
        <w:t xml:space="preserve"> These are the skills of the “Pancasila learner” (</w:t>
      </w:r>
      <w:proofErr w:type="spellStart"/>
      <w:r w:rsidRPr="004E1187">
        <w:rPr>
          <w:rFonts w:asciiTheme="minorHAnsi" w:hAnsiTheme="minorHAnsi" w:cstheme="minorHAnsi"/>
          <w:sz w:val="18"/>
          <w:szCs w:val="18"/>
        </w:rPr>
        <w:t>Pelajar</w:t>
      </w:r>
      <w:proofErr w:type="spellEnd"/>
      <w:r w:rsidRPr="004E1187">
        <w:rPr>
          <w:rFonts w:asciiTheme="minorHAnsi" w:hAnsiTheme="minorHAnsi" w:cstheme="minorHAnsi"/>
          <w:sz w:val="18"/>
          <w:szCs w:val="18"/>
        </w:rPr>
        <w:t xml:space="preserve"> Pancasila) and comprise piety, independent-mindedness, critical thinking, creativity, respect for diversity and skills for collaboration. https://cerdasberkarakter.kemdikbud.go.id/profil-pelajar-pancasila/ </w:t>
      </w:r>
    </w:p>
  </w:footnote>
  <w:footnote w:id="10">
    <w:p w14:paraId="3F2847A1" w14:textId="0FC15921" w:rsidR="00EC1345" w:rsidRPr="00204235" w:rsidRDefault="00EC1345" w:rsidP="00115DBA">
      <w:pPr>
        <w:pStyle w:val="FootnoteText"/>
        <w:spacing w:after="60" w:line="240" w:lineRule="auto"/>
        <w:rPr>
          <w:rFonts w:asciiTheme="minorHAnsi" w:hAnsiTheme="minorHAnsi" w:cstheme="minorHAnsi"/>
          <w:sz w:val="18"/>
          <w:szCs w:val="18"/>
        </w:rPr>
      </w:pPr>
      <w:r w:rsidRPr="004E1187">
        <w:rPr>
          <w:rStyle w:val="FootnoteReference"/>
          <w:rFonts w:asciiTheme="minorHAnsi" w:hAnsiTheme="minorHAnsi" w:cstheme="minorHAnsi"/>
          <w:sz w:val="18"/>
          <w:szCs w:val="18"/>
        </w:rPr>
        <w:footnoteRef/>
      </w:r>
      <w:r w:rsidRPr="004E1187">
        <w:rPr>
          <w:rFonts w:asciiTheme="minorHAnsi" w:hAnsiTheme="minorHAnsi" w:cstheme="minorHAnsi"/>
          <w:sz w:val="18"/>
          <w:szCs w:val="18"/>
        </w:rPr>
        <w:t xml:space="preserve"> </w:t>
      </w:r>
      <w:r w:rsidRPr="00204235">
        <w:rPr>
          <w:rFonts w:asciiTheme="minorHAnsi" w:hAnsiTheme="minorHAnsi" w:cstheme="minorHAnsi"/>
          <w:sz w:val="18"/>
          <w:szCs w:val="18"/>
        </w:rPr>
        <w:t>No previous Indonesian curriculum had had the same extent of focus on learning to read and reading with comprehension.  The same emphasis on the constituent skills applies to the mathematics curriculum.</w:t>
      </w:r>
    </w:p>
  </w:footnote>
  <w:footnote w:id="11">
    <w:p w14:paraId="69A4FEA8" w14:textId="31E1036C" w:rsidR="003022E3" w:rsidRPr="00BD1629" w:rsidRDefault="003022E3">
      <w:pPr>
        <w:pStyle w:val="FootnoteText"/>
        <w:rPr>
          <w:rFonts w:asciiTheme="minorHAnsi" w:hAnsiTheme="minorHAnsi" w:cstheme="minorHAnsi"/>
          <w:sz w:val="18"/>
          <w:szCs w:val="18"/>
        </w:rPr>
      </w:pPr>
      <w:r w:rsidRPr="00BD1629">
        <w:rPr>
          <w:rStyle w:val="FootnoteReference"/>
          <w:rFonts w:asciiTheme="minorHAnsi" w:hAnsiTheme="minorHAnsi" w:cstheme="minorHAnsi"/>
          <w:sz w:val="18"/>
          <w:szCs w:val="18"/>
        </w:rPr>
        <w:footnoteRef/>
      </w:r>
      <w:r w:rsidRPr="00BD1629">
        <w:rPr>
          <w:rFonts w:asciiTheme="minorHAnsi" w:hAnsiTheme="minorHAnsi" w:cstheme="minorHAnsi"/>
          <w:sz w:val="18"/>
          <w:szCs w:val="18"/>
        </w:rPr>
        <w:t xml:space="preserve"> Areas </w:t>
      </w:r>
      <w:r w:rsidR="00BD1629">
        <w:rPr>
          <w:rFonts w:asciiTheme="minorHAnsi" w:hAnsiTheme="minorHAnsi" w:cstheme="minorHAnsi"/>
          <w:sz w:val="18"/>
          <w:szCs w:val="18"/>
        </w:rPr>
        <w:t xml:space="preserve">with </w:t>
      </w:r>
      <w:r w:rsidR="002B2541">
        <w:rPr>
          <w:rFonts w:asciiTheme="minorHAnsi" w:hAnsiTheme="minorHAnsi" w:cstheme="minorHAnsi"/>
          <w:sz w:val="18"/>
          <w:szCs w:val="18"/>
        </w:rPr>
        <w:t xml:space="preserve">less developed </w:t>
      </w:r>
      <w:r w:rsidR="00BD1629">
        <w:rPr>
          <w:rFonts w:asciiTheme="minorHAnsi" w:hAnsiTheme="minorHAnsi" w:cstheme="minorHAnsi"/>
          <w:sz w:val="18"/>
          <w:szCs w:val="18"/>
        </w:rPr>
        <w:t>geographical, socio-econom</w:t>
      </w:r>
      <w:r w:rsidR="002B2541">
        <w:rPr>
          <w:rFonts w:asciiTheme="minorHAnsi" w:hAnsiTheme="minorHAnsi" w:cstheme="minorHAnsi"/>
          <w:sz w:val="18"/>
          <w:szCs w:val="18"/>
        </w:rPr>
        <w:t>ical, and socio-cultural conditions than other areas in Indonesia</w:t>
      </w:r>
      <w:r w:rsidR="00F74684">
        <w:rPr>
          <w:rFonts w:asciiTheme="minorHAnsi" w:hAnsiTheme="minorHAnsi" w:cstheme="minorHAnsi"/>
          <w:sz w:val="18"/>
          <w:szCs w:val="18"/>
        </w:rPr>
        <w:t xml:space="preserve"> (based on </w:t>
      </w:r>
      <w:r w:rsidR="00BA583E">
        <w:rPr>
          <w:rFonts w:asciiTheme="minorHAnsi" w:hAnsiTheme="minorHAnsi" w:cstheme="minorHAnsi"/>
          <w:sz w:val="18"/>
          <w:szCs w:val="18"/>
        </w:rPr>
        <w:t xml:space="preserve">criteria set by the </w:t>
      </w:r>
      <w:proofErr w:type="spellStart"/>
      <w:r w:rsidR="00873870">
        <w:rPr>
          <w:rFonts w:asciiTheme="minorHAnsi" w:hAnsiTheme="minorHAnsi" w:cstheme="minorHAnsi"/>
          <w:sz w:val="18"/>
          <w:szCs w:val="18"/>
        </w:rPr>
        <w:t>GoI</w:t>
      </w:r>
      <w:proofErr w:type="spellEnd"/>
      <w:r w:rsidR="00D4074B">
        <w:rPr>
          <w:rFonts w:asciiTheme="minorHAnsi" w:hAnsiTheme="minorHAnsi" w:cstheme="minorHAnsi"/>
          <w:sz w:val="18"/>
          <w:szCs w:val="18"/>
        </w:rPr>
        <w:t>)</w:t>
      </w:r>
    </w:p>
  </w:footnote>
  <w:footnote w:id="12">
    <w:p w14:paraId="0750BBD1" w14:textId="4E33524A" w:rsidR="00EC1345" w:rsidRPr="00204235" w:rsidRDefault="00EC1345" w:rsidP="00204235">
      <w:pPr>
        <w:pStyle w:val="NormalWeb"/>
        <w:spacing w:before="60" w:beforeAutospacing="0" w:after="60" w:afterAutospacing="0"/>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Ministry of Education, Culture, Research and Technology, 2022. Academic paper (</w:t>
      </w:r>
      <w:proofErr w:type="spellStart"/>
      <w:r w:rsidRPr="00204235">
        <w:rPr>
          <w:rFonts w:asciiTheme="minorHAnsi" w:hAnsiTheme="minorHAnsi" w:cstheme="minorHAnsi"/>
          <w:sz w:val="18"/>
          <w:szCs w:val="18"/>
        </w:rPr>
        <w:t>Naskah</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Akademik</w:t>
      </w:r>
      <w:proofErr w:type="spellEnd"/>
      <w:r w:rsidRPr="00204235">
        <w:rPr>
          <w:rFonts w:asciiTheme="minorHAnsi" w:hAnsiTheme="minorHAnsi" w:cstheme="minorHAnsi"/>
          <w:sz w:val="18"/>
          <w:szCs w:val="18"/>
        </w:rPr>
        <w:t xml:space="preserve">) supporting the draft revised Education Law. </w:t>
      </w:r>
    </w:p>
  </w:footnote>
  <w:footnote w:id="13">
    <w:p w14:paraId="623DF0A6" w14:textId="6D39DC5D" w:rsidR="00115DBA" w:rsidRPr="00204235" w:rsidRDefault="00EC1345" w:rsidP="00115DBA">
      <w:pPr>
        <w:pStyle w:val="FootnoteText"/>
        <w:pBdr>
          <w:top w:val="single" w:sz="4" w:space="1" w:color="auto"/>
        </w:pBdr>
        <w:spacing w:before="100" w:beforeAutospacing="1" w:after="100" w:afterAutospacing="1" w:line="240" w:lineRule="auto"/>
        <w:contextualSpacing/>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Nichols, </w:t>
      </w:r>
      <w:proofErr w:type="gramStart"/>
      <w:r w:rsidRPr="00204235">
        <w:rPr>
          <w:rFonts w:asciiTheme="minorHAnsi" w:hAnsiTheme="minorHAnsi" w:cstheme="minorHAnsi"/>
          <w:sz w:val="18"/>
          <w:szCs w:val="18"/>
        </w:rPr>
        <w:t>P.</w:t>
      </w:r>
      <w:proofErr w:type="gramEnd"/>
      <w:r w:rsidRPr="00204235">
        <w:rPr>
          <w:rFonts w:asciiTheme="minorHAnsi" w:hAnsiTheme="minorHAnsi" w:cstheme="minorHAnsi"/>
          <w:sz w:val="18"/>
          <w:szCs w:val="18"/>
        </w:rPr>
        <w:t xml:space="preserve"> and P. Bodrogini, 2019. Strategic Review Report, </w:t>
      </w:r>
      <w:proofErr w:type="spellStart"/>
      <w:proofErr w:type="gramStart"/>
      <w:r w:rsidRPr="00204235">
        <w:rPr>
          <w:rFonts w:asciiTheme="minorHAnsi" w:hAnsiTheme="minorHAnsi" w:cstheme="minorHAnsi"/>
          <w:sz w:val="18"/>
          <w:szCs w:val="18"/>
        </w:rPr>
        <w:t>pp.ii</w:t>
      </w:r>
      <w:proofErr w:type="spellEnd"/>
      <w:proofErr w:type="gramEnd"/>
      <w:r w:rsidRPr="00204235">
        <w:rPr>
          <w:rFonts w:asciiTheme="minorHAnsi" w:hAnsiTheme="minorHAnsi" w:cstheme="minorHAnsi"/>
          <w:sz w:val="18"/>
          <w:szCs w:val="18"/>
        </w:rPr>
        <w:t>-iii</w:t>
      </w:r>
      <w:r w:rsidR="007E6EF6">
        <w:rPr>
          <w:rFonts w:asciiTheme="minorHAnsi" w:hAnsiTheme="minorHAnsi" w:cstheme="minorHAnsi"/>
          <w:sz w:val="18"/>
          <w:szCs w:val="18"/>
        </w:rPr>
        <w:t>.</w:t>
      </w:r>
      <w:r w:rsidRPr="00204235">
        <w:rPr>
          <w:rFonts w:asciiTheme="minorHAnsi" w:hAnsiTheme="minorHAnsi" w:cstheme="minorHAnsi"/>
          <w:sz w:val="18"/>
          <w:szCs w:val="18"/>
        </w:rPr>
        <w:t xml:space="preserve">  </w:t>
      </w:r>
    </w:p>
  </w:footnote>
  <w:footnote w:id="14">
    <w:p w14:paraId="1920B084" w14:textId="389ADC07" w:rsidR="00E861BD" w:rsidRPr="00115DBA" w:rsidRDefault="00EC1345" w:rsidP="00115DBA">
      <w:pPr>
        <w:pStyle w:val="Body"/>
        <w:spacing w:before="100" w:beforeAutospacing="1" w:after="100" w:afterAutospacing="1"/>
        <w:contextualSpacing/>
        <w:rPr>
          <w:rFonts w:asciiTheme="minorHAnsi" w:hAnsiTheme="minorHAnsi" w:cstheme="minorHAnsi"/>
          <w:sz w:val="18"/>
          <w:szCs w:val="18"/>
        </w:rPr>
      </w:pPr>
      <w:r w:rsidRPr="00204235">
        <w:rPr>
          <w:rStyle w:val="FootnoteReference"/>
          <w:rFonts w:asciiTheme="minorHAnsi" w:eastAsiaTheme="majorEastAsia" w:hAnsiTheme="minorHAnsi" w:cstheme="minorHAnsi"/>
          <w:sz w:val="18"/>
          <w:szCs w:val="18"/>
        </w:rPr>
        <w:footnoteRef/>
      </w:r>
      <w:r w:rsidRPr="00204235">
        <w:t xml:space="preserve"> </w:t>
      </w:r>
      <w:hyperlink r:id="rId1" w:history="1">
        <w:r w:rsidR="00E861BD" w:rsidRPr="00115DBA">
          <w:rPr>
            <w:rStyle w:val="Hyperlink"/>
            <w:rFonts w:cstheme="minorHAnsi"/>
            <w:sz w:val="18"/>
            <w:szCs w:val="18"/>
          </w:rPr>
          <w:t>https://bsc.cid.harvard.edu/PDIAtoolkit</w:t>
        </w:r>
      </w:hyperlink>
    </w:p>
  </w:footnote>
  <w:footnote w:id="15">
    <w:p w14:paraId="035F5C6B" w14:textId="77777777" w:rsidR="00EC1345" w:rsidRPr="00204235" w:rsidRDefault="00EC1345" w:rsidP="00115DBA">
      <w:pPr>
        <w:pStyle w:val="FootnoteText"/>
        <w:spacing w:before="100" w:beforeAutospacing="1" w:after="100" w:afterAutospacing="1" w:line="240" w:lineRule="auto"/>
        <w:contextualSpacing/>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INOVASI Phase II - Investment Design update, p 3.</w:t>
      </w:r>
    </w:p>
  </w:footnote>
  <w:footnote w:id="16">
    <w:p w14:paraId="20A2C5AF" w14:textId="0E4C4C29" w:rsidR="00EC1345" w:rsidRPr="00204235" w:rsidRDefault="00EC1345" w:rsidP="00204235">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See </w:t>
      </w:r>
      <w:proofErr w:type="gramStart"/>
      <w:r w:rsidRPr="00204235">
        <w:rPr>
          <w:rFonts w:asciiTheme="minorHAnsi" w:hAnsiTheme="minorHAnsi" w:cstheme="minorHAnsi"/>
          <w:sz w:val="18"/>
          <w:szCs w:val="18"/>
        </w:rPr>
        <w:t>https://www.dfat.gov.au/geo/indonesia/joint-declaration-comprehensive-strategic-partnership-between-the-commonwealth-of-australia-and-republic-of-indonesia</w:t>
      </w:r>
      <w:proofErr w:type="gramEnd"/>
    </w:p>
  </w:footnote>
  <w:footnote w:id="17">
    <w:p w14:paraId="1C28B21D" w14:textId="79489C9D" w:rsidR="00EC1345" w:rsidRPr="00204235" w:rsidRDefault="00EC1345" w:rsidP="00204235">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See </w:t>
      </w:r>
      <w:proofErr w:type="gramStart"/>
      <w:r w:rsidRPr="00204235">
        <w:rPr>
          <w:rFonts w:asciiTheme="minorHAnsi" w:hAnsiTheme="minorHAnsi" w:cstheme="minorHAnsi"/>
          <w:sz w:val="18"/>
          <w:szCs w:val="18"/>
        </w:rPr>
        <w:t>https://www.dfat.gov.au/development/australias-development-program/covid-19-development-response-plans/indonesia-covid-19-development-response-plan</w:t>
      </w:r>
      <w:proofErr w:type="gramEnd"/>
    </w:p>
  </w:footnote>
  <w:footnote w:id="18">
    <w:p w14:paraId="3666829E" w14:textId="77777777" w:rsidR="00EC1345" w:rsidRPr="00115DBA" w:rsidRDefault="00EC1345" w:rsidP="00115DBA">
      <w:pPr>
        <w:pStyle w:val="FootnoteText"/>
        <w:pBdr>
          <w:top w:val="single" w:sz="4" w:space="1" w:color="auto"/>
        </w:pBdr>
        <w:rPr>
          <w:rFonts w:asciiTheme="minorHAnsi" w:hAnsiTheme="minorHAnsi" w:cstheme="minorHAnsi"/>
          <w:sz w:val="18"/>
          <w:szCs w:val="18"/>
        </w:rPr>
      </w:pPr>
      <w:r w:rsidRPr="00115DBA">
        <w:rPr>
          <w:rStyle w:val="FootnoteReference"/>
          <w:rFonts w:asciiTheme="minorHAnsi" w:eastAsiaTheme="majorEastAsia" w:hAnsiTheme="minorHAnsi" w:cstheme="minorHAnsi"/>
          <w:sz w:val="18"/>
          <w:szCs w:val="18"/>
        </w:rPr>
        <w:footnoteRef/>
      </w:r>
      <w:r w:rsidRPr="00115DBA">
        <w:rPr>
          <w:rFonts w:asciiTheme="minorHAnsi" w:hAnsiTheme="minorHAnsi" w:cstheme="minorHAnsi"/>
          <w:sz w:val="18"/>
          <w:szCs w:val="18"/>
        </w:rPr>
        <w:t xml:space="preserve"> See </w:t>
      </w:r>
      <w:proofErr w:type="gramStart"/>
      <w:r w:rsidRPr="00115DBA">
        <w:rPr>
          <w:rFonts w:asciiTheme="minorHAnsi" w:hAnsiTheme="minorHAnsi" w:cstheme="minorHAnsi"/>
          <w:sz w:val="18"/>
          <w:szCs w:val="18"/>
        </w:rPr>
        <w:t>https://ministers.dfat.gov.au/minister/pat-conroy/speech/micah-australian-women-leaders-network-parliament-house-canberra</w:t>
      </w:r>
      <w:proofErr w:type="gramEnd"/>
    </w:p>
  </w:footnote>
  <w:footnote w:id="19">
    <w:p w14:paraId="1AAA5850" w14:textId="5BD8E225" w:rsidR="00EC1345" w:rsidRPr="00204235" w:rsidRDefault="00EC1345" w:rsidP="00204235">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eastAsiaTheme="majorEastAsia" w:hAnsiTheme="minorHAnsi" w:cstheme="minorHAnsi"/>
          <w:sz w:val="18"/>
          <w:szCs w:val="18"/>
        </w:rPr>
        <w:footnoteRef/>
      </w:r>
      <w:r w:rsidRPr="00204235">
        <w:rPr>
          <w:rFonts w:asciiTheme="minorHAnsi" w:hAnsiTheme="minorHAnsi" w:cstheme="minorHAnsi"/>
          <w:sz w:val="18"/>
          <w:szCs w:val="18"/>
        </w:rPr>
        <w:t xml:space="preserve"> As recognised by pillar 1 of Indonesia’s national vision for the golden generation of 2045, </w:t>
      </w:r>
      <w:r w:rsidR="00596803">
        <w:rPr>
          <w:rFonts w:asciiTheme="minorHAnsi" w:hAnsiTheme="minorHAnsi" w:cstheme="minorHAnsi"/>
          <w:sz w:val="18"/>
          <w:szCs w:val="18"/>
        </w:rPr>
        <w:t>i.e.,</w:t>
      </w:r>
      <w:r w:rsidRPr="00204235">
        <w:rPr>
          <w:rFonts w:asciiTheme="minorHAnsi" w:hAnsiTheme="minorHAnsi" w:cstheme="minorHAnsi"/>
          <w:sz w:val="18"/>
          <w:szCs w:val="18"/>
        </w:rPr>
        <w:t xml:space="preserve"> human development and the mastery of science and technology (</w:t>
      </w:r>
      <w:proofErr w:type="spellStart"/>
      <w:r w:rsidRPr="00204235">
        <w:rPr>
          <w:rFonts w:asciiTheme="minorHAnsi" w:hAnsiTheme="minorHAnsi" w:cstheme="minorHAnsi"/>
          <w:sz w:val="18"/>
          <w:szCs w:val="18"/>
        </w:rPr>
        <w:t>Bappenas</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Wawasan</w:t>
      </w:r>
      <w:proofErr w:type="spellEnd"/>
      <w:r w:rsidRPr="00204235">
        <w:rPr>
          <w:rFonts w:asciiTheme="minorHAnsi" w:hAnsiTheme="minorHAnsi" w:cstheme="minorHAnsi"/>
          <w:sz w:val="18"/>
          <w:szCs w:val="18"/>
        </w:rPr>
        <w:t xml:space="preserve"> Nusantara, 2019)</w:t>
      </w:r>
    </w:p>
  </w:footnote>
  <w:footnote w:id="20">
    <w:p w14:paraId="15ADC1FD" w14:textId="78DA623C" w:rsidR="00EC1345" w:rsidRPr="00204235" w:rsidRDefault="00EC1345" w:rsidP="00204235">
      <w:pPr>
        <w:pStyle w:val="FootnoteText"/>
        <w:spacing w:after="60" w:line="240" w:lineRule="auto"/>
        <w:rPr>
          <w:rFonts w:asciiTheme="minorHAnsi" w:hAnsiTheme="minorHAnsi" w:cstheme="minorHAnsi"/>
          <w:sz w:val="18"/>
          <w:szCs w:val="18"/>
        </w:rPr>
      </w:pPr>
      <w:r w:rsidRPr="00204235">
        <w:rPr>
          <w:rStyle w:val="FootnoteReference"/>
          <w:rFonts w:asciiTheme="minorHAnsi" w:eastAsiaTheme="majorEastAsia" w:hAnsiTheme="minorHAnsi" w:cstheme="minorHAnsi"/>
          <w:sz w:val="18"/>
          <w:szCs w:val="18"/>
        </w:rPr>
        <w:footnoteRef/>
      </w:r>
      <w:r w:rsidRPr="00204235">
        <w:rPr>
          <w:rFonts w:asciiTheme="minorHAnsi" w:hAnsiTheme="minorHAnsi" w:cstheme="minorHAnsi"/>
          <w:sz w:val="18"/>
          <w:szCs w:val="18"/>
        </w:rPr>
        <w:t xml:space="preserve"> Although not yet passed, the current draft revision of the law on Indonesia’s education system (SISDIKNAS) advocates adding 1 year of pre-school to the years of compulsory education.</w:t>
      </w:r>
    </w:p>
  </w:footnote>
  <w:footnote w:id="21">
    <w:p w14:paraId="0EC7B672" w14:textId="79D06FC3" w:rsidR="00A4711E" w:rsidRPr="00204235" w:rsidRDefault="00EC1345" w:rsidP="00115DBA">
      <w:pPr>
        <w:pStyle w:val="FootnoteText"/>
        <w:pBdr>
          <w:top w:val="single" w:sz="4" w:space="1" w:color="auto"/>
        </w:pBdr>
        <w:contextualSpacing/>
      </w:pPr>
      <w:r w:rsidRPr="00204235">
        <w:rPr>
          <w:rStyle w:val="FootnoteReference"/>
          <w:rFonts w:asciiTheme="minorHAnsi" w:hAnsiTheme="minorHAnsi" w:cstheme="minorHAnsi"/>
          <w:sz w:val="18"/>
          <w:szCs w:val="18"/>
        </w:rPr>
        <w:footnoteRef/>
      </w:r>
      <w:r w:rsidRPr="00204235">
        <w:t xml:space="preserve"> </w:t>
      </w:r>
      <w:r w:rsidRPr="00204235">
        <w:rPr>
          <w:rStyle w:val="FootnoteReference"/>
          <w:rFonts w:asciiTheme="minorHAnsi" w:hAnsiTheme="minorHAnsi" w:cstheme="minorHAnsi"/>
          <w:sz w:val="18"/>
          <w:szCs w:val="18"/>
          <w:vertAlign w:val="baseline"/>
        </w:rPr>
        <w:t xml:space="preserve">UNICEF, 2021. Situational analysis on digital learning landscape in Indonesia, pp.8, 42-47. The Palapa Ring is a 12,128 </w:t>
      </w:r>
      <w:r w:rsidR="0033012B" w:rsidRPr="00204235">
        <w:rPr>
          <w:rStyle w:val="FootnoteReference"/>
          <w:rFonts w:asciiTheme="minorHAnsi" w:hAnsiTheme="minorHAnsi" w:cstheme="minorHAnsi"/>
          <w:sz w:val="18"/>
          <w:szCs w:val="18"/>
          <w:vertAlign w:val="baseline"/>
        </w:rPr>
        <w:t>kilometre</w:t>
      </w:r>
      <w:r w:rsidRPr="00204235">
        <w:rPr>
          <w:rStyle w:val="FootnoteReference"/>
          <w:rFonts w:asciiTheme="minorHAnsi" w:hAnsiTheme="minorHAnsi" w:cstheme="minorHAnsi"/>
          <w:sz w:val="18"/>
          <w:szCs w:val="18"/>
          <w:vertAlign w:val="baseline"/>
        </w:rPr>
        <w:t xml:space="preserve"> </w:t>
      </w:r>
      <w:r w:rsidR="0033012B" w:rsidRPr="00204235">
        <w:rPr>
          <w:rStyle w:val="FootnoteReference"/>
          <w:rFonts w:asciiTheme="minorHAnsi" w:hAnsiTheme="minorHAnsi" w:cstheme="minorHAnsi"/>
          <w:sz w:val="18"/>
          <w:szCs w:val="18"/>
          <w:vertAlign w:val="baseline"/>
        </w:rPr>
        <w:t>fibre</w:t>
      </w:r>
      <w:r w:rsidRPr="00204235">
        <w:rPr>
          <w:rStyle w:val="FootnoteReference"/>
          <w:rFonts w:asciiTheme="minorHAnsi" w:hAnsiTheme="minorHAnsi" w:cstheme="minorHAnsi"/>
          <w:sz w:val="18"/>
          <w:szCs w:val="18"/>
          <w:vertAlign w:val="baseline"/>
        </w:rPr>
        <w:t xml:space="preserve"> optic network, including extension</w:t>
      </w:r>
      <w:r w:rsidR="0033012B">
        <w:t>s</w:t>
      </w:r>
      <w:r w:rsidRPr="00204235">
        <w:rPr>
          <w:rStyle w:val="FootnoteReference"/>
          <w:rFonts w:asciiTheme="minorHAnsi" w:hAnsiTheme="minorHAnsi" w:cstheme="minorHAnsi"/>
          <w:sz w:val="18"/>
          <w:szCs w:val="18"/>
          <w:vertAlign w:val="baseline"/>
        </w:rPr>
        <w:t xml:space="preserve"> to 3T (remote and underdeveloped) areas.</w:t>
      </w:r>
    </w:p>
  </w:footnote>
  <w:footnote w:id="22">
    <w:p w14:paraId="52F791BB" w14:textId="03A85F7D" w:rsidR="00A4711E" w:rsidRPr="00115DBA" w:rsidRDefault="00EC1345" w:rsidP="00115DBA">
      <w:pPr>
        <w:pStyle w:val="Body"/>
        <w:contextualSpacing/>
        <w:rPr>
          <w:rStyle w:val="FootnoteReference"/>
          <w:rFonts w:asciiTheme="minorHAnsi" w:hAnsiTheme="minorHAnsi" w:cstheme="minorHAnsi"/>
          <w:sz w:val="18"/>
          <w:szCs w:val="18"/>
          <w:vertAlign w:val="baseline"/>
        </w:rPr>
      </w:pPr>
      <w:r w:rsidRPr="00204235">
        <w:rPr>
          <w:rStyle w:val="FootnoteReference"/>
          <w:rFonts w:asciiTheme="minorHAnsi" w:hAnsiTheme="minorHAnsi" w:cstheme="minorHAnsi"/>
          <w:sz w:val="18"/>
          <w:szCs w:val="18"/>
        </w:rPr>
        <w:footnoteRef/>
      </w:r>
      <w:r w:rsidRPr="00204235">
        <w:rPr>
          <w:rStyle w:val="FootnoteReference"/>
          <w:rFonts w:asciiTheme="minorHAnsi" w:hAnsiTheme="minorHAnsi" w:cstheme="minorHAnsi"/>
          <w:sz w:val="18"/>
          <w:szCs w:val="18"/>
        </w:rPr>
        <w:t xml:space="preserve"> </w:t>
      </w:r>
      <w:proofErr w:type="spellStart"/>
      <w:r w:rsidRPr="00204235">
        <w:rPr>
          <w:rStyle w:val="FootnoteReference"/>
          <w:rFonts w:asciiTheme="minorHAnsi" w:hAnsiTheme="minorHAnsi" w:cstheme="minorHAnsi"/>
          <w:sz w:val="18"/>
          <w:szCs w:val="18"/>
          <w:vertAlign w:val="baseline"/>
        </w:rPr>
        <w:t>Afkar</w:t>
      </w:r>
      <w:proofErr w:type="spellEnd"/>
      <w:r w:rsidRPr="00204235">
        <w:rPr>
          <w:rStyle w:val="FootnoteReference"/>
          <w:rFonts w:asciiTheme="minorHAnsi" w:hAnsiTheme="minorHAnsi" w:cstheme="minorHAnsi"/>
          <w:sz w:val="18"/>
          <w:szCs w:val="18"/>
          <w:vertAlign w:val="baseline"/>
        </w:rPr>
        <w:t>, R and Yarrow, N. 2021. Rewrite the future: How Indonesia’s education system can overcome the losses from the COVID-19 pandemic and raise learning outcomes for all, World Bank. Jakarta.</w:t>
      </w:r>
      <w:r w:rsidRPr="00204235">
        <w:rPr>
          <w:rStyle w:val="FootnoteReference"/>
          <w:rFonts w:asciiTheme="minorHAnsi" w:hAnsiTheme="minorHAnsi" w:cstheme="minorHAnsi"/>
          <w:sz w:val="18"/>
          <w:szCs w:val="18"/>
        </w:rPr>
        <w:t xml:space="preserve"> </w:t>
      </w:r>
    </w:p>
  </w:footnote>
  <w:footnote w:id="23">
    <w:p w14:paraId="05551136" w14:textId="09A4B905" w:rsidR="00EC1345" w:rsidRPr="00204235" w:rsidRDefault="00115DBA" w:rsidP="00115DBA">
      <w:pPr>
        <w:pStyle w:val="FootnoteText"/>
        <w:spacing w:after="60" w:line="240" w:lineRule="auto"/>
        <w:ind w:left="0" w:firstLine="0"/>
        <w:contextualSpacing/>
        <w:rPr>
          <w:rFonts w:asciiTheme="minorHAnsi" w:hAnsiTheme="minorHAnsi" w:cstheme="minorHAnsi"/>
          <w:sz w:val="18"/>
          <w:szCs w:val="18"/>
        </w:rPr>
      </w:pPr>
      <w:r w:rsidRPr="00115DBA">
        <w:rPr>
          <w:rFonts w:asciiTheme="minorHAnsi" w:hAnsiTheme="minorHAnsi" w:cstheme="minorHAnsi"/>
          <w:sz w:val="18"/>
          <w:szCs w:val="18"/>
          <w:vertAlign w:val="superscript"/>
        </w:rPr>
        <w:t>22</w:t>
      </w:r>
      <w:r>
        <w:rPr>
          <w:rFonts w:asciiTheme="minorHAnsi" w:hAnsiTheme="minorHAnsi" w:cstheme="minorHAnsi"/>
          <w:sz w:val="18"/>
          <w:szCs w:val="18"/>
        </w:rPr>
        <w:t xml:space="preserve"> </w:t>
      </w:r>
      <w:r w:rsidRPr="00204235">
        <w:rPr>
          <w:rStyle w:val="FootnoteReference"/>
          <w:rFonts w:asciiTheme="minorHAnsi" w:hAnsiTheme="minorHAnsi" w:cstheme="minorHAnsi"/>
          <w:sz w:val="18"/>
          <w:szCs w:val="18"/>
          <w:vertAlign w:val="baseline"/>
        </w:rPr>
        <w:t>UNICEF, 2020. Strengthening digital learning across Indonesia: A study brief. P. 11.</w:t>
      </w:r>
    </w:p>
  </w:footnote>
  <w:footnote w:id="24">
    <w:p w14:paraId="4A1BE468" w14:textId="77777777" w:rsidR="00EC1345" w:rsidRPr="00204235" w:rsidRDefault="00EC1345" w:rsidP="00204235">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The delineation of these spheres (interest, influence, control) is represented by the blue horizontal lines in the diagram.</w:t>
      </w:r>
    </w:p>
  </w:footnote>
  <w:footnote w:id="25">
    <w:p w14:paraId="1F2003D7" w14:textId="7FD277E4" w:rsidR="00EC1345" w:rsidRPr="00204235" w:rsidRDefault="00EC1345" w:rsidP="00115DBA">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r w:rsidRPr="00204235">
        <w:rPr>
          <w:rFonts w:asciiTheme="minorHAnsi" w:eastAsia="Calibri Light" w:hAnsiTheme="minorHAnsi" w:cstheme="minorHAnsi"/>
          <w:iCs/>
          <w:sz w:val="18"/>
          <w:szCs w:val="18"/>
        </w:rPr>
        <w:t>To align more closely with Australia's Development for all Policy and Government of Indonesia's Law 16/2019 on Persons with Disabilities and Regulation 13/2020 on Reasonable Accommodation.</w:t>
      </w:r>
    </w:p>
  </w:footnote>
  <w:footnote w:id="26">
    <w:p w14:paraId="580C25F9" w14:textId="2B3A1990" w:rsidR="00EE0821" w:rsidRPr="00EA46CE" w:rsidRDefault="00EE0821" w:rsidP="00115DBA">
      <w:pPr>
        <w:pStyle w:val="FootnoteText"/>
        <w:pBdr>
          <w:top w:val="single" w:sz="4" w:space="1" w:color="auto"/>
        </w:pBdr>
        <w:rPr>
          <w:rFonts w:asciiTheme="minorHAnsi" w:hAnsiTheme="minorHAnsi" w:cstheme="minorHAnsi"/>
          <w:sz w:val="16"/>
          <w:szCs w:val="16"/>
        </w:rPr>
      </w:pPr>
      <w:r w:rsidRPr="00EA46CE">
        <w:rPr>
          <w:rStyle w:val="FootnoteReference"/>
          <w:rFonts w:asciiTheme="minorHAnsi" w:hAnsiTheme="minorHAnsi" w:cstheme="minorHAnsi"/>
          <w:sz w:val="16"/>
          <w:szCs w:val="16"/>
        </w:rPr>
        <w:footnoteRef/>
      </w:r>
      <w:r w:rsidRPr="00EA46CE">
        <w:rPr>
          <w:rFonts w:asciiTheme="minorHAnsi" w:hAnsiTheme="minorHAnsi" w:cstheme="minorHAnsi"/>
          <w:sz w:val="16"/>
          <w:szCs w:val="16"/>
        </w:rPr>
        <w:t xml:space="preserve"> The </w:t>
      </w:r>
      <w:r w:rsidRPr="00EB0DB6">
        <w:rPr>
          <w:rFonts w:asciiTheme="minorHAnsi" w:hAnsiTheme="minorHAnsi" w:cstheme="minorHAnsi"/>
          <w:i/>
          <w:iCs/>
          <w:sz w:val="16"/>
          <w:szCs w:val="16"/>
        </w:rPr>
        <w:t xml:space="preserve">Balai </w:t>
      </w:r>
      <w:proofErr w:type="spellStart"/>
      <w:r w:rsidRPr="00EB0DB6">
        <w:rPr>
          <w:rFonts w:asciiTheme="minorHAnsi" w:hAnsiTheme="minorHAnsi" w:cstheme="minorHAnsi"/>
          <w:i/>
          <w:iCs/>
          <w:sz w:val="16"/>
          <w:szCs w:val="16"/>
        </w:rPr>
        <w:t>Penjaminan</w:t>
      </w:r>
      <w:proofErr w:type="spellEnd"/>
      <w:r w:rsidRPr="00EB0DB6">
        <w:rPr>
          <w:rFonts w:asciiTheme="minorHAnsi" w:hAnsiTheme="minorHAnsi" w:cstheme="minorHAnsi"/>
          <w:i/>
          <w:iCs/>
          <w:sz w:val="16"/>
          <w:szCs w:val="16"/>
        </w:rPr>
        <w:t xml:space="preserve"> </w:t>
      </w:r>
      <w:proofErr w:type="spellStart"/>
      <w:r w:rsidRPr="00EB0DB6">
        <w:rPr>
          <w:rFonts w:asciiTheme="minorHAnsi" w:hAnsiTheme="minorHAnsi" w:cstheme="minorHAnsi"/>
          <w:i/>
          <w:iCs/>
          <w:sz w:val="16"/>
          <w:szCs w:val="16"/>
        </w:rPr>
        <w:t>Mutu</w:t>
      </w:r>
      <w:proofErr w:type="spellEnd"/>
      <w:r w:rsidRPr="00EB0DB6">
        <w:rPr>
          <w:rFonts w:asciiTheme="minorHAnsi" w:hAnsiTheme="minorHAnsi" w:cstheme="minorHAnsi"/>
          <w:i/>
          <w:iCs/>
          <w:sz w:val="16"/>
          <w:szCs w:val="16"/>
        </w:rPr>
        <w:t xml:space="preserve"> Pendidikan</w:t>
      </w:r>
      <w:r>
        <w:rPr>
          <w:rFonts w:asciiTheme="minorHAnsi" w:hAnsiTheme="minorHAnsi" w:cstheme="minorHAnsi"/>
          <w:sz w:val="16"/>
          <w:szCs w:val="16"/>
        </w:rPr>
        <w:t xml:space="preserve"> (BPMP) and the </w:t>
      </w:r>
      <w:r w:rsidRPr="00EB0DB6">
        <w:rPr>
          <w:rFonts w:asciiTheme="minorHAnsi" w:hAnsiTheme="minorHAnsi" w:cstheme="minorHAnsi"/>
          <w:i/>
          <w:iCs/>
          <w:sz w:val="16"/>
          <w:szCs w:val="16"/>
        </w:rPr>
        <w:t xml:space="preserve">Balai Guru </w:t>
      </w:r>
      <w:proofErr w:type="spellStart"/>
      <w:r w:rsidRPr="00EB0DB6">
        <w:rPr>
          <w:rFonts w:asciiTheme="minorHAnsi" w:hAnsiTheme="minorHAnsi" w:cstheme="minorHAnsi"/>
          <w:i/>
          <w:iCs/>
          <w:sz w:val="16"/>
          <w:szCs w:val="16"/>
        </w:rPr>
        <w:t>Penggerak</w:t>
      </w:r>
      <w:proofErr w:type="spellEnd"/>
      <w:r>
        <w:rPr>
          <w:rFonts w:asciiTheme="minorHAnsi" w:hAnsiTheme="minorHAnsi" w:cstheme="minorHAnsi"/>
          <w:sz w:val="16"/>
          <w:szCs w:val="16"/>
        </w:rPr>
        <w:t xml:space="preserve"> (BGP) </w:t>
      </w:r>
      <w:r w:rsidRPr="00EA46CE">
        <w:rPr>
          <w:rFonts w:asciiTheme="minorHAnsi" w:hAnsiTheme="minorHAnsi" w:cstheme="minorHAnsi"/>
          <w:sz w:val="16"/>
          <w:szCs w:val="16"/>
        </w:rPr>
        <w:t xml:space="preserve"> </w:t>
      </w:r>
    </w:p>
  </w:footnote>
  <w:footnote w:id="27">
    <w:p w14:paraId="75BCA433" w14:textId="3819EC3A" w:rsidR="00EC1345" w:rsidRPr="00204235" w:rsidRDefault="00EC1345" w:rsidP="008F5965">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Baseline and endline data collections during the eight years of the program could continue longitudinal studies commenced under INOVASI Phase 2 and be valuable instruments for this tracking effort.</w:t>
      </w:r>
    </w:p>
  </w:footnote>
  <w:footnote w:id="28">
    <w:p w14:paraId="2B498085" w14:textId="726C357C" w:rsidR="00BB776C" w:rsidRPr="00EA46CE" w:rsidRDefault="00BB776C">
      <w:pPr>
        <w:pStyle w:val="FootnoteText"/>
        <w:rPr>
          <w:rFonts w:asciiTheme="minorHAnsi" w:hAnsiTheme="minorHAnsi" w:cstheme="minorHAnsi"/>
          <w:sz w:val="18"/>
          <w:szCs w:val="18"/>
        </w:rPr>
      </w:pPr>
      <w:r w:rsidRPr="00EA46CE">
        <w:rPr>
          <w:rStyle w:val="FootnoteReference"/>
          <w:rFonts w:asciiTheme="minorHAnsi" w:hAnsiTheme="minorHAnsi" w:cstheme="minorHAnsi"/>
          <w:sz w:val="18"/>
          <w:szCs w:val="18"/>
        </w:rPr>
        <w:footnoteRef/>
      </w:r>
      <w:r w:rsidRPr="00EA46CE">
        <w:rPr>
          <w:rFonts w:asciiTheme="minorHAnsi" w:hAnsiTheme="minorHAnsi" w:cstheme="minorHAnsi"/>
          <w:sz w:val="18"/>
          <w:szCs w:val="18"/>
        </w:rPr>
        <w:t xml:space="preserve"> </w:t>
      </w:r>
      <w:r w:rsidR="005971FC">
        <w:rPr>
          <w:rFonts w:asciiTheme="minorHAnsi" w:hAnsiTheme="minorHAnsi" w:cstheme="minorHAnsi"/>
          <w:sz w:val="18"/>
          <w:szCs w:val="18"/>
        </w:rPr>
        <w:t xml:space="preserve">See </w:t>
      </w:r>
      <w:hyperlink r:id="rId2" w:history="1">
        <w:r w:rsidR="005971FC" w:rsidRPr="00EA46CE">
          <w:rPr>
            <w:rStyle w:val="Hyperlink"/>
            <w:rFonts w:cstheme="minorHAnsi"/>
            <w:sz w:val="18"/>
            <w:szCs w:val="18"/>
          </w:rPr>
          <w:t>https://www.povertyactionlab.org/case-study/teaching-right-level-improve-learning</w:t>
        </w:r>
      </w:hyperlink>
      <w:r w:rsidR="005971FC">
        <w:rPr>
          <w:rFonts w:asciiTheme="minorHAnsi" w:hAnsiTheme="minorHAnsi" w:cstheme="minorHAnsi"/>
          <w:color w:val="000000"/>
          <w:sz w:val="18"/>
          <w:szCs w:val="18"/>
        </w:rPr>
        <w:t xml:space="preserve">. TARL is </w:t>
      </w:r>
      <w:r w:rsidR="0092026B" w:rsidRPr="0092026B">
        <w:rPr>
          <w:rFonts w:asciiTheme="minorHAnsi" w:hAnsiTheme="minorHAnsi" w:cstheme="minorHAnsi"/>
          <w:color w:val="000000"/>
          <w:sz w:val="18"/>
          <w:szCs w:val="18"/>
        </w:rPr>
        <w:t>an approach developed by the Indian NGO </w:t>
      </w:r>
      <w:hyperlink r:id="rId3" w:history="1">
        <w:r w:rsidR="0092026B" w:rsidRPr="0092026B">
          <w:rPr>
            <w:rStyle w:val="Hyperlink"/>
            <w:rFonts w:cstheme="minorHAnsi"/>
            <w:sz w:val="18"/>
            <w:szCs w:val="18"/>
          </w:rPr>
          <w:t>Pratham</w:t>
        </w:r>
      </w:hyperlink>
      <w:r w:rsidR="0092026B" w:rsidRPr="0092026B">
        <w:rPr>
          <w:rFonts w:asciiTheme="minorHAnsi" w:hAnsiTheme="minorHAnsi" w:cstheme="minorHAnsi"/>
          <w:color w:val="000000"/>
          <w:sz w:val="18"/>
          <w:szCs w:val="18"/>
        </w:rPr>
        <w:t> that aims to build foundational skills in math and reading for all children before exiting primary school. At the instructional level, the approach works by assessing children’s learning levels using a simple tool; grouping children based on learning levels rather than age or grade; using a range of engaging teaching and learning activities; focusing on foundational skills rather than solely on the curriculum; and tracking children’s progress.</w:t>
      </w:r>
    </w:p>
  </w:footnote>
  <w:footnote w:id="29">
    <w:p w14:paraId="1B506EB8" w14:textId="1753C7D8" w:rsidR="00931BA0" w:rsidRPr="00EA46CE" w:rsidRDefault="00931BA0">
      <w:pPr>
        <w:pStyle w:val="FootnoteText"/>
        <w:rPr>
          <w:rFonts w:asciiTheme="minorHAnsi" w:hAnsiTheme="minorHAnsi" w:cstheme="minorHAnsi"/>
          <w:sz w:val="18"/>
          <w:szCs w:val="18"/>
        </w:rPr>
      </w:pPr>
      <w:r w:rsidRPr="00EA46CE">
        <w:rPr>
          <w:rStyle w:val="FootnoteReference"/>
          <w:rFonts w:asciiTheme="minorHAnsi" w:hAnsiTheme="minorHAnsi" w:cstheme="minorHAnsi"/>
          <w:sz w:val="18"/>
          <w:szCs w:val="18"/>
        </w:rPr>
        <w:footnoteRef/>
      </w:r>
      <w:r w:rsidRPr="00EA46CE">
        <w:rPr>
          <w:rFonts w:asciiTheme="minorHAnsi" w:hAnsiTheme="minorHAnsi" w:cstheme="minorHAnsi"/>
          <w:sz w:val="18"/>
          <w:szCs w:val="18"/>
        </w:rPr>
        <w:t xml:space="preserve"> </w:t>
      </w:r>
      <w:r w:rsidR="00254561" w:rsidRPr="00EA46CE">
        <w:rPr>
          <w:rFonts w:asciiTheme="minorHAnsi" w:hAnsiTheme="minorHAnsi" w:cstheme="minorHAnsi"/>
          <w:sz w:val="18"/>
          <w:szCs w:val="18"/>
        </w:rPr>
        <w:t>M</w:t>
      </w:r>
      <w:r w:rsidR="00E6196A" w:rsidRPr="00EA46CE">
        <w:rPr>
          <w:rFonts w:asciiTheme="minorHAnsi" w:hAnsiTheme="minorHAnsi" w:cstheme="minorHAnsi"/>
          <w:sz w:val="18"/>
          <w:szCs w:val="18"/>
        </w:rPr>
        <w:t xml:space="preserve">inimum Service Standards (MSS) are the </w:t>
      </w:r>
      <w:r w:rsidR="006B55EE" w:rsidRPr="00EA46CE">
        <w:rPr>
          <w:rFonts w:asciiTheme="minorHAnsi" w:hAnsiTheme="minorHAnsi" w:cstheme="minorHAnsi"/>
          <w:sz w:val="18"/>
          <w:szCs w:val="18"/>
        </w:rPr>
        <w:t xml:space="preserve">provisions </w:t>
      </w:r>
      <w:r w:rsidR="0063419E" w:rsidRPr="00EA46CE">
        <w:rPr>
          <w:rFonts w:asciiTheme="minorHAnsi" w:hAnsiTheme="minorHAnsi" w:cstheme="minorHAnsi"/>
          <w:sz w:val="18"/>
          <w:szCs w:val="18"/>
        </w:rPr>
        <w:t>for the types and quality of</w:t>
      </w:r>
      <w:r w:rsidR="00773DE0">
        <w:rPr>
          <w:rFonts w:asciiTheme="minorHAnsi" w:hAnsiTheme="minorHAnsi" w:cstheme="minorHAnsi"/>
          <w:sz w:val="18"/>
          <w:szCs w:val="18"/>
        </w:rPr>
        <w:t xml:space="preserve"> minimum</w:t>
      </w:r>
      <w:r w:rsidR="0063419E" w:rsidRPr="00EA46CE">
        <w:rPr>
          <w:rFonts w:asciiTheme="minorHAnsi" w:hAnsiTheme="minorHAnsi" w:cstheme="minorHAnsi"/>
          <w:sz w:val="18"/>
          <w:szCs w:val="18"/>
        </w:rPr>
        <w:t xml:space="preserve"> basic services</w:t>
      </w:r>
      <w:r w:rsidR="0063419E">
        <w:rPr>
          <w:rFonts w:asciiTheme="minorHAnsi" w:hAnsiTheme="minorHAnsi" w:cstheme="minorHAnsi"/>
          <w:sz w:val="18"/>
          <w:szCs w:val="18"/>
        </w:rPr>
        <w:t xml:space="preserve"> </w:t>
      </w:r>
      <w:r w:rsidR="004A43FE">
        <w:rPr>
          <w:rFonts w:asciiTheme="minorHAnsi" w:hAnsiTheme="minorHAnsi" w:cstheme="minorHAnsi"/>
          <w:sz w:val="18"/>
          <w:szCs w:val="18"/>
        </w:rPr>
        <w:t xml:space="preserve">that all citizens </w:t>
      </w:r>
      <w:r w:rsidR="00B420A4">
        <w:rPr>
          <w:rFonts w:asciiTheme="minorHAnsi" w:hAnsiTheme="minorHAnsi" w:cstheme="minorHAnsi"/>
          <w:sz w:val="18"/>
          <w:szCs w:val="18"/>
        </w:rPr>
        <w:t>in Indonesia</w:t>
      </w:r>
      <w:r w:rsidR="001F1CE0">
        <w:rPr>
          <w:rFonts w:asciiTheme="minorHAnsi" w:hAnsiTheme="minorHAnsi" w:cstheme="minorHAnsi"/>
          <w:sz w:val="18"/>
          <w:szCs w:val="18"/>
        </w:rPr>
        <w:t xml:space="preserve"> ha</w:t>
      </w:r>
      <w:r w:rsidR="00D60D93">
        <w:rPr>
          <w:rFonts w:asciiTheme="minorHAnsi" w:hAnsiTheme="minorHAnsi" w:cstheme="minorHAnsi"/>
          <w:sz w:val="18"/>
          <w:szCs w:val="18"/>
        </w:rPr>
        <w:t>ve</w:t>
      </w:r>
      <w:r w:rsidR="001F1CE0">
        <w:rPr>
          <w:rFonts w:asciiTheme="minorHAnsi" w:hAnsiTheme="minorHAnsi" w:cstheme="minorHAnsi"/>
          <w:sz w:val="18"/>
          <w:szCs w:val="18"/>
        </w:rPr>
        <w:t xml:space="preserve"> a right to have</w:t>
      </w:r>
      <w:r w:rsidR="00E4210D">
        <w:rPr>
          <w:rFonts w:asciiTheme="minorHAnsi" w:hAnsiTheme="minorHAnsi" w:cstheme="minorHAnsi"/>
          <w:sz w:val="18"/>
          <w:szCs w:val="18"/>
        </w:rPr>
        <w:t>.</w:t>
      </w:r>
    </w:p>
  </w:footnote>
  <w:footnote w:id="30">
    <w:p w14:paraId="5CAD73F8" w14:textId="67A50AF2" w:rsidR="00EC1345" w:rsidRPr="00204235" w:rsidRDefault="00EC1345" w:rsidP="008F5965">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Style w:val="FootnoteReference"/>
          <w:rFonts w:asciiTheme="minorHAnsi" w:hAnsiTheme="minorHAnsi" w:cstheme="minorHAnsi"/>
          <w:sz w:val="18"/>
          <w:szCs w:val="18"/>
        </w:rPr>
        <w:t xml:space="preserve"> </w:t>
      </w:r>
      <w:r w:rsidRPr="00204235">
        <w:rPr>
          <w:rStyle w:val="FootnoteReference"/>
          <w:rFonts w:asciiTheme="minorHAnsi" w:hAnsiTheme="minorHAnsi" w:cstheme="minorHAnsi"/>
          <w:sz w:val="18"/>
          <w:szCs w:val="18"/>
          <w:vertAlign w:val="baseline"/>
        </w:rPr>
        <w:t xml:space="preserve">See </w:t>
      </w:r>
      <w:hyperlink r:id="rId4" w:history="1">
        <w:r w:rsidRPr="00204235">
          <w:rPr>
            <w:rStyle w:val="FootnoteReference"/>
            <w:rFonts w:asciiTheme="minorHAnsi" w:hAnsiTheme="minorHAnsi" w:cstheme="minorHAnsi"/>
            <w:sz w:val="18"/>
            <w:szCs w:val="18"/>
            <w:vertAlign w:val="baseline"/>
          </w:rPr>
          <w:t>https://dlprog.org/</w:t>
        </w:r>
      </w:hyperlink>
      <w:r w:rsidRPr="00204235">
        <w:rPr>
          <w:rStyle w:val="FootnoteReference"/>
          <w:rFonts w:asciiTheme="minorHAnsi" w:hAnsiTheme="minorHAnsi" w:cstheme="minorHAnsi"/>
          <w:sz w:val="18"/>
          <w:szCs w:val="18"/>
          <w:vertAlign w:val="baseline"/>
        </w:rPr>
        <w:t>. This model</w:t>
      </w:r>
      <w:r w:rsidRPr="00204235">
        <w:rPr>
          <w:rFonts w:asciiTheme="minorHAnsi" w:hAnsiTheme="minorHAnsi" w:cstheme="minorHAnsi"/>
          <w:sz w:val="18"/>
          <w:szCs w:val="18"/>
        </w:rPr>
        <w:t>,</w:t>
      </w:r>
      <w:r w:rsidRPr="00204235">
        <w:rPr>
          <w:rStyle w:val="FootnoteReference"/>
          <w:rFonts w:asciiTheme="minorHAnsi" w:hAnsiTheme="minorHAnsi" w:cstheme="minorHAnsi"/>
          <w:sz w:val="18"/>
          <w:szCs w:val="18"/>
          <w:vertAlign w:val="baseline"/>
        </w:rPr>
        <w:t xml:space="preserve"> developed at the Australian University of La Trobe</w:t>
      </w:r>
      <w:r w:rsidRPr="00204235">
        <w:rPr>
          <w:rFonts w:asciiTheme="minorHAnsi" w:hAnsiTheme="minorHAnsi" w:cstheme="minorHAnsi"/>
          <w:sz w:val="18"/>
          <w:szCs w:val="18"/>
        </w:rPr>
        <w:t>,</w:t>
      </w:r>
      <w:r w:rsidRPr="00204235">
        <w:rPr>
          <w:rStyle w:val="FootnoteReference"/>
          <w:rFonts w:asciiTheme="minorHAnsi" w:hAnsiTheme="minorHAnsi" w:cstheme="minorHAnsi"/>
          <w:sz w:val="18"/>
          <w:szCs w:val="18"/>
          <w:vertAlign w:val="baseline"/>
        </w:rPr>
        <w:t xml:space="preserve"> uses tools of ‘adaptive’ and ‘ontological’ leadership and coaching to support the exercise of developmental leadership. ‘Developmental leadership’ is conceived as: ‘</w:t>
      </w:r>
      <w:r w:rsidRPr="00204235">
        <w:rPr>
          <w:rStyle w:val="FootnoteReference"/>
          <w:rFonts w:asciiTheme="minorHAnsi" w:hAnsiTheme="minorHAnsi" w:cstheme="minorHAnsi"/>
          <w:i/>
          <w:iCs/>
          <w:sz w:val="18"/>
          <w:szCs w:val="18"/>
          <w:vertAlign w:val="baseline"/>
        </w:rPr>
        <w:t>the strategic, collective and political process of making change happen. It recognises leadership as an inherently political process and one that needs to mobilise collective action and resources in order to contest and legitimise shifts in the status quo…., and to consciously work in political ways that leverage coalitions to nudge the distribution of power and resources in pursuit of positive development. The exercise of developmental leadership recognises that mobilising this kind of reform is less about positional authority and more about</w:t>
      </w:r>
      <w:r w:rsidRPr="00204235">
        <w:rPr>
          <w:rFonts w:asciiTheme="minorHAnsi" w:hAnsiTheme="minorHAnsi" w:cstheme="minorHAnsi"/>
          <w:i/>
          <w:iCs/>
          <w:sz w:val="18"/>
          <w:szCs w:val="18"/>
        </w:rPr>
        <w:t xml:space="preserve"> the exercise of leadership in all spheres and at all levels of society’.</w:t>
      </w:r>
    </w:p>
  </w:footnote>
  <w:footnote w:id="31">
    <w:p w14:paraId="4078C01F" w14:textId="7E36D43D" w:rsidR="00EC1345" w:rsidRPr="00204235" w:rsidRDefault="00EC1345" w:rsidP="008F5965">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INOVASI does not fund the construction and/or maintenance of infrastructure. </w:t>
      </w:r>
    </w:p>
  </w:footnote>
  <w:footnote w:id="32">
    <w:p w14:paraId="1107729C" w14:textId="6FA726C9" w:rsidR="00EC1345" w:rsidRPr="00204235" w:rsidRDefault="00EC1345" w:rsidP="00115DBA">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Support to target district ecosystems might entail establishing institutional partnership, generating</w:t>
      </w:r>
      <w:r w:rsidR="00A35F3B">
        <w:rPr>
          <w:rFonts w:asciiTheme="minorHAnsi" w:hAnsiTheme="minorHAnsi" w:cstheme="minorHAnsi"/>
          <w:sz w:val="18"/>
          <w:szCs w:val="18"/>
        </w:rPr>
        <w:t>,</w:t>
      </w:r>
      <w:r w:rsidRPr="00204235">
        <w:rPr>
          <w:rFonts w:asciiTheme="minorHAnsi" w:hAnsiTheme="minorHAnsi" w:cstheme="minorHAnsi"/>
          <w:sz w:val="18"/>
          <w:szCs w:val="18"/>
        </w:rPr>
        <w:t xml:space="preserve"> and disseminating evidence, piloting</w:t>
      </w:r>
      <w:r w:rsidR="00A35F3B">
        <w:rPr>
          <w:rFonts w:asciiTheme="minorHAnsi" w:hAnsiTheme="minorHAnsi" w:cstheme="minorHAnsi"/>
          <w:sz w:val="18"/>
          <w:szCs w:val="18"/>
        </w:rPr>
        <w:t>,</w:t>
      </w:r>
      <w:r w:rsidRPr="00204235">
        <w:rPr>
          <w:rFonts w:asciiTheme="minorHAnsi" w:hAnsiTheme="minorHAnsi" w:cstheme="minorHAnsi"/>
          <w:sz w:val="18"/>
          <w:szCs w:val="18"/>
        </w:rPr>
        <w:t xml:space="preserve"> and trialling initiatives, and/or providing technical assistance. It will also certainly involve other services and activities. As such, when the program implements any of the other four strategies in target district, it will still be designed, categorised</w:t>
      </w:r>
      <w:r w:rsidR="00A35F3B">
        <w:rPr>
          <w:rFonts w:asciiTheme="minorHAnsi" w:hAnsiTheme="minorHAnsi" w:cstheme="minorHAnsi"/>
          <w:sz w:val="18"/>
          <w:szCs w:val="18"/>
        </w:rPr>
        <w:t>,</w:t>
      </w:r>
      <w:r w:rsidRPr="00204235">
        <w:rPr>
          <w:rFonts w:asciiTheme="minorHAnsi" w:hAnsiTheme="minorHAnsi" w:cstheme="minorHAnsi"/>
          <w:sz w:val="18"/>
          <w:szCs w:val="18"/>
        </w:rPr>
        <w:t xml:space="preserve"> and funded under the district ecosystem strategy.</w:t>
      </w:r>
    </w:p>
  </w:footnote>
  <w:footnote w:id="33">
    <w:p w14:paraId="73A0B229" w14:textId="1E691027" w:rsidR="00EC1345" w:rsidRPr="00204235" w:rsidRDefault="00EC1345" w:rsidP="00115DBA">
      <w:pPr>
        <w:pBdr>
          <w:top w:val="single" w:sz="4" w:space="1" w:color="auto"/>
        </w:pBdr>
        <w:spacing w:before="60" w:after="60"/>
        <w:jc w:val="both"/>
        <w:rPr>
          <w:rFonts w:asciiTheme="minorHAnsi" w:hAnsiTheme="minorHAnsi" w:cstheme="minorHAnsi"/>
          <w:sz w:val="18"/>
          <w:szCs w:val="18"/>
        </w:rPr>
      </w:pPr>
      <w:r w:rsidRPr="00204235">
        <w:rPr>
          <w:rFonts w:asciiTheme="minorHAnsi" w:hAnsiTheme="minorHAnsi" w:cstheme="minorHAnsi"/>
          <w:sz w:val="18"/>
          <w:szCs w:val="18"/>
          <w:vertAlign w:val="superscript"/>
        </w:rPr>
        <w:footnoteRef/>
      </w:r>
      <w:r w:rsidRPr="00204235">
        <w:rPr>
          <w:rFonts w:asciiTheme="minorHAnsi" w:hAnsiTheme="minorHAnsi" w:cstheme="minorHAnsi"/>
          <w:sz w:val="18"/>
          <w:szCs w:val="18"/>
        </w:rPr>
        <w:t xml:space="preserve"> This means selecting locations with programs that have different and complementary focus (</w:t>
      </w:r>
      <w:r w:rsidR="00782553" w:rsidRPr="00204235">
        <w:rPr>
          <w:rFonts w:asciiTheme="minorHAnsi" w:hAnsiTheme="minorHAnsi" w:cstheme="minorHAnsi"/>
          <w:sz w:val="18"/>
          <w:szCs w:val="18"/>
        </w:rPr>
        <w:t>e.g.,</w:t>
      </w:r>
      <w:r w:rsidRPr="00204235">
        <w:rPr>
          <w:rFonts w:asciiTheme="minorHAnsi" w:hAnsiTheme="minorHAnsi" w:cstheme="minorHAnsi"/>
          <w:sz w:val="18"/>
          <w:szCs w:val="18"/>
        </w:rPr>
        <w:t xml:space="preserve"> DFAT-funded SKALA program), and </w:t>
      </w:r>
      <w:r w:rsidR="00E034EB">
        <w:rPr>
          <w:rFonts w:asciiTheme="minorHAnsi" w:hAnsiTheme="minorHAnsi" w:cstheme="minorHAnsi"/>
          <w:sz w:val="18"/>
          <w:szCs w:val="18"/>
        </w:rPr>
        <w:t xml:space="preserve">avoiding </w:t>
      </w:r>
      <w:r w:rsidR="00204235" w:rsidRPr="00204235">
        <w:rPr>
          <w:rFonts w:asciiTheme="minorHAnsi" w:hAnsiTheme="minorHAnsi" w:cstheme="minorHAnsi"/>
          <w:sz w:val="18"/>
          <w:szCs w:val="18"/>
        </w:rPr>
        <w:t xml:space="preserve">locations that host programs with similar focus. This is for instance the case in Sumatra, where the </w:t>
      </w:r>
      <w:proofErr w:type="spellStart"/>
      <w:r w:rsidR="00204235" w:rsidRPr="00204235">
        <w:rPr>
          <w:rFonts w:asciiTheme="minorHAnsi" w:hAnsiTheme="minorHAnsi" w:cstheme="minorHAnsi"/>
          <w:sz w:val="18"/>
          <w:szCs w:val="18"/>
        </w:rPr>
        <w:t>Tanoto</w:t>
      </w:r>
      <w:proofErr w:type="spellEnd"/>
      <w:r w:rsidR="00204235" w:rsidRPr="00204235">
        <w:rPr>
          <w:rFonts w:asciiTheme="minorHAnsi" w:hAnsiTheme="minorHAnsi" w:cstheme="minorHAnsi"/>
          <w:sz w:val="18"/>
          <w:szCs w:val="18"/>
        </w:rPr>
        <w:t xml:space="preserve"> </w:t>
      </w:r>
      <w:r w:rsidRPr="00204235">
        <w:rPr>
          <w:rFonts w:asciiTheme="minorHAnsi" w:hAnsiTheme="minorHAnsi" w:cstheme="minorHAnsi"/>
          <w:sz w:val="18"/>
          <w:szCs w:val="18"/>
        </w:rPr>
        <w:t xml:space="preserve">Foundation’s PINTAR program establishes regional centres of excellence that provide training and mentoring to principals, teachers, supervisors, and committees of primary and junior secondary schools and madrasah, to improve the quality of learning, </w:t>
      </w:r>
      <w:r w:rsidR="003A0D39" w:rsidRPr="00204235">
        <w:rPr>
          <w:rFonts w:asciiTheme="minorHAnsi" w:hAnsiTheme="minorHAnsi" w:cstheme="minorHAnsi"/>
          <w:sz w:val="18"/>
          <w:szCs w:val="18"/>
        </w:rPr>
        <w:t>school-based</w:t>
      </w:r>
      <w:r w:rsidRPr="00204235">
        <w:rPr>
          <w:rFonts w:asciiTheme="minorHAnsi" w:hAnsiTheme="minorHAnsi" w:cstheme="minorHAnsi"/>
          <w:sz w:val="18"/>
          <w:szCs w:val="18"/>
        </w:rPr>
        <w:t xml:space="preserve"> management practices, and a reading culture.</w:t>
      </w:r>
    </w:p>
  </w:footnote>
  <w:footnote w:id="34">
    <w:p w14:paraId="633AFCDD" w14:textId="6461E87A" w:rsidR="00EC1345" w:rsidRPr="00204235" w:rsidRDefault="00EC1345" w:rsidP="00204235">
      <w:pPr>
        <w:spacing w:before="60" w:after="60"/>
        <w:jc w:val="both"/>
        <w:rPr>
          <w:rFonts w:asciiTheme="minorHAnsi" w:hAnsiTheme="minorHAnsi" w:cstheme="minorHAnsi"/>
          <w:sz w:val="18"/>
          <w:szCs w:val="18"/>
        </w:rPr>
      </w:pPr>
      <w:r w:rsidRPr="00204235">
        <w:rPr>
          <w:rFonts w:asciiTheme="minorHAnsi" w:hAnsiTheme="minorHAnsi" w:cstheme="minorHAnsi"/>
          <w:sz w:val="18"/>
          <w:szCs w:val="18"/>
          <w:vertAlign w:val="superscript"/>
        </w:rPr>
        <w:footnoteRef/>
      </w:r>
      <w:r w:rsidRPr="00204235">
        <w:rPr>
          <w:rFonts w:asciiTheme="minorHAnsi" w:hAnsiTheme="minorHAnsi" w:cstheme="minorHAnsi"/>
          <w:sz w:val="18"/>
          <w:szCs w:val="18"/>
        </w:rPr>
        <w:t xml:space="preserve"> Particularly those interventions that will not be fully scaled out at the end of INOVASI phase 2, </w:t>
      </w:r>
      <w:r w:rsidR="00782553" w:rsidRPr="00204235">
        <w:rPr>
          <w:rFonts w:asciiTheme="minorHAnsi" w:hAnsiTheme="minorHAnsi" w:cstheme="minorHAnsi"/>
          <w:sz w:val="18"/>
          <w:szCs w:val="18"/>
        </w:rPr>
        <w:t>e.g.,</w:t>
      </w:r>
      <w:r w:rsidRPr="00204235">
        <w:rPr>
          <w:rFonts w:asciiTheme="minorHAnsi" w:hAnsiTheme="minorHAnsi" w:cstheme="minorHAnsi"/>
          <w:sz w:val="18"/>
          <w:szCs w:val="18"/>
        </w:rPr>
        <w:t xml:space="preserve"> gender-based schooling.</w:t>
      </w:r>
    </w:p>
  </w:footnote>
  <w:footnote w:id="35">
    <w:p w14:paraId="625002DC" w14:textId="4885AEC1" w:rsidR="00EC1345" w:rsidRPr="00204235" w:rsidRDefault="00EC1345" w:rsidP="00204235">
      <w:pPr>
        <w:spacing w:before="60" w:after="60"/>
        <w:jc w:val="both"/>
        <w:rPr>
          <w:rFonts w:asciiTheme="minorHAnsi" w:hAnsiTheme="minorHAnsi" w:cstheme="minorHAnsi"/>
          <w:sz w:val="18"/>
          <w:szCs w:val="18"/>
        </w:rPr>
      </w:pPr>
      <w:r w:rsidRPr="00204235">
        <w:rPr>
          <w:rFonts w:asciiTheme="minorHAnsi" w:hAnsiTheme="minorHAnsi" w:cstheme="minorHAnsi"/>
          <w:sz w:val="18"/>
          <w:szCs w:val="18"/>
          <w:vertAlign w:val="superscript"/>
        </w:rPr>
        <w:footnoteRef/>
      </w:r>
      <w:r w:rsidRPr="00204235">
        <w:rPr>
          <w:rFonts w:asciiTheme="minorHAnsi" w:hAnsiTheme="minorHAnsi" w:cstheme="minorHAnsi"/>
          <w:sz w:val="18"/>
          <w:szCs w:val="18"/>
        </w:rPr>
        <w:t xml:space="preserve"> For instance, provinces that already host strong and influential TTIs.</w:t>
      </w:r>
    </w:p>
  </w:footnote>
  <w:footnote w:id="36">
    <w:p w14:paraId="18D65F6F" w14:textId="73543316" w:rsidR="00EC1345" w:rsidRPr="00204235" w:rsidRDefault="00EC1345" w:rsidP="00204235">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Or Head of Education and Culture Office and the </w:t>
      </w:r>
      <w:proofErr w:type="spellStart"/>
      <w:r w:rsidRPr="00204235">
        <w:rPr>
          <w:rFonts w:asciiTheme="minorHAnsi" w:hAnsiTheme="minorHAnsi" w:cstheme="minorHAnsi"/>
          <w:sz w:val="18"/>
          <w:szCs w:val="18"/>
        </w:rPr>
        <w:t>MoRA</w:t>
      </w:r>
      <w:proofErr w:type="spellEnd"/>
      <w:r w:rsidRPr="00204235">
        <w:rPr>
          <w:rFonts w:asciiTheme="minorHAnsi" w:hAnsiTheme="minorHAnsi" w:cstheme="minorHAnsi"/>
          <w:sz w:val="18"/>
          <w:szCs w:val="18"/>
        </w:rPr>
        <w:t xml:space="preserve"> Regional Office for East Java and West Java provinces. </w:t>
      </w:r>
    </w:p>
  </w:footnote>
  <w:footnote w:id="37">
    <w:p w14:paraId="28BAD29A" w14:textId="4EE68268" w:rsidR="00EC1345" w:rsidRPr="00204235" w:rsidRDefault="00EC1345" w:rsidP="00204235">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Or Head of Education Office of target districts for East Java and West Java provinces.</w:t>
      </w:r>
    </w:p>
  </w:footnote>
  <w:footnote w:id="38">
    <w:p w14:paraId="3ABA1406" w14:textId="0920B9B7" w:rsidR="00EC1345" w:rsidRPr="00204235" w:rsidRDefault="00EC1345" w:rsidP="00204235">
      <w:pPr>
        <w:pBdr>
          <w:top w:val="single" w:sz="4" w:space="1" w:color="auto"/>
        </w:pBdr>
        <w:spacing w:before="60" w:after="60"/>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A clear delineation will be drawn with the partnership mechanism offered by KONEKSI: when research partnerships are pursued between Australia and Indonesia, KONEKIS is the preferred mechanism. In all other cases – </w:t>
      </w:r>
      <w:r w:rsidR="00596803">
        <w:rPr>
          <w:rFonts w:asciiTheme="minorHAnsi" w:hAnsiTheme="minorHAnsi" w:cstheme="minorHAnsi"/>
          <w:sz w:val="18"/>
          <w:szCs w:val="18"/>
        </w:rPr>
        <w:t>i.e.,</w:t>
      </w:r>
      <w:r w:rsidRPr="00204235">
        <w:rPr>
          <w:rFonts w:asciiTheme="minorHAnsi" w:hAnsiTheme="minorHAnsi" w:cstheme="minorHAnsi"/>
          <w:sz w:val="18"/>
          <w:szCs w:val="18"/>
        </w:rPr>
        <w:t xml:space="preserve"> non-research partnerships or research partnerships not involving Australia – INOVASI may be the support vehicle.</w:t>
      </w:r>
    </w:p>
  </w:footnote>
  <w:footnote w:id="39">
    <w:p w14:paraId="61C58DF8" w14:textId="00645638" w:rsidR="00EC1345" w:rsidRPr="00204235" w:rsidRDefault="00EC1345" w:rsidP="00951A4E">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A difference between the approach of INKLUSI and INOVASI in working with civil society groups is INKLUSI’s interest in developing GOI-civil society partnership</w:t>
      </w:r>
      <w:r w:rsidR="00F3315B">
        <w:rPr>
          <w:rFonts w:asciiTheme="minorHAnsi" w:hAnsiTheme="minorHAnsi" w:cstheme="minorHAnsi"/>
          <w:sz w:val="18"/>
          <w:szCs w:val="18"/>
        </w:rPr>
        <w:t>s</w:t>
      </w:r>
      <w:r w:rsidRPr="00204235">
        <w:rPr>
          <w:rFonts w:asciiTheme="minorHAnsi" w:hAnsiTheme="minorHAnsi" w:cstheme="minorHAnsi"/>
          <w:sz w:val="18"/>
          <w:szCs w:val="18"/>
        </w:rPr>
        <w:t xml:space="preserve"> </w:t>
      </w:r>
      <w:r w:rsidR="00F3315B">
        <w:rPr>
          <w:rFonts w:asciiTheme="minorHAnsi" w:hAnsiTheme="minorHAnsi" w:cstheme="minorHAnsi"/>
          <w:sz w:val="18"/>
          <w:szCs w:val="18"/>
        </w:rPr>
        <w:t>for</w:t>
      </w:r>
      <w:r w:rsidRPr="00204235">
        <w:rPr>
          <w:rFonts w:asciiTheme="minorHAnsi" w:hAnsiTheme="minorHAnsi" w:cstheme="minorHAnsi"/>
          <w:sz w:val="18"/>
          <w:szCs w:val="18"/>
        </w:rPr>
        <w:t xml:space="preserve"> policy development around issues of gender and disability (and the capabilities and environment relevant to that objective)</w:t>
      </w:r>
      <w:r w:rsidR="00F3315B">
        <w:rPr>
          <w:rFonts w:asciiTheme="minorHAnsi" w:hAnsiTheme="minorHAnsi" w:cstheme="minorHAnsi"/>
          <w:sz w:val="18"/>
          <w:szCs w:val="18"/>
        </w:rPr>
        <w:t>,</w:t>
      </w:r>
      <w:r w:rsidRPr="00204235">
        <w:rPr>
          <w:rFonts w:asciiTheme="minorHAnsi" w:hAnsiTheme="minorHAnsi" w:cstheme="minorHAnsi"/>
          <w:sz w:val="18"/>
          <w:szCs w:val="18"/>
        </w:rPr>
        <w:t xml:space="preserve"> while INOVASI will support the capabilities of the CSO</w:t>
      </w:r>
      <w:r w:rsidR="00187339">
        <w:rPr>
          <w:rFonts w:asciiTheme="minorHAnsi" w:hAnsiTheme="minorHAnsi" w:cstheme="minorHAnsi"/>
          <w:sz w:val="18"/>
          <w:szCs w:val="18"/>
        </w:rPr>
        <w:t>s</w:t>
      </w:r>
      <w:r w:rsidRPr="00204235">
        <w:rPr>
          <w:rFonts w:asciiTheme="minorHAnsi" w:hAnsiTheme="minorHAnsi" w:cstheme="minorHAnsi"/>
          <w:sz w:val="18"/>
          <w:szCs w:val="18"/>
        </w:rPr>
        <w:t xml:space="preserve"> in the districts with the</w:t>
      </w:r>
      <w:r w:rsidR="00F3315B">
        <w:rPr>
          <w:rFonts w:asciiTheme="minorHAnsi" w:hAnsiTheme="minorHAnsi" w:cstheme="minorHAnsi"/>
          <w:sz w:val="18"/>
          <w:szCs w:val="18"/>
        </w:rPr>
        <w:t xml:space="preserve"> more</w:t>
      </w:r>
      <w:r w:rsidRPr="00204235">
        <w:rPr>
          <w:rFonts w:asciiTheme="minorHAnsi" w:hAnsiTheme="minorHAnsi" w:cstheme="minorHAnsi"/>
          <w:sz w:val="18"/>
          <w:szCs w:val="18"/>
        </w:rPr>
        <w:t xml:space="preserve"> </w:t>
      </w:r>
      <w:r w:rsidR="00F3315B">
        <w:rPr>
          <w:rFonts w:asciiTheme="minorHAnsi" w:hAnsiTheme="minorHAnsi" w:cstheme="minorHAnsi"/>
          <w:sz w:val="18"/>
          <w:szCs w:val="18"/>
        </w:rPr>
        <w:t xml:space="preserve">direct </w:t>
      </w:r>
      <w:r w:rsidRPr="00204235">
        <w:rPr>
          <w:rFonts w:asciiTheme="minorHAnsi" w:hAnsiTheme="minorHAnsi" w:cstheme="minorHAnsi"/>
          <w:sz w:val="18"/>
          <w:szCs w:val="18"/>
        </w:rPr>
        <w:t>objective to change the experience of women, girls and boys in the district’s schools and madrasah.</w:t>
      </w:r>
    </w:p>
  </w:footnote>
  <w:footnote w:id="40">
    <w:p w14:paraId="74526DB9" w14:textId="3DB2D1DC" w:rsidR="00EC1345" w:rsidRPr="00204235" w:rsidRDefault="00EC1345" w:rsidP="00204235">
      <w:pPr>
        <w:spacing w:before="60" w:after="60"/>
        <w:ind w:left="284" w:hanging="284"/>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Tanoto</w:t>
      </w:r>
      <w:proofErr w:type="spellEnd"/>
      <w:r w:rsidRPr="00204235">
        <w:rPr>
          <w:rFonts w:asciiTheme="minorHAnsi" w:hAnsiTheme="minorHAnsi" w:cstheme="minorHAnsi"/>
          <w:sz w:val="18"/>
          <w:szCs w:val="18"/>
        </w:rPr>
        <w:t xml:space="preserve"> </w:t>
      </w:r>
      <w:r w:rsidR="00F3315B">
        <w:rPr>
          <w:rFonts w:asciiTheme="minorHAnsi" w:hAnsiTheme="minorHAnsi" w:cstheme="minorHAnsi"/>
          <w:sz w:val="18"/>
          <w:szCs w:val="18"/>
        </w:rPr>
        <w:t xml:space="preserve">Foundation </w:t>
      </w:r>
      <w:r w:rsidRPr="00204235">
        <w:rPr>
          <w:rFonts w:asciiTheme="minorHAnsi" w:hAnsiTheme="minorHAnsi" w:cstheme="minorHAnsi"/>
          <w:sz w:val="18"/>
          <w:szCs w:val="18"/>
        </w:rPr>
        <w:t xml:space="preserve">is working with four TTIs in Indonesia (UPI in West Java, UNESA in East Java, </w:t>
      </w:r>
      <w:proofErr w:type="spellStart"/>
      <w:r w:rsidRPr="00204235">
        <w:rPr>
          <w:rFonts w:asciiTheme="minorHAnsi" w:hAnsiTheme="minorHAnsi" w:cstheme="minorHAnsi"/>
          <w:sz w:val="18"/>
          <w:szCs w:val="18"/>
        </w:rPr>
        <w:t>Unimed</w:t>
      </w:r>
      <w:proofErr w:type="spellEnd"/>
      <w:r w:rsidRPr="00204235">
        <w:rPr>
          <w:rFonts w:asciiTheme="minorHAnsi" w:hAnsiTheme="minorHAnsi" w:cstheme="minorHAnsi"/>
          <w:sz w:val="18"/>
          <w:szCs w:val="18"/>
        </w:rPr>
        <w:t xml:space="preserve"> in North Sumatra, and UNY in Yogyakarta), supporting </w:t>
      </w:r>
      <w:proofErr w:type="spellStart"/>
      <w:r w:rsidRPr="00204235">
        <w:rPr>
          <w:rFonts w:asciiTheme="minorHAnsi" w:hAnsiTheme="minorHAnsi" w:cstheme="minorHAnsi"/>
          <w:sz w:val="18"/>
          <w:szCs w:val="18"/>
        </w:rPr>
        <w:t>MoECRT</w:t>
      </w:r>
      <w:proofErr w:type="spellEnd"/>
      <w:r w:rsidRPr="00204235">
        <w:rPr>
          <w:rFonts w:asciiTheme="minorHAnsi" w:hAnsiTheme="minorHAnsi" w:cstheme="minorHAnsi"/>
          <w:sz w:val="18"/>
          <w:szCs w:val="18"/>
        </w:rPr>
        <w:t xml:space="preserve"> with the reform of the </w:t>
      </w:r>
      <w:r w:rsidR="00FA49B1" w:rsidRPr="00204235">
        <w:rPr>
          <w:rFonts w:asciiTheme="minorHAnsi" w:hAnsiTheme="minorHAnsi" w:cstheme="minorHAnsi"/>
          <w:sz w:val="18"/>
          <w:szCs w:val="18"/>
        </w:rPr>
        <w:t>one-year</w:t>
      </w:r>
      <w:r w:rsidRPr="00204235">
        <w:rPr>
          <w:rFonts w:asciiTheme="minorHAnsi" w:hAnsiTheme="minorHAnsi" w:cstheme="minorHAnsi"/>
          <w:sz w:val="18"/>
          <w:szCs w:val="18"/>
        </w:rPr>
        <w:t xml:space="preserve"> pre-service Teacher Professional Education Program (pre-service PPG). </w:t>
      </w:r>
      <w:proofErr w:type="spellStart"/>
      <w:r w:rsidRPr="00204235">
        <w:rPr>
          <w:rFonts w:asciiTheme="minorHAnsi" w:hAnsiTheme="minorHAnsi" w:cstheme="minorHAnsi"/>
          <w:sz w:val="18"/>
          <w:szCs w:val="18"/>
        </w:rPr>
        <w:t>Tanoto</w:t>
      </w:r>
      <w:proofErr w:type="spellEnd"/>
      <w:r w:rsidR="00F3315B">
        <w:rPr>
          <w:rFonts w:asciiTheme="minorHAnsi" w:hAnsiTheme="minorHAnsi" w:cstheme="minorHAnsi"/>
          <w:sz w:val="18"/>
          <w:szCs w:val="18"/>
        </w:rPr>
        <w:t xml:space="preserve"> Foundation</w:t>
      </w:r>
      <w:r w:rsidRPr="00204235">
        <w:rPr>
          <w:rFonts w:asciiTheme="minorHAnsi" w:hAnsiTheme="minorHAnsi" w:cstheme="minorHAnsi"/>
          <w:sz w:val="18"/>
          <w:szCs w:val="18"/>
        </w:rPr>
        <w:t xml:space="preserve">’s work involves supporting improvements to the pre-service PPG curriculum, and improvement of approaches and collaboration between school and university for the ‘practice’ element for candidate teachers. Since the pre-service PPG program is an important element of the ecosystem in addressing the demand for teachers in these areas, the new program will need to collaborate closely with </w:t>
      </w:r>
      <w:proofErr w:type="spellStart"/>
      <w:r w:rsidRPr="00204235">
        <w:rPr>
          <w:rFonts w:asciiTheme="minorHAnsi" w:hAnsiTheme="minorHAnsi" w:cstheme="minorHAnsi"/>
          <w:sz w:val="18"/>
          <w:szCs w:val="18"/>
        </w:rPr>
        <w:t>Tanoto</w:t>
      </w:r>
      <w:proofErr w:type="spellEnd"/>
      <w:r w:rsidRPr="00204235">
        <w:rPr>
          <w:rFonts w:asciiTheme="minorHAnsi" w:hAnsiTheme="minorHAnsi" w:cstheme="minorHAnsi"/>
          <w:sz w:val="18"/>
          <w:szCs w:val="18"/>
        </w:rPr>
        <w:t xml:space="preserve"> </w:t>
      </w:r>
      <w:r w:rsidR="00F3315B">
        <w:rPr>
          <w:rFonts w:asciiTheme="minorHAnsi" w:hAnsiTheme="minorHAnsi" w:cstheme="minorHAnsi"/>
          <w:sz w:val="18"/>
          <w:szCs w:val="18"/>
        </w:rPr>
        <w:t xml:space="preserve">Foundation </w:t>
      </w:r>
      <w:r w:rsidRPr="00204235">
        <w:rPr>
          <w:rFonts w:asciiTheme="minorHAnsi" w:hAnsiTheme="minorHAnsi" w:cstheme="minorHAnsi"/>
          <w:sz w:val="18"/>
          <w:szCs w:val="18"/>
        </w:rPr>
        <w:t>to ensure complementarity of support - rather than overlap, particularly in East and West Java.</w:t>
      </w:r>
    </w:p>
  </w:footnote>
  <w:footnote w:id="41">
    <w:p w14:paraId="2CE2204F" w14:textId="77777777" w:rsidR="00EC1345" w:rsidRPr="00204235" w:rsidRDefault="00EC1345" w:rsidP="00204235">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See more details on </w:t>
      </w:r>
      <w:proofErr w:type="gramStart"/>
      <w:r w:rsidRPr="00204235">
        <w:rPr>
          <w:rFonts w:asciiTheme="minorHAnsi" w:hAnsiTheme="minorHAnsi" w:cstheme="minorHAnsi"/>
          <w:sz w:val="18"/>
          <w:szCs w:val="18"/>
        </w:rPr>
        <w:t>https://www.globalpartnership.org/funding/gpe-multiplier</w:t>
      </w:r>
      <w:proofErr w:type="gramEnd"/>
    </w:p>
  </w:footnote>
  <w:footnote w:id="42">
    <w:p w14:paraId="5C25A842" w14:textId="36CDA924" w:rsidR="00EC1345" w:rsidRPr="00204235" w:rsidRDefault="00EC1345" w:rsidP="00204235">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The preliminary framework presented in Annex </w:t>
      </w:r>
      <w:r w:rsidR="00475A9D">
        <w:rPr>
          <w:rFonts w:asciiTheme="minorHAnsi" w:hAnsiTheme="minorHAnsi" w:cstheme="minorHAnsi"/>
          <w:sz w:val="18"/>
          <w:szCs w:val="18"/>
        </w:rPr>
        <w:t>2</w:t>
      </w:r>
      <w:r w:rsidRPr="00204235">
        <w:rPr>
          <w:rFonts w:asciiTheme="minorHAnsi" w:hAnsiTheme="minorHAnsi" w:cstheme="minorHAnsi"/>
          <w:sz w:val="18"/>
          <w:szCs w:val="18"/>
        </w:rPr>
        <w:t xml:space="preserve"> will be further developed during the program inception </w:t>
      </w:r>
      <w:proofErr w:type="gramStart"/>
      <w:r w:rsidRPr="00204235">
        <w:rPr>
          <w:rFonts w:asciiTheme="minorHAnsi" w:hAnsiTheme="minorHAnsi" w:cstheme="minorHAnsi"/>
          <w:sz w:val="18"/>
          <w:szCs w:val="18"/>
        </w:rPr>
        <w:t>phase, and</w:t>
      </w:r>
      <w:proofErr w:type="gramEnd"/>
      <w:r w:rsidRPr="00204235">
        <w:rPr>
          <w:rFonts w:asciiTheme="minorHAnsi" w:hAnsiTheme="minorHAnsi" w:cstheme="minorHAnsi"/>
          <w:sz w:val="18"/>
          <w:szCs w:val="18"/>
        </w:rPr>
        <w:t xml:space="preserve"> formalised as part of the MERL system.</w:t>
      </w:r>
    </w:p>
  </w:footnote>
  <w:footnote w:id="43">
    <w:p w14:paraId="7C744AB4" w14:textId="231136CC" w:rsidR="00EC1345" w:rsidRPr="00204235" w:rsidRDefault="00EC1345" w:rsidP="00E94416">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A question about the program’s Value for Money (</w:t>
      </w:r>
      <w:proofErr w:type="spellStart"/>
      <w:r w:rsidR="0033012B">
        <w:rPr>
          <w:rFonts w:asciiTheme="minorHAnsi" w:hAnsiTheme="minorHAnsi" w:cstheme="minorHAnsi"/>
          <w:sz w:val="18"/>
          <w:szCs w:val="18"/>
        </w:rPr>
        <w:t>VfM</w:t>
      </w:r>
      <w:proofErr w:type="spellEnd"/>
      <w:r w:rsidRPr="00204235">
        <w:rPr>
          <w:rFonts w:asciiTheme="minorHAnsi" w:hAnsiTheme="minorHAnsi" w:cstheme="minorHAnsi"/>
          <w:sz w:val="18"/>
          <w:szCs w:val="18"/>
        </w:rPr>
        <w:t>) will be considered, and if deemed appropriate will be included to cover aspects of efficiency/costs, effectiveness/</w:t>
      </w:r>
      <w:proofErr w:type="gramStart"/>
      <w:r w:rsidRPr="00204235">
        <w:rPr>
          <w:rFonts w:asciiTheme="minorHAnsi" w:hAnsiTheme="minorHAnsi" w:cstheme="minorHAnsi"/>
          <w:sz w:val="18"/>
          <w:szCs w:val="18"/>
        </w:rPr>
        <w:t>achievements</w:t>
      </w:r>
      <w:proofErr w:type="gramEnd"/>
      <w:r w:rsidRPr="00204235">
        <w:rPr>
          <w:rFonts w:asciiTheme="minorHAnsi" w:hAnsiTheme="minorHAnsi" w:cstheme="minorHAnsi"/>
          <w:sz w:val="18"/>
          <w:szCs w:val="18"/>
        </w:rPr>
        <w:t xml:space="preserve"> and impact/scaling.</w:t>
      </w:r>
    </w:p>
  </w:footnote>
  <w:footnote w:id="44">
    <w:p w14:paraId="161FCDED" w14:textId="77777777" w:rsidR="00EC1345" w:rsidRPr="00204235" w:rsidRDefault="00EC1345" w:rsidP="0010796F">
      <w:pPr>
        <w:pStyle w:val="NormalWeb"/>
        <w:pBdr>
          <w:top w:val="single" w:sz="4" w:space="1" w:color="auto"/>
        </w:pBdr>
        <w:spacing w:before="60" w:beforeAutospacing="0" w:after="60" w:afterAutospacing="0"/>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UNICEF Indonesia. 2020. </w:t>
      </w:r>
      <w:r w:rsidRPr="00204235">
        <w:rPr>
          <w:rFonts w:asciiTheme="minorHAnsi" w:hAnsiTheme="minorHAnsi" w:cstheme="minorHAnsi"/>
          <w:i/>
          <w:iCs/>
          <w:sz w:val="18"/>
          <w:szCs w:val="18"/>
        </w:rPr>
        <w:t xml:space="preserve">Children with disabilities and education. </w:t>
      </w:r>
      <w:r w:rsidRPr="00204235">
        <w:rPr>
          <w:rFonts w:asciiTheme="minorHAnsi" w:hAnsiTheme="minorHAnsi" w:cstheme="minorHAnsi"/>
          <w:sz w:val="18"/>
          <w:szCs w:val="18"/>
        </w:rPr>
        <w:t xml:space="preserve">Jakarta: UNICEF. Available from: https://www.unicef.org/indonesia/media/2716/file/Children-with-Disabilites- and-Education-2020.pdf. </w:t>
      </w:r>
    </w:p>
  </w:footnote>
  <w:footnote w:id="45">
    <w:p w14:paraId="5D2BB06C" w14:textId="7F3CE4FF" w:rsidR="00EC1345" w:rsidRPr="00204235" w:rsidRDefault="00EC1345" w:rsidP="00204235">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Spink, J, </w:t>
      </w:r>
      <w:proofErr w:type="spellStart"/>
      <w:r w:rsidRPr="00204235">
        <w:rPr>
          <w:rFonts w:asciiTheme="minorHAnsi" w:hAnsiTheme="minorHAnsi" w:cstheme="minorHAnsi"/>
          <w:sz w:val="18"/>
          <w:szCs w:val="18"/>
        </w:rPr>
        <w:t>Cloney</w:t>
      </w:r>
      <w:proofErr w:type="spellEnd"/>
      <w:r w:rsidRPr="00204235">
        <w:rPr>
          <w:rFonts w:asciiTheme="minorHAnsi" w:hAnsiTheme="minorHAnsi" w:cstheme="minorHAnsi"/>
          <w:sz w:val="18"/>
          <w:szCs w:val="18"/>
        </w:rPr>
        <w:t>, D and Berry, A. 2022. Beyond Letters and Numbers:  the COVID-19 pandemic and foundational literacy and numeracy in Indonesia. Published by INOVASI.</w:t>
      </w:r>
    </w:p>
  </w:footnote>
  <w:footnote w:id="46">
    <w:p w14:paraId="5DC643E6" w14:textId="4D8AB581" w:rsidR="00EC1345" w:rsidRPr="00204235" w:rsidRDefault="00EC1345" w:rsidP="00115DBA">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As observed during an interview with a </w:t>
      </w:r>
      <w:proofErr w:type="spellStart"/>
      <w:r w:rsidRPr="00204235">
        <w:rPr>
          <w:rFonts w:asciiTheme="minorHAnsi" w:hAnsiTheme="minorHAnsi" w:cstheme="minorHAnsi"/>
          <w:sz w:val="18"/>
          <w:szCs w:val="18"/>
        </w:rPr>
        <w:t>Wahana</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Inklusi</w:t>
      </w:r>
      <w:proofErr w:type="spellEnd"/>
      <w:r w:rsidRPr="00204235">
        <w:rPr>
          <w:rFonts w:asciiTheme="minorHAnsi" w:hAnsiTheme="minorHAnsi" w:cstheme="minorHAnsi"/>
          <w:sz w:val="18"/>
          <w:szCs w:val="18"/>
        </w:rPr>
        <w:t xml:space="preserve"> representative, 19 April 2023. </w:t>
      </w:r>
    </w:p>
  </w:footnote>
  <w:footnote w:id="47">
    <w:p w14:paraId="701C0955" w14:textId="07875278" w:rsidR="00EC1345" w:rsidRPr="00204235" w:rsidRDefault="00EC1345" w:rsidP="00204235">
      <w:pPr>
        <w:tabs>
          <w:tab w:val="num" w:pos="720"/>
        </w:tabs>
        <w:spacing w:before="60" w:after="60"/>
        <w:rPr>
          <w:rFonts w:asciiTheme="minorHAnsi" w:hAnsiTheme="minorHAnsi" w:cstheme="minorHAnsi"/>
          <w:kern w:val="2"/>
          <w:sz w:val="18"/>
          <w:szCs w:val="18"/>
          <w:lang w:val="en-US"/>
          <w14:ligatures w14:val="standardContextual"/>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r w:rsidRPr="00204235">
        <w:rPr>
          <w:rFonts w:asciiTheme="minorHAnsi" w:hAnsiTheme="minorHAnsi" w:cstheme="minorHAnsi"/>
          <w:kern w:val="2"/>
          <w:sz w:val="18"/>
          <w:szCs w:val="18"/>
          <w:lang w:val="en-US"/>
          <w14:ligatures w14:val="standardContextual"/>
        </w:rPr>
        <w:t>PPDI (</w:t>
      </w:r>
      <w:proofErr w:type="spellStart"/>
      <w:r w:rsidRPr="00204235">
        <w:rPr>
          <w:rFonts w:asciiTheme="minorHAnsi" w:hAnsiTheme="minorHAnsi" w:cstheme="minorHAnsi"/>
          <w:kern w:val="2"/>
          <w:sz w:val="18"/>
          <w:szCs w:val="18"/>
          <w:lang w:val="en-US"/>
          <w14:ligatures w14:val="standardContextual"/>
        </w:rPr>
        <w:t>Pengurus</w:t>
      </w:r>
      <w:proofErr w:type="spellEnd"/>
      <w:r w:rsidRPr="00204235">
        <w:rPr>
          <w:rFonts w:asciiTheme="minorHAnsi" w:hAnsiTheme="minorHAnsi" w:cstheme="minorHAnsi"/>
          <w:kern w:val="2"/>
          <w:sz w:val="18"/>
          <w:szCs w:val="18"/>
          <w:lang w:val="en-US"/>
          <w14:ligatures w14:val="standardContextual"/>
        </w:rPr>
        <w:t xml:space="preserve"> Pusat </w:t>
      </w:r>
      <w:proofErr w:type="spellStart"/>
      <w:r w:rsidRPr="00204235">
        <w:rPr>
          <w:rFonts w:asciiTheme="minorHAnsi" w:hAnsiTheme="minorHAnsi" w:cstheme="minorHAnsi"/>
          <w:kern w:val="2"/>
          <w:sz w:val="18"/>
          <w:szCs w:val="18"/>
          <w:lang w:val="en-US"/>
          <w14:ligatures w14:val="standardContextual"/>
        </w:rPr>
        <w:t>Perkumpulan</w:t>
      </w:r>
      <w:proofErr w:type="spellEnd"/>
      <w:r w:rsidRPr="00204235">
        <w:rPr>
          <w:rFonts w:asciiTheme="minorHAnsi" w:hAnsiTheme="minorHAnsi" w:cstheme="minorHAnsi"/>
          <w:kern w:val="2"/>
          <w:sz w:val="18"/>
          <w:szCs w:val="18"/>
          <w:lang w:val="en-US"/>
          <w14:ligatures w14:val="standardContextual"/>
        </w:rPr>
        <w:t xml:space="preserve"> </w:t>
      </w:r>
      <w:proofErr w:type="spellStart"/>
      <w:r w:rsidRPr="00204235">
        <w:rPr>
          <w:rFonts w:asciiTheme="minorHAnsi" w:hAnsiTheme="minorHAnsi" w:cstheme="minorHAnsi"/>
          <w:kern w:val="2"/>
          <w:sz w:val="18"/>
          <w:szCs w:val="18"/>
          <w:lang w:val="en-US"/>
          <w14:ligatures w14:val="standardContextual"/>
        </w:rPr>
        <w:t>Penyandang</w:t>
      </w:r>
      <w:proofErr w:type="spellEnd"/>
      <w:r w:rsidRPr="00204235">
        <w:rPr>
          <w:rFonts w:asciiTheme="minorHAnsi" w:hAnsiTheme="minorHAnsi" w:cstheme="minorHAnsi"/>
          <w:kern w:val="2"/>
          <w:sz w:val="18"/>
          <w:szCs w:val="18"/>
          <w:lang w:val="en-US"/>
          <w14:ligatures w14:val="standardContextual"/>
        </w:rPr>
        <w:t xml:space="preserve"> </w:t>
      </w:r>
      <w:proofErr w:type="spellStart"/>
      <w:r w:rsidRPr="00204235">
        <w:rPr>
          <w:rFonts w:asciiTheme="minorHAnsi" w:hAnsiTheme="minorHAnsi" w:cstheme="minorHAnsi"/>
          <w:kern w:val="2"/>
          <w:sz w:val="18"/>
          <w:szCs w:val="18"/>
          <w:lang w:val="en-US"/>
          <w14:ligatures w14:val="standardContextual"/>
        </w:rPr>
        <w:t>Disabilitas</w:t>
      </w:r>
      <w:proofErr w:type="spellEnd"/>
      <w:r w:rsidRPr="00204235">
        <w:rPr>
          <w:rFonts w:asciiTheme="minorHAnsi" w:hAnsiTheme="minorHAnsi" w:cstheme="minorHAnsi"/>
          <w:kern w:val="2"/>
          <w:sz w:val="18"/>
          <w:szCs w:val="18"/>
          <w:lang w:val="en-US"/>
          <w14:ligatures w14:val="standardContextual"/>
        </w:rPr>
        <w:t xml:space="preserve"> Indonesia), HWDI (</w:t>
      </w:r>
      <w:proofErr w:type="spellStart"/>
      <w:r w:rsidRPr="00204235">
        <w:rPr>
          <w:rFonts w:asciiTheme="minorHAnsi" w:hAnsiTheme="minorHAnsi" w:cstheme="minorHAnsi"/>
          <w:kern w:val="2"/>
          <w:sz w:val="18"/>
          <w:szCs w:val="18"/>
          <w:lang w:val="en-US"/>
          <w14:ligatures w14:val="standardContextual"/>
        </w:rPr>
        <w:t>Himpunan</w:t>
      </w:r>
      <w:proofErr w:type="spellEnd"/>
      <w:r w:rsidRPr="00204235">
        <w:rPr>
          <w:rFonts w:asciiTheme="minorHAnsi" w:hAnsiTheme="minorHAnsi" w:cstheme="minorHAnsi"/>
          <w:kern w:val="2"/>
          <w:sz w:val="18"/>
          <w:szCs w:val="18"/>
          <w:lang w:val="en-US"/>
          <w14:ligatures w14:val="standardContextual"/>
        </w:rPr>
        <w:t xml:space="preserve"> Wanita </w:t>
      </w:r>
      <w:proofErr w:type="spellStart"/>
      <w:r w:rsidRPr="00204235">
        <w:rPr>
          <w:rFonts w:asciiTheme="minorHAnsi" w:hAnsiTheme="minorHAnsi" w:cstheme="minorHAnsi"/>
          <w:kern w:val="2"/>
          <w:sz w:val="18"/>
          <w:szCs w:val="18"/>
          <w:lang w:val="en-US"/>
          <w14:ligatures w14:val="standardContextual"/>
        </w:rPr>
        <w:t>Disabilitas</w:t>
      </w:r>
      <w:proofErr w:type="spellEnd"/>
      <w:r w:rsidRPr="00204235">
        <w:rPr>
          <w:rFonts w:asciiTheme="minorHAnsi" w:hAnsiTheme="minorHAnsi" w:cstheme="minorHAnsi"/>
          <w:kern w:val="2"/>
          <w:sz w:val="18"/>
          <w:szCs w:val="18"/>
          <w:lang w:val="en-US"/>
          <w14:ligatures w14:val="standardContextual"/>
        </w:rPr>
        <w:t xml:space="preserve"> Indonesia) </w:t>
      </w:r>
      <w:proofErr w:type="spellStart"/>
      <w:r w:rsidRPr="00204235">
        <w:rPr>
          <w:rFonts w:asciiTheme="minorHAnsi" w:hAnsiTheme="minorHAnsi" w:cstheme="minorHAnsi"/>
          <w:kern w:val="2"/>
          <w:sz w:val="18"/>
          <w:szCs w:val="18"/>
          <w:lang w:val="en-US"/>
          <w14:ligatures w14:val="standardContextual"/>
        </w:rPr>
        <w:t>Pengurus</w:t>
      </w:r>
      <w:proofErr w:type="spellEnd"/>
      <w:r w:rsidRPr="00204235">
        <w:rPr>
          <w:rFonts w:asciiTheme="minorHAnsi" w:hAnsiTheme="minorHAnsi" w:cstheme="minorHAnsi"/>
          <w:kern w:val="2"/>
          <w:sz w:val="18"/>
          <w:szCs w:val="18"/>
          <w:lang w:val="en-US"/>
          <w14:ligatures w14:val="standardContextual"/>
        </w:rPr>
        <w:t xml:space="preserve"> Daerah NTB, WII (</w:t>
      </w:r>
      <w:proofErr w:type="spellStart"/>
      <w:r w:rsidRPr="00204235">
        <w:rPr>
          <w:rFonts w:asciiTheme="minorHAnsi" w:hAnsiTheme="minorHAnsi" w:cstheme="minorHAnsi"/>
          <w:kern w:val="2"/>
          <w:sz w:val="18"/>
          <w:szCs w:val="18"/>
          <w:lang w:val="en-US"/>
          <w14:ligatures w14:val="standardContextual"/>
        </w:rPr>
        <w:t>Wahana</w:t>
      </w:r>
      <w:proofErr w:type="spellEnd"/>
      <w:r w:rsidRPr="00204235">
        <w:rPr>
          <w:rFonts w:asciiTheme="minorHAnsi" w:hAnsiTheme="minorHAnsi" w:cstheme="minorHAnsi"/>
          <w:kern w:val="2"/>
          <w:sz w:val="18"/>
          <w:szCs w:val="18"/>
          <w:lang w:val="en-US"/>
          <w14:ligatures w14:val="standardContextual"/>
        </w:rPr>
        <w:t xml:space="preserve"> </w:t>
      </w:r>
      <w:proofErr w:type="spellStart"/>
      <w:r w:rsidRPr="00204235">
        <w:rPr>
          <w:rFonts w:asciiTheme="minorHAnsi" w:hAnsiTheme="minorHAnsi" w:cstheme="minorHAnsi"/>
          <w:kern w:val="2"/>
          <w:sz w:val="18"/>
          <w:szCs w:val="18"/>
          <w:lang w:val="en-US"/>
          <w14:ligatures w14:val="standardContextual"/>
        </w:rPr>
        <w:t>Inklusi</w:t>
      </w:r>
      <w:proofErr w:type="spellEnd"/>
      <w:r w:rsidRPr="00204235">
        <w:rPr>
          <w:rFonts w:asciiTheme="minorHAnsi" w:hAnsiTheme="minorHAnsi" w:cstheme="minorHAnsi"/>
          <w:kern w:val="2"/>
          <w:sz w:val="18"/>
          <w:szCs w:val="18"/>
          <w:lang w:val="en-US"/>
          <w14:ligatures w14:val="standardContextual"/>
        </w:rPr>
        <w:t xml:space="preserve"> Indonesia) for the Greater Jakarta region, APOI (</w:t>
      </w:r>
      <w:proofErr w:type="spellStart"/>
      <w:r w:rsidRPr="00204235">
        <w:rPr>
          <w:rFonts w:asciiTheme="minorHAnsi" w:hAnsiTheme="minorHAnsi" w:cstheme="minorHAnsi"/>
          <w:kern w:val="2"/>
          <w:sz w:val="18"/>
          <w:szCs w:val="18"/>
          <w:lang w:val="en-US"/>
          <w14:ligatures w14:val="standardContextual"/>
        </w:rPr>
        <w:t>Asosiasi</w:t>
      </w:r>
      <w:proofErr w:type="spellEnd"/>
      <w:r w:rsidRPr="00204235">
        <w:rPr>
          <w:rFonts w:asciiTheme="minorHAnsi" w:hAnsiTheme="minorHAnsi" w:cstheme="minorHAnsi"/>
          <w:kern w:val="2"/>
          <w:sz w:val="18"/>
          <w:szCs w:val="18"/>
          <w:lang w:val="en-US"/>
          <w14:ligatures w14:val="standardContextual"/>
        </w:rPr>
        <w:t xml:space="preserve"> </w:t>
      </w:r>
      <w:proofErr w:type="spellStart"/>
      <w:r w:rsidRPr="00204235">
        <w:rPr>
          <w:rFonts w:asciiTheme="minorHAnsi" w:hAnsiTheme="minorHAnsi" w:cstheme="minorHAnsi"/>
          <w:kern w:val="2"/>
          <w:sz w:val="18"/>
          <w:szCs w:val="18"/>
          <w:lang w:val="en-US"/>
          <w14:ligatures w14:val="standardContextual"/>
        </w:rPr>
        <w:t>Profesi</w:t>
      </w:r>
      <w:proofErr w:type="spellEnd"/>
      <w:r w:rsidRPr="00204235">
        <w:rPr>
          <w:rFonts w:asciiTheme="minorHAnsi" w:hAnsiTheme="minorHAnsi" w:cstheme="minorHAnsi"/>
          <w:kern w:val="2"/>
          <w:sz w:val="18"/>
          <w:szCs w:val="18"/>
          <w:lang w:val="en-US"/>
          <w14:ligatures w14:val="standardContextual"/>
        </w:rPr>
        <w:t xml:space="preserve"> </w:t>
      </w:r>
      <w:proofErr w:type="spellStart"/>
      <w:r w:rsidRPr="00204235">
        <w:rPr>
          <w:rFonts w:asciiTheme="minorHAnsi" w:hAnsiTheme="minorHAnsi" w:cstheme="minorHAnsi"/>
          <w:kern w:val="2"/>
          <w:sz w:val="18"/>
          <w:szCs w:val="18"/>
          <w:lang w:val="en-US"/>
          <w14:ligatures w14:val="standardContextual"/>
        </w:rPr>
        <w:t>Ortopaedagogik</w:t>
      </w:r>
      <w:proofErr w:type="spellEnd"/>
      <w:r w:rsidRPr="00204235">
        <w:rPr>
          <w:rFonts w:asciiTheme="minorHAnsi" w:hAnsiTheme="minorHAnsi" w:cstheme="minorHAnsi"/>
          <w:kern w:val="2"/>
          <w:sz w:val="18"/>
          <w:szCs w:val="18"/>
          <w:lang w:val="en-US"/>
          <w14:ligatures w14:val="standardContextual"/>
        </w:rPr>
        <w:t xml:space="preserve"> Indonesia), and the central management of Forum </w:t>
      </w:r>
      <w:proofErr w:type="spellStart"/>
      <w:r w:rsidRPr="00204235">
        <w:rPr>
          <w:rFonts w:asciiTheme="minorHAnsi" w:hAnsiTheme="minorHAnsi" w:cstheme="minorHAnsi"/>
          <w:kern w:val="2"/>
          <w:sz w:val="18"/>
          <w:szCs w:val="18"/>
          <w:lang w:val="en-US"/>
          <w14:ligatures w14:val="standardContextual"/>
        </w:rPr>
        <w:t>Pendidik</w:t>
      </w:r>
      <w:proofErr w:type="spellEnd"/>
      <w:r w:rsidRPr="00204235">
        <w:rPr>
          <w:rFonts w:asciiTheme="minorHAnsi" w:hAnsiTheme="minorHAnsi" w:cstheme="minorHAnsi"/>
          <w:kern w:val="2"/>
          <w:sz w:val="18"/>
          <w:szCs w:val="18"/>
          <w:lang w:val="en-US"/>
          <w14:ligatures w14:val="standardContextual"/>
        </w:rPr>
        <w:t xml:space="preserve"> Madrasah </w:t>
      </w:r>
      <w:proofErr w:type="spellStart"/>
      <w:r w:rsidRPr="00204235">
        <w:rPr>
          <w:rFonts w:asciiTheme="minorHAnsi" w:hAnsiTheme="minorHAnsi" w:cstheme="minorHAnsi"/>
          <w:kern w:val="2"/>
          <w:sz w:val="18"/>
          <w:szCs w:val="18"/>
          <w:lang w:val="en-US"/>
          <w14:ligatures w14:val="standardContextual"/>
        </w:rPr>
        <w:t>Inklusif</w:t>
      </w:r>
      <w:proofErr w:type="spellEnd"/>
      <w:r w:rsidRPr="00204235">
        <w:rPr>
          <w:rFonts w:asciiTheme="minorHAnsi" w:hAnsiTheme="minorHAnsi" w:cstheme="minorHAnsi"/>
          <w:kern w:val="2"/>
          <w:sz w:val="18"/>
          <w:szCs w:val="18"/>
          <w:lang w:val="en-US"/>
          <w14:ligatures w14:val="standardContextual"/>
        </w:rPr>
        <w:t xml:space="preserve"> (FPMI).</w:t>
      </w:r>
    </w:p>
  </w:footnote>
  <w:footnote w:id="48">
    <w:p w14:paraId="51F64209" w14:textId="60C596AC" w:rsidR="00EC1345" w:rsidRPr="00204235" w:rsidRDefault="00EC1345" w:rsidP="00204235">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UU 8/2016 </w:t>
      </w:r>
      <w:proofErr w:type="spellStart"/>
      <w:r w:rsidRPr="00204235">
        <w:rPr>
          <w:rFonts w:asciiTheme="minorHAnsi" w:hAnsiTheme="minorHAnsi" w:cstheme="minorHAnsi"/>
          <w:sz w:val="18"/>
          <w:szCs w:val="18"/>
        </w:rPr>
        <w:t>Tentang</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Penyandang</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Disabiitas</w:t>
      </w:r>
      <w:proofErr w:type="spellEnd"/>
      <w:r w:rsidRPr="00204235">
        <w:rPr>
          <w:rFonts w:asciiTheme="minorHAnsi" w:hAnsiTheme="minorHAnsi" w:cstheme="minorHAnsi"/>
          <w:sz w:val="18"/>
          <w:szCs w:val="18"/>
        </w:rPr>
        <w:t xml:space="preserve">, Pasal 40. </w:t>
      </w:r>
    </w:p>
  </w:footnote>
  <w:footnote w:id="49">
    <w:p w14:paraId="308AE624" w14:textId="05621431" w:rsidR="00EC1345" w:rsidRPr="00204235" w:rsidRDefault="00EC1345" w:rsidP="00115DBA">
      <w:pPr>
        <w:pStyle w:val="NormalWeb"/>
        <w:spacing w:before="60" w:beforeAutospacing="0" w:after="60" w:afterAutospacing="0"/>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Sprunt, B. 2020. Lessons from INOVASI’s Phase One Work on Disability-Inclusive Education What has worked and not worked to improve disability-inclusive education? p.6. INOVASI Thematic Study series.</w:t>
      </w:r>
    </w:p>
  </w:footnote>
  <w:footnote w:id="50">
    <w:p w14:paraId="68E1250A" w14:textId="02B8E3D5" w:rsidR="00EC1345" w:rsidRPr="00204235" w:rsidRDefault="00EC1345" w:rsidP="00115DBA">
      <w:pPr>
        <w:pStyle w:val="NormalWeb"/>
        <w:pBdr>
          <w:top w:val="single" w:sz="4" w:space="1" w:color="auto"/>
        </w:pBdr>
        <w:spacing w:before="60" w:beforeAutospacing="0" w:after="60" w:afterAutospacing="0"/>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The functional approach to learning difficulties is supported by the World Health Organisation’s </w:t>
      </w:r>
      <w:r w:rsidRPr="00204235">
        <w:rPr>
          <w:rFonts w:asciiTheme="minorHAnsi" w:hAnsiTheme="minorHAnsi" w:cstheme="minorHAnsi"/>
          <w:i/>
          <w:iCs/>
          <w:sz w:val="18"/>
          <w:szCs w:val="18"/>
        </w:rPr>
        <w:t xml:space="preserve">International Classification of Functioning, Disability and Health </w:t>
      </w:r>
      <w:r w:rsidRPr="00204235">
        <w:rPr>
          <w:rFonts w:asciiTheme="minorHAnsi" w:hAnsiTheme="minorHAnsi" w:cstheme="minorHAnsi"/>
          <w:sz w:val="18"/>
          <w:szCs w:val="18"/>
        </w:rPr>
        <w:t xml:space="preserve">in education settings. (Silveira-Maia </w:t>
      </w:r>
      <w:r w:rsidRPr="00204235">
        <w:rPr>
          <w:rFonts w:asciiTheme="minorHAnsi" w:hAnsiTheme="minorHAnsi" w:cstheme="minorHAnsi"/>
          <w:i/>
          <w:iCs/>
          <w:sz w:val="18"/>
          <w:szCs w:val="18"/>
        </w:rPr>
        <w:t>et al</w:t>
      </w:r>
      <w:r w:rsidRPr="00204235">
        <w:rPr>
          <w:rFonts w:asciiTheme="minorHAnsi" w:hAnsiTheme="minorHAnsi" w:cstheme="minorHAnsi"/>
          <w:sz w:val="18"/>
          <w:szCs w:val="18"/>
        </w:rPr>
        <w:t xml:space="preserve">., 2017, </w:t>
      </w:r>
      <w:proofErr w:type="spellStart"/>
      <w:r w:rsidRPr="00204235">
        <w:rPr>
          <w:rFonts w:asciiTheme="minorHAnsi" w:hAnsiTheme="minorHAnsi" w:cstheme="minorHAnsi"/>
          <w:sz w:val="18"/>
          <w:szCs w:val="18"/>
        </w:rPr>
        <w:t>Hollenweger</w:t>
      </w:r>
      <w:proofErr w:type="spellEnd"/>
      <w:r w:rsidRPr="00204235">
        <w:rPr>
          <w:rFonts w:asciiTheme="minorHAnsi" w:hAnsiTheme="minorHAnsi" w:cstheme="minorHAnsi"/>
          <w:sz w:val="18"/>
          <w:szCs w:val="18"/>
        </w:rPr>
        <w:t>, 2011, Norwich, 2008).</w:t>
      </w:r>
    </w:p>
  </w:footnote>
  <w:footnote w:id="51">
    <w:p w14:paraId="4250D431" w14:textId="7D99530A" w:rsidR="00EC1345" w:rsidRPr="008F5965" w:rsidRDefault="00EC1345" w:rsidP="00115DBA">
      <w:pPr>
        <w:pStyle w:val="Title"/>
        <w:pBdr>
          <w:top w:val="single" w:sz="4" w:space="1" w:color="auto"/>
        </w:pBdr>
        <w:spacing w:before="60" w:after="60" w:line="240" w:lineRule="auto"/>
        <w:contextualSpacing w:val="0"/>
        <w:rPr>
          <w:rFonts w:asciiTheme="minorHAnsi" w:hAnsiTheme="minorHAnsi" w:cstheme="minorHAnsi"/>
          <w:b w:val="0"/>
          <w:caps w:val="0"/>
          <w:sz w:val="18"/>
          <w:szCs w:val="18"/>
        </w:rPr>
      </w:pPr>
      <w:r w:rsidRPr="008F5965">
        <w:rPr>
          <w:rStyle w:val="FootnoteReference"/>
          <w:rFonts w:asciiTheme="minorHAnsi" w:hAnsiTheme="minorHAnsi" w:cstheme="minorHAnsi"/>
          <w:b w:val="0"/>
          <w:caps w:val="0"/>
          <w:sz w:val="18"/>
          <w:szCs w:val="18"/>
        </w:rPr>
        <w:footnoteRef/>
      </w:r>
      <w:r w:rsidRPr="008F5965">
        <w:rPr>
          <w:rFonts w:asciiTheme="minorHAnsi" w:hAnsiTheme="minorHAnsi" w:cstheme="minorHAnsi"/>
          <w:b w:val="0"/>
          <w:caps w:val="0"/>
          <w:sz w:val="18"/>
          <w:szCs w:val="18"/>
        </w:rPr>
        <w:t xml:space="preserve"> Department of Foreign Affairs and Trade, 2019. Climate Change Action Strategy: Tackling climate change through Australia’s Development Assistance Program 2020–2025, p.30.</w:t>
      </w:r>
    </w:p>
  </w:footnote>
  <w:footnote w:id="52">
    <w:p w14:paraId="31E9278E" w14:textId="3A356B4C" w:rsidR="00EC1345" w:rsidRPr="008F5965" w:rsidRDefault="00EC1345" w:rsidP="00204235">
      <w:pPr>
        <w:pStyle w:val="BodyText"/>
        <w:spacing w:before="60" w:after="60"/>
        <w:jc w:val="both"/>
        <w:rPr>
          <w:rStyle w:val="FootnoteReference"/>
          <w:rFonts w:asciiTheme="minorHAnsi" w:hAnsiTheme="minorHAnsi" w:cstheme="minorHAnsi"/>
          <w:bCs/>
          <w:sz w:val="18"/>
          <w:szCs w:val="18"/>
          <w:vertAlign w:val="baseline"/>
        </w:rPr>
      </w:pPr>
      <w:r w:rsidRPr="008F5965">
        <w:rPr>
          <w:rStyle w:val="FootnoteReference"/>
          <w:rFonts w:asciiTheme="minorHAnsi" w:hAnsiTheme="minorHAnsi" w:cstheme="minorHAnsi"/>
          <w:bCs/>
          <w:sz w:val="18"/>
          <w:szCs w:val="18"/>
        </w:rPr>
        <w:footnoteRef/>
      </w:r>
      <w:r w:rsidRPr="008F5965">
        <w:rPr>
          <w:rStyle w:val="FootnoteReference"/>
          <w:rFonts w:asciiTheme="minorHAnsi" w:hAnsiTheme="minorHAnsi" w:cstheme="minorHAnsi"/>
          <w:bCs/>
          <w:sz w:val="18"/>
          <w:szCs w:val="18"/>
        </w:rPr>
        <w:t xml:space="preserve"> </w:t>
      </w:r>
      <w:r w:rsidRPr="008F5965">
        <w:rPr>
          <w:rStyle w:val="FootnoteReference"/>
          <w:rFonts w:asciiTheme="minorHAnsi" w:hAnsiTheme="minorHAnsi" w:cstheme="minorHAnsi"/>
          <w:bCs/>
          <w:sz w:val="18"/>
          <w:szCs w:val="18"/>
          <w:vertAlign w:val="baseline"/>
        </w:rPr>
        <w:t xml:space="preserve">Should the curriculum features as an entry point in the program’s climate change strategy, the parallel with the existing IO on curriculum assessment and learning materials is obvious. However, this should </w:t>
      </w:r>
      <w:r w:rsidRPr="008F5965">
        <w:rPr>
          <w:rFonts w:asciiTheme="minorHAnsi" w:hAnsiTheme="minorHAnsi" w:cstheme="minorHAnsi"/>
          <w:bCs/>
          <w:sz w:val="18"/>
          <w:szCs w:val="18"/>
        </w:rPr>
        <w:t xml:space="preserve">not </w:t>
      </w:r>
      <w:r w:rsidRPr="008F5965">
        <w:rPr>
          <w:rStyle w:val="FootnoteReference"/>
          <w:rFonts w:asciiTheme="minorHAnsi" w:hAnsiTheme="minorHAnsi" w:cstheme="minorHAnsi"/>
          <w:bCs/>
          <w:sz w:val="18"/>
          <w:szCs w:val="18"/>
          <w:vertAlign w:val="baseline"/>
        </w:rPr>
        <w:t>prevent the need for achievements under this IO to remain focussed on literacy and numeracy</w:t>
      </w:r>
      <w:r w:rsidRPr="008F5965">
        <w:rPr>
          <w:rFonts w:asciiTheme="minorHAnsi" w:hAnsiTheme="minorHAnsi" w:cstheme="minorHAnsi"/>
          <w:bCs/>
          <w:sz w:val="18"/>
          <w:szCs w:val="18"/>
        </w:rPr>
        <w:t>,</w:t>
      </w:r>
      <w:r w:rsidRPr="008F5965">
        <w:rPr>
          <w:rStyle w:val="FootnoteReference"/>
          <w:rFonts w:asciiTheme="minorHAnsi" w:hAnsiTheme="minorHAnsi" w:cstheme="minorHAnsi"/>
          <w:bCs/>
          <w:sz w:val="18"/>
          <w:szCs w:val="18"/>
          <w:vertAlign w:val="baseline"/>
        </w:rPr>
        <w:t xml:space="preserve"> if improvement in those areas is to be attained. </w:t>
      </w:r>
    </w:p>
  </w:footnote>
  <w:footnote w:id="53">
    <w:p w14:paraId="589F3E90" w14:textId="1ADD159F" w:rsidR="00EC1345" w:rsidRPr="00204235" w:rsidRDefault="00EC1345" w:rsidP="00204235">
      <w:pPr>
        <w:pStyle w:val="BodyText"/>
        <w:spacing w:before="60" w:after="60"/>
        <w:jc w:val="both"/>
        <w:rPr>
          <w:rFonts w:asciiTheme="minorHAnsi" w:hAnsiTheme="minorHAnsi" w:cstheme="minorHAnsi"/>
          <w:sz w:val="18"/>
          <w:szCs w:val="18"/>
        </w:rPr>
      </w:pPr>
      <w:r w:rsidRPr="008F5965">
        <w:rPr>
          <w:rStyle w:val="FootnoteReference"/>
          <w:rFonts w:asciiTheme="minorHAnsi" w:hAnsiTheme="minorHAnsi" w:cstheme="minorHAnsi"/>
          <w:bCs/>
          <w:sz w:val="18"/>
          <w:szCs w:val="18"/>
        </w:rPr>
        <w:footnoteRef/>
      </w:r>
      <w:r w:rsidRPr="008F5965">
        <w:rPr>
          <w:rStyle w:val="FootnoteReference"/>
          <w:rFonts w:asciiTheme="minorHAnsi" w:hAnsiTheme="minorHAnsi" w:cstheme="minorHAnsi"/>
          <w:bCs/>
          <w:sz w:val="18"/>
          <w:szCs w:val="18"/>
        </w:rPr>
        <w:t xml:space="preserve"> </w:t>
      </w:r>
      <w:r w:rsidRPr="008F5965">
        <w:rPr>
          <w:rStyle w:val="FootnoteReference"/>
          <w:rFonts w:asciiTheme="minorHAnsi" w:hAnsiTheme="minorHAnsi" w:cstheme="minorHAnsi"/>
          <w:bCs/>
          <w:sz w:val="18"/>
          <w:szCs w:val="18"/>
          <w:vertAlign w:val="baseline"/>
        </w:rPr>
        <w:t>Amongst those that come to mind are the replacement of the grade system in West Sumba by team teaching groups, based on children’s level of proficiency, cluster based facilitators to mentor teachers, mobilisation of student teachers as volunteers for home help with literacy during the school closures.</w:t>
      </w:r>
      <w:r w:rsidRPr="008F5965">
        <w:rPr>
          <w:rFonts w:asciiTheme="minorHAnsi" w:hAnsiTheme="minorHAnsi" w:cstheme="minorHAnsi"/>
          <w:sz w:val="18"/>
          <w:szCs w:val="18"/>
        </w:rPr>
        <w:t xml:space="preserve">  </w:t>
      </w:r>
    </w:p>
  </w:footnote>
  <w:footnote w:id="54">
    <w:p w14:paraId="7F1050BE" w14:textId="4E398FDC" w:rsidR="00EC1345" w:rsidRPr="00204235" w:rsidRDefault="00EC1345" w:rsidP="0010796F">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As identified in the AIPJ2 characterisation of the approach – see Australia Indonesia Partnership for Justice 2, 2022. Localisation and Sustainability Strategy.</w:t>
      </w:r>
    </w:p>
  </w:footnote>
  <w:footnote w:id="55">
    <w:p w14:paraId="7B90BB91" w14:textId="77777777" w:rsidR="002E2FE4" w:rsidRPr="00204235" w:rsidRDefault="002E2FE4" w:rsidP="002E2FE4">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INOVASI Phase 2 - Investment Design update, p 3.</w:t>
      </w:r>
    </w:p>
  </w:footnote>
  <w:footnote w:id="56">
    <w:p w14:paraId="37CED6BC" w14:textId="77777777" w:rsidR="00EC1345" w:rsidRPr="00204235" w:rsidRDefault="00EC1345" w:rsidP="00F4470E">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GEDSI Strategy Update, INOVASI Phase 2. </w:t>
      </w:r>
    </w:p>
  </w:footnote>
  <w:footnote w:id="57">
    <w:p w14:paraId="1510B12F" w14:textId="64E97DC8"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hyperlink r:id="rId5" w:history="1">
        <w:r w:rsidRPr="00C55B1E">
          <w:rPr>
            <w:rStyle w:val="Hyperlink"/>
            <w:rFonts w:eastAsiaTheme="majorEastAsia" w:cstheme="minorHAnsi"/>
            <w:sz w:val="18"/>
            <w:szCs w:val="18"/>
            <w:u w:val="none"/>
          </w:rPr>
          <w:t>DFAT, Gender Equality in Investment Design</w:t>
        </w:r>
      </w:hyperlink>
    </w:p>
  </w:footnote>
  <w:footnote w:id="58">
    <w:p w14:paraId="7625AB9C" w14:textId="0DBC146A" w:rsidR="0010796F" w:rsidRPr="00204235" w:rsidRDefault="00EC1345" w:rsidP="00F4470E">
      <w:pPr>
        <w:pStyle w:val="NormalWeb"/>
        <w:spacing w:before="60" w:beforeAutospacing="0" w:after="60" w:afterAutospacing="0"/>
        <w:rPr>
          <w:rFonts w:asciiTheme="minorHAnsi" w:eastAsiaTheme="minorHAnsi" w:hAnsiTheme="minorHAnsi" w:cstheme="minorHAnsi"/>
          <w:sz w:val="18"/>
          <w:szCs w:val="18"/>
          <w:lang w:eastAsia="en-US"/>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hyperlink r:id="rId6" w:tooltip="Search for more titles by Aruna Rao" w:history="1">
        <w:r w:rsidRPr="00204235">
          <w:rPr>
            <w:rFonts w:asciiTheme="minorHAnsi" w:eastAsiaTheme="minorHAnsi" w:hAnsiTheme="minorHAnsi" w:cstheme="minorHAnsi"/>
            <w:sz w:val="18"/>
            <w:szCs w:val="18"/>
            <w:lang w:eastAsia="en-US"/>
          </w:rPr>
          <w:t xml:space="preserve"> Rao</w:t>
        </w:r>
      </w:hyperlink>
      <w:r w:rsidRPr="00204235">
        <w:rPr>
          <w:rFonts w:asciiTheme="minorHAnsi" w:eastAsiaTheme="minorHAnsi" w:hAnsiTheme="minorHAnsi" w:cstheme="minorHAnsi"/>
          <w:sz w:val="18"/>
          <w:szCs w:val="18"/>
          <w:lang w:eastAsia="en-US"/>
        </w:rPr>
        <w:t xml:space="preserve">, A., </w:t>
      </w:r>
      <w:hyperlink r:id="rId7" w:tooltip="Search for more titles by Joanne Sandler" w:history="1">
        <w:r w:rsidRPr="00204235">
          <w:rPr>
            <w:rFonts w:asciiTheme="minorHAnsi" w:eastAsiaTheme="minorHAnsi" w:hAnsiTheme="minorHAnsi" w:cstheme="minorHAnsi"/>
            <w:sz w:val="18"/>
            <w:szCs w:val="18"/>
            <w:lang w:eastAsia="en-US"/>
          </w:rPr>
          <w:t>Joanne Sandler</w:t>
        </w:r>
      </w:hyperlink>
      <w:r w:rsidRPr="00204235">
        <w:rPr>
          <w:rFonts w:asciiTheme="minorHAnsi" w:eastAsiaTheme="minorHAnsi" w:hAnsiTheme="minorHAnsi" w:cstheme="minorHAnsi"/>
          <w:sz w:val="18"/>
          <w:szCs w:val="18"/>
          <w:lang w:eastAsia="en-US"/>
        </w:rPr>
        <w:t>, </w:t>
      </w:r>
      <w:hyperlink r:id="rId8" w:tooltip="Search for more titles by David Kelleher" w:history="1">
        <w:r w:rsidRPr="00204235">
          <w:rPr>
            <w:rFonts w:asciiTheme="minorHAnsi" w:eastAsiaTheme="minorHAnsi" w:hAnsiTheme="minorHAnsi" w:cstheme="minorHAnsi"/>
            <w:sz w:val="18"/>
            <w:szCs w:val="18"/>
            <w:lang w:eastAsia="en-US"/>
          </w:rPr>
          <w:t>David Kelleher</w:t>
        </w:r>
      </w:hyperlink>
      <w:r w:rsidRPr="00204235">
        <w:rPr>
          <w:rFonts w:asciiTheme="minorHAnsi" w:eastAsiaTheme="minorHAnsi" w:hAnsiTheme="minorHAnsi" w:cstheme="minorHAnsi"/>
          <w:sz w:val="18"/>
          <w:szCs w:val="18"/>
          <w:lang w:eastAsia="en-US"/>
        </w:rPr>
        <w:t>, </w:t>
      </w:r>
      <w:hyperlink r:id="rId9" w:tooltip="Search for more titles by Carol Miller" w:history="1">
        <w:r w:rsidRPr="00204235">
          <w:rPr>
            <w:rFonts w:asciiTheme="minorHAnsi" w:eastAsiaTheme="minorHAnsi" w:hAnsiTheme="minorHAnsi" w:cstheme="minorHAnsi"/>
            <w:sz w:val="18"/>
            <w:szCs w:val="18"/>
            <w:lang w:eastAsia="en-US"/>
          </w:rPr>
          <w:t>Carol Miller</w:t>
        </w:r>
      </w:hyperlink>
      <w:r w:rsidRPr="00204235">
        <w:rPr>
          <w:rFonts w:asciiTheme="minorHAnsi" w:eastAsiaTheme="minorHAnsi" w:hAnsiTheme="minorHAnsi" w:cstheme="minorHAnsi"/>
          <w:sz w:val="18"/>
          <w:szCs w:val="18"/>
          <w:lang w:eastAsia="en-US"/>
        </w:rPr>
        <w:t>, 2016. Gender at Work. Theory and Practice for 21st Century Organizations. Routledge.</w:t>
      </w:r>
    </w:p>
  </w:footnote>
  <w:footnote w:id="59">
    <w:p w14:paraId="4A52BD04" w14:textId="77777777" w:rsidR="00EC1345" w:rsidRPr="00204235" w:rsidRDefault="00EC1345" w:rsidP="00F4470E">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ASEAN Secretariat, 2019. Ending violence against children in ASEAN Member States: Midterm review of priority areas under the ASEAN Regional Plan of Action on the Elimination of Violence against Children 2016-2025, ASEAN</w:t>
      </w:r>
    </w:p>
  </w:footnote>
  <w:footnote w:id="60">
    <w:p w14:paraId="632A24FB" w14:textId="77777777"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The eight National Education Standards for basic education, issued as Ministerial regulations, were originally developed between 2006 and 2008.</w:t>
      </w:r>
    </w:p>
  </w:footnote>
  <w:footnote w:id="61">
    <w:p w14:paraId="62D9ABEA" w14:textId="77777777" w:rsidR="00EC1345" w:rsidRPr="0010796F" w:rsidRDefault="00EC1345" w:rsidP="00F4470E">
      <w:pPr>
        <w:pStyle w:val="NormalWeb"/>
        <w:pBdr>
          <w:top w:val="single" w:sz="4" w:space="1" w:color="auto"/>
        </w:pBdr>
        <w:spacing w:before="60" w:beforeAutospacing="0" w:after="60" w:afterAutospacing="0"/>
        <w:rPr>
          <w:rFonts w:asciiTheme="minorHAnsi" w:hAnsiTheme="minorHAnsi" w:cstheme="minorHAnsi"/>
          <w:sz w:val="18"/>
          <w:szCs w:val="18"/>
        </w:rPr>
      </w:pPr>
      <w:r w:rsidRPr="0010796F">
        <w:rPr>
          <w:rStyle w:val="FootnoteReference"/>
          <w:rFonts w:asciiTheme="minorHAnsi" w:hAnsiTheme="minorHAnsi" w:cstheme="minorHAnsi"/>
          <w:sz w:val="18"/>
          <w:szCs w:val="18"/>
        </w:rPr>
        <w:footnoteRef/>
      </w:r>
      <w:r w:rsidRPr="0010796F">
        <w:rPr>
          <w:rFonts w:asciiTheme="minorHAnsi" w:hAnsiTheme="minorHAnsi" w:cstheme="minorHAnsi"/>
          <w:sz w:val="18"/>
          <w:szCs w:val="18"/>
        </w:rPr>
        <w:t xml:space="preserve"> World Bank. 2020. </w:t>
      </w:r>
      <w:r w:rsidRPr="0010796F">
        <w:rPr>
          <w:rFonts w:asciiTheme="minorHAnsi" w:hAnsiTheme="minorHAnsi" w:cstheme="minorHAnsi"/>
          <w:i/>
          <w:iCs/>
          <w:sz w:val="18"/>
          <w:szCs w:val="18"/>
        </w:rPr>
        <w:t xml:space="preserve">The Promise of Education in Indonesia, </w:t>
      </w:r>
      <w:r w:rsidRPr="0010796F">
        <w:rPr>
          <w:rFonts w:asciiTheme="minorHAnsi" w:hAnsiTheme="minorHAnsi" w:cstheme="minorHAnsi"/>
          <w:sz w:val="18"/>
          <w:szCs w:val="18"/>
        </w:rPr>
        <w:t>p.51.</w:t>
      </w:r>
    </w:p>
  </w:footnote>
  <w:footnote w:id="62">
    <w:p w14:paraId="53A51E14" w14:textId="77777777" w:rsidR="00EC1345" w:rsidRPr="0010796F" w:rsidRDefault="00EC1345" w:rsidP="00F4470E">
      <w:pPr>
        <w:pStyle w:val="NormalWeb"/>
        <w:spacing w:before="60" w:beforeAutospacing="0" w:after="60" w:afterAutospacing="0"/>
        <w:rPr>
          <w:rFonts w:asciiTheme="minorHAnsi" w:hAnsiTheme="minorHAnsi" w:cstheme="minorHAnsi"/>
          <w:sz w:val="18"/>
          <w:szCs w:val="18"/>
        </w:rPr>
      </w:pPr>
      <w:r w:rsidRPr="0010796F">
        <w:rPr>
          <w:rStyle w:val="FootnoteReference"/>
          <w:rFonts w:asciiTheme="minorHAnsi" w:hAnsiTheme="minorHAnsi" w:cstheme="minorHAnsi"/>
          <w:sz w:val="18"/>
          <w:szCs w:val="18"/>
        </w:rPr>
        <w:footnoteRef/>
      </w:r>
      <w:r w:rsidRPr="0010796F">
        <w:rPr>
          <w:rFonts w:asciiTheme="minorHAnsi" w:hAnsiTheme="minorHAnsi" w:cstheme="minorHAnsi"/>
          <w:sz w:val="18"/>
          <w:szCs w:val="18"/>
        </w:rPr>
        <w:t xml:space="preserve"> World Bank. (2020). Indonesia Country Gender Assessment: Investing in Opportunities for Women, p.33. </w:t>
      </w:r>
    </w:p>
  </w:footnote>
  <w:footnote w:id="63">
    <w:p w14:paraId="007FB897" w14:textId="6110441C" w:rsidR="00EC1345" w:rsidRPr="0010796F" w:rsidRDefault="00EC1345" w:rsidP="00F4470E">
      <w:pPr>
        <w:pStyle w:val="BodyText"/>
        <w:spacing w:before="60" w:after="60"/>
        <w:rPr>
          <w:rFonts w:asciiTheme="minorHAnsi" w:hAnsiTheme="minorHAnsi" w:cstheme="minorHAnsi"/>
          <w:sz w:val="18"/>
          <w:szCs w:val="18"/>
        </w:rPr>
      </w:pPr>
      <w:r w:rsidRPr="0010796F">
        <w:rPr>
          <w:rStyle w:val="FootnoteReference"/>
          <w:rFonts w:asciiTheme="minorHAnsi" w:hAnsiTheme="minorHAnsi" w:cstheme="minorHAnsi"/>
          <w:sz w:val="18"/>
          <w:szCs w:val="18"/>
        </w:rPr>
        <w:footnoteRef/>
      </w:r>
      <w:r w:rsidRPr="0010796F">
        <w:rPr>
          <w:rFonts w:asciiTheme="minorHAnsi" w:hAnsiTheme="minorHAnsi" w:cstheme="minorHAnsi"/>
          <w:sz w:val="18"/>
          <w:szCs w:val="18"/>
        </w:rPr>
        <w:t xml:space="preserve"> Nina </w:t>
      </w:r>
      <w:proofErr w:type="spellStart"/>
      <w:r w:rsidRPr="0010796F">
        <w:rPr>
          <w:rFonts w:asciiTheme="minorHAnsi" w:hAnsiTheme="minorHAnsi" w:cstheme="minorHAnsi"/>
          <w:sz w:val="18"/>
          <w:szCs w:val="18"/>
        </w:rPr>
        <w:t>Sardjunani</w:t>
      </w:r>
      <w:proofErr w:type="spellEnd"/>
      <w:r w:rsidRPr="0010796F">
        <w:rPr>
          <w:rFonts w:asciiTheme="minorHAnsi" w:hAnsiTheme="minorHAnsi" w:cstheme="minorHAnsi"/>
          <w:sz w:val="18"/>
          <w:szCs w:val="18"/>
        </w:rPr>
        <w:t>, Deputy Minister, National Development Planning Agency (</w:t>
      </w:r>
      <w:proofErr w:type="spellStart"/>
      <w:r w:rsidRPr="0010796F">
        <w:rPr>
          <w:rFonts w:asciiTheme="minorHAnsi" w:hAnsiTheme="minorHAnsi" w:cstheme="minorHAnsi"/>
          <w:sz w:val="18"/>
          <w:szCs w:val="18"/>
        </w:rPr>
        <w:t>Bappenas</w:t>
      </w:r>
      <w:proofErr w:type="spellEnd"/>
      <w:r w:rsidRPr="0010796F">
        <w:rPr>
          <w:rFonts w:asciiTheme="minorHAnsi" w:hAnsiTheme="minorHAnsi" w:cstheme="minorHAnsi"/>
          <w:sz w:val="18"/>
          <w:szCs w:val="18"/>
        </w:rPr>
        <w:t>), cited in Analytical and Capacity Development Partnership (ACDP), 2013. Gender Equality in Education in Indonesia. Policy Brief.</w:t>
      </w:r>
    </w:p>
  </w:footnote>
  <w:footnote w:id="64">
    <w:p w14:paraId="3ED92BBB" w14:textId="77777777" w:rsidR="00EC1345" w:rsidRPr="0010796F" w:rsidRDefault="00EC1345" w:rsidP="00F4470E">
      <w:pPr>
        <w:pStyle w:val="FootnoteText"/>
        <w:spacing w:after="60" w:line="240" w:lineRule="auto"/>
        <w:rPr>
          <w:rFonts w:asciiTheme="minorHAnsi" w:hAnsiTheme="minorHAnsi" w:cstheme="minorHAnsi"/>
          <w:sz w:val="18"/>
          <w:szCs w:val="18"/>
        </w:rPr>
      </w:pPr>
      <w:r w:rsidRPr="0010796F">
        <w:rPr>
          <w:rStyle w:val="FootnoteReference"/>
          <w:rFonts w:asciiTheme="minorHAnsi" w:hAnsiTheme="minorHAnsi" w:cstheme="minorHAnsi"/>
          <w:sz w:val="18"/>
          <w:szCs w:val="18"/>
        </w:rPr>
        <w:footnoteRef/>
      </w:r>
      <w:r w:rsidRPr="0010796F">
        <w:rPr>
          <w:rFonts w:asciiTheme="minorHAnsi" w:hAnsiTheme="minorHAnsi" w:cstheme="minorHAnsi"/>
          <w:sz w:val="18"/>
          <w:szCs w:val="18"/>
        </w:rPr>
        <w:t xml:space="preserve"> </w:t>
      </w:r>
      <w:r w:rsidRPr="0010796F">
        <w:rPr>
          <w:rFonts w:asciiTheme="minorHAnsi" w:hAnsiTheme="minorHAnsi" w:cstheme="minorHAnsi"/>
          <w:color w:val="000000" w:themeColor="text1"/>
          <w:sz w:val="18"/>
          <w:szCs w:val="18"/>
        </w:rPr>
        <w:t>United Nations Development Programme (UNDP) 2021/22 Gender Equality Index</w:t>
      </w:r>
    </w:p>
  </w:footnote>
  <w:footnote w:id="65">
    <w:p w14:paraId="2C6F8B97" w14:textId="77777777" w:rsidR="00EC1345" w:rsidRPr="0010796F" w:rsidRDefault="00EC1345" w:rsidP="00F4470E">
      <w:pPr>
        <w:pStyle w:val="FootnoteText"/>
        <w:spacing w:after="60" w:line="240" w:lineRule="auto"/>
        <w:rPr>
          <w:rFonts w:asciiTheme="minorHAnsi" w:hAnsiTheme="minorHAnsi" w:cstheme="minorHAnsi"/>
          <w:sz w:val="18"/>
          <w:szCs w:val="18"/>
        </w:rPr>
      </w:pPr>
      <w:r w:rsidRPr="0010796F">
        <w:rPr>
          <w:rStyle w:val="FootnoteReference"/>
          <w:rFonts w:asciiTheme="minorHAnsi" w:hAnsiTheme="minorHAnsi" w:cstheme="minorHAnsi"/>
          <w:sz w:val="18"/>
          <w:szCs w:val="18"/>
        </w:rPr>
        <w:footnoteRef/>
      </w:r>
      <w:r w:rsidRPr="0010796F">
        <w:rPr>
          <w:rFonts w:asciiTheme="minorHAnsi" w:hAnsiTheme="minorHAnsi" w:cstheme="minorHAnsi"/>
          <w:sz w:val="18"/>
          <w:szCs w:val="18"/>
        </w:rPr>
        <w:t xml:space="preserve"> Asian Development Bank, 2021. A Diagnostic Study of the Civil Service in Indonesia, p.29.</w:t>
      </w:r>
    </w:p>
  </w:footnote>
  <w:footnote w:id="66">
    <w:p w14:paraId="4E4AD8F3" w14:textId="77777777" w:rsidR="00EC1345" w:rsidRPr="0010796F" w:rsidRDefault="00EC1345" w:rsidP="00F4470E">
      <w:pPr>
        <w:pStyle w:val="FootnoteText"/>
        <w:spacing w:after="60" w:line="240" w:lineRule="auto"/>
        <w:rPr>
          <w:rFonts w:asciiTheme="minorHAnsi" w:hAnsiTheme="minorHAnsi" w:cstheme="minorHAnsi"/>
          <w:sz w:val="18"/>
          <w:szCs w:val="18"/>
        </w:rPr>
      </w:pPr>
      <w:r w:rsidRPr="0010796F">
        <w:rPr>
          <w:rStyle w:val="FootnoteReference"/>
          <w:rFonts w:asciiTheme="minorHAnsi" w:hAnsiTheme="minorHAnsi" w:cstheme="minorHAnsi"/>
          <w:sz w:val="18"/>
          <w:szCs w:val="18"/>
        </w:rPr>
        <w:footnoteRef/>
      </w:r>
      <w:r w:rsidRPr="0010796F">
        <w:rPr>
          <w:rFonts w:asciiTheme="minorHAnsi" w:hAnsiTheme="minorHAnsi" w:cstheme="minorHAnsi"/>
          <w:sz w:val="18"/>
          <w:szCs w:val="18"/>
        </w:rPr>
        <w:t xml:space="preserve"> Law on State Civil Administration (Law No. 5, 2014)</w:t>
      </w:r>
    </w:p>
  </w:footnote>
  <w:footnote w:id="67">
    <w:p w14:paraId="2871CBDA" w14:textId="77777777" w:rsidR="00EC1345" w:rsidRPr="0010796F" w:rsidRDefault="00EC1345" w:rsidP="00F4470E">
      <w:pPr>
        <w:pStyle w:val="NormalWeb"/>
        <w:spacing w:before="60" w:beforeAutospacing="0" w:after="60" w:afterAutospacing="0"/>
        <w:rPr>
          <w:rFonts w:asciiTheme="minorHAnsi" w:hAnsiTheme="minorHAnsi" w:cstheme="minorHAnsi"/>
          <w:sz w:val="18"/>
          <w:szCs w:val="18"/>
        </w:rPr>
      </w:pPr>
      <w:r w:rsidRPr="0010796F">
        <w:rPr>
          <w:rStyle w:val="FootnoteReference"/>
          <w:rFonts w:asciiTheme="minorHAnsi" w:hAnsiTheme="minorHAnsi" w:cstheme="minorHAnsi"/>
          <w:sz w:val="18"/>
          <w:szCs w:val="18"/>
        </w:rPr>
        <w:footnoteRef/>
      </w:r>
      <w:r w:rsidRPr="0010796F">
        <w:rPr>
          <w:rFonts w:asciiTheme="minorHAnsi" w:hAnsiTheme="minorHAnsi" w:cstheme="minorHAnsi"/>
          <w:sz w:val="18"/>
          <w:szCs w:val="18"/>
        </w:rPr>
        <w:t xml:space="preserve"> World Bank, 2020. Indonesia Country Gender Assessment: Investing in Opportunities for Women, p.36. </w:t>
      </w:r>
    </w:p>
  </w:footnote>
  <w:footnote w:id="68">
    <w:p w14:paraId="30A6416A" w14:textId="77777777" w:rsidR="00EC1345" w:rsidRPr="0010796F" w:rsidRDefault="00EC1345" w:rsidP="00F4470E">
      <w:pPr>
        <w:pStyle w:val="FootnoteText"/>
        <w:spacing w:after="60" w:line="240" w:lineRule="auto"/>
        <w:rPr>
          <w:rFonts w:asciiTheme="minorHAnsi" w:hAnsiTheme="minorHAnsi" w:cstheme="minorHAnsi"/>
          <w:sz w:val="18"/>
          <w:szCs w:val="18"/>
        </w:rPr>
      </w:pPr>
      <w:r w:rsidRPr="0010796F">
        <w:rPr>
          <w:rStyle w:val="FootnoteReference"/>
          <w:rFonts w:asciiTheme="minorHAnsi" w:hAnsiTheme="minorHAnsi" w:cstheme="minorHAnsi"/>
          <w:sz w:val="18"/>
          <w:szCs w:val="18"/>
        </w:rPr>
        <w:footnoteRef/>
      </w:r>
      <w:r w:rsidRPr="0010796F">
        <w:rPr>
          <w:rFonts w:asciiTheme="minorHAnsi" w:hAnsiTheme="minorHAnsi" w:cstheme="minorHAnsi"/>
          <w:sz w:val="18"/>
          <w:szCs w:val="18"/>
        </w:rPr>
        <w:t xml:space="preserve"> Badan Pusat </w:t>
      </w:r>
      <w:proofErr w:type="spellStart"/>
      <w:r w:rsidRPr="0010796F">
        <w:rPr>
          <w:rFonts w:asciiTheme="minorHAnsi" w:hAnsiTheme="minorHAnsi" w:cstheme="minorHAnsi"/>
          <w:sz w:val="18"/>
          <w:szCs w:val="18"/>
        </w:rPr>
        <w:t>Statistik</w:t>
      </w:r>
      <w:proofErr w:type="spellEnd"/>
      <w:r w:rsidRPr="0010796F">
        <w:rPr>
          <w:rFonts w:asciiTheme="minorHAnsi" w:hAnsiTheme="minorHAnsi" w:cstheme="minorHAnsi"/>
          <w:sz w:val="18"/>
          <w:szCs w:val="18"/>
        </w:rPr>
        <w:t>, 2022. National Economic Survey</w:t>
      </w:r>
    </w:p>
  </w:footnote>
  <w:footnote w:id="69">
    <w:p w14:paraId="75284377" w14:textId="77777777" w:rsidR="00EC1345" w:rsidRPr="0010796F" w:rsidRDefault="00EC1345" w:rsidP="00F4470E">
      <w:pPr>
        <w:pStyle w:val="FootnoteText"/>
        <w:spacing w:after="60" w:line="240" w:lineRule="auto"/>
        <w:rPr>
          <w:rFonts w:asciiTheme="minorHAnsi" w:hAnsiTheme="minorHAnsi" w:cstheme="minorHAnsi"/>
          <w:sz w:val="18"/>
          <w:szCs w:val="18"/>
        </w:rPr>
      </w:pPr>
      <w:r w:rsidRPr="0010796F">
        <w:rPr>
          <w:rStyle w:val="FootnoteReference"/>
          <w:rFonts w:asciiTheme="minorHAnsi" w:hAnsiTheme="minorHAnsi" w:cstheme="minorHAnsi"/>
          <w:sz w:val="18"/>
          <w:szCs w:val="18"/>
        </w:rPr>
        <w:footnoteRef/>
      </w:r>
      <w:r w:rsidRPr="0010796F">
        <w:rPr>
          <w:rFonts w:asciiTheme="minorHAnsi" w:hAnsiTheme="minorHAnsi" w:cstheme="minorHAnsi"/>
          <w:sz w:val="18"/>
          <w:szCs w:val="18"/>
        </w:rPr>
        <w:t xml:space="preserve"> World Bank, 2020. Indonesia Country Gender Assessment: Investing in Opportunities for Women, p.49.</w:t>
      </w:r>
    </w:p>
  </w:footnote>
  <w:footnote w:id="70">
    <w:p w14:paraId="24B122C5" w14:textId="77777777" w:rsidR="00EC1345" w:rsidRPr="00204235" w:rsidRDefault="00EC1345" w:rsidP="00F4470E">
      <w:pPr>
        <w:pStyle w:val="FootnoteText"/>
        <w:spacing w:after="60" w:line="240" w:lineRule="auto"/>
        <w:rPr>
          <w:rFonts w:asciiTheme="minorHAnsi" w:hAnsiTheme="minorHAnsi" w:cstheme="minorHAnsi"/>
          <w:sz w:val="18"/>
          <w:szCs w:val="18"/>
        </w:rPr>
      </w:pPr>
      <w:r w:rsidRPr="0010796F">
        <w:rPr>
          <w:rStyle w:val="FootnoteReference"/>
          <w:rFonts w:asciiTheme="minorHAnsi" w:hAnsiTheme="minorHAnsi" w:cstheme="minorHAnsi"/>
          <w:sz w:val="18"/>
          <w:szCs w:val="18"/>
        </w:rPr>
        <w:footnoteRef/>
      </w:r>
      <w:r w:rsidRPr="0010796F">
        <w:rPr>
          <w:rFonts w:asciiTheme="minorHAnsi" w:hAnsiTheme="minorHAnsi" w:cstheme="minorHAnsi"/>
          <w:sz w:val="18"/>
          <w:szCs w:val="18"/>
        </w:rPr>
        <w:t xml:space="preserve"> Interview with Fitria Villa, chair of PEKKA, 2 June 2023.</w:t>
      </w:r>
    </w:p>
  </w:footnote>
  <w:footnote w:id="71">
    <w:p w14:paraId="3A8FA0D4" w14:textId="77777777" w:rsidR="00EC1345" w:rsidRPr="00204235" w:rsidRDefault="00EC1345" w:rsidP="00F4470E">
      <w:pPr>
        <w:pBdr>
          <w:top w:val="single" w:sz="4" w:space="1" w:color="auto"/>
        </w:pBdr>
        <w:spacing w:before="60" w:after="60"/>
        <w:rPr>
          <w:rFonts w:asciiTheme="minorHAnsi" w:hAnsiTheme="minorHAnsi" w:cstheme="minorHAnsi"/>
          <w:sz w:val="18"/>
          <w:szCs w:val="18"/>
        </w:rPr>
      </w:pPr>
      <w:r w:rsidRPr="00204235">
        <w:rPr>
          <w:rFonts w:asciiTheme="minorHAnsi" w:hAnsiTheme="minorHAnsi" w:cstheme="minorHAnsi"/>
          <w:sz w:val="18"/>
          <w:szCs w:val="18"/>
          <w:vertAlign w:val="superscript"/>
        </w:rPr>
        <w:footnoteRef/>
      </w:r>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Rythia</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Afkar</w:t>
      </w:r>
      <w:proofErr w:type="spellEnd"/>
      <w:r w:rsidRPr="00204235">
        <w:rPr>
          <w:rFonts w:asciiTheme="minorHAnsi" w:hAnsiTheme="minorHAnsi" w:cstheme="minorHAnsi"/>
          <w:sz w:val="18"/>
          <w:szCs w:val="18"/>
        </w:rPr>
        <w:t xml:space="preserve">, Noah Yarrow, </w:t>
      </w:r>
      <w:proofErr w:type="spellStart"/>
      <w:r w:rsidRPr="00204235">
        <w:rPr>
          <w:rFonts w:asciiTheme="minorHAnsi" w:hAnsiTheme="minorHAnsi" w:cstheme="minorHAnsi"/>
          <w:sz w:val="18"/>
          <w:szCs w:val="18"/>
        </w:rPr>
        <w:t>Soedarti</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Surbakti</w:t>
      </w:r>
      <w:proofErr w:type="spellEnd"/>
      <w:r w:rsidRPr="00204235">
        <w:rPr>
          <w:rFonts w:asciiTheme="minorHAnsi" w:hAnsiTheme="minorHAnsi" w:cstheme="minorHAnsi"/>
          <w:sz w:val="18"/>
          <w:szCs w:val="18"/>
        </w:rPr>
        <w:t xml:space="preserve">, Rachel Cooper, 2020.  Inclusion in Indonesia’s Education Sector. A Subnational Review of Gender Gaps and Children with Disabilities. Policy Research Working Paper, World Bank Group, p.19. </w:t>
      </w:r>
    </w:p>
  </w:footnote>
  <w:footnote w:id="72">
    <w:p w14:paraId="3319C6E0" w14:textId="44950E07"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0010796F">
        <w:rPr>
          <w:rFonts w:asciiTheme="minorHAnsi" w:hAnsiTheme="minorHAnsi" w:cstheme="minorHAnsi"/>
          <w:sz w:val="18"/>
          <w:szCs w:val="18"/>
        </w:rPr>
        <w:t xml:space="preserve"> </w:t>
      </w:r>
      <w:r w:rsidRPr="00204235">
        <w:rPr>
          <w:rFonts w:asciiTheme="minorHAnsi" w:hAnsiTheme="minorHAnsi" w:cstheme="minorHAnsi"/>
          <w:sz w:val="18"/>
          <w:szCs w:val="18"/>
        </w:rPr>
        <w:t xml:space="preserve">Cakra </w:t>
      </w:r>
      <w:proofErr w:type="spellStart"/>
      <w:r w:rsidRPr="00204235">
        <w:rPr>
          <w:rFonts w:asciiTheme="minorHAnsi" w:hAnsiTheme="minorHAnsi" w:cstheme="minorHAnsi"/>
          <w:sz w:val="18"/>
          <w:szCs w:val="18"/>
        </w:rPr>
        <w:t>Wikara</w:t>
      </w:r>
      <w:proofErr w:type="spellEnd"/>
      <w:r w:rsidRPr="00204235">
        <w:rPr>
          <w:rFonts w:asciiTheme="minorHAnsi" w:hAnsiTheme="minorHAnsi" w:cstheme="minorHAnsi"/>
          <w:sz w:val="18"/>
          <w:szCs w:val="18"/>
        </w:rPr>
        <w:t xml:space="preserve"> Institute </w:t>
      </w:r>
      <w:hyperlink r:id="rId10" w:history="1">
        <w:r w:rsidRPr="00204235">
          <w:rPr>
            <w:rStyle w:val="Hyperlink"/>
            <w:rFonts w:eastAsiaTheme="majorEastAsia" w:cstheme="minorHAnsi"/>
            <w:color w:val="0563C1"/>
            <w:sz w:val="18"/>
            <w:szCs w:val="18"/>
          </w:rPr>
          <w:t>https://cakrawikara.id/publikasi/artikel/berbagai-faktor-kultural-hambat-perempuan-jadi-kepala-sekolah-sekadar-regulasi-yang-netral-gender-tak-cukup-jadi-solusi/</w:t>
        </w:r>
      </w:hyperlink>
    </w:p>
  </w:footnote>
  <w:footnote w:id="73">
    <w:p w14:paraId="7EEF3B64" w14:textId="5331A9B9"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0010796F">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Ardiansa</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Dirga</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Yudo</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Rahmadiyansyah</w:t>
      </w:r>
      <w:proofErr w:type="spellEnd"/>
      <w:r w:rsidRPr="00204235">
        <w:rPr>
          <w:rFonts w:asciiTheme="minorHAnsi" w:hAnsiTheme="minorHAnsi" w:cstheme="minorHAnsi"/>
          <w:sz w:val="18"/>
          <w:szCs w:val="18"/>
        </w:rPr>
        <w:t xml:space="preserve">, Mia </w:t>
      </w:r>
      <w:proofErr w:type="spellStart"/>
      <w:r w:rsidRPr="00204235">
        <w:rPr>
          <w:rFonts w:asciiTheme="minorHAnsi" w:hAnsiTheme="minorHAnsi" w:cstheme="minorHAnsi"/>
          <w:sz w:val="18"/>
          <w:szCs w:val="18"/>
        </w:rPr>
        <w:t>Novitasari</w:t>
      </w:r>
      <w:proofErr w:type="spellEnd"/>
      <w:r w:rsidRPr="00204235">
        <w:rPr>
          <w:rFonts w:asciiTheme="minorHAnsi" w:hAnsiTheme="minorHAnsi" w:cstheme="minorHAnsi"/>
          <w:sz w:val="18"/>
          <w:szCs w:val="18"/>
        </w:rPr>
        <w:t xml:space="preserve">, 2023. </w:t>
      </w:r>
      <w:hyperlink r:id="rId11" w:history="1">
        <w:proofErr w:type="spellStart"/>
        <w:r w:rsidRPr="00204235">
          <w:rPr>
            <w:rStyle w:val="Hyperlink"/>
            <w:rFonts w:eastAsiaTheme="majorEastAsia" w:cstheme="minorHAnsi"/>
            <w:sz w:val="18"/>
            <w:szCs w:val="18"/>
          </w:rPr>
          <w:t>Studi</w:t>
        </w:r>
        <w:proofErr w:type="spellEnd"/>
        <w:r w:rsidRPr="00204235">
          <w:rPr>
            <w:rStyle w:val="Hyperlink"/>
            <w:rFonts w:eastAsiaTheme="majorEastAsia" w:cstheme="minorHAnsi"/>
            <w:sz w:val="18"/>
            <w:szCs w:val="18"/>
          </w:rPr>
          <w:t xml:space="preserve"> </w:t>
        </w:r>
        <w:proofErr w:type="spellStart"/>
        <w:r w:rsidRPr="00204235">
          <w:rPr>
            <w:rStyle w:val="Hyperlink"/>
            <w:rFonts w:eastAsiaTheme="majorEastAsia" w:cstheme="minorHAnsi"/>
            <w:sz w:val="18"/>
            <w:szCs w:val="18"/>
          </w:rPr>
          <w:t>Persepsi</w:t>
        </w:r>
        <w:proofErr w:type="spellEnd"/>
        <w:r w:rsidRPr="00204235">
          <w:rPr>
            <w:rStyle w:val="Hyperlink"/>
            <w:rFonts w:eastAsiaTheme="majorEastAsia" w:cstheme="minorHAnsi"/>
            <w:sz w:val="18"/>
            <w:szCs w:val="18"/>
          </w:rPr>
          <w:t xml:space="preserve"> Guru </w:t>
        </w:r>
        <w:proofErr w:type="spellStart"/>
        <w:r w:rsidRPr="00204235">
          <w:rPr>
            <w:rStyle w:val="Hyperlink"/>
            <w:rFonts w:eastAsiaTheme="majorEastAsia" w:cstheme="minorHAnsi"/>
            <w:sz w:val="18"/>
            <w:szCs w:val="18"/>
          </w:rPr>
          <w:t>Tentang</w:t>
        </w:r>
        <w:proofErr w:type="spellEnd"/>
        <w:r w:rsidRPr="00204235">
          <w:rPr>
            <w:rStyle w:val="Hyperlink"/>
            <w:rFonts w:eastAsiaTheme="majorEastAsia" w:cstheme="minorHAnsi"/>
            <w:sz w:val="18"/>
            <w:szCs w:val="18"/>
          </w:rPr>
          <w:t xml:space="preserve"> Norma Gender </w:t>
        </w:r>
        <w:proofErr w:type="spellStart"/>
        <w:r w:rsidRPr="00204235">
          <w:rPr>
            <w:rStyle w:val="Hyperlink"/>
            <w:rFonts w:eastAsiaTheme="majorEastAsia" w:cstheme="minorHAnsi"/>
            <w:sz w:val="18"/>
            <w:szCs w:val="18"/>
          </w:rPr>
          <w:t>dalam</w:t>
        </w:r>
        <w:proofErr w:type="spellEnd"/>
        <w:r w:rsidRPr="00204235">
          <w:rPr>
            <w:rStyle w:val="Hyperlink"/>
            <w:rFonts w:eastAsiaTheme="majorEastAsia" w:cstheme="minorHAnsi"/>
            <w:sz w:val="18"/>
            <w:szCs w:val="18"/>
          </w:rPr>
          <w:t xml:space="preserve"> </w:t>
        </w:r>
        <w:proofErr w:type="spellStart"/>
        <w:r w:rsidRPr="00204235">
          <w:rPr>
            <w:rStyle w:val="Hyperlink"/>
            <w:rFonts w:eastAsiaTheme="majorEastAsia" w:cstheme="minorHAnsi"/>
            <w:sz w:val="18"/>
            <w:szCs w:val="18"/>
          </w:rPr>
          <w:t>Kepemimpinan</w:t>
        </w:r>
        <w:proofErr w:type="spellEnd"/>
        <w:r w:rsidRPr="00204235">
          <w:rPr>
            <w:rStyle w:val="Hyperlink"/>
            <w:rFonts w:eastAsiaTheme="majorEastAsia" w:cstheme="minorHAnsi"/>
            <w:sz w:val="18"/>
            <w:szCs w:val="18"/>
          </w:rPr>
          <w:t xml:space="preserve"> Kepala </w:t>
        </w:r>
        <w:proofErr w:type="spellStart"/>
        <w:r w:rsidRPr="00204235">
          <w:rPr>
            <w:rStyle w:val="Hyperlink"/>
            <w:rFonts w:eastAsiaTheme="majorEastAsia" w:cstheme="minorHAnsi"/>
            <w:sz w:val="18"/>
            <w:szCs w:val="18"/>
          </w:rPr>
          <w:t>Sekolah</w:t>
        </w:r>
        <w:proofErr w:type="spellEnd"/>
        <w:r w:rsidRPr="00204235">
          <w:rPr>
            <w:rStyle w:val="Hyperlink"/>
            <w:rFonts w:eastAsiaTheme="majorEastAsia" w:cstheme="minorHAnsi"/>
            <w:sz w:val="18"/>
            <w:szCs w:val="18"/>
          </w:rPr>
          <w:t xml:space="preserve"> Perempuan</w:t>
        </w:r>
      </w:hyperlink>
    </w:p>
  </w:footnote>
  <w:footnote w:id="74">
    <w:p w14:paraId="3AC65820" w14:textId="77777777"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April/May Data Collection for INOVASI, Phase 3 design.</w:t>
      </w:r>
    </w:p>
  </w:footnote>
  <w:footnote w:id="75">
    <w:p w14:paraId="662F9392" w14:textId="70B2FE99"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Ardiansa</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Dirga</w:t>
      </w:r>
      <w:proofErr w:type="spellEnd"/>
      <w:r w:rsidRPr="00204235">
        <w:rPr>
          <w:rFonts w:asciiTheme="minorHAnsi" w:hAnsiTheme="minorHAnsi" w:cstheme="minorHAnsi"/>
          <w:sz w:val="18"/>
          <w:szCs w:val="18"/>
        </w:rPr>
        <w:t xml:space="preserve"> et al., 2023, PKK or </w:t>
      </w:r>
      <w:proofErr w:type="spellStart"/>
      <w:r w:rsidRPr="00204235">
        <w:rPr>
          <w:rFonts w:asciiTheme="minorHAnsi" w:hAnsiTheme="minorHAnsi" w:cstheme="minorHAnsi"/>
          <w:sz w:val="18"/>
          <w:szCs w:val="18"/>
        </w:rPr>
        <w:t>Pembinaan</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Kesejahteraan</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Keluarga</w:t>
      </w:r>
      <w:proofErr w:type="spellEnd"/>
      <w:r w:rsidRPr="00204235">
        <w:rPr>
          <w:rFonts w:asciiTheme="minorHAnsi" w:hAnsiTheme="minorHAnsi" w:cstheme="minorHAnsi"/>
          <w:sz w:val="18"/>
          <w:szCs w:val="18"/>
        </w:rPr>
        <w:t xml:space="preserve"> (Fostering Family Welfare) is a semi-governmental community organization that assists government at the village/ward level in enhancing family welfare. One of PKK’s activities is operating </w:t>
      </w:r>
      <w:proofErr w:type="spellStart"/>
      <w:r w:rsidRPr="00204235">
        <w:rPr>
          <w:rFonts w:asciiTheme="minorHAnsi" w:hAnsiTheme="minorHAnsi" w:cstheme="minorHAnsi"/>
          <w:sz w:val="18"/>
          <w:szCs w:val="18"/>
        </w:rPr>
        <w:t>Posyandu</w:t>
      </w:r>
      <w:proofErr w:type="spellEnd"/>
      <w:r w:rsidRPr="00204235">
        <w:rPr>
          <w:rFonts w:asciiTheme="minorHAnsi" w:hAnsiTheme="minorHAnsi" w:cstheme="minorHAnsi"/>
          <w:sz w:val="18"/>
          <w:szCs w:val="18"/>
        </w:rPr>
        <w:t xml:space="preserve"> (Pos </w:t>
      </w:r>
      <w:proofErr w:type="spellStart"/>
      <w:r w:rsidRPr="00204235">
        <w:rPr>
          <w:rFonts w:asciiTheme="minorHAnsi" w:hAnsiTheme="minorHAnsi" w:cstheme="minorHAnsi"/>
          <w:sz w:val="18"/>
          <w:szCs w:val="18"/>
        </w:rPr>
        <w:t>pelayanan</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terpadu</w:t>
      </w:r>
      <w:proofErr w:type="spellEnd"/>
      <w:r w:rsidRPr="00204235">
        <w:rPr>
          <w:rFonts w:asciiTheme="minorHAnsi" w:hAnsiTheme="minorHAnsi" w:cstheme="minorHAnsi"/>
          <w:sz w:val="18"/>
          <w:szCs w:val="18"/>
        </w:rPr>
        <w:t>, Integrated Service Posts) which routinely conduct monitoring of pregnant mothers and children under five.</w:t>
      </w:r>
    </w:p>
  </w:footnote>
  <w:footnote w:id="76">
    <w:p w14:paraId="4A3D40F9" w14:textId="77777777"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April/May Data Collection for INOVASI Phase 3 design.</w:t>
      </w:r>
    </w:p>
  </w:footnote>
  <w:footnote w:id="77">
    <w:p w14:paraId="2AF270BE" w14:textId="77777777"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April/May Data collection for Forum </w:t>
      </w:r>
      <w:proofErr w:type="spellStart"/>
      <w:r w:rsidRPr="00204235">
        <w:rPr>
          <w:rFonts w:asciiTheme="minorHAnsi" w:hAnsiTheme="minorHAnsi" w:cstheme="minorHAnsi"/>
          <w:sz w:val="18"/>
          <w:szCs w:val="18"/>
        </w:rPr>
        <w:t>Pendidik</w:t>
      </w:r>
      <w:proofErr w:type="spellEnd"/>
      <w:r w:rsidRPr="00204235">
        <w:rPr>
          <w:rFonts w:asciiTheme="minorHAnsi" w:hAnsiTheme="minorHAnsi" w:cstheme="minorHAnsi"/>
          <w:sz w:val="18"/>
          <w:szCs w:val="18"/>
        </w:rPr>
        <w:t xml:space="preserve"> Madrasah </w:t>
      </w:r>
      <w:proofErr w:type="spellStart"/>
      <w:r w:rsidRPr="00204235">
        <w:rPr>
          <w:rFonts w:asciiTheme="minorHAnsi" w:hAnsiTheme="minorHAnsi" w:cstheme="minorHAnsi"/>
          <w:sz w:val="18"/>
          <w:szCs w:val="18"/>
        </w:rPr>
        <w:t>Inklusi</w:t>
      </w:r>
      <w:proofErr w:type="spellEnd"/>
      <w:r w:rsidRPr="00204235">
        <w:rPr>
          <w:rFonts w:asciiTheme="minorHAnsi" w:hAnsiTheme="minorHAnsi" w:cstheme="minorHAnsi"/>
          <w:sz w:val="18"/>
          <w:szCs w:val="18"/>
        </w:rPr>
        <w:t xml:space="preserve"> and interview with groups of teachers and principals in North Kalimantan.</w:t>
      </w:r>
    </w:p>
  </w:footnote>
  <w:footnote w:id="78">
    <w:p w14:paraId="31DBEC29" w14:textId="77777777" w:rsidR="00EC1345" w:rsidRPr="00204235" w:rsidRDefault="00EC1345" w:rsidP="00F4470E">
      <w:pPr>
        <w:pBdr>
          <w:top w:val="single" w:sz="4" w:space="1" w:color="auto"/>
        </w:pBdr>
        <w:spacing w:before="60" w:after="60"/>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Rumah</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KitaB</w:t>
      </w:r>
      <w:proofErr w:type="spellEnd"/>
      <w:r w:rsidRPr="00204235">
        <w:rPr>
          <w:rFonts w:asciiTheme="minorHAnsi" w:hAnsiTheme="minorHAnsi" w:cstheme="minorHAnsi"/>
          <w:sz w:val="18"/>
          <w:szCs w:val="18"/>
        </w:rPr>
        <w:t xml:space="preserve">, 2021.  </w:t>
      </w:r>
      <w:proofErr w:type="spellStart"/>
      <w:r w:rsidRPr="00204235">
        <w:rPr>
          <w:rFonts w:asciiTheme="minorHAnsi" w:hAnsiTheme="minorHAnsi" w:cstheme="minorHAnsi"/>
          <w:i/>
          <w:iCs/>
          <w:sz w:val="18"/>
          <w:szCs w:val="18"/>
        </w:rPr>
        <w:t>Fikih</w:t>
      </w:r>
      <w:proofErr w:type="spellEnd"/>
      <w:r w:rsidRPr="00204235">
        <w:rPr>
          <w:rFonts w:asciiTheme="minorHAnsi" w:hAnsiTheme="minorHAnsi" w:cstheme="minorHAnsi"/>
          <w:i/>
          <w:iCs/>
          <w:sz w:val="18"/>
          <w:szCs w:val="18"/>
        </w:rPr>
        <w:t xml:space="preserve"> Perempuan </w:t>
      </w:r>
      <w:proofErr w:type="spellStart"/>
      <w:r w:rsidRPr="00204235">
        <w:rPr>
          <w:rFonts w:asciiTheme="minorHAnsi" w:hAnsiTheme="minorHAnsi" w:cstheme="minorHAnsi"/>
          <w:i/>
          <w:iCs/>
          <w:sz w:val="18"/>
          <w:szCs w:val="18"/>
        </w:rPr>
        <w:t>Bekerja</w:t>
      </w:r>
      <w:proofErr w:type="spellEnd"/>
      <w:r w:rsidRPr="00204235">
        <w:rPr>
          <w:rFonts w:asciiTheme="minorHAnsi" w:hAnsiTheme="minorHAnsi" w:cstheme="minorHAnsi"/>
          <w:sz w:val="18"/>
          <w:szCs w:val="18"/>
        </w:rPr>
        <w:t xml:space="preserve"> (Fiqh on Working Women), Jakarta: </w:t>
      </w:r>
      <w:proofErr w:type="spellStart"/>
      <w:r w:rsidRPr="00204235">
        <w:rPr>
          <w:rFonts w:asciiTheme="minorHAnsi" w:hAnsiTheme="minorHAnsi" w:cstheme="minorHAnsi"/>
          <w:sz w:val="18"/>
          <w:szCs w:val="18"/>
        </w:rPr>
        <w:t>Afkaruna</w:t>
      </w:r>
      <w:proofErr w:type="spellEnd"/>
    </w:p>
  </w:footnote>
  <w:footnote w:id="79">
    <w:p w14:paraId="5CFFB124" w14:textId="77777777"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April/May Data collection for Forum </w:t>
      </w:r>
      <w:proofErr w:type="spellStart"/>
      <w:r w:rsidRPr="00204235">
        <w:rPr>
          <w:rFonts w:asciiTheme="minorHAnsi" w:hAnsiTheme="minorHAnsi" w:cstheme="minorHAnsi"/>
          <w:sz w:val="18"/>
          <w:szCs w:val="18"/>
        </w:rPr>
        <w:t>Pendidik</w:t>
      </w:r>
      <w:proofErr w:type="spellEnd"/>
      <w:r w:rsidRPr="00204235">
        <w:rPr>
          <w:rFonts w:asciiTheme="minorHAnsi" w:hAnsiTheme="minorHAnsi" w:cstheme="minorHAnsi"/>
          <w:sz w:val="18"/>
          <w:szCs w:val="18"/>
        </w:rPr>
        <w:t xml:space="preserve"> Madrasah </w:t>
      </w:r>
      <w:proofErr w:type="spellStart"/>
      <w:r w:rsidRPr="00204235">
        <w:rPr>
          <w:rFonts w:asciiTheme="minorHAnsi" w:hAnsiTheme="minorHAnsi" w:cstheme="minorHAnsi"/>
          <w:sz w:val="18"/>
          <w:szCs w:val="18"/>
        </w:rPr>
        <w:t>Inklusi</w:t>
      </w:r>
      <w:proofErr w:type="spellEnd"/>
      <w:r w:rsidRPr="00204235">
        <w:rPr>
          <w:rFonts w:asciiTheme="minorHAnsi" w:hAnsiTheme="minorHAnsi" w:cstheme="minorHAnsi"/>
          <w:sz w:val="18"/>
          <w:szCs w:val="18"/>
        </w:rPr>
        <w:t>.</w:t>
      </w:r>
    </w:p>
  </w:footnote>
  <w:footnote w:id="80">
    <w:p w14:paraId="583BA085" w14:textId="77777777"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Primary data collection, INOVASI Phase 3 Design.</w:t>
      </w:r>
    </w:p>
  </w:footnote>
  <w:footnote w:id="81">
    <w:p w14:paraId="028A047B" w14:textId="77777777"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Interview with representative from </w:t>
      </w:r>
      <w:r w:rsidRPr="00204235">
        <w:rPr>
          <w:rFonts w:asciiTheme="minorHAnsi" w:hAnsiTheme="minorHAnsi" w:cstheme="minorHAnsi"/>
          <w:sz w:val="18"/>
          <w:szCs w:val="18"/>
          <w:lang w:val="en-US"/>
        </w:rPr>
        <w:t>the Forum of Inclusive Madrasah, 26 March 2023.</w:t>
      </w:r>
    </w:p>
  </w:footnote>
  <w:footnote w:id="82">
    <w:p w14:paraId="03DAA752" w14:textId="77777777" w:rsidR="00EC1345" w:rsidRPr="00204235" w:rsidRDefault="00EC1345" w:rsidP="00F4470E">
      <w:pPr>
        <w:pStyle w:val="BodyText"/>
        <w:spacing w:before="60" w:after="60"/>
        <w:rPr>
          <w:rFonts w:asciiTheme="minorHAnsi" w:hAnsiTheme="minorHAnsi" w:cstheme="minorHAnsi"/>
          <w:sz w:val="18"/>
          <w:szCs w:val="18"/>
          <w:lang w:val="en-US"/>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Interview with representative from </w:t>
      </w:r>
      <w:r w:rsidRPr="00204235">
        <w:rPr>
          <w:rFonts w:asciiTheme="minorHAnsi" w:hAnsiTheme="minorHAnsi" w:cstheme="minorHAnsi"/>
          <w:sz w:val="18"/>
          <w:szCs w:val="18"/>
          <w:lang w:val="en-US"/>
        </w:rPr>
        <w:t>Chair of CWI, 3 May 2023.</w:t>
      </w:r>
    </w:p>
  </w:footnote>
  <w:footnote w:id="83">
    <w:p w14:paraId="7651B6F3" w14:textId="77777777" w:rsidR="00EC1345" w:rsidRPr="00204235" w:rsidRDefault="00EC1345" w:rsidP="00F4470E">
      <w:pPr>
        <w:pStyle w:val="NormalWeb"/>
        <w:pBdr>
          <w:top w:val="single" w:sz="4" w:space="1" w:color="auto"/>
        </w:pBdr>
        <w:spacing w:before="60" w:beforeAutospacing="0" w:after="60" w:afterAutospacing="0"/>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Ardiansa</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Dirga</w:t>
      </w:r>
      <w:proofErr w:type="spellEnd"/>
      <w:r w:rsidRPr="00204235">
        <w:rPr>
          <w:rFonts w:asciiTheme="minorHAnsi" w:hAnsiTheme="minorHAnsi" w:cstheme="minorHAnsi"/>
          <w:sz w:val="18"/>
          <w:szCs w:val="18"/>
        </w:rPr>
        <w:t xml:space="preserve"> et al., 2021.  Multidimensional Obstacles to Women being Principals and Heads of Madrasah. University of Indonesia.</w:t>
      </w:r>
    </w:p>
  </w:footnote>
  <w:footnote w:id="84">
    <w:p w14:paraId="37E48806" w14:textId="19722534" w:rsidR="00EC1345" w:rsidRPr="00204235" w:rsidRDefault="00EC1345" w:rsidP="00F4470E">
      <w:pPr>
        <w:pStyle w:val="BodyText"/>
        <w:spacing w:before="60" w:after="60"/>
        <w:rPr>
          <w:rFonts w:asciiTheme="minorHAnsi" w:hAnsiTheme="minorHAnsi" w:cstheme="minorHAnsi"/>
          <w:color w:val="475663"/>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r w:rsidRPr="00204235">
        <w:rPr>
          <w:rFonts w:asciiTheme="minorHAnsi" w:hAnsiTheme="minorHAnsi" w:cstheme="minorHAnsi"/>
          <w:sz w:val="18"/>
          <w:szCs w:val="18"/>
          <w:lang w:val="en-US"/>
        </w:rPr>
        <w:t xml:space="preserve">Interview with Husna </w:t>
      </w:r>
      <w:proofErr w:type="spellStart"/>
      <w:r w:rsidRPr="00204235">
        <w:rPr>
          <w:rFonts w:asciiTheme="minorHAnsi" w:hAnsiTheme="minorHAnsi" w:cstheme="minorHAnsi"/>
          <w:sz w:val="18"/>
          <w:szCs w:val="18"/>
          <w:lang w:val="en-US"/>
        </w:rPr>
        <w:t>Alfiani</w:t>
      </w:r>
      <w:proofErr w:type="spellEnd"/>
      <w:r w:rsidRPr="00204235">
        <w:rPr>
          <w:rFonts w:asciiTheme="minorHAnsi" w:hAnsiTheme="minorHAnsi" w:cstheme="minorHAnsi"/>
          <w:sz w:val="18"/>
          <w:szCs w:val="18"/>
          <w:lang w:val="en-US"/>
        </w:rPr>
        <w:t xml:space="preserve">, </w:t>
      </w:r>
      <w:proofErr w:type="spellStart"/>
      <w:r w:rsidRPr="00204235">
        <w:rPr>
          <w:rFonts w:asciiTheme="minorHAnsi" w:hAnsiTheme="minorHAnsi" w:cstheme="minorHAnsi"/>
          <w:sz w:val="18"/>
          <w:szCs w:val="18"/>
          <w:lang w:val="en-US"/>
        </w:rPr>
        <w:t>Rumah</w:t>
      </w:r>
      <w:proofErr w:type="spellEnd"/>
      <w:r w:rsidRPr="00204235">
        <w:rPr>
          <w:rFonts w:asciiTheme="minorHAnsi" w:hAnsiTheme="minorHAnsi" w:cstheme="minorHAnsi"/>
          <w:sz w:val="18"/>
          <w:szCs w:val="18"/>
          <w:lang w:val="en-US"/>
        </w:rPr>
        <w:t xml:space="preserve"> </w:t>
      </w:r>
      <w:proofErr w:type="spellStart"/>
      <w:r w:rsidRPr="00204235">
        <w:rPr>
          <w:rFonts w:asciiTheme="minorHAnsi" w:hAnsiTheme="minorHAnsi" w:cstheme="minorHAnsi"/>
          <w:sz w:val="18"/>
          <w:szCs w:val="18"/>
          <w:lang w:val="en-US"/>
        </w:rPr>
        <w:t>KitaB</w:t>
      </w:r>
      <w:proofErr w:type="spellEnd"/>
      <w:r w:rsidRPr="00204235">
        <w:rPr>
          <w:rFonts w:asciiTheme="minorHAnsi" w:hAnsiTheme="minorHAnsi" w:cstheme="minorHAnsi"/>
          <w:sz w:val="18"/>
          <w:szCs w:val="18"/>
          <w:lang w:val="en-US"/>
        </w:rPr>
        <w:t>, 14 September 2022.</w:t>
      </w:r>
    </w:p>
  </w:footnote>
  <w:footnote w:id="85">
    <w:p w14:paraId="55430D32" w14:textId="77777777"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April May data Collection for Design of INOVASI Phase 3.</w:t>
      </w:r>
    </w:p>
  </w:footnote>
  <w:footnote w:id="86">
    <w:p w14:paraId="085E07CA" w14:textId="77777777"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1974 Law No. 1 on Marriage.</w:t>
      </w:r>
    </w:p>
  </w:footnote>
  <w:footnote w:id="87">
    <w:p w14:paraId="1A5D94F2" w14:textId="77777777" w:rsidR="00EC1345" w:rsidRPr="00204235" w:rsidRDefault="00EC1345" w:rsidP="00F4470E">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Interview, 10 May 2023</w:t>
      </w:r>
    </w:p>
  </w:footnote>
  <w:footnote w:id="88">
    <w:p w14:paraId="1327C31C" w14:textId="77777777"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Primary data collection, INOVASI Phase 3 Design</w:t>
      </w:r>
    </w:p>
  </w:footnote>
  <w:footnote w:id="89">
    <w:p w14:paraId="7774CFAD" w14:textId="77777777" w:rsidR="00EC1345" w:rsidRPr="00204235" w:rsidRDefault="00EC1345" w:rsidP="00F4470E">
      <w:pPr>
        <w:pStyle w:val="NormalWeb"/>
        <w:pBdr>
          <w:top w:val="single" w:sz="4" w:space="1" w:color="auto"/>
        </w:pBdr>
        <w:spacing w:before="60" w:beforeAutospacing="0" w:after="60" w:afterAutospacing="0"/>
        <w:rPr>
          <w:rFonts w:asciiTheme="minorHAnsi" w:eastAsiaTheme="minorHAnsi" w:hAnsiTheme="minorHAnsi" w:cstheme="minorHAnsi"/>
          <w:sz w:val="18"/>
          <w:szCs w:val="18"/>
          <w:lang w:eastAsia="en-US"/>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r w:rsidRPr="00204235">
        <w:rPr>
          <w:rFonts w:asciiTheme="minorHAnsi" w:eastAsiaTheme="minorHAnsi" w:hAnsiTheme="minorHAnsi" w:cstheme="minorHAnsi"/>
          <w:sz w:val="18"/>
          <w:szCs w:val="18"/>
          <w:lang w:eastAsia="en-US"/>
        </w:rPr>
        <w:t xml:space="preserve">Utomo, </w:t>
      </w:r>
      <w:proofErr w:type="spellStart"/>
      <w:r w:rsidRPr="00204235">
        <w:rPr>
          <w:rFonts w:asciiTheme="minorHAnsi" w:eastAsiaTheme="minorHAnsi" w:hAnsiTheme="minorHAnsi" w:cstheme="minorHAnsi"/>
          <w:sz w:val="18"/>
          <w:szCs w:val="18"/>
          <w:lang w:eastAsia="en-US"/>
        </w:rPr>
        <w:t>Iwu</w:t>
      </w:r>
      <w:proofErr w:type="spellEnd"/>
      <w:r w:rsidRPr="00204235">
        <w:rPr>
          <w:rFonts w:asciiTheme="minorHAnsi" w:eastAsiaTheme="minorHAnsi" w:hAnsiTheme="minorHAnsi" w:cstheme="minorHAnsi"/>
          <w:sz w:val="18"/>
          <w:szCs w:val="18"/>
          <w:lang w:eastAsia="en-US"/>
        </w:rPr>
        <w:t xml:space="preserve"> </w:t>
      </w:r>
      <w:proofErr w:type="spellStart"/>
      <w:r w:rsidRPr="00204235">
        <w:rPr>
          <w:rFonts w:asciiTheme="minorHAnsi" w:eastAsiaTheme="minorHAnsi" w:hAnsiTheme="minorHAnsi" w:cstheme="minorHAnsi"/>
          <w:sz w:val="18"/>
          <w:szCs w:val="18"/>
          <w:lang w:eastAsia="en-US"/>
        </w:rPr>
        <w:t>Dwisetyani</w:t>
      </w:r>
      <w:proofErr w:type="spellEnd"/>
      <w:r w:rsidRPr="00204235">
        <w:rPr>
          <w:rFonts w:asciiTheme="minorHAnsi" w:eastAsiaTheme="minorHAnsi" w:hAnsiTheme="minorHAnsi" w:cstheme="minorHAnsi"/>
          <w:sz w:val="18"/>
          <w:szCs w:val="18"/>
          <w:lang w:eastAsia="en-US"/>
        </w:rPr>
        <w:t xml:space="preserve"> and Peter McDonald, 2011. Gender Depiction in Indonesian Primary and Secondary School Textbooks: The Way Forward. Policy Brief 1. Australian National University</w:t>
      </w:r>
    </w:p>
  </w:footnote>
  <w:footnote w:id="90">
    <w:p w14:paraId="57501D20" w14:textId="77777777" w:rsidR="00EC1345" w:rsidRPr="00204235" w:rsidRDefault="00EC1345" w:rsidP="00F4470E">
      <w:pPr>
        <w:pStyle w:val="NormalWeb"/>
        <w:spacing w:before="60" w:beforeAutospacing="0" w:after="60" w:afterAutospacing="0"/>
        <w:rPr>
          <w:rFonts w:asciiTheme="minorHAnsi" w:eastAsiaTheme="minorHAnsi" w:hAnsiTheme="minorHAnsi" w:cstheme="minorHAnsi"/>
          <w:sz w:val="18"/>
          <w:szCs w:val="18"/>
          <w:lang w:eastAsia="en-US"/>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r w:rsidRPr="00204235">
        <w:rPr>
          <w:rFonts w:asciiTheme="minorHAnsi" w:eastAsiaTheme="minorHAnsi" w:hAnsiTheme="minorHAnsi" w:cstheme="minorHAnsi"/>
          <w:sz w:val="18"/>
          <w:szCs w:val="18"/>
          <w:lang w:eastAsia="en-US"/>
        </w:rPr>
        <w:t>KORE GLOBAL, 2020. The Impact of the Pandemic COVID-19 on Girls’ Education and Wellbeing Thematic Review: Gender-based violence and education</w:t>
      </w:r>
    </w:p>
  </w:footnote>
  <w:footnote w:id="91">
    <w:p w14:paraId="377A4970" w14:textId="14F2CCE9"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r w:rsidRPr="00204235">
        <w:rPr>
          <w:rFonts w:asciiTheme="minorHAnsi" w:hAnsiTheme="minorHAnsi" w:cstheme="minorHAnsi"/>
          <w:kern w:val="2"/>
          <w:sz w:val="18"/>
          <w:szCs w:val="18"/>
          <w14:ligatures w14:val="standardContextual"/>
        </w:rPr>
        <w:t xml:space="preserve">The Women and Child Protection Online Information System (SIMFONI-PPA) records data on violence against women and children across districts and provinces. It was developed as an effort to mitigate such violence, following the establishment of various services for protection from violence such as PUSPAGA, WCC and the Integrated Women and Child Protection Centres (P2TP2A) in all regencies/ cities throughout Indonesia. See </w:t>
      </w:r>
      <w:hyperlink r:id="rId12" w:history="1">
        <w:r w:rsidRPr="00204235">
          <w:rPr>
            <w:rFonts w:asciiTheme="minorHAnsi" w:hAnsiTheme="minorHAnsi" w:cstheme="minorHAnsi"/>
            <w:kern w:val="2"/>
            <w:sz w:val="18"/>
            <w:szCs w:val="18"/>
            <w:u w:val="single"/>
            <w14:ligatures w14:val="standardContextual"/>
          </w:rPr>
          <w:t>https://kekerasan.kemenpppa.go.id/register/login</w:t>
        </w:r>
      </w:hyperlink>
      <w:r w:rsidRPr="00204235">
        <w:rPr>
          <w:rFonts w:asciiTheme="minorHAnsi" w:hAnsiTheme="minorHAnsi" w:cstheme="minorHAnsi"/>
          <w:kern w:val="2"/>
          <w:sz w:val="18"/>
          <w:szCs w:val="18"/>
          <w14:ligatures w14:val="standardContextual"/>
        </w:rPr>
        <w:t xml:space="preserve"> </w:t>
      </w:r>
    </w:p>
  </w:footnote>
  <w:footnote w:id="92">
    <w:p w14:paraId="69602E58" w14:textId="77777777"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r w:rsidRPr="00204235">
        <w:rPr>
          <w:rFonts w:asciiTheme="minorHAnsi" w:hAnsiTheme="minorHAnsi" w:cstheme="minorHAnsi"/>
          <w:i/>
          <w:iCs/>
          <w:sz w:val="18"/>
          <w:szCs w:val="18"/>
        </w:rPr>
        <w:t>Liputan6</w:t>
      </w:r>
      <w:r w:rsidRPr="00204235">
        <w:rPr>
          <w:rFonts w:asciiTheme="minorHAnsi" w:hAnsiTheme="minorHAnsi" w:cstheme="minorHAnsi"/>
          <w:sz w:val="18"/>
          <w:szCs w:val="18"/>
        </w:rPr>
        <w:t>, 13 December 2021.</w:t>
      </w:r>
    </w:p>
  </w:footnote>
  <w:footnote w:id="93">
    <w:p w14:paraId="29DECBF3" w14:textId="77777777" w:rsidR="00EC1345" w:rsidRPr="00204235" w:rsidRDefault="00EC1345" w:rsidP="00F4470E">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Indonesian Association of Women with Disabilities (Association of Women with a disability—HWDI), cited in Jakarta Post 21/10/2021.</w:t>
      </w:r>
    </w:p>
  </w:footnote>
  <w:footnote w:id="94">
    <w:p w14:paraId="6342E4EB" w14:textId="77777777" w:rsidR="00EC1345" w:rsidRPr="00204235" w:rsidRDefault="00EC1345" w:rsidP="00F4470E">
      <w:pPr>
        <w:pStyle w:val="BodyText"/>
        <w:spacing w:before="60" w:after="60"/>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United Nations Population Fund, 2018. Young persons with disabilities: global study on ending gender-based violence, and realising sexual and reproductive health and rights, p. 28.</w:t>
      </w:r>
    </w:p>
  </w:footnote>
  <w:footnote w:id="95">
    <w:p w14:paraId="1854FBB1" w14:textId="77777777" w:rsidR="00EC1345" w:rsidRPr="00204235" w:rsidRDefault="00EC1345" w:rsidP="00115DBA">
      <w:pPr>
        <w:pStyle w:val="FootnoteText"/>
        <w:pBdr>
          <w:top w:val="single" w:sz="4" w:space="1" w:color="auto"/>
        </w:pBdr>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KORE GLOBAL, 2022. The Impact of the Pandemic COVID-19 on Girls’ Education and Wellbeing: A case study of child marriage in Indonesia. </w:t>
      </w:r>
    </w:p>
  </w:footnote>
  <w:footnote w:id="96">
    <w:p w14:paraId="0F48737F" w14:textId="09472806" w:rsidR="00EC1345" w:rsidRPr="0010796F" w:rsidRDefault="00EC1345" w:rsidP="00115DBA">
      <w:pPr>
        <w:pStyle w:val="FootnoteText"/>
        <w:spacing w:after="60" w:line="240" w:lineRule="auto"/>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Iklilah</w:t>
      </w:r>
      <w:proofErr w:type="spellEnd"/>
      <w:r w:rsidRPr="00204235">
        <w:rPr>
          <w:rFonts w:asciiTheme="minorHAnsi" w:hAnsiTheme="minorHAnsi" w:cstheme="minorHAnsi"/>
          <w:sz w:val="18"/>
          <w:szCs w:val="18"/>
        </w:rPr>
        <w:t>, 2022</w:t>
      </w:r>
      <w:r w:rsidRPr="0010796F">
        <w:rPr>
          <w:rFonts w:asciiTheme="minorHAnsi" w:hAnsiTheme="minorHAnsi" w:cstheme="minorHAnsi"/>
          <w:sz w:val="18"/>
          <w:szCs w:val="18"/>
        </w:rPr>
        <w:t xml:space="preserve">.  </w:t>
      </w:r>
    </w:p>
  </w:footnote>
  <w:footnote w:id="97">
    <w:p w14:paraId="69837978" w14:textId="4E36E4A8" w:rsidR="00EC1345" w:rsidRPr="0010796F" w:rsidRDefault="00EC1345" w:rsidP="00F4470E">
      <w:pPr>
        <w:pStyle w:val="pf0"/>
        <w:spacing w:before="60" w:beforeAutospacing="0" w:after="60" w:afterAutospacing="0"/>
        <w:rPr>
          <w:rFonts w:asciiTheme="minorHAnsi" w:hAnsiTheme="minorHAnsi" w:cstheme="minorHAnsi"/>
          <w:sz w:val="18"/>
          <w:szCs w:val="18"/>
        </w:rPr>
      </w:pPr>
      <w:r w:rsidRPr="0010796F">
        <w:rPr>
          <w:rStyle w:val="FootnoteReference"/>
          <w:rFonts w:asciiTheme="minorHAnsi" w:hAnsiTheme="minorHAnsi" w:cstheme="minorHAnsi"/>
          <w:sz w:val="18"/>
          <w:szCs w:val="18"/>
        </w:rPr>
        <w:footnoteRef/>
      </w:r>
      <w:r w:rsidRPr="0010796F">
        <w:rPr>
          <w:rFonts w:asciiTheme="minorHAnsi" w:hAnsiTheme="minorHAnsi" w:cstheme="minorHAnsi"/>
          <w:sz w:val="18"/>
          <w:szCs w:val="18"/>
        </w:rPr>
        <w:t xml:space="preserve"> Data provided by Dr Mardi Chandra, </w:t>
      </w:r>
      <w:r w:rsidRPr="0010796F">
        <w:rPr>
          <w:rFonts w:asciiTheme="minorHAnsi" w:hAnsiTheme="minorHAnsi" w:cstheme="minorHAnsi"/>
          <w:sz w:val="18"/>
          <w:szCs w:val="18"/>
          <w:shd w:val="clear" w:color="auto" w:fill="FFFFFF"/>
        </w:rPr>
        <w:t xml:space="preserve">Assistant Coordinator/ Junior Clerk of the Religion Chamber of the Supreme Court of the Republic of Indonesia. This data is based on a report of the Directorate for Guidance of Religious Courts in </w:t>
      </w:r>
      <w:proofErr w:type="gramStart"/>
      <w:r w:rsidRPr="0010796F">
        <w:rPr>
          <w:rFonts w:asciiTheme="minorHAnsi" w:hAnsiTheme="minorHAnsi" w:cstheme="minorHAnsi"/>
          <w:sz w:val="18"/>
          <w:szCs w:val="18"/>
          <w:shd w:val="clear" w:color="auto" w:fill="FFFFFF"/>
        </w:rPr>
        <w:t>2020, and</w:t>
      </w:r>
      <w:proofErr w:type="gramEnd"/>
      <w:r w:rsidRPr="0010796F">
        <w:rPr>
          <w:rFonts w:asciiTheme="minorHAnsi" w:hAnsiTheme="minorHAnsi" w:cstheme="minorHAnsi"/>
          <w:sz w:val="18"/>
          <w:szCs w:val="18"/>
          <w:shd w:val="clear" w:color="auto" w:fill="FFFFFF"/>
        </w:rPr>
        <w:t xml:space="preserve"> was collected to ascertain the impact of the amendment of Article 7 of the 1974 Marriage Law, which raised the minimum age for marriage from 16 years to 19, pursuant to Law No. 16 of 2019. This data was presented by Dr Chandra on 4 November 2021 in a FGD on the Impact of the Pandemic on Child Marriage at KPPPA.</w:t>
      </w:r>
    </w:p>
  </w:footnote>
  <w:footnote w:id="98">
    <w:p w14:paraId="73D7E27B" w14:textId="77777777" w:rsidR="00EC1345" w:rsidRPr="0010796F" w:rsidRDefault="00EC1345" w:rsidP="00F4470E">
      <w:pPr>
        <w:pStyle w:val="FootnoteText"/>
        <w:spacing w:after="60" w:line="240" w:lineRule="auto"/>
        <w:rPr>
          <w:rFonts w:asciiTheme="minorHAnsi" w:hAnsiTheme="minorHAnsi" w:cstheme="minorHAnsi"/>
          <w:sz w:val="18"/>
          <w:szCs w:val="18"/>
        </w:rPr>
      </w:pPr>
      <w:r w:rsidRPr="0010796F">
        <w:rPr>
          <w:rStyle w:val="FootnoteReference"/>
          <w:rFonts w:asciiTheme="minorHAnsi" w:hAnsiTheme="minorHAnsi" w:cstheme="minorHAnsi"/>
          <w:sz w:val="18"/>
          <w:szCs w:val="18"/>
        </w:rPr>
        <w:footnoteRef/>
      </w:r>
      <w:r w:rsidRPr="0010796F">
        <w:rPr>
          <w:rFonts w:asciiTheme="minorHAnsi" w:hAnsiTheme="minorHAnsi" w:cstheme="minorHAnsi"/>
          <w:sz w:val="18"/>
          <w:szCs w:val="18"/>
        </w:rPr>
        <w:t xml:space="preserve"> KORE GLOBAL, 2022. The Impact of the Pandemic COVID-19 on Girls’ Education and Wellbeing: A case study of child marriage in Indonesia.</w:t>
      </w:r>
    </w:p>
  </w:footnote>
  <w:footnote w:id="99">
    <w:p w14:paraId="3C188C7C" w14:textId="77777777" w:rsidR="00EC1345" w:rsidRPr="00204235" w:rsidRDefault="00EC1345" w:rsidP="00F4470E">
      <w:pPr>
        <w:pStyle w:val="NormalWeb"/>
        <w:spacing w:before="60" w:beforeAutospacing="0" w:after="60" w:afterAutospacing="0"/>
        <w:rPr>
          <w:rFonts w:asciiTheme="minorHAnsi" w:eastAsiaTheme="minorHAnsi" w:hAnsiTheme="minorHAnsi" w:cstheme="minorHAnsi"/>
          <w:sz w:val="18"/>
          <w:szCs w:val="18"/>
          <w:lang w:eastAsia="en-US"/>
        </w:rPr>
      </w:pPr>
      <w:r w:rsidRPr="0010796F">
        <w:rPr>
          <w:rStyle w:val="FootnoteReference"/>
          <w:rFonts w:asciiTheme="minorHAnsi" w:hAnsiTheme="minorHAnsi" w:cstheme="minorHAnsi"/>
          <w:sz w:val="18"/>
          <w:szCs w:val="18"/>
        </w:rPr>
        <w:footnoteRef/>
      </w:r>
      <w:r w:rsidRPr="0010796F">
        <w:rPr>
          <w:rFonts w:asciiTheme="minorHAnsi" w:hAnsiTheme="minorHAnsi" w:cstheme="minorHAnsi"/>
          <w:sz w:val="18"/>
          <w:szCs w:val="18"/>
        </w:rPr>
        <w:t xml:space="preserve"> INOVASI, 2020.</w:t>
      </w:r>
      <w:r w:rsidRPr="0010796F">
        <w:rPr>
          <w:rFonts w:asciiTheme="minorHAnsi" w:eastAsiaTheme="minorHAnsi" w:hAnsiTheme="minorHAnsi" w:cstheme="minorHAnsi"/>
          <w:sz w:val="18"/>
          <w:szCs w:val="18"/>
          <w:lang w:eastAsia="en-US"/>
        </w:rPr>
        <w:t xml:space="preserve"> </w:t>
      </w:r>
      <w:proofErr w:type="spellStart"/>
      <w:r w:rsidRPr="0010796F">
        <w:rPr>
          <w:rFonts w:asciiTheme="minorHAnsi" w:eastAsiaTheme="minorHAnsi" w:hAnsiTheme="minorHAnsi" w:cstheme="minorHAnsi"/>
          <w:sz w:val="18"/>
          <w:szCs w:val="18"/>
          <w:lang w:eastAsia="en-US"/>
        </w:rPr>
        <w:t>Larat</w:t>
      </w:r>
      <w:proofErr w:type="spellEnd"/>
      <w:r w:rsidRPr="0010796F">
        <w:rPr>
          <w:rFonts w:asciiTheme="minorHAnsi" w:eastAsiaTheme="minorHAnsi" w:hAnsiTheme="minorHAnsi" w:cstheme="minorHAnsi"/>
          <w:sz w:val="18"/>
          <w:szCs w:val="18"/>
          <w:lang w:eastAsia="en-US"/>
        </w:rPr>
        <w:t xml:space="preserve"> dan </w:t>
      </w:r>
      <w:proofErr w:type="spellStart"/>
      <w:r w:rsidRPr="0010796F">
        <w:rPr>
          <w:rFonts w:asciiTheme="minorHAnsi" w:eastAsiaTheme="minorHAnsi" w:hAnsiTheme="minorHAnsi" w:cstheme="minorHAnsi"/>
          <w:sz w:val="18"/>
          <w:szCs w:val="18"/>
          <w:lang w:eastAsia="en-US"/>
        </w:rPr>
        <w:t>Runtuhnya</w:t>
      </w:r>
      <w:proofErr w:type="spellEnd"/>
      <w:r w:rsidRPr="0010796F">
        <w:rPr>
          <w:rFonts w:asciiTheme="minorHAnsi" w:eastAsiaTheme="minorHAnsi" w:hAnsiTheme="minorHAnsi" w:cstheme="minorHAnsi"/>
          <w:sz w:val="18"/>
          <w:szCs w:val="18"/>
          <w:lang w:eastAsia="en-US"/>
        </w:rPr>
        <w:t xml:space="preserve"> Hak Pendidikan Anak Perempuan: </w:t>
      </w:r>
      <w:proofErr w:type="spellStart"/>
      <w:r w:rsidRPr="0010796F">
        <w:rPr>
          <w:rFonts w:asciiTheme="minorHAnsi" w:eastAsiaTheme="minorHAnsi" w:hAnsiTheme="minorHAnsi" w:cstheme="minorHAnsi"/>
          <w:sz w:val="18"/>
          <w:szCs w:val="18"/>
          <w:lang w:eastAsia="en-US"/>
        </w:rPr>
        <w:t>Belenggu</w:t>
      </w:r>
      <w:proofErr w:type="spellEnd"/>
      <w:r w:rsidRPr="0010796F">
        <w:rPr>
          <w:rFonts w:asciiTheme="minorHAnsi" w:eastAsiaTheme="minorHAnsi" w:hAnsiTheme="minorHAnsi" w:cstheme="minorHAnsi"/>
          <w:sz w:val="18"/>
          <w:szCs w:val="18"/>
          <w:lang w:eastAsia="en-US"/>
        </w:rPr>
        <w:t xml:space="preserve"> </w:t>
      </w:r>
      <w:proofErr w:type="spellStart"/>
      <w:r w:rsidRPr="0010796F">
        <w:rPr>
          <w:rFonts w:asciiTheme="minorHAnsi" w:eastAsiaTheme="minorHAnsi" w:hAnsiTheme="minorHAnsi" w:cstheme="minorHAnsi"/>
          <w:sz w:val="18"/>
          <w:szCs w:val="18"/>
          <w:lang w:eastAsia="en-US"/>
        </w:rPr>
        <w:t>Siswi</w:t>
      </w:r>
      <w:proofErr w:type="spellEnd"/>
      <w:r w:rsidRPr="0010796F">
        <w:rPr>
          <w:rFonts w:asciiTheme="minorHAnsi" w:eastAsiaTheme="minorHAnsi" w:hAnsiTheme="minorHAnsi" w:cstheme="minorHAnsi"/>
          <w:sz w:val="18"/>
          <w:szCs w:val="18"/>
          <w:lang w:eastAsia="en-US"/>
        </w:rPr>
        <w:t xml:space="preserve"> Korban </w:t>
      </w:r>
      <w:proofErr w:type="spellStart"/>
      <w:r w:rsidRPr="0010796F">
        <w:rPr>
          <w:rFonts w:asciiTheme="minorHAnsi" w:eastAsiaTheme="minorHAnsi" w:hAnsiTheme="minorHAnsi" w:cstheme="minorHAnsi"/>
          <w:sz w:val="18"/>
          <w:szCs w:val="18"/>
          <w:lang w:eastAsia="en-US"/>
        </w:rPr>
        <w:t>Perkawinan</w:t>
      </w:r>
      <w:proofErr w:type="spellEnd"/>
      <w:r w:rsidRPr="0010796F">
        <w:rPr>
          <w:rFonts w:asciiTheme="minorHAnsi" w:eastAsiaTheme="minorHAnsi" w:hAnsiTheme="minorHAnsi" w:cstheme="minorHAnsi"/>
          <w:sz w:val="18"/>
          <w:szCs w:val="18"/>
          <w:lang w:eastAsia="en-US"/>
        </w:rPr>
        <w:t xml:space="preserve"> Anak </w:t>
      </w:r>
      <w:proofErr w:type="spellStart"/>
      <w:r w:rsidRPr="0010796F">
        <w:rPr>
          <w:rFonts w:asciiTheme="minorHAnsi" w:eastAsiaTheme="minorHAnsi" w:hAnsiTheme="minorHAnsi" w:cstheme="minorHAnsi"/>
          <w:sz w:val="18"/>
          <w:szCs w:val="18"/>
          <w:lang w:eastAsia="en-US"/>
        </w:rPr>
        <w:t>selama</w:t>
      </w:r>
      <w:proofErr w:type="spellEnd"/>
      <w:r w:rsidRPr="0010796F">
        <w:rPr>
          <w:rFonts w:asciiTheme="minorHAnsi" w:eastAsiaTheme="minorHAnsi" w:hAnsiTheme="minorHAnsi" w:cstheme="minorHAnsi"/>
          <w:sz w:val="18"/>
          <w:szCs w:val="18"/>
          <w:lang w:eastAsia="en-US"/>
        </w:rPr>
        <w:t xml:space="preserve"> COVID-19 di </w:t>
      </w:r>
      <w:proofErr w:type="spellStart"/>
      <w:r w:rsidRPr="0010796F">
        <w:rPr>
          <w:rFonts w:asciiTheme="minorHAnsi" w:eastAsiaTheme="minorHAnsi" w:hAnsiTheme="minorHAnsi" w:cstheme="minorHAnsi"/>
          <w:sz w:val="18"/>
          <w:szCs w:val="18"/>
          <w:lang w:eastAsia="en-US"/>
        </w:rPr>
        <w:t>Jawa</w:t>
      </w:r>
      <w:proofErr w:type="spellEnd"/>
      <w:r w:rsidRPr="0010796F">
        <w:rPr>
          <w:rFonts w:asciiTheme="minorHAnsi" w:eastAsiaTheme="minorHAnsi" w:hAnsiTheme="minorHAnsi" w:cstheme="minorHAnsi"/>
          <w:sz w:val="18"/>
          <w:szCs w:val="18"/>
          <w:lang w:eastAsia="en-US"/>
        </w:rPr>
        <w:t xml:space="preserve"> Timur, Nusa Tenggara Barat, &amp; Nusa Tenggara</w:t>
      </w:r>
      <w:r w:rsidRPr="00204235">
        <w:rPr>
          <w:rFonts w:asciiTheme="minorHAnsi" w:eastAsiaTheme="minorHAnsi" w:hAnsiTheme="minorHAnsi" w:cstheme="minorHAnsi"/>
          <w:sz w:val="18"/>
          <w:szCs w:val="18"/>
          <w:lang w:eastAsia="en-US"/>
        </w:rPr>
        <w:t xml:space="preserve"> Timur (the Suffering and Collapse of Girls’ Right to Education: The shackles of student victims of Child Marriage. </w:t>
      </w:r>
    </w:p>
  </w:footnote>
  <w:footnote w:id="100">
    <w:p w14:paraId="14D23802" w14:textId="77777777" w:rsidR="00EC1345" w:rsidRPr="00204235" w:rsidRDefault="00EC1345" w:rsidP="00115DBA">
      <w:pPr>
        <w:pStyle w:val="NormalWeb"/>
        <w:pBdr>
          <w:top w:val="single" w:sz="4" w:space="1" w:color="auto"/>
        </w:pBdr>
        <w:spacing w:before="60" w:beforeAutospacing="0" w:after="60" w:afterAutospacing="0"/>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Mulia</w:t>
      </w:r>
      <w:proofErr w:type="spellEnd"/>
      <w:r w:rsidRPr="00204235">
        <w:rPr>
          <w:rFonts w:asciiTheme="minorHAnsi" w:hAnsiTheme="minorHAnsi" w:cstheme="minorHAnsi"/>
          <w:sz w:val="18"/>
          <w:szCs w:val="18"/>
        </w:rPr>
        <w:t xml:space="preserve">, </w:t>
      </w:r>
      <w:proofErr w:type="spellStart"/>
      <w:r w:rsidRPr="00204235">
        <w:rPr>
          <w:rFonts w:asciiTheme="minorHAnsi" w:hAnsiTheme="minorHAnsi" w:cstheme="minorHAnsi"/>
          <w:sz w:val="18"/>
          <w:szCs w:val="18"/>
        </w:rPr>
        <w:t>Musdah</w:t>
      </w:r>
      <w:proofErr w:type="spellEnd"/>
      <w:r w:rsidRPr="00204235">
        <w:rPr>
          <w:rFonts w:asciiTheme="minorHAnsi" w:hAnsiTheme="minorHAnsi" w:cstheme="minorHAnsi"/>
          <w:sz w:val="18"/>
          <w:szCs w:val="18"/>
        </w:rPr>
        <w:t xml:space="preserve">, 2022. </w:t>
      </w:r>
      <w:proofErr w:type="spellStart"/>
      <w:r w:rsidRPr="00204235">
        <w:rPr>
          <w:rFonts w:asciiTheme="minorHAnsi" w:hAnsiTheme="minorHAnsi" w:cstheme="minorHAnsi"/>
          <w:sz w:val="18"/>
          <w:szCs w:val="18"/>
        </w:rPr>
        <w:t>Ensiklopedia</w:t>
      </w:r>
      <w:proofErr w:type="spellEnd"/>
      <w:r w:rsidRPr="00204235">
        <w:rPr>
          <w:rFonts w:asciiTheme="minorHAnsi" w:hAnsiTheme="minorHAnsi" w:cstheme="minorHAnsi"/>
          <w:sz w:val="18"/>
          <w:szCs w:val="18"/>
        </w:rPr>
        <w:t xml:space="preserve"> Muslimah </w:t>
      </w:r>
      <w:proofErr w:type="spellStart"/>
      <w:r w:rsidRPr="00204235">
        <w:rPr>
          <w:rFonts w:asciiTheme="minorHAnsi" w:hAnsiTheme="minorHAnsi" w:cstheme="minorHAnsi"/>
          <w:sz w:val="18"/>
          <w:szCs w:val="18"/>
        </w:rPr>
        <w:t>Reformis</w:t>
      </w:r>
      <w:proofErr w:type="spellEnd"/>
      <w:r w:rsidRPr="00204235">
        <w:rPr>
          <w:rFonts w:asciiTheme="minorHAnsi" w:hAnsiTheme="minorHAnsi" w:cstheme="minorHAnsi"/>
          <w:sz w:val="18"/>
          <w:szCs w:val="18"/>
        </w:rPr>
        <w:t xml:space="preserve"> (Encyclopedia of Reformist Muslim Women), Jakarta: BACA </w:t>
      </w:r>
    </w:p>
  </w:footnote>
  <w:footnote w:id="101">
    <w:p w14:paraId="5FBB58BA" w14:textId="77777777" w:rsidR="00EC1345" w:rsidRPr="00204235" w:rsidRDefault="00EC1345" w:rsidP="00115DBA">
      <w:pPr>
        <w:pStyle w:val="NormalWeb"/>
        <w:spacing w:before="60" w:beforeAutospacing="0" w:after="60" w:afterAutospacing="0"/>
        <w:rPr>
          <w:rFonts w:asciiTheme="minorHAnsi" w:eastAsiaTheme="minorHAnsi" w:hAnsiTheme="minorHAnsi" w:cstheme="minorHAnsi"/>
          <w:sz w:val="18"/>
          <w:szCs w:val="18"/>
          <w:lang w:eastAsia="en-US"/>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r w:rsidRPr="00204235">
        <w:rPr>
          <w:rFonts w:asciiTheme="minorHAnsi" w:eastAsiaTheme="minorHAnsi" w:hAnsiTheme="minorHAnsi" w:cstheme="minorHAnsi"/>
          <w:sz w:val="18"/>
          <w:szCs w:val="18"/>
          <w:lang w:eastAsia="en-US"/>
        </w:rPr>
        <w:t xml:space="preserve">UNICEF, 2021. The Impact of the COVID-19 Pandemic on Children’s Learning in Indonesia. Issue Brief, p.5. </w:t>
      </w:r>
    </w:p>
  </w:footnote>
  <w:footnote w:id="102">
    <w:p w14:paraId="26C416F0" w14:textId="596A52FC" w:rsidR="00EC1345" w:rsidRPr="00204235" w:rsidRDefault="00EC1345" w:rsidP="00F4470E">
      <w:pPr>
        <w:pStyle w:val="NormalWeb"/>
        <w:spacing w:before="60" w:beforeAutospacing="0" w:after="60" w:afterAutospacing="0"/>
        <w:rPr>
          <w:rFonts w:asciiTheme="minorHAnsi" w:eastAsiaTheme="minorHAnsi" w:hAnsiTheme="minorHAnsi" w:cstheme="minorHAnsi"/>
          <w:sz w:val="18"/>
          <w:szCs w:val="18"/>
          <w:lang w:eastAsia="en-US"/>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proofErr w:type="spellStart"/>
      <w:r w:rsidRPr="00204235">
        <w:rPr>
          <w:rFonts w:asciiTheme="minorHAnsi" w:eastAsiaTheme="minorHAnsi" w:hAnsiTheme="minorHAnsi" w:cstheme="minorHAnsi"/>
          <w:sz w:val="18"/>
          <w:szCs w:val="18"/>
          <w:lang w:eastAsia="en-US"/>
        </w:rPr>
        <w:t>Marcoes</w:t>
      </w:r>
      <w:proofErr w:type="spellEnd"/>
      <w:r w:rsidRPr="00204235">
        <w:rPr>
          <w:rFonts w:asciiTheme="minorHAnsi" w:eastAsiaTheme="minorHAnsi" w:hAnsiTheme="minorHAnsi" w:cstheme="minorHAnsi"/>
          <w:sz w:val="18"/>
          <w:szCs w:val="18"/>
          <w:lang w:eastAsia="en-US"/>
        </w:rPr>
        <w:t xml:space="preserve"> &amp; </w:t>
      </w:r>
      <w:proofErr w:type="spellStart"/>
      <w:r w:rsidRPr="00204235">
        <w:rPr>
          <w:rFonts w:asciiTheme="minorHAnsi" w:eastAsiaTheme="minorHAnsi" w:hAnsiTheme="minorHAnsi" w:cstheme="minorHAnsi"/>
          <w:sz w:val="18"/>
          <w:szCs w:val="18"/>
          <w:lang w:eastAsia="en-US"/>
        </w:rPr>
        <w:t>Sirimorok</w:t>
      </w:r>
      <w:proofErr w:type="spellEnd"/>
      <w:r w:rsidRPr="00204235">
        <w:rPr>
          <w:rFonts w:asciiTheme="minorHAnsi" w:eastAsiaTheme="minorHAnsi" w:hAnsiTheme="minorHAnsi" w:cstheme="minorHAnsi"/>
          <w:sz w:val="18"/>
          <w:szCs w:val="18"/>
          <w:lang w:eastAsia="en-US"/>
        </w:rPr>
        <w:t xml:space="preserve"> (2016) “</w:t>
      </w:r>
      <w:proofErr w:type="spellStart"/>
      <w:r w:rsidRPr="00204235">
        <w:rPr>
          <w:rFonts w:asciiTheme="minorHAnsi" w:eastAsiaTheme="minorHAnsi" w:hAnsiTheme="minorHAnsi" w:cstheme="minorHAnsi"/>
          <w:sz w:val="18"/>
          <w:szCs w:val="18"/>
          <w:lang w:eastAsia="en-US"/>
        </w:rPr>
        <w:t>Sinopsis</w:t>
      </w:r>
      <w:proofErr w:type="spellEnd"/>
      <w:r w:rsidRPr="00204235">
        <w:rPr>
          <w:rFonts w:asciiTheme="minorHAnsi" w:eastAsiaTheme="minorHAnsi" w:hAnsiTheme="minorHAnsi" w:cstheme="minorHAnsi"/>
          <w:sz w:val="18"/>
          <w:szCs w:val="18"/>
          <w:lang w:eastAsia="en-US"/>
        </w:rPr>
        <w:t xml:space="preserve"> Sembilan </w:t>
      </w:r>
      <w:proofErr w:type="spellStart"/>
      <w:r w:rsidRPr="00204235">
        <w:rPr>
          <w:rFonts w:asciiTheme="minorHAnsi" w:eastAsiaTheme="minorHAnsi" w:hAnsiTheme="minorHAnsi" w:cstheme="minorHAnsi"/>
          <w:sz w:val="18"/>
          <w:szCs w:val="18"/>
          <w:lang w:eastAsia="en-US"/>
        </w:rPr>
        <w:t>Kasus</w:t>
      </w:r>
      <w:proofErr w:type="spellEnd"/>
      <w:r w:rsidRPr="00204235">
        <w:rPr>
          <w:rFonts w:asciiTheme="minorHAnsi" w:eastAsiaTheme="minorHAnsi" w:hAnsiTheme="minorHAnsi" w:cstheme="minorHAnsi"/>
          <w:sz w:val="18"/>
          <w:szCs w:val="18"/>
          <w:lang w:eastAsia="en-US"/>
        </w:rPr>
        <w:t xml:space="preserve">: Peta </w:t>
      </w:r>
      <w:proofErr w:type="spellStart"/>
      <w:r w:rsidRPr="00204235">
        <w:rPr>
          <w:rFonts w:asciiTheme="minorHAnsi" w:eastAsiaTheme="minorHAnsi" w:hAnsiTheme="minorHAnsi" w:cstheme="minorHAnsi"/>
          <w:sz w:val="18"/>
          <w:szCs w:val="18"/>
          <w:lang w:eastAsia="en-US"/>
        </w:rPr>
        <w:t>Jaring</w:t>
      </w:r>
      <w:proofErr w:type="spellEnd"/>
      <w:r w:rsidRPr="00204235">
        <w:rPr>
          <w:rFonts w:asciiTheme="minorHAnsi" w:eastAsiaTheme="minorHAnsi" w:hAnsiTheme="minorHAnsi" w:cstheme="minorHAnsi"/>
          <w:sz w:val="18"/>
          <w:szCs w:val="18"/>
          <w:lang w:eastAsia="en-US"/>
        </w:rPr>
        <w:t xml:space="preserve"> </w:t>
      </w:r>
      <w:proofErr w:type="spellStart"/>
      <w:r w:rsidRPr="00204235">
        <w:rPr>
          <w:rFonts w:asciiTheme="minorHAnsi" w:eastAsiaTheme="minorHAnsi" w:hAnsiTheme="minorHAnsi" w:cstheme="minorHAnsi"/>
          <w:sz w:val="18"/>
          <w:szCs w:val="18"/>
          <w:lang w:eastAsia="en-US"/>
        </w:rPr>
        <w:t>Laba-laba</w:t>
      </w:r>
      <w:proofErr w:type="spellEnd"/>
      <w:r w:rsidRPr="00204235">
        <w:rPr>
          <w:rFonts w:asciiTheme="minorHAnsi" w:eastAsiaTheme="minorHAnsi" w:hAnsiTheme="minorHAnsi" w:cstheme="minorHAnsi"/>
          <w:sz w:val="18"/>
          <w:szCs w:val="18"/>
          <w:lang w:eastAsia="en-US"/>
        </w:rPr>
        <w:t xml:space="preserve"> </w:t>
      </w:r>
      <w:proofErr w:type="spellStart"/>
      <w:r w:rsidRPr="00204235">
        <w:rPr>
          <w:rFonts w:asciiTheme="minorHAnsi" w:eastAsiaTheme="minorHAnsi" w:hAnsiTheme="minorHAnsi" w:cstheme="minorHAnsi"/>
          <w:sz w:val="18"/>
          <w:szCs w:val="18"/>
          <w:lang w:eastAsia="en-US"/>
        </w:rPr>
        <w:t>Perkawinan</w:t>
      </w:r>
      <w:proofErr w:type="spellEnd"/>
      <w:r w:rsidRPr="00204235">
        <w:rPr>
          <w:rFonts w:asciiTheme="minorHAnsi" w:eastAsiaTheme="minorHAnsi" w:hAnsiTheme="minorHAnsi" w:cstheme="minorHAnsi"/>
          <w:sz w:val="18"/>
          <w:szCs w:val="18"/>
          <w:lang w:eastAsia="en-US"/>
        </w:rPr>
        <w:t xml:space="preserve"> </w:t>
      </w:r>
      <w:proofErr w:type="spellStart"/>
      <w:r w:rsidRPr="00204235">
        <w:rPr>
          <w:rFonts w:asciiTheme="minorHAnsi" w:eastAsiaTheme="minorHAnsi" w:hAnsiTheme="minorHAnsi" w:cstheme="minorHAnsi"/>
          <w:sz w:val="18"/>
          <w:szCs w:val="18"/>
          <w:lang w:eastAsia="en-US"/>
        </w:rPr>
        <w:t>anak</w:t>
      </w:r>
      <w:proofErr w:type="spellEnd"/>
      <w:r w:rsidRPr="00204235">
        <w:rPr>
          <w:rFonts w:asciiTheme="minorHAnsi" w:eastAsiaTheme="minorHAnsi" w:hAnsiTheme="minorHAnsi" w:cstheme="minorHAnsi"/>
          <w:sz w:val="18"/>
          <w:szCs w:val="18"/>
          <w:lang w:eastAsia="en-US"/>
        </w:rPr>
        <w:t xml:space="preserve">” (Synopsis of Nine Cases: Map of the Spider’s Web of Child Marriage) Monograph Series 5 and 11, Jakarta, </w:t>
      </w:r>
      <w:proofErr w:type="spellStart"/>
      <w:r w:rsidRPr="00204235">
        <w:rPr>
          <w:rFonts w:asciiTheme="minorHAnsi" w:eastAsiaTheme="minorHAnsi" w:hAnsiTheme="minorHAnsi" w:cstheme="minorHAnsi"/>
          <w:sz w:val="18"/>
          <w:szCs w:val="18"/>
          <w:lang w:eastAsia="en-US"/>
        </w:rPr>
        <w:t>Rumah</w:t>
      </w:r>
      <w:proofErr w:type="spellEnd"/>
      <w:r w:rsidRPr="00204235">
        <w:rPr>
          <w:rFonts w:asciiTheme="minorHAnsi" w:eastAsiaTheme="minorHAnsi" w:hAnsiTheme="minorHAnsi" w:cstheme="minorHAnsi"/>
          <w:sz w:val="18"/>
          <w:szCs w:val="18"/>
          <w:lang w:eastAsia="en-US"/>
        </w:rPr>
        <w:t xml:space="preserve"> </w:t>
      </w:r>
      <w:proofErr w:type="spellStart"/>
      <w:r w:rsidRPr="00204235">
        <w:rPr>
          <w:rFonts w:asciiTheme="minorHAnsi" w:eastAsiaTheme="minorHAnsi" w:hAnsiTheme="minorHAnsi" w:cstheme="minorHAnsi"/>
          <w:sz w:val="18"/>
          <w:szCs w:val="18"/>
          <w:lang w:eastAsia="en-US"/>
        </w:rPr>
        <w:t>KitaB</w:t>
      </w:r>
      <w:proofErr w:type="spellEnd"/>
    </w:p>
  </w:footnote>
  <w:footnote w:id="103">
    <w:p w14:paraId="4BB0C609" w14:textId="77777777" w:rsidR="00EC1345" w:rsidRPr="00204235" w:rsidRDefault="00EC1345" w:rsidP="00F4470E">
      <w:pPr>
        <w:spacing w:before="60" w:after="60"/>
        <w:rPr>
          <w:rFonts w:asciiTheme="minorHAnsi" w:hAnsiTheme="minorHAnsi" w:cstheme="minorHAnsi"/>
          <w:color w:val="475663"/>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r w:rsidRPr="00204235">
        <w:rPr>
          <w:rFonts w:asciiTheme="minorHAnsi" w:hAnsiTheme="minorHAnsi" w:cstheme="minorHAnsi"/>
          <w:sz w:val="18"/>
          <w:szCs w:val="18"/>
          <w:lang w:val="en-US"/>
        </w:rPr>
        <w:t xml:space="preserve">Gunawan, Roland (ed), 2019.  </w:t>
      </w:r>
      <w:proofErr w:type="spellStart"/>
      <w:r w:rsidRPr="00204235">
        <w:rPr>
          <w:rFonts w:asciiTheme="minorHAnsi" w:hAnsiTheme="minorHAnsi" w:cstheme="minorHAnsi"/>
          <w:i/>
          <w:iCs/>
          <w:sz w:val="18"/>
          <w:szCs w:val="18"/>
          <w:lang w:val="en-US"/>
        </w:rPr>
        <w:t>Fikih</w:t>
      </w:r>
      <w:proofErr w:type="spellEnd"/>
      <w:r w:rsidRPr="00204235">
        <w:rPr>
          <w:rFonts w:asciiTheme="minorHAnsi" w:hAnsiTheme="minorHAnsi" w:cstheme="minorHAnsi"/>
          <w:i/>
          <w:iCs/>
          <w:sz w:val="18"/>
          <w:szCs w:val="18"/>
          <w:lang w:val="en-US"/>
        </w:rPr>
        <w:t xml:space="preserve"> Kawin Anak</w:t>
      </w:r>
      <w:r w:rsidRPr="00204235">
        <w:rPr>
          <w:rFonts w:asciiTheme="minorHAnsi" w:hAnsiTheme="minorHAnsi" w:cstheme="minorHAnsi"/>
          <w:sz w:val="18"/>
          <w:szCs w:val="18"/>
          <w:lang w:val="en-US"/>
        </w:rPr>
        <w:t xml:space="preserve">, Jakarta: </w:t>
      </w:r>
      <w:proofErr w:type="spellStart"/>
      <w:r w:rsidRPr="00204235">
        <w:rPr>
          <w:rFonts w:asciiTheme="minorHAnsi" w:hAnsiTheme="minorHAnsi" w:cstheme="minorHAnsi"/>
          <w:sz w:val="18"/>
          <w:szCs w:val="18"/>
          <w:lang w:val="en-US"/>
        </w:rPr>
        <w:t>Rumah</w:t>
      </w:r>
      <w:proofErr w:type="spellEnd"/>
      <w:r w:rsidRPr="00204235">
        <w:rPr>
          <w:rFonts w:asciiTheme="minorHAnsi" w:hAnsiTheme="minorHAnsi" w:cstheme="minorHAnsi"/>
          <w:sz w:val="18"/>
          <w:szCs w:val="18"/>
          <w:lang w:val="en-US"/>
        </w:rPr>
        <w:t xml:space="preserve"> Kitab.</w:t>
      </w:r>
    </w:p>
  </w:footnote>
  <w:footnote w:id="104">
    <w:p w14:paraId="57AA20BC" w14:textId="77777777" w:rsidR="00EC1345" w:rsidRPr="00204235" w:rsidRDefault="00EC1345" w:rsidP="00F4470E">
      <w:pPr>
        <w:pStyle w:val="BodyText"/>
        <w:pBdr>
          <w:top w:val="single" w:sz="4" w:space="1" w:color="auto"/>
        </w:pBdr>
        <w:spacing w:before="60" w:after="60"/>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UNESCO, 2022. Connect with Respect. Preventing gender-based violence in schools. </w:t>
      </w:r>
    </w:p>
  </w:footnote>
  <w:footnote w:id="105">
    <w:p w14:paraId="34B6A17E" w14:textId="77777777" w:rsidR="00EC1345" w:rsidRPr="00204235" w:rsidRDefault="00EC1345" w:rsidP="00F4470E">
      <w:pPr>
        <w:pStyle w:val="NormalWeb"/>
        <w:pBdr>
          <w:top w:val="single" w:sz="4" w:space="1" w:color="auto"/>
        </w:pBdr>
        <w:spacing w:before="60" w:beforeAutospacing="0" w:after="60" w:afterAutospacing="0"/>
        <w:rPr>
          <w:rFonts w:asciiTheme="minorHAnsi" w:eastAsiaTheme="minorHAnsi" w:hAnsiTheme="minorHAnsi" w:cstheme="minorHAnsi"/>
          <w:sz w:val="18"/>
          <w:szCs w:val="18"/>
          <w:lang w:eastAsia="en-US"/>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t>
      </w:r>
      <w:r w:rsidRPr="00204235">
        <w:rPr>
          <w:rFonts w:asciiTheme="minorHAnsi" w:eastAsiaTheme="minorHAnsi" w:hAnsiTheme="minorHAnsi" w:cstheme="minorHAnsi"/>
          <w:sz w:val="18"/>
          <w:szCs w:val="18"/>
          <w:lang w:eastAsia="en-US"/>
        </w:rPr>
        <w:t xml:space="preserve">Spink, J, D. </w:t>
      </w:r>
      <w:proofErr w:type="spellStart"/>
      <w:r w:rsidRPr="00204235">
        <w:rPr>
          <w:rFonts w:asciiTheme="minorHAnsi" w:eastAsiaTheme="minorHAnsi" w:hAnsiTheme="minorHAnsi" w:cstheme="minorHAnsi"/>
          <w:sz w:val="18"/>
          <w:szCs w:val="18"/>
          <w:lang w:eastAsia="en-US"/>
        </w:rPr>
        <w:t>Cloney</w:t>
      </w:r>
      <w:proofErr w:type="spellEnd"/>
      <w:r w:rsidRPr="00204235">
        <w:rPr>
          <w:rFonts w:asciiTheme="minorHAnsi" w:eastAsiaTheme="minorHAnsi" w:hAnsiTheme="minorHAnsi" w:cstheme="minorHAnsi"/>
          <w:sz w:val="18"/>
          <w:szCs w:val="18"/>
          <w:lang w:eastAsia="en-US"/>
        </w:rPr>
        <w:t xml:space="preserve"> and A Berry, (ACER), 2022. Beyond letters and numbers: the COVID-19 pandemic and foundational literacy and numeracy in Indonesia. The Learning Gap study Series-One. </w:t>
      </w:r>
    </w:p>
  </w:footnote>
  <w:footnote w:id="106">
    <w:p w14:paraId="5D5E2667" w14:textId="77777777" w:rsidR="00EC1345" w:rsidRPr="00204235" w:rsidRDefault="00EC1345" w:rsidP="00F4470E">
      <w:pPr>
        <w:spacing w:before="60" w:after="60"/>
        <w:rPr>
          <w:rFonts w:asciiTheme="minorHAnsi" w:hAnsiTheme="minorHAnsi" w:cstheme="minorHAnsi"/>
          <w:b/>
          <w:sz w:val="18"/>
          <w:szCs w:val="18"/>
          <w:lang w:val="en-ID"/>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INOVASI, 2022. A widening gap: Impacts of the COVID-19 pandemic on Indonesia’s most marginalised students. Learning Gap Series – Three. This study draws on the learning assessment analysis in the ACER study.</w:t>
      </w:r>
      <w:r w:rsidRPr="00204235">
        <w:rPr>
          <w:rFonts w:asciiTheme="minorHAnsi" w:hAnsiTheme="minorHAnsi" w:cstheme="minorHAnsi"/>
          <w:b/>
          <w:sz w:val="18"/>
          <w:szCs w:val="18"/>
          <w:lang w:val="en-ID"/>
        </w:rPr>
        <w:t> </w:t>
      </w:r>
    </w:p>
  </w:footnote>
  <w:footnote w:id="107">
    <w:p w14:paraId="55E765B6" w14:textId="640F3089" w:rsidR="00EC1345" w:rsidRPr="00204235" w:rsidRDefault="00EC1345" w:rsidP="00F4470E">
      <w:pPr>
        <w:pStyle w:val="NormalWeb"/>
        <w:spacing w:before="60" w:beforeAutospacing="0" w:after="60" w:afterAutospacing="0"/>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Fonts w:asciiTheme="minorHAnsi" w:hAnsiTheme="minorHAnsi" w:cstheme="minorHAnsi"/>
          <w:sz w:val="18"/>
          <w:szCs w:val="18"/>
        </w:rPr>
        <w:t xml:space="preserve"> World Bank, 2020. Indonesia Country Gender Assessment: Investing in Opportunities for Women, p.33. </w:t>
      </w:r>
    </w:p>
  </w:footnote>
  <w:footnote w:id="108">
    <w:p w14:paraId="128102F4" w14:textId="73C1921C" w:rsidR="00EC1345" w:rsidRPr="00204235" w:rsidRDefault="00EC1345" w:rsidP="00F4470E">
      <w:pPr>
        <w:pBdr>
          <w:top w:val="single" w:sz="4" w:space="1" w:color="auto"/>
        </w:pBdr>
        <w:spacing w:before="60" w:after="60"/>
        <w:rPr>
          <w:rFonts w:asciiTheme="minorHAnsi" w:hAnsiTheme="minorHAnsi" w:cstheme="minorHAnsi"/>
          <w:sz w:val="18"/>
          <w:szCs w:val="18"/>
        </w:rPr>
      </w:pPr>
      <w:r w:rsidRPr="00204235">
        <w:rPr>
          <w:rStyle w:val="FootnoteReference"/>
          <w:rFonts w:asciiTheme="minorHAnsi" w:hAnsiTheme="minorHAnsi" w:cstheme="minorHAnsi"/>
          <w:sz w:val="18"/>
          <w:szCs w:val="18"/>
        </w:rPr>
        <w:footnoteRef/>
      </w:r>
      <w:r w:rsidRPr="00204235">
        <w:rPr>
          <w:rStyle w:val="FootnoteReference"/>
          <w:rFonts w:asciiTheme="minorHAnsi" w:hAnsiTheme="minorHAnsi" w:cstheme="minorHAnsi"/>
          <w:sz w:val="18"/>
          <w:szCs w:val="18"/>
        </w:rPr>
        <w:t xml:space="preserve"> </w:t>
      </w:r>
      <w:proofErr w:type="spellStart"/>
      <w:r w:rsidRPr="00204235">
        <w:rPr>
          <w:rStyle w:val="FootnoteReference"/>
          <w:rFonts w:asciiTheme="minorHAnsi" w:hAnsiTheme="minorHAnsi" w:cstheme="minorHAnsi"/>
          <w:sz w:val="18"/>
          <w:szCs w:val="18"/>
          <w:vertAlign w:val="baseline"/>
        </w:rPr>
        <w:t>Kemil</w:t>
      </w:r>
      <w:proofErr w:type="spellEnd"/>
      <w:r w:rsidRPr="00204235">
        <w:rPr>
          <w:rStyle w:val="FootnoteReference"/>
          <w:rFonts w:asciiTheme="minorHAnsi" w:hAnsiTheme="minorHAnsi" w:cstheme="minorHAnsi"/>
          <w:sz w:val="18"/>
          <w:szCs w:val="18"/>
          <w:vertAlign w:val="baseline"/>
        </w:rPr>
        <w:t xml:space="preserve"> </w:t>
      </w:r>
      <w:proofErr w:type="spellStart"/>
      <w:r w:rsidRPr="00204235">
        <w:rPr>
          <w:rStyle w:val="FootnoteReference"/>
          <w:rFonts w:asciiTheme="minorHAnsi" w:hAnsiTheme="minorHAnsi" w:cstheme="minorHAnsi"/>
          <w:sz w:val="18"/>
          <w:szCs w:val="18"/>
          <w:vertAlign w:val="baseline"/>
        </w:rPr>
        <w:t>Wachidah</w:t>
      </w:r>
      <w:proofErr w:type="spellEnd"/>
      <w:r w:rsidRPr="00204235">
        <w:rPr>
          <w:rStyle w:val="FootnoteReference"/>
          <w:rFonts w:asciiTheme="minorHAnsi" w:hAnsiTheme="minorHAnsi" w:cstheme="minorHAnsi"/>
          <w:sz w:val="18"/>
          <w:szCs w:val="18"/>
          <w:vertAlign w:val="baseline"/>
        </w:rPr>
        <w:t xml:space="preserve">, </w:t>
      </w:r>
      <w:proofErr w:type="spellStart"/>
      <w:r w:rsidRPr="00204235">
        <w:rPr>
          <w:rStyle w:val="FootnoteReference"/>
          <w:rFonts w:asciiTheme="minorHAnsi" w:hAnsiTheme="minorHAnsi" w:cstheme="minorHAnsi"/>
          <w:sz w:val="18"/>
          <w:szCs w:val="18"/>
          <w:vertAlign w:val="baseline"/>
        </w:rPr>
        <w:t>Moch</w:t>
      </w:r>
      <w:proofErr w:type="spellEnd"/>
      <w:r w:rsidRPr="00204235">
        <w:rPr>
          <w:rStyle w:val="FootnoteReference"/>
          <w:rFonts w:asciiTheme="minorHAnsi" w:hAnsiTheme="minorHAnsi" w:cstheme="minorHAnsi"/>
          <w:sz w:val="18"/>
          <w:szCs w:val="18"/>
          <w:vertAlign w:val="baseline"/>
        </w:rPr>
        <w:t xml:space="preserve">. </w:t>
      </w:r>
      <w:proofErr w:type="spellStart"/>
      <w:r w:rsidRPr="00204235">
        <w:rPr>
          <w:rStyle w:val="FootnoteReference"/>
          <w:rFonts w:asciiTheme="minorHAnsi" w:hAnsiTheme="minorHAnsi" w:cstheme="minorHAnsi"/>
          <w:sz w:val="18"/>
          <w:szCs w:val="18"/>
          <w:vertAlign w:val="baseline"/>
        </w:rPr>
        <w:t>Bahak</w:t>
      </w:r>
      <w:proofErr w:type="spellEnd"/>
      <w:r w:rsidRPr="00204235">
        <w:rPr>
          <w:rStyle w:val="FootnoteReference"/>
          <w:rFonts w:asciiTheme="minorHAnsi" w:hAnsiTheme="minorHAnsi" w:cstheme="minorHAnsi"/>
          <w:sz w:val="18"/>
          <w:szCs w:val="18"/>
          <w:vertAlign w:val="baseline"/>
        </w:rPr>
        <w:t xml:space="preserve"> </w:t>
      </w:r>
      <w:proofErr w:type="spellStart"/>
      <w:r w:rsidRPr="00204235">
        <w:rPr>
          <w:rStyle w:val="FootnoteReference"/>
          <w:rFonts w:asciiTheme="minorHAnsi" w:hAnsiTheme="minorHAnsi" w:cstheme="minorHAnsi"/>
          <w:sz w:val="18"/>
          <w:szCs w:val="18"/>
          <w:vertAlign w:val="baseline"/>
        </w:rPr>
        <w:t>Udin</w:t>
      </w:r>
      <w:proofErr w:type="spellEnd"/>
      <w:r w:rsidRPr="00204235">
        <w:rPr>
          <w:rStyle w:val="FootnoteReference"/>
          <w:rFonts w:asciiTheme="minorHAnsi" w:hAnsiTheme="minorHAnsi" w:cstheme="minorHAnsi"/>
          <w:sz w:val="18"/>
          <w:szCs w:val="18"/>
          <w:vertAlign w:val="baseline"/>
        </w:rPr>
        <w:t xml:space="preserve"> By Arifin, Tri </w:t>
      </w:r>
      <w:proofErr w:type="spellStart"/>
      <w:r w:rsidRPr="00204235">
        <w:rPr>
          <w:rStyle w:val="FootnoteReference"/>
          <w:rFonts w:asciiTheme="minorHAnsi" w:hAnsiTheme="minorHAnsi" w:cstheme="minorHAnsi"/>
          <w:sz w:val="18"/>
          <w:szCs w:val="18"/>
          <w:vertAlign w:val="baseline"/>
        </w:rPr>
        <w:t>Linggo</w:t>
      </w:r>
      <w:proofErr w:type="spellEnd"/>
      <w:r w:rsidRPr="00204235">
        <w:rPr>
          <w:rStyle w:val="FootnoteReference"/>
          <w:rFonts w:asciiTheme="minorHAnsi" w:hAnsiTheme="minorHAnsi" w:cstheme="minorHAnsi"/>
          <w:sz w:val="18"/>
          <w:szCs w:val="18"/>
          <w:vertAlign w:val="baseline"/>
        </w:rPr>
        <w:t xml:space="preserve"> Wati, Fitria Eka Wulandari,. Eni </w:t>
      </w:r>
      <w:proofErr w:type="spellStart"/>
      <w:r w:rsidRPr="00204235">
        <w:rPr>
          <w:rStyle w:val="FootnoteReference"/>
          <w:rFonts w:asciiTheme="minorHAnsi" w:hAnsiTheme="minorHAnsi" w:cstheme="minorHAnsi"/>
          <w:sz w:val="18"/>
          <w:szCs w:val="18"/>
          <w:vertAlign w:val="baseline"/>
        </w:rPr>
        <w:t>Fariyatul</w:t>
      </w:r>
      <w:proofErr w:type="spellEnd"/>
      <w:r w:rsidRPr="00204235">
        <w:rPr>
          <w:rStyle w:val="FootnoteReference"/>
          <w:rFonts w:asciiTheme="minorHAnsi" w:hAnsiTheme="minorHAnsi" w:cstheme="minorHAnsi"/>
          <w:sz w:val="18"/>
          <w:szCs w:val="18"/>
          <w:vertAlign w:val="baseline"/>
        </w:rPr>
        <w:t xml:space="preserve"> </w:t>
      </w:r>
      <w:proofErr w:type="spellStart"/>
      <w:r w:rsidRPr="00204235">
        <w:rPr>
          <w:rStyle w:val="FootnoteReference"/>
          <w:rFonts w:asciiTheme="minorHAnsi" w:hAnsiTheme="minorHAnsi" w:cstheme="minorHAnsi"/>
          <w:sz w:val="18"/>
          <w:szCs w:val="18"/>
          <w:vertAlign w:val="baseline"/>
        </w:rPr>
        <w:t>Fahyuni</w:t>
      </w:r>
      <w:proofErr w:type="spellEnd"/>
      <w:r w:rsidRPr="00204235">
        <w:rPr>
          <w:rStyle w:val="FootnoteReference"/>
          <w:rFonts w:asciiTheme="minorHAnsi" w:hAnsiTheme="minorHAnsi" w:cstheme="minorHAnsi"/>
          <w:sz w:val="18"/>
          <w:szCs w:val="18"/>
          <w:vertAlign w:val="baseline"/>
        </w:rPr>
        <w:t xml:space="preserve">, 2022. Modul </w:t>
      </w:r>
      <w:proofErr w:type="spellStart"/>
      <w:r w:rsidRPr="00204235">
        <w:rPr>
          <w:rStyle w:val="FootnoteReference"/>
          <w:rFonts w:asciiTheme="minorHAnsi" w:hAnsiTheme="minorHAnsi" w:cstheme="minorHAnsi"/>
          <w:sz w:val="18"/>
          <w:szCs w:val="18"/>
          <w:vertAlign w:val="baseline"/>
        </w:rPr>
        <w:t>Sekolah</w:t>
      </w:r>
      <w:proofErr w:type="spellEnd"/>
      <w:r w:rsidRPr="00204235">
        <w:rPr>
          <w:rStyle w:val="FootnoteReference"/>
          <w:rFonts w:asciiTheme="minorHAnsi" w:hAnsiTheme="minorHAnsi" w:cstheme="minorHAnsi"/>
          <w:sz w:val="18"/>
          <w:szCs w:val="18"/>
          <w:vertAlign w:val="baseline"/>
        </w:rPr>
        <w:t xml:space="preserve"> </w:t>
      </w:r>
      <w:proofErr w:type="spellStart"/>
      <w:r w:rsidRPr="00204235">
        <w:rPr>
          <w:rStyle w:val="FootnoteReference"/>
          <w:rFonts w:asciiTheme="minorHAnsi" w:hAnsiTheme="minorHAnsi" w:cstheme="minorHAnsi"/>
          <w:sz w:val="18"/>
          <w:szCs w:val="18"/>
          <w:vertAlign w:val="baseline"/>
        </w:rPr>
        <w:t>Responsif</w:t>
      </w:r>
      <w:proofErr w:type="spellEnd"/>
      <w:r w:rsidRPr="00204235">
        <w:rPr>
          <w:rStyle w:val="FootnoteReference"/>
          <w:rFonts w:asciiTheme="minorHAnsi" w:hAnsiTheme="minorHAnsi" w:cstheme="minorHAnsi"/>
          <w:sz w:val="18"/>
          <w:szCs w:val="18"/>
          <w:vertAlign w:val="baseline"/>
        </w:rPr>
        <w:t xml:space="preserve"> Gender </w:t>
      </w:r>
      <w:proofErr w:type="spellStart"/>
      <w:r w:rsidRPr="00204235">
        <w:rPr>
          <w:rStyle w:val="FootnoteReference"/>
          <w:rFonts w:asciiTheme="minorHAnsi" w:hAnsiTheme="minorHAnsi" w:cstheme="minorHAnsi"/>
          <w:sz w:val="18"/>
          <w:szCs w:val="18"/>
          <w:vertAlign w:val="baseline"/>
        </w:rPr>
        <w:t>Berbasis</w:t>
      </w:r>
      <w:proofErr w:type="spellEnd"/>
      <w:r w:rsidRPr="00204235">
        <w:rPr>
          <w:rStyle w:val="FootnoteReference"/>
          <w:rFonts w:asciiTheme="minorHAnsi" w:hAnsiTheme="minorHAnsi" w:cstheme="minorHAnsi"/>
          <w:sz w:val="18"/>
          <w:szCs w:val="18"/>
          <w:vertAlign w:val="baseline"/>
        </w:rPr>
        <w:t xml:space="preserve"> </w:t>
      </w:r>
      <w:proofErr w:type="spellStart"/>
      <w:r w:rsidRPr="00204235">
        <w:rPr>
          <w:rStyle w:val="FootnoteReference"/>
          <w:rFonts w:asciiTheme="minorHAnsi" w:hAnsiTheme="minorHAnsi" w:cstheme="minorHAnsi"/>
          <w:sz w:val="18"/>
          <w:szCs w:val="18"/>
          <w:vertAlign w:val="baseline"/>
        </w:rPr>
        <w:t>Keanekaragaman</w:t>
      </w:r>
      <w:proofErr w:type="spellEnd"/>
      <w:r w:rsidRPr="00204235">
        <w:rPr>
          <w:rStyle w:val="FootnoteReference"/>
          <w:rFonts w:asciiTheme="minorHAnsi" w:hAnsiTheme="minorHAnsi" w:cstheme="minorHAnsi"/>
          <w:sz w:val="18"/>
          <w:szCs w:val="18"/>
          <w:vertAlign w:val="baseline"/>
        </w:rPr>
        <w:t xml:space="preserve"> </w:t>
      </w:r>
      <w:proofErr w:type="spellStart"/>
      <w:r w:rsidRPr="00204235">
        <w:rPr>
          <w:rStyle w:val="FootnoteReference"/>
          <w:rFonts w:asciiTheme="minorHAnsi" w:hAnsiTheme="minorHAnsi" w:cstheme="minorHAnsi"/>
          <w:sz w:val="18"/>
          <w:szCs w:val="18"/>
          <w:vertAlign w:val="baseline"/>
        </w:rPr>
        <w:t>Warga</w:t>
      </w:r>
      <w:proofErr w:type="spellEnd"/>
      <w:r w:rsidRPr="00204235">
        <w:rPr>
          <w:rStyle w:val="FootnoteReference"/>
          <w:rFonts w:asciiTheme="minorHAnsi" w:hAnsiTheme="minorHAnsi" w:cstheme="minorHAnsi"/>
          <w:sz w:val="18"/>
          <w:szCs w:val="18"/>
          <w:vertAlign w:val="baseline"/>
        </w:rPr>
        <w:t xml:space="preserve"> </w:t>
      </w:r>
      <w:proofErr w:type="spellStart"/>
      <w:r w:rsidRPr="00204235">
        <w:rPr>
          <w:rStyle w:val="FootnoteReference"/>
          <w:rFonts w:asciiTheme="minorHAnsi" w:hAnsiTheme="minorHAnsi" w:cstheme="minorHAnsi"/>
          <w:sz w:val="18"/>
          <w:szCs w:val="18"/>
          <w:vertAlign w:val="baseline"/>
        </w:rPr>
        <w:t>Belajar</w:t>
      </w:r>
      <w:proofErr w:type="spellEnd"/>
      <w:r w:rsidRPr="00204235">
        <w:rPr>
          <w:rStyle w:val="FootnoteReference"/>
          <w:rFonts w:asciiTheme="minorHAnsi" w:hAnsiTheme="minorHAnsi" w:cstheme="minorHAnsi"/>
          <w:sz w:val="18"/>
          <w:szCs w:val="18"/>
          <w:vertAlign w:val="baseline"/>
        </w:rPr>
        <w:t>/</w:t>
      </w:r>
      <w:proofErr w:type="spellStart"/>
      <w:r w:rsidRPr="00204235">
        <w:rPr>
          <w:rStyle w:val="FootnoteReference"/>
          <w:rFonts w:asciiTheme="minorHAnsi" w:hAnsiTheme="minorHAnsi" w:cstheme="minorHAnsi"/>
          <w:sz w:val="18"/>
          <w:szCs w:val="18"/>
          <w:vertAlign w:val="baseline"/>
        </w:rPr>
        <w:t>Peserta</w:t>
      </w:r>
      <w:proofErr w:type="spellEnd"/>
      <w:r w:rsidRPr="00204235">
        <w:rPr>
          <w:rStyle w:val="FootnoteReference"/>
          <w:rFonts w:asciiTheme="minorHAnsi" w:hAnsiTheme="minorHAnsi" w:cstheme="minorHAnsi"/>
          <w:sz w:val="18"/>
          <w:szCs w:val="18"/>
          <w:vertAlign w:val="baseline"/>
        </w:rPr>
        <w:t xml:space="preserve"> </w:t>
      </w:r>
      <w:proofErr w:type="spellStart"/>
      <w:r w:rsidRPr="00204235">
        <w:rPr>
          <w:rStyle w:val="FootnoteReference"/>
          <w:rFonts w:asciiTheme="minorHAnsi" w:hAnsiTheme="minorHAnsi" w:cstheme="minorHAnsi"/>
          <w:sz w:val="18"/>
          <w:szCs w:val="18"/>
          <w:vertAlign w:val="baseline"/>
        </w:rPr>
        <w:t>Didik</w:t>
      </w:r>
      <w:proofErr w:type="spellEnd"/>
      <w:r w:rsidRPr="00204235">
        <w:rPr>
          <w:rStyle w:val="FootnoteReference"/>
          <w:rFonts w:asciiTheme="minorHAnsi" w:hAnsiTheme="minorHAnsi" w:cstheme="minorHAnsi"/>
          <w:sz w:val="18"/>
          <w:szCs w:val="18"/>
          <w:vertAlign w:val="baseli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3D4B" w14:textId="77777777" w:rsidR="00EF1E65" w:rsidRDefault="00EF1E65">
    <w:pPr>
      <w:pStyle w:val="Header"/>
    </w:pPr>
  </w:p>
  <w:p w14:paraId="6B1E834A" w14:textId="77777777" w:rsidR="009D6CA8" w:rsidRDefault="009D6C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00D2" w14:textId="5881101B" w:rsidR="00EC1345" w:rsidRPr="000854FD" w:rsidRDefault="00EC1345" w:rsidP="00DB058C">
    <w:pPr>
      <w:pStyle w:val="Header"/>
      <w:tabs>
        <w:tab w:val="clear" w:pos="4513"/>
        <w:tab w:val="clear" w:pos="9026"/>
        <w:tab w:val="left" w:pos="9484"/>
      </w:tabs>
    </w:pPr>
    <w:r w:rsidRPr="00943730">
      <w:rPr>
        <w:noProof/>
        <w:lang w:eastAsia="en-AU"/>
      </w:rPr>
      <w:drawing>
        <wp:anchor distT="0" distB="0" distL="114300" distR="114300" simplePos="0" relativeHeight="251658241" behindDoc="1" locked="1" layoutInCell="1" allowOverlap="1" wp14:anchorId="47599557" wp14:editId="3989D3A2">
          <wp:simplePos x="0" y="0"/>
          <wp:positionH relativeFrom="page">
            <wp:posOffset>15240</wp:posOffset>
          </wp:positionH>
          <wp:positionV relativeFrom="page">
            <wp:posOffset>0</wp:posOffset>
          </wp:positionV>
          <wp:extent cx="10246995" cy="10692765"/>
          <wp:effectExtent l="0" t="0" r="190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46995" cy="1069276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7E96" w14:textId="46E8FE12" w:rsidR="00EC1345" w:rsidRPr="00943730" w:rsidRDefault="00EC1345" w:rsidP="003352A9">
    <w:pPr>
      <w:pStyle w:val="Header"/>
      <w:ind w:left="0"/>
    </w:pPr>
    <w:r w:rsidRPr="00252C04">
      <w:rPr>
        <w:noProof/>
        <w:lang w:eastAsia="en-AU"/>
      </w:rPr>
      <w:drawing>
        <wp:anchor distT="0" distB="0" distL="114300" distR="114300" simplePos="0" relativeHeight="251658240" behindDoc="1" locked="1" layoutInCell="1" allowOverlap="1" wp14:anchorId="20F29F8B" wp14:editId="5873EDCC">
          <wp:simplePos x="0" y="0"/>
          <wp:positionH relativeFrom="page">
            <wp:posOffset>11541760</wp:posOffset>
          </wp:positionH>
          <wp:positionV relativeFrom="page">
            <wp:posOffset>928370</wp:posOffset>
          </wp:positionV>
          <wp:extent cx="1115060" cy="512445"/>
          <wp:effectExtent l="0" t="0" r="889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202342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6423B8"/>
    <w:multiLevelType w:val="hybridMultilevel"/>
    <w:tmpl w:val="F776F9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6796E"/>
    <w:multiLevelType w:val="hybridMultilevel"/>
    <w:tmpl w:val="828472C8"/>
    <w:lvl w:ilvl="0" w:tplc="04090003">
      <w:start w:val="1"/>
      <w:numFmt w:val="bullet"/>
      <w:lvlText w:val="o"/>
      <w:lvlJc w:val="left"/>
      <w:pPr>
        <w:ind w:left="720" w:hanging="360"/>
      </w:pPr>
      <w:rPr>
        <w:rFonts w:ascii="Courier New" w:hAnsi="Courier New" w:cs="Courier New" w:hint="default"/>
        <w:sz w:val="16"/>
      </w:rPr>
    </w:lvl>
    <w:lvl w:ilvl="1" w:tplc="08090003">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3" w15:restartNumberingAfterBreak="0">
    <w:nsid w:val="05BB06CB"/>
    <w:multiLevelType w:val="hybridMultilevel"/>
    <w:tmpl w:val="105CE60A"/>
    <w:lvl w:ilvl="0" w:tplc="ABBCD43A">
      <w:start w:val="1"/>
      <w:numFmt w:val="upperLetter"/>
      <w:lvlText w:val="%1."/>
      <w:lvlJc w:val="left"/>
      <w:pPr>
        <w:ind w:left="360" w:hanging="360"/>
      </w:pPr>
      <w:rPr>
        <w:rFonts w:hint="default"/>
        <w:b/>
        <w:b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75671D"/>
    <w:multiLevelType w:val="hybridMultilevel"/>
    <w:tmpl w:val="38881B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AD11D2B"/>
    <w:multiLevelType w:val="hybridMultilevel"/>
    <w:tmpl w:val="58C8641A"/>
    <w:lvl w:ilvl="0" w:tplc="983CAF82">
      <w:start w:val="3"/>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2C5B6D"/>
    <w:multiLevelType w:val="hybridMultilevel"/>
    <w:tmpl w:val="8278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A323C"/>
    <w:multiLevelType w:val="hybridMultilevel"/>
    <w:tmpl w:val="0F965D92"/>
    <w:lvl w:ilvl="0" w:tplc="945C0BC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364" w:hanging="360"/>
      </w:pPr>
      <w:rPr>
        <w:rFonts w:ascii="Courier New" w:hAnsi="Courier New" w:cs="Courier New" w:hint="default"/>
      </w:rPr>
    </w:lvl>
    <w:lvl w:ilvl="2" w:tplc="FFFFFFFF">
      <w:start w:val="7"/>
      <w:numFmt w:val="bullet"/>
      <w:lvlText w:val="·"/>
      <w:lvlJc w:val="left"/>
      <w:pPr>
        <w:ind w:left="2124" w:hanging="400"/>
      </w:pPr>
      <w:rPr>
        <w:rFonts w:ascii="Calibri" w:eastAsia="Times New Roman" w:hAnsi="Calibri" w:cs="Times New Roman"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10467B5F"/>
    <w:multiLevelType w:val="hybridMultilevel"/>
    <w:tmpl w:val="8B0A9D98"/>
    <w:lvl w:ilvl="0" w:tplc="08090001">
      <w:start w:val="1"/>
      <w:numFmt w:val="bullet"/>
      <w:lvlText w:val=""/>
      <w:lvlJc w:val="left"/>
      <w:pPr>
        <w:ind w:left="718" w:hanging="360"/>
      </w:pPr>
      <w:rPr>
        <w:rFonts w:ascii="Symbol" w:hAnsi="Symbol" w:hint="default"/>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9B3E03"/>
    <w:multiLevelType w:val="hybridMultilevel"/>
    <w:tmpl w:val="9050DAB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0F42EA"/>
    <w:multiLevelType w:val="hybridMultilevel"/>
    <w:tmpl w:val="B6846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82B6459"/>
    <w:multiLevelType w:val="hybridMultilevel"/>
    <w:tmpl w:val="F02203AA"/>
    <w:lvl w:ilvl="0" w:tplc="983CAF82">
      <w:start w:val="3"/>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574F85"/>
    <w:multiLevelType w:val="hybridMultilevel"/>
    <w:tmpl w:val="ABF68DB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755E8"/>
    <w:multiLevelType w:val="hybridMultilevel"/>
    <w:tmpl w:val="EC22523A"/>
    <w:lvl w:ilvl="0" w:tplc="04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6" w15:restartNumberingAfterBreak="0">
    <w:nsid w:val="1EE85D9A"/>
    <w:multiLevelType w:val="hybridMultilevel"/>
    <w:tmpl w:val="2DA69524"/>
    <w:lvl w:ilvl="0" w:tplc="04090003">
      <w:start w:val="1"/>
      <w:numFmt w:val="bullet"/>
      <w:lvlText w:val="o"/>
      <w:lvlJc w:val="left"/>
      <w:pPr>
        <w:ind w:left="1866" w:hanging="360"/>
      </w:pPr>
      <w:rPr>
        <w:rFonts w:ascii="Courier New" w:hAnsi="Courier New" w:cs="Courier New" w:hint="default"/>
      </w:r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17" w15:restartNumberingAfterBreak="0">
    <w:nsid w:val="218F21E7"/>
    <w:multiLevelType w:val="hybridMultilevel"/>
    <w:tmpl w:val="BF34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B70436"/>
    <w:multiLevelType w:val="hybridMultilevel"/>
    <w:tmpl w:val="AA5E8AE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265DF"/>
    <w:multiLevelType w:val="hybridMultilevel"/>
    <w:tmpl w:val="EAAED408"/>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364" w:hanging="360"/>
      </w:pPr>
      <w:rPr>
        <w:rFonts w:ascii="Courier New" w:hAnsi="Courier New" w:cs="Courier New" w:hint="default"/>
      </w:rPr>
    </w:lvl>
    <w:lvl w:ilvl="2" w:tplc="5FC8164C">
      <w:start w:val="7"/>
      <w:numFmt w:val="bullet"/>
      <w:lvlText w:val="·"/>
      <w:lvlJc w:val="left"/>
      <w:pPr>
        <w:ind w:left="2124" w:hanging="400"/>
      </w:pPr>
      <w:rPr>
        <w:rFonts w:ascii="Calibri" w:eastAsia="Times New Roman" w:hAnsi="Calibri" w:cs="Times New Roman"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784299A"/>
    <w:multiLevelType w:val="hybridMultilevel"/>
    <w:tmpl w:val="6BAC3FF6"/>
    <w:lvl w:ilvl="0" w:tplc="4F70E0E4">
      <w:start w:val="3"/>
      <w:numFmt w:val="bullet"/>
      <w:lvlText w:val="-"/>
      <w:lvlJc w:val="left"/>
      <w:pPr>
        <w:ind w:left="718" w:hanging="360"/>
      </w:pPr>
      <w:rPr>
        <w:rFonts w:ascii="Calibri Light" w:eastAsiaTheme="minorHAnsi" w:hAnsi="Calibri Light" w:cs="Calibri Light"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1" w15:restartNumberingAfterBreak="0">
    <w:nsid w:val="2B6A3730"/>
    <w:multiLevelType w:val="hybridMultilevel"/>
    <w:tmpl w:val="DF348FD6"/>
    <w:lvl w:ilvl="0" w:tplc="04090003">
      <w:start w:val="1"/>
      <w:numFmt w:val="bullet"/>
      <w:lvlText w:val="o"/>
      <w:lvlJc w:val="left"/>
      <w:pPr>
        <w:ind w:left="644" w:hanging="360"/>
      </w:pPr>
      <w:rPr>
        <w:rFonts w:ascii="Courier New" w:hAnsi="Courier New" w:cs="Courier New"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2DAC65FE"/>
    <w:multiLevelType w:val="hybridMultilevel"/>
    <w:tmpl w:val="5CCA1BFA"/>
    <w:lvl w:ilvl="0" w:tplc="983CAF82">
      <w:start w:val="3"/>
      <w:numFmt w:val="bullet"/>
      <w:lvlText w:val="-"/>
      <w:lvlJc w:val="left"/>
      <w:pPr>
        <w:ind w:left="720" w:hanging="360"/>
      </w:pPr>
      <w:rPr>
        <w:rFonts w:ascii="Calibri Light" w:eastAsiaTheme="minorHAnsi" w:hAnsi="Calibri Light" w:cs="Calibri Light"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01FA5"/>
    <w:multiLevelType w:val="hybridMultilevel"/>
    <w:tmpl w:val="4DCC21BE"/>
    <w:lvl w:ilvl="0" w:tplc="04090003">
      <w:start w:val="1"/>
      <w:numFmt w:val="bullet"/>
      <w:lvlText w:val="o"/>
      <w:lvlJc w:val="left"/>
      <w:pPr>
        <w:ind w:left="718" w:hanging="360"/>
      </w:pPr>
      <w:rPr>
        <w:rFonts w:ascii="Courier New" w:hAnsi="Courier New" w:cs="Courier New"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5" w15:restartNumberingAfterBreak="0">
    <w:nsid w:val="399A0764"/>
    <w:multiLevelType w:val="hybridMultilevel"/>
    <w:tmpl w:val="A2D8CD1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8A53F6"/>
    <w:multiLevelType w:val="hybridMultilevel"/>
    <w:tmpl w:val="8DE4DF7C"/>
    <w:lvl w:ilvl="0" w:tplc="19B8EA12">
      <w:start w:val="1"/>
      <w:numFmt w:val="bullet"/>
      <w:lvlText w:val="•"/>
      <w:lvlJc w:val="left"/>
      <w:pPr>
        <w:ind w:left="797" w:hanging="360"/>
      </w:pPr>
      <w:rPr>
        <w:rFonts w:ascii="Arial" w:hAnsi="Arial" w:hint="default"/>
      </w:rPr>
    </w:lvl>
    <w:lvl w:ilvl="1" w:tplc="0C090003" w:tentative="1">
      <w:start w:val="1"/>
      <w:numFmt w:val="bullet"/>
      <w:lvlText w:val="o"/>
      <w:lvlJc w:val="left"/>
      <w:pPr>
        <w:ind w:left="1517" w:hanging="360"/>
      </w:pPr>
      <w:rPr>
        <w:rFonts w:ascii="Courier New" w:hAnsi="Courier New" w:cs="Courier New" w:hint="default"/>
      </w:rPr>
    </w:lvl>
    <w:lvl w:ilvl="2" w:tplc="0C090005" w:tentative="1">
      <w:start w:val="1"/>
      <w:numFmt w:val="bullet"/>
      <w:lvlText w:val=""/>
      <w:lvlJc w:val="left"/>
      <w:pPr>
        <w:ind w:left="2237" w:hanging="360"/>
      </w:pPr>
      <w:rPr>
        <w:rFonts w:ascii="Wingdings" w:hAnsi="Wingdings" w:hint="default"/>
      </w:rPr>
    </w:lvl>
    <w:lvl w:ilvl="3" w:tplc="0C090001" w:tentative="1">
      <w:start w:val="1"/>
      <w:numFmt w:val="bullet"/>
      <w:lvlText w:val=""/>
      <w:lvlJc w:val="left"/>
      <w:pPr>
        <w:ind w:left="2957" w:hanging="360"/>
      </w:pPr>
      <w:rPr>
        <w:rFonts w:ascii="Symbol" w:hAnsi="Symbol" w:hint="default"/>
      </w:rPr>
    </w:lvl>
    <w:lvl w:ilvl="4" w:tplc="0C090003" w:tentative="1">
      <w:start w:val="1"/>
      <w:numFmt w:val="bullet"/>
      <w:lvlText w:val="o"/>
      <w:lvlJc w:val="left"/>
      <w:pPr>
        <w:ind w:left="3677" w:hanging="360"/>
      </w:pPr>
      <w:rPr>
        <w:rFonts w:ascii="Courier New" w:hAnsi="Courier New" w:cs="Courier New" w:hint="default"/>
      </w:rPr>
    </w:lvl>
    <w:lvl w:ilvl="5" w:tplc="0C090005" w:tentative="1">
      <w:start w:val="1"/>
      <w:numFmt w:val="bullet"/>
      <w:lvlText w:val=""/>
      <w:lvlJc w:val="left"/>
      <w:pPr>
        <w:ind w:left="4397" w:hanging="360"/>
      </w:pPr>
      <w:rPr>
        <w:rFonts w:ascii="Wingdings" w:hAnsi="Wingdings" w:hint="default"/>
      </w:rPr>
    </w:lvl>
    <w:lvl w:ilvl="6" w:tplc="0C090001" w:tentative="1">
      <w:start w:val="1"/>
      <w:numFmt w:val="bullet"/>
      <w:lvlText w:val=""/>
      <w:lvlJc w:val="left"/>
      <w:pPr>
        <w:ind w:left="5117" w:hanging="360"/>
      </w:pPr>
      <w:rPr>
        <w:rFonts w:ascii="Symbol" w:hAnsi="Symbol" w:hint="default"/>
      </w:rPr>
    </w:lvl>
    <w:lvl w:ilvl="7" w:tplc="0C090003" w:tentative="1">
      <w:start w:val="1"/>
      <w:numFmt w:val="bullet"/>
      <w:lvlText w:val="o"/>
      <w:lvlJc w:val="left"/>
      <w:pPr>
        <w:ind w:left="5837" w:hanging="360"/>
      </w:pPr>
      <w:rPr>
        <w:rFonts w:ascii="Courier New" w:hAnsi="Courier New" w:cs="Courier New" w:hint="default"/>
      </w:rPr>
    </w:lvl>
    <w:lvl w:ilvl="8" w:tplc="0C090005" w:tentative="1">
      <w:start w:val="1"/>
      <w:numFmt w:val="bullet"/>
      <w:lvlText w:val=""/>
      <w:lvlJc w:val="left"/>
      <w:pPr>
        <w:ind w:left="6557" w:hanging="360"/>
      </w:pPr>
      <w:rPr>
        <w:rFonts w:ascii="Wingdings" w:hAnsi="Wingdings" w:hint="default"/>
      </w:rPr>
    </w:lvl>
  </w:abstractNum>
  <w:abstractNum w:abstractNumId="27" w15:restartNumberingAfterBreak="0">
    <w:nsid w:val="3D786248"/>
    <w:multiLevelType w:val="hybridMultilevel"/>
    <w:tmpl w:val="812E594A"/>
    <w:lvl w:ilvl="0" w:tplc="983CAF82">
      <w:start w:val="3"/>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E671DD"/>
    <w:multiLevelType w:val="hybridMultilevel"/>
    <w:tmpl w:val="33C6B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3941B7"/>
    <w:multiLevelType w:val="hybridMultilevel"/>
    <w:tmpl w:val="9C003B42"/>
    <w:lvl w:ilvl="0" w:tplc="04090003">
      <w:start w:val="1"/>
      <w:numFmt w:val="bullet"/>
      <w:lvlText w:val="o"/>
      <w:lvlJc w:val="left"/>
      <w:pPr>
        <w:ind w:left="718" w:hanging="360"/>
      </w:pPr>
      <w:rPr>
        <w:rFonts w:ascii="Courier New" w:hAnsi="Courier New" w:cs="Courier New"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0" w15:restartNumberingAfterBreak="0">
    <w:nsid w:val="48EE148D"/>
    <w:multiLevelType w:val="hybridMultilevel"/>
    <w:tmpl w:val="27A2EBF2"/>
    <w:lvl w:ilvl="0" w:tplc="983CAF82">
      <w:start w:val="3"/>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E663A6"/>
    <w:multiLevelType w:val="hybridMultilevel"/>
    <w:tmpl w:val="33C6BD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DBD0F93"/>
    <w:multiLevelType w:val="hybridMultilevel"/>
    <w:tmpl w:val="3BE8C6D8"/>
    <w:lvl w:ilvl="0" w:tplc="FFFFFFFF">
      <w:start w:val="1"/>
      <w:numFmt w:val="bullet"/>
      <w:lvlText w:val="o"/>
      <w:lvlJc w:val="left"/>
      <w:pPr>
        <w:ind w:left="644" w:hanging="360"/>
      </w:pPr>
      <w:rPr>
        <w:rFonts w:ascii="Courier New" w:hAnsi="Courier New" w:cs="Courier New" w:hint="default"/>
      </w:rPr>
    </w:lvl>
    <w:lvl w:ilvl="1" w:tplc="983CAF82">
      <w:start w:val="3"/>
      <w:numFmt w:val="bullet"/>
      <w:lvlText w:val="-"/>
      <w:lvlJc w:val="left"/>
      <w:pPr>
        <w:ind w:left="720" w:hanging="360"/>
      </w:pPr>
      <w:rPr>
        <w:rFonts w:ascii="Calibri Light" w:eastAsiaTheme="minorHAnsi" w:hAnsi="Calibri Light" w:cs="Calibri Light" w:hint="default"/>
      </w:rPr>
    </w:lvl>
    <w:lvl w:ilvl="2" w:tplc="5FC8164C">
      <w:start w:val="7"/>
      <w:numFmt w:val="bullet"/>
      <w:lvlText w:val="·"/>
      <w:lvlJc w:val="left"/>
      <w:pPr>
        <w:ind w:left="2124" w:hanging="400"/>
      </w:pPr>
      <w:rPr>
        <w:rFonts w:ascii="Calibri" w:eastAsia="Times New Roman" w:hAnsi="Calibri" w:cs="Times New Roman"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4EC3453B"/>
    <w:multiLevelType w:val="hybridMultilevel"/>
    <w:tmpl w:val="315619A2"/>
    <w:lvl w:ilvl="0" w:tplc="FFFFFFFF">
      <w:start w:val="1"/>
      <w:numFmt w:val="bullet"/>
      <w:lvlText w:val="o"/>
      <w:lvlJc w:val="left"/>
      <w:pPr>
        <w:ind w:left="718" w:hanging="360"/>
      </w:pPr>
      <w:rPr>
        <w:rFonts w:ascii="Courier New" w:hAnsi="Courier New" w:cs="Courier New"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4" w15:restartNumberingAfterBreak="0">
    <w:nsid w:val="50214A52"/>
    <w:multiLevelType w:val="hybridMultilevel"/>
    <w:tmpl w:val="C7361B96"/>
    <w:lvl w:ilvl="0" w:tplc="983CAF82">
      <w:start w:val="3"/>
      <w:numFmt w:val="bullet"/>
      <w:lvlText w:val="-"/>
      <w:lvlJc w:val="left"/>
      <w:pPr>
        <w:ind w:left="1080" w:hanging="360"/>
      </w:pPr>
      <w:rPr>
        <w:rFonts w:ascii="Calibri Light" w:eastAsiaTheme="minorHAnsi" w:hAnsi="Calibri Light" w:cs="Calibri Light"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11F64C0"/>
    <w:multiLevelType w:val="hybridMultilevel"/>
    <w:tmpl w:val="DFC63BA4"/>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7" w15:restartNumberingAfterBreak="0">
    <w:nsid w:val="5D3C1EA7"/>
    <w:multiLevelType w:val="multilevel"/>
    <w:tmpl w:val="A6FA45D0"/>
    <w:numStyleLink w:val="BulletsList"/>
  </w:abstractNum>
  <w:abstractNum w:abstractNumId="3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9" w15:restartNumberingAfterBreak="0">
    <w:nsid w:val="5DF729A4"/>
    <w:multiLevelType w:val="hybridMultilevel"/>
    <w:tmpl w:val="5C3E4DA8"/>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0AC6F25"/>
    <w:multiLevelType w:val="hybridMultilevel"/>
    <w:tmpl w:val="7B3E71CC"/>
    <w:lvl w:ilvl="0" w:tplc="04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409752D"/>
    <w:multiLevelType w:val="hybridMultilevel"/>
    <w:tmpl w:val="291C98BC"/>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B834223"/>
    <w:multiLevelType w:val="hybridMultilevel"/>
    <w:tmpl w:val="A2D8CD1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651E7D"/>
    <w:multiLevelType w:val="hybridMultilevel"/>
    <w:tmpl w:val="A2D8CD16"/>
    <w:lvl w:ilvl="0" w:tplc="04090017">
      <w:start w:val="1"/>
      <w:numFmt w:val="lowerLetter"/>
      <w:lvlText w:val="%1)"/>
      <w:lvlJc w:val="left"/>
      <w:pPr>
        <w:ind w:left="2226" w:hanging="360"/>
      </w:pPr>
    </w:lvl>
    <w:lvl w:ilvl="1" w:tplc="08090019" w:tentative="1">
      <w:start w:val="1"/>
      <w:numFmt w:val="lowerLetter"/>
      <w:lvlText w:val="%2."/>
      <w:lvlJc w:val="left"/>
      <w:pPr>
        <w:ind w:left="2946" w:hanging="360"/>
      </w:pPr>
    </w:lvl>
    <w:lvl w:ilvl="2" w:tplc="0809001B" w:tentative="1">
      <w:start w:val="1"/>
      <w:numFmt w:val="lowerRoman"/>
      <w:lvlText w:val="%3."/>
      <w:lvlJc w:val="right"/>
      <w:pPr>
        <w:ind w:left="3666" w:hanging="180"/>
      </w:pPr>
    </w:lvl>
    <w:lvl w:ilvl="3" w:tplc="0809000F" w:tentative="1">
      <w:start w:val="1"/>
      <w:numFmt w:val="decimal"/>
      <w:lvlText w:val="%4."/>
      <w:lvlJc w:val="left"/>
      <w:pPr>
        <w:ind w:left="4386" w:hanging="360"/>
      </w:pPr>
    </w:lvl>
    <w:lvl w:ilvl="4" w:tplc="08090019" w:tentative="1">
      <w:start w:val="1"/>
      <w:numFmt w:val="lowerLetter"/>
      <w:lvlText w:val="%5."/>
      <w:lvlJc w:val="left"/>
      <w:pPr>
        <w:ind w:left="5106" w:hanging="360"/>
      </w:pPr>
    </w:lvl>
    <w:lvl w:ilvl="5" w:tplc="0809001B" w:tentative="1">
      <w:start w:val="1"/>
      <w:numFmt w:val="lowerRoman"/>
      <w:lvlText w:val="%6."/>
      <w:lvlJc w:val="right"/>
      <w:pPr>
        <w:ind w:left="5826" w:hanging="180"/>
      </w:pPr>
    </w:lvl>
    <w:lvl w:ilvl="6" w:tplc="0809000F" w:tentative="1">
      <w:start w:val="1"/>
      <w:numFmt w:val="decimal"/>
      <w:lvlText w:val="%7."/>
      <w:lvlJc w:val="left"/>
      <w:pPr>
        <w:ind w:left="6546" w:hanging="360"/>
      </w:pPr>
    </w:lvl>
    <w:lvl w:ilvl="7" w:tplc="08090019" w:tentative="1">
      <w:start w:val="1"/>
      <w:numFmt w:val="lowerLetter"/>
      <w:lvlText w:val="%8."/>
      <w:lvlJc w:val="left"/>
      <w:pPr>
        <w:ind w:left="7266" w:hanging="360"/>
      </w:pPr>
    </w:lvl>
    <w:lvl w:ilvl="8" w:tplc="0809001B" w:tentative="1">
      <w:start w:val="1"/>
      <w:numFmt w:val="lowerRoman"/>
      <w:lvlText w:val="%9."/>
      <w:lvlJc w:val="right"/>
      <w:pPr>
        <w:ind w:left="7986" w:hanging="180"/>
      </w:pPr>
    </w:lvl>
  </w:abstractNum>
  <w:abstractNum w:abstractNumId="44" w15:restartNumberingAfterBreak="0">
    <w:nsid w:val="6CF543E8"/>
    <w:multiLevelType w:val="hybridMultilevel"/>
    <w:tmpl w:val="9A68152E"/>
    <w:lvl w:ilvl="0" w:tplc="983CAF82">
      <w:start w:val="3"/>
      <w:numFmt w:val="bullet"/>
      <w:lvlText w:val="-"/>
      <w:lvlJc w:val="left"/>
      <w:pPr>
        <w:ind w:left="360" w:hanging="360"/>
      </w:pPr>
      <w:rPr>
        <w:rFonts w:ascii="Calibri Light" w:eastAsiaTheme="minorHAnsi" w:hAnsi="Calibri Light" w:cs="Calibri Light" w:hint="default"/>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DA649FA"/>
    <w:multiLevelType w:val="hybridMultilevel"/>
    <w:tmpl w:val="7C48614E"/>
    <w:lvl w:ilvl="0" w:tplc="0742AB5A">
      <w:start w:val="1"/>
      <w:numFmt w:val="lowerLetter"/>
      <w:lvlText w:val="(%1)"/>
      <w:lvlJc w:val="left"/>
      <w:pPr>
        <w:ind w:left="360" w:hanging="360"/>
      </w:pPr>
      <w:rPr>
        <w:rFonts w:hint="default"/>
        <w:b w:val="0"/>
      </w:rPr>
    </w:lvl>
    <w:lvl w:ilvl="1" w:tplc="08090003" w:tentative="1">
      <w:start w:val="1"/>
      <w:numFmt w:val="bullet"/>
      <w:lvlText w:val="o"/>
      <w:lvlJc w:val="left"/>
      <w:pPr>
        <w:ind w:left="2878" w:hanging="360"/>
      </w:pPr>
      <w:rPr>
        <w:rFonts w:ascii="Courier New" w:hAnsi="Courier New" w:cs="Courier New" w:hint="default"/>
      </w:rPr>
    </w:lvl>
    <w:lvl w:ilvl="2" w:tplc="08090005" w:tentative="1">
      <w:start w:val="1"/>
      <w:numFmt w:val="bullet"/>
      <w:lvlText w:val=""/>
      <w:lvlJc w:val="left"/>
      <w:pPr>
        <w:ind w:left="3598" w:hanging="360"/>
      </w:pPr>
      <w:rPr>
        <w:rFonts w:ascii="Wingdings" w:hAnsi="Wingdings" w:hint="default"/>
      </w:rPr>
    </w:lvl>
    <w:lvl w:ilvl="3" w:tplc="08090001" w:tentative="1">
      <w:start w:val="1"/>
      <w:numFmt w:val="bullet"/>
      <w:lvlText w:val=""/>
      <w:lvlJc w:val="left"/>
      <w:pPr>
        <w:ind w:left="4318" w:hanging="360"/>
      </w:pPr>
      <w:rPr>
        <w:rFonts w:ascii="Symbol" w:hAnsi="Symbol" w:hint="default"/>
      </w:rPr>
    </w:lvl>
    <w:lvl w:ilvl="4" w:tplc="08090003" w:tentative="1">
      <w:start w:val="1"/>
      <w:numFmt w:val="bullet"/>
      <w:lvlText w:val="o"/>
      <w:lvlJc w:val="left"/>
      <w:pPr>
        <w:ind w:left="5038" w:hanging="360"/>
      </w:pPr>
      <w:rPr>
        <w:rFonts w:ascii="Courier New" w:hAnsi="Courier New" w:cs="Courier New" w:hint="default"/>
      </w:rPr>
    </w:lvl>
    <w:lvl w:ilvl="5" w:tplc="08090005" w:tentative="1">
      <w:start w:val="1"/>
      <w:numFmt w:val="bullet"/>
      <w:lvlText w:val=""/>
      <w:lvlJc w:val="left"/>
      <w:pPr>
        <w:ind w:left="5758" w:hanging="360"/>
      </w:pPr>
      <w:rPr>
        <w:rFonts w:ascii="Wingdings" w:hAnsi="Wingdings" w:hint="default"/>
      </w:rPr>
    </w:lvl>
    <w:lvl w:ilvl="6" w:tplc="08090001" w:tentative="1">
      <w:start w:val="1"/>
      <w:numFmt w:val="bullet"/>
      <w:lvlText w:val=""/>
      <w:lvlJc w:val="left"/>
      <w:pPr>
        <w:ind w:left="6478" w:hanging="360"/>
      </w:pPr>
      <w:rPr>
        <w:rFonts w:ascii="Symbol" w:hAnsi="Symbol" w:hint="default"/>
      </w:rPr>
    </w:lvl>
    <w:lvl w:ilvl="7" w:tplc="08090003" w:tentative="1">
      <w:start w:val="1"/>
      <w:numFmt w:val="bullet"/>
      <w:lvlText w:val="o"/>
      <w:lvlJc w:val="left"/>
      <w:pPr>
        <w:ind w:left="7198" w:hanging="360"/>
      </w:pPr>
      <w:rPr>
        <w:rFonts w:ascii="Courier New" w:hAnsi="Courier New" w:cs="Courier New" w:hint="default"/>
      </w:rPr>
    </w:lvl>
    <w:lvl w:ilvl="8" w:tplc="08090005" w:tentative="1">
      <w:start w:val="1"/>
      <w:numFmt w:val="bullet"/>
      <w:lvlText w:val=""/>
      <w:lvlJc w:val="left"/>
      <w:pPr>
        <w:ind w:left="7918" w:hanging="360"/>
      </w:pPr>
      <w:rPr>
        <w:rFonts w:ascii="Wingdings" w:hAnsi="Wingdings" w:hint="default"/>
      </w:rPr>
    </w:lvl>
  </w:abstractNum>
  <w:abstractNum w:abstractNumId="46" w15:restartNumberingAfterBreak="0">
    <w:nsid w:val="6E737D57"/>
    <w:multiLevelType w:val="hybridMultilevel"/>
    <w:tmpl w:val="F7AE715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288" w:hanging="360"/>
      </w:pPr>
      <w:rPr>
        <w:rFonts w:ascii="Courier New" w:hAnsi="Courier New" w:cs="Courier New" w:hint="default"/>
      </w:rPr>
    </w:lvl>
    <w:lvl w:ilvl="2" w:tplc="08090005" w:tentative="1">
      <w:start w:val="1"/>
      <w:numFmt w:val="bullet"/>
      <w:lvlText w:val=""/>
      <w:lvlJc w:val="left"/>
      <w:pPr>
        <w:ind w:left="2008" w:hanging="360"/>
      </w:pPr>
      <w:rPr>
        <w:rFonts w:ascii="Wingdings" w:hAnsi="Wingdings" w:hint="default"/>
      </w:rPr>
    </w:lvl>
    <w:lvl w:ilvl="3" w:tplc="08090001" w:tentative="1">
      <w:start w:val="1"/>
      <w:numFmt w:val="bullet"/>
      <w:lvlText w:val=""/>
      <w:lvlJc w:val="left"/>
      <w:pPr>
        <w:ind w:left="2728" w:hanging="360"/>
      </w:pPr>
      <w:rPr>
        <w:rFonts w:ascii="Symbol" w:hAnsi="Symbol" w:hint="default"/>
      </w:rPr>
    </w:lvl>
    <w:lvl w:ilvl="4" w:tplc="08090003" w:tentative="1">
      <w:start w:val="1"/>
      <w:numFmt w:val="bullet"/>
      <w:lvlText w:val="o"/>
      <w:lvlJc w:val="left"/>
      <w:pPr>
        <w:ind w:left="3448" w:hanging="360"/>
      </w:pPr>
      <w:rPr>
        <w:rFonts w:ascii="Courier New" w:hAnsi="Courier New" w:cs="Courier New" w:hint="default"/>
      </w:rPr>
    </w:lvl>
    <w:lvl w:ilvl="5" w:tplc="08090005" w:tentative="1">
      <w:start w:val="1"/>
      <w:numFmt w:val="bullet"/>
      <w:lvlText w:val=""/>
      <w:lvlJc w:val="left"/>
      <w:pPr>
        <w:ind w:left="4168" w:hanging="360"/>
      </w:pPr>
      <w:rPr>
        <w:rFonts w:ascii="Wingdings" w:hAnsi="Wingdings" w:hint="default"/>
      </w:rPr>
    </w:lvl>
    <w:lvl w:ilvl="6" w:tplc="08090001" w:tentative="1">
      <w:start w:val="1"/>
      <w:numFmt w:val="bullet"/>
      <w:lvlText w:val=""/>
      <w:lvlJc w:val="left"/>
      <w:pPr>
        <w:ind w:left="4888" w:hanging="360"/>
      </w:pPr>
      <w:rPr>
        <w:rFonts w:ascii="Symbol" w:hAnsi="Symbol" w:hint="default"/>
      </w:rPr>
    </w:lvl>
    <w:lvl w:ilvl="7" w:tplc="08090003" w:tentative="1">
      <w:start w:val="1"/>
      <w:numFmt w:val="bullet"/>
      <w:lvlText w:val="o"/>
      <w:lvlJc w:val="left"/>
      <w:pPr>
        <w:ind w:left="5608" w:hanging="360"/>
      </w:pPr>
      <w:rPr>
        <w:rFonts w:ascii="Courier New" w:hAnsi="Courier New" w:cs="Courier New" w:hint="default"/>
      </w:rPr>
    </w:lvl>
    <w:lvl w:ilvl="8" w:tplc="08090005" w:tentative="1">
      <w:start w:val="1"/>
      <w:numFmt w:val="bullet"/>
      <w:lvlText w:val=""/>
      <w:lvlJc w:val="left"/>
      <w:pPr>
        <w:ind w:left="6328" w:hanging="360"/>
      </w:pPr>
      <w:rPr>
        <w:rFonts w:ascii="Wingdings" w:hAnsi="Wingdings" w:hint="default"/>
      </w:rPr>
    </w:lvl>
  </w:abstractNum>
  <w:abstractNum w:abstractNumId="47" w15:restartNumberingAfterBreak="0">
    <w:nsid w:val="6ED24A23"/>
    <w:multiLevelType w:val="hybridMultilevel"/>
    <w:tmpl w:val="D3944CA6"/>
    <w:lvl w:ilvl="0" w:tplc="19B8EA12">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ED65A1B"/>
    <w:multiLevelType w:val="hybridMultilevel"/>
    <w:tmpl w:val="F53CB114"/>
    <w:lvl w:ilvl="0" w:tplc="D556FAF2">
      <w:start w:val="1"/>
      <w:numFmt w:val="decimal"/>
      <w:lvlText w:val="%1)"/>
      <w:lvlJc w:val="left"/>
      <w:pPr>
        <w:ind w:left="644" w:hanging="360"/>
      </w:pPr>
      <w:rPr>
        <w:rFonts w:hint="default"/>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9" w15:restartNumberingAfterBreak="0">
    <w:nsid w:val="72643EC1"/>
    <w:multiLevelType w:val="hybridMultilevel"/>
    <w:tmpl w:val="52E46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1" w15:restartNumberingAfterBreak="0">
    <w:nsid w:val="74DB58D1"/>
    <w:multiLevelType w:val="hybridMultilevel"/>
    <w:tmpl w:val="75E0A89A"/>
    <w:lvl w:ilvl="0" w:tplc="945C0BC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5DA7429"/>
    <w:multiLevelType w:val="hybridMultilevel"/>
    <w:tmpl w:val="4B36BFB8"/>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53" w15:restartNumberingAfterBreak="0">
    <w:nsid w:val="75DF4C4A"/>
    <w:multiLevelType w:val="hybridMultilevel"/>
    <w:tmpl w:val="0E321352"/>
    <w:lvl w:ilvl="0" w:tplc="19B8EA12">
      <w:start w:val="1"/>
      <w:numFmt w:val="bullet"/>
      <w:lvlText w:val="•"/>
      <w:lvlJc w:val="left"/>
      <w:pPr>
        <w:ind w:left="360" w:hanging="360"/>
      </w:pPr>
      <w:rPr>
        <w:rFonts w:ascii="Arial" w:hAnsi="Arial" w:hint="default"/>
        <w:color w:val="auto"/>
      </w:rPr>
    </w:lvl>
    <w:lvl w:ilvl="1" w:tplc="08090003" w:tentative="1">
      <w:start w:val="1"/>
      <w:numFmt w:val="bullet"/>
      <w:lvlText w:val="o"/>
      <w:lvlJc w:val="left"/>
      <w:pPr>
        <w:ind w:left="722" w:hanging="360"/>
      </w:pPr>
      <w:rPr>
        <w:rFonts w:ascii="Courier New" w:hAnsi="Courier New" w:cs="Courier New" w:hint="default"/>
      </w:rPr>
    </w:lvl>
    <w:lvl w:ilvl="2" w:tplc="08090005" w:tentative="1">
      <w:start w:val="1"/>
      <w:numFmt w:val="bullet"/>
      <w:lvlText w:val=""/>
      <w:lvlJc w:val="left"/>
      <w:pPr>
        <w:ind w:left="1442" w:hanging="360"/>
      </w:pPr>
      <w:rPr>
        <w:rFonts w:ascii="Wingdings" w:hAnsi="Wingdings" w:hint="default"/>
      </w:rPr>
    </w:lvl>
    <w:lvl w:ilvl="3" w:tplc="08090001" w:tentative="1">
      <w:start w:val="1"/>
      <w:numFmt w:val="bullet"/>
      <w:lvlText w:val=""/>
      <w:lvlJc w:val="left"/>
      <w:pPr>
        <w:ind w:left="2162" w:hanging="360"/>
      </w:pPr>
      <w:rPr>
        <w:rFonts w:ascii="Symbol" w:hAnsi="Symbol" w:hint="default"/>
      </w:rPr>
    </w:lvl>
    <w:lvl w:ilvl="4" w:tplc="08090003" w:tentative="1">
      <w:start w:val="1"/>
      <w:numFmt w:val="bullet"/>
      <w:lvlText w:val="o"/>
      <w:lvlJc w:val="left"/>
      <w:pPr>
        <w:ind w:left="2882" w:hanging="360"/>
      </w:pPr>
      <w:rPr>
        <w:rFonts w:ascii="Courier New" w:hAnsi="Courier New" w:cs="Courier New" w:hint="default"/>
      </w:rPr>
    </w:lvl>
    <w:lvl w:ilvl="5" w:tplc="08090005" w:tentative="1">
      <w:start w:val="1"/>
      <w:numFmt w:val="bullet"/>
      <w:lvlText w:val=""/>
      <w:lvlJc w:val="left"/>
      <w:pPr>
        <w:ind w:left="3602" w:hanging="360"/>
      </w:pPr>
      <w:rPr>
        <w:rFonts w:ascii="Wingdings" w:hAnsi="Wingdings" w:hint="default"/>
      </w:rPr>
    </w:lvl>
    <w:lvl w:ilvl="6" w:tplc="08090001" w:tentative="1">
      <w:start w:val="1"/>
      <w:numFmt w:val="bullet"/>
      <w:lvlText w:val=""/>
      <w:lvlJc w:val="left"/>
      <w:pPr>
        <w:ind w:left="4322" w:hanging="360"/>
      </w:pPr>
      <w:rPr>
        <w:rFonts w:ascii="Symbol" w:hAnsi="Symbol" w:hint="default"/>
      </w:rPr>
    </w:lvl>
    <w:lvl w:ilvl="7" w:tplc="08090003" w:tentative="1">
      <w:start w:val="1"/>
      <w:numFmt w:val="bullet"/>
      <w:lvlText w:val="o"/>
      <w:lvlJc w:val="left"/>
      <w:pPr>
        <w:ind w:left="5042" w:hanging="360"/>
      </w:pPr>
      <w:rPr>
        <w:rFonts w:ascii="Courier New" w:hAnsi="Courier New" w:cs="Courier New" w:hint="default"/>
      </w:rPr>
    </w:lvl>
    <w:lvl w:ilvl="8" w:tplc="08090005" w:tentative="1">
      <w:start w:val="1"/>
      <w:numFmt w:val="bullet"/>
      <w:lvlText w:val=""/>
      <w:lvlJc w:val="left"/>
      <w:pPr>
        <w:ind w:left="5762" w:hanging="360"/>
      </w:pPr>
      <w:rPr>
        <w:rFonts w:ascii="Wingdings" w:hAnsi="Wingdings" w:hint="default"/>
      </w:rPr>
    </w:lvl>
  </w:abstractNum>
  <w:abstractNum w:abstractNumId="54" w15:restartNumberingAfterBreak="0">
    <w:nsid w:val="76BF5106"/>
    <w:multiLevelType w:val="hybridMultilevel"/>
    <w:tmpl w:val="2E62AF0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6" w15:restartNumberingAfterBreak="0">
    <w:nsid w:val="7C620540"/>
    <w:multiLevelType w:val="hybridMultilevel"/>
    <w:tmpl w:val="46E41D16"/>
    <w:lvl w:ilvl="0" w:tplc="04090003">
      <w:start w:val="1"/>
      <w:numFmt w:val="bullet"/>
      <w:lvlText w:val="o"/>
      <w:lvlJc w:val="left"/>
      <w:pPr>
        <w:ind w:left="2160" w:hanging="360"/>
      </w:pPr>
      <w:rPr>
        <w:rFonts w:ascii="Courier New" w:hAnsi="Courier New" w:cs="Courier New" w:hint="default"/>
      </w:rPr>
    </w:lvl>
    <w:lvl w:ilvl="1" w:tplc="FFFFFFFF">
      <w:start w:val="1"/>
      <w:numFmt w:val="decimal"/>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7" w15:restartNumberingAfterBreak="0">
    <w:nsid w:val="7D5D2472"/>
    <w:multiLevelType w:val="hybridMultilevel"/>
    <w:tmpl w:val="D026FC4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DC82354"/>
    <w:multiLevelType w:val="hybridMultilevel"/>
    <w:tmpl w:val="3AB6B528"/>
    <w:lvl w:ilvl="0" w:tplc="945C0BCE">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9" w15:restartNumberingAfterBreak="0">
    <w:nsid w:val="7EB65B40"/>
    <w:multiLevelType w:val="hybridMultilevel"/>
    <w:tmpl w:val="A2D8CD1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61" w15:restartNumberingAfterBreak="0">
    <w:nsid w:val="7FFC4D5D"/>
    <w:multiLevelType w:val="hybridMultilevel"/>
    <w:tmpl w:val="DB40E896"/>
    <w:lvl w:ilvl="0" w:tplc="8642F310">
      <w:start w:val="1"/>
      <w:numFmt w:val="decimal"/>
      <w:lvlText w:val="%1)"/>
      <w:lvlJc w:val="left"/>
      <w:pPr>
        <w:ind w:left="1715" w:hanging="360"/>
      </w:pPr>
      <w:rPr>
        <w:rFonts w:hint="default"/>
        <w:sz w:val="22"/>
        <w:szCs w:val="22"/>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num w:numId="1" w16cid:durableId="1538467617">
    <w:abstractNumId w:val="50"/>
  </w:num>
  <w:num w:numId="2" w16cid:durableId="954210526">
    <w:abstractNumId w:val="5"/>
  </w:num>
  <w:num w:numId="3" w16cid:durableId="723261037">
    <w:abstractNumId w:val="22"/>
  </w:num>
  <w:num w:numId="4" w16cid:durableId="677998506">
    <w:abstractNumId w:val="36"/>
  </w:num>
  <w:num w:numId="5" w16cid:durableId="1522931403">
    <w:abstractNumId w:val="38"/>
  </w:num>
  <w:num w:numId="6" w16cid:durableId="987245995">
    <w:abstractNumId w:val="37"/>
  </w:num>
  <w:num w:numId="7" w16cid:durableId="336151944">
    <w:abstractNumId w:val="22"/>
  </w:num>
  <w:num w:numId="8" w16cid:durableId="1642464208">
    <w:abstractNumId w:val="5"/>
  </w:num>
  <w:num w:numId="9" w16cid:durableId="794984161">
    <w:abstractNumId w:val="12"/>
  </w:num>
  <w:num w:numId="10" w16cid:durableId="1756244400">
    <w:abstractNumId w:val="55"/>
  </w:num>
  <w:num w:numId="11" w16cid:durableId="1884176632">
    <w:abstractNumId w:val="60"/>
  </w:num>
  <w:num w:numId="12" w16cid:durableId="411238996">
    <w:abstractNumId w:val="58"/>
  </w:num>
  <w:num w:numId="13" w16cid:durableId="1706979711">
    <w:abstractNumId w:val="0"/>
  </w:num>
  <w:num w:numId="14" w16cid:durableId="1423186607">
    <w:abstractNumId w:val="35"/>
  </w:num>
  <w:num w:numId="15" w16cid:durableId="644431932">
    <w:abstractNumId w:val="20"/>
  </w:num>
  <w:num w:numId="16" w16cid:durableId="1354574716">
    <w:abstractNumId w:val="46"/>
  </w:num>
  <w:num w:numId="17" w16cid:durableId="410468545">
    <w:abstractNumId w:val="48"/>
  </w:num>
  <w:num w:numId="18" w16cid:durableId="1629317534">
    <w:abstractNumId w:val="61"/>
  </w:num>
  <w:num w:numId="19" w16cid:durableId="1978796951">
    <w:abstractNumId w:val="52"/>
  </w:num>
  <w:num w:numId="20" w16cid:durableId="1049913272">
    <w:abstractNumId w:val="33"/>
  </w:num>
  <w:num w:numId="21" w16cid:durableId="974794801">
    <w:abstractNumId w:val="27"/>
  </w:num>
  <w:num w:numId="22" w16cid:durableId="1201942499">
    <w:abstractNumId w:val="15"/>
  </w:num>
  <w:num w:numId="23" w16cid:durableId="231164782">
    <w:abstractNumId w:val="23"/>
  </w:num>
  <w:num w:numId="24" w16cid:durableId="1573201174">
    <w:abstractNumId w:val="49"/>
  </w:num>
  <w:num w:numId="25" w16cid:durableId="2035811408">
    <w:abstractNumId w:val="14"/>
  </w:num>
  <w:num w:numId="26" w16cid:durableId="205409646">
    <w:abstractNumId w:val="10"/>
  </w:num>
  <w:num w:numId="27" w16cid:durableId="1317027450">
    <w:abstractNumId w:val="32"/>
  </w:num>
  <w:num w:numId="28" w16cid:durableId="993067625">
    <w:abstractNumId w:val="40"/>
  </w:num>
  <w:num w:numId="29" w16cid:durableId="284192203">
    <w:abstractNumId w:val="57"/>
  </w:num>
  <w:num w:numId="30" w16cid:durableId="347104663">
    <w:abstractNumId w:val="54"/>
  </w:num>
  <w:num w:numId="31" w16cid:durableId="1159493381">
    <w:abstractNumId w:val="34"/>
  </w:num>
  <w:num w:numId="32" w16cid:durableId="2008900340">
    <w:abstractNumId w:val="18"/>
  </w:num>
  <w:num w:numId="33" w16cid:durableId="182549562">
    <w:abstractNumId w:val="1"/>
  </w:num>
  <w:num w:numId="34" w16cid:durableId="590552966">
    <w:abstractNumId w:val="17"/>
  </w:num>
  <w:num w:numId="35" w16cid:durableId="1406800834">
    <w:abstractNumId w:val="7"/>
  </w:num>
  <w:num w:numId="36" w16cid:durableId="1401637405">
    <w:abstractNumId w:val="28"/>
  </w:num>
  <w:num w:numId="37" w16cid:durableId="1332948096">
    <w:abstractNumId w:val="47"/>
  </w:num>
  <w:num w:numId="38" w16cid:durableId="2033526789">
    <w:abstractNumId w:val="6"/>
  </w:num>
  <w:num w:numId="39" w16cid:durableId="603806756">
    <w:abstractNumId w:val="4"/>
  </w:num>
  <w:num w:numId="40" w16cid:durableId="895434502">
    <w:abstractNumId w:val="56"/>
  </w:num>
  <w:num w:numId="41" w16cid:durableId="1403479882">
    <w:abstractNumId w:val="43"/>
  </w:num>
  <w:num w:numId="42" w16cid:durableId="1272588766">
    <w:abstractNumId w:val="16"/>
  </w:num>
  <w:num w:numId="43" w16cid:durableId="1375809823">
    <w:abstractNumId w:val="30"/>
  </w:num>
  <w:num w:numId="44" w16cid:durableId="230967649">
    <w:abstractNumId w:val="9"/>
  </w:num>
  <w:num w:numId="45" w16cid:durableId="1931809355">
    <w:abstractNumId w:val="39"/>
  </w:num>
  <w:num w:numId="46" w16cid:durableId="1635721536">
    <w:abstractNumId w:val="29"/>
  </w:num>
  <w:num w:numId="47" w16cid:durableId="226768668">
    <w:abstractNumId w:val="24"/>
  </w:num>
  <w:num w:numId="48" w16cid:durableId="796144997">
    <w:abstractNumId w:val="44"/>
  </w:num>
  <w:num w:numId="49" w16cid:durableId="64956418">
    <w:abstractNumId w:val="2"/>
  </w:num>
  <w:num w:numId="50" w16cid:durableId="1814372607">
    <w:abstractNumId w:val="19"/>
  </w:num>
  <w:num w:numId="51" w16cid:durableId="1423910052">
    <w:abstractNumId w:val="31"/>
  </w:num>
  <w:num w:numId="52" w16cid:durableId="1122184829">
    <w:abstractNumId w:val="25"/>
  </w:num>
  <w:num w:numId="53" w16cid:durableId="1161696024">
    <w:abstractNumId w:val="42"/>
  </w:num>
  <w:num w:numId="54" w16cid:durableId="1216891275">
    <w:abstractNumId w:val="59"/>
  </w:num>
  <w:num w:numId="55" w16cid:durableId="996416991">
    <w:abstractNumId w:val="13"/>
  </w:num>
  <w:num w:numId="56" w16cid:durableId="473571043">
    <w:abstractNumId w:val="45"/>
  </w:num>
  <w:num w:numId="57" w16cid:durableId="189807475">
    <w:abstractNumId w:val="21"/>
  </w:num>
  <w:num w:numId="58" w16cid:durableId="2097170685">
    <w:abstractNumId w:val="53"/>
  </w:num>
  <w:num w:numId="59" w16cid:durableId="1069574321">
    <w:abstractNumId w:val="3"/>
  </w:num>
  <w:num w:numId="60" w16cid:durableId="559364497">
    <w:abstractNumId w:val="8"/>
  </w:num>
  <w:num w:numId="61" w16cid:durableId="586426967">
    <w:abstractNumId w:val="51"/>
  </w:num>
  <w:num w:numId="62" w16cid:durableId="668094104">
    <w:abstractNumId w:val="41"/>
  </w:num>
  <w:num w:numId="63" w16cid:durableId="1474953742">
    <w:abstractNumId w:val="11"/>
  </w:num>
  <w:num w:numId="64" w16cid:durableId="542326492">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83"/>
    <w:rsid w:val="00001DA8"/>
    <w:rsid w:val="000020C1"/>
    <w:rsid w:val="00003A34"/>
    <w:rsid w:val="00004F2E"/>
    <w:rsid w:val="00004FC1"/>
    <w:rsid w:val="00006A86"/>
    <w:rsid w:val="00007DF5"/>
    <w:rsid w:val="00010D9E"/>
    <w:rsid w:val="00010E7C"/>
    <w:rsid w:val="0001129F"/>
    <w:rsid w:val="0001217B"/>
    <w:rsid w:val="00012C9C"/>
    <w:rsid w:val="00013580"/>
    <w:rsid w:val="0002080A"/>
    <w:rsid w:val="00020A29"/>
    <w:rsid w:val="0002151E"/>
    <w:rsid w:val="00021BEC"/>
    <w:rsid w:val="00025A2E"/>
    <w:rsid w:val="00027062"/>
    <w:rsid w:val="0002782F"/>
    <w:rsid w:val="0003019C"/>
    <w:rsid w:val="000301A6"/>
    <w:rsid w:val="000312B1"/>
    <w:rsid w:val="000313D7"/>
    <w:rsid w:val="00031B18"/>
    <w:rsid w:val="0003210E"/>
    <w:rsid w:val="00032230"/>
    <w:rsid w:val="00035BBF"/>
    <w:rsid w:val="0003672D"/>
    <w:rsid w:val="000407AE"/>
    <w:rsid w:val="0004168F"/>
    <w:rsid w:val="00041A76"/>
    <w:rsid w:val="0004223C"/>
    <w:rsid w:val="0004285F"/>
    <w:rsid w:val="00042B7F"/>
    <w:rsid w:val="00042DBD"/>
    <w:rsid w:val="00044664"/>
    <w:rsid w:val="000450DE"/>
    <w:rsid w:val="00045A28"/>
    <w:rsid w:val="00046211"/>
    <w:rsid w:val="000465EB"/>
    <w:rsid w:val="00050806"/>
    <w:rsid w:val="00051096"/>
    <w:rsid w:val="00051B1B"/>
    <w:rsid w:val="0005227E"/>
    <w:rsid w:val="00053AC3"/>
    <w:rsid w:val="000546D9"/>
    <w:rsid w:val="00054E4D"/>
    <w:rsid w:val="00054F0D"/>
    <w:rsid w:val="000550A1"/>
    <w:rsid w:val="00060073"/>
    <w:rsid w:val="00060161"/>
    <w:rsid w:val="00060591"/>
    <w:rsid w:val="00060855"/>
    <w:rsid w:val="00060C9C"/>
    <w:rsid w:val="000616C6"/>
    <w:rsid w:val="000616ED"/>
    <w:rsid w:val="000619CB"/>
    <w:rsid w:val="00061C5C"/>
    <w:rsid w:val="00061EEF"/>
    <w:rsid w:val="000632A1"/>
    <w:rsid w:val="0006336E"/>
    <w:rsid w:val="000634B7"/>
    <w:rsid w:val="000635B3"/>
    <w:rsid w:val="00063F9D"/>
    <w:rsid w:val="00065632"/>
    <w:rsid w:val="0006592B"/>
    <w:rsid w:val="00065BEE"/>
    <w:rsid w:val="0006725E"/>
    <w:rsid w:val="0006790D"/>
    <w:rsid w:val="000728E9"/>
    <w:rsid w:val="000732A0"/>
    <w:rsid w:val="000744FE"/>
    <w:rsid w:val="00075E99"/>
    <w:rsid w:val="00077939"/>
    <w:rsid w:val="00077C0E"/>
    <w:rsid w:val="00077DEB"/>
    <w:rsid w:val="00080DA6"/>
    <w:rsid w:val="000811DD"/>
    <w:rsid w:val="00081639"/>
    <w:rsid w:val="00082064"/>
    <w:rsid w:val="00083973"/>
    <w:rsid w:val="000854FD"/>
    <w:rsid w:val="00086616"/>
    <w:rsid w:val="000868E5"/>
    <w:rsid w:val="00090287"/>
    <w:rsid w:val="00090A20"/>
    <w:rsid w:val="00091574"/>
    <w:rsid w:val="00091C1A"/>
    <w:rsid w:val="00094DD2"/>
    <w:rsid w:val="00095A25"/>
    <w:rsid w:val="00096B64"/>
    <w:rsid w:val="00096E0B"/>
    <w:rsid w:val="000A0243"/>
    <w:rsid w:val="000A128F"/>
    <w:rsid w:val="000A1567"/>
    <w:rsid w:val="000A3221"/>
    <w:rsid w:val="000A3CE8"/>
    <w:rsid w:val="000A445F"/>
    <w:rsid w:val="000A65B5"/>
    <w:rsid w:val="000A6C60"/>
    <w:rsid w:val="000A79A3"/>
    <w:rsid w:val="000A7B17"/>
    <w:rsid w:val="000B1335"/>
    <w:rsid w:val="000B1CD3"/>
    <w:rsid w:val="000B1CD4"/>
    <w:rsid w:val="000B2B18"/>
    <w:rsid w:val="000B2E0D"/>
    <w:rsid w:val="000B3609"/>
    <w:rsid w:val="000B37F5"/>
    <w:rsid w:val="000B3963"/>
    <w:rsid w:val="000B39E6"/>
    <w:rsid w:val="000B511D"/>
    <w:rsid w:val="000B6B32"/>
    <w:rsid w:val="000C0CDA"/>
    <w:rsid w:val="000C1682"/>
    <w:rsid w:val="000C1DC2"/>
    <w:rsid w:val="000C2C4D"/>
    <w:rsid w:val="000C3CE8"/>
    <w:rsid w:val="000C4822"/>
    <w:rsid w:val="000C52F7"/>
    <w:rsid w:val="000C5386"/>
    <w:rsid w:val="000D1CDD"/>
    <w:rsid w:val="000D2974"/>
    <w:rsid w:val="000D3027"/>
    <w:rsid w:val="000D3A93"/>
    <w:rsid w:val="000D66D6"/>
    <w:rsid w:val="000D71B8"/>
    <w:rsid w:val="000D76DF"/>
    <w:rsid w:val="000E1482"/>
    <w:rsid w:val="000E3FD7"/>
    <w:rsid w:val="000E55CE"/>
    <w:rsid w:val="000F0C76"/>
    <w:rsid w:val="000F1906"/>
    <w:rsid w:val="000F22F2"/>
    <w:rsid w:val="000F42BF"/>
    <w:rsid w:val="000F4A00"/>
    <w:rsid w:val="000F5117"/>
    <w:rsid w:val="000F5140"/>
    <w:rsid w:val="000F53B5"/>
    <w:rsid w:val="000F55A4"/>
    <w:rsid w:val="000F6932"/>
    <w:rsid w:val="00100375"/>
    <w:rsid w:val="00100C86"/>
    <w:rsid w:val="00101856"/>
    <w:rsid w:val="00102ED7"/>
    <w:rsid w:val="00102F6E"/>
    <w:rsid w:val="00103EDA"/>
    <w:rsid w:val="00105032"/>
    <w:rsid w:val="0010516B"/>
    <w:rsid w:val="001052A1"/>
    <w:rsid w:val="00105A49"/>
    <w:rsid w:val="00106172"/>
    <w:rsid w:val="001076AC"/>
    <w:rsid w:val="0010796F"/>
    <w:rsid w:val="001119F0"/>
    <w:rsid w:val="0011290C"/>
    <w:rsid w:val="00112AF4"/>
    <w:rsid w:val="00113288"/>
    <w:rsid w:val="001159D1"/>
    <w:rsid w:val="00115DBA"/>
    <w:rsid w:val="001178B0"/>
    <w:rsid w:val="0012060E"/>
    <w:rsid w:val="001214BE"/>
    <w:rsid w:val="0012152E"/>
    <w:rsid w:val="001216A7"/>
    <w:rsid w:val="00122577"/>
    <w:rsid w:val="00123676"/>
    <w:rsid w:val="0012391F"/>
    <w:rsid w:val="0013101C"/>
    <w:rsid w:val="00133B55"/>
    <w:rsid w:val="00133EA3"/>
    <w:rsid w:val="0014095F"/>
    <w:rsid w:val="00141AC5"/>
    <w:rsid w:val="00142453"/>
    <w:rsid w:val="001427E6"/>
    <w:rsid w:val="00145483"/>
    <w:rsid w:val="001461D6"/>
    <w:rsid w:val="00146E29"/>
    <w:rsid w:val="0015309A"/>
    <w:rsid w:val="0015325B"/>
    <w:rsid w:val="001541EA"/>
    <w:rsid w:val="00157252"/>
    <w:rsid w:val="00161F0F"/>
    <w:rsid w:val="0016276B"/>
    <w:rsid w:val="00163A49"/>
    <w:rsid w:val="00163B35"/>
    <w:rsid w:val="00163FCD"/>
    <w:rsid w:val="00164B3F"/>
    <w:rsid w:val="001664DB"/>
    <w:rsid w:val="00166A07"/>
    <w:rsid w:val="001676CC"/>
    <w:rsid w:val="001707CC"/>
    <w:rsid w:val="00173EEC"/>
    <w:rsid w:val="0017424E"/>
    <w:rsid w:val="001751C3"/>
    <w:rsid w:val="00175DED"/>
    <w:rsid w:val="00176B04"/>
    <w:rsid w:val="0017729B"/>
    <w:rsid w:val="00180F57"/>
    <w:rsid w:val="00181C26"/>
    <w:rsid w:val="0018417D"/>
    <w:rsid w:val="001843D4"/>
    <w:rsid w:val="00187339"/>
    <w:rsid w:val="00187B36"/>
    <w:rsid w:val="00197A6C"/>
    <w:rsid w:val="00197CE6"/>
    <w:rsid w:val="001A10C9"/>
    <w:rsid w:val="001A15B2"/>
    <w:rsid w:val="001A31B0"/>
    <w:rsid w:val="001A4309"/>
    <w:rsid w:val="001A552D"/>
    <w:rsid w:val="001A5E68"/>
    <w:rsid w:val="001A70CC"/>
    <w:rsid w:val="001B0F81"/>
    <w:rsid w:val="001B2371"/>
    <w:rsid w:val="001B29E8"/>
    <w:rsid w:val="001B3743"/>
    <w:rsid w:val="001B4B0D"/>
    <w:rsid w:val="001B683F"/>
    <w:rsid w:val="001B6F38"/>
    <w:rsid w:val="001B730A"/>
    <w:rsid w:val="001C29CB"/>
    <w:rsid w:val="001C2A96"/>
    <w:rsid w:val="001C2C38"/>
    <w:rsid w:val="001C44D7"/>
    <w:rsid w:val="001C46EB"/>
    <w:rsid w:val="001D06A6"/>
    <w:rsid w:val="001D163F"/>
    <w:rsid w:val="001D388F"/>
    <w:rsid w:val="001D42A0"/>
    <w:rsid w:val="001D46C3"/>
    <w:rsid w:val="001D663E"/>
    <w:rsid w:val="001D6879"/>
    <w:rsid w:val="001D6A46"/>
    <w:rsid w:val="001D6DBC"/>
    <w:rsid w:val="001E1DC0"/>
    <w:rsid w:val="001E4A2A"/>
    <w:rsid w:val="001E5C61"/>
    <w:rsid w:val="001E61C7"/>
    <w:rsid w:val="001E64A0"/>
    <w:rsid w:val="001E6D1D"/>
    <w:rsid w:val="001E7475"/>
    <w:rsid w:val="001E7D7C"/>
    <w:rsid w:val="001F1CE0"/>
    <w:rsid w:val="001F37BD"/>
    <w:rsid w:val="001F3BEE"/>
    <w:rsid w:val="001F4A45"/>
    <w:rsid w:val="001F6C8E"/>
    <w:rsid w:val="001F726F"/>
    <w:rsid w:val="001F75A0"/>
    <w:rsid w:val="00202635"/>
    <w:rsid w:val="00203277"/>
    <w:rsid w:val="00204235"/>
    <w:rsid w:val="0020462F"/>
    <w:rsid w:val="00204DD1"/>
    <w:rsid w:val="00204F6F"/>
    <w:rsid w:val="002053C2"/>
    <w:rsid w:val="00205B2E"/>
    <w:rsid w:val="0020691D"/>
    <w:rsid w:val="00207960"/>
    <w:rsid w:val="002102D8"/>
    <w:rsid w:val="002104F2"/>
    <w:rsid w:val="00210ACA"/>
    <w:rsid w:val="0021149C"/>
    <w:rsid w:val="00211D79"/>
    <w:rsid w:val="002124F7"/>
    <w:rsid w:val="002144FA"/>
    <w:rsid w:val="00215834"/>
    <w:rsid w:val="00215C4D"/>
    <w:rsid w:val="00216050"/>
    <w:rsid w:val="002200D9"/>
    <w:rsid w:val="00220707"/>
    <w:rsid w:val="00220797"/>
    <w:rsid w:val="00221415"/>
    <w:rsid w:val="00221AD6"/>
    <w:rsid w:val="00222B56"/>
    <w:rsid w:val="00222CF2"/>
    <w:rsid w:val="0022361D"/>
    <w:rsid w:val="0022370F"/>
    <w:rsid w:val="00224D2C"/>
    <w:rsid w:val="00225AED"/>
    <w:rsid w:val="00225D00"/>
    <w:rsid w:val="002269CC"/>
    <w:rsid w:val="0023037A"/>
    <w:rsid w:val="002329DF"/>
    <w:rsid w:val="002330F6"/>
    <w:rsid w:val="00236933"/>
    <w:rsid w:val="002372C1"/>
    <w:rsid w:val="00237726"/>
    <w:rsid w:val="00237BCC"/>
    <w:rsid w:val="00242F67"/>
    <w:rsid w:val="00244D3B"/>
    <w:rsid w:val="00245AF3"/>
    <w:rsid w:val="002474AE"/>
    <w:rsid w:val="0025048E"/>
    <w:rsid w:val="00250948"/>
    <w:rsid w:val="00250992"/>
    <w:rsid w:val="00252B2B"/>
    <w:rsid w:val="00252C04"/>
    <w:rsid w:val="00254561"/>
    <w:rsid w:val="0025479A"/>
    <w:rsid w:val="00254DE3"/>
    <w:rsid w:val="002574D2"/>
    <w:rsid w:val="00257984"/>
    <w:rsid w:val="00260D66"/>
    <w:rsid w:val="0026204C"/>
    <w:rsid w:val="00262D92"/>
    <w:rsid w:val="002636D0"/>
    <w:rsid w:val="002647E5"/>
    <w:rsid w:val="002658E5"/>
    <w:rsid w:val="00265C24"/>
    <w:rsid w:val="002667B4"/>
    <w:rsid w:val="00267FBB"/>
    <w:rsid w:val="00270F3E"/>
    <w:rsid w:val="0027114E"/>
    <w:rsid w:val="00272248"/>
    <w:rsid w:val="00272CE3"/>
    <w:rsid w:val="002743C9"/>
    <w:rsid w:val="00274ACF"/>
    <w:rsid w:val="002751A4"/>
    <w:rsid w:val="002802F4"/>
    <w:rsid w:val="00280975"/>
    <w:rsid w:val="00280A9F"/>
    <w:rsid w:val="00280B51"/>
    <w:rsid w:val="00281798"/>
    <w:rsid w:val="002823BA"/>
    <w:rsid w:val="00283237"/>
    <w:rsid w:val="00284002"/>
    <w:rsid w:val="00284BF1"/>
    <w:rsid w:val="0028602A"/>
    <w:rsid w:val="00287128"/>
    <w:rsid w:val="002872A0"/>
    <w:rsid w:val="00287ECF"/>
    <w:rsid w:val="00287F64"/>
    <w:rsid w:val="00287FD5"/>
    <w:rsid w:val="00287FEF"/>
    <w:rsid w:val="00290B36"/>
    <w:rsid w:val="002914CA"/>
    <w:rsid w:val="00291DD7"/>
    <w:rsid w:val="00292128"/>
    <w:rsid w:val="00294BDC"/>
    <w:rsid w:val="00295714"/>
    <w:rsid w:val="00295997"/>
    <w:rsid w:val="0029599A"/>
    <w:rsid w:val="00296329"/>
    <w:rsid w:val="00297EFB"/>
    <w:rsid w:val="002A01B1"/>
    <w:rsid w:val="002A0D58"/>
    <w:rsid w:val="002A1003"/>
    <w:rsid w:val="002A1476"/>
    <w:rsid w:val="002A251B"/>
    <w:rsid w:val="002A48B1"/>
    <w:rsid w:val="002A7B40"/>
    <w:rsid w:val="002B04EF"/>
    <w:rsid w:val="002B09D0"/>
    <w:rsid w:val="002B1D62"/>
    <w:rsid w:val="002B204A"/>
    <w:rsid w:val="002B2541"/>
    <w:rsid w:val="002B5D41"/>
    <w:rsid w:val="002B5E10"/>
    <w:rsid w:val="002B60C2"/>
    <w:rsid w:val="002C247A"/>
    <w:rsid w:val="002C28F7"/>
    <w:rsid w:val="002C29B1"/>
    <w:rsid w:val="002C3382"/>
    <w:rsid w:val="002C52E6"/>
    <w:rsid w:val="002C7744"/>
    <w:rsid w:val="002C793D"/>
    <w:rsid w:val="002D084E"/>
    <w:rsid w:val="002D0F72"/>
    <w:rsid w:val="002D1F95"/>
    <w:rsid w:val="002D2227"/>
    <w:rsid w:val="002D2DDE"/>
    <w:rsid w:val="002D2EBF"/>
    <w:rsid w:val="002D5682"/>
    <w:rsid w:val="002D5B25"/>
    <w:rsid w:val="002D603D"/>
    <w:rsid w:val="002D7472"/>
    <w:rsid w:val="002D7D6D"/>
    <w:rsid w:val="002D7F94"/>
    <w:rsid w:val="002E00AB"/>
    <w:rsid w:val="002E1253"/>
    <w:rsid w:val="002E2D56"/>
    <w:rsid w:val="002E2FE4"/>
    <w:rsid w:val="002E32FA"/>
    <w:rsid w:val="002F0283"/>
    <w:rsid w:val="002F0680"/>
    <w:rsid w:val="002F4201"/>
    <w:rsid w:val="002F4248"/>
    <w:rsid w:val="002F4EE8"/>
    <w:rsid w:val="002F4F2B"/>
    <w:rsid w:val="002F6256"/>
    <w:rsid w:val="002F728C"/>
    <w:rsid w:val="002F7F96"/>
    <w:rsid w:val="003002C0"/>
    <w:rsid w:val="00301144"/>
    <w:rsid w:val="003022E3"/>
    <w:rsid w:val="00302FE1"/>
    <w:rsid w:val="003031C6"/>
    <w:rsid w:val="0030332F"/>
    <w:rsid w:val="00303618"/>
    <w:rsid w:val="00303A4B"/>
    <w:rsid w:val="00304984"/>
    <w:rsid w:val="003100E6"/>
    <w:rsid w:val="00310961"/>
    <w:rsid w:val="00311015"/>
    <w:rsid w:val="003112C8"/>
    <w:rsid w:val="00312BF8"/>
    <w:rsid w:val="00313DB5"/>
    <w:rsid w:val="003148B7"/>
    <w:rsid w:val="003158C3"/>
    <w:rsid w:val="00320F18"/>
    <w:rsid w:val="00325A9B"/>
    <w:rsid w:val="003271D2"/>
    <w:rsid w:val="00327288"/>
    <w:rsid w:val="003274CD"/>
    <w:rsid w:val="00327551"/>
    <w:rsid w:val="00327A96"/>
    <w:rsid w:val="0033012B"/>
    <w:rsid w:val="00330887"/>
    <w:rsid w:val="00330FF2"/>
    <w:rsid w:val="003319C9"/>
    <w:rsid w:val="00332F01"/>
    <w:rsid w:val="00333501"/>
    <w:rsid w:val="0033484F"/>
    <w:rsid w:val="003352A9"/>
    <w:rsid w:val="003364A7"/>
    <w:rsid w:val="00336701"/>
    <w:rsid w:val="00336743"/>
    <w:rsid w:val="0033729A"/>
    <w:rsid w:val="00341A78"/>
    <w:rsid w:val="00341FC5"/>
    <w:rsid w:val="0034285A"/>
    <w:rsid w:val="003435C3"/>
    <w:rsid w:val="003445CA"/>
    <w:rsid w:val="00344B46"/>
    <w:rsid w:val="003457C4"/>
    <w:rsid w:val="003505A0"/>
    <w:rsid w:val="00351164"/>
    <w:rsid w:val="0035119D"/>
    <w:rsid w:val="00351DDE"/>
    <w:rsid w:val="00353791"/>
    <w:rsid w:val="003555F8"/>
    <w:rsid w:val="0035758B"/>
    <w:rsid w:val="00357C7C"/>
    <w:rsid w:val="003608A5"/>
    <w:rsid w:val="003609B1"/>
    <w:rsid w:val="0036178A"/>
    <w:rsid w:val="003629B4"/>
    <w:rsid w:val="00362ABB"/>
    <w:rsid w:val="00363AA3"/>
    <w:rsid w:val="00366A65"/>
    <w:rsid w:val="00366E88"/>
    <w:rsid w:val="003679E5"/>
    <w:rsid w:val="00367A4D"/>
    <w:rsid w:val="00370F3D"/>
    <w:rsid w:val="003742E2"/>
    <w:rsid w:val="00374D09"/>
    <w:rsid w:val="0037632D"/>
    <w:rsid w:val="0037672E"/>
    <w:rsid w:val="00377075"/>
    <w:rsid w:val="00377325"/>
    <w:rsid w:val="003818FC"/>
    <w:rsid w:val="003843CC"/>
    <w:rsid w:val="00384D40"/>
    <w:rsid w:val="00385EC1"/>
    <w:rsid w:val="003872DE"/>
    <w:rsid w:val="00387461"/>
    <w:rsid w:val="003875AF"/>
    <w:rsid w:val="003877BB"/>
    <w:rsid w:val="003877C8"/>
    <w:rsid w:val="00387E17"/>
    <w:rsid w:val="00390E6F"/>
    <w:rsid w:val="00390F96"/>
    <w:rsid w:val="00391382"/>
    <w:rsid w:val="0039149D"/>
    <w:rsid w:val="00393078"/>
    <w:rsid w:val="0039344A"/>
    <w:rsid w:val="00393CD4"/>
    <w:rsid w:val="00394BE6"/>
    <w:rsid w:val="00395163"/>
    <w:rsid w:val="00395F79"/>
    <w:rsid w:val="003965F0"/>
    <w:rsid w:val="00396F64"/>
    <w:rsid w:val="003A0448"/>
    <w:rsid w:val="003A0D39"/>
    <w:rsid w:val="003A0FF3"/>
    <w:rsid w:val="003A3EA5"/>
    <w:rsid w:val="003A44F6"/>
    <w:rsid w:val="003A4B85"/>
    <w:rsid w:val="003A5730"/>
    <w:rsid w:val="003A5DFC"/>
    <w:rsid w:val="003B0A9D"/>
    <w:rsid w:val="003B170F"/>
    <w:rsid w:val="003B22AE"/>
    <w:rsid w:val="003B2C94"/>
    <w:rsid w:val="003B31D8"/>
    <w:rsid w:val="003B4F12"/>
    <w:rsid w:val="003B4F54"/>
    <w:rsid w:val="003B5092"/>
    <w:rsid w:val="003B5FDC"/>
    <w:rsid w:val="003B7388"/>
    <w:rsid w:val="003C0629"/>
    <w:rsid w:val="003C1D47"/>
    <w:rsid w:val="003C237C"/>
    <w:rsid w:val="003C2CE7"/>
    <w:rsid w:val="003C464B"/>
    <w:rsid w:val="003C646D"/>
    <w:rsid w:val="003C6613"/>
    <w:rsid w:val="003D1EB4"/>
    <w:rsid w:val="003D2433"/>
    <w:rsid w:val="003D25C7"/>
    <w:rsid w:val="003D3D18"/>
    <w:rsid w:val="003D63BD"/>
    <w:rsid w:val="003D7C99"/>
    <w:rsid w:val="003E1AB0"/>
    <w:rsid w:val="003E1C1F"/>
    <w:rsid w:val="003E2445"/>
    <w:rsid w:val="003E2DD1"/>
    <w:rsid w:val="003E3452"/>
    <w:rsid w:val="003E36F4"/>
    <w:rsid w:val="003E381C"/>
    <w:rsid w:val="003E4CE6"/>
    <w:rsid w:val="003E6373"/>
    <w:rsid w:val="003E6D79"/>
    <w:rsid w:val="003F044D"/>
    <w:rsid w:val="003F1499"/>
    <w:rsid w:val="003F18E2"/>
    <w:rsid w:val="003F2041"/>
    <w:rsid w:val="003F2704"/>
    <w:rsid w:val="003F2A8F"/>
    <w:rsid w:val="003F4BB7"/>
    <w:rsid w:val="003F545A"/>
    <w:rsid w:val="003F7774"/>
    <w:rsid w:val="003F7AA1"/>
    <w:rsid w:val="004017FF"/>
    <w:rsid w:val="0040236B"/>
    <w:rsid w:val="00402ACC"/>
    <w:rsid w:val="004106F2"/>
    <w:rsid w:val="004120EC"/>
    <w:rsid w:val="004128B1"/>
    <w:rsid w:val="00413DBB"/>
    <w:rsid w:val="004155AE"/>
    <w:rsid w:val="00415971"/>
    <w:rsid w:val="00415F8C"/>
    <w:rsid w:val="00416899"/>
    <w:rsid w:val="00417304"/>
    <w:rsid w:val="004208F8"/>
    <w:rsid w:val="00420C8F"/>
    <w:rsid w:val="0042127B"/>
    <w:rsid w:val="00421316"/>
    <w:rsid w:val="00421573"/>
    <w:rsid w:val="00421944"/>
    <w:rsid w:val="00421CE3"/>
    <w:rsid w:val="00422597"/>
    <w:rsid w:val="00422885"/>
    <w:rsid w:val="00423F31"/>
    <w:rsid w:val="00424C56"/>
    <w:rsid w:val="004261CE"/>
    <w:rsid w:val="004261EB"/>
    <w:rsid w:val="0043000D"/>
    <w:rsid w:val="00430CC1"/>
    <w:rsid w:val="00431899"/>
    <w:rsid w:val="00431ECE"/>
    <w:rsid w:val="004334E2"/>
    <w:rsid w:val="004340CC"/>
    <w:rsid w:val="00437031"/>
    <w:rsid w:val="00442055"/>
    <w:rsid w:val="004429CA"/>
    <w:rsid w:val="00445624"/>
    <w:rsid w:val="004459AB"/>
    <w:rsid w:val="004463D5"/>
    <w:rsid w:val="004478B7"/>
    <w:rsid w:val="004505F0"/>
    <w:rsid w:val="00451604"/>
    <w:rsid w:val="00453004"/>
    <w:rsid w:val="004533F4"/>
    <w:rsid w:val="00453888"/>
    <w:rsid w:val="00454DC7"/>
    <w:rsid w:val="0045596D"/>
    <w:rsid w:val="00456887"/>
    <w:rsid w:val="00457CAF"/>
    <w:rsid w:val="0046113B"/>
    <w:rsid w:val="00461D2F"/>
    <w:rsid w:val="00463EA3"/>
    <w:rsid w:val="00465B63"/>
    <w:rsid w:val="00466B8B"/>
    <w:rsid w:val="00466F84"/>
    <w:rsid w:val="00467BC6"/>
    <w:rsid w:val="004755F2"/>
    <w:rsid w:val="004759D0"/>
    <w:rsid w:val="00475A9D"/>
    <w:rsid w:val="004762D1"/>
    <w:rsid w:val="004777BE"/>
    <w:rsid w:val="00480B0C"/>
    <w:rsid w:val="00480BCE"/>
    <w:rsid w:val="00482AE8"/>
    <w:rsid w:val="0048492D"/>
    <w:rsid w:val="004850B0"/>
    <w:rsid w:val="00486496"/>
    <w:rsid w:val="00486804"/>
    <w:rsid w:val="00490513"/>
    <w:rsid w:val="00490745"/>
    <w:rsid w:val="00491C3F"/>
    <w:rsid w:val="0049221E"/>
    <w:rsid w:val="004939C4"/>
    <w:rsid w:val="00495AFB"/>
    <w:rsid w:val="004A102E"/>
    <w:rsid w:val="004A1AED"/>
    <w:rsid w:val="004A23B1"/>
    <w:rsid w:val="004A37EC"/>
    <w:rsid w:val="004A3EB6"/>
    <w:rsid w:val="004A43FE"/>
    <w:rsid w:val="004A451D"/>
    <w:rsid w:val="004A4618"/>
    <w:rsid w:val="004A513D"/>
    <w:rsid w:val="004A65DC"/>
    <w:rsid w:val="004A79D6"/>
    <w:rsid w:val="004A7E26"/>
    <w:rsid w:val="004B0D94"/>
    <w:rsid w:val="004B1A1D"/>
    <w:rsid w:val="004B220D"/>
    <w:rsid w:val="004B2812"/>
    <w:rsid w:val="004B3199"/>
    <w:rsid w:val="004B371A"/>
    <w:rsid w:val="004B3775"/>
    <w:rsid w:val="004B3D56"/>
    <w:rsid w:val="004B436E"/>
    <w:rsid w:val="004B4AFA"/>
    <w:rsid w:val="004B4D17"/>
    <w:rsid w:val="004B4DDF"/>
    <w:rsid w:val="004B6DF0"/>
    <w:rsid w:val="004C0171"/>
    <w:rsid w:val="004C1535"/>
    <w:rsid w:val="004C369F"/>
    <w:rsid w:val="004C4FB3"/>
    <w:rsid w:val="004C5415"/>
    <w:rsid w:val="004C5824"/>
    <w:rsid w:val="004C6342"/>
    <w:rsid w:val="004D0BA0"/>
    <w:rsid w:val="004D1054"/>
    <w:rsid w:val="004D169C"/>
    <w:rsid w:val="004D1F4D"/>
    <w:rsid w:val="004D4AAA"/>
    <w:rsid w:val="004D50BA"/>
    <w:rsid w:val="004D5589"/>
    <w:rsid w:val="004D5A3A"/>
    <w:rsid w:val="004D77AA"/>
    <w:rsid w:val="004E058F"/>
    <w:rsid w:val="004E1187"/>
    <w:rsid w:val="004E2E55"/>
    <w:rsid w:val="004E3B87"/>
    <w:rsid w:val="004E6D4A"/>
    <w:rsid w:val="004E7542"/>
    <w:rsid w:val="004F02D4"/>
    <w:rsid w:val="004F0FF1"/>
    <w:rsid w:val="004F196E"/>
    <w:rsid w:val="004F2AF9"/>
    <w:rsid w:val="004F2DC5"/>
    <w:rsid w:val="004F3D14"/>
    <w:rsid w:val="004F45BE"/>
    <w:rsid w:val="004F52AB"/>
    <w:rsid w:val="004F569C"/>
    <w:rsid w:val="004F59EC"/>
    <w:rsid w:val="004F70E2"/>
    <w:rsid w:val="004F7226"/>
    <w:rsid w:val="0050094A"/>
    <w:rsid w:val="00501042"/>
    <w:rsid w:val="00501759"/>
    <w:rsid w:val="005027A7"/>
    <w:rsid w:val="00502F7F"/>
    <w:rsid w:val="00504813"/>
    <w:rsid w:val="00505630"/>
    <w:rsid w:val="005068D0"/>
    <w:rsid w:val="00510921"/>
    <w:rsid w:val="00510A80"/>
    <w:rsid w:val="00510AD3"/>
    <w:rsid w:val="0051233F"/>
    <w:rsid w:val="00512A21"/>
    <w:rsid w:val="00512ECD"/>
    <w:rsid w:val="00513348"/>
    <w:rsid w:val="0051335E"/>
    <w:rsid w:val="00513AD8"/>
    <w:rsid w:val="00514014"/>
    <w:rsid w:val="0051518A"/>
    <w:rsid w:val="00517788"/>
    <w:rsid w:val="00517A39"/>
    <w:rsid w:val="005204D2"/>
    <w:rsid w:val="00521E7A"/>
    <w:rsid w:val="00522396"/>
    <w:rsid w:val="005226D3"/>
    <w:rsid w:val="00522B98"/>
    <w:rsid w:val="00524143"/>
    <w:rsid w:val="00524AB2"/>
    <w:rsid w:val="00524D25"/>
    <w:rsid w:val="0052679C"/>
    <w:rsid w:val="00531D9E"/>
    <w:rsid w:val="00533920"/>
    <w:rsid w:val="00533B5D"/>
    <w:rsid w:val="00533C86"/>
    <w:rsid w:val="005344C3"/>
    <w:rsid w:val="00534943"/>
    <w:rsid w:val="005360F7"/>
    <w:rsid w:val="00536461"/>
    <w:rsid w:val="00536533"/>
    <w:rsid w:val="0053695E"/>
    <w:rsid w:val="00540116"/>
    <w:rsid w:val="00540A4C"/>
    <w:rsid w:val="0054108B"/>
    <w:rsid w:val="00541135"/>
    <w:rsid w:val="00541908"/>
    <w:rsid w:val="00544435"/>
    <w:rsid w:val="00545097"/>
    <w:rsid w:val="00545E36"/>
    <w:rsid w:val="00550553"/>
    <w:rsid w:val="00550809"/>
    <w:rsid w:val="00552A94"/>
    <w:rsid w:val="00555464"/>
    <w:rsid w:val="00556329"/>
    <w:rsid w:val="00556641"/>
    <w:rsid w:val="00556C86"/>
    <w:rsid w:val="00557916"/>
    <w:rsid w:val="00557B25"/>
    <w:rsid w:val="00557D78"/>
    <w:rsid w:val="00557E45"/>
    <w:rsid w:val="005603FA"/>
    <w:rsid w:val="00561D0C"/>
    <w:rsid w:val="0057279D"/>
    <w:rsid w:val="00575ACA"/>
    <w:rsid w:val="0058326A"/>
    <w:rsid w:val="0058400F"/>
    <w:rsid w:val="00584504"/>
    <w:rsid w:val="00590554"/>
    <w:rsid w:val="00591A54"/>
    <w:rsid w:val="005938F4"/>
    <w:rsid w:val="00593BC4"/>
    <w:rsid w:val="005953EB"/>
    <w:rsid w:val="00596803"/>
    <w:rsid w:val="00596F01"/>
    <w:rsid w:val="005971FC"/>
    <w:rsid w:val="00597B27"/>
    <w:rsid w:val="005A1B92"/>
    <w:rsid w:val="005A20F6"/>
    <w:rsid w:val="005A3ABA"/>
    <w:rsid w:val="005A6DFD"/>
    <w:rsid w:val="005B034A"/>
    <w:rsid w:val="005B1CE0"/>
    <w:rsid w:val="005B2670"/>
    <w:rsid w:val="005B33E5"/>
    <w:rsid w:val="005B42A2"/>
    <w:rsid w:val="005B4E95"/>
    <w:rsid w:val="005B53E7"/>
    <w:rsid w:val="005B55E8"/>
    <w:rsid w:val="005B63B8"/>
    <w:rsid w:val="005B7965"/>
    <w:rsid w:val="005C223D"/>
    <w:rsid w:val="005C241F"/>
    <w:rsid w:val="005C2545"/>
    <w:rsid w:val="005C2A7C"/>
    <w:rsid w:val="005C2D35"/>
    <w:rsid w:val="005C2D62"/>
    <w:rsid w:val="005C2EAE"/>
    <w:rsid w:val="005C5FA4"/>
    <w:rsid w:val="005C6D93"/>
    <w:rsid w:val="005C760C"/>
    <w:rsid w:val="005D01E6"/>
    <w:rsid w:val="005D3655"/>
    <w:rsid w:val="005D49FA"/>
    <w:rsid w:val="005D716C"/>
    <w:rsid w:val="005E00D3"/>
    <w:rsid w:val="005E0340"/>
    <w:rsid w:val="005E0B5B"/>
    <w:rsid w:val="005E2B0C"/>
    <w:rsid w:val="005E3285"/>
    <w:rsid w:val="005E3B54"/>
    <w:rsid w:val="005E4830"/>
    <w:rsid w:val="005E487F"/>
    <w:rsid w:val="005E4D96"/>
    <w:rsid w:val="005E50A4"/>
    <w:rsid w:val="005E67A2"/>
    <w:rsid w:val="005F3D62"/>
    <w:rsid w:val="005F47CA"/>
    <w:rsid w:val="005F6849"/>
    <w:rsid w:val="005F6DCE"/>
    <w:rsid w:val="005F7D7C"/>
    <w:rsid w:val="0060286D"/>
    <w:rsid w:val="00605919"/>
    <w:rsid w:val="0060603F"/>
    <w:rsid w:val="00607269"/>
    <w:rsid w:val="00607FDA"/>
    <w:rsid w:val="006109FE"/>
    <w:rsid w:val="00612171"/>
    <w:rsid w:val="00613A53"/>
    <w:rsid w:val="00614A9C"/>
    <w:rsid w:val="00615588"/>
    <w:rsid w:val="006156E3"/>
    <w:rsid w:val="00617209"/>
    <w:rsid w:val="00617FAA"/>
    <w:rsid w:val="00622A33"/>
    <w:rsid w:val="00622B86"/>
    <w:rsid w:val="00623BA1"/>
    <w:rsid w:val="00624CBD"/>
    <w:rsid w:val="00626A76"/>
    <w:rsid w:val="00626AF4"/>
    <w:rsid w:val="00631670"/>
    <w:rsid w:val="00631CFA"/>
    <w:rsid w:val="0063419E"/>
    <w:rsid w:val="006346BC"/>
    <w:rsid w:val="00634AEE"/>
    <w:rsid w:val="00635C93"/>
    <w:rsid w:val="006363C3"/>
    <w:rsid w:val="006369DD"/>
    <w:rsid w:val="006412BB"/>
    <w:rsid w:val="00644F18"/>
    <w:rsid w:val="0064634B"/>
    <w:rsid w:val="00646416"/>
    <w:rsid w:val="00646D31"/>
    <w:rsid w:val="00647B62"/>
    <w:rsid w:val="006508CC"/>
    <w:rsid w:val="00651EF4"/>
    <w:rsid w:val="006530AC"/>
    <w:rsid w:val="00653127"/>
    <w:rsid w:val="00654E52"/>
    <w:rsid w:val="00655B63"/>
    <w:rsid w:val="00655D7B"/>
    <w:rsid w:val="006619C5"/>
    <w:rsid w:val="006621A2"/>
    <w:rsid w:val="00663380"/>
    <w:rsid w:val="0066413A"/>
    <w:rsid w:val="00664851"/>
    <w:rsid w:val="006649BB"/>
    <w:rsid w:val="00665D77"/>
    <w:rsid w:val="00665DB9"/>
    <w:rsid w:val="0066652A"/>
    <w:rsid w:val="0066689C"/>
    <w:rsid w:val="006714F5"/>
    <w:rsid w:val="006719C3"/>
    <w:rsid w:val="00671B7D"/>
    <w:rsid w:val="006721F7"/>
    <w:rsid w:val="00672949"/>
    <w:rsid w:val="0067322E"/>
    <w:rsid w:val="0067394A"/>
    <w:rsid w:val="0067525C"/>
    <w:rsid w:val="006763CB"/>
    <w:rsid w:val="00676DFA"/>
    <w:rsid w:val="00677564"/>
    <w:rsid w:val="00680522"/>
    <w:rsid w:val="00680DA2"/>
    <w:rsid w:val="00682167"/>
    <w:rsid w:val="006839A8"/>
    <w:rsid w:val="006860A9"/>
    <w:rsid w:val="00690100"/>
    <w:rsid w:val="006904DB"/>
    <w:rsid w:val="00690913"/>
    <w:rsid w:val="00691ECB"/>
    <w:rsid w:val="006929AA"/>
    <w:rsid w:val="00693F7C"/>
    <w:rsid w:val="00695737"/>
    <w:rsid w:val="00696C51"/>
    <w:rsid w:val="00697757"/>
    <w:rsid w:val="006A0332"/>
    <w:rsid w:val="006A08C3"/>
    <w:rsid w:val="006A1615"/>
    <w:rsid w:val="006A162B"/>
    <w:rsid w:val="006A297A"/>
    <w:rsid w:val="006A3F78"/>
    <w:rsid w:val="006A53DB"/>
    <w:rsid w:val="006A7E00"/>
    <w:rsid w:val="006B0FFB"/>
    <w:rsid w:val="006B55EE"/>
    <w:rsid w:val="006B5D0E"/>
    <w:rsid w:val="006C12FC"/>
    <w:rsid w:val="006C21CA"/>
    <w:rsid w:val="006C24B3"/>
    <w:rsid w:val="006C2EBE"/>
    <w:rsid w:val="006C42AF"/>
    <w:rsid w:val="006C4360"/>
    <w:rsid w:val="006C44C8"/>
    <w:rsid w:val="006C4619"/>
    <w:rsid w:val="006C4A32"/>
    <w:rsid w:val="006D0B15"/>
    <w:rsid w:val="006D2630"/>
    <w:rsid w:val="006D2C49"/>
    <w:rsid w:val="006D30F5"/>
    <w:rsid w:val="006D6A2E"/>
    <w:rsid w:val="006D6C4B"/>
    <w:rsid w:val="006D744E"/>
    <w:rsid w:val="006E01C4"/>
    <w:rsid w:val="006E0442"/>
    <w:rsid w:val="006E0DA2"/>
    <w:rsid w:val="006E2BF8"/>
    <w:rsid w:val="006E63A5"/>
    <w:rsid w:val="006E658F"/>
    <w:rsid w:val="006E661C"/>
    <w:rsid w:val="006E6670"/>
    <w:rsid w:val="006E6D59"/>
    <w:rsid w:val="006E79DC"/>
    <w:rsid w:val="006E7AC5"/>
    <w:rsid w:val="006F183D"/>
    <w:rsid w:val="006F3438"/>
    <w:rsid w:val="006F3F74"/>
    <w:rsid w:val="006F517B"/>
    <w:rsid w:val="006F602A"/>
    <w:rsid w:val="006F6B9B"/>
    <w:rsid w:val="006F7781"/>
    <w:rsid w:val="007005CD"/>
    <w:rsid w:val="00701172"/>
    <w:rsid w:val="00701D70"/>
    <w:rsid w:val="00703649"/>
    <w:rsid w:val="007036BE"/>
    <w:rsid w:val="00703E75"/>
    <w:rsid w:val="00704BA5"/>
    <w:rsid w:val="00705256"/>
    <w:rsid w:val="00705F5E"/>
    <w:rsid w:val="00706475"/>
    <w:rsid w:val="00707AE6"/>
    <w:rsid w:val="00711D8E"/>
    <w:rsid w:val="00711E64"/>
    <w:rsid w:val="007125F9"/>
    <w:rsid w:val="00712672"/>
    <w:rsid w:val="007129D2"/>
    <w:rsid w:val="0071386B"/>
    <w:rsid w:val="00716657"/>
    <w:rsid w:val="00716764"/>
    <w:rsid w:val="00721C2A"/>
    <w:rsid w:val="00726853"/>
    <w:rsid w:val="00726898"/>
    <w:rsid w:val="00726A5B"/>
    <w:rsid w:val="007271B6"/>
    <w:rsid w:val="0072793C"/>
    <w:rsid w:val="00727EDF"/>
    <w:rsid w:val="00730555"/>
    <w:rsid w:val="00734C81"/>
    <w:rsid w:val="00734E3F"/>
    <w:rsid w:val="00735DB9"/>
    <w:rsid w:val="00735FBC"/>
    <w:rsid w:val="00736985"/>
    <w:rsid w:val="00741094"/>
    <w:rsid w:val="007414F6"/>
    <w:rsid w:val="007436F2"/>
    <w:rsid w:val="0074451C"/>
    <w:rsid w:val="00744B57"/>
    <w:rsid w:val="00745DF5"/>
    <w:rsid w:val="00750FF9"/>
    <w:rsid w:val="00751CA0"/>
    <w:rsid w:val="007525B1"/>
    <w:rsid w:val="00753475"/>
    <w:rsid w:val="00754A38"/>
    <w:rsid w:val="00755725"/>
    <w:rsid w:val="00756EE9"/>
    <w:rsid w:val="0076015C"/>
    <w:rsid w:val="007605B9"/>
    <w:rsid w:val="00760F94"/>
    <w:rsid w:val="00761FE2"/>
    <w:rsid w:val="0076250F"/>
    <w:rsid w:val="00764C98"/>
    <w:rsid w:val="00767703"/>
    <w:rsid w:val="007706B8"/>
    <w:rsid w:val="00770C6C"/>
    <w:rsid w:val="00771B9F"/>
    <w:rsid w:val="007736BA"/>
    <w:rsid w:val="00773DE0"/>
    <w:rsid w:val="00774EE4"/>
    <w:rsid w:val="00774FD1"/>
    <w:rsid w:val="007768D2"/>
    <w:rsid w:val="00776D1E"/>
    <w:rsid w:val="00777086"/>
    <w:rsid w:val="0077763E"/>
    <w:rsid w:val="00777A1C"/>
    <w:rsid w:val="00780FA5"/>
    <w:rsid w:val="00782553"/>
    <w:rsid w:val="007844EF"/>
    <w:rsid w:val="00784CB6"/>
    <w:rsid w:val="00785C52"/>
    <w:rsid w:val="0079356A"/>
    <w:rsid w:val="00793833"/>
    <w:rsid w:val="007939FF"/>
    <w:rsid w:val="00793B08"/>
    <w:rsid w:val="00794390"/>
    <w:rsid w:val="007978ED"/>
    <w:rsid w:val="007A06C0"/>
    <w:rsid w:val="007A2381"/>
    <w:rsid w:val="007A26F1"/>
    <w:rsid w:val="007A279D"/>
    <w:rsid w:val="007A2D0B"/>
    <w:rsid w:val="007A5B3A"/>
    <w:rsid w:val="007A6258"/>
    <w:rsid w:val="007A6B60"/>
    <w:rsid w:val="007B02FA"/>
    <w:rsid w:val="007B0DA9"/>
    <w:rsid w:val="007B0F1C"/>
    <w:rsid w:val="007B2C51"/>
    <w:rsid w:val="007B499C"/>
    <w:rsid w:val="007B5CF3"/>
    <w:rsid w:val="007B6200"/>
    <w:rsid w:val="007B7655"/>
    <w:rsid w:val="007C2A1A"/>
    <w:rsid w:val="007C349D"/>
    <w:rsid w:val="007C3D79"/>
    <w:rsid w:val="007C4C88"/>
    <w:rsid w:val="007C4FCB"/>
    <w:rsid w:val="007C563A"/>
    <w:rsid w:val="007C6D43"/>
    <w:rsid w:val="007C7113"/>
    <w:rsid w:val="007D07AA"/>
    <w:rsid w:val="007D1C31"/>
    <w:rsid w:val="007D2286"/>
    <w:rsid w:val="007D2C70"/>
    <w:rsid w:val="007D3233"/>
    <w:rsid w:val="007D3B88"/>
    <w:rsid w:val="007D407E"/>
    <w:rsid w:val="007D54CF"/>
    <w:rsid w:val="007D7CC1"/>
    <w:rsid w:val="007D7F40"/>
    <w:rsid w:val="007E04E1"/>
    <w:rsid w:val="007E1662"/>
    <w:rsid w:val="007E286B"/>
    <w:rsid w:val="007E2B89"/>
    <w:rsid w:val="007E2CB4"/>
    <w:rsid w:val="007E2CD6"/>
    <w:rsid w:val="007E3A1F"/>
    <w:rsid w:val="007E4219"/>
    <w:rsid w:val="007E4D60"/>
    <w:rsid w:val="007E6C18"/>
    <w:rsid w:val="007E6EF6"/>
    <w:rsid w:val="007E7242"/>
    <w:rsid w:val="007E7849"/>
    <w:rsid w:val="007F167F"/>
    <w:rsid w:val="007F17FC"/>
    <w:rsid w:val="007F2796"/>
    <w:rsid w:val="007F279D"/>
    <w:rsid w:val="007F2D15"/>
    <w:rsid w:val="007F3223"/>
    <w:rsid w:val="007F32B5"/>
    <w:rsid w:val="007F3395"/>
    <w:rsid w:val="007F4654"/>
    <w:rsid w:val="007F7020"/>
    <w:rsid w:val="00800589"/>
    <w:rsid w:val="00801B9F"/>
    <w:rsid w:val="00801C31"/>
    <w:rsid w:val="00801E6E"/>
    <w:rsid w:val="0080204D"/>
    <w:rsid w:val="008039FA"/>
    <w:rsid w:val="00803D24"/>
    <w:rsid w:val="008044A6"/>
    <w:rsid w:val="00804D27"/>
    <w:rsid w:val="00805569"/>
    <w:rsid w:val="00805B9C"/>
    <w:rsid w:val="00805E00"/>
    <w:rsid w:val="00806836"/>
    <w:rsid w:val="00807005"/>
    <w:rsid w:val="00807E2C"/>
    <w:rsid w:val="0081048C"/>
    <w:rsid w:val="00812924"/>
    <w:rsid w:val="00812CCD"/>
    <w:rsid w:val="00815217"/>
    <w:rsid w:val="00815A9B"/>
    <w:rsid w:val="00815F76"/>
    <w:rsid w:val="00817AE0"/>
    <w:rsid w:val="00817CCE"/>
    <w:rsid w:val="00817EB4"/>
    <w:rsid w:val="008200F1"/>
    <w:rsid w:val="0082096B"/>
    <w:rsid w:val="00822A1B"/>
    <w:rsid w:val="0082545A"/>
    <w:rsid w:val="00826B8C"/>
    <w:rsid w:val="0083052F"/>
    <w:rsid w:val="008313E7"/>
    <w:rsid w:val="00831C3A"/>
    <w:rsid w:val="00832EB5"/>
    <w:rsid w:val="0083519D"/>
    <w:rsid w:val="00837165"/>
    <w:rsid w:val="00840FDA"/>
    <w:rsid w:val="008413E4"/>
    <w:rsid w:val="00842BF5"/>
    <w:rsid w:val="00844153"/>
    <w:rsid w:val="008464B3"/>
    <w:rsid w:val="008464FD"/>
    <w:rsid w:val="00846C3E"/>
    <w:rsid w:val="008475B0"/>
    <w:rsid w:val="008475F0"/>
    <w:rsid w:val="00847978"/>
    <w:rsid w:val="0085029C"/>
    <w:rsid w:val="008505CE"/>
    <w:rsid w:val="00850916"/>
    <w:rsid w:val="008509E0"/>
    <w:rsid w:val="008528E2"/>
    <w:rsid w:val="00852A78"/>
    <w:rsid w:val="00853FB9"/>
    <w:rsid w:val="00854D3A"/>
    <w:rsid w:val="008557A7"/>
    <w:rsid w:val="008568B0"/>
    <w:rsid w:val="0085722F"/>
    <w:rsid w:val="008604A1"/>
    <w:rsid w:val="00861A89"/>
    <w:rsid w:val="00861E78"/>
    <w:rsid w:val="00862165"/>
    <w:rsid w:val="00862A74"/>
    <w:rsid w:val="00862A76"/>
    <w:rsid w:val="00862E7E"/>
    <w:rsid w:val="008637C1"/>
    <w:rsid w:val="00864256"/>
    <w:rsid w:val="008649A5"/>
    <w:rsid w:val="00865488"/>
    <w:rsid w:val="0086703F"/>
    <w:rsid w:val="0086748F"/>
    <w:rsid w:val="00870273"/>
    <w:rsid w:val="00870928"/>
    <w:rsid w:val="008719DC"/>
    <w:rsid w:val="00872281"/>
    <w:rsid w:val="00873870"/>
    <w:rsid w:val="00875EF4"/>
    <w:rsid w:val="00876D73"/>
    <w:rsid w:val="008805D4"/>
    <w:rsid w:val="00880757"/>
    <w:rsid w:val="008824CC"/>
    <w:rsid w:val="0088258E"/>
    <w:rsid w:val="00883618"/>
    <w:rsid w:val="008845E1"/>
    <w:rsid w:val="00885A62"/>
    <w:rsid w:val="008865A9"/>
    <w:rsid w:val="00886782"/>
    <w:rsid w:val="00887505"/>
    <w:rsid w:val="00887CA6"/>
    <w:rsid w:val="00887D7D"/>
    <w:rsid w:val="00887D83"/>
    <w:rsid w:val="0089069C"/>
    <w:rsid w:val="00890EC8"/>
    <w:rsid w:val="008913BB"/>
    <w:rsid w:val="00891EE8"/>
    <w:rsid w:val="008925A1"/>
    <w:rsid w:val="00892A6F"/>
    <w:rsid w:val="008932BF"/>
    <w:rsid w:val="00893616"/>
    <w:rsid w:val="00893D9E"/>
    <w:rsid w:val="0089405C"/>
    <w:rsid w:val="00895DDC"/>
    <w:rsid w:val="00896953"/>
    <w:rsid w:val="00897FA2"/>
    <w:rsid w:val="008A01F1"/>
    <w:rsid w:val="008A0825"/>
    <w:rsid w:val="008A0D42"/>
    <w:rsid w:val="008A0F96"/>
    <w:rsid w:val="008A1AAF"/>
    <w:rsid w:val="008A25C6"/>
    <w:rsid w:val="008A25DD"/>
    <w:rsid w:val="008A4281"/>
    <w:rsid w:val="008A470E"/>
    <w:rsid w:val="008A48AD"/>
    <w:rsid w:val="008A5AFE"/>
    <w:rsid w:val="008A6F61"/>
    <w:rsid w:val="008B0E75"/>
    <w:rsid w:val="008B0E9C"/>
    <w:rsid w:val="008B221D"/>
    <w:rsid w:val="008B4789"/>
    <w:rsid w:val="008B7325"/>
    <w:rsid w:val="008C0515"/>
    <w:rsid w:val="008C1C26"/>
    <w:rsid w:val="008C1DC6"/>
    <w:rsid w:val="008C546E"/>
    <w:rsid w:val="008C5A0E"/>
    <w:rsid w:val="008C6BA4"/>
    <w:rsid w:val="008C6EF3"/>
    <w:rsid w:val="008C70C6"/>
    <w:rsid w:val="008D1844"/>
    <w:rsid w:val="008D1EAD"/>
    <w:rsid w:val="008D38C7"/>
    <w:rsid w:val="008D519C"/>
    <w:rsid w:val="008D5F03"/>
    <w:rsid w:val="008D7EA1"/>
    <w:rsid w:val="008D7FCC"/>
    <w:rsid w:val="008E02E4"/>
    <w:rsid w:val="008E2FB6"/>
    <w:rsid w:val="008E4830"/>
    <w:rsid w:val="008E5EC3"/>
    <w:rsid w:val="008E6405"/>
    <w:rsid w:val="008E6751"/>
    <w:rsid w:val="008E7215"/>
    <w:rsid w:val="008E7617"/>
    <w:rsid w:val="008F0BC4"/>
    <w:rsid w:val="008F1219"/>
    <w:rsid w:val="008F1951"/>
    <w:rsid w:val="008F2888"/>
    <w:rsid w:val="008F2A70"/>
    <w:rsid w:val="008F353A"/>
    <w:rsid w:val="008F4CFF"/>
    <w:rsid w:val="008F50D1"/>
    <w:rsid w:val="008F5965"/>
    <w:rsid w:val="008F5D3F"/>
    <w:rsid w:val="008F60A6"/>
    <w:rsid w:val="008F6F15"/>
    <w:rsid w:val="008F7B27"/>
    <w:rsid w:val="008F7C47"/>
    <w:rsid w:val="00901522"/>
    <w:rsid w:val="009026C4"/>
    <w:rsid w:val="00902C2D"/>
    <w:rsid w:val="0091055F"/>
    <w:rsid w:val="00911154"/>
    <w:rsid w:val="00913CA3"/>
    <w:rsid w:val="00916251"/>
    <w:rsid w:val="009163D8"/>
    <w:rsid w:val="00917FF7"/>
    <w:rsid w:val="0092026B"/>
    <w:rsid w:val="009217CD"/>
    <w:rsid w:val="009223CC"/>
    <w:rsid w:val="00926993"/>
    <w:rsid w:val="00930782"/>
    <w:rsid w:val="00931BA0"/>
    <w:rsid w:val="009322CC"/>
    <w:rsid w:val="00932A14"/>
    <w:rsid w:val="00933A89"/>
    <w:rsid w:val="009344CD"/>
    <w:rsid w:val="00935777"/>
    <w:rsid w:val="0094004E"/>
    <w:rsid w:val="009408EC"/>
    <w:rsid w:val="009414C1"/>
    <w:rsid w:val="00942879"/>
    <w:rsid w:val="00943730"/>
    <w:rsid w:val="0094721A"/>
    <w:rsid w:val="00947F08"/>
    <w:rsid w:val="0095059B"/>
    <w:rsid w:val="00951A4E"/>
    <w:rsid w:val="00954A1F"/>
    <w:rsid w:val="0095529A"/>
    <w:rsid w:val="0095622B"/>
    <w:rsid w:val="009562B4"/>
    <w:rsid w:val="00957358"/>
    <w:rsid w:val="00957B23"/>
    <w:rsid w:val="00960A4B"/>
    <w:rsid w:val="00961060"/>
    <w:rsid w:val="00961E72"/>
    <w:rsid w:val="00962871"/>
    <w:rsid w:val="0096310F"/>
    <w:rsid w:val="00963143"/>
    <w:rsid w:val="0096333E"/>
    <w:rsid w:val="009635CD"/>
    <w:rsid w:val="00964CCA"/>
    <w:rsid w:val="009657FF"/>
    <w:rsid w:val="00965EC0"/>
    <w:rsid w:val="00967ACB"/>
    <w:rsid w:val="009707E9"/>
    <w:rsid w:val="009725FF"/>
    <w:rsid w:val="0097291B"/>
    <w:rsid w:val="009740DC"/>
    <w:rsid w:val="00974377"/>
    <w:rsid w:val="00974E27"/>
    <w:rsid w:val="00975CA5"/>
    <w:rsid w:val="009762DD"/>
    <w:rsid w:val="00976CD9"/>
    <w:rsid w:val="009803DB"/>
    <w:rsid w:val="00980AB7"/>
    <w:rsid w:val="0098224B"/>
    <w:rsid w:val="00982672"/>
    <w:rsid w:val="00983AED"/>
    <w:rsid w:val="00984443"/>
    <w:rsid w:val="00985001"/>
    <w:rsid w:val="00985BCA"/>
    <w:rsid w:val="00985EA3"/>
    <w:rsid w:val="00986590"/>
    <w:rsid w:val="0098683E"/>
    <w:rsid w:val="00986B29"/>
    <w:rsid w:val="0098718C"/>
    <w:rsid w:val="00987260"/>
    <w:rsid w:val="009879F0"/>
    <w:rsid w:val="00991E53"/>
    <w:rsid w:val="009921D9"/>
    <w:rsid w:val="00992C76"/>
    <w:rsid w:val="00993785"/>
    <w:rsid w:val="00993875"/>
    <w:rsid w:val="00993DEE"/>
    <w:rsid w:val="00995594"/>
    <w:rsid w:val="009969D6"/>
    <w:rsid w:val="00997091"/>
    <w:rsid w:val="009976EC"/>
    <w:rsid w:val="00997A28"/>
    <w:rsid w:val="009A1336"/>
    <w:rsid w:val="009A1462"/>
    <w:rsid w:val="009A3DD2"/>
    <w:rsid w:val="009A4524"/>
    <w:rsid w:val="009A6254"/>
    <w:rsid w:val="009A70CA"/>
    <w:rsid w:val="009A73E2"/>
    <w:rsid w:val="009B0CCC"/>
    <w:rsid w:val="009B2BDC"/>
    <w:rsid w:val="009B4D3B"/>
    <w:rsid w:val="009B4E65"/>
    <w:rsid w:val="009B5725"/>
    <w:rsid w:val="009B5B95"/>
    <w:rsid w:val="009B5D08"/>
    <w:rsid w:val="009B6281"/>
    <w:rsid w:val="009B6856"/>
    <w:rsid w:val="009B7731"/>
    <w:rsid w:val="009B7942"/>
    <w:rsid w:val="009B7D52"/>
    <w:rsid w:val="009C11F1"/>
    <w:rsid w:val="009C7D0F"/>
    <w:rsid w:val="009D022B"/>
    <w:rsid w:val="009D1C43"/>
    <w:rsid w:val="009D4DA7"/>
    <w:rsid w:val="009D6CA8"/>
    <w:rsid w:val="009D7407"/>
    <w:rsid w:val="009E04A4"/>
    <w:rsid w:val="009E0866"/>
    <w:rsid w:val="009E18AD"/>
    <w:rsid w:val="009E273C"/>
    <w:rsid w:val="009E51AF"/>
    <w:rsid w:val="009E5729"/>
    <w:rsid w:val="009E6163"/>
    <w:rsid w:val="009E6782"/>
    <w:rsid w:val="009E7871"/>
    <w:rsid w:val="009F0600"/>
    <w:rsid w:val="009F1350"/>
    <w:rsid w:val="009F2379"/>
    <w:rsid w:val="009F3A64"/>
    <w:rsid w:val="009F420B"/>
    <w:rsid w:val="009F4B5D"/>
    <w:rsid w:val="009F52D6"/>
    <w:rsid w:val="009F5430"/>
    <w:rsid w:val="009F5854"/>
    <w:rsid w:val="009F5E25"/>
    <w:rsid w:val="009F6423"/>
    <w:rsid w:val="00A00250"/>
    <w:rsid w:val="00A031ED"/>
    <w:rsid w:val="00A03364"/>
    <w:rsid w:val="00A03CF9"/>
    <w:rsid w:val="00A041B2"/>
    <w:rsid w:val="00A052C4"/>
    <w:rsid w:val="00A07161"/>
    <w:rsid w:val="00A103EF"/>
    <w:rsid w:val="00A11EFB"/>
    <w:rsid w:val="00A12A47"/>
    <w:rsid w:val="00A16CF0"/>
    <w:rsid w:val="00A175B3"/>
    <w:rsid w:val="00A22C23"/>
    <w:rsid w:val="00A24A62"/>
    <w:rsid w:val="00A24BA0"/>
    <w:rsid w:val="00A24F67"/>
    <w:rsid w:val="00A27189"/>
    <w:rsid w:val="00A27C0D"/>
    <w:rsid w:val="00A27FF1"/>
    <w:rsid w:val="00A314C6"/>
    <w:rsid w:val="00A314E6"/>
    <w:rsid w:val="00A31C9F"/>
    <w:rsid w:val="00A32858"/>
    <w:rsid w:val="00A34189"/>
    <w:rsid w:val="00A35F3B"/>
    <w:rsid w:val="00A40159"/>
    <w:rsid w:val="00A406BD"/>
    <w:rsid w:val="00A4144F"/>
    <w:rsid w:val="00A440D4"/>
    <w:rsid w:val="00A44983"/>
    <w:rsid w:val="00A45710"/>
    <w:rsid w:val="00A46D33"/>
    <w:rsid w:val="00A4711E"/>
    <w:rsid w:val="00A54296"/>
    <w:rsid w:val="00A54C6C"/>
    <w:rsid w:val="00A5526A"/>
    <w:rsid w:val="00A55BFD"/>
    <w:rsid w:val="00A56112"/>
    <w:rsid w:val="00A564C9"/>
    <w:rsid w:val="00A617D5"/>
    <w:rsid w:val="00A619B2"/>
    <w:rsid w:val="00A61B4D"/>
    <w:rsid w:val="00A64085"/>
    <w:rsid w:val="00A66018"/>
    <w:rsid w:val="00A666DB"/>
    <w:rsid w:val="00A6702E"/>
    <w:rsid w:val="00A7021F"/>
    <w:rsid w:val="00A71638"/>
    <w:rsid w:val="00A7183E"/>
    <w:rsid w:val="00A72B85"/>
    <w:rsid w:val="00A72EED"/>
    <w:rsid w:val="00A75025"/>
    <w:rsid w:val="00A757CC"/>
    <w:rsid w:val="00A75AC9"/>
    <w:rsid w:val="00A76F94"/>
    <w:rsid w:val="00A80F95"/>
    <w:rsid w:val="00A81A47"/>
    <w:rsid w:val="00A8328B"/>
    <w:rsid w:val="00A83A2E"/>
    <w:rsid w:val="00A85408"/>
    <w:rsid w:val="00A85BC6"/>
    <w:rsid w:val="00A86489"/>
    <w:rsid w:val="00A90CF0"/>
    <w:rsid w:val="00A91795"/>
    <w:rsid w:val="00A934CA"/>
    <w:rsid w:val="00A95187"/>
    <w:rsid w:val="00A957E6"/>
    <w:rsid w:val="00A95EC7"/>
    <w:rsid w:val="00A96516"/>
    <w:rsid w:val="00A96940"/>
    <w:rsid w:val="00A9707D"/>
    <w:rsid w:val="00A97BF1"/>
    <w:rsid w:val="00AA0058"/>
    <w:rsid w:val="00AA1355"/>
    <w:rsid w:val="00AA1CE0"/>
    <w:rsid w:val="00AA225A"/>
    <w:rsid w:val="00AA298A"/>
    <w:rsid w:val="00AA2FA1"/>
    <w:rsid w:val="00AA315B"/>
    <w:rsid w:val="00AA3865"/>
    <w:rsid w:val="00AA457B"/>
    <w:rsid w:val="00AA4B1E"/>
    <w:rsid w:val="00AA6D45"/>
    <w:rsid w:val="00AA7410"/>
    <w:rsid w:val="00AA77F8"/>
    <w:rsid w:val="00AB2048"/>
    <w:rsid w:val="00AB64BD"/>
    <w:rsid w:val="00AB7053"/>
    <w:rsid w:val="00AC164A"/>
    <w:rsid w:val="00AC317D"/>
    <w:rsid w:val="00AC6ADC"/>
    <w:rsid w:val="00AD00FE"/>
    <w:rsid w:val="00AD048A"/>
    <w:rsid w:val="00AD111A"/>
    <w:rsid w:val="00AD14AC"/>
    <w:rsid w:val="00AD2D19"/>
    <w:rsid w:val="00AD2E2A"/>
    <w:rsid w:val="00AD2F4F"/>
    <w:rsid w:val="00AD45F1"/>
    <w:rsid w:val="00AD4E55"/>
    <w:rsid w:val="00AD669A"/>
    <w:rsid w:val="00AD6A9F"/>
    <w:rsid w:val="00AD6AE6"/>
    <w:rsid w:val="00AD7829"/>
    <w:rsid w:val="00AE1964"/>
    <w:rsid w:val="00AE3E2D"/>
    <w:rsid w:val="00AE448A"/>
    <w:rsid w:val="00AE4AA8"/>
    <w:rsid w:val="00AE637B"/>
    <w:rsid w:val="00AE67C8"/>
    <w:rsid w:val="00AE6B1A"/>
    <w:rsid w:val="00AF07E8"/>
    <w:rsid w:val="00AF0E14"/>
    <w:rsid w:val="00AF2050"/>
    <w:rsid w:val="00AF2D14"/>
    <w:rsid w:val="00AF40A5"/>
    <w:rsid w:val="00AF45D5"/>
    <w:rsid w:val="00AF50E2"/>
    <w:rsid w:val="00AF72D9"/>
    <w:rsid w:val="00B018C7"/>
    <w:rsid w:val="00B01CF8"/>
    <w:rsid w:val="00B01D76"/>
    <w:rsid w:val="00B02148"/>
    <w:rsid w:val="00B03CA8"/>
    <w:rsid w:val="00B03E9D"/>
    <w:rsid w:val="00B06F95"/>
    <w:rsid w:val="00B070E0"/>
    <w:rsid w:val="00B078A9"/>
    <w:rsid w:val="00B1092B"/>
    <w:rsid w:val="00B110AB"/>
    <w:rsid w:val="00B12E77"/>
    <w:rsid w:val="00B12F1C"/>
    <w:rsid w:val="00B13E81"/>
    <w:rsid w:val="00B16495"/>
    <w:rsid w:val="00B16588"/>
    <w:rsid w:val="00B16F2B"/>
    <w:rsid w:val="00B17994"/>
    <w:rsid w:val="00B21E6A"/>
    <w:rsid w:val="00B22583"/>
    <w:rsid w:val="00B238B4"/>
    <w:rsid w:val="00B241B9"/>
    <w:rsid w:val="00B2762A"/>
    <w:rsid w:val="00B3161A"/>
    <w:rsid w:val="00B334DE"/>
    <w:rsid w:val="00B335BE"/>
    <w:rsid w:val="00B33C0A"/>
    <w:rsid w:val="00B35B9F"/>
    <w:rsid w:val="00B360D8"/>
    <w:rsid w:val="00B366F1"/>
    <w:rsid w:val="00B369F7"/>
    <w:rsid w:val="00B418A4"/>
    <w:rsid w:val="00B420A4"/>
    <w:rsid w:val="00B4376C"/>
    <w:rsid w:val="00B4389B"/>
    <w:rsid w:val="00B506C9"/>
    <w:rsid w:val="00B51D02"/>
    <w:rsid w:val="00B52EB4"/>
    <w:rsid w:val="00B544D9"/>
    <w:rsid w:val="00B54E17"/>
    <w:rsid w:val="00B54F10"/>
    <w:rsid w:val="00B55A29"/>
    <w:rsid w:val="00B55E19"/>
    <w:rsid w:val="00B5616E"/>
    <w:rsid w:val="00B56410"/>
    <w:rsid w:val="00B56BEE"/>
    <w:rsid w:val="00B56C10"/>
    <w:rsid w:val="00B578C1"/>
    <w:rsid w:val="00B61CAA"/>
    <w:rsid w:val="00B61D49"/>
    <w:rsid w:val="00B6305D"/>
    <w:rsid w:val="00B637A1"/>
    <w:rsid w:val="00B64601"/>
    <w:rsid w:val="00B65882"/>
    <w:rsid w:val="00B669AB"/>
    <w:rsid w:val="00B72939"/>
    <w:rsid w:val="00B73175"/>
    <w:rsid w:val="00B73A78"/>
    <w:rsid w:val="00B740D4"/>
    <w:rsid w:val="00B75BB1"/>
    <w:rsid w:val="00B77949"/>
    <w:rsid w:val="00B80E09"/>
    <w:rsid w:val="00B82D2F"/>
    <w:rsid w:val="00B82D73"/>
    <w:rsid w:val="00B84641"/>
    <w:rsid w:val="00B84969"/>
    <w:rsid w:val="00B86A7F"/>
    <w:rsid w:val="00B86C3F"/>
    <w:rsid w:val="00B86DD5"/>
    <w:rsid w:val="00B907F1"/>
    <w:rsid w:val="00B90FDA"/>
    <w:rsid w:val="00B9218C"/>
    <w:rsid w:val="00B92F38"/>
    <w:rsid w:val="00B94003"/>
    <w:rsid w:val="00B94144"/>
    <w:rsid w:val="00B94758"/>
    <w:rsid w:val="00B94F3D"/>
    <w:rsid w:val="00BA0F1E"/>
    <w:rsid w:val="00BA1502"/>
    <w:rsid w:val="00BA1C07"/>
    <w:rsid w:val="00BA4B6D"/>
    <w:rsid w:val="00BA583E"/>
    <w:rsid w:val="00BA627D"/>
    <w:rsid w:val="00BB17C7"/>
    <w:rsid w:val="00BB26B8"/>
    <w:rsid w:val="00BB26C5"/>
    <w:rsid w:val="00BB26FF"/>
    <w:rsid w:val="00BB32A4"/>
    <w:rsid w:val="00BB4232"/>
    <w:rsid w:val="00BB5E91"/>
    <w:rsid w:val="00BB5F5D"/>
    <w:rsid w:val="00BB776C"/>
    <w:rsid w:val="00BC0BB8"/>
    <w:rsid w:val="00BC0C75"/>
    <w:rsid w:val="00BC2BAF"/>
    <w:rsid w:val="00BC3104"/>
    <w:rsid w:val="00BC31BD"/>
    <w:rsid w:val="00BC4C81"/>
    <w:rsid w:val="00BC4EE1"/>
    <w:rsid w:val="00BC5CF9"/>
    <w:rsid w:val="00BC7D69"/>
    <w:rsid w:val="00BD0381"/>
    <w:rsid w:val="00BD0494"/>
    <w:rsid w:val="00BD0D04"/>
    <w:rsid w:val="00BD1629"/>
    <w:rsid w:val="00BD22D5"/>
    <w:rsid w:val="00BD6542"/>
    <w:rsid w:val="00BE0732"/>
    <w:rsid w:val="00BE0E8D"/>
    <w:rsid w:val="00BE2B6F"/>
    <w:rsid w:val="00BE472A"/>
    <w:rsid w:val="00BE4B19"/>
    <w:rsid w:val="00BE6074"/>
    <w:rsid w:val="00BE6667"/>
    <w:rsid w:val="00BE6697"/>
    <w:rsid w:val="00BE6790"/>
    <w:rsid w:val="00BE7349"/>
    <w:rsid w:val="00BE7696"/>
    <w:rsid w:val="00BE777F"/>
    <w:rsid w:val="00BE7A25"/>
    <w:rsid w:val="00BF21EF"/>
    <w:rsid w:val="00BF2C6F"/>
    <w:rsid w:val="00BF2DB7"/>
    <w:rsid w:val="00BF3192"/>
    <w:rsid w:val="00BF35C6"/>
    <w:rsid w:val="00BF3CC9"/>
    <w:rsid w:val="00BF3DA1"/>
    <w:rsid w:val="00BF3EE7"/>
    <w:rsid w:val="00BF4DE6"/>
    <w:rsid w:val="00BF5F48"/>
    <w:rsid w:val="00BF638E"/>
    <w:rsid w:val="00C002FF"/>
    <w:rsid w:val="00C0135D"/>
    <w:rsid w:val="00C0294D"/>
    <w:rsid w:val="00C0305E"/>
    <w:rsid w:val="00C049E5"/>
    <w:rsid w:val="00C0502C"/>
    <w:rsid w:val="00C066B1"/>
    <w:rsid w:val="00C06B13"/>
    <w:rsid w:val="00C06BC2"/>
    <w:rsid w:val="00C10A8A"/>
    <w:rsid w:val="00C115FC"/>
    <w:rsid w:val="00C11BDD"/>
    <w:rsid w:val="00C120A3"/>
    <w:rsid w:val="00C13EC5"/>
    <w:rsid w:val="00C140A3"/>
    <w:rsid w:val="00C15136"/>
    <w:rsid w:val="00C15569"/>
    <w:rsid w:val="00C15D6C"/>
    <w:rsid w:val="00C209B5"/>
    <w:rsid w:val="00C20FE3"/>
    <w:rsid w:val="00C2146E"/>
    <w:rsid w:val="00C214C3"/>
    <w:rsid w:val="00C215D2"/>
    <w:rsid w:val="00C2192D"/>
    <w:rsid w:val="00C22C96"/>
    <w:rsid w:val="00C23A69"/>
    <w:rsid w:val="00C24B19"/>
    <w:rsid w:val="00C24E0C"/>
    <w:rsid w:val="00C25334"/>
    <w:rsid w:val="00C25934"/>
    <w:rsid w:val="00C26190"/>
    <w:rsid w:val="00C27BED"/>
    <w:rsid w:val="00C27D25"/>
    <w:rsid w:val="00C300B8"/>
    <w:rsid w:val="00C30C6D"/>
    <w:rsid w:val="00C33A08"/>
    <w:rsid w:val="00C34E2F"/>
    <w:rsid w:val="00C358CD"/>
    <w:rsid w:val="00C35C92"/>
    <w:rsid w:val="00C4071C"/>
    <w:rsid w:val="00C42267"/>
    <w:rsid w:val="00C42541"/>
    <w:rsid w:val="00C42CDE"/>
    <w:rsid w:val="00C42F91"/>
    <w:rsid w:val="00C45188"/>
    <w:rsid w:val="00C45722"/>
    <w:rsid w:val="00C47FA4"/>
    <w:rsid w:val="00C515B0"/>
    <w:rsid w:val="00C5182A"/>
    <w:rsid w:val="00C52498"/>
    <w:rsid w:val="00C5254E"/>
    <w:rsid w:val="00C543EE"/>
    <w:rsid w:val="00C55B1E"/>
    <w:rsid w:val="00C5717E"/>
    <w:rsid w:val="00C57673"/>
    <w:rsid w:val="00C603BF"/>
    <w:rsid w:val="00C6076C"/>
    <w:rsid w:val="00C620A6"/>
    <w:rsid w:val="00C62884"/>
    <w:rsid w:val="00C62B9D"/>
    <w:rsid w:val="00C63A10"/>
    <w:rsid w:val="00C63EE9"/>
    <w:rsid w:val="00C646E7"/>
    <w:rsid w:val="00C64F0C"/>
    <w:rsid w:val="00C64FE0"/>
    <w:rsid w:val="00C67155"/>
    <w:rsid w:val="00C70D2C"/>
    <w:rsid w:val="00C713C2"/>
    <w:rsid w:val="00C7483F"/>
    <w:rsid w:val="00C75728"/>
    <w:rsid w:val="00C770AC"/>
    <w:rsid w:val="00C82C55"/>
    <w:rsid w:val="00C83CF7"/>
    <w:rsid w:val="00C842C2"/>
    <w:rsid w:val="00C843C9"/>
    <w:rsid w:val="00C84649"/>
    <w:rsid w:val="00C907C5"/>
    <w:rsid w:val="00C915EB"/>
    <w:rsid w:val="00C94188"/>
    <w:rsid w:val="00C94737"/>
    <w:rsid w:val="00C94864"/>
    <w:rsid w:val="00C94918"/>
    <w:rsid w:val="00C95117"/>
    <w:rsid w:val="00C9792D"/>
    <w:rsid w:val="00C97D3C"/>
    <w:rsid w:val="00C97DB2"/>
    <w:rsid w:val="00C97E15"/>
    <w:rsid w:val="00CA0C10"/>
    <w:rsid w:val="00CA0D93"/>
    <w:rsid w:val="00CA16F3"/>
    <w:rsid w:val="00CA37B1"/>
    <w:rsid w:val="00CA4228"/>
    <w:rsid w:val="00CA4B60"/>
    <w:rsid w:val="00CA6751"/>
    <w:rsid w:val="00CA6942"/>
    <w:rsid w:val="00CB0B4B"/>
    <w:rsid w:val="00CB1211"/>
    <w:rsid w:val="00CB1959"/>
    <w:rsid w:val="00CB1AC2"/>
    <w:rsid w:val="00CB1AD7"/>
    <w:rsid w:val="00CB1D0A"/>
    <w:rsid w:val="00CB411D"/>
    <w:rsid w:val="00CB45ED"/>
    <w:rsid w:val="00CB50BF"/>
    <w:rsid w:val="00CB62F1"/>
    <w:rsid w:val="00CB7518"/>
    <w:rsid w:val="00CB78C6"/>
    <w:rsid w:val="00CB7A11"/>
    <w:rsid w:val="00CC25C5"/>
    <w:rsid w:val="00CC297B"/>
    <w:rsid w:val="00CC390A"/>
    <w:rsid w:val="00CC3FA0"/>
    <w:rsid w:val="00CC45DA"/>
    <w:rsid w:val="00CC4B71"/>
    <w:rsid w:val="00CC5A93"/>
    <w:rsid w:val="00CC6415"/>
    <w:rsid w:val="00CC741B"/>
    <w:rsid w:val="00CC7D4D"/>
    <w:rsid w:val="00CD0E4B"/>
    <w:rsid w:val="00CD2E03"/>
    <w:rsid w:val="00CD3AC2"/>
    <w:rsid w:val="00CD494A"/>
    <w:rsid w:val="00CD4AF2"/>
    <w:rsid w:val="00CD5067"/>
    <w:rsid w:val="00CE061D"/>
    <w:rsid w:val="00CE157F"/>
    <w:rsid w:val="00CE1944"/>
    <w:rsid w:val="00CE1BFB"/>
    <w:rsid w:val="00CE1EA0"/>
    <w:rsid w:val="00CE3917"/>
    <w:rsid w:val="00CE3969"/>
    <w:rsid w:val="00CE45ED"/>
    <w:rsid w:val="00CE4C89"/>
    <w:rsid w:val="00CE516E"/>
    <w:rsid w:val="00CE53F0"/>
    <w:rsid w:val="00CE5FF3"/>
    <w:rsid w:val="00CF07BA"/>
    <w:rsid w:val="00CF2FD7"/>
    <w:rsid w:val="00CF34B6"/>
    <w:rsid w:val="00CF6D59"/>
    <w:rsid w:val="00D021CF"/>
    <w:rsid w:val="00D0296C"/>
    <w:rsid w:val="00D03B10"/>
    <w:rsid w:val="00D06C95"/>
    <w:rsid w:val="00D06E92"/>
    <w:rsid w:val="00D07790"/>
    <w:rsid w:val="00D078C8"/>
    <w:rsid w:val="00D113D7"/>
    <w:rsid w:val="00D11EBD"/>
    <w:rsid w:val="00D146A4"/>
    <w:rsid w:val="00D150DE"/>
    <w:rsid w:val="00D17AFE"/>
    <w:rsid w:val="00D17B90"/>
    <w:rsid w:val="00D204F4"/>
    <w:rsid w:val="00D20714"/>
    <w:rsid w:val="00D21AE0"/>
    <w:rsid w:val="00D222B0"/>
    <w:rsid w:val="00D25D9C"/>
    <w:rsid w:val="00D26F7B"/>
    <w:rsid w:val="00D272EC"/>
    <w:rsid w:val="00D27BE0"/>
    <w:rsid w:val="00D30D33"/>
    <w:rsid w:val="00D316ED"/>
    <w:rsid w:val="00D3210A"/>
    <w:rsid w:val="00D32D6F"/>
    <w:rsid w:val="00D32F2B"/>
    <w:rsid w:val="00D34E65"/>
    <w:rsid w:val="00D352D4"/>
    <w:rsid w:val="00D37B04"/>
    <w:rsid w:val="00D400BA"/>
    <w:rsid w:val="00D40640"/>
    <w:rsid w:val="00D4074B"/>
    <w:rsid w:val="00D4095E"/>
    <w:rsid w:val="00D424C0"/>
    <w:rsid w:val="00D42EA6"/>
    <w:rsid w:val="00D43F41"/>
    <w:rsid w:val="00D444A5"/>
    <w:rsid w:val="00D44EA4"/>
    <w:rsid w:val="00D47290"/>
    <w:rsid w:val="00D474C9"/>
    <w:rsid w:val="00D474F3"/>
    <w:rsid w:val="00D47967"/>
    <w:rsid w:val="00D47E98"/>
    <w:rsid w:val="00D521CA"/>
    <w:rsid w:val="00D52411"/>
    <w:rsid w:val="00D540C6"/>
    <w:rsid w:val="00D54324"/>
    <w:rsid w:val="00D54688"/>
    <w:rsid w:val="00D57A1A"/>
    <w:rsid w:val="00D60D58"/>
    <w:rsid w:val="00D60D93"/>
    <w:rsid w:val="00D61589"/>
    <w:rsid w:val="00D615F4"/>
    <w:rsid w:val="00D64BD1"/>
    <w:rsid w:val="00D66206"/>
    <w:rsid w:val="00D678D8"/>
    <w:rsid w:val="00D70079"/>
    <w:rsid w:val="00D70141"/>
    <w:rsid w:val="00D7168A"/>
    <w:rsid w:val="00D7221C"/>
    <w:rsid w:val="00D72B75"/>
    <w:rsid w:val="00D74D2B"/>
    <w:rsid w:val="00D76260"/>
    <w:rsid w:val="00D769A9"/>
    <w:rsid w:val="00D76B53"/>
    <w:rsid w:val="00D81147"/>
    <w:rsid w:val="00D81589"/>
    <w:rsid w:val="00D81ECB"/>
    <w:rsid w:val="00D8397C"/>
    <w:rsid w:val="00D855D5"/>
    <w:rsid w:val="00D86910"/>
    <w:rsid w:val="00D87E0F"/>
    <w:rsid w:val="00D92254"/>
    <w:rsid w:val="00D96358"/>
    <w:rsid w:val="00DA08ED"/>
    <w:rsid w:val="00DA2FAC"/>
    <w:rsid w:val="00DA3549"/>
    <w:rsid w:val="00DA3F8B"/>
    <w:rsid w:val="00DA5B9E"/>
    <w:rsid w:val="00DA618A"/>
    <w:rsid w:val="00DA665F"/>
    <w:rsid w:val="00DA7184"/>
    <w:rsid w:val="00DB058C"/>
    <w:rsid w:val="00DB346A"/>
    <w:rsid w:val="00DB3AE8"/>
    <w:rsid w:val="00DB3B2F"/>
    <w:rsid w:val="00DB4052"/>
    <w:rsid w:val="00DB50E3"/>
    <w:rsid w:val="00DB52C7"/>
    <w:rsid w:val="00DB5F3F"/>
    <w:rsid w:val="00DB727A"/>
    <w:rsid w:val="00DC00DC"/>
    <w:rsid w:val="00DC0BD3"/>
    <w:rsid w:val="00DC0F1C"/>
    <w:rsid w:val="00DC1223"/>
    <w:rsid w:val="00DC1E78"/>
    <w:rsid w:val="00DC5753"/>
    <w:rsid w:val="00DC7461"/>
    <w:rsid w:val="00DC7545"/>
    <w:rsid w:val="00DD1BC2"/>
    <w:rsid w:val="00DD3EEF"/>
    <w:rsid w:val="00DD4F92"/>
    <w:rsid w:val="00DD6AE6"/>
    <w:rsid w:val="00DE084C"/>
    <w:rsid w:val="00DE16C2"/>
    <w:rsid w:val="00DE2439"/>
    <w:rsid w:val="00DE2B3D"/>
    <w:rsid w:val="00DE3F2A"/>
    <w:rsid w:val="00DE6855"/>
    <w:rsid w:val="00DF15D0"/>
    <w:rsid w:val="00DF213A"/>
    <w:rsid w:val="00DF4B20"/>
    <w:rsid w:val="00DF53A0"/>
    <w:rsid w:val="00DF5874"/>
    <w:rsid w:val="00DF70A2"/>
    <w:rsid w:val="00E0124F"/>
    <w:rsid w:val="00E0325F"/>
    <w:rsid w:val="00E034EB"/>
    <w:rsid w:val="00E04693"/>
    <w:rsid w:val="00E04A58"/>
    <w:rsid w:val="00E051F4"/>
    <w:rsid w:val="00E05CC5"/>
    <w:rsid w:val="00E06C77"/>
    <w:rsid w:val="00E07091"/>
    <w:rsid w:val="00E12E44"/>
    <w:rsid w:val="00E13172"/>
    <w:rsid w:val="00E14578"/>
    <w:rsid w:val="00E14775"/>
    <w:rsid w:val="00E14B48"/>
    <w:rsid w:val="00E14F51"/>
    <w:rsid w:val="00E20D77"/>
    <w:rsid w:val="00E22E60"/>
    <w:rsid w:val="00E23676"/>
    <w:rsid w:val="00E23693"/>
    <w:rsid w:val="00E245CC"/>
    <w:rsid w:val="00E253EC"/>
    <w:rsid w:val="00E25CE3"/>
    <w:rsid w:val="00E279B6"/>
    <w:rsid w:val="00E30EEB"/>
    <w:rsid w:val="00E31D05"/>
    <w:rsid w:val="00E34985"/>
    <w:rsid w:val="00E34CDE"/>
    <w:rsid w:val="00E34E3C"/>
    <w:rsid w:val="00E357B7"/>
    <w:rsid w:val="00E37563"/>
    <w:rsid w:val="00E3779A"/>
    <w:rsid w:val="00E378AD"/>
    <w:rsid w:val="00E4100F"/>
    <w:rsid w:val="00E41FC5"/>
    <w:rsid w:val="00E4210D"/>
    <w:rsid w:val="00E4273E"/>
    <w:rsid w:val="00E436BA"/>
    <w:rsid w:val="00E467E4"/>
    <w:rsid w:val="00E51341"/>
    <w:rsid w:val="00E52A65"/>
    <w:rsid w:val="00E53002"/>
    <w:rsid w:val="00E5316A"/>
    <w:rsid w:val="00E536A6"/>
    <w:rsid w:val="00E53800"/>
    <w:rsid w:val="00E54A18"/>
    <w:rsid w:val="00E54A75"/>
    <w:rsid w:val="00E54A79"/>
    <w:rsid w:val="00E56836"/>
    <w:rsid w:val="00E6081F"/>
    <w:rsid w:val="00E6196A"/>
    <w:rsid w:val="00E6326A"/>
    <w:rsid w:val="00E643E0"/>
    <w:rsid w:val="00E64F9E"/>
    <w:rsid w:val="00E66C72"/>
    <w:rsid w:val="00E70155"/>
    <w:rsid w:val="00E7040C"/>
    <w:rsid w:val="00E71952"/>
    <w:rsid w:val="00E72A66"/>
    <w:rsid w:val="00E736F1"/>
    <w:rsid w:val="00E73F8E"/>
    <w:rsid w:val="00E740F7"/>
    <w:rsid w:val="00E744F0"/>
    <w:rsid w:val="00E74AD8"/>
    <w:rsid w:val="00E75899"/>
    <w:rsid w:val="00E77A35"/>
    <w:rsid w:val="00E80B16"/>
    <w:rsid w:val="00E8187F"/>
    <w:rsid w:val="00E8296D"/>
    <w:rsid w:val="00E82B23"/>
    <w:rsid w:val="00E82D31"/>
    <w:rsid w:val="00E8354D"/>
    <w:rsid w:val="00E839A5"/>
    <w:rsid w:val="00E8457B"/>
    <w:rsid w:val="00E8547C"/>
    <w:rsid w:val="00E85737"/>
    <w:rsid w:val="00E861BD"/>
    <w:rsid w:val="00E8715B"/>
    <w:rsid w:val="00E904AE"/>
    <w:rsid w:val="00E912EA"/>
    <w:rsid w:val="00E915F4"/>
    <w:rsid w:val="00E934DE"/>
    <w:rsid w:val="00E94416"/>
    <w:rsid w:val="00E94B2A"/>
    <w:rsid w:val="00E95B80"/>
    <w:rsid w:val="00E95F53"/>
    <w:rsid w:val="00EA04B2"/>
    <w:rsid w:val="00EA20F3"/>
    <w:rsid w:val="00EA2C6F"/>
    <w:rsid w:val="00EA46CE"/>
    <w:rsid w:val="00EA5A49"/>
    <w:rsid w:val="00EA686A"/>
    <w:rsid w:val="00EB0DB6"/>
    <w:rsid w:val="00EB54AB"/>
    <w:rsid w:val="00EB7443"/>
    <w:rsid w:val="00EB74EB"/>
    <w:rsid w:val="00EC0752"/>
    <w:rsid w:val="00EC079B"/>
    <w:rsid w:val="00EC0B3F"/>
    <w:rsid w:val="00EC1071"/>
    <w:rsid w:val="00EC1345"/>
    <w:rsid w:val="00EC1EDF"/>
    <w:rsid w:val="00EC236E"/>
    <w:rsid w:val="00EC25BE"/>
    <w:rsid w:val="00EC2D8E"/>
    <w:rsid w:val="00EC3B09"/>
    <w:rsid w:val="00EC7E37"/>
    <w:rsid w:val="00ED18F6"/>
    <w:rsid w:val="00ED2831"/>
    <w:rsid w:val="00ED2A60"/>
    <w:rsid w:val="00ED38D1"/>
    <w:rsid w:val="00ED3B7C"/>
    <w:rsid w:val="00ED43D1"/>
    <w:rsid w:val="00ED4E6E"/>
    <w:rsid w:val="00ED50EB"/>
    <w:rsid w:val="00ED65AA"/>
    <w:rsid w:val="00ED6E07"/>
    <w:rsid w:val="00ED705E"/>
    <w:rsid w:val="00ED772A"/>
    <w:rsid w:val="00EE0821"/>
    <w:rsid w:val="00EE154F"/>
    <w:rsid w:val="00EE1C5E"/>
    <w:rsid w:val="00EE25F4"/>
    <w:rsid w:val="00EE35D6"/>
    <w:rsid w:val="00EE3AD3"/>
    <w:rsid w:val="00EE4EE1"/>
    <w:rsid w:val="00EE5CE6"/>
    <w:rsid w:val="00EE5E23"/>
    <w:rsid w:val="00EE67F4"/>
    <w:rsid w:val="00EF08BE"/>
    <w:rsid w:val="00EF0A7A"/>
    <w:rsid w:val="00EF115E"/>
    <w:rsid w:val="00EF11E5"/>
    <w:rsid w:val="00EF1A8A"/>
    <w:rsid w:val="00EF1E65"/>
    <w:rsid w:val="00EF2955"/>
    <w:rsid w:val="00EF2B22"/>
    <w:rsid w:val="00EF4574"/>
    <w:rsid w:val="00EF5FB3"/>
    <w:rsid w:val="00EF6FEA"/>
    <w:rsid w:val="00EF720F"/>
    <w:rsid w:val="00EF774E"/>
    <w:rsid w:val="00F02AC0"/>
    <w:rsid w:val="00F02D25"/>
    <w:rsid w:val="00F059BF"/>
    <w:rsid w:val="00F05DBF"/>
    <w:rsid w:val="00F05FA5"/>
    <w:rsid w:val="00F0770F"/>
    <w:rsid w:val="00F07F33"/>
    <w:rsid w:val="00F103B5"/>
    <w:rsid w:val="00F10F25"/>
    <w:rsid w:val="00F11236"/>
    <w:rsid w:val="00F12F1A"/>
    <w:rsid w:val="00F12FEA"/>
    <w:rsid w:val="00F1302A"/>
    <w:rsid w:val="00F13142"/>
    <w:rsid w:val="00F139B9"/>
    <w:rsid w:val="00F14036"/>
    <w:rsid w:val="00F140C9"/>
    <w:rsid w:val="00F14CB5"/>
    <w:rsid w:val="00F15259"/>
    <w:rsid w:val="00F166B1"/>
    <w:rsid w:val="00F16B7C"/>
    <w:rsid w:val="00F17210"/>
    <w:rsid w:val="00F176C7"/>
    <w:rsid w:val="00F208F9"/>
    <w:rsid w:val="00F20A21"/>
    <w:rsid w:val="00F23D72"/>
    <w:rsid w:val="00F24E69"/>
    <w:rsid w:val="00F25773"/>
    <w:rsid w:val="00F25A93"/>
    <w:rsid w:val="00F25C2C"/>
    <w:rsid w:val="00F25E28"/>
    <w:rsid w:val="00F2684E"/>
    <w:rsid w:val="00F26D3F"/>
    <w:rsid w:val="00F27967"/>
    <w:rsid w:val="00F303F5"/>
    <w:rsid w:val="00F3175C"/>
    <w:rsid w:val="00F3315B"/>
    <w:rsid w:val="00F33449"/>
    <w:rsid w:val="00F338DC"/>
    <w:rsid w:val="00F34CD6"/>
    <w:rsid w:val="00F363B0"/>
    <w:rsid w:val="00F36615"/>
    <w:rsid w:val="00F366A6"/>
    <w:rsid w:val="00F3671B"/>
    <w:rsid w:val="00F375AF"/>
    <w:rsid w:val="00F41F53"/>
    <w:rsid w:val="00F433CE"/>
    <w:rsid w:val="00F4344B"/>
    <w:rsid w:val="00F4392E"/>
    <w:rsid w:val="00F43A71"/>
    <w:rsid w:val="00F4470E"/>
    <w:rsid w:val="00F45ECC"/>
    <w:rsid w:val="00F46D9F"/>
    <w:rsid w:val="00F46E6E"/>
    <w:rsid w:val="00F47635"/>
    <w:rsid w:val="00F50F72"/>
    <w:rsid w:val="00F5404C"/>
    <w:rsid w:val="00F5430E"/>
    <w:rsid w:val="00F54573"/>
    <w:rsid w:val="00F56B92"/>
    <w:rsid w:val="00F60FE9"/>
    <w:rsid w:val="00F611AF"/>
    <w:rsid w:val="00F613A6"/>
    <w:rsid w:val="00F63749"/>
    <w:rsid w:val="00F63898"/>
    <w:rsid w:val="00F6457B"/>
    <w:rsid w:val="00F65078"/>
    <w:rsid w:val="00F6597E"/>
    <w:rsid w:val="00F666C6"/>
    <w:rsid w:val="00F671CE"/>
    <w:rsid w:val="00F70160"/>
    <w:rsid w:val="00F70D8F"/>
    <w:rsid w:val="00F729EF"/>
    <w:rsid w:val="00F72DCE"/>
    <w:rsid w:val="00F7311C"/>
    <w:rsid w:val="00F732F4"/>
    <w:rsid w:val="00F744A2"/>
    <w:rsid w:val="00F74684"/>
    <w:rsid w:val="00F74B77"/>
    <w:rsid w:val="00F74BEE"/>
    <w:rsid w:val="00F74F7B"/>
    <w:rsid w:val="00F76972"/>
    <w:rsid w:val="00F76C94"/>
    <w:rsid w:val="00F77434"/>
    <w:rsid w:val="00F77553"/>
    <w:rsid w:val="00F77CAE"/>
    <w:rsid w:val="00F80AB2"/>
    <w:rsid w:val="00F8212D"/>
    <w:rsid w:val="00F82271"/>
    <w:rsid w:val="00F82942"/>
    <w:rsid w:val="00F82D40"/>
    <w:rsid w:val="00F82E20"/>
    <w:rsid w:val="00F83428"/>
    <w:rsid w:val="00F853E5"/>
    <w:rsid w:val="00F854AF"/>
    <w:rsid w:val="00F857BC"/>
    <w:rsid w:val="00F85F6C"/>
    <w:rsid w:val="00F91B6F"/>
    <w:rsid w:val="00F935D8"/>
    <w:rsid w:val="00F9424C"/>
    <w:rsid w:val="00F94A40"/>
    <w:rsid w:val="00F96BB9"/>
    <w:rsid w:val="00FA23CB"/>
    <w:rsid w:val="00FA3FDD"/>
    <w:rsid w:val="00FA465C"/>
    <w:rsid w:val="00FA49B1"/>
    <w:rsid w:val="00FA5F6A"/>
    <w:rsid w:val="00FB0B66"/>
    <w:rsid w:val="00FB19DE"/>
    <w:rsid w:val="00FB40FB"/>
    <w:rsid w:val="00FB48CF"/>
    <w:rsid w:val="00FB56BE"/>
    <w:rsid w:val="00FB7438"/>
    <w:rsid w:val="00FC0BCD"/>
    <w:rsid w:val="00FC1B8E"/>
    <w:rsid w:val="00FC322F"/>
    <w:rsid w:val="00FC38A5"/>
    <w:rsid w:val="00FC435A"/>
    <w:rsid w:val="00FC57C4"/>
    <w:rsid w:val="00FD0844"/>
    <w:rsid w:val="00FD09EA"/>
    <w:rsid w:val="00FD0D99"/>
    <w:rsid w:val="00FD2131"/>
    <w:rsid w:val="00FD3DCA"/>
    <w:rsid w:val="00FD4D7A"/>
    <w:rsid w:val="00FD4E00"/>
    <w:rsid w:val="00FD5071"/>
    <w:rsid w:val="00FD5BE4"/>
    <w:rsid w:val="00FD7083"/>
    <w:rsid w:val="00FE270F"/>
    <w:rsid w:val="00FE4022"/>
    <w:rsid w:val="00FE6D51"/>
    <w:rsid w:val="00FE6F2A"/>
    <w:rsid w:val="00FE707F"/>
    <w:rsid w:val="00FE7929"/>
    <w:rsid w:val="00FE7A5E"/>
    <w:rsid w:val="00FE7FA8"/>
    <w:rsid w:val="00FF0D84"/>
    <w:rsid w:val="00FF0DFB"/>
    <w:rsid w:val="00FF4193"/>
    <w:rsid w:val="00FF4C6B"/>
    <w:rsid w:val="00FF6350"/>
    <w:rsid w:val="00FF7D5D"/>
    <w:rsid w:val="0EC4D471"/>
    <w:rsid w:val="10DBE78F"/>
    <w:rsid w:val="13984594"/>
    <w:rsid w:val="183D5774"/>
    <w:rsid w:val="1A8922C9"/>
    <w:rsid w:val="1DC0C38B"/>
    <w:rsid w:val="328D7155"/>
    <w:rsid w:val="44DF8683"/>
    <w:rsid w:val="4518B908"/>
    <w:rsid w:val="453ED4BF"/>
    <w:rsid w:val="4AE4F2F2"/>
    <w:rsid w:val="4B135235"/>
    <w:rsid w:val="4F1A373F"/>
    <w:rsid w:val="527656AC"/>
    <w:rsid w:val="5316B565"/>
    <w:rsid w:val="553BD02C"/>
    <w:rsid w:val="5CA97A6E"/>
    <w:rsid w:val="5CE38C52"/>
    <w:rsid w:val="62735219"/>
    <w:rsid w:val="6542144D"/>
    <w:rsid w:val="6FA86E15"/>
    <w:rsid w:val="71A80C5F"/>
    <w:rsid w:val="742D33CA"/>
    <w:rsid w:val="7CD3D9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2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2"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53FB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706B8"/>
    <w:pPr>
      <w:keepNext/>
      <w:keepLines/>
      <w:spacing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22"/>
    <w:qFormat/>
    <w:rsid w:val="00D64BD1"/>
    <w:pPr>
      <w:spacing w:after="0"/>
    </w:pPr>
    <w:rPr>
      <w:spacing w:val="-10"/>
      <w:kern w:val="28"/>
      <w:szCs w:val="52"/>
    </w:rPr>
  </w:style>
  <w:style w:type="character" w:customStyle="1" w:styleId="TitleChar">
    <w:name w:val="Title Char"/>
    <w:basedOn w:val="DefaultParagraphFont"/>
    <w:link w:val="Title"/>
    <w:uiPriority w:val="22"/>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6"/>
      </w:numPr>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ED2831"/>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35119D"/>
    <w:pPr>
      <w:ind w:left="480"/>
    </w:pPr>
    <w:rPr>
      <w:rFonts w:asciiTheme="minorHAnsi" w:hAnsiTheme="minorHAnsi" w:cstheme="minorHAnsi"/>
      <w:i/>
      <w:iCs/>
      <w:sz w:val="20"/>
      <w:szCs w:val="20"/>
    </w:rPr>
  </w:style>
  <w:style w:type="paragraph" w:styleId="Header">
    <w:name w:val="header"/>
    <w:basedOn w:val="Normal"/>
    <w:link w:val="HeaderChar"/>
    <w:uiPriority w:val="99"/>
    <w:unhideWhenUsed/>
    <w:rsid w:val="00FC322F"/>
    <w:pPr>
      <w:tabs>
        <w:tab w:val="center" w:pos="4513"/>
        <w:tab w:val="right" w:pos="9026"/>
      </w:tabs>
      <w:ind w:left="227"/>
    </w:pPr>
    <w:rPr>
      <w:b/>
      <w:caps/>
      <w:color w:val="FFFFFF" w:themeColor="background1"/>
      <w:sz w:val="20"/>
    </w:rPr>
  </w:style>
  <w:style w:type="paragraph" w:styleId="TOC4">
    <w:name w:val="toc 4"/>
    <w:basedOn w:val="Normal"/>
    <w:next w:val="Normal"/>
    <w:autoRedefine/>
    <w:uiPriority w:val="39"/>
    <w:unhideWhenUsed/>
    <w:locked/>
    <w:rsid w:val="0035119D"/>
    <w:pPr>
      <w:ind w:left="720"/>
    </w:pPr>
    <w:rPr>
      <w:rFonts w:asciiTheme="minorHAnsi" w:hAnsiTheme="minorHAnsi" w:cstheme="minorHAnsi"/>
      <w:sz w:val="18"/>
      <w:szCs w:val="18"/>
    </w:rPr>
  </w:style>
  <w:style w:type="paragraph" w:styleId="TOC5">
    <w:name w:val="toc 5"/>
    <w:basedOn w:val="Normal"/>
    <w:next w:val="Normal"/>
    <w:autoRedefine/>
    <w:uiPriority w:val="39"/>
    <w:unhideWhenUsed/>
    <w:locked/>
    <w:rsid w:val="0035119D"/>
    <w:pPr>
      <w:ind w:left="960"/>
    </w:pPr>
    <w:rPr>
      <w:rFonts w:asciiTheme="minorHAnsi" w:hAnsiTheme="minorHAnsi" w:cstheme="minorHAnsi"/>
      <w:sz w:val="18"/>
      <w:szCs w:val="18"/>
    </w:rPr>
  </w:style>
  <w:style w:type="paragraph" w:styleId="TOC6">
    <w:name w:val="toc 6"/>
    <w:basedOn w:val="Normal"/>
    <w:next w:val="Normal"/>
    <w:autoRedefine/>
    <w:uiPriority w:val="39"/>
    <w:unhideWhenUsed/>
    <w:locked/>
    <w:rsid w:val="0035119D"/>
    <w:pPr>
      <w:ind w:left="1200"/>
    </w:pPr>
    <w:rPr>
      <w:rFonts w:asciiTheme="minorHAnsi" w:hAnsiTheme="minorHAnsi" w:cstheme="minorHAnsi"/>
      <w:sz w:val="18"/>
      <w:szCs w:val="18"/>
    </w:rPr>
  </w:style>
  <w:style w:type="paragraph" w:styleId="TOC7">
    <w:name w:val="toc 7"/>
    <w:basedOn w:val="Normal"/>
    <w:next w:val="Normal"/>
    <w:autoRedefine/>
    <w:uiPriority w:val="39"/>
    <w:unhideWhenUsed/>
    <w:locked/>
    <w:rsid w:val="0035119D"/>
    <w:pPr>
      <w:ind w:left="1440"/>
    </w:pPr>
    <w:rPr>
      <w:rFonts w:asciiTheme="minorHAnsi" w:hAnsiTheme="minorHAnsi" w:cstheme="minorHAnsi"/>
      <w:sz w:val="18"/>
      <w:szCs w:val="18"/>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ind w:left="1680"/>
    </w:pPr>
    <w:rPr>
      <w:rFonts w:asciiTheme="minorHAnsi" w:hAnsiTheme="minorHAnsi" w:cstheme="minorHAnsi"/>
      <w:sz w:val="18"/>
      <w:szCs w:val="18"/>
    </w:rPr>
  </w:style>
  <w:style w:type="paragraph" w:styleId="TOC9">
    <w:name w:val="toc 9"/>
    <w:basedOn w:val="Normal"/>
    <w:next w:val="Normal"/>
    <w:autoRedefine/>
    <w:uiPriority w:val="39"/>
    <w:unhideWhenUsed/>
    <w:locked/>
    <w:rsid w:val="0035119D"/>
    <w:pPr>
      <w:ind w:left="1920"/>
    </w:pPr>
    <w:rPr>
      <w:rFonts w:asciiTheme="minorHAnsi" w:hAnsiTheme="minorHAnsi" w:cstheme="minorHAnsi"/>
      <w:sz w:val="18"/>
      <w:szCs w:val="18"/>
    </w:rPr>
  </w:style>
  <w:style w:type="paragraph" w:styleId="TableofFigures">
    <w:name w:val="table of figures"/>
    <w:basedOn w:val="Normal"/>
    <w:next w:val="Normal"/>
    <w:uiPriority w:val="99"/>
    <w:unhideWhenUsed/>
    <w:rsid w:val="0035119D"/>
    <w:pPr>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Char Char,ft,Footnote Text Quote,single space,Footnote Text Char1 Char,Footnote Text Char Char Char,Footnote Text Char1 Char1 Char Char,Footnote Text Char Char Char Char Char,Footnote Text Char1 Char Char Char Char,fn,C,ADB,FA Fu,Geneva 9"/>
    <w:basedOn w:val="Normal"/>
    <w:link w:val="FootnoteTextChar"/>
    <w:uiPriority w:val="99"/>
    <w:unhideWhenUsed/>
    <w:qFormat/>
    <w:rsid w:val="008C5A0E"/>
    <w:pPr>
      <w:spacing w:before="60" w:line="140" w:lineRule="atLeast"/>
      <w:ind w:left="170" w:hanging="170"/>
    </w:pPr>
    <w:rPr>
      <w:sz w:val="12"/>
      <w:szCs w:val="20"/>
    </w:rPr>
  </w:style>
  <w:style w:type="character" w:customStyle="1" w:styleId="FootnoteTextChar">
    <w:name w:val="Footnote Text Char"/>
    <w:aliases w:val="Char Char Char,ft Char,Footnote Text Quote Char,single space Char,Footnote Text Char1 Char Char,Footnote Text Char Char Char Char,Footnote Text Char1 Char1 Char Char Char,Footnote Text Char Char Char Char Char Char,fn Char,C Char"/>
    <w:basedOn w:val="DefaultParagraphFont"/>
    <w:link w:val="FootnoteText"/>
    <w:uiPriority w:val="99"/>
    <w:qFormat/>
    <w:rsid w:val="008C5A0E"/>
    <w:rPr>
      <w:color w:val="495965" w:themeColor="text2"/>
      <w:sz w:val="12"/>
      <w:szCs w:val="20"/>
    </w:rPr>
  </w:style>
  <w:style w:type="character" w:styleId="FootnoteReference">
    <w:name w:val="footnote reference"/>
    <w:aliases w:val="Normal + Font:9 Point,Superscript 3 Point Times,Footnote Text PAPE Char,ftref,16 Point,Superscript 6 Point,BVI fnr,Знак сноски 1,(NECG) Footnote Reference,fr,Footnote + Arial,10 pt,Black,Fußnotenzeichen DISS,Ref,de nota al pie,SUPERS"/>
    <w:basedOn w:val="DefaultParagraphFont"/>
    <w:link w:val="FootnoteTextPAPE"/>
    <w:uiPriority w:val="99"/>
    <w:unhideWhenUsed/>
    <w:qFormat/>
    <w:rsid w:val="003002C0"/>
    <w:rPr>
      <w:vertAlign w:val="superscript"/>
    </w:rPr>
  </w:style>
  <w:style w:type="paragraph" w:customStyle="1" w:styleId="GreyRoundBoxText">
    <w:name w:val="Grey Round Box Text"/>
    <w:basedOn w:val="Normal"/>
    <w:qFormat/>
    <w:rsid w:val="000D66D6"/>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link w:val="TableTextChar"/>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9"/>
      </w:numPr>
      <w:ind w:left="454" w:hanging="170"/>
    </w:pPr>
  </w:style>
  <w:style w:type="paragraph" w:customStyle="1" w:styleId="Box2Bullet">
    <w:name w:val="Box 2 Bullet"/>
    <w:basedOn w:val="Box2Text"/>
    <w:qFormat/>
    <w:rsid w:val="00C42541"/>
    <w:pPr>
      <w:numPr>
        <w:numId w:val="10"/>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unhideWhenUsed/>
    <w:locked/>
    <w:rsid w:val="000020C1"/>
    <w:pPr>
      <w:spacing w:line="480" w:lineRule="auto"/>
    </w:pPr>
  </w:style>
  <w:style w:type="character" w:customStyle="1" w:styleId="BodyText2Char">
    <w:name w:val="Body Text 2 Char"/>
    <w:basedOn w:val="DefaultParagraphFont"/>
    <w:link w:val="BodyText2"/>
    <w:uiPriority w:val="99"/>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 出 段 落"/>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11"/>
      </w:numPr>
      <w:tabs>
        <w:tab w:val="left" w:pos="284"/>
      </w:tabs>
      <w:spacing w:after="120" w:line="280" w:lineRule="exact"/>
    </w:pPr>
    <w:rPr>
      <w:rFonts w:ascii="Franklin Gothic Book" w:hAnsi="Franklin Gothic Book"/>
      <w:sz w:val="21"/>
      <w:lang w:eastAsia="en-AU"/>
    </w:rPr>
  </w:style>
  <w:style w:type="table" w:customStyle="1" w:styleId="TableGrid1">
    <w:name w:val="Table Grid1"/>
    <w:basedOn w:val="TableNormal"/>
    <w:next w:val="TableGrid"/>
    <w:uiPriority w:val="39"/>
    <w:locked/>
    <w:rsid w:val="00B2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B22583"/>
    <w:rPr>
      <w:rFonts w:ascii="Calibri" w:eastAsiaTheme="majorEastAsia" w:hAnsi="Calibri" w:cstheme="majorBidi"/>
      <w:b/>
      <w:caps w:val="0"/>
      <w:color w:val="7C8C88"/>
      <w:sz w:val="26"/>
      <w:szCs w:val="26"/>
      <w:lang w:val="en-GB"/>
    </w:rPr>
  </w:style>
  <w:style w:type="paragraph" w:customStyle="1" w:styleId="Tablecolumnheading">
    <w:name w:val="Table column heading"/>
    <w:basedOn w:val="Normal"/>
    <w:qFormat/>
    <w:rsid w:val="00B22583"/>
    <w:pPr>
      <w:keepNext/>
      <w:spacing w:before="57" w:after="57" w:line="220" w:lineRule="atLeast"/>
      <w:ind w:left="96" w:right="96"/>
      <w:jc w:val="center"/>
    </w:pPr>
    <w:rPr>
      <w:b/>
      <w:color w:val="FFFFFF" w:themeColor="background1"/>
      <w:sz w:val="20"/>
      <w:szCs w:val="20"/>
    </w:rPr>
  </w:style>
  <w:style w:type="paragraph" w:customStyle="1" w:styleId="BodyTextHanging">
    <w:name w:val="Body Text Hanging"/>
    <w:basedOn w:val="BodyText"/>
    <w:link w:val="BodyTextHangingChar"/>
    <w:qFormat/>
    <w:rsid w:val="00B22583"/>
    <w:pPr>
      <w:spacing w:after="120"/>
    </w:pPr>
    <w:rPr>
      <w:rFonts w:ascii="Calibri" w:hAnsi="Calibri"/>
      <w:color w:val="000000" w:themeColor="text1"/>
      <w:lang w:eastAsia="en-AU"/>
    </w:rPr>
  </w:style>
  <w:style w:type="character" w:customStyle="1" w:styleId="BodyTextHangingChar">
    <w:name w:val="Body Text Hanging Char"/>
    <w:basedOn w:val="BodyTextChar"/>
    <w:link w:val="BodyTextHanging"/>
    <w:rsid w:val="00B22583"/>
    <w:rPr>
      <w:rFonts w:ascii="Calibri" w:hAnsi="Calibri"/>
      <w:color w:val="000000" w:themeColor="text1"/>
      <w:lang w:val="en-GB" w:eastAsia="en-AU"/>
    </w:rPr>
  </w:style>
  <w:style w:type="table" w:styleId="GridTable1Light">
    <w:name w:val="Grid Table 1 Light"/>
    <w:basedOn w:val="TableNormal"/>
    <w:uiPriority w:val="46"/>
    <w:locked/>
    <w:rsid w:val="003617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6074"/>
    <w:rPr>
      <w:color w:val="800080" w:themeColor="followedHyperlink"/>
      <w:u w:val="single"/>
    </w:rPr>
  </w:style>
  <w:style w:type="paragraph" w:styleId="Revision">
    <w:name w:val="Revision"/>
    <w:hidden/>
    <w:uiPriority w:val="99"/>
    <w:semiHidden/>
    <w:rsid w:val="00A64085"/>
    <w:pPr>
      <w:spacing w:after="0" w:line="240" w:lineRule="auto"/>
    </w:pPr>
    <w:rPr>
      <w:color w:val="495965" w:themeColor="text2"/>
      <w:lang w:val="en-GB"/>
    </w:r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basedOn w:val="DefaultParagraphFont"/>
    <w:link w:val="ListParagraph"/>
    <w:uiPriority w:val="34"/>
    <w:qFormat/>
    <w:locked/>
    <w:rsid w:val="007A26F1"/>
    <w:rPr>
      <w:color w:val="495965" w:themeColor="text2"/>
      <w:lang w:val="en-GB"/>
    </w:rPr>
  </w:style>
  <w:style w:type="character" w:styleId="UnresolvedMention">
    <w:name w:val="Unresolved Mention"/>
    <w:basedOn w:val="DefaultParagraphFont"/>
    <w:uiPriority w:val="99"/>
    <w:semiHidden/>
    <w:unhideWhenUsed/>
    <w:rsid w:val="002200D9"/>
    <w:rPr>
      <w:color w:val="605E5C"/>
      <w:shd w:val="clear" w:color="auto" w:fill="E1DFDD"/>
    </w:rPr>
  </w:style>
  <w:style w:type="paragraph" w:customStyle="1" w:styleId="m-6451410535417266587gmaildefault">
    <w:name w:val="m_-6451410535417266587gmaildefault"/>
    <w:basedOn w:val="Normal"/>
    <w:rsid w:val="00853FB9"/>
    <w:pPr>
      <w:spacing w:before="100" w:beforeAutospacing="1" w:after="100" w:afterAutospacing="1"/>
    </w:pPr>
  </w:style>
  <w:style w:type="paragraph" w:customStyle="1" w:styleId="FootnoteTextPAPE">
    <w:name w:val="Footnote Text PAPE"/>
    <w:basedOn w:val="Normal"/>
    <w:link w:val="FootnoteReference"/>
    <w:uiPriority w:val="99"/>
    <w:rsid w:val="00853FB9"/>
    <w:pPr>
      <w:spacing w:after="120"/>
    </w:pPr>
    <w:rPr>
      <w:rFonts w:asciiTheme="minorHAnsi" w:eastAsiaTheme="minorHAnsi" w:hAnsiTheme="minorHAnsi" w:cstheme="minorBidi"/>
      <w:sz w:val="22"/>
      <w:szCs w:val="22"/>
      <w:vertAlign w:val="superscript"/>
      <w:lang w:eastAsia="en-US"/>
    </w:rPr>
  </w:style>
  <w:style w:type="paragraph" w:styleId="ListBullet3">
    <w:name w:val="List Bullet 3"/>
    <w:basedOn w:val="Normal"/>
    <w:uiPriority w:val="99"/>
    <w:unhideWhenUsed/>
    <w:locked/>
    <w:rsid w:val="006C21CA"/>
    <w:pPr>
      <w:numPr>
        <w:numId w:val="13"/>
      </w:numPr>
      <w:contextualSpacing/>
    </w:pPr>
  </w:style>
  <w:style w:type="character" w:customStyle="1" w:styleId="TableTextChar">
    <w:name w:val="Table Text Char"/>
    <w:basedOn w:val="DefaultParagraphFont"/>
    <w:link w:val="TableText"/>
    <w:rsid w:val="006C21CA"/>
    <w:rPr>
      <w:rFonts w:ascii="Calibri" w:eastAsia="Times New Roman" w:hAnsi="Calibri" w:cs="Times New Roman"/>
      <w:sz w:val="24"/>
      <w:szCs w:val="21"/>
      <w:lang w:eastAsia="en-GB"/>
    </w:rPr>
  </w:style>
  <w:style w:type="paragraph" w:customStyle="1" w:styleId="Char2">
    <w:name w:val="Char2"/>
    <w:basedOn w:val="Normal"/>
    <w:uiPriority w:val="99"/>
    <w:rsid w:val="00102F6E"/>
    <w:pPr>
      <w:spacing w:after="160" w:line="240" w:lineRule="exact"/>
      <w:jc w:val="both"/>
    </w:pPr>
    <w:rPr>
      <w:rFonts w:asciiTheme="minorHAnsi" w:eastAsiaTheme="minorHAnsi" w:hAnsiTheme="minorHAnsi" w:cstheme="minorBidi"/>
      <w:sz w:val="20"/>
      <w:szCs w:val="22"/>
      <w:vertAlign w:val="superscript"/>
      <w:lang w:eastAsia="en-US"/>
    </w:rPr>
  </w:style>
  <w:style w:type="paragraph" w:styleId="NormalWeb">
    <w:name w:val="Normal (Web)"/>
    <w:basedOn w:val="Normal"/>
    <w:uiPriority w:val="99"/>
    <w:unhideWhenUsed/>
    <w:rsid w:val="00654E52"/>
    <w:pPr>
      <w:spacing w:before="100" w:beforeAutospacing="1" w:after="100" w:afterAutospacing="1"/>
    </w:pPr>
  </w:style>
  <w:style w:type="paragraph" w:customStyle="1" w:styleId="m6744904171630683777msolistparagraph">
    <w:name w:val="m_6744904171630683777msolistparagraph"/>
    <w:basedOn w:val="Normal"/>
    <w:rsid w:val="00B54E17"/>
    <w:pPr>
      <w:spacing w:before="100" w:beforeAutospacing="1" w:after="100" w:afterAutospacing="1"/>
    </w:pPr>
  </w:style>
  <w:style w:type="paragraph" w:customStyle="1" w:styleId="gmail-msolistparagraph">
    <w:name w:val="gmail-msolistparagraph"/>
    <w:basedOn w:val="Normal"/>
    <w:rsid w:val="00EF2955"/>
    <w:pPr>
      <w:spacing w:before="100" w:beforeAutospacing="1" w:after="100" w:afterAutospacing="1"/>
    </w:pPr>
    <w:rPr>
      <w:rFonts w:ascii="Calibri" w:eastAsiaTheme="minorHAnsi" w:hAnsi="Calibri" w:cs="Calibri"/>
      <w:sz w:val="22"/>
      <w:szCs w:val="22"/>
      <w:lang w:eastAsia="en-AU"/>
    </w:rPr>
  </w:style>
  <w:style w:type="paragraph" w:customStyle="1" w:styleId="gmail-msocaption">
    <w:name w:val="gmail-msocaption"/>
    <w:basedOn w:val="Normal"/>
    <w:rsid w:val="00C0502C"/>
    <w:pPr>
      <w:spacing w:before="100" w:beforeAutospacing="1" w:after="100" w:afterAutospacing="1"/>
    </w:pPr>
    <w:rPr>
      <w:rFonts w:ascii="Calibri" w:eastAsiaTheme="minorHAnsi" w:hAnsi="Calibri" w:cs="Calibri"/>
      <w:sz w:val="22"/>
      <w:szCs w:val="22"/>
      <w:lang w:eastAsia="en-AU"/>
    </w:rPr>
  </w:style>
  <w:style w:type="paragraph" w:customStyle="1" w:styleId="gmail-tableheaderrow">
    <w:name w:val="gmail-tableheaderrow"/>
    <w:basedOn w:val="Normal"/>
    <w:rsid w:val="00C0502C"/>
    <w:pPr>
      <w:spacing w:before="100" w:beforeAutospacing="1" w:after="100" w:afterAutospacing="1"/>
    </w:pPr>
    <w:rPr>
      <w:rFonts w:ascii="Calibri" w:eastAsiaTheme="minorHAnsi" w:hAnsi="Calibri" w:cs="Calibri"/>
      <w:sz w:val="22"/>
      <w:szCs w:val="22"/>
      <w:lang w:eastAsia="en-AU"/>
    </w:rPr>
  </w:style>
  <w:style w:type="paragraph" w:customStyle="1" w:styleId="gmail-tabletext">
    <w:name w:val="gmail-tabletext"/>
    <w:basedOn w:val="Normal"/>
    <w:rsid w:val="00C0502C"/>
    <w:pPr>
      <w:spacing w:before="100" w:beforeAutospacing="1" w:after="100" w:afterAutospacing="1"/>
    </w:pPr>
    <w:rPr>
      <w:rFonts w:ascii="Calibri" w:eastAsiaTheme="minorHAnsi" w:hAnsi="Calibri" w:cs="Calibri"/>
      <w:sz w:val="22"/>
      <w:szCs w:val="22"/>
      <w:lang w:eastAsia="en-AU"/>
    </w:rPr>
  </w:style>
  <w:style w:type="paragraph" w:customStyle="1" w:styleId="gmail-tablebullet1">
    <w:name w:val="gmail-tablebullet1"/>
    <w:basedOn w:val="Normal"/>
    <w:rsid w:val="00C0502C"/>
    <w:pPr>
      <w:spacing w:before="100" w:beforeAutospacing="1" w:after="100" w:afterAutospacing="1"/>
    </w:pPr>
    <w:rPr>
      <w:rFonts w:ascii="Calibri" w:eastAsiaTheme="minorHAnsi" w:hAnsi="Calibri" w:cs="Calibri"/>
      <w:sz w:val="22"/>
      <w:szCs w:val="22"/>
      <w:lang w:eastAsia="en-AU"/>
    </w:rPr>
  </w:style>
  <w:style w:type="paragraph" w:customStyle="1" w:styleId="gmail-msolistbullet3">
    <w:name w:val="gmail-msolistbullet3"/>
    <w:basedOn w:val="Normal"/>
    <w:rsid w:val="00C0502C"/>
    <w:pPr>
      <w:spacing w:before="100" w:beforeAutospacing="1" w:after="100" w:afterAutospacing="1"/>
    </w:pPr>
    <w:rPr>
      <w:rFonts w:ascii="Calibri" w:eastAsiaTheme="minorHAnsi" w:hAnsi="Calibri" w:cs="Calibri"/>
      <w:sz w:val="22"/>
      <w:szCs w:val="22"/>
      <w:lang w:eastAsia="en-AU"/>
    </w:rPr>
  </w:style>
  <w:style w:type="character" w:customStyle="1" w:styleId="hgkelc">
    <w:name w:val="hgkelc"/>
    <w:basedOn w:val="DefaultParagraphFont"/>
    <w:rsid w:val="00BC7D69"/>
  </w:style>
  <w:style w:type="paragraph" w:customStyle="1" w:styleId="BodyTextitalics">
    <w:name w:val="Body Text italics"/>
    <w:aliases w:val="box"/>
    <w:basedOn w:val="BodyText"/>
    <w:qFormat/>
    <w:rsid w:val="004B3D56"/>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tabs>
        <w:tab w:val="left" w:pos="284"/>
      </w:tabs>
      <w:suppressAutoHyphens/>
      <w:spacing w:before="200" w:line="281" w:lineRule="auto"/>
      <w:jc w:val="both"/>
    </w:pPr>
    <w:rPr>
      <w:rFonts w:asciiTheme="minorHAnsi" w:eastAsiaTheme="minorHAnsi" w:hAnsiTheme="minorHAnsi" w:cstheme="minorBidi"/>
      <w:i/>
      <w:iCs/>
      <w:color w:val="495965" w:themeColor="text2"/>
      <w:sz w:val="21"/>
      <w:szCs w:val="21"/>
      <w:lang w:eastAsia="en-US"/>
    </w:rPr>
  </w:style>
  <w:style w:type="paragraph" w:styleId="NoSpacing">
    <w:name w:val="No Spacing"/>
    <w:uiPriority w:val="1"/>
    <w:qFormat/>
    <w:rsid w:val="00ED705E"/>
    <w:pPr>
      <w:spacing w:after="0" w:line="240" w:lineRule="auto"/>
    </w:pPr>
  </w:style>
  <w:style w:type="paragraph" w:customStyle="1" w:styleId="MFSbodytextstyle">
    <w:name w:val="MFS body text style"/>
    <w:basedOn w:val="Normal"/>
    <w:qFormat/>
    <w:rsid w:val="00756EE9"/>
    <w:pPr>
      <w:spacing w:after="240"/>
    </w:pPr>
    <w:rPr>
      <w:rFonts w:asciiTheme="minorHAnsi" w:hAnsiTheme="minorHAnsi"/>
      <w:sz w:val="22"/>
      <w:lang w:eastAsia="en-US"/>
    </w:rPr>
  </w:style>
  <w:style w:type="character" w:customStyle="1" w:styleId="eop">
    <w:name w:val="eop"/>
    <w:basedOn w:val="DefaultParagraphFont"/>
    <w:rsid w:val="00756EE9"/>
  </w:style>
  <w:style w:type="paragraph" w:customStyle="1" w:styleId="ftrefCharCharCharCharChar">
    <w:name w:val="ftref Char Char Char Char Char"/>
    <w:basedOn w:val="Normal"/>
    <w:uiPriority w:val="99"/>
    <w:qFormat/>
    <w:rsid w:val="00756EE9"/>
    <w:pPr>
      <w:spacing w:before="120" w:after="160" w:line="240" w:lineRule="exact"/>
    </w:pPr>
    <w:rPr>
      <w:rFonts w:asciiTheme="minorHAnsi" w:eastAsiaTheme="minorHAnsi" w:hAnsiTheme="minorHAnsi" w:cstheme="minorBidi"/>
      <w:vertAlign w:val="superscript"/>
      <w:lang w:eastAsia="en-US"/>
    </w:rPr>
  </w:style>
  <w:style w:type="character" w:customStyle="1" w:styleId="d-block">
    <w:name w:val="d-block"/>
    <w:basedOn w:val="DefaultParagraphFont"/>
    <w:rsid w:val="00756EE9"/>
  </w:style>
  <w:style w:type="character" w:customStyle="1" w:styleId="learnworlds-main-text-normal">
    <w:name w:val="learnworlds-main-text-normal"/>
    <w:basedOn w:val="DefaultParagraphFont"/>
    <w:rsid w:val="00756EE9"/>
  </w:style>
  <w:style w:type="paragraph" w:customStyle="1" w:styleId="Body">
    <w:name w:val="Body"/>
    <w:basedOn w:val="Normal"/>
    <w:link w:val="BodyChar"/>
    <w:qFormat/>
    <w:rsid w:val="00756EE9"/>
    <w:pPr>
      <w:spacing w:before="120" w:after="200"/>
      <w:jc w:val="both"/>
    </w:pPr>
    <w:rPr>
      <w:rFonts w:ascii="Arial" w:hAnsi="Arial"/>
      <w:sz w:val="20"/>
      <w:szCs w:val="20"/>
    </w:rPr>
  </w:style>
  <w:style w:type="character" w:customStyle="1" w:styleId="BodyChar">
    <w:name w:val="Body Char"/>
    <w:basedOn w:val="DefaultParagraphFont"/>
    <w:link w:val="Body"/>
    <w:rsid w:val="00756EE9"/>
    <w:rPr>
      <w:rFonts w:ascii="Arial" w:eastAsia="Times New Roman" w:hAnsi="Arial" w:cs="Times New Roman"/>
      <w:sz w:val="20"/>
      <w:szCs w:val="20"/>
      <w:lang w:eastAsia="en-GB"/>
    </w:rPr>
  </w:style>
  <w:style w:type="character" w:customStyle="1" w:styleId="personname">
    <w:name w:val="person_name"/>
    <w:basedOn w:val="DefaultParagraphFont"/>
    <w:rsid w:val="00756EE9"/>
  </w:style>
  <w:style w:type="paragraph" w:customStyle="1" w:styleId="pf0">
    <w:name w:val="pf0"/>
    <w:basedOn w:val="Normal"/>
    <w:rsid w:val="00756EE9"/>
    <w:pPr>
      <w:spacing w:before="100" w:beforeAutospacing="1" w:after="100" w:afterAutospacing="1"/>
    </w:pPr>
    <w:rPr>
      <w:lang w:eastAsia="en-AU"/>
    </w:rPr>
  </w:style>
  <w:style w:type="character" w:customStyle="1" w:styleId="cf11">
    <w:name w:val="cf11"/>
    <w:basedOn w:val="DefaultParagraphFont"/>
    <w:rsid w:val="00756EE9"/>
    <w:rPr>
      <w:rFonts w:ascii="Segoe UI" w:hAnsi="Segoe UI" w:cs="Segoe UI" w:hint="default"/>
      <w:sz w:val="18"/>
      <w:szCs w:val="18"/>
    </w:rPr>
  </w:style>
  <w:style w:type="character" w:customStyle="1" w:styleId="cf01">
    <w:name w:val="cf01"/>
    <w:basedOn w:val="DefaultParagraphFont"/>
    <w:rsid w:val="00756EE9"/>
    <w:rPr>
      <w:rFonts w:ascii="Segoe UI" w:hAnsi="Segoe UI" w:cs="Segoe UI" w:hint="default"/>
      <w:i/>
      <w:iCs/>
      <w:sz w:val="18"/>
      <w:szCs w:val="18"/>
      <w:shd w:val="clear" w:color="auto" w:fill="A9A9A9"/>
    </w:rPr>
  </w:style>
  <w:style w:type="character" w:customStyle="1" w:styleId="A7">
    <w:name w:val="A7"/>
    <w:uiPriority w:val="99"/>
    <w:rsid w:val="00756EE9"/>
    <w:rPr>
      <w:rFonts w:cs="Clear Sans Lt"/>
      <w:color w:val="000000"/>
      <w:sz w:val="12"/>
      <w:szCs w:val="12"/>
    </w:rPr>
  </w:style>
  <w:style w:type="paragraph" w:customStyle="1" w:styleId="xmsonormal">
    <w:name w:val="x_msonormal"/>
    <w:basedOn w:val="Normal"/>
    <w:rsid w:val="00756EE9"/>
    <w:rPr>
      <w:rFonts w:ascii="Calibri" w:eastAsiaTheme="minorHAnsi" w:hAnsi="Calibri" w:cs="Calibri"/>
      <w:sz w:val="22"/>
      <w:szCs w:val="22"/>
      <w:lang w:val="en-ID" w:eastAsia="en-ID"/>
    </w:rPr>
  </w:style>
  <w:style w:type="table" w:styleId="GridTable5Dark">
    <w:name w:val="Grid Table 5 Dark"/>
    <w:basedOn w:val="TableNormal"/>
    <w:uiPriority w:val="50"/>
    <w:locked/>
    <w:rsid w:val="00B41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0F69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3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C5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C5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C5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C5B4" w:themeFill="accent1"/>
      </w:tcPr>
    </w:tblStylePr>
    <w:tblStylePr w:type="band1Vert">
      <w:tblPr/>
      <w:tcPr>
        <w:shd w:val="clear" w:color="auto" w:fill="C1E7E0" w:themeFill="accent1" w:themeFillTint="66"/>
      </w:tcPr>
    </w:tblStylePr>
    <w:tblStylePr w:type="band1Horz">
      <w:tblPr/>
      <w:tcPr>
        <w:shd w:val="clear" w:color="auto" w:fill="C1E7E0" w:themeFill="accent1" w:themeFillTint="66"/>
      </w:tcPr>
    </w:tblStylePr>
  </w:style>
  <w:style w:type="table" w:styleId="ListTable1Light-Accent5">
    <w:name w:val="List Table 1 Light Accent 5"/>
    <w:basedOn w:val="TableNormal"/>
    <w:uiPriority w:val="46"/>
    <w:locked/>
    <w:rsid w:val="00CC4B71"/>
    <w:pPr>
      <w:spacing w:after="0" w:line="240" w:lineRule="auto"/>
    </w:pPr>
    <w:tblPr>
      <w:tblStyleRowBandSize w:val="1"/>
      <w:tblStyleColBandSize w:val="1"/>
    </w:tblPr>
    <w:tblStylePr w:type="firstRow">
      <w:rPr>
        <w:b/>
        <w:bCs/>
      </w:rPr>
      <w:tblPr/>
      <w:tcPr>
        <w:tcBorders>
          <w:bottom w:val="single" w:sz="4" w:space="0" w:color="84CDA2" w:themeColor="accent5" w:themeTint="99"/>
        </w:tcBorders>
      </w:tcPr>
    </w:tblStylePr>
    <w:tblStylePr w:type="lastRow">
      <w:rPr>
        <w:b/>
        <w:bCs/>
      </w:rPr>
      <w:tblPr/>
      <w:tcPr>
        <w:tcBorders>
          <w:top w:val="single" w:sz="4" w:space="0" w:color="84CDA2" w:themeColor="accent5" w:themeTint="99"/>
        </w:tcBorders>
      </w:tcPr>
    </w:tblStylePr>
    <w:tblStylePr w:type="firstCol">
      <w:rPr>
        <w:b/>
        <w:bCs/>
      </w:rPr>
    </w:tblStylePr>
    <w:tblStylePr w:type="lastCol">
      <w:rPr>
        <w:b/>
        <w:bCs/>
      </w:rPr>
    </w:tblStylePr>
    <w:tblStylePr w:type="band1Vert">
      <w:tblPr/>
      <w:tcPr>
        <w:shd w:val="clear" w:color="auto" w:fill="D5EEE0" w:themeFill="accent5" w:themeFillTint="33"/>
      </w:tcPr>
    </w:tblStylePr>
    <w:tblStylePr w:type="band1Horz">
      <w:tblPr/>
      <w:tcPr>
        <w:shd w:val="clear" w:color="auto" w:fill="D5EEE0" w:themeFill="accent5" w:themeFillTint="33"/>
      </w:tcPr>
    </w:tblStylePr>
  </w:style>
  <w:style w:type="table" w:styleId="ListTable3-Accent1">
    <w:name w:val="List Table 3 Accent 1"/>
    <w:basedOn w:val="TableNormal"/>
    <w:uiPriority w:val="48"/>
    <w:locked/>
    <w:rsid w:val="00CC4B71"/>
    <w:pPr>
      <w:spacing w:after="0" w:line="240" w:lineRule="auto"/>
    </w:pPr>
    <w:tblPr>
      <w:tblStyleRowBandSize w:val="1"/>
      <w:tblStyleColBandSize w:val="1"/>
      <w:tblBorders>
        <w:top w:val="single" w:sz="4" w:space="0" w:color="65C5B4" w:themeColor="accent1"/>
        <w:left w:val="single" w:sz="4" w:space="0" w:color="65C5B4" w:themeColor="accent1"/>
        <w:bottom w:val="single" w:sz="4" w:space="0" w:color="65C5B4" w:themeColor="accent1"/>
        <w:right w:val="single" w:sz="4" w:space="0" w:color="65C5B4" w:themeColor="accent1"/>
      </w:tblBorders>
    </w:tblPr>
    <w:tblStylePr w:type="firstRow">
      <w:rPr>
        <w:b/>
        <w:bCs/>
        <w:color w:val="FFFFFF" w:themeColor="background1"/>
      </w:rPr>
      <w:tblPr/>
      <w:tcPr>
        <w:shd w:val="clear" w:color="auto" w:fill="65C5B4" w:themeFill="accent1"/>
      </w:tcPr>
    </w:tblStylePr>
    <w:tblStylePr w:type="lastRow">
      <w:rPr>
        <w:b/>
        <w:bCs/>
      </w:rPr>
      <w:tblPr/>
      <w:tcPr>
        <w:tcBorders>
          <w:top w:val="double" w:sz="4" w:space="0" w:color="65C5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C5B4" w:themeColor="accent1"/>
          <w:right w:val="single" w:sz="4" w:space="0" w:color="65C5B4" w:themeColor="accent1"/>
        </w:tcBorders>
      </w:tcPr>
    </w:tblStylePr>
    <w:tblStylePr w:type="band1Horz">
      <w:tblPr/>
      <w:tcPr>
        <w:tcBorders>
          <w:top w:val="single" w:sz="4" w:space="0" w:color="65C5B4" w:themeColor="accent1"/>
          <w:bottom w:val="single" w:sz="4" w:space="0" w:color="65C5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C5B4" w:themeColor="accent1"/>
          <w:left w:val="nil"/>
        </w:tcBorders>
      </w:tcPr>
    </w:tblStylePr>
    <w:tblStylePr w:type="swCell">
      <w:tblPr/>
      <w:tcPr>
        <w:tcBorders>
          <w:top w:val="double" w:sz="4" w:space="0" w:color="65C5B4" w:themeColor="accent1"/>
          <w:right w:val="nil"/>
        </w:tcBorders>
      </w:tcPr>
    </w:tblStylePr>
  </w:style>
  <w:style w:type="table" w:styleId="GridTable5Dark-Accent5">
    <w:name w:val="Grid Table 5 Dark Accent 5"/>
    <w:basedOn w:val="TableNormal"/>
    <w:uiPriority w:val="50"/>
    <w:locked/>
    <w:rsid w:val="00F82D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F6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F6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F6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F68" w:themeFill="accent5"/>
      </w:tcPr>
    </w:tblStylePr>
    <w:tblStylePr w:type="band1Vert">
      <w:tblPr/>
      <w:tcPr>
        <w:shd w:val="clear" w:color="auto" w:fill="ADDEC1" w:themeFill="accent5" w:themeFillTint="66"/>
      </w:tcPr>
    </w:tblStylePr>
    <w:tblStylePr w:type="band1Horz">
      <w:tblPr/>
      <w:tcPr>
        <w:shd w:val="clear" w:color="auto" w:fill="ADDEC1"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771">
      <w:bodyDiv w:val="1"/>
      <w:marLeft w:val="0"/>
      <w:marRight w:val="0"/>
      <w:marTop w:val="0"/>
      <w:marBottom w:val="0"/>
      <w:divBdr>
        <w:top w:val="none" w:sz="0" w:space="0" w:color="auto"/>
        <w:left w:val="none" w:sz="0" w:space="0" w:color="auto"/>
        <w:bottom w:val="none" w:sz="0" w:space="0" w:color="auto"/>
        <w:right w:val="none" w:sz="0" w:space="0" w:color="auto"/>
      </w:divBdr>
    </w:div>
    <w:div w:id="33778412">
      <w:bodyDiv w:val="1"/>
      <w:marLeft w:val="0"/>
      <w:marRight w:val="0"/>
      <w:marTop w:val="0"/>
      <w:marBottom w:val="0"/>
      <w:divBdr>
        <w:top w:val="none" w:sz="0" w:space="0" w:color="auto"/>
        <w:left w:val="none" w:sz="0" w:space="0" w:color="auto"/>
        <w:bottom w:val="none" w:sz="0" w:space="0" w:color="auto"/>
        <w:right w:val="none" w:sz="0" w:space="0" w:color="auto"/>
      </w:divBdr>
      <w:divsChild>
        <w:div w:id="435826484">
          <w:marLeft w:val="0"/>
          <w:marRight w:val="0"/>
          <w:marTop w:val="0"/>
          <w:marBottom w:val="0"/>
          <w:divBdr>
            <w:top w:val="none" w:sz="0" w:space="0" w:color="auto"/>
            <w:left w:val="none" w:sz="0" w:space="0" w:color="auto"/>
            <w:bottom w:val="none" w:sz="0" w:space="0" w:color="auto"/>
            <w:right w:val="none" w:sz="0" w:space="0" w:color="auto"/>
          </w:divBdr>
          <w:divsChild>
            <w:div w:id="180054875">
              <w:marLeft w:val="0"/>
              <w:marRight w:val="0"/>
              <w:marTop w:val="0"/>
              <w:marBottom w:val="0"/>
              <w:divBdr>
                <w:top w:val="none" w:sz="0" w:space="0" w:color="auto"/>
                <w:left w:val="none" w:sz="0" w:space="0" w:color="auto"/>
                <w:bottom w:val="none" w:sz="0" w:space="0" w:color="auto"/>
                <w:right w:val="none" w:sz="0" w:space="0" w:color="auto"/>
              </w:divBdr>
              <w:divsChild>
                <w:div w:id="1883515644">
                  <w:marLeft w:val="0"/>
                  <w:marRight w:val="0"/>
                  <w:marTop w:val="0"/>
                  <w:marBottom w:val="0"/>
                  <w:divBdr>
                    <w:top w:val="none" w:sz="0" w:space="0" w:color="auto"/>
                    <w:left w:val="none" w:sz="0" w:space="0" w:color="auto"/>
                    <w:bottom w:val="none" w:sz="0" w:space="0" w:color="auto"/>
                    <w:right w:val="none" w:sz="0" w:space="0" w:color="auto"/>
                  </w:divBdr>
                  <w:divsChild>
                    <w:div w:id="18353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2345">
      <w:bodyDiv w:val="1"/>
      <w:marLeft w:val="0"/>
      <w:marRight w:val="0"/>
      <w:marTop w:val="0"/>
      <w:marBottom w:val="0"/>
      <w:divBdr>
        <w:top w:val="none" w:sz="0" w:space="0" w:color="auto"/>
        <w:left w:val="none" w:sz="0" w:space="0" w:color="auto"/>
        <w:bottom w:val="none" w:sz="0" w:space="0" w:color="auto"/>
        <w:right w:val="none" w:sz="0" w:space="0" w:color="auto"/>
      </w:divBdr>
    </w:div>
    <w:div w:id="64449846">
      <w:bodyDiv w:val="1"/>
      <w:marLeft w:val="0"/>
      <w:marRight w:val="0"/>
      <w:marTop w:val="0"/>
      <w:marBottom w:val="0"/>
      <w:divBdr>
        <w:top w:val="none" w:sz="0" w:space="0" w:color="auto"/>
        <w:left w:val="none" w:sz="0" w:space="0" w:color="auto"/>
        <w:bottom w:val="none" w:sz="0" w:space="0" w:color="auto"/>
        <w:right w:val="none" w:sz="0" w:space="0" w:color="auto"/>
      </w:divBdr>
    </w:div>
    <w:div w:id="89132561">
      <w:bodyDiv w:val="1"/>
      <w:marLeft w:val="0"/>
      <w:marRight w:val="0"/>
      <w:marTop w:val="0"/>
      <w:marBottom w:val="0"/>
      <w:divBdr>
        <w:top w:val="none" w:sz="0" w:space="0" w:color="auto"/>
        <w:left w:val="none" w:sz="0" w:space="0" w:color="auto"/>
        <w:bottom w:val="none" w:sz="0" w:space="0" w:color="auto"/>
        <w:right w:val="none" w:sz="0" w:space="0" w:color="auto"/>
      </w:divBdr>
      <w:divsChild>
        <w:div w:id="549927653">
          <w:marLeft w:val="0"/>
          <w:marRight w:val="0"/>
          <w:marTop w:val="0"/>
          <w:marBottom w:val="0"/>
          <w:divBdr>
            <w:top w:val="none" w:sz="0" w:space="0" w:color="auto"/>
            <w:left w:val="none" w:sz="0" w:space="0" w:color="auto"/>
            <w:bottom w:val="none" w:sz="0" w:space="0" w:color="auto"/>
            <w:right w:val="none" w:sz="0" w:space="0" w:color="auto"/>
          </w:divBdr>
          <w:divsChild>
            <w:div w:id="1647777174">
              <w:marLeft w:val="0"/>
              <w:marRight w:val="0"/>
              <w:marTop w:val="0"/>
              <w:marBottom w:val="0"/>
              <w:divBdr>
                <w:top w:val="none" w:sz="0" w:space="0" w:color="auto"/>
                <w:left w:val="none" w:sz="0" w:space="0" w:color="auto"/>
                <w:bottom w:val="none" w:sz="0" w:space="0" w:color="auto"/>
                <w:right w:val="none" w:sz="0" w:space="0" w:color="auto"/>
              </w:divBdr>
              <w:divsChild>
                <w:div w:id="12814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9536">
      <w:bodyDiv w:val="1"/>
      <w:marLeft w:val="0"/>
      <w:marRight w:val="0"/>
      <w:marTop w:val="0"/>
      <w:marBottom w:val="0"/>
      <w:divBdr>
        <w:top w:val="none" w:sz="0" w:space="0" w:color="auto"/>
        <w:left w:val="none" w:sz="0" w:space="0" w:color="auto"/>
        <w:bottom w:val="none" w:sz="0" w:space="0" w:color="auto"/>
        <w:right w:val="none" w:sz="0" w:space="0" w:color="auto"/>
      </w:divBdr>
    </w:div>
    <w:div w:id="140273661">
      <w:bodyDiv w:val="1"/>
      <w:marLeft w:val="0"/>
      <w:marRight w:val="0"/>
      <w:marTop w:val="0"/>
      <w:marBottom w:val="0"/>
      <w:divBdr>
        <w:top w:val="none" w:sz="0" w:space="0" w:color="auto"/>
        <w:left w:val="none" w:sz="0" w:space="0" w:color="auto"/>
        <w:bottom w:val="none" w:sz="0" w:space="0" w:color="auto"/>
        <w:right w:val="none" w:sz="0" w:space="0" w:color="auto"/>
      </w:divBdr>
    </w:div>
    <w:div w:id="167058446">
      <w:bodyDiv w:val="1"/>
      <w:marLeft w:val="0"/>
      <w:marRight w:val="0"/>
      <w:marTop w:val="0"/>
      <w:marBottom w:val="0"/>
      <w:divBdr>
        <w:top w:val="none" w:sz="0" w:space="0" w:color="auto"/>
        <w:left w:val="none" w:sz="0" w:space="0" w:color="auto"/>
        <w:bottom w:val="none" w:sz="0" w:space="0" w:color="auto"/>
        <w:right w:val="none" w:sz="0" w:space="0" w:color="auto"/>
      </w:divBdr>
    </w:div>
    <w:div w:id="196936670">
      <w:bodyDiv w:val="1"/>
      <w:marLeft w:val="0"/>
      <w:marRight w:val="0"/>
      <w:marTop w:val="0"/>
      <w:marBottom w:val="0"/>
      <w:divBdr>
        <w:top w:val="none" w:sz="0" w:space="0" w:color="auto"/>
        <w:left w:val="none" w:sz="0" w:space="0" w:color="auto"/>
        <w:bottom w:val="none" w:sz="0" w:space="0" w:color="auto"/>
        <w:right w:val="none" w:sz="0" w:space="0" w:color="auto"/>
      </w:divBdr>
    </w:div>
    <w:div w:id="236864963">
      <w:bodyDiv w:val="1"/>
      <w:marLeft w:val="0"/>
      <w:marRight w:val="0"/>
      <w:marTop w:val="0"/>
      <w:marBottom w:val="0"/>
      <w:divBdr>
        <w:top w:val="none" w:sz="0" w:space="0" w:color="auto"/>
        <w:left w:val="none" w:sz="0" w:space="0" w:color="auto"/>
        <w:bottom w:val="none" w:sz="0" w:space="0" w:color="auto"/>
        <w:right w:val="none" w:sz="0" w:space="0" w:color="auto"/>
      </w:divBdr>
    </w:div>
    <w:div w:id="262224523">
      <w:bodyDiv w:val="1"/>
      <w:marLeft w:val="0"/>
      <w:marRight w:val="0"/>
      <w:marTop w:val="0"/>
      <w:marBottom w:val="0"/>
      <w:divBdr>
        <w:top w:val="none" w:sz="0" w:space="0" w:color="auto"/>
        <w:left w:val="none" w:sz="0" w:space="0" w:color="auto"/>
        <w:bottom w:val="none" w:sz="0" w:space="0" w:color="auto"/>
        <w:right w:val="none" w:sz="0" w:space="0" w:color="auto"/>
      </w:divBdr>
    </w:div>
    <w:div w:id="276644909">
      <w:bodyDiv w:val="1"/>
      <w:marLeft w:val="0"/>
      <w:marRight w:val="0"/>
      <w:marTop w:val="0"/>
      <w:marBottom w:val="0"/>
      <w:divBdr>
        <w:top w:val="none" w:sz="0" w:space="0" w:color="auto"/>
        <w:left w:val="none" w:sz="0" w:space="0" w:color="auto"/>
        <w:bottom w:val="none" w:sz="0" w:space="0" w:color="auto"/>
        <w:right w:val="none" w:sz="0" w:space="0" w:color="auto"/>
      </w:divBdr>
    </w:div>
    <w:div w:id="277951937">
      <w:bodyDiv w:val="1"/>
      <w:marLeft w:val="0"/>
      <w:marRight w:val="0"/>
      <w:marTop w:val="0"/>
      <w:marBottom w:val="0"/>
      <w:divBdr>
        <w:top w:val="none" w:sz="0" w:space="0" w:color="auto"/>
        <w:left w:val="none" w:sz="0" w:space="0" w:color="auto"/>
        <w:bottom w:val="none" w:sz="0" w:space="0" w:color="auto"/>
        <w:right w:val="none" w:sz="0" w:space="0" w:color="auto"/>
      </w:divBdr>
    </w:div>
    <w:div w:id="306009009">
      <w:bodyDiv w:val="1"/>
      <w:marLeft w:val="0"/>
      <w:marRight w:val="0"/>
      <w:marTop w:val="0"/>
      <w:marBottom w:val="0"/>
      <w:divBdr>
        <w:top w:val="none" w:sz="0" w:space="0" w:color="auto"/>
        <w:left w:val="none" w:sz="0" w:space="0" w:color="auto"/>
        <w:bottom w:val="none" w:sz="0" w:space="0" w:color="auto"/>
        <w:right w:val="none" w:sz="0" w:space="0" w:color="auto"/>
      </w:divBdr>
      <w:divsChild>
        <w:div w:id="1056470552">
          <w:marLeft w:val="0"/>
          <w:marRight w:val="0"/>
          <w:marTop w:val="0"/>
          <w:marBottom w:val="0"/>
          <w:divBdr>
            <w:top w:val="none" w:sz="0" w:space="0" w:color="auto"/>
            <w:left w:val="none" w:sz="0" w:space="0" w:color="auto"/>
            <w:bottom w:val="none" w:sz="0" w:space="0" w:color="auto"/>
            <w:right w:val="none" w:sz="0" w:space="0" w:color="auto"/>
          </w:divBdr>
          <w:divsChild>
            <w:div w:id="1167018307">
              <w:marLeft w:val="0"/>
              <w:marRight w:val="0"/>
              <w:marTop w:val="0"/>
              <w:marBottom w:val="0"/>
              <w:divBdr>
                <w:top w:val="none" w:sz="0" w:space="0" w:color="auto"/>
                <w:left w:val="none" w:sz="0" w:space="0" w:color="auto"/>
                <w:bottom w:val="none" w:sz="0" w:space="0" w:color="auto"/>
                <w:right w:val="none" w:sz="0" w:space="0" w:color="auto"/>
              </w:divBdr>
              <w:divsChild>
                <w:div w:id="5393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3786">
      <w:bodyDiv w:val="1"/>
      <w:marLeft w:val="0"/>
      <w:marRight w:val="0"/>
      <w:marTop w:val="0"/>
      <w:marBottom w:val="0"/>
      <w:divBdr>
        <w:top w:val="none" w:sz="0" w:space="0" w:color="auto"/>
        <w:left w:val="none" w:sz="0" w:space="0" w:color="auto"/>
        <w:bottom w:val="none" w:sz="0" w:space="0" w:color="auto"/>
        <w:right w:val="none" w:sz="0" w:space="0" w:color="auto"/>
      </w:divBdr>
      <w:divsChild>
        <w:div w:id="201287743">
          <w:marLeft w:val="1440"/>
          <w:marRight w:val="0"/>
          <w:marTop w:val="0"/>
          <w:marBottom w:val="0"/>
          <w:divBdr>
            <w:top w:val="none" w:sz="0" w:space="0" w:color="auto"/>
            <w:left w:val="none" w:sz="0" w:space="0" w:color="auto"/>
            <w:bottom w:val="none" w:sz="0" w:space="0" w:color="auto"/>
            <w:right w:val="none" w:sz="0" w:space="0" w:color="auto"/>
          </w:divBdr>
        </w:div>
        <w:div w:id="467862194">
          <w:marLeft w:val="763"/>
          <w:marRight w:val="0"/>
          <w:marTop w:val="120"/>
          <w:marBottom w:val="120"/>
          <w:divBdr>
            <w:top w:val="none" w:sz="0" w:space="0" w:color="auto"/>
            <w:left w:val="none" w:sz="0" w:space="0" w:color="auto"/>
            <w:bottom w:val="none" w:sz="0" w:space="0" w:color="auto"/>
            <w:right w:val="none" w:sz="0" w:space="0" w:color="auto"/>
          </w:divBdr>
        </w:div>
        <w:div w:id="976103451">
          <w:marLeft w:val="1440"/>
          <w:marRight w:val="0"/>
          <w:marTop w:val="0"/>
          <w:marBottom w:val="0"/>
          <w:divBdr>
            <w:top w:val="none" w:sz="0" w:space="0" w:color="auto"/>
            <w:left w:val="none" w:sz="0" w:space="0" w:color="auto"/>
            <w:bottom w:val="none" w:sz="0" w:space="0" w:color="auto"/>
            <w:right w:val="none" w:sz="0" w:space="0" w:color="auto"/>
          </w:divBdr>
        </w:div>
        <w:div w:id="1182937194">
          <w:marLeft w:val="763"/>
          <w:marRight w:val="0"/>
          <w:marTop w:val="120"/>
          <w:marBottom w:val="120"/>
          <w:divBdr>
            <w:top w:val="none" w:sz="0" w:space="0" w:color="auto"/>
            <w:left w:val="none" w:sz="0" w:space="0" w:color="auto"/>
            <w:bottom w:val="none" w:sz="0" w:space="0" w:color="auto"/>
            <w:right w:val="none" w:sz="0" w:space="0" w:color="auto"/>
          </w:divBdr>
        </w:div>
      </w:divsChild>
    </w:div>
    <w:div w:id="464811227">
      <w:bodyDiv w:val="1"/>
      <w:marLeft w:val="0"/>
      <w:marRight w:val="0"/>
      <w:marTop w:val="0"/>
      <w:marBottom w:val="0"/>
      <w:divBdr>
        <w:top w:val="none" w:sz="0" w:space="0" w:color="auto"/>
        <w:left w:val="none" w:sz="0" w:space="0" w:color="auto"/>
        <w:bottom w:val="none" w:sz="0" w:space="0" w:color="auto"/>
        <w:right w:val="none" w:sz="0" w:space="0" w:color="auto"/>
      </w:divBdr>
      <w:divsChild>
        <w:div w:id="242112395">
          <w:marLeft w:val="0"/>
          <w:marRight w:val="0"/>
          <w:marTop w:val="0"/>
          <w:marBottom w:val="0"/>
          <w:divBdr>
            <w:top w:val="none" w:sz="0" w:space="0" w:color="auto"/>
            <w:left w:val="none" w:sz="0" w:space="0" w:color="auto"/>
            <w:bottom w:val="none" w:sz="0" w:space="0" w:color="auto"/>
            <w:right w:val="none" w:sz="0" w:space="0" w:color="auto"/>
          </w:divBdr>
          <w:divsChild>
            <w:div w:id="436290401">
              <w:marLeft w:val="0"/>
              <w:marRight w:val="0"/>
              <w:marTop w:val="0"/>
              <w:marBottom w:val="0"/>
              <w:divBdr>
                <w:top w:val="none" w:sz="0" w:space="0" w:color="auto"/>
                <w:left w:val="none" w:sz="0" w:space="0" w:color="auto"/>
                <w:bottom w:val="none" w:sz="0" w:space="0" w:color="auto"/>
                <w:right w:val="none" w:sz="0" w:space="0" w:color="auto"/>
              </w:divBdr>
              <w:divsChild>
                <w:div w:id="3629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4722">
      <w:bodyDiv w:val="1"/>
      <w:marLeft w:val="0"/>
      <w:marRight w:val="0"/>
      <w:marTop w:val="0"/>
      <w:marBottom w:val="0"/>
      <w:divBdr>
        <w:top w:val="none" w:sz="0" w:space="0" w:color="auto"/>
        <w:left w:val="none" w:sz="0" w:space="0" w:color="auto"/>
        <w:bottom w:val="none" w:sz="0" w:space="0" w:color="auto"/>
        <w:right w:val="none" w:sz="0" w:space="0" w:color="auto"/>
      </w:divBdr>
    </w:div>
    <w:div w:id="595795531">
      <w:bodyDiv w:val="1"/>
      <w:marLeft w:val="0"/>
      <w:marRight w:val="0"/>
      <w:marTop w:val="0"/>
      <w:marBottom w:val="0"/>
      <w:divBdr>
        <w:top w:val="none" w:sz="0" w:space="0" w:color="auto"/>
        <w:left w:val="none" w:sz="0" w:space="0" w:color="auto"/>
        <w:bottom w:val="none" w:sz="0" w:space="0" w:color="auto"/>
        <w:right w:val="none" w:sz="0" w:space="0" w:color="auto"/>
      </w:divBdr>
      <w:divsChild>
        <w:div w:id="1608587223">
          <w:marLeft w:val="0"/>
          <w:marRight w:val="0"/>
          <w:marTop w:val="0"/>
          <w:marBottom w:val="0"/>
          <w:divBdr>
            <w:top w:val="none" w:sz="0" w:space="0" w:color="auto"/>
            <w:left w:val="none" w:sz="0" w:space="0" w:color="auto"/>
            <w:bottom w:val="none" w:sz="0" w:space="0" w:color="auto"/>
            <w:right w:val="none" w:sz="0" w:space="0" w:color="auto"/>
          </w:divBdr>
          <w:divsChild>
            <w:div w:id="1437096648">
              <w:marLeft w:val="0"/>
              <w:marRight w:val="0"/>
              <w:marTop w:val="0"/>
              <w:marBottom w:val="0"/>
              <w:divBdr>
                <w:top w:val="none" w:sz="0" w:space="0" w:color="auto"/>
                <w:left w:val="none" w:sz="0" w:space="0" w:color="auto"/>
                <w:bottom w:val="none" w:sz="0" w:space="0" w:color="auto"/>
                <w:right w:val="none" w:sz="0" w:space="0" w:color="auto"/>
              </w:divBdr>
              <w:divsChild>
                <w:div w:id="18799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4230">
      <w:bodyDiv w:val="1"/>
      <w:marLeft w:val="0"/>
      <w:marRight w:val="0"/>
      <w:marTop w:val="0"/>
      <w:marBottom w:val="0"/>
      <w:divBdr>
        <w:top w:val="none" w:sz="0" w:space="0" w:color="auto"/>
        <w:left w:val="none" w:sz="0" w:space="0" w:color="auto"/>
        <w:bottom w:val="none" w:sz="0" w:space="0" w:color="auto"/>
        <w:right w:val="none" w:sz="0" w:space="0" w:color="auto"/>
      </w:divBdr>
      <w:divsChild>
        <w:div w:id="1658269767">
          <w:marLeft w:val="0"/>
          <w:marRight w:val="0"/>
          <w:marTop w:val="0"/>
          <w:marBottom w:val="0"/>
          <w:divBdr>
            <w:top w:val="none" w:sz="0" w:space="0" w:color="auto"/>
            <w:left w:val="none" w:sz="0" w:space="0" w:color="auto"/>
            <w:bottom w:val="none" w:sz="0" w:space="0" w:color="auto"/>
            <w:right w:val="none" w:sz="0" w:space="0" w:color="auto"/>
          </w:divBdr>
          <w:divsChild>
            <w:div w:id="1948273598">
              <w:marLeft w:val="0"/>
              <w:marRight w:val="0"/>
              <w:marTop w:val="0"/>
              <w:marBottom w:val="0"/>
              <w:divBdr>
                <w:top w:val="none" w:sz="0" w:space="0" w:color="auto"/>
                <w:left w:val="none" w:sz="0" w:space="0" w:color="auto"/>
                <w:bottom w:val="none" w:sz="0" w:space="0" w:color="auto"/>
                <w:right w:val="none" w:sz="0" w:space="0" w:color="auto"/>
              </w:divBdr>
              <w:divsChild>
                <w:div w:id="89663827">
                  <w:marLeft w:val="0"/>
                  <w:marRight w:val="0"/>
                  <w:marTop w:val="0"/>
                  <w:marBottom w:val="0"/>
                  <w:divBdr>
                    <w:top w:val="none" w:sz="0" w:space="0" w:color="auto"/>
                    <w:left w:val="none" w:sz="0" w:space="0" w:color="auto"/>
                    <w:bottom w:val="none" w:sz="0" w:space="0" w:color="auto"/>
                    <w:right w:val="none" w:sz="0" w:space="0" w:color="auto"/>
                  </w:divBdr>
                  <w:divsChild>
                    <w:div w:id="6186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97650">
      <w:bodyDiv w:val="1"/>
      <w:marLeft w:val="0"/>
      <w:marRight w:val="0"/>
      <w:marTop w:val="0"/>
      <w:marBottom w:val="0"/>
      <w:divBdr>
        <w:top w:val="none" w:sz="0" w:space="0" w:color="auto"/>
        <w:left w:val="none" w:sz="0" w:space="0" w:color="auto"/>
        <w:bottom w:val="none" w:sz="0" w:space="0" w:color="auto"/>
        <w:right w:val="none" w:sz="0" w:space="0" w:color="auto"/>
      </w:divBdr>
      <w:divsChild>
        <w:div w:id="367872764">
          <w:marLeft w:val="0"/>
          <w:marRight w:val="0"/>
          <w:marTop w:val="60"/>
          <w:marBottom w:val="60"/>
          <w:divBdr>
            <w:top w:val="none" w:sz="0" w:space="0" w:color="auto"/>
            <w:left w:val="none" w:sz="0" w:space="0" w:color="auto"/>
            <w:bottom w:val="none" w:sz="0" w:space="0" w:color="auto"/>
            <w:right w:val="none" w:sz="0" w:space="0" w:color="auto"/>
          </w:divBdr>
        </w:div>
        <w:div w:id="446583509">
          <w:marLeft w:val="0"/>
          <w:marRight w:val="0"/>
          <w:marTop w:val="60"/>
          <w:marBottom w:val="60"/>
          <w:divBdr>
            <w:top w:val="none" w:sz="0" w:space="0" w:color="auto"/>
            <w:left w:val="none" w:sz="0" w:space="0" w:color="auto"/>
            <w:bottom w:val="none" w:sz="0" w:space="0" w:color="auto"/>
            <w:right w:val="none" w:sz="0" w:space="0" w:color="auto"/>
          </w:divBdr>
        </w:div>
        <w:div w:id="771129069">
          <w:marLeft w:val="446"/>
          <w:marRight w:val="0"/>
          <w:marTop w:val="60"/>
          <w:marBottom w:val="60"/>
          <w:divBdr>
            <w:top w:val="none" w:sz="0" w:space="0" w:color="auto"/>
            <w:left w:val="none" w:sz="0" w:space="0" w:color="auto"/>
            <w:bottom w:val="none" w:sz="0" w:space="0" w:color="auto"/>
            <w:right w:val="none" w:sz="0" w:space="0" w:color="auto"/>
          </w:divBdr>
        </w:div>
        <w:div w:id="889465721">
          <w:marLeft w:val="0"/>
          <w:marRight w:val="0"/>
          <w:marTop w:val="60"/>
          <w:marBottom w:val="60"/>
          <w:divBdr>
            <w:top w:val="none" w:sz="0" w:space="0" w:color="auto"/>
            <w:left w:val="none" w:sz="0" w:space="0" w:color="auto"/>
            <w:bottom w:val="none" w:sz="0" w:space="0" w:color="auto"/>
            <w:right w:val="none" w:sz="0" w:space="0" w:color="auto"/>
          </w:divBdr>
        </w:div>
        <w:div w:id="1030954459">
          <w:marLeft w:val="0"/>
          <w:marRight w:val="0"/>
          <w:marTop w:val="60"/>
          <w:marBottom w:val="60"/>
          <w:divBdr>
            <w:top w:val="none" w:sz="0" w:space="0" w:color="auto"/>
            <w:left w:val="none" w:sz="0" w:space="0" w:color="auto"/>
            <w:bottom w:val="none" w:sz="0" w:space="0" w:color="auto"/>
            <w:right w:val="none" w:sz="0" w:space="0" w:color="auto"/>
          </w:divBdr>
        </w:div>
        <w:div w:id="1650281425">
          <w:marLeft w:val="446"/>
          <w:marRight w:val="0"/>
          <w:marTop w:val="60"/>
          <w:marBottom w:val="60"/>
          <w:divBdr>
            <w:top w:val="none" w:sz="0" w:space="0" w:color="auto"/>
            <w:left w:val="none" w:sz="0" w:space="0" w:color="auto"/>
            <w:bottom w:val="none" w:sz="0" w:space="0" w:color="auto"/>
            <w:right w:val="none" w:sz="0" w:space="0" w:color="auto"/>
          </w:divBdr>
        </w:div>
      </w:divsChild>
    </w:div>
    <w:div w:id="689255049">
      <w:bodyDiv w:val="1"/>
      <w:marLeft w:val="0"/>
      <w:marRight w:val="0"/>
      <w:marTop w:val="0"/>
      <w:marBottom w:val="0"/>
      <w:divBdr>
        <w:top w:val="none" w:sz="0" w:space="0" w:color="auto"/>
        <w:left w:val="none" w:sz="0" w:space="0" w:color="auto"/>
        <w:bottom w:val="none" w:sz="0" w:space="0" w:color="auto"/>
        <w:right w:val="none" w:sz="0" w:space="0" w:color="auto"/>
      </w:divBdr>
    </w:div>
    <w:div w:id="774129360">
      <w:bodyDiv w:val="1"/>
      <w:marLeft w:val="0"/>
      <w:marRight w:val="0"/>
      <w:marTop w:val="0"/>
      <w:marBottom w:val="0"/>
      <w:divBdr>
        <w:top w:val="none" w:sz="0" w:space="0" w:color="auto"/>
        <w:left w:val="none" w:sz="0" w:space="0" w:color="auto"/>
        <w:bottom w:val="none" w:sz="0" w:space="0" w:color="auto"/>
        <w:right w:val="none" w:sz="0" w:space="0" w:color="auto"/>
      </w:divBdr>
      <w:divsChild>
        <w:div w:id="1375888562">
          <w:marLeft w:val="0"/>
          <w:marRight w:val="0"/>
          <w:marTop w:val="0"/>
          <w:marBottom w:val="0"/>
          <w:divBdr>
            <w:top w:val="none" w:sz="0" w:space="0" w:color="auto"/>
            <w:left w:val="none" w:sz="0" w:space="0" w:color="auto"/>
            <w:bottom w:val="none" w:sz="0" w:space="0" w:color="auto"/>
            <w:right w:val="none" w:sz="0" w:space="0" w:color="auto"/>
          </w:divBdr>
          <w:divsChild>
            <w:div w:id="32004515">
              <w:marLeft w:val="0"/>
              <w:marRight w:val="0"/>
              <w:marTop w:val="0"/>
              <w:marBottom w:val="0"/>
              <w:divBdr>
                <w:top w:val="none" w:sz="0" w:space="0" w:color="auto"/>
                <w:left w:val="none" w:sz="0" w:space="0" w:color="auto"/>
                <w:bottom w:val="none" w:sz="0" w:space="0" w:color="auto"/>
                <w:right w:val="none" w:sz="0" w:space="0" w:color="auto"/>
              </w:divBdr>
              <w:divsChild>
                <w:div w:id="1865629263">
                  <w:marLeft w:val="0"/>
                  <w:marRight w:val="0"/>
                  <w:marTop w:val="0"/>
                  <w:marBottom w:val="0"/>
                  <w:divBdr>
                    <w:top w:val="none" w:sz="0" w:space="0" w:color="auto"/>
                    <w:left w:val="none" w:sz="0" w:space="0" w:color="auto"/>
                    <w:bottom w:val="none" w:sz="0" w:space="0" w:color="auto"/>
                    <w:right w:val="none" w:sz="0" w:space="0" w:color="auto"/>
                  </w:divBdr>
                  <w:divsChild>
                    <w:div w:id="18232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62159">
      <w:bodyDiv w:val="1"/>
      <w:marLeft w:val="0"/>
      <w:marRight w:val="0"/>
      <w:marTop w:val="0"/>
      <w:marBottom w:val="0"/>
      <w:divBdr>
        <w:top w:val="none" w:sz="0" w:space="0" w:color="auto"/>
        <w:left w:val="none" w:sz="0" w:space="0" w:color="auto"/>
        <w:bottom w:val="none" w:sz="0" w:space="0" w:color="auto"/>
        <w:right w:val="none" w:sz="0" w:space="0" w:color="auto"/>
      </w:divBdr>
    </w:div>
    <w:div w:id="786200711">
      <w:bodyDiv w:val="1"/>
      <w:marLeft w:val="0"/>
      <w:marRight w:val="0"/>
      <w:marTop w:val="0"/>
      <w:marBottom w:val="0"/>
      <w:divBdr>
        <w:top w:val="none" w:sz="0" w:space="0" w:color="auto"/>
        <w:left w:val="none" w:sz="0" w:space="0" w:color="auto"/>
        <w:bottom w:val="none" w:sz="0" w:space="0" w:color="auto"/>
        <w:right w:val="none" w:sz="0" w:space="0" w:color="auto"/>
      </w:divBdr>
      <w:divsChild>
        <w:div w:id="906915095">
          <w:marLeft w:val="0"/>
          <w:marRight w:val="0"/>
          <w:marTop w:val="0"/>
          <w:marBottom w:val="0"/>
          <w:divBdr>
            <w:top w:val="none" w:sz="0" w:space="0" w:color="auto"/>
            <w:left w:val="none" w:sz="0" w:space="0" w:color="auto"/>
            <w:bottom w:val="none" w:sz="0" w:space="0" w:color="auto"/>
            <w:right w:val="none" w:sz="0" w:space="0" w:color="auto"/>
          </w:divBdr>
          <w:divsChild>
            <w:div w:id="1575161972">
              <w:marLeft w:val="0"/>
              <w:marRight w:val="0"/>
              <w:marTop w:val="0"/>
              <w:marBottom w:val="0"/>
              <w:divBdr>
                <w:top w:val="none" w:sz="0" w:space="0" w:color="auto"/>
                <w:left w:val="none" w:sz="0" w:space="0" w:color="auto"/>
                <w:bottom w:val="none" w:sz="0" w:space="0" w:color="auto"/>
                <w:right w:val="none" w:sz="0" w:space="0" w:color="auto"/>
              </w:divBdr>
              <w:divsChild>
                <w:div w:id="21120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54624">
      <w:bodyDiv w:val="1"/>
      <w:marLeft w:val="0"/>
      <w:marRight w:val="0"/>
      <w:marTop w:val="0"/>
      <w:marBottom w:val="0"/>
      <w:divBdr>
        <w:top w:val="none" w:sz="0" w:space="0" w:color="auto"/>
        <w:left w:val="none" w:sz="0" w:space="0" w:color="auto"/>
        <w:bottom w:val="none" w:sz="0" w:space="0" w:color="auto"/>
        <w:right w:val="none" w:sz="0" w:space="0" w:color="auto"/>
      </w:divBdr>
      <w:divsChild>
        <w:div w:id="295256183">
          <w:marLeft w:val="0"/>
          <w:marRight w:val="0"/>
          <w:marTop w:val="0"/>
          <w:marBottom w:val="0"/>
          <w:divBdr>
            <w:top w:val="none" w:sz="0" w:space="0" w:color="auto"/>
            <w:left w:val="none" w:sz="0" w:space="0" w:color="auto"/>
            <w:bottom w:val="none" w:sz="0" w:space="0" w:color="auto"/>
            <w:right w:val="none" w:sz="0" w:space="0" w:color="auto"/>
          </w:divBdr>
          <w:divsChild>
            <w:div w:id="1497333245">
              <w:marLeft w:val="0"/>
              <w:marRight w:val="0"/>
              <w:marTop w:val="0"/>
              <w:marBottom w:val="0"/>
              <w:divBdr>
                <w:top w:val="none" w:sz="0" w:space="0" w:color="auto"/>
                <w:left w:val="none" w:sz="0" w:space="0" w:color="auto"/>
                <w:bottom w:val="none" w:sz="0" w:space="0" w:color="auto"/>
                <w:right w:val="none" w:sz="0" w:space="0" w:color="auto"/>
              </w:divBdr>
              <w:divsChild>
                <w:div w:id="800877514">
                  <w:marLeft w:val="0"/>
                  <w:marRight w:val="0"/>
                  <w:marTop w:val="0"/>
                  <w:marBottom w:val="0"/>
                  <w:divBdr>
                    <w:top w:val="none" w:sz="0" w:space="0" w:color="auto"/>
                    <w:left w:val="none" w:sz="0" w:space="0" w:color="auto"/>
                    <w:bottom w:val="none" w:sz="0" w:space="0" w:color="auto"/>
                    <w:right w:val="none" w:sz="0" w:space="0" w:color="auto"/>
                  </w:divBdr>
                  <w:divsChild>
                    <w:div w:id="538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16098">
      <w:bodyDiv w:val="1"/>
      <w:marLeft w:val="0"/>
      <w:marRight w:val="0"/>
      <w:marTop w:val="0"/>
      <w:marBottom w:val="0"/>
      <w:divBdr>
        <w:top w:val="none" w:sz="0" w:space="0" w:color="auto"/>
        <w:left w:val="none" w:sz="0" w:space="0" w:color="auto"/>
        <w:bottom w:val="none" w:sz="0" w:space="0" w:color="auto"/>
        <w:right w:val="none" w:sz="0" w:space="0" w:color="auto"/>
      </w:divBdr>
    </w:div>
    <w:div w:id="829641966">
      <w:bodyDiv w:val="1"/>
      <w:marLeft w:val="0"/>
      <w:marRight w:val="0"/>
      <w:marTop w:val="0"/>
      <w:marBottom w:val="0"/>
      <w:divBdr>
        <w:top w:val="none" w:sz="0" w:space="0" w:color="auto"/>
        <w:left w:val="none" w:sz="0" w:space="0" w:color="auto"/>
        <w:bottom w:val="none" w:sz="0" w:space="0" w:color="auto"/>
        <w:right w:val="none" w:sz="0" w:space="0" w:color="auto"/>
      </w:divBdr>
      <w:divsChild>
        <w:div w:id="353463938">
          <w:marLeft w:val="1440"/>
          <w:marRight w:val="0"/>
          <w:marTop w:val="0"/>
          <w:marBottom w:val="0"/>
          <w:divBdr>
            <w:top w:val="none" w:sz="0" w:space="0" w:color="auto"/>
            <w:left w:val="none" w:sz="0" w:space="0" w:color="auto"/>
            <w:bottom w:val="none" w:sz="0" w:space="0" w:color="auto"/>
            <w:right w:val="none" w:sz="0" w:space="0" w:color="auto"/>
          </w:divBdr>
        </w:div>
        <w:div w:id="667057048">
          <w:marLeft w:val="1440"/>
          <w:marRight w:val="0"/>
          <w:marTop w:val="0"/>
          <w:marBottom w:val="0"/>
          <w:divBdr>
            <w:top w:val="none" w:sz="0" w:space="0" w:color="auto"/>
            <w:left w:val="none" w:sz="0" w:space="0" w:color="auto"/>
            <w:bottom w:val="none" w:sz="0" w:space="0" w:color="auto"/>
            <w:right w:val="none" w:sz="0" w:space="0" w:color="auto"/>
          </w:divBdr>
        </w:div>
        <w:div w:id="668171232">
          <w:marLeft w:val="1440"/>
          <w:marRight w:val="0"/>
          <w:marTop w:val="0"/>
          <w:marBottom w:val="0"/>
          <w:divBdr>
            <w:top w:val="none" w:sz="0" w:space="0" w:color="auto"/>
            <w:left w:val="none" w:sz="0" w:space="0" w:color="auto"/>
            <w:bottom w:val="none" w:sz="0" w:space="0" w:color="auto"/>
            <w:right w:val="none" w:sz="0" w:space="0" w:color="auto"/>
          </w:divBdr>
        </w:div>
        <w:div w:id="1173446708">
          <w:marLeft w:val="1440"/>
          <w:marRight w:val="0"/>
          <w:marTop w:val="0"/>
          <w:marBottom w:val="0"/>
          <w:divBdr>
            <w:top w:val="none" w:sz="0" w:space="0" w:color="auto"/>
            <w:left w:val="none" w:sz="0" w:space="0" w:color="auto"/>
            <w:bottom w:val="none" w:sz="0" w:space="0" w:color="auto"/>
            <w:right w:val="none" w:sz="0" w:space="0" w:color="auto"/>
          </w:divBdr>
        </w:div>
        <w:div w:id="1789664824">
          <w:marLeft w:val="1440"/>
          <w:marRight w:val="0"/>
          <w:marTop w:val="0"/>
          <w:marBottom w:val="0"/>
          <w:divBdr>
            <w:top w:val="none" w:sz="0" w:space="0" w:color="auto"/>
            <w:left w:val="none" w:sz="0" w:space="0" w:color="auto"/>
            <w:bottom w:val="none" w:sz="0" w:space="0" w:color="auto"/>
            <w:right w:val="none" w:sz="0" w:space="0" w:color="auto"/>
          </w:divBdr>
        </w:div>
      </w:divsChild>
    </w:div>
    <w:div w:id="894968589">
      <w:bodyDiv w:val="1"/>
      <w:marLeft w:val="0"/>
      <w:marRight w:val="0"/>
      <w:marTop w:val="0"/>
      <w:marBottom w:val="0"/>
      <w:divBdr>
        <w:top w:val="none" w:sz="0" w:space="0" w:color="auto"/>
        <w:left w:val="none" w:sz="0" w:space="0" w:color="auto"/>
        <w:bottom w:val="none" w:sz="0" w:space="0" w:color="auto"/>
        <w:right w:val="none" w:sz="0" w:space="0" w:color="auto"/>
      </w:divBdr>
    </w:div>
    <w:div w:id="900754669">
      <w:bodyDiv w:val="1"/>
      <w:marLeft w:val="0"/>
      <w:marRight w:val="0"/>
      <w:marTop w:val="0"/>
      <w:marBottom w:val="0"/>
      <w:divBdr>
        <w:top w:val="none" w:sz="0" w:space="0" w:color="auto"/>
        <w:left w:val="none" w:sz="0" w:space="0" w:color="auto"/>
        <w:bottom w:val="none" w:sz="0" w:space="0" w:color="auto"/>
        <w:right w:val="none" w:sz="0" w:space="0" w:color="auto"/>
      </w:divBdr>
    </w:div>
    <w:div w:id="914582270">
      <w:bodyDiv w:val="1"/>
      <w:marLeft w:val="0"/>
      <w:marRight w:val="0"/>
      <w:marTop w:val="0"/>
      <w:marBottom w:val="0"/>
      <w:divBdr>
        <w:top w:val="none" w:sz="0" w:space="0" w:color="auto"/>
        <w:left w:val="none" w:sz="0" w:space="0" w:color="auto"/>
        <w:bottom w:val="none" w:sz="0" w:space="0" w:color="auto"/>
        <w:right w:val="none" w:sz="0" w:space="0" w:color="auto"/>
      </w:divBdr>
      <w:divsChild>
        <w:div w:id="672534037">
          <w:marLeft w:val="0"/>
          <w:marRight w:val="0"/>
          <w:marTop w:val="0"/>
          <w:marBottom w:val="0"/>
          <w:divBdr>
            <w:top w:val="none" w:sz="0" w:space="0" w:color="auto"/>
            <w:left w:val="none" w:sz="0" w:space="0" w:color="auto"/>
            <w:bottom w:val="none" w:sz="0" w:space="0" w:color="auto"/>
            <w:right w:val="none" w:sz="0" w:space="0" w:color="auto"/>
          </w:divBdr>
          <w:divsChild>
            <w:div w:id="1831946860">
              <w:marLeft w:val="0"/>
              <w:marRight w:val="0"/>
              <w:marTop w:val="0"/>
              <w:marBottom w:val="0"/>
              <w:divBdr>
                <w:top w:val="none" w:sz="0" w:space="0" w:color="auto"/>
                <w:left w:val="none" w:sz="0" w:space="0" w:color="auto"/>
                <w:bottom w:val="none" w:sz="0" w:space="0" w:color="auto"/>
                <w:right w:val="none" w:sz="0" w:space="0" w:color="auto"/>
              </w:divBdr>
              <w:divsChild>
                <w:div w:id="15930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3911">
      <w:bodyDiv w:val="1"/>
      <w:marLeft w:val="0"/>
      <w:marRight w:val="0"/>
      <w:marTop w:val="0"/>
      <w:marBottom w:val="0"/>
      <w:divBdr>
        <w:top w:val="none" w:sz="0" w:space="0" w:color="auto"/>
        <w:left w:val="none" w:sz="0" w:space="0" w:color="auto"/>
        <w:bottom w:val="none" w:sz="0" w:space="0" w:color="auto"/>
        <w:right w:val="none" w:sz="0" w:space="0" w:color="auto"/>
      </w:divBdr>
    </w:div>
    <w:div w:id="932321920">
      <w:bodyDiv w:val="1"/>
      <w:marLeft w:val="0"/>
      <w:marRight w:val="0"/>
      <w:marTop w:val="0"/>
      <w:marBottom w:val="0"/>
      <w:divBdr>
        <w:top w:val="none" w:sz="0" w:space="0" w:color="auto"/>
        <w:left w:val="none" w:sz="0" w:space="0" w:color="auto"/>
        <w:bottom w:val="none" w:sz="0" w:space="0" w:color="auto"/>
        <w:right w:val="none" w:sz="0" w:space="0" w:color="auto"/>
      </w:divBdr>
    </w:div>
    <w:div w:id="944654869">
      <w:bodyDiv w:val="1"/>
      <w:marLeft w:val="0"/>
      <w:marRight w:val="0"/>
      <w:marTop w:val="0"/>
      <w:marBottom w:val="0"/>
      <w:divBdr>
        <w:top w:val="none" w:sz="0" w:space="0" w:color="auto"/>
        <w:left w:val="none" w:sz="0" w:space="0" w:color="auto"/>
        <w:bottom w:val="none" w:sz="0" w:space="0" w:color="auto"/>
        <w:right w:val="none" w:sz="0" w:space="0" w:color="auto"/>
      </w:divBdr>
      <w:divsChild>
        <w:div w:id="1306355133">
          <w:marLeft w:val="0"/>
          <w:marRight w:val="0"/>
          <w:marTop w:val="0"/>
          <w:marBottom w:val="0"/>
          <w:divBdr>
            <w:top w:val="none" w:sz="0" w:space="0" w:color="auto"/>
            <w:left w:val="none" w:sz="0" w:space="0" w:color="auto"/>
            <w:bottom w:val="none" w:sz="0" w:space="0" w:color="auto"/>
            <w:right w:val="none" w:sz="0" w:space="0" w:color="auto"/>
          </w:divBdr>
          <w:divsChild>
            <w:div w:id="256180533">
              <w:marLeft w:val="0"/>
              <w:marRight w:val="0"/>
              <w:marTop w:val="0"/>
              <w:marBottom w:val="0"/>
              <w:divBdr>
                <w:top w:val="none" w:sz="0" w:space="0" w:color="auto"/>
                <w:left w:val="none" w:sz="0" w:space="0" w:color="auto"/>
                <w:bottom w:val="none" w:sz="0" w:space="0" w:color="auto"/>
                <w:right w:val="none" w:sz="0" w:space="0" w:color="auto"/>
              </w:divBdr>
              <w:divsChild>
                <w:div w:id="461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24534">
      <w:bodyDiv w:val="1"/>
      <w:marLeft w:val="0"/>
      <w:marRight w:val="0"/>
      <w:marTop w:val="0"/>
      <w:marBottom w:val="0"/>
      <w:divBdr>
        <w:top w:val="none" w:sz="0" w:space="0" w:color="auto"/>
        <w:left w:val="none" w:sz="0" w:space="0" w:color="auto"/>
        <w:bottom w:val="none" w:sz="0" w:space="0" w:color="auto"/>
        <w:right w:val="none" w:sz="0" w:space="0" w:color="auto"/>
      </w:divBdr>
      <w:divsChild>
        <w:div w:id="1740322991">
          <w:marLeft w:val="0"/>
          <w:marRight w:val="0"/>
          <w:marTop w:val="0"/>
          <w:marBottom w:val="0"/>
          <w:divBdr>
            <w:top w:val="none" w:sz="0" w:space="0" w:color="auto"/>
            <w:left w:val="none" w:sz="0" w:space="0" w:color="auto"/>
            <w:bottom w:val="none" w:sz="0" w:space="0" w:color="auto"/>
            <w:right w:val="none" w:sz="0" w:space="0" w:color="auto"/>
          </w:divBdr>
          <w:divsChild>
            <w:div w:id="1153178675">
              <w:marLeft w:val="0"/>
              <w:marRight w:val="0"/>
              <w:marTop w:val="0"/>
              <w:marBottom w:val="0"/>
              <w:divBdr>
                <w:top w:val="none" w:sz="0" w:space="0" w:color="auto"/>
                <w:left w:val="none" w:sz="0" w:space="0" w:color="auto"/>
                <w:bottom w:val="none" w:sz="0" w:space="0" w:color="auto"/>
                <w:right w:val="none" w:sz="0" w:space="0" w:color="auto"/>
              </w:divBdr>
              <w:divsChild>
                <w:div w:id="9378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938">
      <w:bodyDiv w:val="1"/>
      <w:marLeft w:val="0"/>
      <w:marRight w:val="0"/>
      <w:marTop w:val="0"/>
      <w:marBottom w:val="0"/>
      <w:divBdr>
        <w:top w:val="none" w:sz="0" w:space="0" w:color="auto"/>
        <w:left w:val="none" w:sz="0" w:space="0" w:color="auto"/>
        <w:bottom w:val="none" w:sz="0" w:space="0" w:color="auto"/>
        <w:right w:val="none" w:sz="0" w:space="0" w:color="auto"/>
      </w:divBdr>
      <w:divsChild>
        <w:div w:id="117770504">
          <w:marLeft w:val="274"/>
          <w:marRight w:val="0"/>
          <w:marTop w:val="0"/>
          <w:marBottom w:val="0"/>
          <w:divBdr>
            <w:top w:val="none" w:sz="0" w:space="0" w:color="auto"/>
            <w:left w:val="none" w:sz="0" w:space="0" w:color="auto"/>
            <w:bottom w:val="none" w:sz="0" w:space="0" w:color="auto"/>
            <w:right w:val="none" w:sz="0" w:space="0" w:color="auto"/>
          </w:divBdr>
        </w:div>
        <w:div w:id="226306021">
          <w:marLeft w:val="274"/>
          <w:marRight w:val="0"/>
          <w:marTop w:val="0"/>
          <w:marBottom w:val="0"/>
          <w:divBdr>
            <w:top w:val="none" w:sz="0" w:space="0" w:color="auto"/>
            <w:left w:val="none" w:sz="0" w:space="0" w:color="auto"/>
            <w:bottom w:val="none" w:sz="0" w:space="0" w:color="auto"/>
            <w:right w:val="none" w:sz="0" w:space="0" w:color="auto"/>
          </w:divBdr>
        </w:div>
        <w:div w:id="231621885">
          <w:marLeft w:val="1166"/>
          <w:marRight w:val="0"/>
          <w:marTop w:val="0"/>
          <w:marBottom w:val="0"/>
          <w:divBdr>
            <w:top w:val="none" w:sz="0" w:space="0" w:color="auto"/>
            <w:left w:val="none" w:sz="0" w:space="0" w:color="auto"/>
            <w:bottom w:val="none" w:sz="0" w:space="0" w:color="auto"/>
            <w:right w:val="none" w:sz="0" w:space="0" w:color="auto"/>
          </w:divBdr>
        </w:div>
        <w:div w:id="480540551">
          <w:marLeft w:val="1166"/>
          <w:marRight w:val="0"/>
          <w:marTop w:val="0"/>
          <w:marBottom w:val="0"/>
          <w:divBdr>
            <w:top w:val="none" w:sz="0" w:space="0" w:color="auto"/>
            <w:left w:val="none" w:sz="0" w:space="0" w:color="auto"/>
            <w:bottom w:val="none" w:sz="0" w:space="0" w:color="auto"/>
            <w:right w:val="none" w:sz="0" w:space="0" w:color="auto"/>
          </w:divBdr>
        </w:div>
        <w:div w:id="612983225">
          <w:marLeft w:val="1166"/>
          <w:marRight w:val="0"/>
          <w:marTop w:val="0"/>
          <w:marBottom w:val="0"/>
          <w:divBdr>
            <w:top w:val="none" w:sz="0" w:space="0" w:color="auto"/>
            <w:left w:val="none" w:sz="0" w:space="0" w:color="auto"/>
            <w:bottom w:val="none" w:sz="0" w:space="0" w:color="auto"/>
            <w:right w:val="none" w:sz="0" w:space="0" w:color="auto"/>
          </w:divBdr>
        </w:div>
        <w:div w:id="738479004">
          <w:marLeft w:val="1166"/>
          <w:marRight w:val="0"/>
          <w:marTop w:val="0"/>
          <w:marBottom w:val="0"/>
          <w:divBdr>
            <w:top w:val="none" w:sz="0" w:space="0" w:color="auto"/>
            <w:left w:val="none" w:sz="0" w:space="0" w:color="auto"/>
            <w:bottom w:val="none" w:sz="0" w:space="0" w:color="auto"/>
            <w:right w:val="none" w:sz="0" w:space="0" w:color="auto"/>
          </w:divBdr>
        </w:div>
        <w:div w:id="845369261">
          <w:marLeft w:val="274"/>
          <w:marRight w:val="0"/>
          <w:marTop w:val="0"/>
          <w:marBottom w:val="0"/>
          <w:divBdr>
            <w:top w:val="none" w:sz="0" w:space="0" w:color="auto"/>
            <w:left w:val="none" w:sz="0" w:space="0" w:color="auto"/>
            <w:bottom w:val="none" w:sz="0" w:space="0" w:color="auto"/>
            <w:right w:val="none" w:sz="0" w:space="0" w:color="auto"/>
          </w:divBdr>
        </w:div>
        <w:div w:id="920141234">
          <w:marLeft w:val="1166"/>
          <w:marRight w:val="0"/>
          <w:marTop w:val="0"/>
          <w:marBottom w:val="0"/>
          <w:divBdr>
            <w:top w:val="none" w:sz="0" w:space="0" w:color="auto"/>
            <w:left w:val="none" w:sz="0" w:space="0" w:color="auto"/>
            <w:bottom w:val="none" w:sz="0" w:space="0" w:color="auto"/>
            <w:right w:val="none" w:sz="0" w:space="0" w:color="auto"/>
          </w:divBdr>
        </w:div>
        <w:div w:id="1454980063">
          <w:marLeft w:val="274"/>
          <w:marRight w:val="0"/>
          <w:marTop w:val="0"/>
          <w:marBottom w:val="0"/>
          <w:divBdr>
            <w:top w:val="none" w:sz="0" w:space="0" w:color="auto"/>
            <w:left w:val="none" w:sz="0" w:space="0" w:color="auto"/>
            <w:bottom w:val="none" w:sz="0" w:space="0" w:color="auto"/>
            <w:right w:val="none" w:sz="0" w:space="0" w:color="auto"/>
          </w:divBdr>
        </w:div>
        <w:div w:id="1548105081">
          <w:marLeft w:val="1166"/>
          <w:marRight w:val="0"/>
          <w:marTop w:val="0"/>
          <w:marBottom w:val="0"/>
          <w:divBdr>
            <w:top w:val="none" w:sz="0" w:space="0" w:color="auto"/>
            <w:left w:val="none" w:sz="0" w:space="0" w:color="auto"/>
            <w:bottom w:val="none" w:sz="0" w:space="0" w:color="auto"/>
            <w:right w:val="none" w:sz="0" w:space="0" w:color="auto"/>
          </w:divBdr>
        </w:div>
        <w:div w:id="1792167621">
          <w:marLeft w:val="1166"/>
          <w:marRight w:val="0"/>
          <w:marTop w:val="0"/>
          <w:marBottom w:val="0"/>
          <w:divBdr>
            <w:top w:val="none" w:sz="0" w:space="0" w:color="auto"/>
            <w:left w:val="none" w:sz="0" w:space="0" w:color="auto"/>
            <w:bottom w:val="none" w:sz="0" w:space="0" w:color="auto"/>
            <w:right w:val="none" w:sz="0" w:space="0" w:color="auto"/>
          </w:divBdr>
        </w:div>
      </w:divsChild>
    </w:div>
    <w:div w:id="992679997">
      <w:bodyDiv w:val="1"/>
      <w:marLeft w:val="0"/>
      <w:marRight w:val="0"/>
      <w:marTop w:val="0"/>
      <w:marBottom w:val="0"/>
      <w:divBdr>
        <w:top w:val="none" w:sz="0" w:space="0" w:color="auto"/>
        <w:left w:val="none" w:sz="0" w:space="0" w:color="auto"/>
        <w:bottom w:val="none" w:sz="0" w:space="0" w:color="auto"/>
        <w:right w:val="none" w:sz="0" w:space="0" w:color="auto"/>
      </w:divBdr>
      <w:divsChild>
        <w:div w:id="1001464828">
          <w:marLeft w:val="274"/>
          <w:marRight w:val="0"/>
          <w:marTop w:val="60"/>
          <w:marBottom w:val="60"/>
          <w:divBdr>
            <w:top w:val="none" w:sz="0" w:space="0" w:color="auto"/>
            <w:left w:val="none" w:sz="0" w:space="0" w:color="auto"/>
            <w:bottom w:val="none" w:sz="0" w:space="0" w:color="auto"/>
            <w:right w:val="none" w:sz="0" w:space="0" w:color="auto"/>
          </w:divBdr>
        </w:div>
        <w:div w:id="1049761988">
          <w:marLeft w:val="274"/>
          <w:marRight w:val="0"/>
          <w:marTop w:val="60"/>
          <w:marBottom w:val="60"/>
          <w:divBdr>
            <w:top w:val="none" w:sz="0" w:space="0" w:color="auto"/>
            <w:left w:val="none" w:sz="0" w:space="0" w:color="auto"/>
            <w:bottom w:val="none" w:sz="0" w:space="0" w:color="auto"/>
            <w:right w:val="none" w:sz="0" w:space="0" w:color="auto"/>
          </w:divBdr>
        </w:div>
        <w:div w:id="1160149669">
          <w:marLeft w:val="274"/>
          <w:marRight w:val="0"/>
          <w:marTop w:val="60"/>
          <w:marBottom w:val="60"/>
          <w:divBdr>
            <w:top w:val="none" w:sz="0" w:space="0" w:color="auto"/>
            <w:left w:val="none" w:sz="0" w:space="0" w:color="auto"/>
            <w:bottom w:val="none" w:sz="0" w:space="0" w:color="auto"/>
            <w:right w:val="none" w:sz="0" w:space="0" w:color="auto"/>
          </w:divBdr>
        </w:div>
        <w:div w:id="1489131723">
          <w:marLeft w:val="274"/>
          <w:marRight w:val="0"/>
          <w:marTop w:val="60"/>
          <w:marBottom w:val="60"/>
          <w:divBdr>
            <w:top w:val="none" w:sz="0" w:space="0" w:color="auto"/>
            <w:left w:val="none" w:sz="0" w:space="0" w:color="auto"/>
            <w:bottom w:val="none" w:sz="0" w:space="0" w:color="auto"/>
            <w:right w:val="none" w:sz="0" w:space="0" w:color="auto"/>
          </w:divBdr>
        </w:div>
        <w:div w:id="1567105375">
          <w:marLeft w:val="274"/>
          <w:marRight w:val="0"/>
          <w:marTop w:val="60"/>
          <w:marBottom w:val="60"/>
          <w:divBdr>
            <w:top w:val="none" w:sz="0" w:space="0" w:color="auto"/>
            <w:left w:val="none" w:sz="0" w:space="0" w:color="auto"/>
            <w:bottom w:val="none" w:sz="0" w:space="0" w:color="auto"/>
            <w:right w:val="none" w:sz="0" w:space="0" w:color="auto"/>
          </w:divBdr>
        </w:div>
        <w:div w:id="1853909894">
          <w:marLeft w:val="274"/>
          <w:marRight w:val="0"/>
          <w:marTop w:val="60"/>
          <w:marBottom w:val="60"/>
          <w:divBdr>
            <w:top w:val="none" w:sz="0" w:space="0" w:color="auto"/>
            <w:left w:val="none" w:sz="0" w:space="0" w:color="auto"/>
            <w:bottom w:val="none" w:sz="0" w:space="0" w:color="auto"/>
            <w:right w:val="none" w:sz="0" w:space="0" w:color="auto"/>
          </w:divBdr>
        </w:div>
      </w:divsChild>
    </w:div>
    <w:div w:id="1035154275">
      <w:bodyDiv w:val="1"/>
      <w:marLeft w:val="0"/>
      <w:marRight w:val="0"/>
      <w:marTop w:val="0"/>
      <w:marBottom w:val="0"/>
      <w:divBdr>
        <w:top w:val="none" w:sz="0" w:space="0" w:color="auto"/>
        <w:left w:val="none" w:sz="0" w:space="0" w:color="auto"/>
        <w:bottom w:val="none" w:sz="0" w:space="0" w:color="auto"/>
        <w:right w:val="none" w:sz="0" w:space="0" w:color="auto"/>
      </w:divBdr>
      <w:divsChild>
        <w:div w:id="330568253">
          <w:marLeft w:val="1166"/>
          <w:marRight w:val="0"/>
          <w:marTop w:val="0"/>
          <w:marBottom w:val="0"/>
          <w:divBdr>
            <w:top w:val="none" w:sz="0" w:space="0" w:color="auto"/>
            <w:left w:val="none" w:sz="0" w:space="0" w:color="auto"/>
            <w:bottom w:val="none" w:sz="0" w:space="0" w:color="auto"/>
            <w:right w:val="none" w:sz="0" w:space="0" w:color="auto"/>
          </w:divBdr>
        </w:div>
        <w:div w:id="686521164">
          <w:marLeft w:val="1166"/>
          <w:marRight w:val="0"/>
          <w:marTop w:val="0"/>
          <w:marBottom w:val="0"/>
          <w:divBdr>
            <w:top w:val="none" w:sz="0" w:space="0" w:color="auto"/>
            <w:left w:val="none" w:sz="0" w:space="0" w:color="auto"/>
            <w:bottom w:val="none" w:sz="0" w:space="0" w:color="auto"/>
            <w:right w:val="none" w:sz="0" w:space="0" w:color="auto"/>
          </w:divBdr>
        </w:div>
        <w:div w:id="758988310">
          <w:marLeft w:val="1166"/>
          <w:marRight w:val="0"/>
          <w:marTop w:val="0"/>
          <w:marBottom w:val="0"/>
          <w:divBdr>
            <w:top w:val="none" w:sz="0" w:space="0" w:color="auto"/>
            <w:left w:val="none" w:sz="0" w:space="0" w:color="auto"/>
            <w:bottom w:val="none" w:sz="0" w:space="0" w:color="auto"/>
            <w:right w:val="none" w:sz="0" w:space="0" w:color="auto"/>
          </w:divBdr>
        </w:div>
        <w:div w:id="1218084854">
          <w:marLeft w:val="1166"/>
          <w:marRight w:val="0"/>
          <w:marTop w:val="0"/>
          <w:marBottom w:val="0"/>
          <w:divBdr>
            <w:top w:val="none" w:sz="0" w:space="0" w:color="auto"/>
            <w:left w:val="none" w:sz="0" w:space="0" w:color="auto"/>
            <w:bottom w:val="none" w:sz="0" w:space="0" w:color="auto"/>
            <w:right w:val="none" w:sz="0" w:space="0" w:color="auto"/>
          </w:divBdr>
        </w:div>
        <w:div w:id="1304039586">
          <w:marLeft w:val="1166"/>
          <w:marRight w:val="0"/>
          <w:marTop w:val="0"/>
          <w:marBottom w:val="0"/>
          <w:divBdr>
            <w:top w:val="none" w:sz="0" w:space="0" w:color="auto"/>
            <w:left w:val="none" w:sz="0" w:space="0" w:color="auto"/>
            <w:bottom w:val="none" w:sz="0" w:space="0" w:color="auto"/>
            <w:right w:val="none" w:sz="0" w:space="0" w:color="auto"/>
          </w:divBdr>
        </w:div>
        <w:div w:id="1659193495">
          <w:marLeft w:val="1166"/>
          <w:marRight w:val="0"/>
          <w:marTop w:val="0"/>
          <w:marBottom w:val="0"/>
          <w:divBdr>
            <w:top w:val="none" w:sz="0" w:space="0" w:color="auto"/>
            <w:left w:val="none" w:sz="0" w:space="0" w:color="auto"/>
            <w:bottom w:val="none" w:sz="0" w:space="0" w:color="auto"/>
            <w:right w:val="none" w:sz="0" w:space="0" w:color="auto"/>
          </w:divBdr>
        </w:div>
        <w:div w:id="1714647606">
          <w:marLeft w:val="274"/>
          <w:marRight w:val="0"/>
          <w:marTop w:val="0"/>
          <w:marBottom w:val="0"/>
          <w:divBdr>
            <w:top w:val="none" w:sz="0" w:space="0" w:color="auto"/>
            <w:left w:val="none" w:sz="0" w:space="0" w:color="auto"/>
            <w:bottom w:val="none" w:sz="0" w:space="0" w:color="auto"/>
            <w:right w:val="none" w:sz="0" w:space="0" w:color="auto"/>
          </w:divBdr>
        </w:div>
        <w:div w:id="1809854705">
          <w:marLeft w:val="1166"/>
          <w:marRight w:val="0"/>
          <w:marTop w:val="0"/>
          <w:marBottom w:val="0"/>
          <w:divBdr>
            <w:top w:val="none" w:sz="0" w:space="0" w:color="auto"/>
            <w:left w:val="none" w:sz="0" w:space="0" w:color="auto"/>
            <w:bottom w:val="none" w:sz="0" w:space="0" w:color="auto"/>
            <w:right w:val="none" w:sz="0" w:space="0" w:color="auto"/>
          </w:divBdr>
        </w:div>
        <w:div w:id="1839148389">
          <w:marLeft w:val="1166"/>
          <w:marRight w:val="0"/>
          <w:marTop w:val="0"/>
          <w:marBottom w:val="0"/>
          <w:divBdr>
            <w:top w:val="none" w:sz="0" w:space="0" w:color="auto"/>
            <w:left w:val="none" w:sz="0" w:space="0" w:color="auto"/>
            <w:bottom w:val="none" w:sz="0" w:space="0" w:color="auto"/>
            <w:right w:val="none" w:sz="0" w:space="0" w:color="auto"/>
          </w:divBdr>
        </w:div>
        <w:div w:id="1907303967">
          <w:marLeft w:val="1166"/>
          <w:marRight w:val="0"/>
          <w:marTop w:val="0"/>
          <w:marBottom w:val="0"/>
          <w:divBdr>
            <w:top w:val="none" w:sz="0" w:space="0" w:color="auto"/>
            <w:left w:val="none" w:sz="0" w:space="0" w:color="auto"/>
            <w:bottom w:val="none" w:sz="0" w:space="0" w:color="auto"/>
            <w:right w:val="none" w:sz="0" w:space="0" w:color="auto"/>
          </w:divBdr>
        </w:div>
        <w:div w:id="1921911495">
          <w:marLeft w:val="274"/>
          <w:marRight w:val="0"/>
          <w:marTop w:val="0"/>
          <w:marBottom w:val="0"/>
          <w:divBdr>
            <w:top w:val="none" w:sz="0" w:space="0" w:color="auto"/>
            <w:left w:val="none" w:sz="0" w:space="0" w:color="auto"/>
            <w:bottom w:val="none" w:sz="0" w:space="0" w:color="auto"/>
            <w:right w:val="none" w:sz="0" w:space="0" w:color="auto"/>
          </w:divBdr>
        </w:div>
        <w:div w:id="1988707985">
          <w:marLeft w:val="274"/>
          <w:marRight w:val="0"/>
          <w:marTop w:val="0"/>
          <w:marBottom w:val="0"/>
          <w:divBdr>
            <w:top w:val="none" w:sz="0" w:space="0" w:color="auto"/>
            <w:left w:val="none" w:sz="0" w:space="0" w:color="auto"/>
            <w:bottom w:val="none" w:sz="0" w:space="0" w:color="auto"/>
            <w:right w:val="none" w:sz="0" w:space="0" w:color="auto"/>
          </w:divBdr>
        </w:div>
        <w:div w:id="2132044017">
          <w:marLeft w:val="1166"/>
          <w:marRight w:val="0"/>
          <w:marTop w:val="0"/>
          <w:marBottom w:val="0"/>
          <w:divBdr>
            <w:top w:val="none" w:sz="0" w:space="0" w:color="auto"/>
            <w:left w:val="none" w:sz="0" w:space="0" w:color="auto"/>
            <w:bottom w:val="none" w:sz="0" w:space="0" w:color="auto"/>
            <w:right w:val="none" w:sz="0" w:space="0" w:color="auto"/>
          </w:divBdr>
        </w:div>
      </w:divsChild>
    </w:div>
    <w:div w:id="1084228563">
      <w:bodyDiv w:val="1"/>
      <w:marLeft w:val="0"/>
      <w:marRight w:val="0"/>
      <w:marTop w:val="0"/>
      <w:marBottom w:val="0"/>
      <w:divBdr>
        <w:top w:val="none" w:sz="0" w:space="0" w:color="auto"/>
        <w:left w:val="none" w:sz="0" w:space="0" w:color="auto"/>
        <w:bottom w:val="none" w:sz="0" w:space="0" w:color="auto"/>
        <w:right w:val="none" w:sz="0" w:space="0" w:color="auto"/>
      </w:divBdr>
    </w:div>
    <w:div w:id="1150251453">
      <w:bodyDiv w:val="1"/>
      <w:marLeft w:val="0"/>
      <w:marRight w:val="0"/>
      <w:marTop w:val="0"/>
      <w:marBottom w:val="0"/>
      <w:divBdr>
        <w:top w:val="none" w:sz="0" w:space="0" w:color="auto"/>
        <w:left w:val="none" w:sz="0" w:space="0" w:color="auto"/>
        <w:bottom w:val="none" w:sz="0" w:space="0" w:color="auto"/>
        <w:right w:val="none" w:sz="0" w:space="0" w:color="auto"/>
      </w:divBdr>
    </w:div>
    <w:div w:id="1176115555">
      <w:bodyDiv w:val="1"/>
      <w:marLeft w:val="0"/>
      <w:marRight w:val="0"/>
      <w:marTop w:val="0"/>
      <w:marBottom w:val="0"/>
      <w:divBdr>
        <w:top w:val="none" w:sz="0" w:space="0" w:color="auto"/>
        <w:left w:val="none" w:sz="0" w:space="0" w:color="auto"/>
        <w:bottom w:val="none" w:sz="0" w:space="0" w:color="auto"/>
        <w:right w:val="none" w:sz="0" w:space="0" w:color="auto"/>
      </w:divBdr>
    </w:div>
    <w:div w:id="1217087188">
      <w:bodyDiv w:val="1"/>
      <w:marLeft w:val="0"/>
      <w:marRight w:val="0"/>
      <w:marTop w:val="0"/>
      <w:marBottom w:val="0"/>
      <w:divBdr>
        <w:top w:val="none" w:sz="0" w:space="0" w:color="auto"/>
        <w:left w:val="none" w:sz="0" w:space="0" w:color="auto"/>
        <w:bottom w:val="none" w:sz="0" w:space="0" w:color="auto"/>
        <w:right w:val="none" w:sz="0" w:space="0" w:color="auto"/>
      </w:divBdr>
    </w:div>
    <w:div w:id="1218055470">
      <w:bodyDiv w:val="1"/>
      <w:marLeft w:val="0"/>
      <w:marRight w:val="0"/>
      <w:marTop w:val="0"/>
      <w:marBottom w:val="0"/>
      <w:divBdr>
        <w:top w:val="none" w:sz="0" w:space="0" w:color="auto"/>
        <w:left w:val="none" w:sz="0" w:space="0" w:color="auto"/>
        <w:bottom w:val="none" w:sz="0" w:space="0" w:color="auto"/>
        <w:right w:val="none" w:sz="0" w:space="0" w:color="auto"/>
      </w:divBdr>
      <w:divsChild>
        <w:div w:id="142281990">
          <w:marLeft w:val="547"/>
          <w:marRight w:val="0"/>
          <w:marTop w:val="160"/>
          <w:marBottom w:val="0"/>
          <w:divBdr>
            <w:top w:val="none" w:sz="0" w:space="0" w:color="auto"/>
            <w:left w:val="none" w:sz="0" w:space="0" w:color="auto"/>
            <w:bottom w:val="none" w:sz="0" w:space="0" w:color="auto"/>
            <w:right w:val="none" w:sz="0" w:space="0" w:color="auto"/>
          </w:divBdr>
        </w:div>
        <w:div w:id="262501100">
          <w:marLeft w:val="547"/>
          <w:marRight w:val="0"/>
          <w:marTop w:val="160"/>
          <w:marBottom w:val="0"/>
          <w:divBdr>
            <w:top w:val="none" w:sz="0" w:space="0" w:color="auto"/>
            <w:left w:val="none" w:sz="0" w:space="0" w:color="auto"/>
            <w:bottom w:val="none" w:sz="0" w:space="0" w:color="auto"/>
            <w:right w:val="none" w:sz="0" w:space="0" w:color="auto"/>
          </w:divBdr>
        </w:div>
        <w:div w:id="652295701">
          <w:marLeft w:val="547"/>
          <w:marRight w:val="0"/>
          <w:marTop w:val="160"/>
          <w:marBottom w:val="0"/>
          <w:divBdr>
            <w:top w:val="none" w:sz="0" w:space="0" w:color="auto"/>
            <w:left w:val="none" w:sz="0" w:space="0" w:color="auto"/>
            <w:bottom w:val="none" w:sz="0" w:space="0" w:color="auto"/>
            <w:right w:val="none" w:sz="0" w:space="0" w:color="auto"/>
          </w:divBdr>
        </w:div>
        <w:div w:id="792748883">
          <w:marLeft w:val="547"/>
          <w:marRight w:val="0"/>
          <w:marTop w:val="160"/>
          <w:marBottom w:val="0"/>
          <w:divBdr>
            <w:top w:val="none" w:sz="0" w:space="0" w:color="auto"/>
            <w:left w:val="none" w:sz="0" w:space="0" w:color="auto"/>
            <w:bottom w:val="none" w:sz="0" w:space="0" w:color="auto"/>
            <w:right w:val="none" w:sz="0" w:space="0" w:color="auto"/>
          </w:divBdr>
        </w:div>
      </w:divsChild>
    </w:div>
    <w:div w:id="1220288634">
      <w:bodyDiv w:val="1"/>
      <w:marLeft w:val="0"/>
      <w:marRight w:val="0"/>
      <w:marTop w:val="0"/>
      <w:marBottom w:val="0"/>
      <w:divBdr>
        <w:top w:val="none" w:sz="0" w:space="0" w:color="auto"/>
        <w:left w:val="none" w:sz="0" w:space="0" w:color="auto"/>
        <w:bottom w:val="none" w:sz="0" w:space="0" w:color="auto"/>
        <w:right w:val="none" w:sz="0" w:space="0" w:color="auto"/>
      </w:divBdr>
      <w:divsChild>
        <w:div w:id="1792623436">
          <w:marLeft w:val="0"/>
          <w:marRight w:val="0"/>
          <w:marTop w:val="0"/>
          <w:marBottom w:val="0"/>
          <w:divBdr>
            <w:top w:val="none" w:sz="0" w:space="0" w:color="auto"/>
            <w:left w:val="none" w:sz="0" w:space="0" w:color="auto"/>
            <w:bottom w:val="none" w:sz="0" w:space="0" w:color="auto"/>
            <w:right w:val="none" w:sz="0" w:space="0" w:color="auto"/>
          </w:divBdr>
          <w:divsChild>
            <w:div w:id="1763722284">
              <w:marLeft w:val="0"/>
              <w:marRight w:val="0"/>
              <w:marTop w:val="0"/>
              <w:marBottom w:val="0"/>
              <w:divBdr>
                <w:top w:val="none" w:sz="0" w:space="0" w:color="auto"/>
                <w:left w:val="none" w:sz="0" w:space="0" w:color="auto"/>
                <w:bottom w:val="none" w:sz="0" w:space="0" w:color="auto"/>
                <w:right w:val="none" w:sz="0" w:space="0" w:color="auto"/>
              </w:divBdr>
              <w:divsChild>
                <w:div w:id="1993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11659">
      <w:bodyDiv w:val="1"/>
      <w:marLeft w:val="0"/>
      <w:marRight w:val="0"/>
      <w:marTop w:val="0"/>
      <w:marBottom w:val="0"/>
      <w:divBdr>
        <w:top w:val="none" w:sz="0" w:space="0" w:color="auto"/>
        <w:left w:val="none" w:sz="0" w:space="0" w:color="auto"/>
        <w:bottom w:val="none" w:sz="0" w:space="0" w:color="auto"/>
        <w:right w:val="none" w:sz="0" w:space="0" w:color="auto"/>
      </w:divBdr>
    </w:div>
    <w:div w:id="1228760518">
      <w:bodyDiv w:val="1"/>
      <w:marLeft w:val="0"/>
      <w:marRight w:val="0"/>
      <w:marTop w:val="0"/>
      <w:marBottom w:val="0"/>
      <w:divBdr>
        <w:top w:val="none" w:sz="0" w:space="0" w:color="auto"/>
        <w:left w:val="none" w:sz="0" w:space="0" w:color="auto"/>
        <w:bottom w:val="none" w:sz="0" w:space="0" w:color="auto"/>
        <w:right w:val="none" w:sz="0" w:space="0" w:color="auto"/>
      </w:divBdr>
      <w:divsChild>
        <w:div w:id="676538963">
          <w:marLeft w:val="0"/>
          <w:marRight w:val="0"/>
          <w:marTop w:val="0"/>
          <w:marBottom w:val="0"/>
          <w:divBdr>
            <w:top w:val="none" w:sz="0" w:space="0" w:color="auto"/>
            <w:left w:val="none" w:sz="0" w:space="0" w:color="auto"/>
            <w:bottom w:val="none" w:sz="0" w:space="0" w:color="auto"/>
            <w:right w:val="none" w:sz="0" w:space="0" w:color="auto"/>
          </w:divBdr>
          <w:divsChild>
            <w:div w:id="1144809473">
              <w:marLeft w:val="0"/>
              <w:marRight w:val="0"/>
              <w:marTop w:val="0"/>
              <w:marBottom w:val="0"/>
              <w:divBdr>
                <w:top w:val="none" w:sz="0" w:space="0" w:color="auto"/>
                <w:left w:val="none" w:sz="0" w:space="0" w:color="auto"/>
                <w:bottom w:val="none" w:sz="0" w:space="0" w:color="auto"/>
                <w:right w:val="none" w:sz="0" w:space="0" w:color="auto"/>
              </w:divBdr>
              <w:divsChild>
                <w:div w:id="1841659127">
                  <w:marLeft w:val="0"/>
                  <w:marRight w:val="0"/>
                  <w:marTop w:val="0"/>
                  <w:marBottom w:val="0"/>
                  <w:divBdr>
                    <w:top w:val="none" w:sz="0" w:space="0" w:color="auto"/>
                    <w:left w:val="none" w:sz="0" w:space="0" w:color="auto"/>
                    <w:bottom w:val="none" w:sz="0" w:space="0" w:color="auto"/>
                    <w:right w:val="none" w:sz="0" w:space="0" w:color="auto"/>
                  </w:divBdr>
                  <w:divsChild>
                    <w:div w:id="4773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71426">
      <w:bodyDiv w:val="1"/>
      <w:marLeft w:val="0"/>
      <w:marRight w:val="0"/>
      <w:marTop w:val="0"/>
      <w:marBottom w:val="0"/>
      <w:divBdr>
        <w:top w:val="none" w:sz="0" w:space="0" w:color="auto"/>
        <w:left w:val="none" w:sz="0" w:space="0" w:color="auto"/>
        <w:bottom w:val="none" w:sz="0" w:space="0" w:color="auto"/>
        <w:right w:val="none" w:sz="0" w:space="0" w:color="auto"/>
      </w:divBdr>
    </w:div>
    <w:div w:id="1364667316">
      <w:bodyDiv w:val="1"/>
      <w:marLeft w:val="0"/>
      <w:marRight w:val="0"/>
      <w:marTop w:val="0"/>
      <w:marBottom w:val="0"/>
      <w:divBdr>
        <w:top w:val="none" w:sz="0" w:space="0" w:color="auto"/>
        <w:left w:val="none" w:sz="0" w:space="0" w:color="auto"/>
        <w:bottom w:val="none" w:sz="0" w:space="0" w:color="auto"/>
        <w:right w:val="none" w:sz="0" w:space="0" w:color="auto"/>
      </w:divBdr>
    </w:div>
    <w:div w:id="1388266303">
      <w:bodyDiv w:val="1"/>
      <w:marLeft w:val="0"/>
      <w:marRight w:val="0"/>
      <w:marTop w:val="0"/>
      <w:marBottom w:val="0"/>
      <w:divBdr>
        <w:top w:val="none" w:sz="0" w:space="0" w:color="auto"/>
        <w:left w:val="none" w:sz="0" w:space="0" w:color="auto"/>
        <w:bottom w:val="none" w:sz="0" w:space="0" w:color="auto"/>
        <w:right w:val="none" w:sz="0" w:space="0" w:color="auto"/>
      </w:divBdr>
      <w:divsChild>
        <w:div w:id="132141134">
          <w:marLeft w:val="0"/>
          <w:marRight w:val="0"/>
          <w:marTop w:val="0"/>
          <w:marBottom w:val="0"/>
          <w:divBdr>
            <w:top w:val="none" w:sz="0" w:space="0" w:color="auto"/>
            <w:left w:val="none" w:sz="0" w:space="0" w:color="auto"/>
            <w:bottom w:val="none" w:sz="0" w:space="0" w:color="auto"/>
            <w:right w:val="none" w:sz="0" w:space="0" w:color="auto"/>
          </w:divBdr>
          <w:divsChild>
            <w:div w:id="390420610">
              <w:marLeft w:val="0"/>
              <w:marRight w:val="0"/>
              <w:marTop w:val="0"/>
              <w:marBottom w:val="0"/>
              <w:divBdr>
                <w:top w:val="none" w:sz="0" w:space="0" w:color="auto"/>
                <w:left w:val="none" w:sz="0" w:space="0" w:color="auto"/>
                <w:bottom w:val="none" w:sz="0" w:space="0" w:color="auto"/>
                <w:right w:val="none" w:sz="0" w:space="0" w:color="auto"/>
              </w:divBdr>
              <w:divsChild>
                <w:div w:id="12655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6714">
      <w:bodyDiv w:val="1"/>
      <w:marLeft w:val="0"/>
      <w:marRight w:val="0"/>
      <w:marTop w:val="0"/>
      <w:marBottom w:val="0"/>
      <w:divBdr>
        <w:top w:val="none" w:sz="0" w:space="0" w:color="auto"/>
        <w:left w:val="none" w:sz="0" w:space="0" w:color="auto"/>
        <w:bottom w:val="none" w:sz="0" w:space="0" w:color="auto"/>
        <w:right w:val="none" w:sz="0" w:space="0" w:color="auto"/>
      </w:divBdr>
      <w:divsChild>
        <w:div w:id="427888120">
          <w:marLeft w:val="547"/>
          <w:marRight w:val="0"/>
          <w:marTop w:val="160"/>
          <w:marBottom w:val="0"/>
          <w:divBdr>
            <w:top w:val="none" w:sz="0" w:space="0" w:color="auto"/>
            <w:left w:val="none" w:sz="0" w:space="0" w:color="auto"/>
            <w:bottom w:val="none" w:sz="0" w:space="0" w:color="auto"/>
            <w:right w:val="none" w:sz="0" w:space="0" w:color="auto"/>
          </w:divBdr>
        </w:div>
        <w:div w:id="611472296">
          <w:marLeft w:val="547"/>
          <w:marRight w:val="0"/>
          <w:marTop w:val="160"/>
          <w:marBottom w:val="0"/>
          <w:divBdr>
            <w:top w:val="none" w:sz="0" w:space="0" w:color="auto"/>
            <w:left w:val="none" w:sz="0" w:space="0" w:color="auto"/>
            <w:bottom w:val="none" w:sz="0" w:space="0" w:color="auto"/>
            <w:right w:val="none" w:sz="0" w:space="0" w:color="auto"/>
          </w:divBdr>
        </w:div>
        <w:div w:id="1822386762">
          <w:marLeft w:val="1166"/>
          <w:marRight w:val="0"/>
          <w:marTop w:val="240"/>
          <w:marBottom w:val="0"/>
          <w:divBdr>
            <w:top w:val="none" w:sz="0" w:space="0" w:color="auto"/>
            <w:left w:val="none" w:sz="0" w:space="0" w:color="auto"/>
            <w:bottom w:val="none" w:sz="0" w:space="0" w:color="auto"/>
            <w:right w:val="none" w:sz="0" w:space="0" w:color="auto"/>
          </w:divBdr>
        </w:div>
        <w:div w:id="1858428034">
          <w:marLeft w:val="1166"/>
          <w:marRight w:val="0"/>
          <w:marTop w:val="240"/>
          <w:marBottom w:val="0"/>
          <w:divBdr>
            <w:top w:val="none" w:sz="0" w:space="0" w:color="auto"/>
            <w:left w:val="none" w:sz="0" w:space="0" w:color="auto"/>
            <w:bottom w:val="none" w:sz="0" w:space="0" w:color="auto"/>
            <w:right w:val="none" w:sz="0" w:space="0" w:color="auto"/>
          </w:divBdr>
        </w:div>
        <w:div w:id="1997415628">
          <w:marLeft w:val="1166"/>
          <w:marRight w:val="0"/>
          <w:marTop w:val="240"/>
          <w:marBottom w:val="0"/>
          <w:divBdr>
            <w:top w:val="none" w:sz="0" w:space="0" w:color="auto"/>
            <w:left w:val="none" w:sz="0" w:space="0" w:color="auto"/>
            <w:bottom w:val="none" w:sz="0" w:space="0" w:color="auto"/>
            <w:right w:val="none" w:sz="0" w:space="0" w:color="auto"/>
          </w:divBdr>
        </w:div>
      </w:divsChild>
    </w:div>
    <w:div w:id="1401563573">
      <w:bodyDiv w:val="1"/>
      <w:marLeft w:val="0"/>
      <w:marRight w:val="0"/>
      <w:marTop w:val="0"/>
      <w:marBottom w:val="0"/>
      <w:divBdr>
        <w:top w:val="none" w:sz="0" w:space="0" w:color="auto"/>
        <w:left w:val="none" w:sz="0" w:space="0" w:color="auto"/>
        <w:bottom w:val="none" w:sz="0" w:space="0" w:color="auto"/>
        <w:right w:val="none" w:sz="0" w:space="0" w:color="auto"/>
      </w:divBdr>
      <w:divsChild>
        <w:div w:id="366025803">
          <w:marLeft w:val="600"/>
          <w:marRight w:val="0"/>
          <w:marTop w:val="0"/>
          <w:marBottom w:val="0"/>
          <w:divBdr>
            <w:top w:val="none" w:sz="0" w:space="0" w:color="auto"/>
            <w:left w:val="none" w:sz="0" w:space="0" w:color="auto"/>
            <w:bottom w:val="none" w:sz="0" w:space="0" w:color="auto"/>
            <w:right w:val="none" w:sz="0" w:space="0" w:color="auto"/>
          </w:divBdr>
        </w:div>
        <w:div w:id="2029132901">
          <w:marLeft w:val="0"/>
          <w:marRight w:val="0"/>
          <w:marTop w:val="0"/>
          <w:marBottom w:val="0"/>
          <w:divBdr>
            <w:top w:val="none" w:sz="0" w:space="0" w:color="auto"/>
            <w:left w:val="none" w:sz="0" w:space="0" w:color="auto"/>
            <w:bottom w:val="none" w:sz="0" w:space="0" w:color="auto"/>
            <w:right w:val="none" w:sz="0" w:space="0" w:color="auto"/>
          </w:divBdr>
        </w:div>
      </w:divsChild>
    </w:div>
    <w:div w:id="1405907158">
      <w:bodyDiv w:val="1"/>
      <w:marLeft w:val="0"/>
      <w:marRight w:val="0"/>
      <w:marTop w:val="0"/>
      <w:marBottom w:val="0"/>
      <w:divBdr>
        <w:top w:val="none" w:sz="0" w:space="0" w:color="auto"/>
        <w:left w:val="none" w:sz="0" w:space="0" w:color="auto"/>
        <w:bottom w:val="none" w:sz="0" w:space="0" w:color="auto"/>
        <w:right w:val="none" w:sz="0" w:space="0" w:color="auto"/>
      </w:divBdr>
    </w:div>
    <w:div w:id="1430737525">
      <w:bodyDiv w:val="1"/>
      <w:marLeft w:val="0"/>
      <w:marRight w:val="0"/>
      <w:marTop w:val="0"/>
      <w:marBottom w:val="0"/>
      <w:divBdr>
        <w:top w:val="none" w:sz="0" w:space="0" w:color="auto"/>
        <w:left w:val="none" w:sz="0" w:space="0" w:color="auto"/>
        <w:bottom w:val="none" w:sz="0" w:space="0" w:color="auto"/>
        <w:right w:val="none" w:sz="0" w:space="0" w:color="auto"/>
      </w:divBdr>
      <w:divsChild>
        <w:div w:id="947279083">
          <w:marLeft w:val="0"/>
          <w:marRight w:val="0"/>
          <w:marTop w:val="0"/>
          <w:marBottom w:val="0"/>
          <w:divBdr>
            <w:top w:val="none" w:sz="0" w:space="0" w:color="auto"/>
            <w:left w:val="none" w:sz="0" w:space="0" w:color="auto"/>
            <w:bottom w:val="none" w:sz="0" w:space="0" w:color="auto"/>
            <w:right w:val="none" w:sz="0" w:space="0" w:color="auto"/>
          </w:divBdr>
          <w:divsChild>
            <w:div w:id="98379063">
              <w:marLeft w:val="0"/>
              <w:marRight w:val="0"/>
              <w:marTop w:val="0"/>
              <w:marBottom w:val="0"/>
              <w:divBdr>
                <w:top w:val="none" w:sz="0" w:space="0" w:color="auto"/>
                <w:left w:val="none" w:sz="0" w:space="0" w:color="auto"/>
                <w:bottom w:val="none" w:sz="0" w:space="0" w:color="auto"/>
                <w:right w:val="none" w:sz="0" w:space="0" w:color="auto"/>
              </w:divBdr>
              <w:divsChild>
                <w:div w:id="19761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070">
      <w:bodyDiv w:val="1"/>
      <w:marLeft w:val="0"/>
      <w:marRight w:val="0"/>
      <w:marTop w:val="0"/>
      <w:marBottom w:val="0"/>
      <w:divBdr>
        <w:top w:val="none" w:sz="0" w:space="0" w:color="auto"/>
        <w:left w:val="none" w:sz="0" w:space="0" w:color="auto"/>
        <w:bottom w:val="none" w:sz="0" w:space="0" w:color="auto"/>
        <w:right w:val="none" w:sz="0" w:space="0" w:color="auto"/>
      </w:divBdr>
      <w:divsChild>
        <w:div w:id="708795415">
          <w:marLeft w:val="1440"/>
          <w:marRight w:val="0"/>
          <w:marTop w:val="0"/>
          <w:marBottom w:val="0"/>
          <w:divBdr>
            <w:top w:val="none" w:sz="0" w:space="0" w:color="auto"/>
            <w:left w:val="none" w:sz="0" w:space="0" w:color="auto"/>
            <w:bottom w:val="none" w:sz="0" w:space="0" w:color="auto"/>
            <w:right w:val="none" w:sz="0" w:space="0" w:color="auto"/>
          </w:divBdr>
        </w:div>
        <w:div w:id="1091051331">
          <w:marLeft w:val="1440"/>
          <w:marRight w:val="0"/>
          <w:marTop w:val="0"/>
          <w:marBottom w:val="0"/>
          <w:divBdr>
            <w:top w:val="none" w:sz="0" w:space="0" w:color="auto"/>
            <w:left w:val="none" w:sz="0" w:space="0" w:color="auto"/>
            <w:bottom w:val="none" w:sz="0" w:space="0" w:color="auto"/>
            <w:right w:val="none" w:sz="0" w:space="0" w:color="auto"/>
          </w:divBdr>
        </w:div>
        <w:div w:id="1234193365">
          <w:marLeft w:val="1440"/>
          <w:marRight w:val="0"/>
          <w:marTop w:val="0"/>
          <w:marBottom w:val="0"/>
          <w:divBdr>
            <w:top w:val="none" w:sz="0" w:space="0" w:color="auto"/>
            <w:left w:val="none" w:sz="0" w:space="0" w:color="auto"/>
            <w:bottom w:val="none" w:sz="0" w:space="0" w:color="auto"/>
            <w:right w:val="none" w:sz="0" w:space="0" w:color="auto"/>
          </w:divBdr>
        </w:div>
        <w:div w:id="1333218809">
          <w:marLeft w:val="1440"/>
          <w:marRight w:val="0"/>
          <w:marTop w:val="0"/>
          <w:marBottom w:val="0"/>
          <w:divBdr>
            <w:top w:val="none" w:sz="0" w:space="0" w:color="auto"/>
            <w:left w:val="none" w:sz="0" w:space="0" w:color="auto"/>
            <w:bottom w:val="none" w:sz="0" w:space="0" w:color="auto"/>
            <w:right w:val="none" w:sz="0" w:space="0" w:color="auto"/>
          </w:divBdr>
        </w:div>
        <w:div w:id="1726761140">
          <w:marLeft w:val="1440"/>
          <w:marRight w:val="0"/>
          <w:marTop w:val="0"/>
          <w:marBottom w:val="0"/>
          <w:divBdr>
            <w:top w:val="none" w:sz="0" w:space="0" w:color="auto"/>
            <w:left w:val="none" w:sz="0" w:space="0" w:color="auto"/>
            <w:bottom w:val="none" w:sz="0" w:space="0" w:color="auto"/>
            <w:right w:val="none" w:sz="0" w:space="0" w:color="auto"/>
          </w:divBdr>
        </w:div>
        <w:div w:id="1881211560">
          <w:marLeft w:val="1440"/>
          <w:marRight w:val="0"/>
          <w:marTop w:val="0"/>
          <w:marBottom w:val="0"/>
          <w:divBdr>
            <w:top w:val="none" w:sz="0" w:space="0" w:color="auto"/>
            <w:left w:val="none" w:sz="0" w:space="0" w:color="auto"/>
            <w:bottom w:val="none" w:sz="0" w:space="0" w:color="auto"/>
            <w:right w:val="none" w:sz="0" w:space="0" w:color="auto"/>
          </w:divBdr>
        </w:div>
        <w:div w:id="2065370632">
          <w:marLeft w:val="1440"/>
          <w:marRight w:val="0"/>
          <w:marTop w:val="0"/>
          <w:marBottom w:val="0"/>
          <w:divBdr>
            <w:top w:val="none" w:sz="0" w:space="0" w:color="auto"/>
            <w:left w:val="none" w:sz="0" w:space="0" w:color="auto"/>
            <w:bottom w:val="none" w:sz="0" w:space="0" w:color="auto"/>
            <w:right w:val="none" w:sz="0" w:space="0" w:color="auto"/>
          </w:divBdr>
        </w:div>
      </w:divsChild>
    </w:div>
    <w:div w:id="1465123352">
      <w:bodyDiv w:val="1"/>
      <w:marLeft w:val="0"/>
      <w:marRight w:val="0"/>
      <w:marTop w:val="0"/>
      <w:marBottom w:val="0"/>
      <w:divBdr>
        <w:top w:val="none" w:sz="0" w:space="0" w:color="auto"/>
        <w:left w:val="none" w:sz="0" w:space="0" w:color="auto"/>
        <w:bottom w:val="none" w:sz="0" w:space="0" w:color="auto"/>
        <w:right w:val="none" w:sz="0" w:space="0" w:color="auto"/>
      </w:divBdr>
    </w:div>
    <w:div w:id="1471439510">
      <w:bodyDiv w:val="1"/>
      <w:marLeft w:val="0"/>
      <w:marRight w:val="0"/>
      <w:marTop w:val="0"/>
      <w:marBottom w:val="0"/>
      <w:divBdr>
        <w:top w:val="none" w:sz="0" w:space="0" w:color="auto"/>
        <w:left w:val="none" w:sz="0" w:space="0" w:color="auto"/>
        <w:bottom w:val="none" w:sz="0" w:space="0" w:color="auto"/>
        <w:right w:val="none" w:sz="0" w:space="0" w:color="auto"/>
      </w:divBdr>
      <w:divsChild>
        <w:div w:id="1938174952">
          <w:marLeft w:val="0"/>
          <w:marRight w:val="0"/>
          <w:marTop w:val="0"/>
          <w:marBottom w:val="0"/>
          <w:divBdr>
            <w:top w:val="none" w:sz="0" w:space="0" w:color="auto"/>
            <w:left w:val="none" w:sz="0" w:space="0" w:color="auto"/>
            <w:bottom w:val="none" w:sz="0" w:space="0" w:color="auto"/>
            <w:right w:val="none" w:sz="0" w:space="0" w:color="auto"/>
          </w:divBdr>
          <w:divsChild>
            <w:div w:id="1895114217">
              <w:marLeft w:val="0"/>
              <w:marRight w:val="0"/>
              <w:marTop w:val="0"/>
              <w:marBottom w:val="0"/>
              <w:divBdr>
                <w:top w:val="none" w:sz="0" w:space="0" w:color="auto"/>
                <w:left w:val="none" w:sz="0" w:space="0" w:color="auto"/>
                <w:bottom w:val="none" w:sz="0" w:space="0" w:color="auto"/>
                <w:right w:val="none" w:sz="0" w:space="0" w:color="auto"/>
              </w:divBdr>
              <w:divsChild>
                <w:div w:id="220333923">
                  <w:marLeft w:val="0"/>
                  <w:marRight w:val="0"/>
                  <w:marTop w:val="0"/>
                  <w:marBottom w:val="0"/>
                  <w:divBdr>
                    <w:top w:val="none" w:sz="0" w:space="0" w:color="auto"/>
                    <w:left w:val="none" w:sz="0" w:space="0" w:color="auto"/>
                    <w:bottom w:val="none" w:sz="0" w:space="0" w:color="auto"/>
                    <w:right w:val="none" w:sz="0" w:space="0" w:color="auto"/>
                  </w:divBdr>
                  <w:divsChild>
                    <w:div w:id="16048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60043">
      <w:bodyDiv w:val="1"/>
      <w:marLeft w:val="0"/>
      <w:marRight w:val="0"/>
      <w:marTop w:val="0"/>
      <w:marBottom w:val="0"/>
      <w:divBdr>
        <w:top w:val="none" w:sz="0" w:space="0" w:color="auto"/>
        <w:left w:val="none" w:sz="0" w:space="0" w:color="auto"/>
        <w:bottom w:val="none" w:sz="0" w:space="0" w:color="auto"/>
        <w:right w:val="none" w:sz="0" w:space="0" w:color="auto"/>
      </w:divBdr>
    </w:div>
    <w:div w:id="1475296936">
      <w:bodyDiv w:val="1"/>
      <w:marLeft w:val="0"/>
      <w:marRight w:val="0"/>
      <w:marTop w:val="0"/>
      <w:marBottom w:val="0"/>
      <w:divBdr>
        <w:top w:val="none" w:sz="0" w:space="0" w:color="auto"/>
        <w:left w:val="none" w:sz="0" w:space="0" w:color="auto"/>
        <w:bottom w:val="none" w:sz="0" w:space="0" w:color="auto"/>
        <w:right w:val="none" w:sz="0" w:space="0" w:color="auto"/>
      </w:divBdr>
    </w:div>
    <w:div w:id="1500001646">
      <w:bodyDiv w:val="1"/>
      <w:marLeft w:val="0"/>
      <w:marRight w:val="0"/>
      <w:marTop w:val="0"/>
      <w:marBottom w:val="0"/>
      <w:divBdr>
        <w:top w:val="none" w:sz="0" w:space="0" w:color="auto"/>
        <w:left w:val="none" w:sz="0" w:space="0" w:color="auto"/>
        <w:bottom w:val="none" w:sz="0" w:space="0" w:color="auto"/>
        <w:right w:val="none" w:sz="0" w:space="0" w:color="auto"/>
      </w:divBdr>
    </w:div>
    <w:div w:id="1508519875">
      <w:bodyDiv w:val="1"/>
      <w:marLeft w:val="0"/>
      <w:marRight w:val="0"/>
      <w:marTop w:val="0"/>
      <w:marBottom w:val="0"/>
      <w:divBdr>
        <w:top w:val="none" w:sz="0" w:space="0" w:color="auto"/>
        <w:left w:val="none" w:sz="0" w:space="0" w:color="auto"/>
        <w:bottom w:val="none" w:sz="0" w:space="0" w:color="auto"/>
        <w:right w:val="none" w:sz="0" w:space="0" w:color="auto"/>
      </w:divBdr>
    </w:div>
    <w:div w:id="1510633506">
      <w:bodyDiv w:val="1"/>
      <w:marLeft w:val="0"/>
      <w:marRight w:val="0"/>
      <w:marTop w:val="0"/>
      <w:marBottom w:val="0"/>
      <w:divBdr>
        <w:top w:val="none" w:sz="0" w:space="0" w:color="auto"/>
        <w:left w:val="none" w:sz="0" w:space="0" w:color="auto"/>
        <w:bottom w:val="none" w:sz="0" w:space="0" w:color="auto"/>
        <w:right w:val="none" w:sz="0" w:space="0" w:color="auto"/>
      </w:divBdr>
      <w:divsChild>
        <w:div w:id="1068193410">
          <w:marLeft w:val="0"/>
          <w:marRight w:val="0"/>
          <w:marTop w:val="0"/>
          <w:marBottom w:val="0"/>
          <w:divBdr>
            <w:top w:val="none" w:sz="0" w:space="0" w:color="auto"/>
            <w:left w:val="none" w:sz="0" w:space="0" w:color="auto"/>
            <w:bottom w:val="none" w:sz="0" w:space="0" w:color="auto"/>
            <w:right w:val="none" w:sz="0" w:space="0" w:color="auto"/>
          </w:divBdr>
          <w:divsChild>
            <w:div w:id="1223449831">
              <w:marLeft w:val="0"/>
              <w:marRight w:val="0"/>
              <w:marTop w:val="0"/>
              <w:marBottom w:val="0"/>
              <w:divBdr>
                <w:top w:val="none" w:sz="0" w:space="0" w:color="auto"/>
                <w:left w:val="none" w:sz="0" w:space="0" w:color="auto"/>
                <w:bottom w:val="none" w:sz="0" w:space="0" w:color="auto"/>
                <w:right w:val="none" w:sz="0" w:space="0" w:color="auto"/>
              </w:divBdr>
              <w:divsChild>
                <w:div w:id="18614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1137">
      <w:bodyDiv w:val="1"/>
      <w:marLeft w:val="0"/>
      <w:marRight w:val="0"/>
      <w:marTop w:val="0"/>
      <w:marBottom w:val="0"/>
      <w:divBdr>
        <w:top w:val="none" w:sz="0" w:space="0" w:color="auto"/>
        <w:left w:val="none" w:sz="0" w:space="0" w:color="auto"/>
        <w:bottom w:val="none" w:sz="0" w:space="0" w:color="auto"/>
        <w:right w:val="none" w:sz="0" w:space="0" w:color="auto"/>
      </w:divBdr>
    </w:div>
    <w:div w:id="1539859443">
      <w:bodyDiv w:val="1"/>
      <w:marLeft w:val="0"/>
      <w:marRight w:val="0"/>
      <w:marTop w:val="0"/>
      <w:marBottom w:val="0"/>
      <w:divBdr>
        <w:top w:val="none" w:sz="0" w:space="0" w:color="auto"/>
        <w:left w:val="none" w:sz="0" w:space="0" w:color="auto"/>
        <w:bottom w:val="none" w:sz="0" w:space="0" w:color="auto"/>
        <w:right w:val="none" w:sz="0" w:space="0" w:color="auto"/>
      </w:divBdr>
      <w:divsChild>
        <w:div w:id="1871184935">
          <w:marLeft w:val="0"/>
          <w:marRight w:val="0"/>
          <w:marTop w:val="0"/>
          <w:marBottom w:val="0"/>
          <w:divBdr>
            <w:top w:val="none" w:sz="0" w:space="0" w:color="auto"/>
            <w:left w:val="none" w:sz="0" w:space="0" w:color="auto"/>
            <w:bottom w:val="none" w:sz="0" w:space="0" w:color="auto"/>
            <w:right w:val="none" w:sz="0" w:space="0" w:color="auto"/>
          </w:divBdr>
          <w:divsChild>
            <w:div w:id="2053537240">
              <w:marLeft w:val="0"/>
              <w:marRight w:val="0"/>
              <w:marTop w:val="0"/>
              <w:marBottom w:val="0"/>
              <w:divBdr>
                <w:top w:val="none" w:sz="0" w:space="0" w:color="auto"/>
                <w:left w:val="none" w:sz="0" w:space="0" w:color="auto"/>
                <w:bottom w:val="none" w:sz="0" w:space="0" w:color="auto"/>
                <w:right w:val="none" w:sz="0" w:space="0" w:color="auto"/>
              </w:divBdr>
              <w:divsChild>
                <w:div w:id="11940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5033">
      <w:bodyDiv w:val="1"/>
      <w:marLeft w:val="0"/>
      <w:marRight w:val="0"/>
      <w:marTop w:val="0"/>
      <w:marBottom w:val="0"/>
      <w:divBdr>
        <w:top w:val="none" w:sz="0" w:space="0" w:color="auto"/>
        <w:left w:val="none" w:sz="0" w:space="0" w:color="auto"/>
        <w:bottom w:val="none" w:sz="0" w:space="0" w:color="auto"/>
        <w:right w:val="none" w:sz="0" w:space="0" w:color="auto"/>
      </w:divBdr>
    </w:div>
    <w:div w:id="1564563155">
      <w:bodyDiv w:val="1"/>
      <w:marLeft w:val="0"/>
      <w:marRight w:val="0"/>
      <w:marTop w:val="0"/>
      <w:marBottom w:val="0"/>
      <w:divBdr>
        <w:top w:val="none" w:sz="0" w:space="0" w:color="auto"/>
        <w:left w:val="none" w:sz="0" w:space="0" w:color="auto"/>
        <w:bottom w:val="none" w:sz="0" w:space="0" w:color="auto"/>
        <w:right w:val="none" w:sz="0" w:space="0" w:color="auto"/>
      </w:divBdr>
    </w:div>
    <w:div w:id="1565294552">
      <w:bodyDiv w:val="1"/>
      <w:marLeft w:val="0"/>
      <w:marRight w:val="0"/>
      <w:marTop w:val="0"/>
      <w:marBottom w:val="0"/>
      <w:divBdr>
        <w:top w:val="none" w:sz="0" w:space="0" w:color="auto"/>
        <w:left w:val="none" w:sz="0" w:space="0" w:color="auto"/>
        <w:bottom w:val="none" w:sz="0" w:space="0" w:color="auto"/>
        <w:right w:val="none" w:sz="0" w:space="0" w:color="auto"/>
      </w:divBdr>
    </w:div>
    <w:div w:id="1586305228">
      <w:bodyDiv w:val="1"/>
      <w:marLeft w:val="0"/>
      <w:marRight w:val="0"/>
      <w:marTop w:val="0"/>
      <w:marBottom w:val="0"/>
      <w:divBdr>
        <w:top w:val="none" w:sz="0" w:space="0" w:color="auto"/>
        <w:left w:val="none" w:sz="0" w:space="0" w:color="auto"/>
        <w:bottom w:val="none" w:sz="0" w:space="0" w:color="auto"/>
        <w:right w:val="none" w:sz="0" w:space="0" w:color="auto"/>
      </w:divBdr>
    </w:div>
    <w:div w:id="1603956638">
      <w:bodyDiv w:val="1"/>
      <w:marLeft w:val="0"/>
      <w:marRight w:val="0"/>
      <w:marTop w:val="0"/>
      <w:marBottom w:val="0"/>
      <w:divBdr>
        <w:top w:val="none" w:sz="0" w:space="0" w:color="auto"/>
        <w:left w:val="none" w:sz="0" w:space="0" w:color="auto"/>
        <w:bottom w:val="none" w:sz="0" w:space="0" w:color="auto"/>
        <w:right w:val="none" w:sz="0" w:space="0" w:color="auto"/>
      </w:divBdr>
      <w:divsChild>
        <w:div w:id="1623271789">
          <w:marLeft w:val="0"/>
          <w:marRight w:val="0"/>
          <w:marTop w:val="0"/>
          <w:marBottom w:val="0"/>
          <w:divBdr>
            <w:top w:val="none" w:sz="0" w:space="0" w:color="auto"/>
            <w:left w:val="none" w:sz="0" w:space="0" w:color="auto"/>
            <w:bottom w:val="none" w:sz="0" w:space="0" w:color="auto"/>
            <w:right w:val="none" w:sz="0" w:space="0" w:color="auto"/>
          </w:divBdr>
          <w:divsChild>
            <w:div w:id="673268032">
              <w:marLeft w:val="0"/>
              <w:marRight w:val="0"/>
              <w:marTop w:val="0"/>
              <w:marBottom w:val="0"/>
              <w:divBdr>
                <w:top w:val="none" w:sz="0" w:space="0" w:color="auto"/>
                <w:left w:val="none" w:sz="0" w:space="0" w:color="auto"/>
                <w:bottom w:val="none" w:sz="0" w:space="0" w:color="auto"/>
                <w:right w:val="none" w:sz="0" w:space="0" w:color="auto"/>
              </w:divBdr>
              <w:divsChild>
                <w:div w:id="9480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0774">
      <w:bodyDiv w:val="1"/>
      <w:marLeft w:val="0"/>
      <w:marRight w:val="0"/>
      <w:marTop w:val="0"/>
      <w:marBottom w:val="0"/>
      <w:divBdr>
        <w:top w:val="none" w:sz="0" w:space="0" w:color="auto"/>
        <w:left w:val="none" w:sz="0" w:space="0" w:color="auto"/>
        <w:bottom w:val="none" w:sz="0" w:space="0" w:color="auto"/>
        <w:right w:val="none" w:sz="0" w:space="0" w:color="auto"/>
      </w:divBdr>
      <w:divsChild>
        <w:div w:id="675418940">
          <w:marLeft w:val="0"/>
          <w:marRight w:val="0"/>
          <w:marTop w:val="0"/>
          <w:marBottom w:val="0"/>
          <w:divBdr>
            <w:top w:val="none" w:sz="0" w:space="0" w:color="auto"/>
            <w:left w:val="none" w:sz="0" w:space="0" w:color="auto"/>
            <w:bottom w:val="none" w:sz="0" w:space="0" w:color="auto"/>
            <w:right w:val="none" w:sz="0" w:space="0" w:color="auto"/>
          </w:divBdr>
          <w:divsChild>
            <w:div w:id="54815589">
              <w:marLeft w:val="0"/>
              <w:marRight w:val="0"/>
              <w:marTop w:val="0"/>
              <w:marBottom w:val="0"/>
              <w:divBdr>
                <w:top w:val="none" w:sz="0" w:space="0" w:color="auto"/>
                <w:left w:val="none" w:sz="0" w:space="0" w:color="auto"/>
                <w:bottom w:val="none" w:sz="0" w:space="0" w:color="auto"/>
                <w:right w:val="none" w:sz="0" w:space="0" w:color="auto"/>
              </w:divBdr>
              <w:divsChild>
                <w:div w:id="1794590535">
                  <w:marLeft w:val="0"/>
                  <w:marRight w:val="0"/>
                  <w:marTop w:val="0"/>
                  <w:marBottom w:val="0"/>
                  <w:divBdr>
                    <w:top w:val="none" w:sz="0" w:space="0" w:color="auto"/>
                    <w:left w:val="none" w:sz="0" w:space="0" w:color="auto"/>
                    <w:bottom w:val="none" w:sz="0" w:space="0" w:color="auto"/>
                    <w:right w:val="none" w:sz="0" w:space="0" w:color="auto"/>
                  </w:divBdr>
                  <w:divsChild>
                    <w:div w:id="4260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4003">
      <w:bodyDiv w:val="1"/>
      <w:marLeft w:val="0"/>
      <w:marRight w:val="0"/>
      <w:marTop w:val="0"/>
      <w:marBottom w:val="0"/>
      <w:divBdr>
        <w:top w:val="none" w:sz="0" w:space="0" w:color="auto"/>
        <w:left w:val="none" w:sz="0" w:space="0" w:color="auto"/>
        <w:bottom w:val="none" w:sz="0" w:space="0" w:color="auto"/>
        <w:right w:val="none" w:sz="0" w:space="0" w:color="auto"/>
      </w:divBdr>
      <w:divsChild>
        <w:div w:id="2053184983">
          <w:marLeft w:val="0"/>
          <w:marRight w:val="0"/>
          <w:marTop w:val="0"/>
          <w:marBottom w:val="0"/>
          <w:divBdr>
            <w:top w:val="none" w:sz="0" w:space="0" w:color="auto"/>
            <w:left w:val="none" w:sz="0" w:space="0" w:color="auto"/>
            <w:bottom w:val="none" w:sz="0" w:space="0" w:color="auto"/>
            <w:right w:val="none" w:sz="0" w:space="0" w:color="auto"/>
          </w:divBdr>
          <w:divsChild>
            <w:div w:id="1529636471">
              <w:marLeft w:val="0"/>
              <w:marRight w:val="0"/>
              <w:marTop w:val="0"/>
              <w:marBottom w:val="0"/>
              <w:divBdr>
                <w:top w:val="none" w:sz="0" w:space="0" w:color="auto"/>
                <w:left w:val="none" w:sz="0" w:space="0" w:color="auto"/>
                <w:bottom w:val="none" w:sz="0" w:space="0" w:color="auto"/>
                <w:right w:val="none" w:sz="0" w:space="0" w:color="auto"/>
              </w:divBdr>
              <w:divsChild>
                <w:div w:id="831801001">
                  <w:marLeft w:val="0"/>
                  <w:marRight w:val="0"/>
                  <w:marTop w:val="0"/>
                  <w:marBottom w:val="0"/>
                  <w:divBdr>
                    <w:top w:val="none" w:sz="0" w:space="0" w:color="auto"/>
                    <w:left w:val="none" w:sz="0" w:space="0" w:color="auto"/>
                    <w:bottom w:val="none" w:sz="0" w:space="0" w:color="auto"/>
                    <w:right w:val="none" w:sz="0" w:space="0" w:color="auto"/>
                  </w:divBdr>
                  <w:divsChild>
                    <w:div w:id="7448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50969">
      <w:bodyDiv w:val="1"/>
      <w:marLeft w:val="0"/>
      <w:marRight w:val="0"/>
      <w:marTop w:val="0"/>
      <w:marBottom w:val="0"/>
      <w:divBdr>
        <w:top w:val="none" w:sz="0" w:space="0" w:color="auto"/>
        <w:left w:val="none" w:sz="0" w:space="0" w:color="auto"/>
        <w:bottom w:val="none" w:sz="0" w:space="0" w:color="auto"/>
        <w:right w:val="none" w:sz="0" w:space="0" w:color="auto"/>
      </w:divBdr>
    </w:div>
    <w:div w:id="1675258138">
      <w:bodyDiv w:val="1"/>
      <w:marLeft w:val="0"/>
      <w:marRight w:val="0"/>
      <w:marTop w:val="0"/>
      <w:marBottom w:val="0"/>
      <w:divBdr>
        <w:top w:val="none" w:sz="0" w:space="0" w:color="auto"/>
        <w:left w:val="none" w:sz="0" w:space="0" w:color="auto"/>
        <w:bottom w:val="none" w:sz="0" w:space="0" w:color="auto"/>
        <w:right w:val="none" w:sz="0" w:space="0" w:color="auto"/>
      </w:divBdr>
      <w:divsChild>
        <w:div w:id="790364766">
          <w:marLeft w:val="0"/>
          <w:marRight w:val="0"/>
          <w:marTop w:val="0"/>
          <w:marBottom w:val="0"/>
          <w:divBdr>
            <w:top w:val="none" w:sz="0" w:space="0" w:color="auto"/>
            <w:left w:val="none" w:sz="0" w:space="0" w:color="auto"/>
            <w:bottom w:val="none" w:sz="0" w:space="0" w:color="auto"/>
            <w:right w:val="none" w:sz="0" w:space="0" w:color="auto"/>
          </w:divBdr>
          <w:divsChild>
            <w:div w:id="290602246">
              <w:marLeft w:val="0"/>
              <w:marRight w:val="0"/>
              <w:marTop w:val="0"/>
              <w:marBottom w:val="0"/>
              <w:divBdr>
                <w:top w:val="none" w:sz="0" w:space="0" w:color="auto"/>
                <w:left w:val="none" w:sz="0" w:space="0" w:color="auto"/>
                <w:bottom w:val="none" w:sz="0" w:space="0" w:color="auto"/>
                <w:right w:val="none" w:sz="0" w:space="0" w:color="auto"/>
              </w:divBdr>
              <w:divsChild>
                <w:div w:id="16310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11811">
      <w:bodyDiv w:val="1"/>
      <w:marLeft w:val="0"/>
      <w:marRight w:val="0"/>
      <w:marTop w:val="0"/>
      <w:marBottom w:val="0"/>
      <w:divBdr>
        <w:top w:val="none" w:sz="0" w:space="0" w:color="auto"/>
        <w:left w:val="none" w:sz="0" w:space="0" w:color="auto"/>
        <w:bottom w:val="none" w:sz="0" w:space="0" w:color="auto"/>
        <w:right w:val="none" w:sz="0" w:space="0" w:color="auto"/>
      </w:divBdr>
      <w:divsChild>
        <w:div w:id="433324462">
          <w:marLeft w:val="0"/>
          <w:marRight w:val="0"/>
          <w:marTop w:val="0"/>
          <w:marBottom w:val="0"/>
          <w:divBdr>
            <w:top w:val="none" w:sz="0" w:space="0" w:color="auto"/>
            <w:left w:val="none" w:sz="0" w:space="0" w:color="auto"/>
            <w:bottom w:val="none" w:sz="0" w:space="0" w:color="auto"/>
            <w:right w:val="none" w:sz="0" w:space="0" w:color="auto"/>
          </w:divBdr>
          <w:divsChild>
            <w:div w:id="1718433122">
              <w:marLeft w:val="0"/>
              <w:marRight w:val="0"/>
              <w:marTop w:val="0"/>
              <w:marBottom w:val="0"/>
              <w:divBdr>
                <w:top w:val="none" w:sz="0" w:space="0" w:color="auto"/>
                <w:left w:val="none" w:sz="0" w:space="0" w:color="auto"/>
                <w:bottom w:val="none" w:sz="0" w:space="0" w:color="auto"/>
                <w:right w:val="none" w:sz="0" w:space="0" w:color="auto"/>
              </w:divBdr>
              <w:divsChild>
                <w:div w:id="14806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7628">
      <w:bodyDiv w:val="1"/>
      <w:marLeft w:val="0"/>
      <w:marRight w:val="0"/>
      <w:marTop w:val="0"/>
      <w:marBottom w:val="0"/>
      <w:divBdr>
        <w:top w:val="none" w:sz="0" w:space="0" w:color="auto"/>
        <w:left w:val="none" w:sz="0" w:space="0" w:color="auto"/>
        <w:bottom w:val="none" w:sz="0" w:space="0" w:color="auto"/>
        <w:right w:val="none" w:sz="0" w:space="0" w:color="auto"/>
      </w:divBdr>
    </w:div>
    <w:div w:id="1755200902">
      <w:bodyDiv w:val="1"/>
      <w:marLeft w:val="0"/>
      <w:marRight w:val="0"/>
      <w:marTop w:val="0"/>
      <w:marBottom w:val="0"/>
      <w:divBdr>
        <w:top w:val="none" w:sz="0" w:space="0" w:color="auto"/>
        <w:left w:val="none" w:sz="0" w:space="0" w:color="auto"/>
        <w:bottom w:val="none" w:sz="0" w:space="0" w:color="auto"/>
        <w:right w:val="none" w:sz="0" w:space="0" w:color="auto"/>
      </w:divBdr>
      <w:divsChild>
        <w:div w:id="84308742">
          <w:marLeft w:val="1080"/>
          <w:marRight w:val="0"/>
          <w:marTop w:val="60"/>
          <w:marBottom w:val="60"/>
          <w:divBdr>
            <w:top w:val="none" w:sz="0" w:space="0" w:color="auto"/>
            <w:left w:val="none" w:sz="0" w:space="0" w:color="auto"/>
            <w:bottom w:val="none" w:sz="0" w:space="0" w:color="auto"/>
            <w:right w:val="none" w:sz="0" w:space="0" w:color="auto"/>
          </w:divBdr>
        </w:div>
        <w:div w:id="149753154">
          <w:marLeft w:val="1080"/>
          <w:marRight w:val="0"/>
          <w:marTop w:val="60"/>
          <w:marBottom w:val="60"/>
          <w:divBdr>
            <w:top w:val="none" w:sz="0" w:space="0" w:color="auto"/>
            <w:left w:val="none" w:sz="0" w:space="0" w:color="auto"/>
            <w:bottom w:val="none" w:sz="0" w:space="0" w:color="auto"/>
            <w:right w:val="none" w:sz="0" w:space="0" w:color="auto"/>
          </w:divBdr>
        </w:div>
        <w:div w:id="306208656">
          <w:marLeft w:val="1080"/>
          <w:marRight w:val="0"/>
          <w:marTop w:val="60"/>
          <w:marBottom w:val="60"/>
          <w:divBdr>
            <w:top w:val="none" w:sz="0" w:space="0" w:color="auto"/>
            <w:left w:val="none" w:sz="0" w:space="0" w:color="auto"/>
            <w:bottom w:val="none" w:sz="0" w:space="0" w:color="auto"/>
            <w:right w:val="none" w:sz="0" w:space="0" w:color="auto"/>
          </w:divBdr>
        </w:div>
        <w:div w:id="482234040">
          <w:marLeft w:val="1080"/>
          <w:marRight w:val="0"/>
          <w:marTop w:val="60"/>
          <w:marBottom w:val="60"/>
          <w:divBdr>
            <w:top w:val="none" w:sz="0" w:space="0" w:color="auto"/>
            <w:left w:val="none" w:sz="0" w:space="0" w:color="auto"/>
            <w:bottom w:val="none" w:sz="0" w:space="0" w:color="auto"/>
            <w:right w:val="none" w:sz="0" w:space="0" w:color="auto"/>
          </w:divBdr>
        </w:div>
        <w:div w:id="662510459">
          <w:marLeft w:val="432"/>
          <w:marRight w:val="0"/>
          <w:marTop w:val="60"/>
          <w:marBottom w:val="60"/>
          <w:divBdr>
            <w:top w:val="none" w:sz="0" w:space="0" w:color="auto"/>
            <w:left w:val="none" w:sz="0" w:space="0" w:color="auto"/>
            <w:bottom w:val="none" w:sz="0" w:space="0" w:color="auto"/>
            <w:right w:val="none" w:sz="0" w:space="0" w:color="auto"/>
          </w:divBdr>
        </w:div>
        <w:div w:id="1669210317">
          <w:marLeft w:val="432"/>
          <w:marRight w:val="0"/>
          <w:marTop w:val="60"/>
          <w:marBottom w:val="60"/>
          <w:divBdr>
            <w:top w:val="none" w:sz="0" w:space="0" w:color="auto"/>
            <w:left w:val="none" w:sz="0" w:space="0" w:color="auto"/>
            <w:bottom w:val="none" w:sz="0" w:space="0" w:color="auto"/>
            <w:right w:val="none" w:sz="0" w:space="0" w:color="auto"/>
          </w:divBdr>
        </w:div>
        <w:div w:id="1720713811">
          <w:marLeft w:val="1080"/>
          <w:marRight w:val="0"/>
          <w:marTop w:val="60"/>
          <w:marBottom w:val="60"/>
          <w:divBdr>
            <w:top w:val="none" w:sz="0" w:space="0" w:color="auto"/>
            <w:left w:val="none" w:sz="0" w:space="0" w:color="auto"/>
            <w:bottom w:val="none" w:sz="0" w:space="0" w:color="auto"/>
            <w:right w:val="none" w:sz="0" w:space="0" w:color="auto"/>
          </w:divBdr>
        </w:div>
      </w:divsChild>
    </w:div>
    <w:div w:id="1771196521">
      <w:bodyDiv w:val="1"/>
      <w:marLeft w:val="0"/>
      <w:marRight w:val="0"/>
      <w:marTop w:val="0"/>
      <w:marBottom w:val="0"/>
      <w:divBdr>
        <w:top w:val="none" w:sz="0" w:space="0" w:color="auto"/>
        <w:left w:val="none" w:sz="0" w:space="0" w:color="auto"/>
        <w:bottom w:val="none" w:sz="0" w:space="0" w:color="auto"/>
        <w:right w:val="none" w:sz="0" w:space="0" w:color="auto"/>
      </w:divBdr>
    </w:div>
    <w:div w:id="1825969967">
      <w:bodyDiv w:val="1"/>
      <w:marLeft w:val="0"/>
      <w:marRight w:val="0"/>
      <w:marTop w:val="0"/>
      <w:marBottom w:val="0"/>
      <w:divBdr>
        <w:top w:val="none" w:sz="0" w:space="0" w:color="auto"/>
        <w:left w:val="none" w:sz="0" w:space="0" w:color="auto"/>
        <w:bottom w:val="none" w:sz="0" w:space="0" w:color="auto"/>
        <w:right w:val="none" w:sz="0" w:space="0" w:color="auto"/>
      </w:divBdr>
    </w:div>
    <w:div w:id="1836339426">
      <w:bodyDiv w:val="1"/>
      <w:marLeft w:val="0"/>
      <w:marRight w:val="0"/>
      <w:marTop w:val="0"/>
      <w:marBottom w:val="0"/>
      <w:divBdr>
        <w:top w:val="none" w:sz="0" w:space="0" w:color="auto"/>
        <w:left w:val="none" w:sz="0" w:space="0" w:color="auto"/>
        <w:bottom w:val="none" w:sz="0" w:space="0" w:color="auto"/>
        <w:right w:val="none" w:sz="0" w:space="0" w:color="auto"/>
      </w:divBdr>
      <w:divsChild>
        <w:div w:id="617301386">
          <w:marLeft w:val="0"/>
          <w:marRight w:val="0"/>
          <w:marTop w:val="0"/>
          <w:marBottom w:val="0"/>
          <w:divBdr>
            <w:top w:val="none" w:sz="0" w:space="0" w:color="auto"/>
            <w:left w:val="none" w:sz="0" w:space="0" w:color="auto"/>
            <w:bottom w:val="none" w:sz="0" w:space="0" w:color="auto"/>
            <w:right w:val="none" w:sz="0" w:space="0" w:color="auto"/>
          </w:divBdr>
          <w:divsChild>
            <w:div w:id="734202832">
              <w:marLeft w:val="0"/>
              <w:marRight w:val="0"/>
              <w:marTop w:val="0"/>
              <w:marBottom w:val="0"/>
              <w:divBdr>
                <w:top w:val="none" w:sz="0" w:space="0" w:color="auto"/>
                <w:left w:val="none" w:sz="0" w:space="0" w:color="auto"/>
                <w:bottom w:val="none" w:sz="0" w:space="0" w:color="auto"/>
                <w:right w:val="none" w:sz="0" w:space="0" w:color="auto"/>
              </w:divBdr>
              <w:divsChild>
                <w:div w:id="4545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8349">
      <w:bodyDiv w:val="1"/>
      <w:marLeft w:val="0"/>
      <w:marRight w:val="0"/>
      <w:marTop w:val="0"/>
      <w:marBottom w:val="0"/>
      <w:divBdr>
        <w:top w:val="none" w:sz="0" w:space="0" w:color="auto"/>
        <w:left w:val="none" w:sz="0" w:space="0" w:color="auto"/>
        <w:bottom w:val="none" w:sz="0" w:space="0" w:color="auto"/>
        <w:right w:val="none" w:sz="0" w:space="0" w:color="auto"/>
      </w:divBdr>
      <w:divsChild>
        <w:div w:id="1890343071">
          <w:marLeft w:val="0"/>
          <w:marRight w:val="0"/>
          <w:marTop w:val="0"/>
          <w:marBottom w:val="0"/>
          <w:divBdr>
            <w:top w:val="none" w:sz="0" w:space="0" w:color="auto"/>
            <w:left w:val="none" w:sz="0" w:space="0" w:color="auto"/>
            <w:bottom w:val="none" w:sz="0" w:space="0" w:color="auto"/>
            <w:right w:val="none" w:sz="0" w:space="0" w:color="auto"/>
          </w:divBdr>
          <w:divsChild>
            <w:div w:id="1368142214">
              <w:marLeft w:val="0"/>
              <w:marRight w:val="0"/>
              <w:marTop w:val="0"/>
              <w:marBottom w:val="0"/>
              <w:divBdr>
                <w:top w:val="none" w:sz="0" w:space="0" w:color="auto"/>
                <w:left w:val="none" w:sz="0" w:space="0" w:color="auto"/>
                <w:bottom w:val="none" w:sz="0" w:space="0" w:color="auto"/>
                <w:right w:val="none" w:sz="0" w:space="0" w:color="auto"/>
              </w:divBdr>
              <w:divsChild>
                <w:div w:id="11168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2792">
      <w:bodyDiv w:val="1"/>
      <w:marLeft w:val="0"/>
      <w:marRight w:val="0"/>
      <w:marTop w:val="0"/>
      <w:marBottom w:val="0"/>
      <w:divBdr>
        <w:top w:val="none" w:sz="0" w:space="0" w:color="auto"/>
        <w:left w:val="none" w:sz="0" w:space="0" w:color="auto"/>
        <w:bottom w:val="none" w:sz="0" w:space="0" w:color="auto"/>
        <w:right w:val="none" w:sz="0" w:space="0" w:color="auto"/>
      </w:divBdr>
    </w:div>
    <w:div w:id="1886330439">
      <w:bodyDiv w:val="1"/>
      <w:marLeft w:val="0"/>
      <w:marRight w:val="0"/>
      <w:marTop w:val="0"/>
      <w:marBottom w:val="0"/>
      <w:divBdr>
        <w:top w:val="none" w:sz="0" w:space="0" w:color="auto"/>
        <w:left w:val="none" w:sz="0" w:space="0" w:color="auto"/>
        <w:bottom w:val="none" w:sz="0" w:space="0" w:color="auto"/>
        <w:right w:val="none" w:sz="0" w:space="0" w:color="auto"/>
      </w:divBdr>
      <w:divsChild>
        <w:div w:id="714231489">
          <w:marLeft w:val="0"/>
          <w:marRight w:val="0"/>
          <w:marTop w:val="0"/>
          <w:marBottom w:val="0"/>
          <w:divBdr>
            <w:top w:val="none" w:sz="0" w:space="0" w:color="auto"/>
            <w:left w:val="none" w:sz="0" w:space="0" w:color="auto"/>
            <w:bottom w:val="none" w:sz="0" w:space="0" w:color="auto"/>
            <w:right w:val="none" w:sz="0" w:space="0" w:color="auto"/>
          </w:divBdr>
          <w:divsChild>
            <w:div w:id="900597685">
              <w:marLeft w:val="0"/>
              <w:marRight w:val="0"/>
              <w:marTop w:val="0"/>
              <w:marBottom w:val="0"/>
              <w:divBdr>
                <w:top w:val="none" w:sz="0" w:space="0" w:color="auto"/>
                <w:left w:val="none" w:sz="0" w:space="0" w:color="auto"/>
                <w:bottom w:val="none" w:sz="0" w:space="0" w:color="auto"/>
                <w:right w:val="none" w:sz="0" w:space="0" w:color="auto"/>
              </w:divBdr>
              <w:divsChild>
                <w:div w:id="1118451707">
                  <w:marLeft w:val="0"/>
                  <w:marRight w:val="0"/>
                  <w:marTop w:val="0"/>
                  <w:marBottom w:val="0"/>
                  <w:divBdr>
                    <w:top w:val="none" w:sz="0" w:space="0" w:color="auto"/>
                    <w:left w:val="none" w:sz="0" w:space="0" w:color="auto"/>
                    <w:bottom w:val="none" w:sz="0" w:space="0" w:color="auto"/>
                    <w:right w:val="none" w:sz="0" w:space="0" w:color="auto"/>
                  </w:divBdr>
                  <w:divsChild>
                    <w:div w:id="19397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38574">
      <w:bodyDiv w:val="1"/>
      <w:marLeft w:val="0"/>
      <w:marRight w:val="0"/>
      <w:marTop w:val="0"/>
      <w:marBottom w:val="0"/>
      <w:divBdr>
        <w:top w:val="none" w:sz="0" w:space="0" w:color="auto"/>
        <w:left w:val="none" w:sz="0" w:space="0" w:color="auto"/>
        <w:bottom w:val="none" w:sz="0" w:space="0" w:color="auto"/>
        <w:right w:val="none" w:sz="0" w:space="0" w:color="auto"/>
      </w:divBdr>
      <w:divsChild>
        <w:div w:id="2098613">
          <w:marLeft w:val="0"/>
          <w:marRight w:val="0"/>
          <w:marTop w:val="0"/>
          <w:marBottom w:val="0"/>
          <w:divBdr>
            <w:top w:val="none" w:sz="0" w:space="0" w:color="auto"/>
            <w:left w:val="none" w:sz="0" w:space="0" w:color="auto"/>
            <w:bottom w:val="none" w:sz="0" w:space="0" w:color="auto"/>
            <w:right w:val="none" w:sz="0" w:space="0" w:color="auto"/>
          </w:divBdr>
          <w:divsChild>
            <w:div w:id="1069881736">
              <w:marLeft w:val="0"/>
              <w:marRight w:val="0"/>
              <w:marTop w:val="0"/>
              <w:marBottom w:val="0"/>
              <w:divBdr>
                <w:top w:val="none" w:sz="0" w:space="0" w:color="auto"/>
                <w:left w:val="none" w:sz="0" w:space="0" w:color="auto"/>
                <w:bottom w:val="none" w:sz="0" w:space="0" w:color="auto"/>
                <w:right w:val="none" w:sz="0" w:space="0" w:color="auto"/>
              </w:divBdr>
              <w:divsChild>
                <w:div w:id="7538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59139">
      <w:bodyDiv w:val="1"/>
      <w:marLeft w:val="0"/>
      <w:marRight w:val="0"/>
      <w:marTop w:val="0"/>
      <w:marBottom w:val="0"/>
      <w:divBdr>
        <w:top w:val="none" w:sz="0" w:space="0" w:color="auto"/>
        <w:left w:val="none" w:sz="0" w:space="0" w:color="auto"/>
        <w:bottom w:val="none" w:sz="0" w:space="0" w:color="auto"/>
        <w:right w:val="none" w:sz="0" w:space="0" w:color="auto"/>
      </w:divBdr>
    </w:div>
    <w:div w:id="1943368976">
      <w:bodyDiv w:val="1"/>
      <w:marLeft w:val="0"/>
      <w:marRight w:val="0"/>
      <w:marTop w:val="0"/>
      <w:marBottom w:val="0"/>
      <w:divBdr>
        <w:top w:val="none" w:sz="0" w:space="0" w:color="auto"/>
        <w:left w:val="none" w:sz="0" w:space="0" w:color="auto"/>
        <w:bottom w:val="none" w:sz="0" w:space="0" w:color="auto"/>
        <w:right w:val="none" w:sz="0" w:space="0" w:color="auto"/>
      </w:divBdr>
    </w:div>
    <w:div w:id="1943680010">
      <w:bodyDiv w:val="1"/>
      <w:marLeft w:val="0"/>
      <w:marRight w:val="0"/>
      <w:marTop w:val="0"/>
      <w:marBottom w:val="0"/>
      <w:divBdr>
        <w:top w:val="none" w:sz="0" w:space="0" w:color="auto"/>
        <w:left w:val="none" w:sz="0" w:space="0" w:color="auto"/>
        <w:bottom w:val="none" w:sz="0" w:space="0" w:color="auto"/>
        <w:right w:val="none" w:sz="0" w:space="0" w:color="auto"/>
      </w:divBdr>
    </w:div>
    <w:div w:id="1968391001">
      <w:bodyDiv w:val="1"/>
      <w:marLeft w:val="0"/>
      <w:marRight w:val="0"/>
      <w:marTop w:val="0"/>
      <w:marBottom w:val="0"/>
      <w:divBdr>
        <w:top w:val="none" w:sz="0" w:space="0" w:color="auto"/>
        <w:left w:val="none" w:sz="0" w:space="0" w:color="auto"/>
        <w:bottom w:val="none" w:sz="0" w:space="0" w:color="auto"/>
        <w:right w:val="none" w:sz="0" w:space="0" w:color="auto"/>
      </w:divBdr>
      <w:divsChild>
        <w:div w:id="1618944989">
          <w:marLeft w:val="0"/>
          <w:marRight w:val="0"/>
          <w:marTop w:val="0"/>
          <w:marBottom w:val="0"/>
          <w:divBdr>
            <w:top w:val="none" w:sz="0" w:space="0" w:color="auto"/>
            <w:left w:val="none" w:sz="0" w:space="0" w:color="auto"/>
            <w:bottom w:val="none" w:sz="0" w:space="0" w:color="auto"/>
            <w:right w:val="none" w:sz="0" w:space="0" w:color="auto"/>
          </w:divBdr>
          <w:divsChild>
            <w:div w:id="1080370324">
              <w:marLeft w:val="0"/>
              <w:marRight w:val="0"/>
              <w:marTop w:val="0"/>
              <w:marBottom w:val="0"/>
              <w:divBdr>
                <w:top w:val="none" w:sz="0" w:space="0" w:color="auto"/>
                <w:left w:val="none" w:sz="0" w:space="0" w:color="auto"/>
                <w:bottom w:val="none" w:sz="0" w:space="0" w:color="auto"/>
                <w:right w:val="none" w:sz="0" w:space="0" w:color="auto"/>
              </w:divBdr>
              <w:divsChild>
                <w:div w:id="4909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2819">
      <w:bodyDiv w:val="1"/>
      <w:marLeft w:val="0"/>
      <w:marRight w:val="0"/>
      <w:marTop w:val="0"/>
      <w:marBottom w:val="0"/>
      <w:divBdr>
        <w:top w:val="none" w:sz="0" w:space="0" w:color="auto"/>
        <w:left w:val="none" w:sz="0" w:space="0" w:color="auto"/>
        <w:bottom w:val="none" w:sz="0" w:space="0" w:color="auto"/>
        <w:right w:val="none" w:sz="0" w:space="0" w:color="auto"/>
      </w:divBdr>
    </w:div>
    <w:div w:id="2019457087">
      <w:bodyDiv w:val="1"/>
      <w:marLeft w:val="0"/>
      <w:marRight w:val="0"/>
      <w:marTop w:val="0"/>
      <w:marBottom w:val="0"/>
      <w:divBdr>
        <w:top w:val="none" w:sz="0" w:space="0" w:color="auto"/>
        <w:left w:val="none" w:sz="0" w:space="0" w:color="auto"/>
        <w:bottom w:val="none" w:sz="0" w:space="0" w:color="auto"/>
        <w:right w:val="none" w:sz="0" w:space="0" w:color="auto"/>
      </w:divBdr>
    </w:div>
    <w:div w:id="2054575069">
      <w:bodyDiv w:val="1"/>
      <w:marLeft w:val="0"/>
      <w:marRight w:val="0"/>
      <w:marTop w:val="0"/>
      <w:marBottom w:val="0"/>
      <w:divBdr>
        <w:top w:val="none" w:sz="0" w:space="0" w:color="auto"/>
        <w:left w:val="none" w:sz="0" w:space="0" w:color="auto"/>
        <w:bottom w:val="none" w:sz="0" w:space="0" w:color="auto"/>
        <w:right w:val="none" w:sz="0" w:space="0" w:color="auto"/>
      </w:divBdr>
    </w:div>
    <w:div w:id="2068918502">
      <w:bodyDiv w:val="1"/>
      <w:marLeft w:val="0"/>
      <w:marRight w:val="0"/>
      <w:marTop w:val="0"/>
      <w:marBottom w:val="0"/>
      <w:divBdr>
        <w:top w:val="none" w:sz="0" w:space="0" w:color="auto"/>
        <w:left w:val="none" w:sz="0" w:space="0" w:color="auto"/>
        <w:bottom w:val="none" w:sz="0" w:space="0" w:color="auto"/>
        <w:right w:val="none" w:sz="0" w:space="0" w:color="auto"/>
      </w:divBdr>
    </w:div>
    <w:div w:id="2077822046">
      <w:bodyDiv w:val="1"/>
      <w:marLeft w:val="0"/>
      <w:marRight w:val="0"/>
      <w:marTop w:val="0"/>
      <w:marBottom w:val="0"/>
      <w:divBdr>
        <w:top w:val="none" w:sz="0" w:space="0" w:color="auto"/>
        <w:left w:val="none" w:sz="0" w:space="0" w:color="auto"/>
        <w:bottom w:val="none" w:sz="0" w:space="0" w:color="auto"/>
        <w:right w:val="none" w:sz="0" w:space="0" w:color="auto"/>
      </w:divBdr>
      <w:divsChild>
        <w:div w:id="69424805">
          <w:marLeft w:val="274"/>
          <w:marRight w:val="0"/>
          <w:marTop w:val="60"/>
          <w:marBottom w:val="60"/>
          <w:divBdr>
            <w:top w:val="none" w:sz="0" w:space="0" w:color="auto"/>
            <w:left w:val="none" w:sz="0" w:space="0" w:color="auto"/>
            <w:bottom w:val="none" w:sz="0" w:space="0" w:color="auto"/>
            <w:right w:val="none" w:sz="0" w:space="0" w:color="auto"/>
          </w:divBdr>
        </w:div>
        <w:div w:id="76250758">
          <w:marLeft w:val="274"/>
          <w:marRight w:val="0"/>
          <w:marTop w:val="60"/>
          <w:marBottom w:val="60"/>
          <w:divBdr>
            <w:top w:val="none" w:sz="0" w:space="0" w:color="auto"/>
            <w:left w:val="none" w:sz="0" w:space="0" w:color="auto"/>
            <w:bottom w:val="none" w:sz="0" w:space="0" w:color="auto"/>
            <w:right w:val="none" w:sz="0" w:space="0" w:color="auto"/>
          </w:divBdr>
        </w:div>
        <w:div w:id="1372998052">
          <w:marLeft w:val="274"/>
          <w:marRight w:val="0"/>
          <w:marTop w:val="60"/>
          <w:marBottom w:val="60"/>
          <w:divBdr>
            <w:top w:val="none" w:sz="0" w:space="0" w:color="auto"/>
            <w:left w:val="none" w:sz="0" w:space="0" w:color="auto"/>
            <w:bottom w:val="none" w:sz="0" w:space="0" w:color="auto"/>
            <w:right w:val="none" w:sz="0" w:space="0" w:color="auto"/>
          </w:divBdr>
        </w:div>
        <w:div w:id="2038653915">
          <w:marLeft w:val="274"/>
          <w:marRight w:val="0"/>
          <w:marTop w:val="60"/>
          <w:marBottom w:val="60"/>
          <w:divBdr>
            <w:top w:val="none" w:sz="0" w:space="0" w:color="auto"/>
            <w:left w:val="none" w:sz="0" w:space="0" w:color="auto"/>
            <w:bottom w:val="none" w:sz="0" w:space="0" w:color="auto"/>
            <w:right w:val="none" w:sz="0" w:space="0" w:color="auto"/>
          </w:divBdr>
        </w:div>
      </w:divsChild>
    </w:div>
    <w:div w:id="2114087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isters.dfat.gov.au/minister/pat-conroy/speech/micah-australian-women-leaders-network-parliament-house-canberra"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outledge.com/search?author=David%20Kelleher" TargetMode="External"/><Relationship Id="rId3" Type="http://schemas.openxmlformats.org/officeDocument/2006/relationships/hyperlink" Target="http://www.pratham.org/" TargetMode="External"/><Relationship Id="rId7" Type="http://schemas.openxmlformats.org/officeDocument/2006/relationships/hyperlink" Target="https://www.routledge.com/search?author=Joanne%20Sandler" TargetMode="External"/><Relationship Id="rId12" Type="http://schemas.openxmlformats.org/officeDocument/2006/relationships/hyperlink" Target="https://kekerasan.kemenpppa.go.id/register/login" TargetMode="External"/><Relationship Id="rId2" Type="http://schemas.openxmlformats.org/officeDocument/2006/relationships/hyperlink" Target="https://www.povertyactionlab.org/case-study/teaching-right-level-improve-learning" TargetMode="External"/><Relationship Id="rId1" Type="http://schemas.openxmlformats.org/officeDocument/2006/relationships/hyperlink" Target="https://bsc.cid.harvard.edu/PDIAtoolkit" TargetMode="External"/><Relationship Id="rId6" Type="http://schemas.openxmlformats.org/officeDocument/2006/relationships/hyperlink" Target="https://www.routledge.com/search?author=Aruna%20Rao" TargetMode="External"/><Relationship Id="rId11" Type="http://schemas.openxmlformats.org/officeDocument/2006/relationships/hyperlink" Target="https://www.researchgate.net/publication/369760817_Studi_Persepsi_Guru_tentang_Norma_Gender_dalam_Kepemimpinan_Kepala_Sekolah_Perempuan" TargetMode="External"/><Relationship Id="rId5" Type="http://schemas.openxmlformats.org/officeDocument/2006/relationships/hyperlink" Target="https://www.dfat.gov.au/sites/default/files/gender-equality-in-investment-design-good-practice-note.pdf" TargetMode="External"/><Relationship Id="rId10" Type="http://schemas.openxmlformats.org/officeDocument/2006/relationships/hyperlink" Target="https://cakrawikara.id/publikasi/artikel/berbagai-faktor-kultural-hambat-perempuan-jadi-kepala-sekolah-sekadar-regulasi-yang-netral-gender-tak-cukup-jadi-solusi/" TargetMode="External"/><Relationship Id="rId4" Type="http://schemas.openxmlformats.org/officeDocument/2006/relationships/hyperlink" Target="https://dlprog.org/" TargetMode="External"/><Relationship Id="rId9" Type="http://schemas.openxmlformats.org/officeDocument/2006/relationships/hyperlink" Target="https://www.routledge.com/search?author=Carol%20Mill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A54146A96C942A115A4761717A6BE" ma:contentTypeVersion="13" ma:contentTypeDescription="Create a new document." ma:contentTypeScope="" ma:versionID="6cbf9008b4e58f3c6769ea843204bf9c">
  <xsd:schema xmlns:xsd="http://www.w3.org/2001/XMLSchema" xmlns:xs="http://www.w3.org/2001/XMLSchema" xmlns:p="http://schemas.microsoft.com/office/2006/metadata/properties" xmlns:ns3="498c8189-77a5-49a1-99ce-43e1a1587bda" xmlns:ns4="20268427-48f4-49b9-be95-853315045fde" targetNamespace="http://schemas.microsoft.com/office/2006/metadata/properties" ma:root="true" ma:fieldsID="795be7b0403574f30a8ca1e2b0337d87" ns3:_="" ns4:_="">
    <xsd:import namespace="498c8189-77a5-49a1-99ce-43e1a1587bda"/>
    <xsd:import namespace="20268427-48f4-49b9-be95-853315045fd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c8189-77a5-49a1-99ce-43e1a1587bd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68427-48f4-49b9-be95-853315045fd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8c8189-77a5-49a1-99ce-43e1a1587b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1CCA5-DEE0-4EDF-9D22-ABED59F88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c8189-77a5-49a1-99ce-43e1a1587bda"/>
    <ds:schemaRef ds:uri="20268427-48f4-49b9-be95-853315045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DD98E-1545-434F-84E2-8CA06210F7F7}">
  <ds:schemaRefs>
    <ds:schemaRef ds:uri="http://schemas.microsoft.com/sharepoint/v3/contenttype/forms"/>
  </ds:schemaRefs>
</ds:datastoreItem>
</file>

<file path=customXml/itemProps3.xml><?xml version="1.0" encoding="utf-8"?>
<ds:datastoreItem xmlns:ds="http://schemas.openxmlformats.org/officeDocument/2006/customXml" ds:itemID="{EB7BF160-9945-4509-9A79-9C79A96D9078}">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0268427-48f4-49b9-be95-853315045fde"/>
    <ds:schemaRef ds:uri="498c8189-77a5-49a1-99ce-43e1a1587bd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81F6BAB-6EE0-CD4E-A2F9-A98FE255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39313</Words>
  <Characters>228285</Characters>
  <Application>Microsoft Office Word</Application>
  <DocSecurity>4</DocSecurity>
  <Lines>4645</Lines>
  <Paragraphs>1434</Paragraphs>
  <ScaleCrop>false</ScaleCrop>
  <HeadingPairs>
    <vt:vector size="2" baseType="variant">
      <vt:variant>
        <vt:lpstr>Title</vt:lpstr>
      </vt:variant>
      <vt:variant>
        <vt:i4>1</vt:i4>
      </vt:variant>
    </vt:vector>
  </HeadingPairs>
  <TitlesOfParts>
    <vt:vector size="1" baseType="lpstr">
      <vt:lpstr>DFAT-led design: Investment Design Template</vt:lpstr>
    </vt:vector>
  </TitlesOfParts>
  <Company/>
  <LinksUpToDate>false</LinksUpToDate>
  <CharactersWithSpaces>266770</CharactersWithSpaces>
  <SharedDoc>false</SharedDoc>
  <HLinks>
    <vt:vector size="78" baseType="variant">
      <vt:variant>
        <vt:i4>4915271</vt:i4>
      </vt:variant>
      <vt:variant>
        <vt:i4>0</vt:i4>
      </vt:variant>
      <vt:variant>
        <vt:i4>0</vt:i4>
      </vt:variant>
      <vt:variant>
        <vt:i4>5</vt:i4>
      </vt:variant>
      <vt:variant>
        <vt:lpwstr>https://ministers.dfat.gov.au/minister/pat-conroy/speech/micah-australian-women-leaders-network-parliament-house-canberra</vt:lpwstr>
      </vt:variant>
      <vt:variant>
        <vt:lpwstr/>
      </vt:variant>
      <vt:variant>
        <vt:i4>5701713</vt:i4>
      </vt:variant>
      <vt:variant>
        <vt:i4>33</vt:i4>
      </vt:variant>
      <vt:variant>
        <vt:i4>0</vt:i4>
      </vt:variant>
      <vt:variant>
        <vt:i4>5</vt:i4>
      </vt:variant>
      <vt:variant>
        <vt:lpwstr>https://kekerasan.kemenpppa.go.id/register/login</vt:lpwstr>
      </vt:variant>
      <vt:variant>
        <vt:lpwstr/>
      </vt:variant>
      <vt:variant>
        <vt:i4>6226027</vt:i4>
      </vt:variant>
      <vt:variant>
        <vt:i4>30</vt:i4>
      </vt:variant>
      <vt:variant>
        <vt:i4>0</vt:i4>
      </vt:variant>
      <vt:variant>
        <vt:i4>5</vt:i4>
      </vt:variant>
      <vt:variant>
        <vt:lpwstr>https://www.researchgate.net/publication/369760817_Studi_Persepsi_Guru_tentang_Norma_Gender_dalam_Kepemimpinan_Kepala_Sekolah_Perempuan</vt:lpwstr>
      </vt:variant>
      <vt:variant>
        <vt:lpwstr/>
      </vt:variant>
      <vt:variant>
        <vt:i4>4653076</vt:i4>
      </vt:variant>
      <vt:variant>
        <vt:i4>27</vt:i4>
      </vt:variant>
      <vt:variant>
        <vt:i4>0</vt:i4>
      </vt:variant>
      <vt:variant>
        <vt:i4>5</vt:i4>
      </vt:variant>
      <vt:variant>
        <vt:lpwstr>https://cakrawikara.id/publikasi/artikel/berbagai-faktor-kultural-hambat-perempuan-jadi-kepala-sekolah-sekadar-regulasi-yang-netral-gender-tak-cukup-jadi-solusi/</vt:lpwstr>
      </vt:variant>
      <vt:variant>
        <vt:lpwstr/>
      </vt:variant>
      <vt:variant>
        <vt:i4>7012398</vt:i4>
      </vt:variant>
      <vt:variant>
        <vt:i4>24</vt:i4>
      </vt:variant>
      <vt:variant>
        <vt:i4>0</vt:i4>
      </vt:variant>
      <vt:variant>
        <vt:i4>5</vt:i4>
      </vt:variant>
      <vt:variant>
        <vt:lpwstr>https://www.routledge.com/search?author=Carol%20Miller</vt:lpwstr>
      </vt:variant>
      <vt:variant>
        <vt:lpwstr/>
      </vt:variant>
      <vt:variant>
        <vt:i4>589894</vt:i4>
      </vt:variant>
      <vt:variant>
        <vt:i4>21</vt:i4>
      </vt:variant>
      <vt:variant>
        <vt:i4>0</vt:i4>
      </vt:variant>
      <vt:variant>
        <vt:i4>5</vt:i4>
      </vt:variant>
      <vt:variant>
        <vt:lpwstr>https://www.routledge.com/search?author=David%20Kelleher</vt:lpwstr>
      </vt:variant>
      <vt:variant>
        <vt:lpwstr/>
      </vt:variant>
      <vt:variant>
        <vt:i4>5373973</vt:i4>
      </vt:variant>
      <vt:variant>
        <vt:i4>18</vt:i4>
      </vt:variant>
      <vt:variant>
        <vt:i4>0</vt:i4>
      </vt:variant>
      <vt:variant>
        <vt:i4>5</vt:i4>
      </vt:variant>
      <vt:variant>
        <vt:lpwstr>https://www.routledge.com/search?author=Joanne%20Sandler</vt:lpwstr>
      </vt:variant>
      <vt:variant>
        <vt:lpwstr/>
      </vt:variant>
      <vt:variant>
        <vt:i4>7274544</vt:i4>
      </vt:variant>
      <vt:variant>
        <vt:i4>15</vt:i4>
      </vt:variant>
      <vt:variant>
        <vt:i4>0</vt:i4>
      </vt:variant>
      <vt:variant>
        <vt:i4>5</vt:i4>
      </vt:variant>
      <vt:variant>
        <vt:lpwstr>https://www.routledge.com/search?author=Aruna%20Rao</vt:lpwstr>
      </vt:variant>
      <vt:variant>
        <vt:lpwstr/>
      </vt:variant>
      <vt:variant>
        <vt:i4>3276861</vt:i4>
      </vt:variant>
      <vt:variant>
        <vt:i4>12</vt:i4>
      </vt:variant>
      <vt:variant>
        <vt:i4>0</vt:i4>
      </vt:variant>
      <vt:variant>
        <vt:i4>5</vt:i4>
      </vt:variant>
      <vt:variant>
        <vt:lpwstr>https://www.dfat.gov.au/sites/default/files/gender-equality-in-investment-design-good-practice-note.pdf</vt:lpwstr>
      </vt:variant>
      <vt:variant>
        <vt:lpwstr/>
      </vt:variant>
      <vt:variant>
        <vt:i4>1572957</vt:i4>
      </vt:variant>
      <vt:variant>
        <vt:i4>9</vt:i4>
      </vt:variant>
      <vt:variant>
        <vt:i4>0</vt:i4>
      </vt:variant>
      <vt:variant>
        <vt:i4>5</vt:i4>
      </vt:variant>
      <vt:variant>
        <vt:lpwstr>https://www.inovasi.or.id/en/publikasi/the-learning-gap-series-one-beyond-letters-and-numbers-the-covid-19-pandemic-and-foundational-literacy-and-numeracy-in-indonesia/</vt:lpwstr>
      </vt:variant>
      <vt:variant>
        <vt:lpwstr/>
      </vt:variant>
      <vt:variant>
        <vt:i4>6291559</vt:i4>
      </vt:variant>
      <vt:variant>
        <vt:i4>6</vt:i4>
      </vt:variant>
      <vt:variant>
        <vt:i4>0</vt:i4>
      </vt:variant>
      <vt:variant>
        <vt:i4>5</vt:i4>
      </vt:variant>
      <vt:variant>
        <vt:lpwstr>https://dlprog.org/</vt:lpwstr>
      </vt:variant>
      <vt:variant>
        <vt:lpwstr/>
      </vt:variant>
      <vt:variant>
        <vt:i4>3604587</vt:i4>
      </vt:variant>
      <vt:variant>
        <vt:i4>3</vt:i4>
      </vt:variant>
      <vt:variant>
        <vt:i4>0</vt:i4>
      </vt:variant>
      <vt:variant>
        <vt:i4>5</vt:i4>
      </vt:variant>
      <vt:variant>
        <vt:lpwstr>http://www.pratham.org/</vt:lpwstr>
      </vt:variant>
      <vt:variant>
        <vt:lpwstr/>
      </vt:variant>
      <vt:variant>
        <vt:i4>4784197</vt:i4>
      </vt:variant>
      <vt:variant>
        <vt:i4>0</vt:i4>
      </vt:variant>
      <vt:variant>
        <vt:i4>0</vt:i4>
      </vt:variant>
      <vt:variant>
        <vt:i4>5</vt:i4>
      </vt:variant>
      <vt:variant>
        <vt:lpwstr>https://www.povertyactionlab.org/case-study/teaching-right-level-improve-learning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INOVASI Phase 3 Design Update Document</dc:title>
  <dc:subject/>
  <dc:creator/>
  <cp:keywords>[SEC=OFFICIAL]</cp:keywords>
  <dc:description/>
  <cp:lastModifiedBy/>
  <cp:revision>1</cp:revision>
  <dcterms:created xsi:type="dcterms:W3CDTF">2024-08-28T02:22:00Z</dcterms:created>
  <dcterms:modified xsi:type="dcterms:W3CDTF">2024-08-28T02:22:00Z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30fe6e5f-6ec7-4510-b7b1-ee99e923c4b8</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1FF7E5DC14D444DAA887E4DA98360471</vt:lpwstr>
  </property>
  <property fmtid="{D5CDD505-2E9C-101B-9397-08002B2CF9AE}" pid="11" name="PM_ProtectiveMarkingValue_Footer">
    <vt:lpwstr>OFFICIAL</vt:lpwstr>
  </property>
  <property fmtid="{D5CDD505-2E9C-101B-9397-08002B2CF9AE}" pid="12" name="PM_Originator_Hash_SHA1">
    <vt:lpwstr>E5329D78ADFF18985C404F3A4015F7B7C209C4C5</vt:lpwstr>
  </property>
  <property fmtid="{D5CDD505-2E9C-101B-9397-08002B2CF9AE}" pid="13" name="PM_OriginationTimeStamp">
    <vt:lpwstr>2023-03-28T07:34:53Z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C427463A240001568B1E728057080C091949066E05DD342FA6B5B9F6FF33F8D6</vt:lpwstr>
  </property>
  <property fmtid="{D5CDD505-2E9C-101B-9397-08002B2CF9AE}" pid="27" name="PM_OriginatorDomainName_SHA256">
    <vt:lpwstr>6F3591835F3B2A8A025B00B5BA6418010DA3A17C9C26EA9C049FFD28039489A2</vt:lpwstr>
  </property>
  <property fmtid="{D5CDD505-2E9C-101B-9397-08002B2CF9AE}" pid="28" name="ContentTypeId">
    <vt:lpwstr>0x010100A3EA54146A96C942A115A4761717A6BE</vt:lpwstr>
  </property>
  <property fmtid="{D5CDD505-2E9C-101B-9397-08002B2CF9AE}" pid="29" name="PM_Hash_Salt_Prev">
    <vt:lpwstr>A646957F133BDEC81D900F70948E7E4C</vt:lpwstr>
  </property>
  <property fmtid="{D5CDD505-2E9C-101B-9397-08002B2CF9AE}" pid="30" name="PM_Hash_Salt">
    <vt:lpwstr>CD03B677B97A1DB280D60E7676F30CA0</vt:lpwstr>
  </property>
  <property fmtid="{D5CDD505-2E9C-101B-9397-08002B2CF9AE}" pid="31" name="PM_Hash_SHA1">
    <vt:lpwstr>729836E95D44ED9236012016D86F46D1566EEC0E</vt:lpwstr>
  </property>
  <property fmtid="{D5CDD505-2E9C-101B-9397-08002B2CF9AE}" pid="32" name="PMHMAC">
    <vt:lpwstr>v=2022.1;a=SHA256;h=BD853AF26C543B5C0EF5AAFD4F00A80CD9577180F92DA6F4C814BF435A8EC11A</vt:lpwstr>
  </property>
</Properties>
</file>