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9DDD" w14:textId="31123F33" w:rsidR="0083402F" w:rsidRPr="00A02EEE" w:rsidRDefault="007D25FC" w:rsidP="00A02EEE">
      <w:pPr>
        <w:pStyle w:val="Heading1"/>
      </w:pPr>
      <w:r w:rsidRPr="00A02EEE">
        <w:t>Management Response: Innovation for So</w:t>
      </w:r>
      <w:r w:rsidR="007353B1" w:rsidRPr="00A02EEE">
        <w:t>cial Impact Partnership (ISIP) E</w:t>
      </w:r>
      <w:r w:rsidRPr="00A02EEE">
        <w:t>valuation</w:t>
      </w:r>
    </w:p>
    <w:p w14:paraId="0A7A2274" w14:textId="77777777" w:rsidR="005714D1" w:rsidRPr="005813FF" w:rsidRDefault="005E739D" w:rsidP="005714D1">
      <w:pPr>
        <w:pStyle w:val="Heading2"/>
        <w:rPr>
          <w:b/>
        </w:rPr>
      </w:pPr>
      <w:r w:rsidRPr="005813FF">
        <w:rPr>
          <w:b/>
        </w:rPr>
        <w:t>Summary of Management Response</w:t>
      </w:r>
      <w:r w:rsidR="005813FF">
        <w:rPr>
          <w:b/>
        </w:rPr>
        <w:t xml:space="preserve"> </w:t>
      </w:r>
    </w:p>
    <w:p w14:paraId="2F7B041D" w14:textId="53BA5A18" w:rsidR="009301C5" w:rsidRDefault="00243599" w:rsidP="003D46DA">
      <w:pPr>
        <w:pStyle w:val="BodyText"/>
      </w:pPr>
      <w:r>
        <w:t>The recommendations in this report cover the three sub-components of the Innovation for Social Impact Partnership (ISIP) project</w:t>
      </w:r>
      <w:r w:rsidR="00683172">
        <w:t>:</w:t>
      </w:r>
      <w:r>
        <w:t xml:space="preserve"> Entrepreneurship, Education and Policy. It provides recommendations specific to the project finances, monitoring and evaluation and responsiveness to gender, </w:t>
      </w:r>
      <w:proofErr w:type="gramStart"/>
      <w:r>
        <w:t>disability</w:t>
      </w:r>
      <w:proofErr w:type="gramEnd"/>
      <w:r>
        <w:t xml:space="preserve"> and social inclusion. </w:t>
      </w:r>
      <w:r w:rsidR="009301C5">
        <w:t xml:space="preserve">The review </w:t>
      </w:r>
      <w:r>
        <w:t xml:space="preserve">makes </w:t>
      </w:r>
      <w:proofErr w:type="gramStart"/>
      <w:r w:rsidR="00194D1F">
        <w:t>a number of</w:t>
      </w:r>
      <w:proofErr w:type="gramEnd"/>
      <w:r w:rsidR="00194D1F">
        <w:t xml:space="preserve"> forward-looking recommendations</w:t>
      </w:r>
      <w:r>
        <w:t xml:space="preserve">. At the outset, </w:t>
      </w:r>
      <w:r w:rsidR="00AE09E5">
        <w:t xml:space="preserve">the Australian Government Department of Foreign Affairs and Trade (DFAT) </w:t>
      </w:r>
      <w:r>
        <w:t xml:space="preserve">welcomes the report and expresses its gratitude to the evaluator and to </w:t>
      </w:r>
      <w:r w:rsidR="009301C5">
        <w:t>stakeholders</w:t>
      </w:r>
      <w:r>
        <w:t xml:space="preserve"> who participated in the evaluation.</w:t>
      </w:r>
      <w:r w:rsidR="00366F43">
        <w:t xml:space="preserve"> ISIP is a program of the Australian Embassy in the Philippines that highlights Australia’s capacity to drive development outcomes through private-sector innovation.</w:t>
      </w:r>
    </w:p>
    <w:p w14:paraId="3D78A7C4" w14:textId="1EC55F55" w:rsidR="00CC1ECC" w:rsidRDefault="00366F43" w:rsidP="003D46DA">
      <w:pPr>
        <w:pStyle w:val="BodyText"/>
      </w:pPr>
      <w:r>
        <w:t xml:space="preserve">Since this report was drafted, the COVID-19 </w:t>
      </w:r>
      <w:r w:rsidR="00231B1D">
        <w:t xml:space="preserve">pandemic </w:t>
      </w:r>
      <w:r>
        <w:t xml:space="preserve">has had an immense global impact. The Philippines is one of the many countries that has struggled </w:t>
      </w:r>
      <w:r w:rsidR="009301C5">
        <w:t>to contain</w:t>
      </w:r>
      <w:r>
        <w:t xml:space="preserve"> the </w:t>
      </w:r>
      <w:r w:rsidR="00EE3EDE">
        <w:t>effects</w:t>
      </w:r>
      <w:r w:rsidR="00194D1F">
        <w:t xml:space="preserve"> of the </w:t>
      </w:r>
      <w:r>
        <w:t xml:space="preserve">ongoing pandemic. </w:t>
      </w:r>
      <w:r w:rsidR="00CC1ECC">
        <w:t>Government-mandated quarantines, decreased trade</w:t>
      </w:r>
      <w:r w:rsidR="00655502">
        <w:t>,</w:t>
      </w:r>
      <w:r w:rsidR="00CC1ECC">
        <w:t xml:space="preserve"> and a reduction in normal purchasing behaviour </w:t>
      </w:r>
      <w:r w:rsidR="00F43065">
        <w:t xml:space="preserve">resulting from the crisis </w:t>
      </w:r>
      <w:r w:rsidR="00CC1ECC">
        <w:t>ha</w:t>
      </w:r>
      <w:r w:rsidR="00781C35">
        <w:t>ve</w:t>
      </w:r>
      <w:r w:rsidR="00CC1ECC">
        <w:t xml:space="preserve"> devastated </w:t>
      </w:r>
      <w:r>
        <w:t>business</w:t>
      </w:r>
      <w:r w:rsidR="00CC1ECC">
        <w:t>es</w:t>
      </w:r>
      <w:r w:rsidR="00194D1F">
        <w:t xml:space="preserve">. </w:t>
      </w:r>
      <w:r w:rsidR="009301C5">
        <w:t>T</w:t>
      </w:r>
      <w:r>
        <w:t xml:space="preserve">he crisis has </w:t>
      </w:r>
      <w:r w:rsidR="00F43065">
        <w:t xml:space="preserve">had </w:t>
      </w:r>
      <w:r w:rsidR="00781C35">
        <w:t>significant</w:t>
      </w:r>
      <w:r>
        <w:t xml:space="preserve"> </w:t>
      </w:r>
      <w:r w:rsidR="00194D1F">
        <w:t>socioeconomic</w:t>
      </w:r>
      <w:r>
        <w:t xml:space="preserve"> </w:t>
      </w:r>
      <w:r w:rsidR="00231B1D">
        <w:t xml:space="preserve">impacts </w:t>
      </w:r>
      <w:r w:rsidR="00C6752B">
        <w:t xml:space="preserve">– especially </w:t>
      </w:r>
      <w:r w:rsidR="00194D1F">
        <w:t>for the</w:t>
      </w:r>
      <w:r w:rsidR="00C6752B">
        <w:t xml:space="preserve"> large population of vulnerable and poor</w:t>
      </w:r>
      <w:r w:rsidR="009301C5">
        <w:t xml:space="preserve"> </w:t>
      </w:r>
      <w:r w:rsidR="00F43065">
        <w:t xml:space="preserve">Filipino </w:t>
      </w:r>
      <w:r w:rsidR="009301C5">
        <w:t>communities</w:t>
      </w:r>
      <w:r w:rsidR="00C6752B">
        <w:t>.</w:t>
      </w:r>
      <w:r w:rsidR="00781C35">
        <w:t xml:space="preserve"> ISIP found that micro, </w:t>
      </w:r>
      <w:proofErr w:type="gramStart"/>
      <w:r w:rsidR="00C6752B">
        <w:t>small</w:t>
      </w:r>
      <w:proofErr w:type="gramEnd"/>
      <w:r w:rsidR="00C6752B">
        <w:t xml:space="preserve"> and </w:t>
      </w:r>
      <w:r w:rsidR="009301C5">
        <w:t>medium</w:t>
      </w:r>
      <w:r w:rsidR="00C6752B">
        <w:t xml:space="preserve"> enterprise (MSME) and higher education institution (HEI) beneficiaries have been </w:t>
      </w:r>
      <w:r w:rsidR="00231B1D">
        <w:t>seriously adversely affected</w:t>
      </w:r>
      <w:r w:rsidR="00C6752B">
        <w:t>. Research</w:t>
      </w:r>
      <w:r w:rsidR="00F43065">
        <w:t xml:space="preserve"> and development</w:t>
      </w:r>
      <w:r w:rsidR="00C6752B">
        <w:t xml:space="preserve">, </w:t>
      </w:r>
      <w:proofErr w:type="gramStart"/>
      <w:r w:rsidR="00C6752B">
        <w:t>instruction</w:t>
      </w:r>
      <w:proofErr w:type="gramEnd"/>
      <w:r w:rsidR="00C6752B">
        <w:t xml:space="preserve"> and extension activities of HEIs have either ceased or </w:t>
      </w:r>
      <w:r w:rsidR="00655502">
        <w:t>changed</w:t>
      </w:r>
      <w:r w:rsidR="00C6752B">
        <w:t xml:space="preserve">. Many MSMEs have </w:t>
      </w:r>
      <w:r w:rsidR="00EE3EDE">
        <w:t xml:space="preserve">paused </w:t>
      </w:r>
      <w:r w:rsidR="00C6752B">
        <w:t xml:space="preserve">operations or </w:t>
      </w:r>
      <w:r w:rsidR="00231B1D">
        <w:t xml:space="preserve">shifted </w:t>
      </w:r>
      <w:r w:rsidR="00C6752B">
        <w:t xml:space="preserve">their product or service offering. One </w:t>
      </w:r>
      <w:r w:rsidR="00F43065">
        <w:t>business</w:t>
      </w:r>
      <w:r w:rsidR="00C6752B">
        <w:t xml:space="preserve"> supported by </w:t>
      </w:r>
      <w:r w:rsidR="00F43065">
        <w:t>ISIP’s social enterprise accelerator</w:t>
      </w:r>
      <w:r w:rsidR="00C6752B">
        <w:t xml:space="preserve"> has shut down.</w:t>
      </w:r>
    </w:p>
    <w:p w14:paraId="0DE27778" w14:textId="247F7E07" w:rsidR="00366F43" w:rsidRDefault="00C6752B" w:rsidP="003D46DA">
      <w:pPr>
        <w:pStyle w:val="BodyText"/>
      </w:pPr>
      <w:r>
        <w:t xml:space="preserve">Given </w:t>
      </w:r>
      <w:r w:rsidR="009301C5">
        <w:t xml:space="preserve">the COVID-19 </w:t>
      </w:r>
      <w:r w:rsidR="00655502">
        <w:t>pandemic</w:t>
      </w:r>
      <w:r>
        <w:t xml:space="preserve">, ISIP’s </w:t>
      </w:r>
      <w:r w:rsidR="009301C5">
        <w:t xml:space="preserve">suite of program </w:t>
      </w:r>
      <w:r>
        <w:t xml:space="preserve">support </w:t>
      </w:r>
      <w:r w:rsidR="00F43065">
        <w:t>has</w:t>
      </w:r>
      <w:r w:rsidR="009301C5">
        <w:t xml:space="preserve"> </w:t>
      </w:r>
      <w:r w:rsidR="00655502">
        <w:t xml:space="preserve">adapted </w:t>
      </w:r>
      <w:r>
        <w:t xml:space="preserve">to </w:t>
      </w:r>
      <w:r w:rsidR="009301C5">
        <w:t>provide urgent support to</w:t>
      </w:r>
      <w:r>
        <w:t xml:space="preserve"> MSMEs and HEI</w:t>
      </w:r>
      <w:r w:rsidR="009301C5">
        <w:t>s.</w:t>
      </w:r>
      <w:r w:rsidR="00CC1ECC">
        <w:t xml:space="preserve"> </w:t>
      </w:r>
      <w:r w:rsidR="009301C5">
        <w:t xml:space="preserve">This shift to supporting COVID-19 response and recovery initiatives is something that has been echoed across </w:t>
      </w:r>
      <w:proofErr w:type="gramStart"/>
      <w:r w:rsidR="009301C5">
        <w:t xml:space="preserve">all </w:t>
      </w:r>
      <w:r w:rsidR="00F43065">
        <w:t>of</w:t>
      </w:r>
      <w:proofErr w:type="gramEnd"/>
      <w:r w:rsidR="00F43065">
        <w:t xml:space="preserve"> the </w:t>
      </w:r>
      <w:r w:rsidR="009301C5">
        <w:t>Embassy</w:t>
      </w:r>
      <w:r w:rsidR="00F43065">
        <w:t>’s development programs</w:t>
      </w:r>
      <w:r w:rsidR="009301C5">
        <w:t>. The impacts of COVID-19 have been felt across all sectors – exacerbating many existing challenges</w:t>
      </w:r>
      <w:r w:rsidR="00AE09E5">
        <w:t xml:space="preserve">. Aside from moving activities online, ISIP launched an Innovative Response Grants Scheme to help MSME beneficiaries </w:t>
      </w:r>
      <w:r w:rsidR="00655502">
        <w:t xml:space="preserve">realign </w:t>
      </w:r>
      <w:r w:rsidR="00AE09E5">
        <w:t>their product or service offering to respond to the impacts of COVID-19.</w:t>
      </w:r>
      <w:r w:rsidR="00CC1ECC">
        <w:t xml:space="preserve"> </w:t>
      </w:r>
      <w:r w:rsidR="00F43065">
        <w:t xml:space="preserve">Noting this, </w:t>
      </w:r>
      <w:r w:rsidR="00CC1ECC">
        <w:t xml:space="preserve">DFAT supports incorporating findings from this evaluation into the ISIP work plan through to the end of the </w:t>
      </w:r>
      <w:r w:rsidR="00F43065">
        <w:t>project. DFAT encourages the program to ensure changes are responsive in the context of COVID-19</w:t>
      </w:r>
      <w:r w:rsidR="00CC1ECC">
        <w:t>.</w:t>
      </w:r>
    </w:p>
    <w:p w14:paraId="43F08694" w14:textId="26BE5646" w:rsidR="00243599" w:rsidRDefault="00CC1ECC" w:rsidP="00AE09E5">
      <w:pPr>
        <w:pStyle w:val="BodyText"/>
      </w:pPr>
      <w:r>
        <w:t>DFAT</w:t>
      </w:r>
      <w:r w:rsidR="00AE09E5">
        <w:t xml:space="preserve"> support</w:t>
      </w:r>
      <w:r>
        <w:t>s</w:t>
      </w:r>
      <w:r w:rsidR="00AE09E5">
        <w:t xml:space="preserve"> </w:t>
      </w:r>
      <w:r w:rsidR="00194D1F">
        <w:t xml:space="preserve">the conduct of a sector/ecosystem policy review which may support a future </w:t>
      </w:r>
      <w:r w:rsidR="00AE09E5">
        <w:t xml:space="preserve">design of a possible second phase of the project. Given the budget burn rate, the impact of the COVID-19 crisis and the time required to complete </w:t>
      </w:r>
      <w:r w:rsidR="00194D1F">
        <w:t>this</w:t>
      </w:r>
      <w:r w:rsidR="00AE09E5">
        <w:t xml:space="preserve"> activit</w:t>
      </w:r>
      <w:r w:rsidR="00194D1F">
        <w:t>y</w:t>
      </w:r>
      <w:r w:rsidR="00AE09E5">
        <w:t xml:space="preserve">, we </w:t>
      </w:r>
      <w:r w:rsidR="00EE3EDE">
        <w:t xml:space="preserve">support a six month, </w:t>
      </w:r>
      <w:r w:rsidR="00AE09E5">
        <w:t xml:space="preserve">no-cost </w:t>
      </w:r>
      <w:r w:rsidR="00EE3EDE">
        <w:t xml:space="preserve">extension to the ISIP Project </w:t>
      </w:r>
      <w:r w:rsidR="00AE09E5">
        <w:t>through to the end of June 2021</w:t>
      </w:r>
      <w:r w:rsidR="00683172">
        <w:t>, under the existing cost-sharing arrangement between UNDP and DFAT which has an end date of June 2023</w:t>
      </w:r>
      <w:r w:rsidR="00AE09E5">
        <w:t xml:space="preserve">. </w:t>
      </w:r>
      <w:r w:rsidR="00006926" w:rsidRPr="00006926">
        <w:t xml:space="preserve">DFAT’s agreement to use remaining project funds to fund the sectoral policy review must not be interpreted as an indication or commitment it will provide funding for the implementation of </w:t>
      </w:r>
      <w:r w:rsidR="006F5B3B">
        <w:t>p</w:t>
      </w:r>
      <w:r w:rsidR="00006926" w:rsidRPr="00006926">
        <w:t xml:space="preserve">hase </w:t>
      </w:r>
      <w:r w:rsidR="006F5B3B">
        <w:t>two</w:t>
      </w:r>
      <w:r w:rsidR="00AE09E5">
        <w:t xml:space="preserve">. We would encourage </w:t>
      </w:r>
      <w:r w:rsidR="00194D1F">
        <w:t>all future work</w:t>
      </w:r>
      <w:r w:rsidR="00AE09E5">
        <w:t xml:space="preserve"> to be responsive to </w:t>
      </w:r>
      <w:r w:rsidR="00194D1F">
        <w:t>private sector</w:t>
      </w:r>
      <w:r w:rsidR="00AE09E5">
        <w:t xml:space="preserve"> </w:t>
      </w:r>
      <w:r w:rsidR="00194D1F">
        <w:t xml:space="preserve">development </w:t>
      </w:r>
      <w:proofErr w:type="gramStart"/>
      <w:r w:rsidR="00AE09E5">
        <w:t>in light of</w:t>
      </w:r>
      <w:proofErr w:type="gramEnd"/>
      <w:r w:rsidR="00AE09E5">
        <w:t xml:space="preserve"> COVID-19</w:t>
      </w:r>
      <w:r w:rsidR="00781C35">
        <w:t xml:space="preserve"> and economic recovery in alignment with </w:t>
      </w:r>
      <w:r w:rsidR="00AE09E5">
        <w:t xml:space="preserve">Australia’s </w:t>
      </w:r>
      <w:r w:rsidR="00781C35">
        <w:t>two</w:t>
      </w:r>
      <w:r w:rsidR="00AE09E5">
        <w:t>-year, interim development assistance strategy, ‘Partnerships for Recovery’.</w:t>
      </w:r>
    </w:p>
    <w:p w14:paraId="776D263E" w14:textId="6F008D06" w:rsidR="00AE09E5" w:rsidRDefault="00CC1ECC" w:rsidP="00243599">
      <w:pPr>
        <w:pStyle w:val="BodyText"/>
      </w:pPr>
      <w:r>
        <w:t xml:space="preserve">DFAT conveyed our response to the evaluation report to members of the program steering committee. These views </w:t>
      </w:r>
      <w:r w:rsidR="00194D1F">
        <w:t>have been</w:t>
      </w:r>
      <w:r>
        <w:t xml:space="preserve"> supported by other members of the committee. We look forward to working closely with all parties to ensure the</w:t>
      </w:r>
      <w:r w:rsidR="00360B0A">
        <w:t xml:space="preserve"> forward work plan and</w:t>
      </w:r>
      <w:r>
        <w:t xml:space="preserve"> outcomes of the review are </w:t>
      </w:r>
      <w:r w:rsidR="00360B0A">
        <w:t>incorporated</w:t>
      </w:r>
      <w:r>
        <w:t xml:space="preserve"> carefully </w:t>
      </w:r>
      <w:proofErr w:type="gramStart"/>
      <w:r>
        <w:t>in light of</w:t>
      </w:r>
      <w:proofErr w:type="gramEnd"/>
      <w:r>
        <w:t xml:space="preserve"> </w:t>
      </w:r>
      <w:r w:rsidR="00EE3EDE">
        <w:t xml:space="preserve">ongoing </w:t>
      </w:r>
      <w:r>
        <w:t>COVID-19 impact</w:t>
      </w:r>
      <w:r w:rsidR="00EE3EDE">
        <w:t>s</w:t>
      </w:r>
      <w:r>
        <w:t>.</w:t>
      </w:r>
    </w:p>
    <w:p w14:paraId="551BDB6E" w14:textId="78344F63" w:rsidR="00AE09E5" w:rsidRDefault="00AE09E5" w:rsidP="00243599">
      <w:pPr>
        <w:pStyle w:val="BodyText"/>
      </w:pPr>
    </w:p>
    <w:p w14:paraId="09D68D11" w14:textId="77777777" w:rsidR="00AE09E5" w:rsidRDefault="00AE09E5" w:rsidP="00243599">
      <w:pPr>
        <w:pStyle w:val="BodyText"/>
        <w:sectPr w:rsidR="00AE09E5" w:rsidSect="00820CC0">
          <w:headerReference w:type="default" r:id="rId9"/>
          <w:footerReference w:type="default" r:id="rId10"/>
          <w:headerReference w:type="first" r:id="rId11"/>
          <w:footerReference w:type="first" r:id="rId12"/>
          <w:pgSz w:w="16840" w:h="11900" w:orient="landscape" w:code="9"/>
          <w:pgMar w:top="1219" w:right="1219" w:bottom="1219" w:left="1361" w:header="709" w:footer="539" w:gutter="0"/>
          <w:cols w:space="708"/>
          <w:docGrid w:linePitch="360"/>
        </w:sectPr>
      </w:pPr>
    </w:p>
    <w:tbl>
      <w:tblPr>
        <w:tblStyle w:val="OD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610"/>
        <w:gridCol w:w="5225"/>
        <w:gridCol w:w="4796"/>
        <w:gridCol w:w="3973"/>
      </w:tblGrid>
      <w:tr w:rsidR="003D46DA" w:rsidRPr="00273129" w14:paraId="5C8D6AA1" w14:textId="77777777" w:rsidTr="003D46DA">
        <w:trPr>
          <w:cnfStyle w:val="100000000000" w:firstRow="1" w:lastRow="0" w:firstColumn="0" w:lastColumn="0" w:oddVBand="0" w:evenVBand="0" w:oddHBand="0" w:evenHBand="0" w:firstRowFirstColumn="0" w:firstRowLastColumn="0" w:lastRowFirstColumn="0" w:lastRowLastColumn="0"/>
          <w:tblHeader/>
        </w:trPr>
        <w:tc>
          <w:tcPr>
            <w:tcW w:w="1088" w:type="pct"/>
            <w:shd w:val="clear" w:color="auto" w:fill="14434B" w:themeFill="accent6"/>
          </w:tcPr>
          <w:p w14:paraId="3C545C69" w14:textId="77777777" w:rsidR="009D30E5" w:rsidRPr="00273129" w:rsidRDefault="009D30E5" w:rsidP="00603F22">
            <w:pPr>
              <w:pStyle w:val="Heading3"/>
              <w:outlineLvl w:val="2"/>
              <w:rPr>
                <w:sz w:val="20"/>
                <w:szCs w:val="20"/>
              </w:rPr>
            </w:pPr>
            <w:r w:rsidRPr="00273129">
              <w:rPr>
                <w:sz w:val="20"/>
                <w:szCs w:val="20"/>
              </w:rPr>
              <w:lastRenderedPageBreak/>
              <w:t>Recommendation</w:t>
            </w:r>
          </w:p>
        </w:tc>
        <w:tc>
          <w:tcPr>
            <w:tcW w:w="615" w:type="pct"/>
            <w:shd w:val="clear" w:color="auto" w:fill="14434B" w:themeFill="accent6"/>
          </w:tcPr>
          <w:p w14:paraId="0B6A0A61" w14:textId="48887887" w:rsidR="009D30E5" w:rsidRPr="00273129" w:rsidRDefault="009D30E5" w:rsidP="00E27506">
            <w:pPr>
              <w:pStyle w:val="Heading3"/>
              <w:outlineLvl w:val="2"/>
              <w:rPr>
                <w:sz w:val="20"/>
                <w:szCs w:val="20"/>
              </w:rPr>
            </w:pPr>
            <w:r w:rsidRPr="00273129">
              <w:rPr>
                <w:sz w:val="20"/>
                <w:szCs w:val="20"/>
              </w:rPr>
              <w:t xml:space="preserve">Response </w:t>
            </w:r>
          </w:p>
        </w:tc>
        <w:tc>
          <w:tcPr>
            <w:tcW w:w="1231" w:type="pct"/>
            <w:shd w:val="clear" w:color="auto" w:fill="14434B" w:themeFill="accent6"/>
          </w:tcPr>
          <w:p w14:paraId="7E1CE3BB" w14:textId="77777777" w:rsidR="009D30E5" w:rsidRPr="00273129" w:rsidRDefault="009D30E5" w:rsidP="00603F22">
            <w:pPr>
              <w:pStyle w:val="Heading3"/>
              <w:outlineLvl w:val="2"/>
              <w:rPr>
                <w:sz w:val="20"/>
                <w:szCs w:val="20"/>
              </w:rPr>
            </w:pPr>
            <w:r w:rsidRPr="00273129">
              <w:rPr>
                <w:sz w:val="20"/>
                <w:szCs w:val="20"/>
              </w:rPr>
              <w:t xml:space="preserve">Explanation </w:t>
            </w:r>
          </w:p>
        </w:tc>
        <w:tc>
          <w:tcPr>
            <w:tcW w:w="1130" w:type="pct"/>
            <w:shd w:val="clear" w:color="auto" w:fill="14434B" w:themeFill="accent6"/>
          </w:tcPr>
          <w:p w14:paraId="35597B7D" w14:textId="77777777" w:rsidR="009D30E5" w:rsidRPr="00273129" w:rsidRDefault="009D30E5" w:rsidP="00603F22">
            <w:pPr>
              <w:pStyle w:val="Heading3"/>
              <w:outlineLvl w:val="2"/>
              <w:rPr>
                <w:sz w:val="20"/>
                <w:szCs w:val="20"/>
              </w:rPr>
            </w:pPr>
            <w:r w:rsidRPr="00273129">
              <w:rPr>
                <w:sz w:val="20"/>
                <w:szCs w:val="20"/>
              </w:rPr>
              <w:t xml:space="preserve">Action plan </w:t>
            </w:r>
          </w:p>
        </w:tc>
        <w:tc>
          <w:tcPr>
            <w:tcW w:w="936" w:type="pct"/>
            <w:shd w:val="clear" w:color="auto" w:fill="14434B" w:themeFill="accent6"/>
          </w:tcPr>
          <w:p w14:paraId="44E33C4F" w14:textId="77777777" w:rsidR="009D30E5" w:rsidRPr="00273129" w:rsidRDefault="009D30E5" w:rsidP="00603F22">
            <w:pPr>
              <w:pStyle w:val="Heading3"/>
              <w:outlineLvl w:val="2"/>
              <w:rPr>
                <w:sz w:val="20"/>
                <w:szCs w:val="20"/>
              </w:rPr>
            </w:pPr>
            <w:r w:rsidRPr="00273129">
              <w:rPr>
                <w:sz w:val="20"/>
                <w:szCs w:val="20"/>
              </w:rPr>
              <w:t>If practical, please specify timeframe here</w:t>
            </w:r>
          </w:p>
        </w:tc>
      </w:tr>
      <w:tr w:rsidR="009D30E5" w:rsidRPr="00273129" w14:paraId="0D28AEDD" w14:textId="77777777" w:rsidTr="00D828F7">
        <w:trPr>
          <w:trHeight w:val="9615"/>
        </w:trPr>
        <w:tc>
          <w:tcPr>
            <w:tcW w:w="1088" w:type="pct"/>
            <w:shd w:val="clear" w:color="auto" w:fill="D3E6E9" w:themeFill="accent2" w:themeFillTint="66"/>
          </w:tcPr>
          <w:p w14:paraId="38408AB7" w14:textId="42CF0F37" w:rsidR="009D30E5" w:rsidRPr="00273129" w:rsidRDefault="009D30E5" w:rsidP="00603F22">
            <w:pPr>
              <w:pStyle w:val="Heading3"/>
              <w:rPr>
                <w:sz w:val="20"/>
                <w:szCs w:val="20"/>
              </w:rPr>
            </w:pPr>
            <w:r w:rsidRPr="00273129">
              <w:rPr>
                <w:sz w:val="20"/>
                <w:szCs w:val="20"/>
              </w:rPr>
              <w:t xml:space="preserve">Recommendation </w:t>
            </w:r>
            <w:r w:rsidR="00B03373">
              <w:rPr>
                <w:sz w:val="20"/>
                <w:szCs w:val="20"/>
              </w:rPr>
              <w:t>1</w:t>
            </w:r>
          </w:p>
          <w:p w14:paraId="779B95A9" w14:textId="77777777" w:rsidR="00006926" w:rsidRPr="00006926" w:rsidRDefault="009D30E5" w:rsidP="00006926">
            <w:pPr>
              <w:pStyle w:val="BodyText"/>
              <w:rPr>
                <w:sz w:val="20"/>
                <w:szCs w:val="20"/>
              </w:rPr>
            </w:pPr>
            <w:r w:rsidRPr="00273129">
              <w:rPr>
                <w:b/>
                <w:sz w:val="20"/>
                <w:szCs w:val="20"/>
              </w:rPr>
              <w:t>General:</w:t>
            </w:r>
            <w:r w:rsidRPr="00273129">
              <w:rPr>
                <w:sz w:val="20"/>
                <w:szCs w:val="20"/>
              </w:rPr>
              <w:t xml:space="preserve"> </w:t>
            </w:r>
            <w:r w:rsidR="00006926" w:rsidRPr="00006926">
              <w:rPr>
                <w:sz w:val="20"/>
                <w:szCs w:val="20"/>
              </w:rPr>
              <w:t xml:space="preserve">Substantial savings are expected given the low level of expenditure over the past two years. The COVID-19 pandemic and the uncertainty of lockdowns are also expected to negatively impact on project operations. On the other hand, there are developments in the venture impact acceleration that may further enhance the gains from the project. In view of these, the general recommendation is to pursue the planned activities of the three components up to December 2020 with specific recommendations for each of the components. </w:t>
            </w:r>
          </w:p>
          <w:p w14:paraId="3309702C" w14:textId="26C97160" w:rsidR="009D30E5" w:rsidRPr="00273129" w:rsidRDefault="009D30E5" w:rsidP="00725B19">
            <w:pPr>
              <w:pStyle w:val="BodyText"/>
              <w:rPr>
                <w:sz w:val="20"/>
                <w:szCs w:val="20"/>
              </w:rPr>
            </w:pPr>
          </w:p>
        </w:tc>
        <w:tc>
          <w:tcPr>
            <w:tcW w:w="615" w:type="pct"/>
            <w:shd w:val="clear" w:color="auto" w:fill="FFC000"/>
          </w:tcPr>
          <w:p w14:paraId="0C212220" w14:textId="43EC6DF1" w:rsidR="009D30E5" w:rsidRPr="00273129" w:rsidRDefault="009D30E5" w:rsidP="00603F22">
            <w:pPr>
              <w:pStyle w:val="Heading3"/>
              <w:rPr>
                <w:sz w:val="20"/>
                <w:szCs w:val="20"/>
              </w:rPr>
            </w:pPr>
            <w:r w:rsidRPr="00273129">
              <w:rPr>
                <w:sz w:val="20"/>
                <w:szCs w:val="20"/>
              </w:rPr>
              <w:t>Agree in part</w:t>
            </w:r>
          </w:p>
        </w:tc>
        <w:tc>
          <w:tcPr>
            <w:tcW w:w="1231" w:type="pct"/>
            <w:shd w:val="clear" w:color="auto" w:fill="D3E6E9" w:themeFill="accent2" w:themeFillTint="66"/>
          </w:tcPr>
          <w:p w14:paraId="2D5E2CCD" w14:textId="23626F75" w:rsidR="00006926" w:rsidRPr="00211064" w:rsidRDefault="00006926" w:rsidP="004E28AF">
            <w:pPr>
              <w:pStyle w:val="BodyText"/>
              <w:rPr>
                <w:sz w:val="20"/>
                <w:szCs w:val="20"/>
              </w:rPr>
            </w:pPr>
            <w:r w:rsidRPr="00211064">
              <w:rPr>
                <w:sz w:val="20"/>
                <w:szCs w:val="20"/>
              </w:rPr>
              <w:t>DFAT supports the recommendation to continue planned activities under the project components, noting the other recommendations.</w:t>
            </w:r>
          </w:p>
          <w:p w14:paraId="1AF781AE" w14:textId="65E07B71" w:rsidR="009D30E5" w:rsidRPr="00211064" w:rsidRDefault="00006926" w:rsidP="004E28AF">
            <w:pPr>
              <w:pStyle w:val="BodyText"/>
              <w:rPr>
                <w:sz w:val="20"/>
                <w:szCs w:val="20"/>
              </w:rPr>
            </w:pPr>
            <w:r w:rsidRPr="00211064">
              <w:rPr>
                <w:sz w:val="20"/>
                <w:szCs w:val="20"/>
              </w:rPr>
              <w:t>However, g</w:t>
            </w:r>
            <w:r w:rsidR="00E27506" w:rsidRPr="00211064">
              <w:rPr>
                <w:sz w:val="20"/>
                <w:szCs w:val="20"/>
              </w:rPr>
              <w:t>iven the budget burn rate</w:t>
            </w:r>
            <w:r w:rsidR="008A0E5A" w:rsidRPr="00211064">
              <w:rPr>
                <w:sz w:val="20"/>
                <w:szCs w:val="20"/>
              </w:rPr>
              <w:t xml:space="preserve">, the impact of </w:t>
            </w:r>
            <w:r w:rsidR="007353B1" w:rsidRPr="00211064">
              <w:rPr>
                <w:sz w:val="20"/>
                <w:szCs w:val="20"/>
              </w:rPr>
              <w:t xml:space="preserve">the </w:t>
            </w:r>
            <w:r w:rsidR="008A0E5A" w:rsidRPr="00211064">
              <w:rPr>
                <w:sz w:val="20"/>
                <w:szCs w:val="20"/>
              </w:rPr>
              <w:t>COVID-19</w:t>
            </w:r>
            <w:r w:rsidR="007353B1" w:rsidRPr="00211064">
              <w:rPr>
                <w:sz w:val="20"/>
                <w:szCs w:val="20"/>
              </w:rPr>
              <w:t xml:space="preserve"> pandemic</w:t>
            </w:r>
            <w:r w:rsidR="008A0E5A" w:rsidRPr="00211064">
              <w:rPr>
                <w:sz w:val="20"/>
                <w:szCs w:val="20"/>
              </w:rPr>
              <w:t xml:space="preserve"> and the time required to complete </w:t>
            </w:r>
            <w:r w:rsidRPr="00211064">
              <w:rPr>
                <w:sz w:val="20"/>
                <w:szCs w:val="20"/>
              </w:rPr>
              <w:t>the conduct of sector/ecosystem policy review</w:t>
            </w:r>
            <w:r w:rsidR="008A0E5A" w:rsidRPr="00211064">
              <w:rPr>
                <w:sz w:val="20"/>
                <w:szCs w:val="20"/>
              </w:rPr>
              <w:t>,</w:t>
            </w:r>
            <w:r w:rsidR="00E27506" w:rsidRPr="00211064">
              <w:rPr>
                <w:sz w:val="20"/>
                <w:szCs w:val="20"/>
              </w:rPr>
              <w:t xml:space="preserve"> we </w:t>
            </w:r>
            <w:r w:rsidR="00655502" w:rsidRPr="00211064">
              <w:rPr>
                <w:sz w:val="20"/>
                <w:szCs w:val="20"/>
              </w:rPr>
              <w:t xml:space="preserve">support a six month, no-cost extension to </w:t>
            </w:r>
            <w:r w:rsidR="00E27506" w:rsidRPr="00211064">
              <w:rPr>
                <w:sz w:val="20"/>
                <w:szCs w:val="20"/>
              </w:rPr>
              <w:t xml:space="preserve">the </w:t>
            </w:r>
            <w:r w:rsidR="007353B1" w:rsidRPr="00211064">
              <w:rPr>
                <w:sz w:val="20"/>
                <w:szCs w:val="20"/>
              </w:rPr>
              <w:t>P</w:t>
            </w:r>
            <w:r w:rsidR="004E28AF" w:rsidRPr="00211064">
              <w:rPr>
                <w:sz w:val="20"/>
                <w:szCs w:val="20"/>
              </w:rPr>
              <w:t xml:space="preserve">roject </w:t>
            </w:r>
            <w:r w:rsidR="00E27506" w:rsidRPr="00211064">
              <w:rPr>
                <w:sz w:val="20"/>
                <w:szCs w:val="20"/>
              </w:rPr>
              <w:t>through to</w:t>
            </w:r>
            <w:r w:rsidR="008A0E5A" w:rsidRPr="00211064">
              <w:rPr>
                <w:sz w:val="20"/>
                <w:szCs w:val="20"/>
              </w:rPr>
              <w:t xml:space="preserve"> the end of</w:t>
            </w:r>
            <w:r w:rsidR="00E27506" w:rsidRPr="00211064">
              <w:rPr>
                <w:sz w:val="20"/>
                <w:szCs w:val="20"/>
              </w:rPr>
              <w:t xml:space="preserve"> June 202</w:t>
            </w:r>
            <w:r w:rsidR="004E28AF" w:rsidRPr="00211064">
              <w:rPr>
                <w:sz w:val="20"/>
                <w:szCs w:val="20"/>
              </w:rPr>
              <w:t>1</w:t>
            </w:r>
            <w:r w:rsidR="00E27506" w:rsidRPr="00211064">
              <w:rPr>
                <w:sz w:val="20"/>
                <w:szCs w:val="20"/>
              </w:rPr>
              <w:t xml:space="preserve">. </w:t>
            </w:r>
            <w:r w:rsidR="00781C35" w:rsidRPr="00211064">
              <w:rPr>
                <w:sz w:val="20"/>
                <w:szCs w:val="20"/>
              </w:rPr>
              <w:t>A</w:t>
            </w:r>
            <w:r w:rsidR="00E27506" w:rsidRPr="00211064">
              <w:rPr>
                <w:sz w:val="20"/>
                <w:szCs w:val="20"/>
              </w:rPr>
              <w:t xml:space="preserve">ll activities </w:t>
            </w:r>
            <w:r w:rsidR="00781C35" w:rsidRPr="00211064">
              <w:rPr>
                <w:sz w:val="20"/>
                <w:szCs w:val="20"/>
              </w:rPr>
              <w:t xml:space="preserve">must </w:t>
            </w:r>
            <w:r w:rsidR="00E27506" w:rsidRPr="00211064">
              <w:rPr>
                <w:sz w:val="20"/>
                <w:szCs w:val="20"/>
              </w:rPr>
              <w:t xml:space="preserve">ensure that value for money is achieved and the project </w:t>
            </w:r>
            <w:r w:rsidR="00781C35" w:rsidRPr="00211064">
              <w:rPr>
                <w:sz w:val="20"/>
                <w:szCs w:val="20"/>
              </w:rPr>
              <w:t>is</w:t>
            </w:r>
            <w:r w:rsidR="00E27506" w:rsidRPr="00211064">
              <w:rPr>
                <w:sz w:val="20"/>
                <w:szCs w:val="20"/>
              </w:rPr>
              <w:t xml:space="preserve"> responsive to </w:t>
            </w:r>
            <w:r w:rsidR="00781C35" w:rsidRPr="00211064">
              <w:rPr>
                <w:sz w:val="20"/>
                <w:szCs w:val="20"/>
              </w:rPr>
              <w:t xml:space="preserve">the </w:t>
            </w:r>
            <w:r w:rsidR="00E27506" w:rsidRPr="00211064">
              <w:rPr>
                <w:sz w:val="20"/>
                <w:szCs w:val="20"/>
              </w:rPr>
              <w:t>COVID-19 situation.</w:t>
            </w:r>
          </w:p>
          <w:p w14:paraId="66578A1A" w14:textId="7A41A7D6" w:rsidR="009424B5" w:rsidRPr="00273129" w:rsidRDefault="00725B19" w:rsidP="00781C35">
            <w:pPr>
              <w:pStyle w:val="BodyText"/>
              <w:rPr>
                <w:sz w:val="20"/>
                <w:szCs w:val="20"/>
              </w:rPr>
            </w:pPr>
            <w:r w:rsidRPr="00211064">
              <w:rPr>
                <w:sz w:val="20"/>
                <w:szCs w:val="20"/>
              </w:rPr>
              <w:t>The Australian Government Department of Foreign Affairs and Trade</w:t>
            </w:r>
            <w:r w:rsidR="006F5B3B" w:rsidRPr="00211064">
              <w:rPr>
                <w:sz w:val="20"/>
                <w:szCs w:val="20"/>
              </w:rPr>
              <w:t>’s</w:t>
            </w:r>
            <w:r w:rsidRPr="00211064">
              <w:rPr>
                <w:sz w:val="20"/>
                <w:szCs w:val="20"/>
              </w:rPr>
              <w:t xml:space="preserve"> (DFAT</w:t>
            </w:r>
            <w:r w:rsidR="006F5B3B" w:rsidRPr="00211064">
              <w:rPr>
                <w:sz w:val="20"/>
                <w:szCs w:val="20"/>
              </w:rPr>
              <w:t>’s</w:t>
            </w:r>
            <w:r w:rsidRPr="00211064">
              <w:rPr>
                <w:sz w:val="20"/>
                <w:szCs w:val="20"/>
              </w:rPr>
              <w:t>)</w:t>
            </w:r>
            <w:r w:rsidR="006F5B3B" w:rsidRPr="00211064">
              <w:rPr>
                <w:sz w:val="20"/>
                <w:szCs w:val="20"/>
              </w:rPr>
              <w:t xml:space="preserve"> agreement to use remaining project funds to fund the sectoral policy review must not be interpreted as an indication or commitment it will provide funding for the implementation of phase two</w:t>
            </w:r>
            <w:r w:rsidR="00781C35" w:rsidRPr="00211064">
              <w:rPr>
                <w:sz w:val="20"/>
                <w:szCs w:val="20"/>
              </w:rPr>
              <w:t>.</w:t>
            </w:r>
          </w:p>
        </w:tc>
        <w:tc>
          <w:tcPr>
            <w:tcW w:w="1130" w:type="pct"/>
            <w:shd w:val="clear" w:color="auto" w:fill="D3E6E9" w:themeFill="accent2" w:themeFillTint="66"/>
          </w:tcPr>
          <w:p w14:paraId="11DE274A" w14:textId="3511BAB5" w:rsidR="009D30E5" w:rsidRDefault="008A0E5A" w:rsidP="00725B19">
            <w:pPr>
              <w:pStyle w:val="BodyText"/>
              <w:rPr>
                <w:sz w:val="20"/>
                <w:szCs w:val="20"/>
              </w:rPr>
            </w:pPr>
            <w:r w:rsidRPr="00273129">
              <w:rPr>
                <w:sz w:val="20"/>
                <w:szCs w:val="20"/>
              </w:rPr>
              <w:t>T</w:t>
            </w:r>
            <w:r w:rsidR="007353B1">
              <w:rPr>
                <w:sz w:val="20"/>
                <w:szCs w:val="20"/>
              </w:rPr>
              <w:t>he P</w:t>
            </w:r>
            <w:r w:rsidRPr="00273129">
              <w:rPr>
                <w:sz w:val="20"/>
                <w:szCs w:val="20"/>
              </w:rPr>
              <w:t xml:space="preserve">roject should be extended to 30 June 2021 </w:t>
            </w:r>
            <w:r w:rsidR="00683172">
              <w:rPr>
                <w:sz w:val="20"/>
                <w:szCs w:val="20"/>
              </w:rPr>
              <w:t xml:space="preserve">at no cost </w:t>
            </w:r>
            <w:r w:rsidR="00076871">
              <w:rPr>
                <w:sz w:val="20"/>
                <w:szCs w:val="20"/>
              </w:rPr>
              <w:t xml:space="preserve">(note that </w:t>
            </w:r>
            <w:r w:rsidR="00683172">
              <w:rPr>
                <w:sz w:val="20"/>
                <w:szCs w:val="20"/>
              </w:rPr>
              <w:t xml:space="preserve">the existing cost-sharing arrangement between DFAT and UNDP with an end date of June 2023 </w:t>
            </w:r>
            <w:r w:rsidR="00076871">
              <w:rPr>
                <w:sz w:val="20"/>
                <w:szCs w:val="20"/>
              </w:rPr>
              <w:t>support</w:t>
            </w:r>
            <w:r w:rsidR="00683172">
              <w:rPr>
                <w:sz w:val="20"/>
                <w:szCs w:val="20"/>
              </w:rPr>
              <w:t>s</w:t>
            </w:r>
            <w:r w:rsidR="00076871">
              <w:rPr>
                <w:sz w:val="20"/>
                <w:szCs w:val="20"/>
              </w:rPr>
              <w:t xml:space="preserve"> this)</w:t>
            </w:r>
            <w:r w:rsidRPr="00273129">
              <w:rPr>
                <w:sz w:val="20"/>
                <w:szCs w:val="20"/>
              </w:rPr>
              <w:t xml:space="preserve">. </w:t>
            </w:r>
            <w:r w:rsidR="00117C26">
              <w:rPr>
                <w:sz w:val="20"/>
                <w:szCs w:val="20"/>
              </w:rPr>
              <w:t>The Philippine Development Foundation (</w:t>
            </w:r>
            <w:r w:rsidRPr="00273129">
              <w:rPr>
                <w:sz w:val="20"/>
                <w:szCs w:val="20"/>
              </w:rPr>
              <w:t>PhilDev</w:t>
            </w:r>
            <w:r w:rsidR="00117C26">
              <w:rPr>
                <w:sz w:val="20"/>
                <w:szCs w:val="20"/>
              </w:rPr>
              <w:t>)</w:t>
            </w:r>
            <w:r w:rsidRPr="00273129">
              <w:rPr>
                <w:sz w:val="20"/>
                <w:szCs w:val="20"/>
              </w:rPr>
              <w:t xml:space="preserve"> should propose a work</w:t>
            </w:r>
            <w:r w:rsidR="007353B1">
              <w:rPr>
                <w:sz w:val="20"/>
                <w:szCs w:val="20"/>
              </w:rPr>
              <w:t xml:space="preserve"> plan for consideration by the Steering C</w:t>
            </w:r>
            <w:r w:rsidRPr="00273129">
              <w:rPr>
                <w:sz w:val="20"/>
                <w:szCs w:val="20"/>
              </w:rPr>
              <w:t xml:space="preserve">ommittee. UNDP should </w:t>
            </w:r>
            <w:r w:rsidR="00006926">
              <w:rPr>
                <w:sz w:val="20"/>
                <w:szCs w:val="20"/>
              </w:rPr>
              <w:t>procure a consultant to</w:t>
            </w:r>
            <w:r w:rsidRPr="00273129">
              <w:rPr>
                <w:sz w:val="20"/>
                <w:szCs w:val="20"/>
              </w:rPr>
              <w:t xml:space="preserve"> conduct </w:t>
            </w:r>
            <w:r w:rsidR="00006926">
              <w:rPr>
                <w:sz w:val="20"/>
                <w:szCs w:val="20"/>
              </w:rPr>
              <w:t>the</w:t>
            </w:r>
            <w:r w:rsidRPr="00273129">
              <w:rPr>
                <w:sz w:val="20"/>
                <w:szCs w:val="20"/>
              </w:rPr>
              <w:t xml:space="preserve"> sector/ecosystem policy review.</w:t>
            </w:r>
            <w:r w:rsidR="00D540A4" w:rsidRPr="00273129">
              <w:rPr>
                <w:sz w:val="20"/>
                <w:szCs w:val="20"/>
              </w:rPr>
              <w:t xml:space="preserve"> We would encourage </w:t>
            </w:r>
            <w:r w:rsidR="00006926">
              <w:rPr>
                <w:sz w:val="20"/>
                <w:szCs w:val="20"/>
              </w:rPr>
              <w:t>ongoing work under the components to be</w:t>
            </w:r>
            <w:r w:rsidR="00D540A4" w:rsidRPr="00273129">
              <w:rPr>
                <w:sz w:val="20"/>
                <w:szCs w:val="20"/>
              </w:rPr>
              <w:t xml:space="preserve"> highly responsive to supporting the private sec</w:t>
            </w:r>
            <w:r w:rsidR="007353B1">
              <w:rPr>
                <w:sz w:val="20"/>
                <w:szCs w:val="20"/>
              </w:rPr>
              <w:t>tor respond to and recover from</w:t>
            </w:r>
            <w:r w:rsidR="009F662E">
              <w:rPr>
                <w:sz w:val="20"/>
                <w:szCs w:val="20"/>
              </w:rPr>
              <w:t xml:space="preserve"> COVID-19. DFAT’s </w:t>
            </w:r>
            <w:r w:rsidR="009F662E" w:rsidRPr="009F662E">
              <w:rPr>
                <w:sz w:val="20"/>
                <w:szCs w:val="20"/>
              </w:rPr>
              <w:t xml:space="preserve">agreement to </w:t>
            </w:r>
            <w:r w:rsidR="009F662E">
              <w:rPr>
                <w:sz w:val="20"/>
                <w:szCs w:val="20"/>
              </w:rPr>
              <w:t>use remaining project funds to fund the</w:t>
            </w:r>
            <w:r w:rsidR="009F662E" w:rsidRPr="009F662E">
              <w:rPr>
                <w:sz w:val="20"/>
                <w:szCs w:val="20"/>
              </w:rPr>
              <w:t xml:space="preserve"> </w:t>
            </w:r>
            <w:r w:rsidR="009F662E">
              <w:rPr>
                <w:sz w:val="20"/>
                <w:szCs w:val="20"/>
              </w:rPr>
              <w:t>sectoral policy review</w:t>
            </w:r>
            <w:r w:rsidR="009F662E" w:rsidRPr="009F662E">
              <w:rPr>
                <w:sz w:val="20"/>
                <w:szCs w:val="20"/>
              </w:rPr>
              <w:t xml:space="preserve"> must not be interpreted as an indication or commitment it will provide funding for the implementation of Phase 2.</w:t>
            </w:r>
          </w:p>
          <w:p w14:paraId="4759FD9B" w14:textId="631C2D14" w:rsidR="00D828F7" w:rsidRPr="00273129" w:rsidRDefault="00D828F7" w:rsidP="00725B19">
            <w:pPr>
              <w:pStyle w:val="BodyText"/>
              <w:rPr>
                <w:sz w:val="20"/>
                <w:szCs w:val="20"/>
              </w:rPr>
            </w:pPr>
          </w:p>
        </w:tc>
        <w:tc>
          <w:tcPr>
            <w:tcW w:w="936" w:type="pct"/>
            <w:shd w:val="clear" w:color="auto" w:fill="D3E6E9" w:themeFill="accent2" w:themeFillTint="66"/>
          </w:tcPr>
          <w:p w14:paraId="62630E4E" w14:textId="3FBB9A6C" w:rsidR="009D30E5" w:rsidRPr="00273129" w:rsidRDefault="00E27506" w:rsidP="00603F22">
            <w:pPr>
              <w:pStyle w:val="BodyText"/>
              <w:rPr>
                <w:sz w:val="20"/>
                <w:szCs w:val="20"/>
              </w:rPr>
            </w:pPr>
            <w:r w:rsidRPr="00273129">
              <w:rPr>
                <w:sz w:val="20"/>
                <w:szCs w:val="20"/>
              </w:rPr>
              <w:t xml:space="preserve">To </w:t>
            </w:r>
            <w:r w:rsidR="008A0E5A" w:rsidRPr="00273129">
              <w:rPr>
                <w:sz w:val="20"/>
                <w:szCs w:val="20"/>
              </w:rPr>
              <w:t>June 2021</w:t>
            </w:r>
            <w:r w:rsidR="00255A9C">
              <w:rPr>
                <w:sz w:val="20"/>
                <w:szCs w:val="20"/>
              </w:rPr>
              <w:t>.</w:t>
            </w:r>
          </w:p>
        </w:tc>
      </w:tr>
      <w:tr w:rsidR="00E27506" w:rsidRPr="00273129" w14:paraId="06608A78" w14:textId="77777777" w:rsidTr="003D46DA">
        <w:trPr>
          <w:trHeight w:val="5774"/>
        </w:trPr>
        <w:tc>
          <w:tcPr>
            <w:tcW w:w="1088" w:type="pct"/>
            <w:shd w:val="clear" w:color="auto" w:fill="D3E6E9" w:themeFill="accent2" w:themeFillTint="66"/>
          </w:tcPr>
          <w:p w14:paraId="678264D1" w14:textId="175866CA" w:rsidR="00E27506" w:rsidRPr="00273129" w:rsidRDefault="00E27506" w:rsidP="000B2BA2">
            <w:pPr>
              <w:pStyle w:val="Heading3"/>
              <w:rPr>
                <w:sz w:val="20"/>
                <w:szCs w:val="20"/>
              </w:rPr>
            </w:pPr>
            <w:r w:rsidRPr="00273129">
              <w:rPr>
                <w:sz w:val="20"/>
                <w:szCs w:val="20"/>
              </w:rPr>
              <w:lastRenderedPageBreak/>
              <w:t xml:space="preserve">Recommendation </w:t>
            </w:r>
            <w:r w:rsidR="00B03373">
              <w:rPr>
                <w:sz w:val="20"/>
                <w:szCs w:val="20"/>
              </w:rPr>
              <w:t>2</w:t>
            </w:r>
          </w:p>
          <w:p w14:paraId="4DD9BC41" w14:textId="4A5DF982" w:rsidR="00E27506" w:rsidRPr="00273129" w:rsidRDefault="00E27506" w:rsidP="009D0240">
            <w:pPr>
              <w:pStyle w:val="BodyText"/>
              <w:rPr>
                <w:sz w:val="20"/>
                <w:szCs w:val="20"/>
              </w:rPr>
            </w:pPr>
            <w:r w:rsidRPr="00273129">
              <w:rPr>
                <w:b/>
                <w:sz w:val="20"/>
                <w:szCs w:val="20"/>
              </w:rPr>
              <w:t>Entrepreneurship Component:</w:t>
            </w:r>
            <w:r w:rsidRPr="00273129">
              <w:rPr>
                <w:sz w:val="20"/>
                <w:szCs w:val="20"/>
              </w:rPr>
              <w:t xml:space="preserve"> As noted in the findings, the current 15 </w:t>
            </w:r>
            <w:r w:rsidR="009D490E">
              <w:rPr>
                <w:sz w:val="20"/>
                <w:szCs w:val="20"/>
              </w:rPr>
              <w:t>social enterprises (SEs)</w:t>
            </w:r>
            <w:r w:rsidRPr="00273129">
              <w:rPr>
                <w:sz w:val="20"/>
                <w:szCs w:val="20"/>
              </w:rPr>
              <w:t xml:space="preserve"> still have numerous needs which need to be addressed. The Steering Committee should consider not adding to the 15 SEs and instead focus on addressing their needs in terms of financing access, business systems and others as cited in the </w:t>
            </w:r>
            <w:r w:rsidR="00725B19">
              <w:rPr>
                <w:sz w:val="20"/>
                <w:szCs w:val="20"/>
              </w:rPr>
              <w:t>Annual Progress Report (</w:t>
            </w:r>
            <w:r w:rsidRPr="00273129">
              <w:rPr>
                <w:sz w:val="20"/>
                <w:szCs w:val="20"/>
              </w:rPr>
              <w:t>APR</w:t>
            </w:r>
            <w:r w:rsidR="00725B19">
              <w:rPr>
                <w:sz w:val="20"/>
                <w:szCs w:val="20"/>
              </w:rPr>
              <w:t>)</w:t>
            </w:r>
            <w:r w:rsidRPr="00273129">
              <w:rPr>
                <w:sz w:val="20"/>
                <w:szCs w:val="20"/>
              </w:rPr>
              <w:t xml:space="preserve">. The Social Impact Acceleration process takes six </w:t>
            </w:r>
            <w:proofErr w:type="gramStart"/>
            <w:r w:rsidRPr="00273129">
              <w:rPr>
                <w:sz w:val="20"/>
                <w:szCs w:val="20"/>
              </w:rPr>
              <w:t>months</w:t>
            </w:r>
            <w:proofErr w:type="gramEnd"/>
            <w:r w:rsidRPr="00273129">
              <w:rPr>
                <w:sz w:val="20"/>
                <w:szCs w:val="20"/>
              </w:rPr>
              <w:t xml:space="preserve"> and more time is needed for nurturing them after the process. This may just add to the frustration of new SEs as even the needs of the current 15 SEs have not been fully addressed.</w:t>
            </w:r>
          </w:p>
          <w:p w14:paraId="6F023BE2" w14:textId="575FA5BE" w:rsidR="00E27506" w:rsidRPr="00273129" w:rsidRDefault="00E27506" w:rsidP="009D0240">
            <w:pPr>
              <w:pStyle w:val="BodyText"/>
              <w:rPr>
                <w:sz w:val="20"/>
                <w:szCs w:val="20"/>
              </w:rPr>
            </w:pPr>
            <w:proofErr w:type="gramStart"/>
            <w:r w:rsidRPr="00273129">
              <w:rPr>
                <w:sz w:val="20"/>
                <w:szCs w:val="20"/>
              </w:rPr>
              <w:t>Wi</w:t>
            </w:r>
            <w:r w:rsidR="00117C26">
              <w:rPr>
                <w:sz w:val="20"/>
                <w:szCs w:val="20"/>
              </w:rPr>
              <w:t>th regard to</w:t>
            </w:r>
            <w:proofErr w:type="gramEnd"/>
            <w:r w:rsidR="00117C26">
              <w:rPr>
                <w:sz w:val="20"/>
                <w:szCs w:val="20"/>
              </w:rPr>
              <w:t xml:space="preserve"> SE financing, the P</w:t>
            </w:r>
            <w:r w:rsidRPr="00273129">
              <w:rPr>
                <w:sz w:val="20"/>
                <w:szCs w:val="20"/>
              </w:rPr>
              <w:t xml:space="preserve">roject should explore existing loan and grant programs of </w:t>
            </w:r>
            <w:r w:rsidR="00117C26">
              <w:rPr>
                <w:sz w:val="20"/>
                <w:szCs w:val="20"/>
              </w:rPr>
              <w:t>the Philippine Departments of Agriculture (DA), Agrarian Reform (DAR) and Environment and Natural Resources (DENR)</w:t>
            </w:r>
            <w:r w:rsidRPr="00273129">
              <w:rPr>
                <w:sz w:val="20"/>
                <w:szCs w:val="20"/>
              </w:rPr>
              <w:t xml:space="preserve"> and link SEs to these facilities. It would also help to conduct an inventory of loan windows (and their specific requirements) of </w:t>
            </w:r>
            <w:r w:rsidR="00117C26">
              <w:rPr>
                <w:sz w:val="20"/>
                <w:szCs w:val="20"/>
              </w:rPr>
              <w:t xml:space="preserve">the </w:t>
            </w:r>
            <w:r w:rsidRPr="00273129">
              <w:rPr>
                <w:sz w:val="20"/>
                <w:szCs w:val="20"/>
              </w:rPr>
              <w:t>L</w:t>
            </w:r>
            <w:r w:rsidR="00117C26">
              <w:rPr>
                <w:sz w:val="20"/>
                <w:szCs w:val="20"/>
              </w:rPr>
              <w:t xml:space="preserve">and </w:t>
            </w:r>
            <w:r w:rsidRPr="00273129">
              <w:rPr>
                <w:sz w:val="20"/>
                <w:szCs w:val="20"/>
              </w:rPr>
              <w:t>B</w:t>
            </w:r>
            <w:r w:rsidR="00117C26">
              <w:rPr>
                <w:sz w:val="20"/>
                <w:szCs w:val="20"/>
              </w:rPr>
              <w:t xml:space="preserve">ank of the </w:t>
            </w:r>
            <w:r w:rsidRPr="00273129">
              <w:rPr>
                <w:sz w:val="20"/>
                <w:szCs w:val="20"/>
              </w:rPr>
              <w:t>P</w:t>
            </w:r>
            <w:r w:rsidR="00117C26">
              <w:rPr>
                <w:sz w:val="20"/>
                <w:szCs w:val="20"/>
              </w:rPr>
              <w:t>hilippines (LBP)</w:t>
            </w:r>
            <w:r w:rsidRPr="00273129">
              <w:rPr>
                <w:sz w:val="20"/>
                <w:szCs w:val="20"/>
              </w:rPr>
              <w:t xml:space="preserve">, </w:t>
            </w:r>
            <w:r w:rsidR="00117C26">
              <w:rPr>
                <w:sz w:val="20"/>
                <w:szCs w:val="20"/>
              </w:rPr>
              <w:t>Development Bank of the Philippines (</w:t>
            </w:r>
            <w:r w:rsidRPr="00273129">
              <w:rPr>
                <w:sz w:val="20"/>
                <w:szCs w:val="20"/>
              </w:rPr>
              <w:t>DBP</w:t>
            </w:r>
            <w:r w:rsidR="00117C26">
              <w:rPr>
                <w:sz w:val="20"/>
                <w:szCs w:val="20"/>
              </w:rPr>
              <w:t>)</w:t>
            </w:r>
            <w:r w:rsidRPr="00273129">
              <w:rPr>
                <w:sz w:val="20"/>
                <w:szCs w:val="20"/>
              </w:rPr>
              <w:t xml:space="preserve"> and other</w:t>
            </w:r>
            <w:r w:rsidR="00117C26">
              <w:rPr>
                <w:sz w:val="20"/>
                <w:szCs w:val="20"/>
              </w:rPr>
              <w:t xml:space="preserve"> local</w:t>
            </w:r>
            <w:r w:rsidRPr="00273129">
              <w:rPr>
                <w:sz w:val="20"/>
                <w:szCs w:val="20"/>
              </w:rPr>
              <w:t xml:space="preserve"> development</w:t>
            </w:r>
            <w:r w:rsidR="00117C26">
              <w:rPr>
                <w:sz w:val="20"/>
                <w:szCs w:val="20"/>
              </w:rPr>
              <w:t xml:space="preserve"> sector-related</w:t>
            </w:r>
            <w:r w:rsidRPr="00273129">
              <w:rPr>
                <w:sz w:val="20"/>
                <w:szCs w:val="20"/>
              </w:rPr>
              <w:t xml:space="preserve"> banks and disseminate this information to SEs to help them identify appropriate loan windows.</w:t>
            </w:r>
          </w:p>
          <w:p w14:paraId="1062822A" w14:textId="413D8FB9" w:rsidR="00E27506" w:rsidRPr="00273129" w:rsidRDefault="00117C26" w:rsidP="009D0240">
            <w:pPr>
              <w:pStyle w:val="BodyText"/>
              <w:rPr>
                <w:sz w:val="20"/>
                <w:szCs w:val="20"/>
              </w:rPr>
            </w:pPr>
            <w:r>
              <w:rPr>
                <w:sz w:val="20"/>
                <w:szCs w:val="20"/>
              </w:rPr>
              <w:t>Finally, the P</w:t>
            </w:r>
            <w:r w:rsidR="00E27506" w:rsidRPr="00273129">
              <w:rPr>
                <w:sz w:val="20"/>
                <w:szCs w:val="20"/>
              </w:rPr>
              <w:t>roject will benefit by linking with UNDP impact venture acceleration</w:t>
            </w:r>
            <w:r w:rsidR="00B2450C">
              <w:rPr>
                <w:sz w:val="20"/>
                <w:szCs w:val="20"/>
              </w:rPr>
              <w:t xml:space="preserve"> (IVA)</w:t>
            </w:r>
            <w:r w:rsidR="00E27506" w:rsidRPr="00273129">
              <w:rPr>
                <w:sz w:val="20"/>
                <w:szCs w:val="20"/>
              </w:rPr>
              <w:t xml:space="preserve"> programs and facilities to enhance project operations. A new development is the abbreviated acceleration process that takes just two to three months.</w:t>
            </w:r>
          </w:p>
        </w:tc>
        <w:tc>
          <w:tcPr>
            <w:tcW w:w="615" w:type="pct"/>
            <w:shd w:val="clear" w:color="auto" w:fill="FFC000"/>
          </w:tcPr>
          <w:p w14:paraId="2E284FBD" w14:textId="6723BD29" w:rsidR="00E27506" w:rsidRPr="00273129" w:rsidRDefault="00E27506" w:rsidP="0071639E">
            <w:pPr>
              <w:pStyle w:val="Heading3"/>
              <w:rPr>
                <w:sz w:val="20"/>
                <w:szCs w:val="20"/>
              </w:rPr>
            </w:pPr>
            <w:r w:rsidRPr="00273129">
              <w:rPr>
                <w:sz w:val="20"/>
                <w:szCs w:val="20"/>
              </w:rPr>
              <w:t>Agree in part</w:t>
            </w:r>
          </w:p>
        </w:tc>
        <w:tc>
          <w:tcPr>
            <w:tcW w:w="1231" w:type="pct"/>
            <w:shd w:val="clear" w:color="auto" w:fill="D3E6E9" w:themeFill="accent2" w:themeFillTint="66"/>
          </w:tcPr>
          <w:p w14:paraId="24ECE6F8" w14:textId="75E68767" w:rsidR="00E27506" w:rsidRPr="00273129" w:rsidRDefault="0086244D" w:rsidP="00E27506">
            <w:pPr>
              <w:pStyle w:val="BodyText"/>
              <w:rPr>
                <w:sz w:val="20"/>
                <w:szCs w:val="20"/>
              </w:rPr>
            </w:pPr>
            <w:r w:rsidRPr="00273129">
              <w:rPr>
                <w:sz w:val="20"/>
                <w:szCs w:val="20"/>
              </w:rPr>
              <w:t>DFAT considers that the</w:t>
            </w:r>
            <w:r w:rsidR="00E27506" w:rsidRPr="00273129">
              <w:rPr>
                <w:sz w:val="20"/>
                <w:szCs w:val="20"/>
              </w:rPr>
              <w:t xml:space="preserve"> core of the ISIP </w:t>
            </w:r>
            <w:r w:rsidR="00117C26">
              <w:rPr>
                <w:sz w:val="20"/>
                <w:szCs w:val="20"/>
              </w:rPr>
              <w:t>P</w:t>
            </w:r>
            <w:r w:rsidR="00E27506" w:rsidRPr="00273129">
              <w:rPr>
                <w:sz w:val="20"/>
                <w:szCs w:val="20"/>
              </w:rPr>
              <w:t xml:space="preserve">roject is around supporting social enterprises. A </w:t>
            </w:r>
            <w:proofErr w:type="gramStart"/>
            <w:r w:rsidR="00E27506" w:rsidRPr="00273129">
              <w:rPr>
                <w:sz w:val="20"/>
                <w:szCs w:val="20"/>
              </w:rPr>
              <w:t>key way</w:t>
            </w:r>
            <w:proofErr w:type="gramEnd"/>
            <w:r w:rsidR="00E27506" w:rsidRPr="00273129">
              <w:rPr>
                <w:sz w:val="20"/>
                <w:szCs w:val="20"/>
              </w:rPr>
              <w:t xml:space="preserve"> it does this is directly through the entrepreneurship component. </w:t>
            </w:r>
            <w:r w:rsidR="00AB17F2" w:rsidRPr="00273129">
              <w:rPr>
                <w:sz w:val="20"/>
                <w:szCs w:val="20"/>
              </w:rPr>
              <w:t>DFAT recommends</w:t>
            </w:r>
            <w:r w:rsidR="00E27506" w:rsidRPr="00273129">
              <w:rPr>
                <w:sz w:val="20"/>
                <w:szCs w:val="20"/>
              </w:rPr>
              <w:t xml:space="preserve"> supporting </w:t>
            </w:r>
            <w:r w:rsidR="00AB17F2" w:rsidRPr="00273129">
              <w:rPr>
                <w:sz w:val="20"/>
                <w:szCs w:val="20"/>
              </w:rPr>
              <w:t xml:space="preserve">social </w:t>
            </w:r>
            <w:r w:rsidR="00E27506" w:rsidRPr="00273129">
              <w:rPr>
                <w:sz w:val="20"/>
                <w:szCs w:val="20"/>
              </w:rPr>
              <w:t xml:space="preserve">enterprises through a </w:t>
            </w:r>
            <w:r w:rsidRPr="00273129">
              <w:rPr>
                <w:sz w:val="20"/>
                <w:szCs w:val="20"/>
              </w:rPr>
              <w:t>hybrid social impact</w:t>
            </w:r>
            <w:r w:rsidR="00E27506" w:rsidRPr="00273129">
              <w:rPr>
                <w:sz w:val="20"/>
                <w:szCs w:val="20"/>
              </w:rPr>
              <w:t xml:space="preserve"> accelerator </w:t>
            </w:r>
            <w:r w:rsidR="00AB17F2" w:rsidRPr="00273129">
              <w:rPr>
                <w:sz w:val="20"/>
                <w:szCs w:val="20"/>
              </w:rPr>
              <w:t xml:space="preserve">or impact boost camp </w:t>
            </w:r>
            <w:r w:rsidRPr="00273129">
              <w:rPr>
                <w:sz w:val="20"/>
                <w:szCs w:val="20"/>
              </w:rPr>
              <w:t>model</w:t>
            </w:r>
            <w:r w:rsidR="00E27506" w:rsidRPr="00273129">
              <w:rPr>
                <w:sz w:val="20"/>
                <w:szCs w:val="20"/>
              </w:rPr>
              <w:t xml:space="preserve"> –where a </w:t>
            </w:r>
            <w:r w:rsidR="007E08C2" w:rsidRPr="00273129">
              <w:rPr>
                <w:sz w:val="20"/>
                <w:szCs w:val="20"/>
              </w:rPr>
              <w:t>six-month</w:t>
            </w:r>
            <w:r w:rsidR="00E27506" w:rsidRPr="00273129">
              <w:rPr>
                <w:sz w:val="20"/>
                <w:szCs w:val="20"/>
              </w:rPr>
              <w:t xml:space="preserve"> no-cost extension is supported</w:t>
            </w:r>
            <w:r w:rsidR="00AB17F2" w:rsidRPr="00273129">
              <w:rPr>
                <w:sz w:val="20"/>
                <w:szCs w:val="20"/>
              </w:rPr>
              <w:t xml:space="preserve"> (refer to recommendation ‘</w:t>
            </w:r>
            <w:r w:rsidR="007E08C2">
              <w:rPr>
                <w:sz w:val="20"/>
                <w:szCs w:val="20"/>
              </w:rPr>
              <w:t>1</w:t>
            </w:r>
            <w:r w:rsidR="00AB17F2" w:rsidRPr="00273129">
              <w:rPr>
                <w:sz w:val="20"/>
                <w:szCs w:val="20"/>
              </w:rPr>
              <w:t xml:space="preserve">’ response), </w:t>
            </w:r>
          </w:p>
          <w:p w14:paraId="71A57A0E" w14:textId="77777777" w:rsidR="007E08C2" w:rsidRDefault="007E08C2" w:rsidP="00B34B66">
            <w:pPr>
              <w:pStyle w:val="BodyText"/>
              <w:rPr>
                <w:sz w:val="20"/>
                <w:szCs w:val="20"/>
              </w:rPr>
            </w:pPr>
            <w:r>
              <w:rPr>
                <w:sz w:val="20"/>
                <w:szCs w:val="20"/>
              </w:rPr>
              <w:t>The program should continue to support current SEs – including through the Innovative Solutions Grants Facility to help them respond to the impacts of COVID-19.</w:t>
            </w:r>
          </w:p>
          <w:p w14:paraId="5B87CE44" w14:textId="065497ED" w:rsidR="009424B5" w:rsidRPr="00273129" w:rsidRDefault="00B34B66" w:rsidP="00655502">
            <w:pPr>
              <w:pStyle w:val="BodyText"/>
              <w:rPr>
                <w:sz w:val="20"/>
                <w:szCs w:val="20"/>
              </w:rPr>
            </w:pPr>
            <w:r w:rsidRPr="00273129">
              <w:rPr>
                <w:sz w:val="20"/>
                <w:szCs w:val="20"/>
              </w:rPr>
              <w:t>DFAT supports the social enterprise</w:t>
            </w:r>
            <w:r w:rsidR="00E27506" w:rsidRPr="00273129">
              <w:rPr>
                <w:sz w:val="20"/>
                <w:szCs w:val="20"/>
              </w:rPr>
              <w:t xml:space="preserve"> financing and linking </w:t>
            </w:r>
            <w:r w:rsidR="00655502">
              <w:rPr>
                <w:sz w:val="20"/>
                <w:szCs w:val="20"/>
              </w:rPr>
              <w:t xml:space="preserve">components of this </w:t>
            </w:r>
            <w:r w:rsidR="00E27506" w:rsidRPr="00273129">
              <w:rPr>
                <w:sz w:val="20"/>
                <w:szCs w:val="20"/>
              </w:rPr>
              <w:t xml:space="preserve">recommendation. </w:t>
            </w:r>
          </w:p>
        </w:tc>
        <w:tc>
          <w:tcPr>
            <w:tcW w:w="1130" w:type="pct"/>
            <w:shd w:val="clear" w:color="auto" w:fill="D3E6E9" w:themeFill="accent2" w:themeFillTint="66"/>
          </w:tcPr>
          <w:p w14:paraId="35170A01" w14:textId="6AB9FC19" w:rsidR="00E27506" w:rsidRDefault="0086244D" w:rsidP="00B34B66">
            <w:pPr>
              <w:pStyle w:val="BodyText"/>
              <w:rPr>
                <w:sz w:val="20"/>
                <w:szCs w:val="20"/>
              </w:rPr>
            </w:pPr>
            <w:r w:rsidRPr="00273129">
              <w:rPr>
                <w:sz w:val="20"/>
                <w:szCs w:val="20"/>
              </w:rPr>
              <w:t xml:space="preserve">PhilDev to </w:t>
            </w:r>
            <w:r w:rsidR="007E08C2">
              <w:rPr>
                <w:sz w:val="20"/>
                <w:szCs w:val="20"/>
              </w:rPr>
              <w:t xml:space="preserve">develop and </w:t>
            </w:r>
            <w:r w:rsidRPr="00273129">
              <w:rPr>
                <w:sz w:val="20"/>
                <w:szCs w:val="20"/>
              </w:rPr>
              <w:t xml:space="preserve">include a </w:t>
            </w:r>
            <w:r w:rsidR="00B34B66" w:rsidRPr="00273129">
              <w:rPr>
                <w:sz w:val="20"/>
                <w:szCs w:val="20"/>
              </w:rPr>
              <w:t>hybrid</w:t>
            </w:r>
            <w:r w:rsidRPr="00273129">
              <w:rPr>
                <w:sz w:val="20"/>
                <w:szCs w:val="20"/>
              </w:rPr>
              <w:t xml:space="preserve"> social impact accelerator or impact boost camp model in </w:t>
            </w:r>
            <w:r w:rsidR="007E08C2">
              <w:rPr>
                <w:sz w:val="20"/>
                <w:szCs w:val="20"/>
              </w:rPr>
              <w:t>the</w:t>
            </w:r>
            <w:r w:rsidRPr="00273129">
              <w:rPr>
                <w:sz w:val="20"/>
                <w:szCs w:val="20"/>
              </w:rPr>
              <w:t xml:space="preserve"> </w:t>
            </w:r>
            <w:r w:rsidR="007E08C2">
              <w:rPr>
                <w:sz w:val="20"/>
                <w:szCs w:val="20"/>
              </w:rPr>
              <w:t>2020 and 2021</w:t>
            </w:r>
            <w:r w:rsidR="00B34B66" w:rsidRPr="00273129">
              <w:rPr>
                <w:sz w:val="20"/>
                <w:szCs w:val="20"/>
              </w:rPr>
              <w:t xml:space="preserve"> </w:t>
            </w:r>
            <w:r w:rsidRPr="00273129">
              <w:rPr>
                <w:sz w:val="20"/>
                <w:szCs w:val="20"/>
              </w:rPr>
              <w:t>work plan.</w:t>
            </w:r>
            <w:r w:rsidR="00B34B66" w:rsidRPr="00273129">
              <w:rPr>
                <w:sz w:val="20"/>
                <w:szCs w:val="20"/>
              </w:rPr>
              <w:t xml:space="preserve"> </w:t>
            </w:r>
          </w:p>
          <w:p w14:paraId="03BBC472" w14:textId="6A6F4F78" w:rsidR="00D828F7" w:rsidRDefault="00B2450C" w:rsidP="00B34B66">
            <w:pPr>
              <w:pStyle w:val="BodyText"/>
              <w:rPr>
                <w:sz w:val="20"/>
                <w:szCs w:val="20"/>
              </w:rPr>
            </w:pPr>
            <w:r>
              <w:rPr>
                <w:sz w:val="20"/>
                <w:szCs w:val="20"/>
              </w:rPr>
              <w:t xml:space="preserve">The Innovative Solutions Grants Facility should be approved and implemented. </w:t>
            </w:r>
          </w:p>
          <w:p w14:paraId="0400E0EC" w14:textId="0EA627B2" w:rsidR="00D828F7" w:rsidRPr="00273129" w:rsidRDefault="00D828F7" w:rsidP="00D828F7">
            <w:pPr>
              <w:pStyle w:val="BodyText"/>
              <w:rPr>
                <w:sz w:val="20"/>
                <w:szCs w:val="20"/>
              </w:rPr>
            </w:pPr>
            <w:r>
              <w:rPr>
                <w:sz w:val="20"/>
                <w:szCs w:val="20"/>
              </w:rPr>
              <w:t>UNDP and PhilDev should explore and formal</w:t>
            </w:r>
            <w:r w:rsidR="007E08C2">
              <w:rPr>
                <w:sz w:val="20"/>
                <w:szCs w:val="20"/>
              </w:rPr>
              <w:t>ly</w:t>
            </w:r>
            <w:r>
              <w:rPr>
                <w:sz w:val="20"/>
                <w:szCs w:val="20"/>
              </w:rPr>
              <w:t xml:space="preserve"> respond to </w:t>
            </w:r>
            <w:r w:rsidRPr="00D828F7">
              <w:rPr>
                <w:sz w:val="20"/>
                <w:szCs w:val="20"/>
              </w:rPr>
              <w:t>enterprise financing and linking recommendations</w:t>
            </w:r>
            <w:r>
              <w:rPr>
                <w:sz w:val="20"/>
                <w:szCs w:val="20"/>
              </w:rPr>
              <w:t>.</w:t>
            </w:r>
            <w:r w:rsidR="00B2450C">
              <w:rPr>
                <w:sz w:val="20"/>
                <w:szCs w:val="20"/>
              </w:rPr>
              <w:t xml:space="preserve"> Including linkages to UNDP’s IVA program,</w:t>
            </w:r>
          </w:p>
        </w:tc>
        <w:tc>
          <w:tcPr>
            <w:tcW w:w="936" w:type="pct"/>
            <w:shd w:val="clear" w:color="auto" w:fill="D3E6E9" w:themeFill="accent2" w:themeFillTint="66"/>
          </w:tcPr>
          <w:p w14:paraId="30C16586" w14:textId="49A6370B" w:rsidR="00E27506" w:rsidRPr="00273129" w:rsidRDefault="004E28AF" w:rsidP="005714D1">
            <w:pPr>
              <w:pStyle w:val="BodyText"/>
              <w:rPr>
                <w:sz w:val="20"/>
                <w:szCs w:val="20"/>
              </w:rPr>
            </w:pPr>
            <w:r w:rsidRPr="00273129">
              <w:rPr>
                <w:sz w:val="20"/>
                <w:szCs w:val="20"/>
              </w:rPr>
              <w:t>To June 2021</w:t>
            </w:r>
            <w:r w:rsidR="00E27506" w:rsidRPr="00273129">
              <w:rPr>
                <w:sz w:val="20"/>
                <w:szCs w:val="20"/>
              </w:rPr>
              <w:t>.</w:t>
            </w:r>
          </w:p>
        </w:tc>
      </w:tr>
      <w:tr w:rsidR="00E27506" w:rsidRPr="00273129" w14:paraId="770022ED" w14:textId="77777777" w:rsidTr="003D46DA">
        <w:trPr>
          <w:trHeight w:val="6958"/>
        </w:trPr>
        <w:tc>
          <w:tcPr>
            <w:tcW w:w="1088" w:type="pct"/>
            <w:shd w:val="clear" w:color="auto" w:fill="D3E6E9" w:themeFill="accent2" w:themeFillTint="66"/>
          </w:tcPr>
          <w:p w14:paraId="6E4D957A" w14:textId="104989D1" w:rsidR="00E27506" w:rsidRPr="00273129" w:rsidRDefault="00E27506" w:rsidP="00603F22">
            <w:pPr>
              <w:pStyle w:val="Heading3"/>
              <w:rPr>
                <w:sz w:val="20"/>
                <w:szCs w:val="20"/>
              </w:rPr>
            </w:pPr>
            <w:r w:rsidRPr="00273129">
              <w:rPr>
                <w:sz w:val="20"/>
                <w:szCs w:val="20"/>
              </w:rPr>
              <w:lastRenderedPageBreak/>
              <w:t xml:space="preserve">Recommendation </w:t>
            </w:r>
            <w:r w:rsidR="00B03373">
              <w:rPr>
                <w:sz w:val="20"/>
                <w:szCs w:val="20"/>
              </w:rPr>
              <w:t>3</w:t>
            </w:r>
          </w:p>
          <w:p w14:paraId="31579F6B" w14:textId="7E4F0AFA" w:rsidR="00E27506" w:rsidRPr="00273129" w:rsidRDefault="00E27506" w:rsidP="009D0240">
            <w:pPr>
              <w:pStyle w:val="BodyText"/>
              <w:rPr>
                <w:sz w:val="20"/>
                <w:szCs w:val="20"/>
              </w:rPr>
            </w:pPr>
            <w:r w:rsidRPr="00243599">
              <w:rPr>
                <w:b/>
                <w:sz w:val="20"/>
                <w:szCs w:val="20"/>
              </w:rPr>
              <w:t>Education Component:</w:t>
            </w:r>
            <w:r w:rsidRPr="00273129">
              <w:rPr>
                <w:sz w:val="20"/>
                <w:szCs w:val="20"/>
              </w:rPr>
              <w:t xml:space="preserve"> Apart from its remaining planned activities and if time and resources allow, it is recommended that the component consider the following:</w:t>
            </w:r>
          </w:p>
          <w:p w14:paraId="098BA5CA" w14:textId="3D475579" w:rsidR="00E27506" w:rsidRPr="00273129" w:rsidRDefault="00E27506" w:rsidP="003D46DA">
            <w:pPr>
              <w:pStyle w:val="BodyText"/>
              <w:numPr>
                <w:ilvl w:val="0"/>
                <w:numId w:val="18"/>
              </w:numPr>
              <w:ind w:left="222" w:hanging="218"/>
              <w:rPr>
                <w:sz w:val="20"/>
                <w:szCs w:val="20"/>
              </w:rPr>
            </w:pPr>
            <w:r w:rsidRPr="00273129">
              <w:rPr>
                <w:sz w:val="20"/>
                <w:szCs w:val="20"/>
              </w:rPr>
              <w:t xml:space="preserve">Conduct </w:t>
            </w:r>
            <w:r w:rsidR="009D490E">
              <w:rPr>
                <w:sz w:val="20"/>
                <w:szCs w:val="20"/>
              </w:rPr>
              <w:t>T</w:t>
            </w:r>
            <w:r w:rsidRPr="00273129">
              <w:rPr>
                <w:sz w:val="20"/>
                <w:szCs w:val="20"/>
              </w:rPr>
              <w:t xml:space="preserve">rainer’s </w:t>
            </w:r>
            <w:r w:rsidR="009D490E">
              <w:rPr>
                <w:sz w:val="20"/>
                <w:szCs w:val="20"/>
              </w:rPr>
              <w:t>T</w:t>
            </w:r>
            <w:r w:rsidRPr="00273129">
              <w:rPr>
                <w:sz w:val="20"/>
                <w:szCs w:val="20"/>
              </w:rPr>
              <w:t xml:space="preserve">raining on teaching </w:t>
            </w:r>
            <w:proofErr w:type="spellStart"/>
            <w:r w:rsidRPr="00273129">
              <w:rPr>
                <w:sz w:val="20"/>
                <w:szCs w:val="20"/>
              </w:rPr>
              <w:t>Technopreneurship</w:t>
            </w:r>
            <w:proofErr w:type="spellEnd"/>
            <w:r w:rsidRPr="00273129">
              <w:rPr>
                <w:sz w:val="20"/>
                <w:szCs w:val="20"/>
              </w:rPr>
              <w:t xml:space="preserve"> 101 to widen the reach of trained professors to HEIs’ </w:t>
            </w:r>
            <w:proofErr w:type="gramStart"/>
            <w:r w:rsidRPr="00273129">
              <w:rPr>
                <w:sz w:val="20"/>
                <w:szCs w:val="20"/>
              </w:rPr>
              <w:t>cohorts;</w:t>
            </w:r>
            <w:proofErr w:type="gramEnd"/>
          </w:p>
          <w:p w14:paraId="4D63E8A9" w14:textId="12A5177A" w:rsidR="00E27506" w:rsidRPr="00273129" w:rsidRDefault="00E27506" w:rsidP="003D46DA">
            <w:pPr>
              <w:pStyle w:val="BodyText"/>
              <w:numPr>
                <w:ilvl w:val="0"/>
                <w:numId w:val="18"/>
              </w:numPr>
              <w:ind w:left="222" w:hanging="218"/>
              <w:rPr>
                <w:sz w:val="20"/>
                <w:szCs w:val="20"/>
              </w:rPr>
            </w:pPr>
            <w:r w:rsidRPr="00273129">
              <w:rPr>
                <w:sz w:val="20"/>
                <w:szCs w:val="20"/>
              </w:rPr>
              <w:t xml:space="preserve">Encourage </w:t>
            </w:r>
            <w:r w:rsidR="009D490E">
              <w:rPr>
                <w:sz w:val="20"/>
                <w:szCs w:val="20"/>
              </w:rPr>
              <w:t>the Philippines Commission on Higher Education (</w:t>
            </w:r>
            <w:r w:rsidRPr="00273129">
              <w:rPr>
                <w:sz w:val="20"/>
                <w:szCs w:val="20"/>
              </w:rPr>
              <w:t>CHED</w:t>
            </w:r>
            <w:r w:rsidR="009D490E">
              <w:rPr>
                <w:sz w:val="20"/>
                <w:szCs w:val="20"/>
              </w:rPr>
              <w:t>)</w:t>
            </w:r>
            <w:r w:rsidRPr="00273129">
              <w:rPr>
                <w:sz w:val="20"/>
                <w:szCs w:val="20"/>
              </w:rPr>
              <w:t xml:space="preserve"> and assist HEIs in formulating syllabus for </w:t>
            </w:r>
            <w:proofErr w:type="spellStart"/>
            <w:r w:rsidRPr="00273129">
              <w:rPr>
                <w:sz w:val="20"/>
                <w:szCs w:val="20"/>
              </w:rPr>
              <w:t>Technopreneurship</w:t>
            </w:r>
            <w:proofErr w:type="spellEnd"/>
            <w:r w:rsidRPr="00273129">
              <w:rPr>
                <w:sz w:val="20"/>
                <w:szCs w:val="20"/>
              </w:rPr>
              <w:t xml:space="preserve"> </w:t>
            </w:r>
            <w:proofErr w:type="gramStart"/>
            <w:r w:rsidRPr="00273129">
              <w:rPr>
                <w:sz w:val="20"/>
                <w:szCs w:val="20"/>
              </w:rPr>
              <w:t>102;</w:t>
            </w:r>
            <w:proofErr w:type="gramEnd"/>
          </w:p>
          <w:p w14:paraId="0CE170AB" w14:textId="026F739C" w:rsidR="00E27506" w:rsidRPr="00273129" w:rsidRDefault="00E27506" w:rsidP="003D46DA">
            <w:pPr>
              <w:pStyle w:val="BodyText"/>
              <w:numPr>
                <w:ilvl w:val="0"/>
                <w:numId w:val="18"/>
              </w:numPr>
              <w:ind w:left="222" w:hanging="218"/>
              <w:rPr>
                <w:sz w:val="20"/>
                <w:szCs w:val="20"/>
              </w:rPr>
            </w:pPr>
            <w:r w:rsidRPr="00273129">
              <w:rPr>
                <w:sz w:val="20"/>
                <w:szCs w:val="20"/>
              </w:rPr>
              <w:t xml:space="preserve">Encourage HEIs to forge partnership with their respective </w:t>
            </w:r>
            <w:r w:rsidR="009D490E">
              <w:rPr>
                <w:sz w:val="20"/>
                <w:szCs w:val="20"/>
              </w:rPr>
              <w:t>local government units (</w:t>
            </w:r>
            <w:r w:rsidRPr="00273129">
              <w:rPr>
                <w:sz w:val="20"/>
                <w:szCs w:val="20"/>
              </w:rPr>
              <w:t>LGUs</w:t>
            </w:r>
            <w:r w:rsidR="009D490E">
              <w:rPr>
                <w:sz w:val="20"/>
                <w:szCs w:val="20"/>
              </w:rPr>
              <w:t>)</w:t>
            </w:r>
            <w:r w:rsidRPr="00273129">
              <w:rPr>
                <w:sz w:val="20"/>
                <w:szCs w:val="20"/>
              </w:rPr>
              <w:t xml:space="preserve"> for financial, technical and other support for SE </w:t>
            </w:r>
            <w:proofErr w:type="gramStart"/>
            <w:r w:rsidRPr="00273129">
              <w:rPr>
                <w:sz w:val="20"/>
                <w:szCs w:val="20"/>
              </w:rPr>
              <w:t>development;</w:t>
            </w:r>
            <w:proofErr w:type="gramEnd"/>
          </w:p>
          <w:p w14:paraId="3FABF85C" w14:textId="21D56495" w:rsidR="00E27506" w:rsidRPr="00273129" w:rsidRDefault="00E27506" w:rsidP="003D46DA">
            <w:pPr>
              <w:pStyle w:val="BodyText"/>
              <w:numPr>
                <w:ilvl w:val="0"/>
                <w:numId w:val="18"/>
              </w:numPr>
              <w:ind w:left="222" w:hanging="218"/>
              <w:rPr>
                <w:sz w:val="20"/>
                <w:szCs w:val="20"/>
              </w:rPr>
            </w:pPr>
            <w:r w:rsidRPr="00273129">
              <w:rPr>
                <w:sz w:val="20"/>
                <w:szCs w:val="20"/>
              </w:rPr>
              <w:t xml:space="preserve">Encourage and support HEIs/ </w:t>
            </w:r>
            <w:proofErr w:type="spellStart"/>
            <w:r w:rsidRPr="00273129">
              <w:rPr>
                <w:sz w:val="20"/>
                <w:szCs w:val="20"/>
              </w:rPr>
              <w:t>techhubs</w:t>
            </w:r>
            <w:proofErr w:type="spellEnd"/>
            <w:r w:rsidRPr="00273129">
              <w:rPr>
                <w:sz w:val="20"/>
                <w:szCs w:val="20"/>
              </w:rPr>
              <w:t xml:space="preserve"> and their cohorts to:</w:t>
            </w:r>
          </w:p>
          <w:p w14:paraId="4363A9A7" w14:textId="7970A85A" w:rsidR="00E27506" w:rsidRPr="00273129" w:rsidRDefault="00E27506" w:rsidP="003D46DA">
            <w:pPr>
              <w:pStyle w:val="BodyText"/>
              <w:numPr>
                <w:ilvl w:val="0"/>
                <w:numId w:val="17"/>
              </w:numPr>
              <w:ind w:left="364" w:hanging="222"/>
              <w:rPr>
                <w:sz w:val="20"/>
                <w:szCs w:val="20"/>
              </w:rPr>
            </w:pPr>
            <w:r w:rsidRPr="00273129">
              <w:rPr>
                <w:sz w:val="20"/>
                <w:szCs w:val="20"/>
              </w:rPr>
              <w:t>Engage grade school and high school students in SDG-oriented pitch competition and other activities promoting social impact; and</w:t>
            </w:r>
          </w:p>
          <w:p w14:paraId="61704967" w14:textId="1763AB14" w:rsidR="00E27506" w:rsidRPr="00273129" w:rsidRDefault="00E27506" w:rsidP="003D46DA">
            <w:pPr>
              <w:pStyle w:val="BodyText"/>
              <w:numPr>
                <w:ilvl w:val="0"/>
                <w:numId w:val="17"/>
              </w:numPr>
              <w:ind w:left="364" w:hanging="222"/>
              <w:rPr>
                <w:sz w:val="20"/>
                <w:szCs w:val="20"/>
              </w:rPr>
            </w:pPr>
            <w:r w:rsidRPr="00273129">
              <w:rPr>
                <w:sz w:val="20"/>
                <w:szCs w:val="20"/>
              </w:rPr>
              <w:t>Include in PTA meetings/seminars (grade school and high school) messages on social entrepreneurship.</w:t>
            </w:r>
          </w:p>
          <w:p w14:paraId="2BBCD72D" w14:textId="5FC2938F" w:rsidR="00E27506" w:rsidRPr="00273129" w:rsidRDefault="00E27506" w:rsidP="003D46DA">
            <w:pPr>
              <w:pStyle w:val="BodyText"/>
              <w:numPr>
                <w:ilvl w:val="0"/>
                <w:numId w:val="18"/>
              </w:numPr>
              <w:ind w:left="222" w:hanging="218"/>
              <w:rPr>
                <w:sz w:val="20"/>
                <w:szCs w:val="20"/>
              </w:rPr>
            </w:pPr>
            <w:r w:rsidRPr="00273129">
              <w:rPr>
                <w:sz w:val="20"/>
                <w:szCs w:val="20"/>
              </w:rPr>
              <w:t>Encourage HEIs to organize local Volunteer Corps for SEs in there and cohorts’ areas.</w:t>
            </w:r>
          </w:p>
          <w:p w14:paraId="370B6AB4" w14:textId="645BC67D" w:rsidR="004E28AF" w:rsidRPr="00273129" w:rsidRDefault="00E27506" w:rsidP="003D46DA">
            <w:pPr>
              <w:pStyle w:val="BodyText"/>
              <w:numPr>
                <w:ilvl w:val="0"/>
                <w:numId w:val="18"/>
              </w:numPr>
              <w:ind w:left="222" w:hanging="218"/>
              <w:rPr>
                <w:sz w:val="20"/>
                <w:szCs w:val="20"/>
              </w:rPr>
            </w:pPr>
            <w:r w:rsidRPr="00273129">
              <w:rPr>
                <w:sz w:val="20"/>
                <w:szCs w:val="20"/>
              </w:rPr>
              <w:t xml:space="preserve">Encourage HEIs to have fulltime officers in their </w:t>
            </w:r>
            <w:proofErr w:type="spellStart"/>
            <w:r w:rsidRPr="00273129">
              <w:rPr>
                <w:sz w:val="20"/>
                <w:szCs w:val="20"/>
              </w:rPr>
              <w:t>techhubs</w:t>
            </w:r>
            <w:proofErr w:type="spellEnd"/>
            <w:r w:rsidRPr="00273129">
              <w:rPr>
                <w:sz w:val="20"/>
                <w:szCs w:val="20"/>
              </w:rPr>
              <w:t>; and</w:t>
            </w:r>
          </w:p>
          <w:p w14:paraId="316C5B36" w14:textId="1E0B401D" w:rsidR="00E27506" w:rsidRPr="00273129" w:rsidRDefault="00E27506" w:rsidP="003D46DA">
            <w:pPr>
              <w:pStyle w:val="BodyText"/>
              <w:numPr>
                <w:ilvl w:val="0"/>
                <w:numId w:val="18"/>
              </w:numPr>
              <w:ind w:left="222" w:hanging="218"/>
              <w:rPr>
                <w:sz w:val="20"/>
                <w:szCs w:val="20"/>
              </w:rPr>
            </w:pPr>
            <w:r w:rsidRPr="00273129">
              <w:rPr>
                <w:sz w:val="20"/>
                <w:szCs w:val="20"/>
              </w:rPr>
              <w:t>Conduct orientation to HEI presidents and deans on social enterprise development.</w:t>
            </w:r>
          </w:p>
        </w:tc>
        <w:tc>
          <w:tcPr>
            <w:tcW w:w="615" w:type="pct"/>
            <w:shd w:val="clear" w:color="auto" w:fill="00B050"/>
          </w:tcPr>
          <w:p w14:paraId="24F4040E" w14:textId="7E28C413" w:rsidR="00E27506" w:rsidRPr="00273129" w:rsidRDefault="00A24383" w:rsidP="00603F22">
            <w:pPr>
              <w:pStyle w:val="Heading3"/>
              <w:rPr>
                <w:sz w:val="20"/>
                <w:szCs w:val="20"/>
              </w:rPr>
            </w:pPr>
            <w:r w:rsidRPr="00273129">
              <w:rPr>
                <w:sz w:val="20"/>
                <w:szCs w:val="20"/>
              </w:rPr>
              <w:t>Agree</w:t>
            </w:r>
          </w:p>
        </w:tc>
        <w:tc>
          <w:tcPr>
            <w:tcW w:w="1231" w:type="pct"/>
            <w:shd w:val="clear" w:color="auto" w:fill="D3E6E9" w:themeFill="accent2" w:themeFillTint="66"/>
          </w:tcPr>
          <w:p w14:paraId="404C53F8" w14:textId="60DACDFB" w:rsidR="009424B5" w:rsidRPr="00273129" w:rsidRDefault="00AB17F2" w:rsidP="00781C35">
            <w:pPr>
              <w:pStyle w:val="BodyText"/>
              <w:rPr>
                <w:sz w:val="20"/>
                <w:szCs w:val="20"/>
              </w:rPr>
            </w:pPr>
            <w:r w:rsidRPr="00273129">
              <w:rPr>
                <w:sz w:val="20"/>
                <w:szCs w:val="20"/>
              </w:rPr>
              <w:t>DFAT supports this recommendation</w:t>
            </w:r>
            <w:r w:rsidR="00E27506" w:rsidRPr="00273129">
              <w:rPr>
                <w:sz w:val="20"/>
                <w:szCs w:val="20"/>
              </w:rPr>
              <w:t xml:space="preserve">. </w:t>
            </w:r>
            <w:r w:rsidRPr="00273129">
              <w:rPr>
                <w:sz w:val="20"/>
                <w:szCs w:val="20"/>
              </w:rPr>
              <w:t>However, g</w:t>
            </w:r>
            <w:r w:rsidR="00E27506" w:rsidRPr="00273129">
              <w:rPr>
                <w:sz w:val="20"/>
                <w:szCs w:val="20"/>
              </w:rPr>
              <w:t>iven the limited timeframe</w:t>
            </w:r>
            <w:r w:rsidR="009D490E">
              <w:rPr>
                <w:sz w:val="20"/>
                <w:szCs w:val="20"/>
              </w:rPr>
              <w:t xml:space="preserve"> remaining on the P</w:t>
            </w:r>
            <w:r w:rsidRPr="00273129">
              <w:rPr>
                <w:sz w:val="20"/>
                <w:szCs w:val="20"/>
              </w:rPr>
              <w:t>roject through to June 2021 where a six-month no-cost extension is supported</w:t>
            </w:r>
            <w:r w:rsidR="00781C35">
              <w:rPr>
                <w:sz w:val="20"/>
                <w:szCs w:val="20"/>
              </w:rPr>
              <w:t>,</w:t>
            </w:r>
            <w:r w:rsidR="00E27506" w:rsidRPr="00273129">
              <w:rPr>
                <w:sz w:val="20"/>
                <w:szCs w:val="20"/>
              </w:rPr>
              <w:t xml:space="preserve"> act</w:t>
            </w:r>
            <w:r w:rsidRPr="00273129">
              <w:rPr>
                <w:sz w:val="20"/>
                <w:szCs w:val="20"/>
              </w:rPr>
              <w:t xml:space="preserve">ion items should be prioritised </w:t>
            </w:r>
            <w:r w:rsidR="008F6C65">
              <w:rPr>
                <w:sz w:val="20"/>
                <w:szCs w:val="20"/>
              </w:rPr>
              <w:t>based on what can be realistically included in the 2020 and 2021 workplans</w:t>
            </w:r>
            <w:r w:rsidRPr="00273129">
              <w:rPr>
                <w:sz w:val="20"/>
                <w:szCs w:val="20"/>
              </w:rPr>
              <w:t>. Other action items</w:t>
            </w:r>
            <w:r w:rsidR="00E27506" w:rsidRPr="00273129">
              <w:rPr>
                <w:sz w:val="20"/>
                <w:szCs w:val="20"/>
              </w:rPr>
              <w:t xml:space="preserve"> </w:t>
            </w:r>
            <w:r w:rsidR="008F6C65">
              <w:rPr>
                <w:sz w:val="20"/>
                <w:szCs w:val="20"/>
              </w:rPr>
              <w:t>should be considered in the sector policy review</w:t>
            </w:r>
            <w:r w:rsidR="00E27506" w:rsidRPr="00273129">
              <w:rPr>
                <w:sz w:val="20"/>
                <w:szCs w:val="20"/>
              </w:rPr>
              <w:t>.</w:t>
            </w:r>
          </w:p>
        </w:tc>
        <w:tc>
          <w:tcPr>
            <w:tcW w:w="1130" w:type="pct"/>
            <w:shd w:val="clear" w:color="auto" w:fill="D3E6E9" w:themeFill="accent2" w:themeFillTint="66"/>
          </w:tcPr>
          <w:p w14:paraId="4B3E247D" w14:textId="153615CB" w:rsidR="00E27506" w:rsidRPr="00273129" w:rsidRDefault="00AB17F2" w:rsidP="00D85FB2">
            <w:pPr>
              <w:pStyle w:val="BodyText"/>
              <w:rPr>
                <w:sz w:val="20"/>
                <w:szCs w:val="20"/>
              </w:rPr>
            </w:pPr>
            <w:r w:rsidRPr="00273129">
              <w:rPr>
                <w:sz w:val="20"/>
                <w:szCs w:val="20"/>
              </w:rPr>
              <w:t xml:space="preserve">PhilDev should carefully examine the recommendations and incorporate </w:t>
            </w:r>
            <w:r w:rsidR="008F6C65">
              <w:rPr>
                <w:sz w:val="20"/>
                <w:szCs w:val="20"/>
              </w:rPr>
              <w:t>as appropriate</w:t>
            </w:r>
            <w:r w:rsidRPr="00273129">
              <w:rPr>
                <w:sz w:val="20"/>
                <w:szCs w:val="20"/>
              </w:rPr>
              <w:t xml:space="preserve"> into the work </w:t>
            </w:r>
            <w:r w:rsidR="009D490E">
              <w:rPr>
                <w:sz w:val="20"/>
                <w:szCs w:val="20"/>
              </w:rPr>
              <w:t>plan through to the end of the P</w:t>
            </w:r>
            <w:r w:rsidRPr="00273129">
              <w:rPr>
                <w:sz w:val="20"/>
                <w:szCs w:val="20"/>
              </w:rPr>
              <w:t xml:space="preserve">roject. UNDP should </w:t>
            </w:r>
            <w:r w:rsidR="005E5CB9" w:rsidRPr="00273129">
              <w:rPr>
                <w:sz w:val="20"/>
                <w:szCs w:val="20"/>
              </w:rPr>
              <w:t xml:space="preserve">ensure </w:t>
            </w:r>
            <w:r w:rsidR="008F6C65">
              <w:rPr>
                <w:sz w:val="20"/>
                <w:szCs w:val="20"/>
              </w:rPr>
              <w:t>the findings of the evaluator are</w:t>
            </w:r>
            <w:r w:rsidR="005E5CB9" w:rsidRPr="00273129">
              <w:rPr>
                <w:sz w:val="20"/>
                <w:szCs w:val="20"/>
              </w:rPr>
              <w:t xml:space="preserve"> incorporated into the terms of reference </w:t>
            </w:r>
            <w:r w:rsidR="008F6C65">
              <w:rPr>
                <w:sz w:val="20"/>
                <w:szCs w:val="20"/>
              </w:rPr>
              <w:t>consultant conducting the</w:t>
            </w:r>
            <w:r w:rsidR="005E5CB9" w:rsidRPr="00273129">
              <w:rPr>
                <w:sz w:val="20"/>
                <w:szCs w:val="20"/>
              </w:rPr>
              <w:t xml:space="preserve"> sector/ecosystem policy review. DFAT would encourage all recommendations be looked at in the </w:t>
            </w:r>
            <w:r w:rsidR="00D85FB2" w:rsidRPr="00273129">
              <w:rPr>
                <w:sz w:val="20"/>
                <w:szCs w:val="20"/>
              </w:rPr>
              <w:t>context</w:t>
            </w:r>
            <w:r w:rsidR="005E5CB9" w:rsidRPr="00273129">
              <w:rPr>
                <w:sz w:val="20"/>
                <w:szCs w:val="20"/>
              </w:rPr>
              <w:t xml:space="preserve"> of</w:t>
            </w:r>
            <w:r w:rsidR="00D85FB2" w:rsidRPr="00273129">
              <w:rPr>
                <w:sz w:val="20"/>
                <w:szCs w:val="20"/>
              </w:rPr>
              <w:t xml:space="preserve"> how</w:t>
            </w:r>
            <w:r w:rsidR="005E5CB9" w:rsidRPr="00273129">
              <w:rPr>
                <w:sz w:val="20"/>
                <w:szCs w:val="20"/>
              </w:rPr>
              <w:t xml:space="preserve"> </w:t>
            </w:r>
            <w:r w:rsidR="009D490E">
              <w:rPr>
                <w:sz w:val="20"/>
                <w:szCs w:val="20"/>
              </w:rPr>
              <w:t xml:space="preserve">the </w:t>
            </w:r>
            <w:r w:rsidR="005E5CB9" w:rsidRPr="00273129">
              <w:rPr>
                <w:sz w:val="20"/>
                <w:szCs w:val="20"/>
              </w:rPr>
              <w:t>COVID-19</w:t>
            </w:r>
            <w:r w:rsidR="009D490E">
              <w:rPr>
                <w:sz w:val="20"/>
                <w:szCs w:val="20"/>
              </w:rPr>
              <w:t xml:space="preserve"> situation has impacted </w:t>
            </w:r>
            <w:r w:rsidR="00D85FB2" w:rsidRPr="00273129">
              <w:rPr>
                <w:sz w:val="20"/>
                <w:szCs w:val="20"/>
              </w:rPr>
              <w:t>relevant sectors</w:t>
            </w:r>
            <w:r w:rsidR="005E5CB9" w:rsidRPr="00273129">
              <w:rPr>
                <w:sz w:val="20"/>
                <w:szCs w:val="20"/>
              </w:rPr>
              <w:t>.</w:t>
            </w:r>
          </w:p>
        </w:tc>
        <w:tc>
          <w:tcPr>
            <w:tcW w:w="936" w:type="pct"/>
            <w:shd w:val="clear" w:color="auto" w:fill="D3E6E9" w:themeFill="accent2" w:themeFillTint="66"/>
          </w:tcPr>
          <w:p w14:paraId="2A0AAF9F" w14:textId="569266A4" w:rsidR="00E27506" w:rsidRPr="00273129" w:rsidRDefault="00E27506" w:rsidP="00603F22">
            <w:pPr>
              <w:pStyle w:val="BodyText"/>
              <w:rPr>
                <w:sz w:val="20"/>
                <w:szCs w:val="20"/>
              </w:rPr>
            </w:pPr>
            <w:r w:rsidRPr="00273129">
              <w:rPr>
                <w:sz w:val="20"/>
                <w:szCs w:val="20"/>
              </w:rPr>
              <w:t>To June 2</w:t>
            </w:r>
            <w:r w:rsidR="004E28AF" w:rsidRPr="00273129">
              <w:rPr>
                <w:sz w:val="20"/>
                <w:szCs w:val="20"/>
              </w:rPr>
              <w:t>021</w:t>
            </w:r>
            <w:r w:rsidR="00255A9C">
              <w:rPr>
                <w:sz w:val="20"/>
                <w:szCs w:val="20"/>
              </w:rPr>
              <w:t>.</w:t>
            </w:r>
          </w:p>
        </w:tc>
      </w:tr>
      <w:tr w:rsidR="004E28AF" w:rsidRPr="00273129" w14:paraId="2F86C98B" w14:textId="77777777" w:rsidTr="003D46DA">
        <w:trPr>
          <w:trHeight w:val="4870"/>
        </w:trPr>
        <w:tc>
          <w:tcPr>
            <w:tcW w:w="1088" w:type="pct"/>
            <w:shd w:val="clear" w:color="auto" w:fill="D3E6E9" w:themeFill="accent2" w:themeFillTint="66"/>
          </w:tcPr>
          <w:p w14:paraId="0BB19E01" w14:textId="4D8025AD" w:rsidR="004E28AF" w:rsidRPr="00273129" w:rsidRDefault="004E28AF" w:rsidP="00554D10">
            <w:pPr>
              <w:pStyle w:val="Heading3"/>
              <w:rPr>
                <w:sz w:val="20"/>
                <w:szCs w:val="20"/>
              </w:rPr>
            </w:pPr>
            <w:r w:rsidRPr="00273129">
              <w:rPr>
                <w:sz w:val="20"/>
                <w:szCs w:val="20"/>
              </w:rPr>
              <w:lastRenderedPageBreak/>
              <w:t xml:space="preserve">Recommendation </w:t>
            </w:r>
            <w:r w:rsidR="00B03373">
              <w:rPr>
                <w:sz w:val="20"/>
                <w:szCs w:val="20"/>
              </w:rPr>
              <w:t>4</w:t>
            </w:r>
          </w:p>
          <w:p w14:paraId="72D7389E" w14:textId="60437BB3" w:rsidR="004E28AF" w:rsidRPr="00273129" w:rsidRDefault="004E28AF" w:rsidP="004E28AF">
            <w:pPr>
              <w:pStyle w:val="BodyText"/>
              <w:rPr>
                <w:sz w:val="20"/>
                <w:szCs w:val="20"/>
              </w:rPr>
            </w:pPr>
            <w:r w:rsidRPr="00273129">
              <w:rPr>
                <w:b/>
                <w:sz w:val="20"/>
                <w:szCs w:val="20"/>
              </w:rPr>
              <w:t>Policy Agenda Component</w:t>
            </w:r>
            <w:r w:rsidRPr="00273129">
              <w:rPr>
                <w:sz w:val="20"/>
                <w:szCs w:val="20"/>
              </w:rPr>
              <w:t xml:space="preserve">: Upon completion of the four knowledge papers, they </w:t>
            </w:r>
            <w:r w:rsidR="009D490E">
              <w:rPr>
                <w:sz w:val="20"/>
                <w:szCs w:val="20"/>
              </w:rPr>
              <w:t>should</w:t>
            </w:r>
            <w:r w:rsidRPr="00273129">
              <w:rPr>
                <w:sz w:val="20"/>
                <w:szCs w:val="20"/>
              </w:rPr>
              <w:t xml:space="preserve"> be vetted by multi-disciplinary specialists and circulated to concerned agencies/institutions prior to publication.</w:t>
            </w:r>
          </w:p>
          <w:p w14:paraId="380755DE" w14:textId="502854A5" w:rsidR="004E28AF" w:rsidRPr="00273129" w:rsidRDefault="004E28AF" w:rsidP="004E28AF">
            <w:pPr>
              <w:pStyle w:val="BodyText"/>
              <w:rPr>
                <w:sz w:val="20"/>
                <w:szCs w:val="20"/>
              </w:rPr>
            </w:pPr>
            <w:r w:rsidRPr="00273129">
              <w:rPr>
                <w:sz w:val="20"/>
                <w:szCs w:val="20"/>
              </w:rPr>
              <w:t>With regards to the conduct of sector/ecosystem policy review by UNDP, a multi-disciplinary team of policy specialists need to be constituted. The minimum team composition consists of economist/financial analyst, institutional development specialist and business development specialist</w:t>
            </w:r>
            <w:r w:rsidR="009D490E">
              <w:rPr>
                <w:sz w:val="20"/>
                <w:szCs w:val="20"/>
              </w:rPr>
              <w:t>s</w:t>
            </w:r>
            <w:r w:rsidRPr="00273129">
              <w:rPr>
                <w:sz w:val="20"/>
                <w:szCs w:val="20"/>
              </w:rPr>
              <w:t>, preferably with working knowledge on impact venture acceleration. The team is expected to build on the outputs of the Policy Agenda Component. The key product of this assignment is a policy agenda covering various aspects of the sector and draft policy instruments. In conducting this review which may take at least four months, the specialists should work closely with government agencies which have the mandates for specific policies.</w:t>
            </w:r>
          </w:p>
        </w:tc>
        <w:tc>
          <w:tcPr>
            <w:tcW w:w="615" w:type="pct"/>
            <w:shd w:val="clear" w:color="auto" w:fill="00B050"/>
          </w:tcPr>
          <w:p w14:paraId="0C7606C2" w14:textId="77777777" w:rsidR="004E28AF" w:rsidRPr="00273129" w:rsidRDefault="004E28AF" w:rsidP="00554D10">
            <w:pPr>
              <w:pStyle w:val="Heading3"/>
              <w:rPr>
                <w:sz w:val="20"/>
                <w:szCs w:val="20"/>
              </w:rPr>
            </w:pPr>
            <w:r w:rsidRPr="00273129">
              <w:rPr>
                <w:sz w:val="20"/>
                <w:szCs w:val="20"/>
              </w:rPr>
              <w:t xml:space="preserve">Agree </w:t>
            </w:r>
          </w:p>
        </w:tc>
        <w:tc>
          <w:tcPr>
            <w:tcW w:w="1231" w:type="pct"/>
            <w:shd w:val="clear" w:color="auto" w:fill="D3E6E9" w:themeFill="accent2" w:themeFillTint="66"/>
          </w:tcPr>
          <w:p w14:paraId="1BBB35E2" w14:textId="3B7C6322" w:rsidR="00BC23F9" w:rsidRDefault="00026AD7" w:rsidP="004E28AF">
            <w:pPr>
              <w:pStyle w:val="BodyText"/>
              <w:rPr>
                <w:sz w:val="20"/>
                <w:szCs w:val="20"/>
              </w:rPr>
            </w:pPr>
            <w:r w:rsidRPr="00273129">
              <w:rPr>
                <w:sz w:val="20"/>
                <w:szCs w:val="20"/>
              </w:rPr>
              <w:t>DFAT supports this recommendation.</w:t>
            </w:r>
            <w:r w:rsidR="00BC23F9">
              <w:rPr>
                <w:sz w:val="20"/>
                <w:szCs w:val="20"/>
              </w:rPr>
              <w:t xml:space="preserve"> We support a process where all policy products undergo a review process by </w:t>
            </w:r>
            <w:r w:rsidR="00BC23F9" w:rsidRPr="00273129">
              <w:rPr>
                <w:sz w:val="20"/>
                <w:szCs w:val="20"/>
              </w:rPr>
              <w:t>multi-disciplinary specialists</w:t>
            </w:r>
            <w:r w:rsidR="002137ED">
              <w:rPr>
                <w:sz w:val="20"/>
                <w:szCs w:val="20"/>
              </w:rPr>
              <w:t>. This process i</w:t>
            </w:r>
            <w:r w:rsidR="00BC23F9">
              <w:rPr>
                <w:sz w:val="20"/>
                <w:szCs w:val="20"/>
              </w:rPr>
              <w:t>nclud</w:t>
            </w:r>
            <w:r w:rsidR="002137ED">
              <w:rPr>
                <w:sz w:val="20"/>
                <w:szCs w:val="20"/>
              </w:rPr>
              <w:t>es</w:t>
            </w:r>
            <w:r w:rsidR="00BC23F9">
              <w:rPr>
                <w:sz w:val="20"/>
                <w:szCs w:val="20"/>
              </w:rPr>
              <w:t xml:space="preserve"> incorporating the views of </w:t>
            </w:r>
            <w:r w:rsidR="002137ED">
              <w:rPr>
                <w:sz w:val="20"/>
                <w:szCs w:val="20"/>
              </w:rPr>
              <w:t xml:space="preserve">the </w:t>
            </w:r>
            <w:r w:rsidR="00BC23F9">
              <w:rPr>
                <w:sz w:val="20"/>
                <w:szCs w:val="20"/>
              </w:rPr>
              <w:t>Philippine Government.</w:t>
            </w:r>
          </w:p>
          <w:p w14:paraId="26EE038A" w14:textId="2DF3D45D" w:rsidR="009424B5" w:rsidRPr="00273129" w:rsidRDefault="00026AD7" w:rsidP="004E28AF">
            <w:pPr>
              <w:pStyle w:val="BodyText"/>
              <w:rPr>
                <w:sz w:val="20"/>
                <w:szCs w:val="20"/>
              </w:rPr>
            </w:pPr>
            <w:r w:rsidRPr="00273129">
              <w:rPr>
                <w:sz w:val="20"/>
                <w:szCs w:val="20"/>
              </w:rPr>
              <w:t>We would encourage</w:t>
            </w:r>
            <w:r w:rsidR="004E28AF" w:rsidRPr="00273129">
              <w:rPr>
                <w:sz w:val="20"/>
                <w:szCs w:val="20"/>
              </w:rPr>
              <w:t xml:space="preserve"> </w:t>
            </w:r>
            <w:r w:rsidR="00BC23F9">
              <w:rPr>
                <w:sz w:val="20"/>
                <w:szCs w:val="20"/>
              </w:rPr>
              <w:t>a</w:t>
            </w:r>
            <w:r w:rsidR="004E28AF" w:rsidRPr="00273129">
              <w:rPr>
                <w:sz w:val="20"/>
                <w:szCs w:val="20"/>
              </w:rPr>
              <w:t xml:space="preserve"> </w:t>
            </w:r>
            <w:r w:rsidRPr="00273129">
              <w:rPr>
                <w:sz w:val="20"/>
                <w:szCs w:val="20"/>
              </w:rPr>
              <w:t xml:space="preserve">UNDP-led </w:t>
            </w:r>
            <w:r w:rsidR="004E28AF" w:rsidRPr="00273129">
              <w:rPr>
                <w:sz w:val="20"/>
                <w:szCs w:val="20"/>
              </w:rPr>
              <w:t xml:space="preserve">sector/ecosystem policy review </w:t>
            </w:r>
            <w:r w:rsidRPr="00273129">
              <w:rPr>
                <w:sz w:val="20"/>
                <w:szCs w:val="20"/>
              </w:rPr>
              <w:t>to be</w:t>
            </w:r>
            <w:r w:rsidR="004E28AF" w:rsidRPr="00273129">
              <w:rPr>
                <w:sz w:val="20"/>
                <w:szCs w:val="20"/>
              </w:rPr>
              <w:t xml:space="preserve"> </w:t>
            </w:r>
            <w:r w:rsidRPr="00273129">
              <w:rPr>
                <w:sz w:val="20"/>
                <w:szCs w:val="20"/>
              </w:rPr>
              <w:t>responsive to the impacts of COVID-19</w:t>
            </w:r>
            <w:r w:rsidR="00BC23F9">
              <w:rPr>
                <w:sz w:val="20"/>
                <w:szCs w:val="20"/>
              </w:rPr>
              <w:t xml:space="preserve"> and be able to provide recommendations for future private-sector development initiatives. This should be completed by</w:t>
            </w:r>
            <w:r w:rsidRPr="00273129">
              <w:rPr>
                <w:sz w:val="20"/>
                <w:szCs w:val="20"/>
              </w:rPr>
              <w:t xml:space="preserve"> June 2021 in conjunction with a no-cost extension of </w:t>
            </w:r>
            <w:r w:rsidR="00683172">
              <w:rPr>
                <w:sz w:val="20"/>
                <w:szCs w:val="20"/>
              </w:rPr>
              <w:t xml:space="preserve">the </w:t>
            </w:r>
            <w:r w:rsidRPr="00273129">
              <w:rPr>
                <w:sz w:val="20"/>
                <w:szCs w:val="20"/>
              </w:rPr>
              <w:t>ISIP</w:t>
            </w:r>
            <w:r w:rsidR="00683172">
              <w:rPr>
                <w:sz w:val="20"/>
                <w:szCs w:val="20"/>
              </w:rPr>
              <w:t xml:space="preserve"> Project</w:t>
            </w:r>
            <w:r w:rsidRPr="00273129">
              <w:rPr>
                <w:sz w:val="20"/>
                <w:szCs w:val="20"/>
              </w:rPr>
              <w:t>.</w:t>
            </w:r>
          </w:p>
        </w:tc>
        <w:tc>
          <w:tcPr>
            <w:tcW w:w="1130" w:type="pct"/>
            <w:shd w:val="clear" w:color="auto" w:fill="D3E6E9" w:themeFill="accent2" w:themeFillTint="66"/>
          </w:tcPr>
          <w:p w14:paraId="661B6400" w14:textId="10EEF51C" w:rsidR="002962EC" w:rsidRDefault="00BC23F9" w:rsidP="00D1572F">
            <w:pPr>
              <w:pStyle w:val="BodyText"/>
              <w:rPr>
                <w:sz w:val="20"/>
                <w:szCs w:val="20"/>
              </w:rPr>
            </w:pPr>
            <w:r>
              <w:rPr>
                <w:sz w:val="20"/>
                <w:szCs w:val="20"/>
              </w:rPr>
              <w:t xml:space="preserve">PhilDev </w:t>
            </w:r>
            <w:r w:rsidR="002962EC">
              <w:rPr>
                <w:sz w:val="20"/>
                <w:szCs w:val="20"/>
              </w:rPr>
              <w:t xml:space="preserve">to incorporate longer review timeframes for policy products and identify </w:t>
            </w:r>
            <w:proofErr w:type="gramStart"/>
            <w:r w:rsidR="002962EC">
              <w:rPr>
                <w:sz w:val="20"/>
                <w:szCs w:val="20"/>
              </w:rPr>
              <w:t>a number of</w:t>
            </w:r>
            <w:proofErr w:type="gramEnd"/>
            <w:r w:rsidR="002962EC">
              <w:rPr>
                <w:sz w:val="20"/>
                <w:szCs w:val="20"/>
              </w:rPr>
              <w:t xml:space="preserve"> relevant reviewers – including government agencies.</w:t>
            </w:r>
          </w:p>
          <w:p w14:paraId="140A8E6A" w14:textId="7E26B26C" w:rsidR="004E28AF" w:rsidRPr="00273129" w:rsidRDefault="00026AD7" w:rsidP="00D1572F">
            <w:pPr>
              <w:pStyle w:val="BodyText"/>
              <w:rPr>
                <w:sz w:val="20"/>
                <w:szCs w:val="20"/>
              </w:rPr>
            </w:pPr>
            <w:r w:rsidRPr="00273129">
              <w:rPr>
                <w:sz w:val="20"/>
                <w:szCs w:val="20"/>
              </w:rPr>
              <w:t xml:space="preserve">UNDP to ensure that this recommendation is taken into account when developing the terms of </w:t>
            </w:r>
            <w:r w:rsidR="0017070E" w:rsidRPr="00273129">
              <w:rPr>
                <w:sz w:val="20"/>
                <w:szCs w:val="20"/>
              </w:rPr>
              <w:t>reference</w:t>
            </w:r>
            <w:r w:rsidR="00D1572F">
              <w:rPr>
                <w:sz w:val="20"/>
                <w:szCs w:val="20"/>
              </w:rPr>
              <w:t xml:space="preserve"> (</w:t>
            </w:r>
            <w:proofErr w:type="spellStart"/>
            <w:r w:rsidR="00D1572F">
              <w:rPr>
                <w:sz w:val="20"/>
                <w:szCs w:val="20"/>
              </w:rPr>
              <w:t>ToR</w:t>
            </w:r>
            <w:proofErr w:type="spellEnd"/>
            <w:proofErr w:type="gramStart"/>
            <w:r w:rsidR="00D1572F">
              <w:rPr>
                <w:sz w:val="20"/>
                <w:szCs w:val="20"/>
              </w:rPr>
              <w:t>)</w:t>
            </w:r>
            <w:r w:rsidR="0017070E" w:rsidRPr="00273129">
              <w:rPr>
                <w:sz w:val="20"/>
                <w:szCs w:val="20"/>
              </w:rPr>
              <w:t>, and</w:t>
            </w:r>
            <w:proofErr w:type="gramEnd"/>
            <w:r w:rsidR="0017070E" w:rsidRPr="00273129">
              <w:rPr>
                <w:sz w:val="20"/>
                <w:szCs w:val="20"/>
              </w:rPr>
              <w:t xml:space="preserve"> providing oversight</w:t>
            </w:r>
            <w:r w:rsidRPr="00273129">
              <w:rPr>
                <w:sz w:val="20"/>
                <w:szCs w:val="20"/>
              </w:rPr>
              <w:t xml:space="preserve"> for the sector/ecosystem policy review</w:t>
            </w:r>
            <w:r w:rsidR="0017070E" w:rsidRPr="00273129">
              <w:rPr>
                <w:sz w:val="20"/>
                <w:szCs w:val="20"/>
              </w:rPr>
              <w:t xml:space="preserve">. DFAT would encourage UNDP to ensure </w:t>
            </w:r>
            <w:r w:rsidRPr="00273129">
              <w:rPr>
                <w:sz w:val="20"/>
                <w:szCs w:val="20"/>
              </w:rPr>
              <w:t xml:space="preserve">that </w:t>
            </w:r>
            <w:r w:rsidR="0017070E" w:rsidRPr="00273129">
              <w:rPr>
                <w:sz w:val="20"/>
                <w:szCs w:val="20"/>
              </w:rPr>
              <w:t xml:space="preserve">impact and recovery from </w:t>
            </w:r>
            <w:r w:rsidR="009D490E">
              <w:rPr>
                <w:sz w:val="20"/>
                <w:szCs w:val="20"/>
              </w:rPr>
              <w:t xml:space="preserve">the effects of the </w:t>
            </w:r>
            <w:r w:rsidRPr="00273129">
              <w:rPr>
                <w:sz w:val="20"/>
                <w:szCs w:val="20"/>
              </w:rPr>
              <w:t>COVID-19</w:t>
            </w:r>
            <w:r w:rsidR="009D490E">
              <w:rPr>
                <w:sz w:val="20"/>
                <w:szCs w:val="20"/>
              </w:rPr>
              <w:t xml:space="preserve"> pandemic</w:t>
            </w:r>
            <w:r w:rsidRPr="00273129">
              <w:rPr>
                <w:sz w:val="20"/>
                <w:szCs w:val="20"/>
              </w:rPr>
              <w:t xml:space="preserve"> is a key theme of the policy review.</w:t>
            </w:r>
          </w:p>
        </w:tc>
        <w:tc>
          <w:tcPr>
            <w:tcW w:w="936" w:type="pct"/>
            <w:shd w:val="clear" w:color="auto" w:fill="D3E6E9" w:themeFill="accent2" w:themeFillTint="66"/>
          </w:tcPr>
          <w:p w14:paraId="740644B5" w14:textId="57F53E5D" w:rsidR="004E28AF" w:rsidRPr="00273129" w:rsidRDefault="004E28AF" w:rsidP="00554D10">
            <w:pPr>
              <w:pStyle w:val="BodyText"/>
              <w:rPr>
                <w:sz w:val="20"/>
                <w:szCs w:val="20"/>
              </w:rPr>
            </w:pPr>
            <w:r w:rsidRPr="00273129">
              <w:rPr>
                <w:sz w:val="20"/>
                <w:szCs w:val="20"/>
              </w:rPr>
              <w:t>To June 2021</w:t>
            </w:r>
            <w:r w:rsidR="00026AD7" w:rsidRPr="00273129">
              <w:rPr>
                <w:sz w:val="20"/>
                <w:szCs w:val="20"/>
              </w:rPr>
              <w:t>.</w:t>
            </w:r>
          </w:p>
        </w:tc>
      </w:tr>
      <w:tr w:rsidR="004E28AF" w:rsidRPr="00273129" w14:paraId="3AB511B8" w14:textId="77777777" w:rsidTr="003D46DA">
        <w:trPr>
          <w:trHeight w:val="4870"/>
        </w:trPr>
        <w:tc>
          <w:tcPr>
            <w:tcW w:w="1088" w:type="pct"/>
            <w:shd w:val="clear" w:color="auto" w:fill="D3E6E9" w:themeFill="accent2" w:themeFillTint="66"/>
          </w:tcPr>
          <w:p w14:paraId="0ED3EC92" w14:textId="094B1812" w:rsidR="004E28AF" w:rsidRPr="00273129" w:rsidRDefault="004E28AF" w:rsidP="00603F22">
            <w:pPr>
              <w:pStyle w:val="Heading3"/>
              <w:rPr>
                <w:sz w:val="20"/>
                <w:szCs w:val="20"/>
              </w:rPr>
            </w:pPr>
            <w:r w:rsidRPr="00273129">
              <w:rPr>
                <w:sz w:val="20"/>
                <w:szCs w:val="20"/>
              </w:rPr>
              <w:t xml:space="preserve">Recommendation </w:t>
            </w:r>
            <w:r w:rsidR="00006926">
              <w:rPr>
                <w:sz w:val="20"/>
                <w:szCs w:val="20"/>
              </w:rPr>
              <w:t>5</w:t>
            </w:r>
          </w:p>
          <w:p w14:paraId="4582528C" w14:textId="592A81F1" w:rsidR="004E28AF" w:rsidRPr="00273129" w:rsidRDefault="004E28AF" w:rsidP="009D490E">
            <w:pPr>
              <w:pStyle w:val="BodyText"/>
              <w:rPr>
                <w:sz w:val="20"/>
                <w:szCs w:val="20"/>
              </w:rPr>
            </w:pPr>
            <w:r w:rsidRPr="00273129">
              <w:rPr>
                <w:b/>
                <w:sz w:val="20"/>
                <w:szCs w:val="20"/>
              </w:rPr>
              <w:t>Financial and Operational Planning</w:t>
            </w:r>
            <w:r w:rsidR="009D490E">
              <w:rPr>
                <w:b/>
                <w:sz w:val="20"/>
                <w:szCs w:val="20"/>
              </w:rPr>
              <w:t xml:space="preserve"> </w:t>
            </w:r>
            <w:r w:rsidRPr="00273129">
              <w:rPr>
                <w:b/>
                <w:sz w:val="20"/>
                <w:szCs w:val="20"/>
              </w:rPr>
              <w:t xml:space="preserve">- </w:t>
            </w:r>
            <w:r w:rsidRPr="00273129">
              <w:rPr>
                <w:sz w:val="20"/>
                <w:szCs w:val="20"/>
              </w:rPr>
              <w:t>Given the inclusion of two major activities (project formulation and sector/ecosystem policy review) and the expected substantial savings, there is a need for the St</w:t>
            </w:r>
            <w:r w:rsidR="009D490E">
              <w:rPr>
                <w:sz w:val="20"/>
                <w:szCs w:val="20"/>
              </w:rPr>
              <w:t>eering Committee to review the P</w:t>
            </w:r>
            <w:r w:rsidRPr="00273129">
              <w:rPr>
                <w:sz w:val="20"/>
                <w:szCs w:val="20"/>
              </w:rPr>
              <w:t xml:space="preserve">roject plan and budget up to December 2020 to determine the accrued and potential savings; and reallocate financial resources with the concurrence of the </w:t>
            </w:r>
            <w:r w:rsidR="009D490E">
              <w:rPr>
                <w:sz w:val="20"/>
                <w:szCs w:val="20"/>
              </w:rPr>
              <w:t xml:space="preserve">DFAT project team in the </w:t>
            </w:r>
            <w:r w:rsidRPr="00273129">
              <w:rPr>
                <w:sz w:val="20"/>
                <w:szCs w:val="20"/>
              </w:rPr>
              <w:t>Australian Embassy</w:t>
            </w:r>
            <w:r w:rsidR="009D490E">
              <w:rPr>
                <w:sz w:val="20"/>
                <w:szCs w:val="20"/>
              </w:rPr>
              <w:t xml:space="preserve"> Manila</w:t>
            </w:r>
            <w:r w:rsidRPr="00273129">
              <w:rPr>
                <w:sz w:val="20"/>
                <w:szCs w:val="20"/>
              </w:rPr>
              <w:t>. This should be done once the lockdown is relaxed or lifted. With the financial reallocation, it may be necessary to revise the agreement between UNDP and PhilDev for Australian Embassy</w:t>
            </w:r>
            <w:r w:rsidR="009D490E">
              <w:rPr>
                <w:sz w:val="20"/>
                <w:szCs w:val="20"/>
              </w:rPr>
              <w:t xml:space="preserve"> project</w:t>
            </w:r>
            <w:r w:rsidRPr="00273129">
              <w:rPr>
                <w:sz w:val="20"/>
                <w:szCs w:val="20"/>
              </w:rPr>
              <w:t xml:space="preserve"> </w:t>
            </w:r>
            <w:r w:rsidR="009D490E">
              <w:rPr>
                <w:sz w:val="20"/>
                <w:szCs w:val="20"/>
              </w:rPr>
              <w:t xml:space="preserve">team </w:t>
            </w:r>
            <w:r w:rsidRPr="00273129">
              <w:rPr>
                <w:sz w:val="20"/>
                <w:szCs w:val="20"/>
              </w:rPr>
              <w:t>approval/concurrence.</w:t>
            </w:r>
          </w:p>
        </w:tc>
        <w:tc>
          <w:tcPr>
            <w:tcW w:w="615" w:type="pct"/>
            <w:shd w:val="clear" w:color="auto" w:fill="FFC000"/>
          </w:tcPr>
          <w:p w14:paraId="33A5AE22" w14:textId="5D0AE293" w:rsidR="004E28AF" w:rsidRPr="00273129" w:rsidRDefault="004E28AF" w:rsidP="00603F22">
            <w:pPr>
              <w:pStyle w:val="Heading3"/>
              <w:rPr>
                <w:sz w:val="20"/>
                <w:szCs w:val="20"/>
              </w:rPr>
            </w:pPr>
            <w:r w:rsidRPr="00273129">
              <w:rPr>
                <w:sz w:val="20"/>
                <w:szCs w:val="20"/>
              </w:rPr>
              <w:t>Agree in part</w:t>
            </w:r>
          </w:p>
        </w:tc>
        <w:tc>
          <w:tcPr>
            <w:tcW w:w="1231" w:type="pct"/>
            <w:shd w:val="clear" w:color="auto" w:fill="D3E6E9" w:themeFill="accent2" w:themeFillTint="66"/>
          </w:tcPr>
          <w:p w14:paraId="3886FAFE" w14:textId="6355435E" w:rsidR="0017070E" w:rsidRDefault="004E28AF" w:rsidP="004E28AF">
            <w:pPr>
              <w:pStyle w:val="BodyText"/>
              <w:rPr>
                <w:sz w:val="20"/>
                <w:szCs w:val="20"/>
              </w:rPr>
            </w:pPr>
            <w:r w:rsidRPr="00273129">
              <w:rPr>
                <w:sz w:val="20"/>
                <w:szCs w:val="20"/>
              </w:rPr>
              <w:t xml:space="preserve">As </w:t>
            </w:r>
            <w:r w:rsidR="0017070E" w:rsidRPr="00273129">
              <w:rPr>
                <w:sz w:val="20"/>
                <w:szCs w:val="20"/>
              </w:rPr>
              <w:t>noted in</w:t>
            </w:r>
            <w:r w:rsidRPr="00273129">
              <w:rPr>
                <w:sz w:val="20"/>
                <w:szCs w:val="20"/>
              </w:rPr>
              <w:t xml:space="preserve"> </w:t>
            </w:r>
            <w:r w:rsidR="00F63E6A">
              <w:rPr>
                <w:sz w:val="20"/>
                <w:szCs w:val="20"/>
              </w:rPr>
              <w:t>R</w:t>
            </w:r>
            <w:r w:rsidRPr="00273129">
              <w:rPr>
                <w:sz w:val="20"/>
                <w:szCs w:val="20"/>
              </w:rPr>
              <w:t xml:space="preserve">ecommendation </w:t>
            </w:r>
            <w:r w:rsidR="0017070E" w:rsidRPr="00273129">
              <w:rPr>
                <w:sz w:val="20"/>
                <w:szCs w:val="20"/>
              </w:rPr>
              <w:t>‘</w:t>
            </w:r>
            <w:r w:rsidR="006F5B3B">
              <w:rPr>
                <w:sz w:val="20"/>
                <w:szCs w:val="20"/>
              </w:rPr>
              <w:t>1</w:t>
            </w:r>
            <w:r w:rsidR="0017070E" w:rsidRPr="00273129">
              <w:rPr>
                <w:sz w:val="20"/>
                <w:szCs w:val="20"/>
              </w:rPr>
              <w:t>’</w:t>
            </w:r>
            <w:r w:rsidRPr="00273129">
              <w:rPr>
                <w:sz w:val="20"/>
                <w:szCs w:val="20"/>
              </w:rPr>
              <w:t>,</w:t>
            </w:r>
            <w:r w:rsidR="0017070E" w:rsidRPr="00273129">
              <w:rPr>
                <w:sz w:val="20"/>
                <w:szCs w:val="20"/>
              </w:rPr>
              <w:t xml:space="preserve"> DFAT </w:t>
            </w:r>
            <w:r w:rsidR="00655502">
              <w:rPr>
                <w:sz w:val="20"/>
                <w:szCs w:val="20"/>
              </w:rPr>
              <w:t>supports</w:t>
            </w:r>
            <w:r w:rsidR="00655502" w:rsidRPr="00273129">
              <w:rPr>
                <w:sz w:val="20"/>
                <w:szCs w:val="20"/>
              </w:rPr>
              <w:t xml:space="preserve"> </w:t>
            </w:r>
            <w:r w:rsidR="0017070E" w:rsidRPr="00273129">
              <w:rPr>
                <w:sz w:val="20"/>
                <w:szCs w:val="20"/>
              </w:rPr>
              <w:t>a</w:t>
            </w:r>
            <w:r w:rsidR="00CA1A59">
              <w:rPr>
                <w:sz w:val="20"/>
                <w:szCs w:val="20"/>
              </w:rPr>
              <w:t xml:space="preserve"> </w:t>
            </w:r>
            <w:r w:rsidR="00655502">
              <w:rPr>
                <w:sz w:val="20"/>
                <w:szCs w:val="20"/>
              </w:rPr>
              <w:t xml:space="preserve">six month, </w:t>
            </w:r>
            <w:r w:rsidR="00CA1A59">
              <w:rPr>
                <w:sz w:val="20"/>
                <w:szCs w:val="20"/>
              </w:rPr>
              <w:t>no-cost extension of the ISIP P</w:t>
            </w:r>
            <w:r w:rsidR="0017070E" w:rsidRPr="00273129">
              <w:rPr>
                <w:sz w:val="20"/>
                <w:szCs w:val="20"/>
              </w:rPr>
              <w:t>roject through to the end of June 2021. Given the low burn rate of the budget, we consider this to be appropriate.</w:t>
            </w:r>
          </w:p>
          <w:p w14:paraId="398A407B" w14:textId="59065C0B" w:rsidR="006F5B3B" w:rsidRPr="00273129" w:rsidRDefault="006F5B3B" w:rsidP="004E28AF">
            <w:pPr>
              <w:pStyle w:val="BodyText"/>
              <w:rPr>
                <w:sz w:val="20"/>
                <w:szCs w:val="20"/>
              </w:rPr>
            </w:pPr>
            <w:r w:rsidRPr="00273129">
              <w:rPr>
                <w:sz w:val="20"/>
                <w:szCs w:val="20"/>
              </w:rPr>
              <w:t>We support the undertaking of the conduct of sector/ecosystem policy review</w:t>
            </w:r>
            <w:r>
              <w:rPr>
                <w:sz w:val="20"/>
                <w:szCs w:val="20"/>
              </w:rPr>
              <w:t xml:space="preserve">. The review should </w:t>
            </w:r>
            <w:r w:rsidR="00655502">
              <w:rPr>
                <w:sz w:val="20"/>
                <w:szCs w:val="20"/>
              </w:rPr>
              <w:t>look to the future</w:t>
            </w:r>
            <w:r>
              <w:rPr>
                <w:sz w:val="20"/>
                <w:szCs w:val="20"/>
              </w:rPr>
              <w:t xml:space="preserve"> and may make </w:t>
            </w:r>
            <w:r w:rsidR="00A5596F">
              <w:rPr>
                <w:sz w:val="20"/>
                <w:szCs w:val="20"/>
              </w:rPr>
              <w:t xml:space="preserve">design </w:t>
            </w:r>
            <w:r>
              <w:rPr>
                <w:sz w:val="20"/>
                <w:szCs w:val="20"/>
              </w:rPr>
              <w:t>recommendations that could inform a possible second phase of the project</w:t>
            </w:r>
            <w:r w:rsidR="00A5596F">
              <w:rPr>
                <w:sz w:val="20"/>
                <w:szCs w:val="20"/>
              </w:rPr>
              <w:t xml:space="preserve"> or support the work by other stakeholders in this sector</w:t>
            </w:r>
            <w:r>
              <w:rPr>
                <w:sz w:val="20"/>
                <w:szCs w:val="20"/>
              </w:rPr>
              <w:t>.</w:t>
            </w:r>
            <w:r w:rsidRPr="00273129">
              <w:rPr>
                <w:sz w:val="20"/>
                <w:szCs w:val="20"/>
              </w:rPr>
              <w:t xml:space="preserve"> All policy should ensure that value for money is achieved and the project be responsive to the current COVID-19 situation.</w:t>
            </w:r>
          </w:p>
          <w:p w14:paraId="7616300E" w14:textId="7287845F" w:rsidR="007E448F" w:rsidRPr="00273129" w:rsidRDefault="006F5B3B" w:rsidP="0017070E">
            <w:pPr>
              <w:pStyle w:val="BodyText"/>
              <w:rPr>
                <w:sz w:val="20"/>
                <w:szCs w:val="20"/>
              </w:rPr>
            </w:pPr>
            <w:r w:rsidRPr="00006926">
              <w:t xml:space="preserve">DFAT’s agreement to use remaining project funds to fund the sectoral policy review must not be interpreted as an indication or commitment it will provide funding for the implementation of </w:t>
            </w:r>
            <w:r>
              <w:t>p</w:t>
            </w:r>
            <w:r w:rsidRPr="00006926">
              <w:t xml:space="preserve">hase </w:t>
            </w:r>
            <w:r>
              <w:t>two</w:t>
            </w:r>
          </w:p>
        </w:tc>
        <w:tc>
          <w:tcPr>
            <w:tcW w:w="1130" w:type="pct"/>
            <w:shd w:val="clear" w:color="auto" w:fill="D3E6E9" w:themeFill="accent2" w:themeFillTint="66"/>
          </w:tcPr>
          <w:p w14:paraId="11151F07" w14:textId="6EFA19CA" w:rsidR="00A5596F" w:rsidRDefault="00683172" w:rsidP="00725B19">
            <w:pPr>
              <w:pStyle w:val="BodyText"/>
              <w:rPr>
                <w:sz w:val="20"/>
                <w:szCs w:val="20"/>
              </w:rPr>
            </w:pPr>
            <w:r w:rsidRPr="00273129">
              <w:rPr>
                <w:sz w:val="20"/>
                <w:szCs w:val="20"/>
              </w:rPr>
              <w:t>T</w:t>
            </w:r>
            <w:r>
              <w:rPr>
                <w:sz w:val="20"/>
                <w:szCs w:val="20"/>
              </w:rPr>
              <w:t>he P</w:t>
            </w:r>
            <w:r w:rsidRPr="00273129">
              <w:rPr>
                <w:sz w:val="20"/>
                <w:szCs w:val="20"/>
              </w:rPr>
              <w:t xml:space="preserve">roject should be extended to 30 June 2021 </w:t>
            </w:r>
            <w:r>
              <w:rPr>
                <w:sz w:val="20"/>
                <w:szCs w:val="20"/>
              </w:rPr>
              <w:t>at no cost (note that the existing cost-sharing arrangement between DFAT and UNDP with an end date of June 2023 supports this)</w:t>
            </w:r>
            <w:r w:rsidRPr="00273129">
              <w:rPr>
                <w:sz w:val="20"/>
                <w:szCs w:val="20"/>
              </w:rPr>
              <w:t xml:space="preserve">. </w:t>
            </w:r>
            <w:r w:rsidR="0017070E" w:rsidRPr="00273129">
              <w:rPr>
                <w:sz w:val="20"/>
                <w:szCs w:val="20"/>
              </w:rPr>
              <w:t xml:space="preserve">PhilDev should propose a work plan </w:t>
            </w:r>
            <w:r w:rsidR="00CA1A59">
              <w:rPr>
                <w:sz w:val="20"/>
                <w:szCs w:val="20"/>
              </w:rPr>
              <w:t>for consideration by the Steering C</w:t>
            </w:r>
            <w:r w:rsidR="0017070E" w:rsidRPr="00273129">
              <w:rPr>
                <w:sz w:val="20"/>
                <w:szCs w:val="20"/>
              </w:rPr>
              <w:t>ommittee.</w:t>
            </w:r>
          </w:p>
          <w:p w14:paraId="714B40DE" w14:textId="06B49CBB" w:rsidR="00A5596F" w:rsidRDefault="00A5596F" w:rsidP="00725B19">
            <w:pPr>
              <w:pStyle w:val="BodyText"/>
              <w:rPr>
                <w:sz w:val="20"/>
                <w:szCs w:val="20"/>
              </w:rPr>
            </w:pPr>
            <w:r w:rsidRPr="00273129">
              <w:rPr>
                <w:sz w:val="20"/>
                <w:szCs w:val="20"/>
              </w:rPr>
              <w:t xml:space="preserve">UNDP should </w:t>
            </w:r>
            <w:r>
              <w:rPr>
                <w:sz w:val="20"/>
                <w:szCs w:val="20"/>
              </w:rPr>
              <w:t>procure a consultant to</w:t>
            </w:r>
            <w:r w:rsidRPr="00273129">
              <w:rPr>
                <w:sz w:val="20"/>
                <w:szCs w:val="20"/>
              </w:rPr>
              <w:t xml:space="preserve"> conduct </w:t>
            </w:r>
            <w:r>
              <w:rPr>
                <w:sz w:val="20"/>
                <w:szCs w:val="20"/>
              </w:rPr>
              <w:t>the</w:t>
            </w:r>
            <w:r w:rsidRPr="00273129">
              <w:rPr>
                <w:sz w:val="20"/>
                <w:szCs w:val="20"/>
              </w:rPr>
              <w:t xml:space="preserve"> sector/ecosystem policy review. </w:t>
            </w:r>
            <w:r w:rsidR="00CE7473">
              <w:rPr>
                <w:sz w:val="20"/>
                <w:szCs w:val="20"/>
              </w:rPr>
              <w:t xml:space="preserve">DFAT will work with UNDP to </w:t>
            </w:r>
            <w:proofErr w:type="gramStart"/>
            <w:r w:rsidR="00CE7473">
              <w:rPr>
                <w:sz w:val="20"/>
                <w:szCs w:val="20"/>
              </w:rPr>
              <w:t>finalised</w:t>
            </w:r>
            <w:proofErr w:type="gramEnd"/>
            <w:r w:rsidR="00CE7473">
              <w:rPr>
                <w:sz w:val="20"/>
                <w:szCs w:val="20"/>
              </w:rPr>
              <w:t xml:space="preserve"> the consultant’s </w:t>
            </w:r>
            <w:proofErr w:type="spellStart"/>
            <w:r w:rsidR="00CE7473">
              <w:rPr>
                <w:sz w:val="20"/>
                <w:szCs w:val="20"/>
              </w:rPr>
              <w:t>ToR</w:t>
            </w:r>
            <w:proofErr w:type="spellEnd"/>
            <w:r w:rsidR="00CE7473">
              <w:rPr>
                <w:sz w:val="20"/>
                <w:szCs w:val="20"/>
              </w:rPr>
              <w:t xml:space="preserve">. </w:t>
            </w:r>
            <w:r w:rsidR="00781C35">
              <w:rPr>
                <w:sz w:val="20"/>
                <w:szCs w:val="20"/>
              </w:rPr>
              <w:t>A</w:t>
            </w:r>
            <w:r>
              <w:rPr>
                <w:sz w:val="20"/>
                <w:szCs w:val="20"/>
              </w:rPr>
              <w:t xml:space="preserve">ctivities </w:t>
            </w:r>
            <w:r w:rsidR="00781C35">
              <w:rPr>
                <w:sz w:val="20"/>
                <w:szCs w:val="20"/>
              </w:rPr>
              <w:t>should</w:t>
            </w:r>
            <w:r>
              <w:rPr>
                <w:sz w:val="20"/>
                <w:szCs w:val="20"/>
              </w:rPr>
              <w:t xml:space="preserve"> be</w:t>
            </w:r>
            <w:r w:rsidRPr="00273129">
              <w:rPr>
                <w:sz w:val="20"/>
                <w:szCs w:val="20"/>
              </w:rPr>
              <w:t xml:space="preserve"> highly responsive to supporting the private sec</w:t>
            </w:r>
            <w:r>
              <w:rPr>
                <w:sz w:val="20"/>
                <w:szCs w:val="20"/>
              </w:rPr>
              <w:t>tor respond to and recover from COVID-19.</w:t>
            </w:r>
            <w:r w:rsidR="00CE7473">
              <w:rPr>
                <w:sz w:val="20"/>
                <w:szCs w:val="20"/>
              </w:rPr>
              <w:t xml:space="preserve"> </w:t>
            </w:r>
          </w:p>
          <w:p w14:paraId="4C3E83E5" w14:textId="56636D35" w:rsidR="004E28AF" w:rsidRPr="00273129" w:rsidRDefault="00A24383" w:rsidP="00725B19">
            <w:pPr>
              <w:pStyle w:val="BodyText"/>
              <w:rPr>
                <w:sz w:val="20"/>
                <w:szCs w:val="20"/>
              </w:rPr>
            </w:pPr>
            <w:r w:rsidRPr="00273129">
              <w:rPr>
                <w:sz w:val="20"/>
                <w:szCs w:val="20"/>
              </w:rPr>
              <w:t>UNDP should closely monitor the budget during the remaining project timeframe.</w:t>
            </w:r>
          </w:p>
        </w:tc>
        <w:tc>
          <w:tcPr>
            <w:tcW w:w="936" w:type="pct"/>
            <w:shd w:val="clear" w:color="auto" w:fill="D3E6E9" w:themeFill="accent2" w:themeFillTint="66"/>
          </w:tcPr>
          <w:p w14:paraId="1556B6F2" w14:textId="2A889952" w:rsidR="004E28AF" w:rsidRPr="00273129" w:rsidRDefault="004E28AF" w:rsidP="00603F22">
            <w:pPr>
              <w:pStyle w:val="BodyText"/>
              <w:rPr>
                <w:sz w:val="20"/>
                <w:szCs w:val="20"/>
              </w:rPr>
            </w:pPr>
            <w:r w:rsidRPr="00273129">
              <w:rPr>
                <w:sz w:val="20"/>
                <w:szCs w:val="20"/>
              </w:rPr>
              <w:t>To June 2021</w:t>
            </w:r>
            <w:r w:rsidR="00A24383" w:rsidRPr="00273129">
              <w:rPr>
                <w:sz w:val="20"/>
                <w:szCs w:val="20"/>
              </w:rPr>
              <w:t>.</w:t>
            </w:r>
          </w:p>
        </w:tc>
      </w:tr>
      <w:tr w:rsidR="004E28AF" w:rsidRPr="00273129" w14:paraId="72B3D628" w14:textId="77777777" w:rsidTr="00A05E99">
        <w:trPr>
          <w:trHeight w:val="3009"/>
        </w:trPr>
        <w:tc>
          <w:tcPr>
            <w:tcW w:w="1088" w:type="pct"/>
            <w:shd w:val="clear" w:color="auto" w:fill="D3E6E9" w:themeFill="accent2" w:themeFillTint="66"/>
          </w:tcPr>
          <w:p w14:paraId="6A0F581A" w14:textId="5DEA4BF3" w:rsidR="004E28AF" w:rsidRPr="00273129" w:rsidRDefault="004E28AF" w:rsidP="00603F22">
            <w:pPr>
              <w:pStyle w:val="Heading3"/>
              <w:rPr>
                <w:sz w:val="20"/>
                <w:szCs w:val="20"/>
              </w:rPr>
            </w:pPr>
            <w:r w:rsidRPr="00273129">
              <w:rPr>
                <w:sz w:val="20"/>
                <w:szCs w:val="20"/>
              </w:rPr>
              <w:lastRenderedPageBreak/>
              <w:t xml:space="preserve">Recommendation </w:t>
            </w:r>
            <w:r w:rsidR="00006926">
              <w:rPr>
                <w:sz w:val="20"/>
                <w:szCs w:val="20"/>
              </w:rPr>
              <w:t>6</w:t>
            </w:r>
          </w:p>
          <w:p w14:paraId="3045E947" w14:textId="04CAB1C1" w:rsidR="004E28AF" w:rsidRPr="00273129" w:rsidRDefault="004E28AF" w:rsidP="004E28AF">
            <w:pPr>
              <w:pStyle w:val="BodyText"/>
              <w:rPr>
                <w:sz w:val="20"/>
                <w:szCs w:val="20"/>
              </w:rPr>
            </w:pPr>
            <w:r w:rsidRPr="00273129">
              <w:rPr>
                <w:b/>
                <w:sz w:val="20"/>
                <w:szCs w:val="20"/>
              </w:rPr>
              <w:t>Monitoring and Evaluation</w:t>
            </w:r>
            <w:r w:rsidR="00D1572F">
              <w:rPr>
                <w:b/>
                <w:sz w:val="20"/>
                <w:szCs w:val="20"/>
              </w:rPr>
              <w:t xml:space="preserve"> (M&amp;E)</w:t>
            </w:r>
            <w:r w:rsidRPr="00273129">
              <w:rPr>
                <w:b/>
                <w:sz w:val="20"/>
                <w:szCs w:val="20"/>
              </w:rPr>
              <w:t xml:space="preserve">: </w:t>
            </w:r>
            <w:r w:rsidRPr="00273129">
              <w:rPr>
                <w:sz w:val="20"/>
                <w:szCs w:val="20"/>
              </w:rPr>
              <w:t>For the remaining period of the project, as there is limited time to revise</w:t>
            </w:r>
            <w:r w:rsidR="00D1572F">
              <w:rPr>
                <w:sz w:val="20"/>
                <w:szCs w:val="20"/>
              </w:rPr>
              <w:t xml:space="preserve"> the M&amp;E reporting system, the P</w:t>
            </w:r>
            <w:r w:rsidRPr="00273129">
              <w:rPr>
                <w:sz w:val="20"/>
                <w:szCs w:val="20"/>
              </w:rPr>
              <w:t xml:space="preserve">roject should include important indicators in its quarterly reports and ultimately in the Final Project Report. The indicators in the M&amp;E framework </w:t>
            </w:r>
            <w:r w:rsidR="00D1572F">
              <w:rPr>
                <w:sz w:val="20"/>
                <w:szCs w:val="20"/>
              </w:rPr>
              <w:t>will be scrutinized during the Terminal E</w:t>
            </w:r>
            <w:r w:rsidRPr="00273129">
              <w:rPr>
                <w:sz w:val="20"/>
                <w:szCs w:val="20"/>
              </w:rPr>
              <w:t>valuation of ISIP. Other recommen</w:t>
            </w:r>
            <w:r w:rsidR="00D1572F">
              <w:rPr>
                <w:sz w:val="20"/>
                <w:szCs w:val="20"/>
              </w:rPr>
              <w:t>dations on M&amp;E are included in I</w:t>
            </w:r>
            <w:r w:rsidRPr="00273129">
              <w:rPr>
                <w:sz w:val="20"/>
                <w:szCs w:val="20"/>
              </w:rPr>
              <w:t>tem 6.</w:t>
            </w:r>
          </w:p>
        </w:tc>
        <w:tc>
          <w:tcPr>
            <w:tcW w:w="615" w:type="pct"/>
            <w:shd w:val="clear" w:color="auto" w:fill="00B050"/>
          </w:tcPr>
          <w:p w14:paraId="05130D5B" w14:textId="77777777" w:rsidR="004E28AF" w:rsidRPr="00273129" w:rsidRDefault="004E28AF" w:rsidP="00603F22">
            <w:pPr>
              <w:pStyle w:val="Heading3"/>
              <w:rPr>
                <w:sz w:val="20"/>
                <w:szCs w:val="20"/>
              </w:rPr>
            </w:pPr>
            <w:r w:rsidRPr="00273129">
              <w:rPr>
                <w:sz w:val="20"/>
                <w:szCs w:val="20"/>
              </w:rPr>
              <w:t xml:space="preserve">Agree </w:t>
            </w:r>
          </w:p>
        </w:tc>
        <w:tc>
          <w:tcPr>
            <w:tcW w:w="1231" w:type="pct"/>
            <w:shd w:val="clear" w:color="auto" w:fill="D3E6E9" w:themeFill="accent2" w:themeFillTint="66"/>
          </w:tcPr>
          <w:p w14:paraId="46F41740" w14:textId="5C2C0313" w:rsidR="007E448F" w:rsidRPr="00273129" w:rsidRDefault="00F95F48" w:rsidP="00725B19">
            <w:pPr>
              <w:pStyle w:val="BodyText"/>
              <w:rPr>
                <w:sz w:val="20"/>
                <w:szCs w:val="20"/>
              </w:rPr>
            </w:pPr>
            <w:r w:rsidRPr="00273129">
              <w:rPr>
                <w:sz w:val="20"/>
                <w:szCs w:val="20"/>
              </w:rPr>
              <w:t>DFAT supports this recommendation. Assessing the performance and</w:t>
            </w:r>
            <w:r w:rsidR="00D1572F">
              <w:rPr>
                <w:sz w:val="20"/>
                <w:szCs w:val="20"/>
              </w:rPr>
              <w:t xml:space="preserve"> impact of the project relies on</w:t>
            </w:r>
            <w:r w:rsidRPr="00273129">
              <w:rPr>
                <w:sz w:val="20"/>
                <w:szCs w:val="20"/>
              </w:rPr>
              <w:t xml:space="preserve"> a robust monitoring and evaluation system.</w:t>
            </w:r>
            <w:r w:rsidR="008F0071">
              <w:rPr>
                <w:sz w:val="20"/>
                <w:szCs w:val="20"/>
              </w:rPr>
              <w:t xml:space="preserve"> The project should focus on ensuring we can report against key M&amp;E indicators for the end-of-project report.</w:t>
            </w:r>
            <w:r w:rsidR="00A05E99" w:rsidRPr="00273129">
              <w:rPr>
                <w:sz w:val="20"/>
                <w:szCs w:val="20"/>
              </w:rPr>
              <w:t xml:space="preserve"> </w:t>
            </w:r>
            <w:proofErr w:type="gramStart"/>
            <w:r w:rsidR="00A05E99" w:rsidRPr="00273129">
              <w:rPr>
                <w:sz w:val="20"/>
                <w:szCs w:val="20"/>
              </w:rPr>
              <w:t>In light of</w:t>
            </w:r>
            <w:proofErr w:type="gramEnd"/>
            <w:r w:rsidR="00A05E99" w:rsidRPr="00273129">
              <w:rPr>
                <w:sz w:val="20"/>
                <w:szCs w:val="20"/>
              </w:rPr>
              <w:t xml:space="preserve"> </w:t>
            </w:r>
            <w:r w:rsidR="00D1572F">
              <w:rPr>
                <w:sz w:val="20"/>
                <w:szCs w:val="20"/>
              </w:rPr>
              <w:t xml:space="preserve">the </w:t>
            </w:r>
            <w:r w:rsidR="00A05E99" w:rsidRPr="00273129">
              <w:rPr>
                <w:sz w:val="20"/>
                <w:szCs w:val="20"/>
              </w:rPr>
              <w:t>COVID-19</w:t>
            </w:r>
            <w:r w:rsidR="00D1572F">
              <w:rPr>
                <w:sz w:val="20"/>
                <w:szCs w:val="20"/>
              </w:rPr>
              <w:t xml:space="preserve"> situation</w:t>
            </w:r>
            <w:r w:rsidR="00A05E99" w:rsidRPr="00273129">
              <w:rPr>
                <w:sz w:val="20"/>
                <w:szCs w:val="20"/>
              </w:rPr>
              <w:t>, it is essential that we have the ability to use insights from the M&amp;E system to effectively respond to the changing environment.</w:t>
            </w:r>
          </w:p>
        </w:tc>
        <w:tc>
          <w:tcPr>
            <w:tcW w:w="1130" w:type="pct"/>
            <w:shd w:val="clear" w:color="auto" w:fill="D3E6E9" w:themeFill="accent2" w:themeFillTint="66"/>
          </w:tcPr>
          <w:p w14:paraId="1D2CDF20" w14:textId="6405E53D" w:rsidR="004E28AF" w:rsidRPr="00273129" w:rsidRDefault="008F0071">
            <w:pPr>
              <w:pStyle w:val="BodyText"/>
              <w:rPr>
                <w:sz w:val="20"/>
                <w:szCs w:val="20"/>
              </w:rPr>
            </w:pPr>
            <w:r>
              <w:rPr>
                <w:sz w:val="20"/>
                <w:szCs w:val="20"/>
              </w:rPr>
              <w:t>Steering committee member should review the Theory of Change and Results Framework to ensure they are relevant and responsive to the evaluator recommendations</w:t>
            </w:r>
            <w:r w:rsidR="00A05E99" w:rsidRPr="00273129">
              <w:rPr>
                <w:sz w:val="20"/>
                <w:szCs w:val="20"/>
              </w:rPr>
              <w:t>.</w:t>
            </w:r>
            <w:r>
              <w:rPr>
                <w:sz w:val="20"/>
                <w:szCs w:val="20"/>
              </w:rPr>
              <w:t xml:space="preserve"> The 2020 and 2021 work plan may need to be updated as a result.</w:t>
            </w:r>
            <w:r w:rsidR="00A05E99" w:rsidRPr="00273129">
              <w:rPr>
                <w:sz w:val="20"/>
                <w:szCs w:val="20"/>
              </w:rPr>
              <w:t xml:space="preserve"> DFAT will work with implementing partners to ensure that the M&amp;E system is responsive to new needs brought about by COVID-19.</w:t>
            </w:r>
          </w:p>
        </w:tc>
        <w:tc>
          <w:tcPr>
            <w:tcW w:w="936" w:type="pct"/>
            <w:shd w:val="clear" w:color="auto" w:fill="D3E6E9" w:themeFill="accent2" w:themeFillTint="66"/>
          </w:tcPr>
          <w:p w14:paraId="5D787F2D" w14:textId="34CE0A5A" w:rsidR="004E28AF" w:rsidRPr="00273129" w:rsidRDefault="004E28AF" w:rsidP="00A05E99">
            <w:pPr>
              <w:pStyle w:val="BodyText"/>
              <w:rPr>
                <w:sz w:val="20"/>
                <w:szCs w:val="20"/>
              </w:rPr>
            </w:pPr>
            <w:r w:rsidRPr="00273129">
              <w:rPr>
                <w:sz w:val="20"/>
                <w:szCs w:val="20"/>
              </w:rPr>
              <w:t>To June 2021</w:t>
            </w:r>
            <w:r w:rsidR="008F0071">
              <w:rPr>
                <w:sz w:val="20"/>
                <w:szCs w:val="20"/>
              </w:rPr>
              <w:t>.</w:t>
            </w:r>
          </w:p>
        </w:tc>
      </w:tr>
      <w:tr w:rsidR="004E28AF" w:rsidRPr="00273129" w14:paraId="45B53DD5" w14:textId="77777777" w:rsidTr="003D46DA">
        <w:trPr>
          <w:trHeight w:val="1615"/>
        </w:trPr>
        <w:tc>
          <w:tcPr>
            <w:tcW w:w="1088" w:type="pct"/>
            <w:shd w:val="clear" w:color="auto" w:fill="D3E6E9" w:themeFill="accent2" w:themeFillTint="66"/>
          </w:tcPr>
          <w:p w14:paraId="3E21ADEF" w14:textId="7B5C79C9" w:rsidR="004E28AF" w:rsidRPr="00273129" w:rsidRDefault="004E28AF" w:rsidP="00603F22">
            <w:pPr>
              <w:pStyle w:val="Heading3"/>
              <w:rPr>
                <w:sz w:val="20"/>
                <w:szCs w:val="20"/>
              </w:rPr>
            </w:pPr>
            <w:r w:rsidRPr="00273129">
              <w:rPr>
                <w:sz w:val="20"/>
                <w:szCs w:val="20"/>
              </w:rPr>
              <w:t xml:space="preserve">Recommendation </w:t>
            </w:r>
            <w:r w:rsidR="00006926">
              <w:rPr>
                <w:sz w:val="20"/>
                <w:szCs w:val="20"/>
              </w:rPr>
              <w:t>7</w:t>
            </w:r>
          </w:p>
          <w:p w14:paraId="2D1A6CE3" w14:textId="7057606D" w:rsidR="004E28AF" w:rsidRPr="00273129" w:rsidRDefault="004E28AF" w:rsidP="00603F22">
            <w:pPr>
              <w:pStyle w:val="BodyText"/>
              <w:rPr>
                <w:sz w:val="20"/>
                <w:szCs w:val="20"/>
              </w:rPr>
            </w:pPr>
            <w:r w:rsidRPr="00273129">
              <w:rPr>
                <w:b/>
                <w:sz w:val="20"/>
                <w:szCs w:val="20"/>
              </w:rPr>
              <w:t>Gender and Marginalized Groups</w:t>
            </w:r>
            <w:r w:rsidR="00D1572F">
              <w:rPr>
                <w:b/>
                <w:sz w:val="20"/>
                <w:szCs w:val="20"/>
              </w:rPr>
              <w:t xml:space="preserve"> </w:t>
            </w:r>
            <w:r w:rsidRPr="00273129">
              <w:rPr>
                <w:b/>
                <w:sz w:val="20"/>
                <w:szCs w:val="20"/>
              </w:rPr>
              <w:t xml:space="preserve">- </w:t>
            </w:r>
            <w:r w:rsidRPr="00273129">
              <w:rPr>
                <w:sz w:val="20"/>
                <w:szCs w:val="20"/>
              </w:rPr>
              <w:t>For the remaining period of the project, it should continue its commendable work related to gender equality and the special concerns of the marginalized groups including the youth. It could further encourage SEs and HEIs to engage them in project activities. Similar and other r</w:t>
            </w:r>
            <w:r w:rsidR="00D1572F">
              <w:rPr>
                <w:sz w:val="20"/>
                <w:szCs w:val="20"/>
              </w:rPr>
              <w:t>ecommendations are included in I</w:t>
            </w:r>
            <w:r w:rsidRPr="00273129">
              <w:rPr>
                <w:sz w:val="20"/>
                <w:szCs w:val="20"/>
              </w:rPr>
              <w:t>tem 6 (new project).</w:t>
            </w:r>
          </w:p>
        </w:tc>
        <w:tc>
          <w:tcPr>
            <w:tcW w:w="615" w:type="pct"/>
            <w:shd w:val="clear" w:color="auto" w:fill="00B050"/>
          </w:tcPr>
          <w:p w14:paraId="69D009BE" w14:textId="77777777" w:rsidR="004E28AF" w:rsidRPr="00273129" w:rsidRDefault="004E28AF" w:rsidP="00603F22">
            <w:pPr>
              <w:pStyle w:val="Heading3"/>
              <w:rPr>
                <w:sz w:val="20"/>
                <w:szCs w:val="20"/>
              </w:rPr>
            </w:pPr>
            <w:r w:rsidRPr="00273129">
              <w:rPr>
                <w:sz w:val="20"/>
                <w:szCs w:val="20"/>
              </w:rPr>
              <w:t xml:space="preserve">Agree </w:t>
            </w:r>
          </w:p>
        </w:tc>
        <w:tc>
          <w:tcPr>
            <w:tcW w:w="1231" w:type="pct"/>
            <w:shd w:val="clear" w:color="auto" w:fill="D3E6E9" w:themeFill="accent2" w:themeFillTint="66"/>
          </w:tcPr>
          <w:p w14:paraId="6D12B096" w14:textId="7CF32715" w:rsidR="007E448F" w:rsidRPr="00273129" w:rsidRDefault="004E28AF" w:rsidP="00D1572F">
            <w:pPr>
              <w:pStyle w:val="BodyText"/>
              <w:rPr>
                <w:sz w:val="20"/>
                <w:szCs w:val="20"/>
              </w:rPr>
            </w:pPr>
            <w:r w:rsidRPr="00273129">
              <w:rPr>
                <w:sz w:val="20"/>
                <w:szCs w:val="20"/>
              </w:rPr>
              <w:t xml:space="preserve">DFAT </w:t>
            </w:r>
            <w:r w:rsidR="00F95F48" w:rsidRPr="00273129">
              <w:rPr>
                <w:sz w:val="20"/>
                <w:szCs w:val="20"/>
              </w:rPr>
              <w:t>supports this recommendation</w:t>
            </w:r>
            <w:r w:rsidR="00255A9C">
              <w:rPr>
                <w:sz w:val="20"/>
                <w:szCs w:val="20"/>
              </w:rPr>
              <w:t xml:space="preserve"> and acknowledges the strengths of the project in supporting </w:t>
            </w:r>
            <w:r w:rsidR="00255A9C" w:rsidRPr="00273129">
              <w:rPr>
                <w:sz w:val="20"/>
                <w:szCs w:val="20"/>
              </w:rPr>
              <w:t xml:space="preserve">gender, </w:t>
            </w:r>
            <w:proofErr w:type="gramStart"/>
            <w:r w:rsidR="00255A9C" w:rsidRPr="00273129">
              <w:rPr>
                <w:sz w:val="20"/>
                <w:szCs w:val="20"/>
              </w:rPr>
              <w:t>disability</w:t>
            </w:r>
            <w:proofErr w:type="gramEnd"/>
            <w:r w:rsidR="00255A9C" w:rsidRPr="00273129">
              <w:rPr>
                <w:sz w:val="20"/>
                <w:szCs w:val="20"/>
              </w:rPr>
              <w:t xml:space="preserve"> and social inclusion (GEDSI)</w:t>
            </w:r>
            <w:r w:rsidR="00255A9C">
              <w:rPr>
                <w:sz w:val="20"/>
                <w:szCs w:val="20"/>
              </w:rPr>
              <w:t>.</w:t>
            </w:r>
            <w:r w:rsidR="00F95F48" w:rsidRPr="00273129">
              <w:rPr>
                <w:sz w:val="20"/>
                <w:szCs w:val="20"/>
              </w:rPr>
              <w:t xml:space="preserve"> The </w:t>
            </w:r>
            <w:r w:rsidR="00255A9C">
              <w:rPr>
                <w:sz w:val="20"/>
                <w:szCs w:val="20"/>
              </w:rPr>
              <w:t>sector policy review</w:t>
            </w:r>
            <w:r w:rsidR="00F95F48" w:rsidRPr="00273129">
              <w:rPr>
                <w:sz w:val="20"/>
                <w:szCs w:val="20"/>
              </w:rPr>
              <w:t xml:space="preserve"> should </w:t>
            </w:r>
            <w:r w:rsidR="00255A9C">
              <w:rPr>
                <w:sz w:val="20"/>
                <w:szCs w:val="20"/>
              </w:rPr>
              <w:t xml:space="preserve">also explore issues related to </w:t>
            </w:r>
            <w:r w:rsidR="00F95F48" w:rsidRPr="00273129">
              <w:rPr>
                <w:sz w:val="20"/>
                <w:szCs w:val="20"/>
              </w:rPr>
              <w:t xml:space="preserve">GEDSI - </w:t>
            </w:r>
            <w:r w:rsidR="003D46DA" w:rsidRPr="00273129">
              <w:rPr>
                <w:sz w:val="20"/>
                <w:szCs w:val="20"/>
              </w:rPr>
              <w:t xml:space="preserve">especially in response to </w:t>
            </w:r>
            <w:r w:rsidR="00F95F48" w:rsidRPr="00273129">
              <w:rPr>
                <w:sz w:val="20"/>
                <w:szCs w:val="20"/>
              </w:rPr>
              <w:t xml:space="preserve">additional challenges for disadvantaged groups </w:t>
            </w:r>
            <w:proofErr w:type="gramStart"/>
            <w:r w:rsidR="00F95F48" w:rsidRPr="00273129">
              <w:rPr>
                <w:sz w:val="20"/>
                <w:szCs w:val="20"/>
              </w:rPr>
              <w:t>as a result of</w:t>
            </w:r>
            <w:proofErr w:type="gramEnd"/>
            <w:r w:rsidR="00F95F48" w:rsidRPr="00273129">
              <w:rPr>
                <w:sz w:val="20"/>
                <w:szCs w:val="20"/>
              </w:rPr>
              <w:t xml:space="preserve"> </w:t>
            </w:r>
            <w:r w:rsidR="003D46DA" w:rsidRPr="00273129">
              <w:rPr>
                <w:sz w:val="20"/>
                <w:szCs w:val="20"/>
              </w:rPr>
              <w:t>COVID-19</w:t>
            </w:r>
            <w:r w:rsidRPr="00273129">
              <w:rPr>
                <w:sz w:val="20"/>
                <w:szCs w:val="20"/>
              </w:rPr>
              <w:t>.</w:t>
            </w:r>
          </w:p>
        </w:tc>
        <w:tc>
          <w:tcPr>
            <w:tcW w:w="1130" w:type="pct"/>
            <w:shd w:val="clear" w:color="auto" w:fill="D3E6E9" w:themeFill="accent2" w:themeFillTint="66"/>
          </w:tcPr>
          <w:p w14:paraId="010D6049" w14:textId="7ED03680" w:rsidR="004E28AF" w:rsidRPr="00273129" w:rsidRDefault="00255A9C" w:rsidP="00F95F48">
            <w:pPr>
              <w:pStyle w:val="BodyText"/>
              <w:rPr>
                <w:sz w:val="20"/>
                <w:szCs w:val="20"/>
              </w:rPr>
            </w:pPr>
            <w:r>
              <w:rPr>
                <w:sz w:val="20"/>
                <w:szCs w:val="20"/>
              </w:rPr>
              <w:t xml:space="preserve">UNDP and DFAT to </w:t>
            </w:r>
            <w:r w:rsidR="00F95F48" w:rsidRPr="00273129">
              <w:rPr>
                <w:sz w:val="20"/>
                <w:szCs w:val="20"/>
              </w:rPr>
              <w:t xml:space="preserve">include GEDSI elements in </w:t>
            </w:r>
            <w:r>
              <w:rPr>
                <w:sz w:val="20"/>
                <w:szCs w:val="20"/>
              </w:rPr>
              <w:t xml:space="preserve">the </w:t>
            </w:r>
            <w:proofErr w:type="spellStart"/>
            <w:r>
              <w:rPr>
                <w:sz w:val="20"/>
                <w:szCs w:val="20"/>
              </w:rPr>
              <w:t>ToR</w:t>
            </w:r>
            <w:proofErr w:type="spellEnd"/>
            <w:r>
              <w:rPr>
                <w:sz w:val="20"/>
                <w:szCs w:val="20"/>
              </w:rPr>
              <w:t xml:space="preserve"> for the sector policy review.</w:t>
            </w:r>
            <w:r w:rsidR="00F95F48" w:rsidRPr="00273129">
              <w:rPr>
                <w:sz w:val="20"/>
                <w:szCs w:val="20"/>
              </w:rPr>
              <w:t xml:space="preserve"> </w:t>
            </w:r>
            <w:r>
              <w:rPr>
                <w:sz w:val="20"/>
                <w:szCs w:val="20"/>
              </w:rPr>
              <w:t xml:space="preserve">Ongoing reporting through to the end of project should continue to provide a GEDSI narrative especially </w:t>
            </w:r>
            <w:proofErr w:type="gramStart"/>
            <w:r>
              <w:rPr>
                <w:sz w:val="20"/>
                <w:szCs w:val="20"/>
              </w:rPr>
              <w:t>in light of</w:t>
            </w:r>
            <w:proofErr w:type="gramEnd"/>
            <w:r>
              <w:rPr>
                <w:sz w:val="20"/>
                <w:szCs w:val="20"/>
              </w:rPr>
              <w:t xml:space="preserve"> COVID-19.</w:t>
            </w:r>
          </w:p>
        </w:tc>
        <w:tc>
          <w:tcPr>
            <w:tcW w:w="936" w:type="pct"/>
            <w:shd w:val="clear" w:color="auto" w:fill="D3E6E9" w:themeFill="accent2" w:themeFillTint="66"/>
          </w:tcPr>
          <w:p w14:paraId="7933724F" w14:textId="5C7DC934" w:rsidR="004E28AF" w:rsidRPr="00273129" w:rsidRDefault="00255A9C" w:rsidP="0027293F">
            <w:pPr>
              <w:pStyle w:val="BodyText"/>
              <w:rPr>
                <w:sz w:val="20"/>
                <w:szCs w:val="20"/>
              </w:rPr>
            </w:pPr>
            <w:r>
              <w:rPr>
                <w:sz w:val="20"/>
                <w:szCs w:val="20"/>
              </w:rPr>
              <w:t>To June 2021.</w:t>
            </w:r>
          </w:p>
        </w:tc>
      </w:tr>
      <w:tr w:rsidR="003D46DA" w:rsidRPr="00273129" w14:paraId="7CCB23F0" w14:textId="77777777" w:rsidTr="007516C7">
        <w:trPr>
          <w:trHeight w:val="1615"/>
        </w:trPr>
        <w:tc>
          <w:tcPr>
            <w:tcW w:w="1088" w:type="pct"/>
            <w:shd w:val="clear" w:color="auto" w:fill="D3E6E9" w:themeFill="accent2" w:themeFillTint="66"/>
          </w:tcPr>
          <w:p w14:paraId="46BCF1B5" w14:textId="48102E94" w:rsidR="003D46DA" w:rsidRPr="00273129" w:rsidRDefault="003D46DA" w:rsidP="00603F22">
            <w:pPr>
              <w:pStyle w:val="Heading3"/>
              <w:rPr>
                <w:sz w:val="20"/>
                <w:szCs w:val="20"/>
              </w:rPr>
            </w:pPr>
            <w:r w:rsidRPr="00273129">
              <w:rPr>
                <w:sz w:val="20"/>
                <w:szCs w:val="20"/>
              </w:rPr>
              <w:lastRenderedPageBreak/>
              <w:t xml:space="preserve">Recommendation </w:t>
            </w:r>
            <w:r w:rsidR="00006926">
              <w:rPr>
                <w:sz w:val="20"/>
                <w:szCs w:val="20"/>
              </w:rPr>
              <w:t>8</w:t>
            </w:r>
          </w:p>
          <w:p w14:paraId="29DC6E01" w14:textId="1B140035" w:rsidR="003D46DA" w:rsidRPr="00273129" w:rsidRDefault="003D46DA" w:rsidP="003D46DA">
            <w:pPr>
              <w:pStyle w:val="BodyText"/>
              <w:rPr>
                <w:sz w:val="20"/>
                <w:szCs w:val="20"/>
              </w:rPr>
            </w:pPr>
            <w:r w:rsidRPr="00273129">
              <w:rPr>
                <w:b/>
                <w:sz w:val="20"/>
                <w:szCs w:val="20"/>
              </w:rPr>
              <w:t xml:space="preserve">New Project Formulation: </w:t>
            </w:r>
            <w:r w:rsidRPr="00273129">
              <w:rPr>
                <w:sz w:val="20"/>
                <w:szCs w:val="20"/>
              </w:rPr>
              <w:t>In fo</w:t>
            </w:r>
            <w:r w:rsidR="00D1572F">
              <w:rPr>
                <w:sz w:val="20"/>
                <w:szCs w:val="20"/>
              </w:rPr>
              <w:t>rmulating the new project, the terms of reference (</w:t>
            </w:r>
            <w:proofErr w:type="spellStart"/>
            <w:r w:rsidR="00D1572F">
              <w:rPr>
                <w:sz w:val="20"/>
                <w:szCs w:val="20"/>
              </w:rPr>
              <w:t>ToR</w:t>
            </w:r>
            <w:proofErr w:type="spellEnd"/>
            <w:r w:rsidR="00D1572F">
              <w:rPr>
                <w:sz w:val="20"/>
                <w:szCs w:val="20"/>
              </w:rPr>
              <w:t>)</w:t>
            </w:r>
            <w:r w:rsidRPr="00273129">
              <w:rPr>
                <w:sz w:val="20"/>
                <w:szCs w:val="20"/>
              </w:rPr>
              <w:t xml:space="preserve"> of the project team should build on the gains and experiences under ISIP; integrate appropriate approaches under UNDP’s Impact Venture Acceleration (IVA) which is more comprehensive and inclusive of all enterprises; link the project with the five support institutions such as the UNDP Private Sector Learning Hub in Denmark; IVA Network Support Facilities; Business Call to Action (BCTA); Center for Technology, Innovation and Sustainable Development (CTISD); SGS Summit Geneva; Accelerator 2030 and other UN funding institutions. Further, given the uncertainty of the pandemic, it should consider the </w:t>
            </w:r>
            <w:r w:rsidR="00D1572F">
              <w:rPr>
                <w:sz w:val="20"/>
                <w:szCs w:val="20"/>
              </w:rPr>
              <w:t>provisions under the UNDP COVID-</w:t>
            </w:r>
            <w:r w:rsidRPr="00273129">
              <w:rPr>
                <w:sz w:val="20"/>
                <w:szCs w:val="20"/>
              </w:rPr>
              <w:t>19 Response Venture Acceleration. The theory of change</w:t>
            </w:r>
            <w:r w:rsidR="00D1572F">
              <w:rPr>
                <w:sz w:val="20"/>
                <w:szCs w:val="20"/>
              </w:rPr>
              <w:t xml:space="preserve"> (</w:t>
            </w:r>
            <w:proofErr w:type="spellStart"/>
            <w:r w:rsidR="00D1572F">
              <w:rPr>
                <w:sz w:val="20"/>
                <w:szCs w:val="20"/>
              </w:rPr>
              <w:t>ToC</w:t>
            </w:r>
            <w:proofErr w:type="spellEnd"/>
            <w:r w:rsidR="00D1572F">
              <w:rPr>
                <w:sz w:val="20"/>
                <w:szCs w:val="20"/>
              </w:rPr>
              <w:t>)</w:t>
            </w:r>
            <w:r w:rsidRPr="00273129">
              <w:rPr>
                <w:sz w:val="20"/>
                <w:szCs w:val="20"/>
              </w:rPr>
              <w:t xml:space="preserve"> of </w:t>
            </w:r>
            <w:r w:rsidR="00D1572F">
              <w:rPr>
                <w:sz w:val="20"/>
                <w:szCs w:val="20"/>
              </w:rPr>
              <w:t xml:space="preserve">the </w:t>
            </w:r>
            <w:r w:rsidRPr="00273129">
              <w:rPr>
                <w:sz w:val="20"/>
                <w:szCs w:val="20"/>
              </w:rPr>
              <w:t>ISIP</w:t>
            </w:r>
            <w:r w:rsidR="00D1572F">
              <w:rPr>
                <w:sz w:val="20"/>
                <w:szCs w:val="20"/>
              </w:rPr>
              <w:t xml:space="preserve"> Project</w:t>
            </w:r>
            <w:r w:rsidRPr="00273129">
              <w:rPr>
                <w:sz w:val="20"/>
                <w:szCs w:val="20"/>
              </w:rPr>
              <w:t xml:space="preserve"> may still be largely valid but need to be expanded to cover non-SE enterprises. The new project should have a robust M&amp;E plan</w:t>
            </w:r>
            <w:r w:rsidR="00D1572F">
              <w:rPr>
                <w:sz w:val="20"/>
                <w:szCs w:val="20"/>
              </w:rPr>
              <w:t xml:space="preserve"> and framework</w:t>
            </w:r>
            <w:r w:rsidRPr="00273129">
              <w:rPr>
                <w:sz w:val="20"/>
                <w:szCs w:val="20"/>
              </w:rPr>
              <w:t xml:space="preserve"> with clear indicators and participatory reporting system. Further, depending on the eventual scope and nature of the project, an appropriate governance and implementation arrangement should be formulated. As policy reform is expected to be one of the components, it should engage concerned government agencies during implementation. And new trends in policy reform such as incentivizing enterprises that have </w:t>
            </w:r>
            <w:r w:rsidR="00D1572F">
              <w:rPr>
                <w:sz w:val="20"/>
                <w:szCs w:val="20"/>
              </w:rPr>
              <w:t>2030 Sustainable Development Goals (</w:t>
            </w:r>
            <w:r w:rsidRPr="00273129">
              <w:rPr>
                <w:sz w:val="20"/>
                <w:szCs w:val="20"/>
              </w:rPr>
              <w:t>SDG</w:t>
            </w:r>
            <w:r w:rsidR="00D1572F">
              <w:rPr>
                <w:sz w:val="20"/>
                <w:szCs w:val="20"/>
              </w:rPr>
              <w:t>)</w:t>
            </w:r>
            <w:r w:rsidRPr="00273129">
              <w:rPr>
                <w:sz w:val="20"/>
                <w:szCs w:val="20"/>
              </w:rPr>
              <w:t xml:space="preserve"> consideration should be reviewed and considered in the design.</w:t>
            </w:r>
          </w:p>
          <w:p w14:paraId="59918CE3" w14:textId="0907C6B9" w:rsidR="003D46DA" w:rsidRPr="00273129" w:rsidRDefault="003D46DA" w:rsidP="003D46DA">
            <w:pPr>
              <w:pStyle w:val="BodyText"/>
              <w:rPr>
                <w:sz w:val="20"/>
                <w:szCs w:val="20"/>
              </w:rPr>
            </w:pPr>
            <w:r w:rsidRPr="00273129">
              <w:rPr>
                <w:sz w:val="20"/>
                <w:szCs w:val="20"/>
              </w:rPr>
              <w:t xml:space="preserve">Project formulation is estimated to last a minimum of six months. Given the remaining 7 months up to December 2020, </w:t>
            </w:r>
            <w:proofErr w:type="gramStart"/>
            <w:r w:rsidRPr="00273129">
              <w:rPr>
                <w:sz w:val="20"/>
                <w:szCs w:val="20"/>
              </w:rPr>
              <w:t>assuming that</w:t>
            </w:r>
            <w:proofErr w:type="gramEnd"/>
            <w:r w:rsidRPr="00273129">
              <w:rPr>
                <w:sz w:val="20"/>
                <w:szCs w:val="20"/>
              </w:rPr>
              <w:t xml:space="preserve"> the lockdown ends in May 2020, there may be no need for no cost project extension.</w:t>
            </w:r>
          </w:p>
        </w:tc>
        <w:tc>
          <w:tcPr>
            <w:tcW w:w="615" w:type="pct"/>
            <w:shd w:val="clear" w:color="auto" w:fill="FFC000"/>
          </w:tcPr>
          <w:p w14:paraId="3FD6BC07" w14:textId="05DA806E" w:rsidR="003D46DA" w:rsidRPr="00273129" w:rsidRDefault="003D46DA" w:rsidP="003D46DA">
            <w:pPr>
              <w:pStyle w:val="Heading3"/>
              <w:rPr>
                <w:sz w:val="20"/>
                <w:szCs w:val="20"/>
              </w:rPr>
            </w:pPr>
            <w:r w:rsidRPr="00273129">
              <w:rPr>
                <w:sz w:val="20"/>
                <w:szCs w:val="20"/>
              </w:rPr>
              <w:t>Agree</w:t>
            </w:r>
            <w:r w:rsidR="007516C7" w:rsidRPr="00273129">
              <w:rPr>
                <w:sz w:val="20"/>
                <w:szCs w:val="20"/>
              </w:rPr>
              <w:t xml:space="preserve"> in part</w:t>
            </w:r>
          </w:p>
        </w:tc>
        <w:tc>
          <w:tcPr>
            <w:tcW w:w="1231" w:type="pct"/>
            <w:shd w:val="clear" w:color="auto" w:fill="D3E6E9" w:themeFill="accent2" w:themeFillTint="66"/>
          </w:tcPr>
          <w:p w14:paraId="536271E7" w14:textId="66472F40" w:rsidR="000E6ED7" w:rsidRPr="00707FE4" w:rsidRDefault="00AE0D98" w:rsidP="000E6ED7">
            <w:pPr>
              <w:pStyle w:val="BodyText"/>
              <w:rPr>
                <w:sz w:val="20"/>
                <w:szCs w:val="20"/>
              </w:rPr>
            </w:pPr>
            <w:r>
              <w:rPr>
                <w:sz w:val="20"/>
                <w:szCs w:val="20"/>
              </w:rPr>
              <w:t>DFAT supports</w:t>
            </w:r>
            <w:r w:rsidR="000E6ED7" w:rsidRPr="00707FE4">
              <w:rPr>
                <w:sz w:val="20"/>
                <w:szCs w:val="20"/>
              </w:rPr>
              <w:t xml:space="preserve"> the conduct of </w:t>
            </w:r>
            <w:r>
              <w:rPr>
                <w:sz w:val="20"/>
                <w:szCs w:val="20"/>
              </w:rPr>
              <w:t xml:space="preserve">a </w:t>
            </w:r>
            <w:r w:rsidR="000E6ED7" w:rsidRPr="00707FE4">
              <w:rPr>
                <w:sz w:val="20"/>
                <w:szCs w:val="20"/>
              </w:rPr>
              <w:t xml:space="preserve">sector/ecosystem policy review. The review should </w:t>
            </w:r>
            <w:r w:rsidR="00655502">
              <w:rPr>
                <w:sz w:val="20"/>
                <w:szCs w:val="20"/>
              </w:rPr>
              <w:t>look to the future</w:t>
            </w:r>
            <w:r w:rsidR="000E6ED7" w:rsidRPr="00707FE4">
              <w:rPr>
                <w:sz w:val="20"/>
                <w:szCs w:val="20"/>
              </w:rPr>
              <w:t xml:space="preserve"> and may make recommendations that could inform a possible second phase of the project or support the work by other stakeholders in this sector. All policy should ensure that value for money is achieved and the project </w:t>
            </w:r>
            <w:r w:rsidR="00211064">
              <w:rPr>
                <w:sz w:val="20"/>
                <w:szCs w:val="20"/>
              </w:rPr>
              <w:t>is</w:t>
            </w:r>
            <w:r w:rsidR="000E6ED7" w:rsidRPr="00707FE4">
              <w:rPr>
                <w:sz w:val="20"/>
                <w:szCs w:val="20"/>
              </w:rPr>
              <w:t xml:space="preserve"> responsive to the current COVID-19 situation.</w:t>
            </w:r>
          </w:p>
          <w:p w14:paraId="6574874B" w14:textId="31B074F0" w:rsidR="000E6ED7" w:rsidRPr="00707FE4" w:rsidRDefault="000E6ED7" w:rsidP="000E6ED7">
            <w:pPr>
              <w:pStyle w:val="BodyText"/>
              <w:rPr>
                <w:sz w:val="20"/>
                <w:szCs w:val="20"/>
              </w:rPr>
            </w:pPr>
            <w:r w:rsidRPr="00707FE4">
              <w:rPr>
                <w:sz w:val="20"/>
                <w:szCs w:val="20"/>
              </w:rPr>
              <w:t xml:space="preserve">DFAT does not support </w:t>
            </w:r>
            <w:r w:rsidR="00707FE4" w:rsidRPr="00707FE4">
              <w:rPr>
                <w:sz w:val="20"/>
                <w:szCs w:val="20"/>
              </w:rPr>
              <w:t xml:space="preserve">the project undertaking design work for a </w:t>
            </w:r>
            <w:r w:rsidR="00AE0D98">
              <w:rPr>
                <w:sz w:val="20"/>
                <w:szCs w:val="20"/>
              </w:rPr>
              <w:t xml:space="preserve">second </w:t>
            </w:r>
            <w:r w:rsidR="00707FE4" w:rsidRPr="00707FE4">
              <w:rPr>
                <w:sz w:val="20"/>
                <w:szCs w:val="20"/>
              </w:rPr>
              <w:t xml:space="preserve">phase of the project as it is not able to commit to be the funding partner – this may constitute a potential conflict of interest. DFAT will consider the project’s final report </w:t>
            </w:r>
            <w:r w:rsidR="00707FE4">
              <w:rPr>
                <w:sz w:val="20"/>
                <w:szCs w:val="20"/>
              </w:rPr>
              <w:t>and any</w:t>
            </w:r>
            <w:r w:rsidR="00707FE4" w:rsidRPr="00707FE4">
              <w:rPr>
                <w:sz w:val="20"/>
                <w:szCs w:val="20"/>
              </w:rPr>
              <w:t xml:space="preserve"> recommendations </w:t>
            </w:r>
            <w:r w:rsidR="00707FE4">
              <w:rPr>
                <w:sz w:val="20"/>
                <w:szCs w:val="20"/>
              </w:rPr>
              <w:t>from</w:t>
            </w:r>
            <w:r w:rsidR="00707FE4" w:rsidRPr="00707FE4">
              <w:rPr>
                <w:sz w:val="20"/>
                <w:szCs w:val="20"/>
              </w:rPr>
              <w:t xml:space="preserve"> the sector review and will make a separate decision around funding any future design work</w:t>
            </w:r>
            <w:r w:rsidR="00707FE4">
              <w:rPr>
                <w:sz w:val="20"/>
                <w:szCs w:val="20"/>
              </w:rPr>
              <w:t xml:space="preserve"> for a potential phase two</w:t>
            </w:r>
            <w:r w:rsidR="00707FE4" w:rsidRPr="00707FE4">
              <w:rPr>
                <w:sz w:val="20"/>
                <w:szCs w:val="20"/>
              </w:rPr>
              <w:t>.</w:t>
            </w:r>
          </w:p>
          <w:p w14:paraId="709F0908" w14:textId="202A7D35" w:rsidR="000E6ED7" w:rsidRPr="00707FE4" w:rsidRDefault="000E6ED7" w:rsidP="000E6ED7">
            <w:pPr>
              <w:pStyle w:val="BodyText"/>
              <w:rPr>
                <w:sz w:val="20"/>
                <w:szCs w:val="20"/>
              </w:rPr>
            </w:pPr>
            <w:r w:rsidRPr="00707FE4">
              <w:rPr>
                <w:sz w:val="20"/>
                <w:szCs w:val="20"/>
              </w:rPr>
              <w:t>DFAT’s agreement to use remaining project funds to fund the sectoral policy review must not be interpreted as an indication or commitment it will provide funding for the implementation of phase two.</w:t>
            </w:r>
          </w:p>
          <w:p w14:paraId="4CA57E83" w14:textId="0E55725C" w:rsidR="000E6ED7" w:rsidRPr="00707FE4" w:rsidRDefault="000E6ED7" w:rsidP="000E6ED7">
            <w:pPr>
              <w:pStyle w:val="BodyText"/>
              <w:rPr>
                <w:sz w:val="20"/>
                <w:szCs w:val="20"/>
              </w:rPr>
            </w:pPr>
            <w:r w:rsidRPr="00707FE4">
              <w:rPr>
                <w:sz w:val="20"/>
                <w:szCs w:val="20"/>
              </w:rPr>
              <w:t xml:space="preserve">As noted in </w:t>
            </w:r>
            <w:r w:rsidR="00AE0D98">
              <w:rPr>
                <w:sz w:val="20"/>
                <w:szCs w:val="20"/>
              </w:rPr>
              <w:t>R</w:t>
            </w:r>
            <w:r w:rsidRPr="00707FE4">
              <w:rPr>
                <w:sz w:val="20"/>
                <w:szCs w:val="20"/>
              </w:rPr>
              <w:t xml:space="preserve">ecommendation ‘1’, DFAT </w:t>
            </w:r>
            <w:r w:rsidR="00655502">
              <w:rPr>
                <w:sz w:val="20"/>
                <w:szCs w:val="20"/>
              </w:rPr>
              <w:t>supports</w:t>
            </w:r>
            <w:r w:rsidRPr="00707FE4">
              <w:rPr>
                <w:sz w:val="20"/>
                <w:szCs w:val="20"/>
              </w:rPr>
              <w:t xml:space="preserve"> a </w:t>
            </w:r>
            <w:r w:rsidR="00655502">
              <w:rPr>
                <w:sz w:val="20"/>
                <w:szCs w:val="20"/>
              </w:rPr>
              <w:t xml:space="preserve">six month, </w:t>
            </w:r>
            <w:r w:rsidRPr="00707FE4">
              <w:rPr>
                <w:sz w:val="20"/>
                <w:szCs w:val="20"/>
              </w:rPr>
              <w:t>no-cost extension of the ISIP Project through to the end of June 2021. Given the low burn rate of the budget, we consider this to be appropriate.</w:t>
            </w:r>
          </w:p>
          <w:p w14:paraId="2BF83109" w14:textId="03F3439B" w:rsidR="007516C7" w:rsidRPr="00273129" w:rsidRDefault="007516C7" w:rsidP="000E6ED7">
            <w:pPr>
              <w:pStyle w:val="BodyText"/>
              <w:rPr>
                <w:sz w:val="20"/>
                <w:szCs w:val="20"/>
              </w:rPr>
            </w:pPr>
          </w:p>
        </w:tc>
        <w:tc>
          <w:tcPr>
            <w:tcW w:w="1130" w:type="pct"/>
            <w:shd w:val="clear" w:color="auto" w:fill="D3E6E9" w:themeFill="accent2" w:themeFillTint="66"/>
          </w:tcPr>
          <w:p w14:paraId="7A00939C" w14:textId="16F9807A" w:rsidR="00707FE4" w:rsidRDefault="00683172" w:rsidP="00707FE4">
            <w:pPr>
              <w:pStyle w:val="BodyText"/>
              <w:rPr>
                <w:sz w:val="20"/>
                <w:szCs w:val="20"/>
              </w:rPr>
            </w:pPr>
            <w:r w:rsidRPr="00273129">
              <w:rPr>
                <w:sz w:val="20"/>
                <w:szCs w:val="20"/>
              </w:rPr>
              <w:t>T</w:t>
            </w:r>
            <w:r>
              <w:rPr>
                <w:sz w:val="20"/>
                <w:szCs w:val="20"/>
              </w:rPr>
              <w:t>he P</w:t>
            </w:r>
            <w:r w:rsidRPr="00273129">
              <w:rPr>
                <w:sz w:val="20"/>
                <w:szCs w:val="20"/>
              </w:rPr>
              <w:t xml:space="preserve">roject should be extended to 30 June 2021 </w:t>
            </w:r>
            <w:r>
              <w:rPr>
                <w:sz w:val="20"/>
                <w:szCs w:val="20"/>
              </w:rPr>
              <w:t>at no cost (note that the existing cost-sharing arrangement between DFAT and UNDP with an end date of June 2023 supports this)</w:t>
            </w:r>
            <w:r w:rsidRPr="00273129">
              <w:rPr>
                <w:sz w:val="20"/>
                <w:szCs w:val="20"/>
              </w:rPr>
              <w:t xml:space="preserve">. </w:t>
            </w:r>
            <w:r w:rsidR="00707FE4" w:rsidRPr="00273129">
              <w:rPr>
                <w:sz w:val="20"/>
                <w:szCs w:val="20"/>
              </w:rPr>
              <w:t>PhilDev should propose a work</w:t>
            </w:r>
            <w:r w:rsidR="00707FE4">
              <w:rPr>
                <w:sz w:val="20"/>
                <w:szCs w:val="20"/>
              </w:rPr>
              <w:t xml:space="preserve"> plan for consideration by the Steering C</w:t>
            </w:r>
            <w:r w:rsidR="00707FE4" w:rsidRPr="00273129">
              <w:rPr>
                <w:sz w:val="20"/>
                <w:szCs w:val="20"/>
              </w:rPr>
              <w:t>ommittee.</w:t>
            </w:r>
          </w:p>
          <w:p w14:paraId="1708EA05" w14:textId="032BCD7F" w:rsidR="00707FE4" w:rsidRDefault="00707FE4" w:rsidP="00707FE4">
            <w:pPr>
              <w:pStyle w:val="BodyText"/>
              <w:rPr>
                <w:sz w:val="20"/>
                <w:szCs w:val="20"/>
              </w:rPr>
            </w:pPr>
            <w:r w:rsidRPr="00273129">
              <w:rPr>
                <w:sz w:val="20"/>
                <w:szCs w:val="20"/>
              </w:rPr>
              <w:t xml:space="preserve">UNDP should </w:t>
            </w:r>
            <w:r>
              <w:rPr>
                <w:sz w:val="20"/>
                <w:szCs w:val="20"/>
              </w:rPr>
              <w:t>procure a consultant to</w:t>
            </w:r>
            <w:r w:rsidRPr="00273129">
              <w:rPr>
                <w:sz w:val="20"/>
                <w:szCs w:val="20"/>
              </w:rPr>
              <w:t xml:space="preserve"> conduct </w:t>
            </w:r>
            <w:r>
              <w:rPr>
                <w:sz w:val="20"/>
                <w:szCs w:val="20"/>
              </w:rPr>
              <w:t>the</w:t>
            </w:r>
            <w:r w:rsidRPr="00273129">
              <w:rPr>
                <w:sz w:val="20"/>
                <w:szCs w:val="20"/>
              </w:rPr>
              <w:t xml:space="preserve"> sector/ecosystem policy review. </w:t>
            </w:r>
            <w:r>
              <w:rPr>
                <w:sz w:val="20"/>
                <w:szCs w:val="20"/>
              </w:rPr>
              <w:t xml:space="preserve">DFAT will work with UNDP to </w:t>
            </w:r>
            <w:proofErr w:type="gramStart"/>
            <w:r>
              <w:rPr>
                <w:sz w:val="20"/>
                <w:szCs w:val="20"/>
              </w:rPr>
              <w:t>finalised</w:t>
            </w:r>
            <w:proofErr w:type="gramEnd"/>
            <w:r>
              <w:rPr>
                <w:sz w:val="20"/>
                <w:szCs w:val="20"/>
              </w:rPr>
              <w:t xml:space="preserve"> the consultant’s </w:t>
            </w:r>
            <w:proofErr w:type="spellStart"/>
            <w:r>
              <w:rPr>
                <w:sz w:val="20"/>
                <w:szCs w:val="20"/>
              </w:rPr>
              <w:t>ToR</w:t>
            </w:r>
            <w:proofErr w:type="spellEnd"/>
            <w:r>
              <w:rPr>
                <w:sz w:val="20"/>
                <w:szCs w:val="20"/>
              </w:rPr>
              <w:t xml:space="preserve">. </w:t>
            </w:r>
            <w:r w:rsidRPr="00273129">
              <w:rPr>
                <w:sz w:val="20"/>
                <w:szCs w:val="20"/>
              </w:rPr>
              <w:t xml:space="preserve">We would encourage </w:t>
            </w:r>
            <w:r>
              <w:rPr>
                <w:sz w:val="20"/>
                <w:szCs w:val="20"/>
              </w:rPr>
              <w:t>ongoing work under the components to be</w:t>
            </w:r>
            <w:r w:rsidRPr="00273129">
              <w:rPr>
                <w:sz w:val="20"/>
                <w:szCs w:val="20"/>
              </w:rPr>
              <w:t xml:space="preserve"> highly responsive to supporting the private sec</w:t>
            </w:r>
            <w:r>
              <w:rPr>
                <w:sz w:val="20"/>
                <w:szCs w:val="20"/>
              </w:rPr>
              <w:t>tor respond to and recover from COVID-19.</w:t>
            </w:r>
          </w:p>
          <w:p w14:paraId="5E0C2CDF" w14:textId="4277447F" w:rsidR="00707FE4" w:rsidRDefault="00707FE4" w:rsidP="00707FE4">
            <w:pPr>
              <w:pStyle w:val="BodyText"/>
              <w:rPr>
                <w:sz w:val="20"/>
                <w:szCs w:val="20"/>
              </w:rPr>
            </w:pPr>
            <w:r>
              <w:rPr>
                <w:sz w:val="20"/>
                <w:szCs w:val="20"/>
              </w:rPr>
              <w:t xml:space="preserve">DFAT’s </w:t>
            </w:r>
            <w:r w:rsidRPr="009F662E">
              <w:rPr>
                <w:sz w:val="20"/>
                <w:szCs w:val="20"/>
              </w:rPr>
              <w:t xml:space="preserve">agreement to </w:t>
            </w:r>
            <w:r>
              <w:rPr>
                <w:sz w:val="20"/>
                <w:szCs w:val="20"/>
              </w:rPr>
              <w:t>use remaining project funds to fund the</w:t>
            </w:r>
            <w:r w:rsidRPr="009F662E">
              <w:rPr>
                <w:sz w:val="20"/>
                <w:szCs w:val="20"/>
              </w:rPr>
              <w:t xml:space="preserve"> </w:t>
            </w:r>
            <w:r>
              <w:rPr>
                <w:sz w:val="20"/>
                <w:szCs w:val="20"/>
              </w:rPr>
              <w:t>sectoral policy review</w:t>
            </w:r>
            <w:r w:rsidRPr="009F662E">
              <w:rPr>
                <w:sz w:val="20"/>
                <w:szCs w:val="20"/>
              </w:rPr>
              <w:t xml:space="preserve"> must not be interpreted as an indication or commitment it will provide funding for the implementation of Phase 2.</w:t>
            </w:r>
          </w:p>
          <w:p w14:paraId="7611DFE2" w14:textId="0ADFBD90" w:rsidR="00707FE4" w:rsidRPr="00707FE4" w:rsidRDefault="00707FE4" w:rsidP="00707FE4">
            <w:pPr>
              <w:pStyle w:val="BodyText"/>
              <w:rPr>
                <w:sz w:val="20"/>
                <w:szCs w:val="20"/>
              </w:rPr>
            </w:pPr>
            <w:r>
              <w:rPr>
                <w:sz w:val="20"/>
                <w:szCs w:val="20"/>
              </w:rPr>
              <w:t xml:space="preserve">DFAT will </w:t>
            </w:r>
            <w:r w:rsidRPr="00707FE4">
              <w:rPr>
                <w:sz w:val="20"/>
                <w:szCs w:val="20"/>
              </w:rPr>
              <w:t>make a separate decision around funding any future design work</w:t>
            </w:r>
            <w:r>
              <w:rPr>
                <w:sz w:val="20"/>
                <w:szCs w:val="20"/>
              </w:rPr>
              <w:t xml:space="preserve"> for a potential phase two</w:t>
            </w:r>
            <w:r w:rsidRPr="00707FE4">
              <w:rPr>
                <w:sz w:val="20"/>
                <w:szCs w:val="20"/>
              </w:rPr>
              <w:t>.</w:t>
            </w:r>
          </w:p>
          <w:p w14:paraId="748BA14A" w14:textId="26C6C9B4" w:rsidR="00707FE4" w:rsidRDefault="00707FE4" w:rsidP="00707FE4">
            <w:pPr>
              <w:pStyle w:val="BodyText"/>
              <w:rPr>
                <w:sz w:val="20"/>
                <w:szCs w:val="20"/>
              </w:rPr>
            </w:pPr>
          </w:p>
          <w:p w14:paraId="6B7DED99" w14:textId="4518A8AF" w:rsidR="003D46DA" w:rsidRPr="00273129" w:rsidRDefault="003D46DA" w:rsidP="00725B19">
            <w:pPr>
              <w:pStyle w:val="BodyText"/>
              <w:rPr>
                <w:sz w:val="20"/>
                <w:szCs w:val="20"/>
              </w:rPr>
            </w:pPr>
          </w:p>
        </w:tc>
        <w:tc>
          <w:tcPr>
            <w:tcW w:w="936" w:type="pct"/>
            <w:shd w:val="clear" w:color="auto" w:fill="D3E6E9" w:themeFill="accent2" w:themeFillTint="66"/>
          </w:tcPr>
          <w:p w14:paraId="591103C9" w14:textId="621B97C7" w:rsidR="003D46DA" w:rsidRPr="00273129" w:rsidRDefault="003D46DA" w:rsidP="00603F22">
            <w:pPr>
              <w:pStyle w:val="BodyText"/>
              <w:rPr>
                <w:sz w:val="20"/>
                <w:szCs w:val="20"/>
              </w:rPr>
            </w:pPr>
            <w:r w:rsidRPr="00273129">
              <w:rPr>
                <w:sz w:val="20"/>
                <w:szCs w:val="20"/>
              </w:rPr>
              <w:t>To June 2021</w:t>
            </w:r>
            <w:r w:rsidR="00273129" w:rsidRPr="00273129">
              <w:rPr>
                <w:sz w:val="20"/>
                <w:szCs w:val="20"/>
              </w:rPr>
              <w:t>.</w:t>
            </w:r>
          </w:p>
        </w:tc>
      </w:tr>
    </w:tbl>
    <w:p w14:paraId="182E99F0" w14:textId="77777777" w:rsidR="003D46DA" w:rsidRPr="00273129" w:rsidRDefault="003D46DA" w:rsidP="003D46DA">
      <w:pPr>
        <w:pStyle w:val="BodyText"/>
        <w:rPr>
          <w:sz w:val="10"/>
        </w:rPr>
      </w:pPr>
    </w:p>
    <w:sectPr w:rsidR="003D46DA" w:rsidRPr="00273129" w:rsidSect="00273129">
      <w:headerReference w:type="default" r:id="rId13"/>
      <w:pgSz w:w="23811" w:h="16838" w:orient="landscape" w:code="8"/>
      <w:pgMar w:top="1219" w:right="1219" w:bottom="1219" w:left="136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3F7CF" w14:textId="77777777" w:rsidR="007D6B06" w:rsidRDefault="007D6B06">
      <w:r>
        <w:separator/>
      </w:r>
    </w:p>
  </w:endnote>
  <w:endnote w:type="continuationSeparator" w:id="0">
    <w:p w14:paraId="11BFE1E3" w14:textId="77777777" w:rsidR="007D6B06" w:rsidRDefault="007D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80"/>
    <w:family w:val="roman"/>
    <w:notTrueType/>
    <w:pitch w:val="default"/>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6144835"/>
      <w:docPartObj>
        <w:docPartGallery w:val="Page Numbers (Bottom of Page)"/>
        <w:docPartUnique/>
      </w:docPartObj>
    </w:sdtPr>
    <w:sdtEndPr>
      <w:rPr>
        <w:noProof/>
      </w:rPr>
    </w:sdtEndPr>
    <w:sdtContent>
      <w:p w14:paraId="3CFF3C57" w14:textId="315500E5" w:rsidR="00C84D53" w:rsidRDefault="00C84D53">
        <w:pPr>
          <w:pStyle w:val="Footer"/>
          <w:jc w:val="center"/>
        </w:pPr>
        <w:r>
          <w:fldChar w:fldCharType="begin"/>
        </w:r>
        <w:r>
          <w:instrText xml:space="preserve"> PAGE   \* MERGEFORMAT </w:instrText>
        </w:r>
        <w:r>
          <w:fldChar w:fldCharType="separate"/>
        </w:r>
        <w:r w:rsidR="00211064">
          <w:rPr>
            <w:noProof/>
          </w:rPr>
          <w:t>7</w:t>
        </w:r>
        <w:r>
          <w:rPr>
            <w:noProof/>
          </w:rPr>
          <w:fldChar w:fldCharType="end"/>
        </w:r>
      </w:p>
    </w:sdtContent>
  </w:sdt>
  <w:p w14:paraId="7E3882A5" w14:textId="50677DE5" w:rsidR="009773B6" w:rsidRPr="00C84D53" w:rsidRDefault="00C84D53" w:rsidP="00C84D53">
    <w:pPr>
      <w:pStyle w:val="Footer"/>
      <w:tabs>
        <w:tab w:val="left" w:pos="8790"/>
      </w:tabs>
      <w:jc w:val="right"/>
      <w:rPr>
        <w:sz w:val="20"/>
      </w:rPr>
    </w:pPr>
    <w:r w:rsidRPr="00C84D53">
      <w:rPr>
        <w:sz w:val="20"/>
      </w:rPr>
      <w:t>Innovation for Social Impact Partner</w:t>
    </w:r>
    <w:r w:rsidR="00EB4EB2">
      <w:rPr>
        <w:sz w:val="20"/>
      </w:rPr>
      <w:t>ship (ISIP) E</w:t>
    </w:r>
    <w:r>
      <w:rPr>
        <w:sz w:val="20"/>
      </w:rPr>
      <w:t>valuation</w:t>
    </w:r>
    <w:r w:rsidR="00EB4EB2">
      <w:rPr>
        <w:sz w:val="20"/>
      </w:rPr>
      <w:t xml:space="preserve"> - Management Responses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Look w:val="01E0" w:firstRow="1" w:lastRow="1" w:firstColumn="1" w:lastColumn="1" w:noHBand="0" w:noVBand="0"/>
    </w:tblPr>
    <w:tblGrid>
      <w:gridCol w:w="13320"/>
      <w:gridCol w:w="940"/>
    </w:tblGrid>
    <w:tr w:rsidR="009773B6" w:rsidRPr="00172BDE" w14:paraId="5E63BF2F" w14:textId="77777777" w:rsidTr="00341D11">
      <w:tc>
        <w:tcPr>
          <w:tcW w:w="7938" w:type="dxa"/>
        </w:tcPr>
        <w:p w14:paraId="7AA412FC" w14:textId="77777777" w:rsidR="009773B6" w:rsidRPr="00172BDE" w:rsidRDefault="009773B6" w:rsidP="00341D11">
          <w:pPr>
            <w:pStyle w:val="Footer"/>
          </w:pPr>
        </w:p>
      </w:tc>
      <w:tc>
        <w:tcPr>
          <w:tcW w:w="560" w:type="dxa"/>
        </w:tcPr>
        <w:p w14:paraId="03794549" w14:textId="77777777" w:rsidR="009773B6" w:rsidRPr="00172BDE" w:rsidRDefault="009773B6" w:rsidP="00341D11">
          <w:pPr>
            <w:pStyle w:val="Footer"/>
            <w:jc w:val="right"/>
          </w:pPr>
        </w:p>
      </w:tc>
    </w:tr>
  </w:tbl>
  <w:p w14:paraId="33AA5AB9" w14:textId="77777777" w:rsidR="009773B6" w:rsidRDefault="00977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60E03" w14:textId="77777777" w:rsidR="007D6B06" w:rsidRDefault="007D6B06">
      <w:r>
        <w:separator/>
      </w:r>
    </w:p>
  </w:footnote>
  <w:footnote w:type="continuationSeparator" w:id="0">
    <w:p w14:paraId="667A5E8E" w14:textId="77777777" w:rsidR="007D6B06" w:rsidRDefault="007D6B06">
      <w:r>
        <w:continuationSeparator/>
      </w:r>
    </w:p>
  </w:footnote>
  <w:footnote w:type="continuationNotice" w:id="1">
    <w:p w14:paraId="77B7A8B2" w14:textId="77777777" w:rsidR="007D6B06" w:rsidRDefault="007D6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882B" w14:textId="77777777" w:rsidR="009773B6" w:rsidRPr="00006316" w:rsidRDefault="009773B6" w:rsidP="00725858">
    <w:pPr>
      <w:pStyle w:val="Header"/>
      <w:tabs>
        <w:tab w:val="clear" w:pos="567"/>
        <w:tab w:val="clear" w:pos="7371"/>
        <w:tab w:val="clear" w:pos="7938"/>
        <w:tab w:val="num" w:pos="284"/>
      </w:tabs>
      <w:spacing w:after="57" w:line="288" w:lineRule="auto"/>
      <w:ind w:left="284" w:hanging="28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551A" w14:textId="77777777" w:rsidR="009773B6" w:rsidRDefault="009773B6" w:rsidP="00A854AC">
    <w:pPr>
      <w:pStyle w:val="Header"/>
      <w:spacing w:after="2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AE346" w14:textId="50E0FFC8" w:rsidR="00C84D53" w:rsidRDefault="00C84D53" w:rsidP="00C84D53">
    <w:pPr>
      <w:pStyle w:val="Heading2"/>
      <w:rPr>
        <w:b/>
      </w:rPr>
    </w:pPr>
    <w:r>
      <w:rPr>
        <w:b/>
      </w:rPr>
      <w:t>Management</w:t>
    </w:r>
    <w:r w:rsidR="007353B1">
      <w:rPr>
        <w:b/>
      </w:rPr>
      <w:t xml:space="preserve"> R</w:t>
    </w:r>
    <w:r w:rsidRPr="005813FF">
      <w:rPr>
        <w:b/>
      </w:rPr>
      <w:t xml:space="preserve">esponse to the </w:t>
    </w:r>
    <w:r w:rsidR="007353B1">
      <w:rPr>
        <w:b/>
      </w:rPr>
      <w:t>R</w:t>
    </w:r>
    <w:r>
      <w:rPr>
        <w:b/>
      </w:rPr>
      <w:t>ecommendations</w:t>
    </w:r>
  </w:p>
  <w:p w14:paraId="33984A27" w14:textId="77777777" w:rsidR="00C84D53" w:rsidRPr="00006316" w:rsidRDefault="00C84D53" w:rsidP="00725858">
    <w:pPr>
      <w:pStyle w:val="Header"/>
      <w:tabs>
        <w:tab w:val="clear" w:pos="567"/>
        <w:tab w:val="clear" w:pos="7371"/>
        <w:tab w:val="clear" w:pos="7938"/>
        <w:tab w:val="num" w:pos="284"/>
      </w:tabs>
      <w:spacing w:after="57" w:line="288" w:lineRule="auto"/>
      <w:ind w:left="284" w:hanging="28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539"/>
    <w:multiLevelType w:val="hybridMultilevel"/>
    <w:tmpl w:val="22463E60"/>
    <w:lvl w:ilvl="0" w:tplc="A8FC52A6">
      <w:start w:val="1"/>
      <w:numFmt w:val="lowerLetter"/>
      <w:pStyle w:val="BoxListNumber2"/>
      <w:lvlText w:val="%1."/>
      <w:lvlJc w:val="left"/>
      <w:pPr>
        <w:tabs>
          <w:tab w:val="num" w:pos="567"/>
        </w:tabs>
        <w:ind w:left="567" w:hanging="28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452A2"/>
    <w:multiLevelType w:val="hybridMultilevel"/>
    <w:tmpl w:val="84701B52"/>
    <w:lvl w:ilvl="0" w:tplc="0C4E4E76">
      <w:start w:val="1"/>
      <w:numFmt w:val="bullet"/>
      <w:pStyle w:val="QuoteBullet"/>
      <w:lvlText w:val=""/>
      <w:lvlJc w:val="left"/>
      <w:pPr>
        <w:tabs>
          <w:tab w:val="num" w:pos="851"/>
        </w:tabs>
        <w:ind w:left="851"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B1CB1"/>
    <w:multiLevelType w:val="hybridMultilevel"/>
    <w:tmpl w:val="1BCEED34"/>
    <w:lvl w:ilvl="0" w:tplc="E5126550">
      <w:start w:val="1"/>
      <w:numFmt w:val="lowerLetter"/>
      <w:pStyle w:val="TableListNumber2"/>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53C10"/>
    <w:multiLevelType w:val="hybridMultilevel"/>
    <w:tmpl w:val="0974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701AE9"/>
    <w:multiLevelType w:val="hybridMultilevel"/>
    <w:tmpl w:val="A1861090"/>
    <w:lvl w:ilvl="0" w:tplc="0936D832">
      <w:start w:val="1"/>
      <w:numFmt w:val="decimal"/>
      <w:lvlRestart w:val="0"/>
      <w:pStyle w:val="BoxListNumber"/>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5774AA"/>
    <w:multiLevelType w:val="hybridMultilevel"/>
    <w:tmpl w:val="129AFE2E"/>
    <w:lvl w:ilvl="0" w:tplc="B972EED4">
      <w:start w:val="1"/>
      <w:numFmt w:val="bullet"/>
      <w:pStyle w:val="TableListBullet"/>
      <w:lvlText w:val=""/>
      <w:lvlJc w:val="left"/>
      <w:pPr>
        <w:tabs>
          <w:tab w:val="num" w:pos="284"/>
        </w:tabs>
        <w:ind w:left="284" w:hanging="284"/>
      </w:pPr>
      <w:rPr>
        <w:rFonts w:ascii="Symbol" w:hAnsi="Symbol" w:hint="default"/>
        <w:color w:val="auto"/>
        <w:spacing w:val="0"/>
        <w:w w:val="100"/>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444BA1"/>
    <w:multiLevelType w:val="hybridMultilevel"/>
    <w:tmpl w:val="49E4141C"/>
    <w:lvl w:ilvl="0" w:tplc="C7EE9B2A">
      <w:start w:val="1"/>
      <w:numFmt w:val="bullet"/>
      <w:pStyle w:val="ListBullet2"/>
      <w:lvlText w:val="–"/>
      <w:lvlJc w:val="left"/>
      <w:pPr>
        <w:tabs>
          <w:tab w:val="num" w:pos="567"/>
        </w:tabs>
        <w:ind w:left="567" w:hanging="283"/>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F468E9"/>
    <w:multiLevelType w:val="hybridMultilevel"/>
    <w:tmpl w:val="AD10D614"/>
    <w:lvl w:ilvl="0" w:tplc="6CB85CAA">
      <w:start w:val="1"/>
      <w:numFmt w:val="decimal"/>
      <w:pStyle w:val="ListNumber"/>
      <w:lvlText w:val="%1."/>
      <w:lvlJc w:val="left"/>
      <w:pPr>
        <w:tabs>
          <w:tab w:val="num" w:pos="284"/>
        </w:tabs>
        <w:ind w:left="284" w:hanging="28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CE84856"/>
    <w:multiLevelType w:val="hybridMultilevel"/>
    <w:tmpl w:val="B69E7B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0418F7"/>
    <w:multiLevelType w:val="hybridMultilevel"/>
    <w:tmpl w:val="3FD2D9F8"/>
    <w:lvl w:ilvl="0" w:tplc="587042D8">
      <w:start w:val="1"/>
      <w:numFmt w:val="bullet"/>
      <w:pStyle w:val="TableListBullet2"/>
      <w:lvlText w:val="–"/>
      <w:lvlJc w:val="left"/>
      <w:pPr>
        <w:tabs>
          <w:tab w:val="num" w:pos="567"/>
        </w:tabs>
        <w:ind w:left="567" w:hanging="283"/>
      </w:pPr>
      <w:rPr>
        <w:rFonts w:hint="default"/>
        <w:color w:val="auto"/>
      </w:rPr>
    </w:lvl>
    <w:lvl w:ilvl="1" w:tplc="E596520E" w:tentative="1">
      <w:start w:val="1"/>
      <w:numFmt w:val="bullet"/>
      <w:lvlText w:val="o"/>
      <w:lvlJc w:val="left"/>
      <w:pPr>
        <w:tabs>
          <w:tab w:val="num" w:pos="1440"/>
        </w:tabs>
        <w:ind w:left="1440" w:hanging="360"/>
      </w:pPr>
      <w:rPr>
        <w:rFonts w:ascii="Courier New" w:hAnsi="Courier New" w:cs="Courier New" w:hint="default"/>
      </w:rPr>
    </w:lvl>
    <w:lvl w:ilvl="2" w:tplc="3B7E9B22" w:tentative="1">
      <w:start w:val="1"/>
      <w:numFmt w:val="bullet"/>
      <w:lvlText w:val=""/>
      <w:lvlJc w:val="left"/>
      <w:pPr>
        <w:tabs>
          <w:tab w:val="num" w:pos="2160"/>
        </w:tabs>
        <w:ind w:left="2160" w:hanging="360"/>
      </w:pPr>
      <w:rPr>
        <w:rFonts w:ascii="Wingdings" w:hAnsi="Wingdings" w:hint="default"/>
      </w:rPr>
    </w:lvl>
    <w:lvl w:ilvl="3" w:tplc="0214134C" w:tentative="1">
      <w:start w:val="1"/>
      <w:numFmt w:val="bullet"/>
      <w:lvlText w:val=""/>
      <w:lvlJc w:val="left"/>
      <w:pPr>
        <w:tabs>
          <w:tab w:val="num" w:pos="2880"/>
        </w:tabs>
        <w:ind w:left="2880" w:hanging="360"/>
      </w:pPr>
      <w:rPr>
        <w:rFonts w:ascii="Symbol" w:hAnsi="Symbol" w:hint="default"/>
      </w:rPr>
    </w:lvl>
    <w:lvl w:ilvl="4" w:tplc="B916F99C" w:tentative="1">
      <w:start w:val="1"/>
      <w:numFmt w:val="bullet"/>
      <w:lvlText w:val="o"/>
      <w:lvlJc w:val="left"/>
      <w:pPr>
        <w:tabs>
          <w:tab w:val="num" w:pos="3600"/>
        </w:tabs>
        <w:ind w:left="3600" w:hanging="360"/>
      </w:pPr>
      <w:rPr>
        <w:rFonts w:ascii="Courier New" w:hAnsi="Courier New" w:cs="Courier New" w:hint="default"/>
      </w:rPr>
    </w:lvl>
    <w:lvl w:ilvl="5" w:tplc="9BF0B0AE" w:tentative="1">
      <w:start w:val="1"/>
      <w:numFmt w:val="bullet"/>
      <w:lvlText w:val=""/>
      <w:lvlJc w:val="left"/>
      <w:pPr>
        <w:tabs>
          <w:tab w:val="num" w:pos="4320"/>
        </w:tabs>
        <w:ind w:left="4320" w:hanging="360"/>
      </w:pPr>
      <w:rPr>
        <w:rFonts w:ascii="Wingdings" w:hAnsi="Wingdings" w:hint="default"/>
      </w:rPr>
    </w:lvl>
    <w:lvl w:ilvl="6" w:tplc="ADBCAC1C" w:tentative="1">
      <w:start w:val="1"/>
      <w:numFmt w:val="bullet"/>
      <w:lvlText w:val=""/>
      <w:lvlJc w:val="left"/>
      <w:pPr>
        <w:tabs>
          <w:tab w:val="num" w:pos="5040"/>
        </w:tabs>
        <w:ind w:left="5040" w:hanging="360"/>
      </w:pPr>
      <w:rPr>
        <w:rFonts w:ascii="Symbol" w:hAnsi="Symbol" w:hint="default"/>
      </w:rPr>
    </w:lvl>
    <w:lvl w:ilvl="7" w:tplc="2ADCB080" w:tentative="1">
      <w:start w:val="1"/>
      <w:numFmt w:val="bullet"/>
      <w:lvlText w:val="o"/>
      <w:lvlJc w:val="left"/>
      <w:pPr>
        <w:tabs>
          <w:tab w:val="num" w:pos="5760"/>
        </w:tabs>
        <w:ind w:left="5760" w:hanging="360"/>
      </w:pPr>
      <w:rPr>
        <w:rFonts w:ascii="Courier New" w:hAnsi="Courier New" w:cs="Courier New" w:hint="default"/>
      </w:rPr>
    </w:lvl>
    <w:lvl w:ilvl="8" w:tplc="AE5472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953E2A"/>
    <w:multiLevelType w:val="hybridMultilevel"/>
    <w:tmpl w:val="1250D702"/>
    <w:lvl w:ilvl="0" w:tplc="39A4C794">
      <w:start w:val="1"/>
      <w:numFmt w:val="bullet"/>
      <w:pStyle w:val="ListBullet"/>
      <w:lvlText w:val=""/>
      <w:lvlJc w:val="left"/>
      <w:pPr>
        <w:tabs>
          <w:tab w:val="num" w:pos="284"/>
        </w:tabs>
        <w:ind w:left="284" w:hanging="284"/>
      </w:pPr>
      <w:rPr>
        <w:rFonts w:ascii="Symbol" w:hAnsi="Symbol" w:hint="default"/>
        <w:color w:val="auto"/>
        <w:position w:val="0"/>
      </w:rPr>
    </w:lvl>
    <w:lvl w:ilvl="1" w:tplc="FAAA09AE" w:tentative="1">
      <w:start w:val="1"/>
      <w:numFmt w:val="bullet"/>
      <w:lvlText w:val="o"/>
      <w:lvlJc w:val="left"/>
      <w:pPr>
        <w:tabs>
          <w:tab w:val="num" w:pos="1440"/>
        </w:tabs>
        <w:ind w:left="1440" w:hanging="360"/>
      </w:pPr>
      <w:rPr>
        <w:rFonts w:ascii="Courier New" w:hAnsi="Courier New" w:cs="Courier New" w:hint="default"/>
      </w:rPr>
    </w:lvl>
    <w:lvl w:ilvl="2" w:tplc="9DBA5554" w:tentative="1">
      <w:start w:val="1"/>
      <w:numFmt w:val="bullet"/>
      <w:lvlText w:val=""/>
      <w:lvlJc w:val="left"/>
      <w:pPr>
        <w:tabs>
          <w:tab w:val="num" w:pos="2160"/>
        </w:tabs>
        <w:ind w:left="2160" w:hanging="360"/>
      </w:pPr>
      <w:rPr>
        <w:rFonts w:ascii="Wingdings" w:hAnsi="Wingdings" w:hint="default"/>
      </w:rPr>
    </w:lvl>
    <w:lvl w:ilvl="3" w:tplc="F9E8DF42" w:tentative="1">
      <w:start w:val="1"/>
      <w:numFmt w:val="bullet"/>
      <w:lvlText w:val=""/>
      <w:lvlJc w:val="left"/>
      <w:pPr>
        <w:tabs>
          <w:tab w:val="num" w:pos="2880"/>
        </w:tabs>
        <w:ind w:left="2880" w:hanging="360"/>
      </w:pPr>
      <w:rPr>
        <w:rFonts w:ascii="Symbol" w:hAnsi="Symbol" w:hint="default"/>
      </w:rPr>
    </w:lvl>
    <w:lvl w:ilvl="4" w:tplc="904AF4AC" w:tentative="1">
      <w:start w:val="1"/>
      <w:numFmt w:val="bullet"/>
      <w:lvlText w:val="o"/>
      <w:lvlJc w:val="left"/>
      <w:pPr>
        <w:tabs>
          <w:tab w:val="num" w:pos="3600"/>
        </w:tabs>
        <w:ind w:left="3600" w:hanging="360"/>
      </w:pPr>
      <w:rPr>
        <w:rFonts w:ascii="Courier New" w:hAnsi="Courier New" w:cs="Courier New" w:hint="default"/>
      </w:rPr>
    </w:lvl>
    <w:lvl w:ilvl="5" w:tplc="31643B92" w:tentative="1">
      <w:start w:val="1"/>
      <w:numFmt w:val="bullet"/>
      <w:lvlText w:val=""/>
      <w:lvlJc w:val="left"/>
      <w:pPr>
        <w:tabs>
          <w:tab w:val="num" w:pos="4320"/>
        </w:tabs>
        <w:ind w:left="4320" w:hanging="360"/>
      </w:pPr>
      <w:rPr>
        <w:rFonts w:ascii="Wingdings" w:hAnsi="Wingdings" w:hint="default"/>
      </w:rPr>
    </w:lvl>
    <w:lvl w:ilvl="6" w:tplc="B1466E46" w:tentative="1">
      <w:start w:val="1"/>
      <w:numFmt w:val="bullet"/>
      <w:lvlText w:val=""/>
      <w:lvlJc w:val="left"/>
      <w:pPr>
        <w:tabs>
          <w:tab w:val="num" w:pos="5040"/>
        </w:tabs>
        <w:ind w:left="5040" w:hanging="360"/>
      </w:pPr>
      <w:rPr>
        <w:rFonts w:ascii="Symbol" w:hAnsi="Symbol" w:hint="default"/>
      </w:rPr>
    </w:lvl>
    <w:lvl w:ilvl="7" w:tplc="FA00548A" w:tentative="1">
      <w:start w:val="1"/>
      <w:numFmt w:val="bullet"/>
      <w:lvlText w:val="o"/>
      <w:lvlJc w:val="left"/>
      <w:pPr>
        <w:tabs>
          <w:tab w:val="num" w:pos="5760"/>
        </w:tabs>
        <w:ind w:left="5760" w:hanging="360"/>
      </w:pPr>
      <w:rPr>
        <w:rFonts w:ascii="Courier New" w:hAnsi="Courier New" w:cs="Courier New" w:hint="default"/>
      </w:rPr>
    </w:lvl>
    <w:lvl w:ilvl="8" w:tplc="B638EF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37AA8"/>
    <w:multiLevelType w:val="hybridMultilevel"/>
    <w:tmpl w:val="8176030C"/>
    <w:lvl w:ilvl="0" w:tplc="ACFA9CFC">
      <w:start w:val="1"/>
      <w:numFmt w:val="decimal"/>
      <w:pStyle w:val="Table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127EA3"/>
    <w:multiLevelType w:val="hybridMultilevel"/>
    <w:tmpl w:val="8CD2E994"/>
    <w:lvl w:ilvl="0" w:tplc="BC1041F4">
      <w:start w:val="1"/>
      <w:numFmt w:val="bullet"/>
      <w:pStyle w:val="BoxListBullet"/>
      <w:lvlText w:val=""/>
      <w:lvlJc w:val="left"/>
      <w:pPr>
        <w:tabs>
          <w:tab w:val="num" w:pos="284"/>
        </w:tabs>
        <w:ind w:left="284" w:hanging="284"/>
      </w:pPr>
      <w:rPr>
        <w:rFonts w:ascii="Symbol" w:hAnsi="Symbol" w:hint="default"/>
        <w:b w:val="0"/>
        <w:i w:val="0"/>
        <w:color w:val="auto"/>
        <w:spacing w:val="0"/>
        <w:w w:val="100"/>
        <w:position w:val="0"/>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F264CF"/>
    <w:multiLevelType w:val="multilevel"/>
    <w:tmpl w:val="EC3EC1A6"/>
    <w:lvl w:ilvl="0">
      <w:start w:val="1"/>
      <w:numFmt w:val="decimal"/>
      <w:suff w:val="space"/>
      <w:lvlText w:val="%1."/>
      <w:lvlJc w:val="left"/>
      <w:pPr>
        <w:ind w:left="0" w:firstLine="0"/>
      </w:pPr>
      <w:rPr>
        <w:rFonts w:ascii="Calibri" w:hAnsi="Calibri" w:hint="default"/>
        <w:b/>
        <w:i w:val="0"/>
        <w:caps w:val="0"/>
        <w:color w:val="0087A2"/>
        <w:sz w:val="44"/>
        <w:szCs w:val="44"/>
      </w:rPr>
    </w:lvl>
    <w:lvl w:ilvl="1">
      <w:start w:val="1"/>
      <w:numFmt w:val="decimal"/>
      <w:suff w:val="space"/>
      <w:lvlText w:val="%1.%2 "/>
      <w:lvlJc w:val="left"/>
      <w:pPr>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suff w:val="space"/>
      <w:lvlText w:val="Appendix %6: "/>
      <w:lvlJc w:val="left"/>
      <w:pPr>
        <w:ind w:left="0" w:firstLine="0"/>
      </w:pPr>
      <w:rPr>
        <w:rFonts w:ascii="Calibri" w:hAnsi="Calibri" w:hint="default"/>
        <w:b/>
        <w:i w:val="0"/>
        <w:caps w:val="0"/>
        <w:color w:val="0087A2"/>
        <w:position w:val="0"/>
        <w:sz w:val="44"/>
        <w:szCs w:val="44"/>
      </w:rPr>
    </w:lvl>
    <w:lvl w:ilvl="6">
      <w:start w:val="1"/>
      <w:numFmt w:val="decimal"/>
      <w:pStyle w:val="Heading7"/>
      <w:suff w:val="space"/>
      <w:lvlText w:val="%6.%7 "/>
      <w:lvlJc w:val="left"/>
      <w:pPr>
        <w:ind w:left="0" w:firstLine="0"/>
      </w:pPr>
      <w:rPr>
        <w:rFonts w:ascii="Calibri" w:hAnsi="Calibri" w:hint="default"/>
        <w:b/>
        <w:i w:val="0"/>
        <w:caps/>
        <w:color w:val="DA7D2D"/>
        <w:sz w:val="32"/>
        <w:szCs w:val="3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4" w15:restartNumberingAfterBreak="0">
    <w:nsid w:val="66E1246F"/>
    <w:multiLevelType w:val="hybridMultilevel"/>
    <w:tmpl w:val="A686FA22"/>
    <w:lvl w:ilvl="0" w:tplc="01D472D0">
      <w:start w:val="1"/>
      <w:numFmt w:val="lowerLetter"/>
      <w:pStyle w:val="ListNumber2"/>
      <w:lvlText w:val="%1."/>
      <w:lvlJc w:val="left"/>
      <w:pPr>
        <w:tabs>
          <w:tab w:val="num" w:pos="567"/>
        </w:tabs>
        <w:ind w:left="567" w:hanging="283"/>
      </w:pPr>
      <w:rPr>
        <w:rFonts w:hint="default"/>
        <w:color w:val="auto"/>
        <w:position w:val="0"/>
      </w:rPr>
    </w:lvl>
    <w:lvl w:ilvl="1" w:tplc="3A8EDDBA" w:tentative="1">
      <w:start w:val="1"/>
      <w:numFmt w:val="bullet"/>
      <w:lvlText w:val="o"/>
      <w:lvlJc w:val="left"/>
      <w:pPr>
        <w:tabs>
          <w:tab w:val="num" w:pos="1440"/>
        </w:tabs>
        <w:ind w:left="1440" w:hanging="360"/>
      </w:pPr>
      <w:rPr>
        <w:rFonts w:ascii="Courier New" w:hAnsi="Courier New" w:cs="Courier New" w:hint="default"/>
      </w:rPr>
    </w:lvl>
    <w:lvl w:ilvl="2" w:tplc="A1C22FF0" w:tentative="1">
      <w:start w:val="1"/>
      <w:numFmt w:val="bullet"/>
      <w:lvlText w:val=""/>
      <w:lvlJc w:val="left"/>
      <w:pPr>
        <w:tabs>
          <w:tab w:val="num" w:pos="2160"/>
        </w:tabs>
        <w:ind w:left="2160" w:hanging="360"/>
      </w:pPr>
      <w:rPr>
        <w:rFonts w:ascii="Wingdings" w:hAnsi="Wingdings" w:hint="default"/>
      </w:rPr>
    </w:lvl>
    <w:lvl w:ilvl="3" w:tplc="8AF6940A" w:tentative="1">
      <w:start w:val="1"/>
      <w:numFmt w:val="bullet"/>
      <w:lvlText w:val=""/>
      <w:lvlJc w:val="left"/>
      <w:pPr>
        <w:tabs>
          <w:tab w:val="num" w:pos="2880"/>
        </w:tabs>
        <w:ind w:left="2880" w:hanging="360"/>
      </w:pPr>
      <w:rPr>
        <w:rFonts w:ascii="Symbol" w:hAnsi="Symbol" w:hint="default"/>
      </w:rPr>
    </w:lvl>
    <w:lvl w:ilvl="4" w:tplc="CA1067F8" w:tentative="1">
      <w:start w:val="1"/>
      <w:numFmt w:val="bullet"/>
      <w:lvlText w:val="o"/>
      <w:lvlJc w:val="left"/>
      <w:pPr>
        <w:tabs>
          <w:tab w:val="num" w:pos="3600"/>
        </w:tabs>
        <w:ind w:left="3600" w:hanging="360"/>
      </w:pPr>
      <w:rPr>
        <w:rFonts w:ascii="Courier New" w:hAnsi="Courier New" w:cs="Courier New" w:hint="default"/>
      </w:rPr>
    </w:lvl>
    <w:lvl w:ilvl="5" w:tplc="11A4018E" w:tentative="1">
      <w:start w:val="1"/>
      <w:numFmt w:val="bullet"/>
      <w:lvlText w:val=""/>
      <w:lvlJc w:val="left"/>
      <w:pPr>
        <w:tabs>
          <w:tab w:val="num" w:pos="4320"/>
        </w:tabs>
        <w:ind w:left="4320" w:hanging="360"/>
      </w:pPr>
      <w:rPr>
        <w:rFonts w:ascii="Wingdings" w:hAnsi="Wingdings" w:hint="default"/>
      </w:rPr>
    </w:lvl>
    <w:lvl w:ilvl="6" w:tplc="E986382A" w:tentative="1">
      <w:start w:val="1"/>
      <w:numFmt w:val="bullet"/>
      <w:lvlText w:val=""/>
      <w:lvlJc w:val="left"/>
      <w:pPr>
        <w:tabs>
          <w:tab w:val="num" w:pos="5040"/>
        </w:tabs>
        <w:ind w:left="5040" w:hanging="360"/>
      </w:pPr>
      <w:rPr>
        <w:rFonts w:ascii="Symbol" w:hAnsi="Symbol" w:hint="default"/>
      </w:rPr>
    </w:lvl>
    <w:lvl w:ilvl="7" w:tplc="34FE3D92" w:tentative="1">
      <w:start w:val="1"/>
      <w:numFmt w:val="bullet"/>
      <w:lvlText w:val="o"/>
      <w:lvlJc w:val="left"/>
      <w:pPr>
        <w:tabs>
          <w:tab w:val="num" w:pos="5760"/>
        </w:tabs>
        <w:ind w:left="5760" w:hanging="360"/>
      </w:pPr>
      <w:rPr>
        <w:rFonts w:ascii="Courier New" w:hAnsi="Courier New" w:cs="Courier New" w:hint="default"/>
      </w:rPr>
    </w:lvl>
    <w:lvl w:ilvl="8" w:tplc="9EA4A9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10E69"/>
    <w:multiLevelType w:val="singleLevel"/>
    <w:tmpl w:val="11DEC4B4"/>
    <w:lvl w:ilvl="0">
      <w:start w:val="1"/>
      <w:numFmt w:val="lowerLetter"/>
      <w:lvlRestart w:val="0"/>
      <w:pStyle w:val="NoteNumber"/>
      <w:lvlText w:val="%1"/>
      <w:lvlJc w:val="left"/>
      <w:pPr>
        <w:tabs>
          <w:tab w:val="num" w:pos="170"/>
        </w:tabs>
        <w:ind w:left="0" w:firstLine="0"/>
      </w:pPr>
      <w:rPr>
        <w:rFonts w:hint="default"/>
        <w:b w:val="0"/>
        <w:i w:val="0"/>
        <w:color w:val="4F5150"/>
        <w:position w:val="4"/>
        <w:sz w:val="16"/>
        <w:szCs w:val="16"/>
      </w:rPr>
    </w:lvl>
  </w:abstractNum>
  <w:abstractNum w:abstractNumId="16" w15:restartNumberingAfterBreak="0">
    <w:nsid w:val="71F63BDA"/>
    <w:multiLevelType w:val="hybridMultilevel"/>
    <w:tmpl w:val="3B8CB5A0"/>
    <w:lvl w:ilvl="0" w:tplc="F0A4617C">
      <w:numFmt w:val="bullet"/>
      <w:lvlText w:val="•"/>
      <w:lvlJc w:val="left"/>
      <w:pPr>
        <w:ind w:left="720" w:hanging="720"/>
      </w:pPr>
      <w:rPr>
        <w:rFonts w:ascii="Franklin Gothic Book" w:eastAsia="Times New Roman" w:hAnsi="Franklin Gothic Book"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C23710"/>
    <w:multiLevelType w:val="hybridMultilevel"/>
    <w:tmpl w:val="1F740A1E"/>
    <w:lvl w:ilvl="0" w:tplc="205E12C2">
      <w:start w:val="1"/>
      <w:numFmt w:val="bullet"/>
      <w:pStyle w:val="BoxListBullet2"/>
      <w:lvlText w:val="–"/>
      <w:lvlJc w:val="left"/>
      <w:pPr>
        <w:tabs>
          <w:tab w:val="num" w:pos="567"/>
        </w:tabs>
        <w:ind w:left="567" w:hanging="283"/>
      </w:pPr>
      <w:rPr>
        <w:rFonts w:ascii="Arial" w:hAnsi="Arial" w:hint="default"/>
        <w:b w:val="0"/>
        <w:i w:val="0"/>
        <w:color w:val="7C3D00"/>
        <w:position w:val="0"/>
        <w:sz w:val="20"/>
        <w:szCs w:val="20"/>
      </w:rPr>
    </w:lvl>
    <w:lvl w:ilvl="1" w:tplc="22546ABA" w:tentative="1">
      <w:start w:val="1"/>
      <w:numFmt w:val="bullet"/>
      <w:lvlText w:val="o"/>
      <w:lvlJc w:val="left"/>
      <w:pPr>
        <w:tabs>
          <w:tab w:val="num" w:pos="1440"/>
        </w:tabs>
        <w:ind w:left="1440" w:hanging="360"/>
      </w:pPr>
      <w:rPr>
        <w:rFonts w:ascii="Courier New" w:hAnsi="Courier New" w:cs="Courier New" w:hint="default"/>
      </w:rPr>
    </w:lvl>
    <w:lvl w:ilvl="2" w:tplc="F7367AC0" w:tentative="1">
      <w:start w:val="1"/>
      <w:numFmt w:val="bullet"/>
      <w:lvlText w:val=""/>
      <w:lvlJc w:val="left"/>
      <w:pPr>
        <w:tabs>
          <w:tab w:val="num" w:pos="2160"/>
        </w:tabs>
        <w:ind w:left="2160" w:hanging="360"/>
      </w:pPr>
      <w:rPr>
        <w:rFonts w:ascii="Wingdings" w:hAnsi="Wingdings" w:hint="default"/>
      </w:rPr>
    </w:lvl>
    <w:lvl w:ilvl="3" w:tplc="858A6D72" w:tentative="1">
      <w:start w:val="1"/>
      <w:numFmt w:val="bullet"/>
      <w:lvlText w:val=""/>
      <w:lvlJc w:val="left"/>
      <w:pPr>
        <w:tabs>
          <w:tab w:val="num" w:pos="2880"/>
        </w:tabs>
        <w:ind w:left="2880" w:hanging="360"/>
      </w:pPr>
      <w:rPr>
        <w:rFonts w:ascii="Symbol" w:hAnsi="Symbol" w:hint="default"/>
      </w:rPr>
    </w:lvl>
    <w:lvl w:ilvl="4" w:tplc="2DAECCF0" w:tentative="1">
      <w:start w:val="1"/>
      <w:numFmt w:val="bullet"/>
      <w:lvlText w:val="o"/>
      <w:lvlJc w:val="left"/>
      <w:pPr>
        <w:tabs>
          <w:tab w:val="num" w:pos="3600"/>
        </w:tabs>
        <w:ind w:left="3600" w:hanging="360"/>
      </w:pPr>
      <w:rPr>
        <w:rFonts w:ascii="Courier New" w:hAnsi="Courier New" w:cs="Courier New" w:hint="default"/>
      </w:rPr>
    </w:lvl>
    <w:lvl w:ilvl="5" w:tplc="92C4DD04" w:tentative="1">
      <w:start w:val="1"/>
      <w:numFmt w:val="bullet"/>
      <w:lvlText w:val=""/>
      <w:lvlJc w:val="left"/>
      <w:pPr>
        <w:tabs>
          <w:tab w:val="num" w:pos="4320"/>
        </w:tabs>
        <w:ind w:left="4320" w:hanging="360"/>
      </w:pPr>
      <w:rPr>
        <w:rFonts w:ascii="Wingdings" w:hAnsi="Wingdings" w:hint="default"/>
      </w:rPr>
    </w:lvl>
    <w:lvl w:ilvl="6" w:tplc="7792C266" w:tentative="1">
      <w:start w:val="1"/>
      <w:numFmt w:val="bullet"/>
      <w:lvlText w:val=""/>
      <w:lvlJc w:val="left"/>
      <w:pPr>
        <w:tabs>
          <w:tab w:val="num" w:pos="5040"/>
        </w:tabs>
        <w:ind w:left="5040" w:hanging="360"/>
      </w:pPr>
      <w:rPr>
        <w:rFonts w:ascii="Symbol" w:hAnsi="Symbol" w:hint="default"/>
      </w:rPr>
    </w:lvl>
    <w:lvl w:ilvl="7" w:tplc="5B901882" w:tentative="1">
      <w:start w:val="1"/>
      <w:numFmt w:val="bullet"/>
      <w:lvlText w:val="o"/>
      <w:lvlJc w:val="left"/>
      <w:pPr>
        <w:tabs>
          <w:tab w:val="num" w:pos="5760"/>
        </w:tabs>
        <w:ind w:left="5760" w:hanging="360"/>
      </w:pPr>
      <w:rPr>
        <w:rFonts w:ascii="Courier New" w:hAnsi="Courier New" w:cs="Courier New" w:hint="default"/>
      </w:rPr>
    </w:lvl>
    <w:lvl w:ilvl="8" w:tplc="8A6E0C1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4"/>
  </w:num>
  <w:num w:numId="4">
    <w:abstractNumId w:val="0"/>
  </w:num>
  <w:num w:numId="5">
    <w:abstractNumId w:val="13"/>
  </w:num>
  <w:num w:numId="6">
    <w:abstractNumId w:val="10"/>
  </w:num>
  <w:num w:numId="7">
    <w:abstractNumId w:val="6"/>
  </w:num>
  <w:num w:numId="8">
    <w:abstractNumId w:val="7"/>
  </w:num>
  <w:num w:numId="9">
    <w:abstractNumId w:val="14"/>
  </w:num>
  <w:num w:numId="10">
    <w:abstractNumId w:val="15"/>
  </w:num>
  <w:num w:numId="11">
    <w:abstractNumId w:val="1"/>
  </w:num>
  <w:num w:numId="12">
    <w:abstractNumId w:val="5"/>
  </w:num>
  <w:num w:numId="13">
    <w:abstractNumId w:val="9"/>
  </w:num>
  <w:num w:numId="14">
    <w:abstractNumId w:val="11"/>
  </w:num>
  <w:num w:numId="15">
    <w:abstractNumId w:val="2"/>
  </w:num>
  <w:num w:numId="16">
    <w:abstractNumId w:val="3"/>
  </w:num>
  <w:num w:numId="17">
    <w:abstractNumId w:val="16"/>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D1"/>
    <w:rsid w:val="000038A7"/>
    <w:rsid w:val="00006926"/>
    <w:rsid w:val="00026AD7"/>
    <w:rsid w:val="00032A92"/>
    <w:rsid w:val="0003711F"/>
    <w:rsid w:val="00046F38"/>
    <w:rsid w:val="00063E7C"/>
    <w:rsid w:val="00070B33"/>
    <w:rsid w:val="00076871"/>
    <w:rsid w:val="0008713B"/>
    <w:rsid w:val="00097618"/>
    <w:rsid w:val="000B536A"/>
    <w:rsid w:val="000C3FC3"/>
    <w:rsid w:val="000D30CF"/>
    <w:rsid w:val="000E5EF4"/>
    <w:rsid w:val="000E6ED7"/>
    <w:rsid w:val="000F2FFD"/>
    <w:rsid w:val="000F72A0"/>
    <w:rsid w:val="00116485"/>
    <w:rsid w:val="0011650A"/>
    <w:rsid w:val="00117C26"/>
    <w:rsid w:val="00120110"/>
    <w:rsid w:val="00120CC2"/>
    <w:rsid w:val="00126884"/>
    <w:rsid w:val="0015024E"/>
    <w:rsid w:val="0016443E"/>
    <w:rsid w:val="00165635"/>
    <w:rsid w:val="0017070E"/>
    <w:rsid w:val="00181919"/>
    <w:rsid w:val="001821BE"/>
    <w:rsid w:val="00190837"/>
    <w:rsid w:val="00193171"/>
    <w:rsid w:val="00194D1F"/>
    <w:rsid w:val="0019542C"/>
    <w:rsid w:val="0019635B"/>
    <w:rsid w:val="001B51E6"/>
    <w:rsid w:val="001D2BA5"/>
    <w:rsid w:val="001D3368"/>
    <w:rsid w:val="001D456C"/>
    <w:rsid w:val="001D7473"/>
    <w:rsid w:val="001D79DE"/>
    <w:rsid w:val="001E0F21"/>
    <w:rsid w:val="001F425A"/>
    <w:rsid w:val="001F6049"/>
    <w:rsid w:val="00211064"/>
    <w:rsid w:val="002126EF"/>
    <w:rsid w:val="002137ED"/>
    <w:rsid w:val="00223580"/>
    <w:rsid w:val="00230FB2"/>
    <w:rsid w:val="00231B1D"/>
    <w:rsid w:val="00234F90"/>
    <w:rsid w:val="00243599"/>
    <w:rsid w:val="00245FBF"/>
    <w:rsid w:val="002511E2"/>
    <w:rsid w:val="00255A9C"/>
    <w:rsid w:val="00257348"/>
    <w:rsid w:val="00271992"/>
    <w:rsid w:val="0027293F"/>
    <w:rsid w:val="00273129"/>
    <w:rsid w:val="0028188D"/>
    <w:rsid w:val="002824C0"/>
    <w:rsid w:val="00287DC1"/>
    <w:rsid w:val="002962EC"/>
    <w:rsid w:val="002A44AB"/>
    <w:rsid w:val="002B197F"/>
    <w:rsid w:val="002B3083"/>
    <w:rsid w:val="002B7220"/>
    <w:rsid w:val="002C4D56"/>
    <w:rsid w:val="002D7EF8"/>
    <w:rsid w:val="002F26FF"/>
    <w:rsid w:val="00302330"/>
    <w:rsid w:val="003035DE"/>
    <w:rsid w:val="00313434"/>
    <w:rsid w:val="003337BF"/>
    <w:rsid w:val="003354A5"/>
    <w:rsid w:val="0033795D"/>
    <w:rsid w:val="00340495"/>
    <w:rsid w:val="00341D11"/>
    <w:rsid w:val="003445D9"/>
    <w:rsid w:val="00357944"/>
    <w:rsid w:val="00360B0A"/>
    <w:rsid w:val="0036126C"/>
    <w:rsid w:val="0036299D"/>
    <w:rsid w:val="00365818"/>
    <w:rsid w:val="00366F43"/>
    <w:rsid w:val="003707D0"/>
    <w:rsid w:val="00381C18"/>
    <w:rsid w:val="00381D7E"/>
    <w:rsid w:val="00396F51"/>
    <w:rsid w:val="003A4414"/>
    <w:rsid w:val="003B0F55"/>
    <w:rsid w:val="003B408D"/>
    <w:rsid w:val="003C1F78"/>
    <w:rsid w:val="003D1458"/>
    <w:rsid w:val="003D46DA"/>
    <w:rsid w:val="00421D25"/>
    <w:rsid w:val="004249F8"/>
    <w:rsid w:val="00433E58"/>
    <w:rsid w:val="00441ED7"/>
    <w:rsid w:val="0047443D"/>
    <w:rsid w:val="00482BF1"/>
    <w:rsid w:val="00491AC1"/>
    <w:rsid w:val="004A115A"/>
    <w:rsid w:val="004B23CE"/>
    <w:rsid w:val="004B6DEA"/>
    <w:rsid w:val="004C1CCF"/>
    <w:rsid w:val="004C4C09"/>
    <w:rsid w:val="004C5C5C"/>
    <w:rsid w:val="004E0E9F"/>
    <w:rsid w:val="004E28AF"/>
    <w:rsid w:val="00506018"/>
    <w:rsid w:val="0051186F"/>
    <w:rsid w:val="00522DA8"/>
    <w:rsid w:val="00530445"/>
    <w:rsid w:val="00531B1F"/>
    <w:rsid w:val="00531BA2"/>
    <w:rsid w:val="005370BE"/>
    <w:rsid w:val="0055001D"/>
    <w:rsid w:val="005509E1"/>
    <w:rsid w:val="0055379B"/>
    <w:rsid w:val="005714D1"/>
    <w:rsid w:val="005813FF"/>
    <w:rsid w:val="00582714"/>
    <w:rsid w:val="005A0935"/>
    <w:rsid w:val="005A6507"/>
    <w:rsid w:val="005A794E"/>
    <w:rsid w:val="005B59C9"/>
    <w:rsid w:val="005B69AF"/>
    <w:rsid w:val="005C0F83"/>
    <w:rsid w:val="005E5CB9"/>
    <w:rsid w:val="005E70E9"/>
    <w:rsid w:val="005E739D"/>
    <w:rsid w:val="006033D3"/>
    <w:rsid w:val="00616667"/>
    <w:rsid w:val="006224E5"/>
    <w:rsid w:val="00641B99"/>
    <w:rsid w:val="00646FFC"/>
    <w:rsid w:val="006472BE"/>
    <w:rsid w:val="0065463F"/>
    <w:rsid w:val="00655502"/>
    <w:rsid w:val="00672796"/>
    <w:rsid w:val="00680403"/>
    <w:rsid w:val="00683172"/>
    <w:rsid w:val="006838F2"/>
    <w:rsid w:val="006850ED"/>
    <w:rsid w:val="006A1E29"/>
    <w:rsid w:val="006B3BAD"/>
    <w:rsid w:val="006B6A6C"/>
    <w:rsid w:val="006D5FC2"/>
    <w:rsid w:val="006F3740"/>
    <w:rsid w:val="006F5B3B"/>
    <w:rsid w:val="00707FE4"/>
    <w:rsid w:val="00714589"/>
    <w:rsid w:val="007156F0"/>
    <w:rsid w:val="0071639E"/>
    <w:rsid w:val="00717A10"/>
    <w:rsid w:val="00725858"/>
    <w:rsid w:val="00725B19"/>
    <w:rsid w:val="0072625C"/>
    <w:rsid w:val="007353B1"/>
    <w:rsid w:val="0074356F"/>
    <w:rsid w:val="007516C7"/>
    <w:rsid w:val="0077104B"/>
    <w:rsid w:val="00781C35"/>
    <w:rsid w:val="00786925"/>
    <w:rsid w:val="007A0100"/>
    <w:rsid w:val="007A0590"/>
    <w:rsid w:val="007A0ACF"/>
    <w:rsid w:val="007D25FC"/>
    <w:rsid w:val="007D68D7"/>
    <w:rsid w:val="007D6B06"/>
    <w:rsid w:val="007E08C2"/>
    <w:rsid w:val="007E448F"/>
    <w:rsid w:val="007F5CAA"/>
    <w:rsid w:val="00816BFB"/>
    <w:rsid w:val="00820CC0"/>
    <w:rsid w:val="0083402F"/>
    <w:rsid w:val="00843CF9"/>
    <w:rsid w:val="0086244D"/>
    <w:rsid w:val="00872C8A"/>
    <w:rsid w:val="00873B59"/>
    <w:rsid w:val="008A0E5A"/>
    <w:rsid w:val="008B5C42"/>
    <w:rsid w:val="008B774E"/>
    <w:rsid w:val="008C21EF"/>
    <w:rsid w:val="008E6F9F"/>
    <w:rsid w:val="008F0071"/>
    <w:rsid w:val="008F0C9C"/>
    <w:rsid w:val="008F6723"/>
    <w:rsid w:val="008F6C65"/>
    <w:rsid w:val="0090622C"/>
    <w:rsid w:val="00907366"/>
    <w:rsid w:val="009301C5"/>
    <w:rsid w:val="00936D2A"/>
    <w:rsid w:val="009424B5"/>
    <w:rsid w:val="009539CC"/>
    <w:rsid w:val="00956D37"/>
    <w:rsid w:val="00976CBD"/>
    <w:rsid w:val="009773B6"/>
    <w:rsid w:val="00980582"/>
    <w:rsid w:val="009B4705"/>
    <w:rsid w:val="009D0240"/>
    <w:rsid w:val="009D30E5"/>
    <w:rsid w:val="009D490E"/>
    <w:rsid w:val="009D7BB7"/>
    <w:rsid w:val="009E4CC3"/>
    <w:rsid w:val="009F5C5F"/>
    <w:rsid w:val="009F662E"/>
    <w:rsid w:val="00A02853"/>
    <w:rsid w:val="00A02EEE"/>
    <w:rsid w:val="00A05E99"/>
    <w:rsid w:val="00A128FE"/>
    <w:rsid w:val="00A1602F"/>
    <w:rsid w:val="00A20AE5"/>
    <w:rsid w:val="00A24383"/>
    <w:rsid w:val="00A35029"/>
    <w:rsid w:val="00A361C6"/>
    <w:rsid w:val="00A4051E"/>
    <w:rsid w:val="00A46A82"/>
    <w:rsid w:val="00A5596F"/>
    <w:rsid w:val="00A75926"/>
    <w:rsid w:val="00A7776D"/>
    <w:rsid w:val="00A82165"/>
    <w:rsid w:val="00A854AC"/>
    <w:rsid w:val="00AB17F2"/>
    <w:rsid w:val="00AC02E1"/>
    <w:rsid w:val="00AC036E"/>
    <w:rsid w:val="00AC1955"/>
    <w:rsid w:val="00AC75D8"/>
    <w:rsid w:val="00AE00A0"/>
    <w:rsid w:val="00AE09E5"/>
    <w:rsid w:val="00AE0D98"/>
    <w:rsid w:val="00AE579A"/>
    <w:rsid w:val="00AF5EF4"/>
    <w:rsid w:val="00B03373"/>
    <w:rsid w:val="00B07C3F"/>
    <w:rsid w:val="00B10172"/>
    <w:rsid w:val="00B15E97"/>
    <w:rsid w:val="00B2450C"/>
    <w:rsid w:val="00B25CD4"/>
    <w:rsid w:val="00B306E4"/>
    <w:rsid w:val="00B34B66"/>
    <w:rsid w:val="00BA0BEE"/>
    <w:rsid w:val="00BA13F9"/>
    <w:rsid w:val="00BB00EF"/>
    <w:rsid w:val="00BB073E"/>
    <w:rsid w:val="00BB236C"/>
    <w:rsid w:val="00BB72DB"/>
    <w:rsid w:val="00BC0DBF"/>
    <w:rsid w:val="00BC23F9"/>
    <w:rsid w:val="00BD1477"/>
    <w:rsid w:val="00BE3254"/>
    <w:rsid w:val="00BE3F0D"/>
    <w:rsid w:val="00BF02FA"/>
    <w:rsid w:val="00BF22EF"/>
    <w:rsid w:val="00C00E15"/>
    <w:rsid w:val="00C552E9"/>
    <w:rsid w:val="00C56F9C"/>
    <w:rsid w:val="00C65CDA"/>
    <w:rsid w:val="00C6752B"/>
    <w:rsid w:val="00C72906"/>
    <w:rsid w:val="00C74F90"/>
    <w:rsid w:val="00C84D53"/>
    <w:rsid w:val="00C934A2"/>
    <w:rsid w:val="00C97FC5"/>
    <w:rsid w:val="00CA1A59"/>
    <w:rsid w:val="00CC1ECC"/>
    <w:rsid w:val="00CD49F8"/>
    <w:rsid w:val="00CD5820"/>
    <w:rsid w:val="00CE321F"/>
    <w:rsid w:val="00CE4647"/>
    <w:rsid w:val="00CE7473"/>
    <w:rsid w:val="00CF6EA4"/>
    <w:rsid w:val="00D01B68"/>
    <w:rsid w:val="00D1572F"/>
    <w:rsid w:val="00D1617F"/>
    <w:rsid w:val="00D168A6"/>
    <w:rsid w:val="00D17F63"/>
    <w:rsid w:val="00D41BA8"/>
    <w:rsid w:val="00D44C22"/>
    <w:rsid w:val="00D502F5"/>
    <w:rsid w:val="00D5387C"/>
    <w:rsid w:val="00D540A4"/>
    <w:rsid w:val="00D56E4F"/>
    <w:rsid w:val="00D56FBE"/>
    <w:rsid w:val="00D60989"/>
    <w:rsid w:val="00D64A56"/>
    <w:rsid w:val="00D70A2E"/>
    <w:rsid w:val="00D7184D"/>
    <w:rsid w:val="00D72FBB"/>
    <w:rsid w:val="00D828F7"/>
    <w:rsid w:val="00D85FB2"/>
    <w:rsid w:val="00D86FFF"/>
    <w:rsid w:val="00D90DB4"/>
    <w:rsid w:val="00DA702D"/>
    <w:rsid w:val="00DB2D38"/>
    <w:rsid w:val="00DB42C2"/>
    <w:rsid w:val="00DD380A"/>
    <w:rsid w:val="00DE146C"/>
    <w:rsid w:val="00E11300"/>
    <w:rsid w:val="00E12F13"/>
    <w:rsid w:val="00E218B4"/>
    <w:rsid w:val="00E22F80"/>
    <w:rsid w:val="00E261E1"/>
    <w:rsid w:val="00E2716B"/>
    <w:rsid w:val="00E27506"/>
    <w:rsid w:val="00E5688F"/>
    <w:rsid w:val="00E57140"/>
    <w:rsid w:val="00E60642"/>
    <w:rsid w:val="00E832AC"/>
    <w:rsid w:val="00E87F73"/>
    <w:rsid w:val="00E9396E"/>
    <w:rsid w:val="00E9481A"/>
    <w:rsid w:val="00EA76E3"/>
    <w:rsid w:val="00EB133E"/>
    <w:rsid w:val="00EB2D67"/>
    <w:rsid w:val="00EB4EB2"/>
    <w:rsid w:val="00EE3EDE"/>
    <w:rsid w:val="00EF7514"/>
    <w:rsid w:val="00F02F60"/>
    <w:rsid w:val="00F07615"/>
    <w:rsid w:val="00F12812"/>
    <w:rsid w:val="00F12D42"/>
    <w:rsid w:val="00F32026"/>
    <w:rsid w:val="00F3799A"/>
    <w:rsid w:val="00F42084"/>
    <w:rsid w:val="00F43065"/>
    <w:rsid w:val="00F51D72"/>
    <w:rsid w:val="00F543CC"/>
    <w:rsid w:val="00F63E6A"/>
    <w:rsid w:val="00F7403A"/>
    <w:rsid w:val="00F9075D"/>
    <w:rsid w:val="00F95F48"/>
    <w:rsid w:val="00F96BA7"/>
    <w:rsid w:val="00F96FBB"/>
    <w:rsid w:val="00FA1AA2"/>
    <w:rsid w:val="00FD40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04DE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9" w:unhideWhenUsed="1"/>
    <w:lsdException w:name="heading 7" w:semiHidden="1" w:uiPriority="29" w:unhideWhenUsed="1"/>
    <w:lsdException w:name="heading 8" w:semiHidden="1" w:uiPriority="29" w:unhideWhenUsed="1"/>
    <w:lsdException w:name="heading 9" w:semiHidden="1" w:uiPriority="2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1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qFormat="1"/>
    <w:lsdException w:name="List 2" w:semiHidden="1" w:unhideWhenUsed="1"/>
    <w:lsdException w:name="List 3" w:semiHidden="1" w:unhideWhenUsed="1"/>
    <w:lsdException w:name="List 4" w:semiHidden="1"/>
    <w:lsdException w:name="List 5" w:semiHidden="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qFormat/>
    <w:rsid w:val="008B5C42"/>
    <w:rPr>
      <w:rFonts w:ascii="Franklin Gothic Book" w:hAnsi="Franklin Gothic Book"/>
      <w:color w:val="000000" w:themeColor="text1"/>
      <w:sz w:val="21"/>
      <w:szCs w:val="24"/>
    </w:rPr>
  </w:style>
  <w:style w:type="paragraph" w:styleId="Heading1">
    <w:name w:val="heading 1"/>
    <w:basedOn w:val="BodyText"/>
    <w:next w:val="BodyText"/>
    <w:link w:val="Heading1Char"/>
    <w:uiPriority w:val="2"/>
    <w:qFormat/>
    <w:rsid w:val="00A02EEE"/>
    <w:pPr>
      <w:jc w:val="center"/>
      <w:outlineLvl w:val="0"/>
    </w:pPr>
    <w:rPr>
      <w:b/>
      <w:sz w:val="28"/>
      <w:szCs w:val="28"/>
      <w:u w:val="single"/>
    </w:rPr>
  </w:style>
  <w:style w:type="paragraph" w:styleId="Heading2">
    <w:name w:val="heading 2"/>
    <w:next w:val="BodyText"/>
    <w:link w:val="Heading2Char"/>
    <w:uiPriority w:val="2"/>
    <w:qFormat/>
    <w:rsid w:val="008B5C42"/>
    <w:pPr>
      <w:keepNext/>
      <w:keepLines/>
      <w:spacing w:before="227" w:after="57" w:line="288" w:lineRule="auto"/>
      <w:outlineLvl w:val="1"/>
    </w:pPr>
    <w:rPr>
      <w:rFonts w:ascii="Helvetica" w:hAnsi="Helvetica"/>
      <w:color w:val="127AA5"/>
      <w:kern w:val="28"/>
      <w:sz w:val="24"/>
      <w:szCs w:val="32"/>
    </w:rPr>
  </w:style>
  <w:style w:type="paragraph" w:styleId="Heading3">
    <w:name w:val="heading 3"/>
    <w:next w:val="BodyText"/>
    <w:link w:val="Heading3Char"/>
    <w:uiPriority w:val="2"/>
    <w:qFormat/>
    <w:rsid w:val="008B5C42"/>
    <w:pPr>
      <w:keepNext/>
      <w:keepLines/>
      <w:spacing w:before="227" w:after="57" w:line="300" w:lineRule="auto"/>
      <w:outlineLvl w:val="2"/>
    </w:pPr>
    <w:rPr>
      <w:rFonts w:ascii="Helvetica" w:hAnsi="Helvetica"/>
      <w:kern w:val="28"/>
      <w:sz w:val="21"/>
      <w:szCs w:val="21"/>
    </w:rPr>
  </w:style>
  <w:style w:type="paragraph" w:styleId="Heading4">
    <w:name w:val="heading 4"/>
    <w:next w:val="BodyText"/>
    <w:link w:val="Heading4Char"/>
    <w:uiPriority w:val="2"/>
    <w:semiHidden/>
    <w:qFormat/>
    <w:rsid w:val="00D56E4F"/>
    <w:pPr>
      <w:keepNext/>
      <w:spacing w:before="120" w:after="120" w:line="288" w:lineRule="auto"/>
      <w:outlineLvl w:val="3"/>
    </w:pPr>
    <w:rPr>
      <w:rFonts w:asciiTheme="minorHAnsi" w:hAnsiTheme="minorHAnsi"/>
      <w:b/>
      <w:color w:val="000000" w:themeColor="text1"/>
      <w:kern w:val="28"/>
      <w:sz w:val="21"/>
      <w:szCs w:val="21"/>
    </w:rPr>
  </w:style>
  <w:style w:type="paragraph" w:styleId="Heading5">
    <w:name w:val="heading 5"/>
    <w:next w:val="BodyText"/>
    <w:link w:val="Heading5Char"/>
    <w:uiPriority w:val="2"/>
    <w:semiHidden/>
    <w:qFormat/>
    <w:rsid w:val="00D56E4F"/>
    <w:pPr>
      <w:keepNext/>
      <w:numPr>
        <w:ilvl w:val="4"/>
        <w:numId w:val="5"/>
      </w:numPr>
      <w:spacing w:before="57" w:after="142" w:line="288" w:lineRule="auto"/>
      <w:ind w:right="2552"/>
      <w:outlineLvl w:val="4"/>
    </w:pPr>
    <w:rPr>
      <w:rFonts w:asciiTheme="minorHAnsi" w:hAnsiTheme="minorHAnsi"/>
      <w:color w:val="000000" w:themeColor="text1"/>
      <w:sz w:val="21"/>
      <w:szCs w:val="19"/>
    </w:rPr>
  </w:style>
  <w:style w:type="paragraph" w:styleId="Heading6">
    <w:name w:val="heading 6"/>
    <w:aliases w:val="Appendix Heading 1"/>
    <w:next w:val="BodyText"/>
    <w:link w:val="Heading6Char"/>
    <w:uiPriority w:val="29"/>
    <w:semiHidden/>
    <w:rsid w:val="00D56E4F"/>
    <w:pPr>
      <w:keepNext/>
      <w:pageBreakBefore/>
      <w:numPr>
        <w:ilvl w:val="5"/>
        <w:numId w:val="5"/>
      </w:numPr>
      <w:spacing w:after="360" w:line="288" w:lineRule="auto"/>
      <w:outlineLvl w:val="5"/>
    </w:pPr>
    <w:rPr>
      <w:rFonts w:asciiTheme="majorHAnsi" w:hAnsiTheme="majorHAnsi"/>
      <w:b/>
      <w:bCs/>
      <w:color w:val="0087A2" w:themeColor="background2"/>
      <w:kern w:val="28"/>
      <w:sz w:val="44"/>
      <w:szCs w:val="44"/>
    </w:rPr>
  </w:style>
  <w:style w:type="paragraph" w:styleId="Heading7">
    <w:name w:val="heading 7"/>
    <w:aliases w:val="Appendix Heading 2"/>
    <w:next w:val="BodyText"/>
    <w:link w:val="Heading7Char"/>
    <w:uiPriority w:val="29"/>
    <w:semiHidden/>
    <w:rsid w:val="00D56E4F"/>
    <w:pPr>
      <w:keepNext/>
      <w:numPr>
        <w:ilvl w:val="6"/>
        <w:numId w:val="5"/>
      </w:numPr>
      <w:spacing w:before="360" w:after="240" w:line="288" w:lineRule="auto"/>
      <w:outlineLvl w:val="6"/>
    </w:pPr>
    <w:rPr>
      <w:rFonts w:asciiTheme="majorHAnsi" w:hAnsiTheme="majorHAnsi"/>
      <w:b/>
      <w:color w:val="C75B12" w:themeColor="text2"/>
      <w:kern w:val="28"/>
      <w:sz w:val="32"/>
      <w:szCs w:val="32"/>
    </w:rPr>
  </w:style>
  <w:style w:type="paragraph" w:styleId="Heading8">
    <w:name w:val="heading 8"/>
    <w:aliases w:val="Appendix Heading 3"/>
    <w:basedOn w:val="Heading3"/>
    <w:next w:val="BodyText"/>
    <w:link w:val="Heading8Char"/>
    <w:uiPriority w:val="29"/>
    <w:semiHidden/>
    <w:rsid w:val="00D56E4F"/>
    <w:pPr>
      <w:outlineLvl w:val="7"/>
    </w:pPr>
  </w:style>
  <w:style w:type="paragraph" w:styleId="Heading9">
    <w:name w:val="heading 9"/>
    <w:aliases w:val="Appendix Heading 4"/>
    <w:basedOn w:val="Heading4"/>
    <w:next w:val="BodyText"/>
    <w:link w:val="Heading9Char"/>
    <w:uiPriority w:val="29"/>
    <w:semiHidden/>
    <w:rsid w:val="00D56E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uiPriority w:val="39"/>
    <w:semiHidden/>
    <w:rsid w:val="00D56E4F"/>
    <w:pPr>
      <w:spacing w:before="120" w:line="288" w:lineRule="auto"/>
    </w:pPr>
    <w:rPr>
      <w:rFonts w:asciiTheme="majorHAnsi" w:hAnsiTheme="majorHAnsi"/>
      <w:caps/>
      <w:color w:val="14434B" w:themeColor="accent6"/>
      <w:spacing w:val="-2"/>
      <w:kern w:val="28"/>
      <w:sz w:val="25"/>
      <w:szCs w:val="25"/>
    </w:rPr>
  </w:style>
  <w:style w:type="paragraph" w:styleId="BodyText">
    <w:name w:val="Body Text"/>
    <w:link w:val="BodyTextChar"/>
    <w:qFormat/>
    <w:rsid w:val="008B5C42"/>
    <w:pPr>
      <w:spacing w:before="57" w:after="142" w:line="288" w:lineRule="auto"/>
    </w:pPr>
    <w:rPr>
      <w:rFonts w:ascii="Franklin Gothic Book" w:hAnsi="Franklin Gothic Book"/>
      <w:color w:val="000000" w:themeColor="text1"/>
      <w:sz w:val="21"/>
      <w:szCs w:val="24"/>
    </w:rPr>
  </w:style>
  <w:style w:type="character" w:customStyle="1" w:styleId="BodyTextChar">
    <w:name w:val="Body Text Char"/>
    <w:basedOn w:val="DefaultParagraphFont"/>
    <w:link w:val="BodyText"/>
    <w:rsid w:val="008B5C42"/>
    <w:rPr>
      <w:rFonts w:ascii="Franklin Gothic Book" w:hAnsi="Franklin Gothic Book"/>
      <w:color w:val="000000" w:themeColor="text1"/>
      <w:sz w:val="21"/>
      <w:szCs w:val="24"/>
    </w:rPr>
  </w:style>
  <w:style w:type="paragraph" w:customStyle="1" w:styleId="BoxHeading1">
    <w:name w:val="Box Heading 1"/>
    <w:next w:val="BodyText"/>
    <w:uiPriority w:val="21"/>
    <w:rsid w:val="00D56E4F"/>
    <w:pPr>
      <w:spacing w:after="120" w:line="288" w:lineRule="auto"/>
    </w:pPr>
    <w:rPr>
      <w:rFonts w:ascii="Arial Narrow" w:hAnsi="Arial Narrow"/>
      <w:b/>
      <w:color w:val="14434B" w:themeColor="accent6"/>
      <w:sz w:val="21"/>
      <w:szCs w:val="19"/>
    </w:rPr>
  </w:style>
  <w:style w:type="paragraph" w:customStyle="1" w:styleId="BoxHeading2">
    <w:name w:val="Box Heading 2"/>
    <w:basedOn w:val="BoxHeading1"/>
    <w:next w:val="BoxText"/>
    <w:uiPriority w:val="21"/>
    <w:rsid w:val="00D56E4F"/>
    <w:pPr>
      <w:spacing w:before="140"/>
    </w:pPr>
    <w:rPr>
      <w:i/>
    </w:rPr>
  </w:style>
  <w:style w:type="paragraph" w:customStyle="1" w:styleId="BoxText">
    <w:name w:val="Box Text"/>
    <w:link w:val="BoxTextChar"/>
    <w:uiPriority w:val="19"/>
    <w:rsid w:val="00D56E4F"/>
    <w:pPr>
      <w:spacing w:after="57" w:line="288" w:lineRule="auto"/>
    </w:pPr>
    <w:rPr>
      <w:rFonts w:ascii="Arial" w:hAnsi="Arial"/>
      <w:color w:val="000000" w:themeColor="text1"/>
      <w:sz w:val="19"/>
      <w:szCs w:val="19"/>
    </w:rPr>
  </w:style>
  <w:style w:type="character" w:customStyle="1" w:styleId="BoxTextChar">
    <w:name w:val="Box Text Char"/>
    <w:basedOn w:val="DefaultParagraphFont"/>
    <w:link w:val="BoxText"/>
    <w:uiPriority w:val="19"/>
    <w:rsid w:val="00D56E4F"/>
    <w:rPr>
      <w:rFonts w:ascii="Arial" w:hAnsi="Arial"/>
      <w:color w:val="000000" w:themeColor="text1"/>
      <w:sz w:val="19"/>
      <w:szCs w:val="19"/>
    </w:rPr>
  </w:style>
  <w:style w:type="paragraph" w:customStyle="1" w:styleId="BoxListBullet">
    <w:name w:val="Box List Bullet"/>
    <w:basedOn w:val="BoxText"/>
    <w:uiPriority w:val="20"/>
    <w:rsid w:val="00D56E4F"/>
    <w:pPr>
      <w:keepLines/>
      <w:numPr>
        <w:numId w:val="1"/>
      </w:numPr>
    </w:pPr>
  </w:style>
  <w:style w:type="paragraph" w:customStyle="1" w:styleId="BoxListBullet2">
    <w:name w:val="Box List Bullet 2"/>
    <w:basedOn w:val="BoxText"/>
    <w:uiPriority w:val="20"/>
    <w:rsid w:val="00D56E4F"/>
    <w:pPr>
      <w:numPr>
        <w:numId w:val="2"/>
      </w:numPr>
    </w:pPr>
    <w:rPr>
      <w:szCs w:val="18"/>
    </w:rPr>
  </w:style>
  <w:style w:type="paragraph" w:customStyle="1" w:styleId="BoxListNumber">
    <w:name w:val="Box List Number"/>
    <w:basedOn w:val="BoxText"/>
    <w:uiPriority w:val="20"/>
    <w:rsid w:val="00D56E4F"/>
    <w:pPr>
      <w:numPr>
        <w:numId w:val="3"/>
      </w:numPr>
      <w:spacing w:before="60"/>
    </w:pPr>
  </w:style>
  <w:style w:type="paragraph" w:customStyle="1" w:styleId="BoxListNumber2">
    <w:name w:val="Box List Number 2"/>
    <w:basedOn w:val="BoxText"/>
    <w:uiPriority w:val="20"/>
    <w:rsid w:val="00D56E4F"/>
    <w:pPr>
      <w:numPr>
        <w:numId w:val="4"/>
      </w:numPr>
    </w:pPr>
  </w:style>
  <w:style w:type="paragraph" w:customStyle="1" w:styleId="BoxNoteSource">
    <w:name w:val="Box Note/Source"/>
    <w:uiPriority w:val="24"/>
    <w:semiHidden/>
    <w:rsid w:val="00D56E4F"/>
    <w:pPr>
      <w:spacing w:before="120" w:after="240" w:line="288" w:lineRule="auto"/>
    </w:pPr>
    <w:rPr>
      <w:rFonts w:ascii="Arial Narrow" w:hAnsi="Arial Narrow"/>
      <w:color w:val="000000" w:themeColor="text1"/>
      <w:sz w:val="16"/>
      <w:szCs w:val="14"/>
    </w:rPr>
  </w:style>
  <w:style w:type="paragraph" w:customStyle="1" w:styleId="BoxQuote">
    <w:name w:val="Box Quote"/>
    <w:basedOn w:val="BoxText"/>
    <w:uiPriority w:val="22"/>
    <w:rsid w:val="00D56E4F"/>
    <w:pPr>
      <w:ind w:left="284" w:right="284"/>
    </w:pPr>
    <w:rPr>
      <w:i/>
    </w:rPr>
  </w:style>
  <w:style w:type="paragraph" w:customStyle="1" w:styleId="BoxTitle">
    <w:name w:val="Box Title"/>
    <w:uiPriority w:val="99"/>
    <w:semiHidden/>
    <w:rsid w:val="00D56E4F"/>
    <w:pPr>
      <w:keepNext/>
      <w:spacing w:before="57" w:after="77" w:line="240" w:lineRule="atLeast"/>
    </w:pPr>
    <w:rPr>
      <w:rFonts w:ascii="Arial Narrow" w:hAnsi="Arial Narrow"/>
      <w:b/>
      <w:caps/>
      <w:color w:val="FFFFFF"/>
      <w:sz w:val="18"/>
      <w:szCs w:val="18"/>
      <w:lang w:eastAsia="en-US"/>
    </w:rPr>
  </w:style>
  <w:style w:type="paragraph" w:styleId="Caption">
    <w:name w:val="caption"/>
    <w:next w:val="BodyText"/>
    <w:uiPriority w:val="5"/>
    <w:qFormat/>
    <w:rsid w:val="009539CC"/>
    <w:pPr>
      <w:keepNext/>
      <w:spacing w:before="360" w:after="120" w:line="288" w:lineRule="auto"/>
    </w:pPr>
    <w:rPr>
      <w:rFonts w:ascii="Helvetica" w:hAnsi="Helvetica"/>
      <w:b/>
      <w:caps/>
      <w:color w:val="000000" w:themeColor="text1"/>
      <w:sz w:val="21"/>
      <w:szCs w:val="21"/>
    </w:rPr>
  </w:style>
  <w:style w:type="paragraph" w:styleId="TOC1">
    <w:name w:val="toc 1"/>
    <w:next w:val="BodyText"/>
    <w:uiPriority w:val="39"/>
    <w:semiHidden/>
    <w:rsid w:val="00D56E4F"/>
    <w:pPr>
      <w:keepNext/>
      <w:tabs>
        <w:tab w:val="right" w:pos="8505"/>
      </w:tabs>
      <w:spacing w:before="170" w:after="57" w:line="288" w:lineRule="auto"/>
      <w:contextualSpacing/>
    </w:pPr>
    <w:rPr>
      <w:rFonts w:asciiTheme="majorHAnsi" w:hAnsiTheme="majorHAnsi"/>
      <w:b/>
      <w:color w:val="0087A2" w:themeColor="background2"/>
      <w:kern w:val="28"/>
      <w:sz w:val="32"/>
      <w:szCs w:val="32"/>
    </w:rPr>
  </w:style>
  <w:style w:type="paragraph" w:customStyle="1" w:styleId="Captionheading">
    <w:name w:val="Caption heading"/>
    <w:basedOn w:val="TOC1"/>
    <w:next w:val="BodyText"/>
    <w:uiPriority w:val="39"/>
    <w:semiHidden/>
    <w:rsid w:val="00D56E4F"/>
    <w:pPr>
      <w:spacing w:before="0"/>
    </w:pPr>
  </w:style>
  <w:style w:type="character" w:styleId="CommentReference">
    <w:name w:val="annotation reference"/>
    <w:basedOn w:val="DefaultParagraphFont"/>
    <w:uiPriority w:val="99"/>
    <w:semiHidden/>
    <w:rsid w:val="00D56E4F"/>
    <w:rPr>
      <w:rFonts w:ascii="Arial Narrow" w:hAnsi="Arial Narrow"/>
      <w:vanish/>
      <w:color w:val="FF00FF"/>
      <w:sz w:val="18"/>
      <w:szCs w:val="18"/>
    </w:rPr>
  </w:style>
  <w:style w:type="paragraph" w:styleId="CommentText">
    <w:name w:val="annotation text"/>
    <w:basedOn w:val="Normal"/>
    <w:link w:val="CommentTextChar"/>
    <w:uiPriority w:val="99"/>
    <w:semiHidden/>
    <w:rsid w:val="00D56E4F"/>
    <w:pPr>
      <w:spacing w:line="240" w:lineRule="atLeast"/>
    </w:pPr>
    <w:rPr>
      <w:rFonts w:ascii="Garamond" w:hAnsi="Garamond"/>
      <w:szCs w:val="20"/>
    </w:rPr>
  </w:style>
  <w:style w:type="character" w:customStyle="1" w:styleId="CommentTextChar">
    <w:name w:val="Comment Text Char"/>
    <w:basedOn w:val="DefaultParagraphFont"/>
    <w:link w:val="CommentText"/>
    <w:uiPriority w:val="99"/>
    <w:semiHidden/>
    <w:rsid w:val="00D56E4F"/>
    <w:rPr>
      <w:rFonts w:ascii="Garamond" w:hAnsi="Garamond"/>
      <w:color w:val="000000" w:themeColor="text1"/>
      <w:sz w:val="21"/>
    </w:rPr>
  </w:style>
  <w:style w:type="paragraph" w:customStyle="1" w:styleId="Contents">
    <w:name w:val="Contents"/>
    <w:basedOn w:val="Heading1"/>
    <w:next w:val="BodyText"/>
    <w:uiPriority w:val="99"/>
    <w:semiHidden/>
    <w:rsid w:val="00D56E4F"/>
    <w:pPr>
      <w:spacing w:after="600"/>
      <w:outlineLvl w:val="9"/>
    </w:pPr>
  </w:style>
  <w:style w:type="paragraph" w:customStyle="1" w:styleId="Source">
    <w:name w:val="Source"/>
    <w:uiPriority w:val="8"/>
    <w:qFormat/>
    <w:rsid w:val="00D56E4F"/>
    <w:pPr>
      <w:keepLines/>
      <w:spacing w:before="120" w:after="240" w:line="288" w:lineRule="auto"/>
    </w:pPr>
    <w:rPr>
      <w:rFonts w:ascii="Arial Narrow" w:hAnsi="Arial Narrow"/>
      <w:color w:val="000000" w:themeColor="text1"/>
      <w:sz w:val="16"/>
      <w:szCs w:val="14"/>
      <w:lang w:eastAsia="en-US"/>
    </w:rPr>
  </w:style>
  <w:style w:type="paragraph" w:styleId="EndnoteText">
    <w:name w:val="endnote text"/>
    <w:basedOn w:val="FootnoteText"/>
    <w:link w:val="EndnoteTextChar"/>
    <w:uiPriority w:val="99"/>
    <w:semiHidden/>
    <w:rsid w:val="00D56E4F"/>
    <w:rPr>
      <w:szCs w:val="20"/>
    </w:rPr>
  </w:style>
  <w:style w:type="paragraph" w:styleId="Date">
    <w:name w:val="Date"/>
    <w:next w:val="BodyText"/>
    <w:link w:val="DateChar"/>
    <w:uiPriority w:val="38"/>
    <w:semiHidden/>
    <w:rsid w:val="00D56E4F"/>
    <w:pPr>
      <w:spacing w:before="120" w:line="288" w:lineRule="auto"/>
    </w:pPr>
    <w:rPr>
      <w:rFonts w:asciiTheme="majorHAnsi" w:hAnsiTheme="majorHAnsi"/>
      <w:caps/>
      <w:color w:val="000000" w:themeColor="text1"/>
      <w:kern w:val="28"/>
      <w:sz w:val="25"/>
      <w:szCs w:val="25"/>
    </w:rPr>
  </w:style>
  <w:style w:type="character" w:customStyle="1" w:styleId="DateChar">
    <w:name w:val="Date Char"/>
    <w:basedOn w:val="DefaultParagraphFont"/>
    <w:link w:val="Date"/>
    <w:uiPriority w:val="38"/>
    <w:semiHidden/>
    <w:rsid w:val="00A1602F"/>
    <w:rPr>
      <w:rFonts w:asciiTheme="majorHAnsi" w:hAnsiTheme="majorHAnsi"/>
      <w:caps/>
      <w:color w:val="000000" w:themeColor="text1"/>
      <w:kern w:val="28"/>
      <w:sz w:val="25"/>
      <w:szCs w:val="25"/>
    </w:rPr>
  </w:style>
  <w:style w:type="character" w:customStyle="1" w:styleId="DraftingNote">
    <w:name w:val="Drafting Note"/>
    <w:basedOn w:val="DefaultParagraphFont"/>
    <w:uiPriority w:val="10"/>
    <w:qFormat/>
    <w:rsid w:val="00D56E4F"/>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D56E4F"/>
    <w:rPr>
      <w:color w:val="333399"/>
      <w:u w:val="none"/>
    </w:rPr>
  </w:style>
  <w:style w:type="paragraph" w:styleId="Footer">
    <w:name w:val="footer"/>
    <w:link w:val="FooterChar"/>
    <w:uiPriority w:val="99"/>
    <w:rsid w:val="00D56E4F"/>
    <w:pPr>
      <w:spacing w:line="288" w:lineRule="auto"/>
    </w:pPr>
    <w:rPr>
      <w:rFonts w:ascii="Calibri" w:hAnsi="Calibri"/>
      <w:color w:val="14434B"/>
      <w:sz w:val="14"/>
      <w:szCs w:val="15"/>
    </w:rPr>
  </w:style>
  <w:style w:type="character" w:customStyle="1" w:styleId="FooterChar">
    <w:name w:val="Footer Char"/>
    <w:basedOn w:val="DefaultParagraphFont"/>
    <w:link w:val="Footer"/>
    <w:uiPriority w:val="99"/>
    <w:rsid w:val="00D56E4F"/>
    <w:rPr>
      <w:rFonts w:ascii="Calibri" w:hAnsi="Calibri"/>
      <w:color w:val="14434B"/>
      <w:sz w:val="14"/>
      <w:szCs w:val="15"/>
    </w:rPr>
  </w:style>
  <w:style w:type="paragraph" w:customStyle="1" w:styleId="Footertext">
    <w:name w:val="Footer text"/>
    <w:uiPriority w:val="39"/>
    <w:semiHidden/>
    <w:rsid w:val="00D56E4F"/>
    <w:pPr>
      <w:tabs>
        <w:tab w:val="left" w:pos="5720"/>
      </w:tabs>
    </w:pPr>
    <w:rPr>
      <w:rFonts w:ascii="Arial" w:hAnsi="Arial"/>
      <w:szCs w:val="24"/>
      <w:lang w:eastAsia="en-US"/>
    </w:rPr>
  </w:style>
  <w:style w:type="character" w:styleId="FootnoteReference">
    <w:name w:val="footnote reference"/>
    <w:basedOn w:val="DefaultParagraphFont"/>
    <w:semiHidden/>
    <w:rsid w:val="00D56E4F"/>
    <w:rPr>
      <w:w w:val="100"/>
      <w:position w:val="0"/>
      <w:szCs w:val="14"/>
      <w:vertAlign w:val="superscript"/>
    </w:rPr>
  </w:style>
  <w:style w:type="paragraph" w:styleId="FootnoteText">
    <w:name w:val="footnote text"/>
    <w:link w:val="FootnoteTextChar"/>
    <w:semiHidden/>
    <w:rsid w:val="00D56E4F"/>
    <w:pPr>
      <w:spacing w:after="57"/>
    </w:pPr>
    <w:rPr>
      <w:rFonts w:asciiTheme="minorHAnsi" w:hAnsiTheme="minorHAnsi"/>
      <w:color w:val="000000" w:themeColor="text1"/>
      <w:sz w:val="16"/>
      <w:szCs w:val="14"/>
    </w:rPr>
  </w:style>
  <w:style w:type="character" w:customStyle="1" w:styleId="FootnoteTextChar">
    <w:name w:val="Footnote Text Char"/>
    <w:basedOn w:val="DefaultParagraphFont"/>
    <w:link w:val="FootnoteText"/>
    <w:semiHidden/>
    <w:rsid w:val="00D56E4F"/>
    <w:rPr>
      <w:rFonts w:asciiTheme="minorHAnsi" w:hAnsiTheme="minorHAnsi"/>
      <w:color w:val="000000" w:themeColor="text1"/>
      <w:sz w:val="16"/>
      <w:szCs w:val="14"/>
    </w:rPr>
  </w:style>
  <w:style w:type="paragraph" w:styleId="Header">
    <w:name w:val="header"/>
    <w:link w:val="HeaderChar"/>
    <w:semiHidden/>
    <w:rsid w:val="00D56E4F"/>
    <w:pPr>
      <w:tabs>
        <w:tab w:val="left" w:pos="567"/>
        <w:tab w:val="right" w:pos="7371"/>
        <w:tab w:val="right" w:pos="7938"/>
      </w:tabs>
    </w:pPr>
    <w:rPr>
      <w:rFonts w:ascii="Arial Narrow" w:hAnsi="Arial Narrow"/>
      <w:caps/>
      <w:color w:val="000000" w:themeColor="text1"/>
      <w:sz w:val="15"/>
      <w:szCs w:val="15"/>
    </w:rPr>
  </w:style>
  <w:style w:type="character" w:customStyle="1" w:styleId="HeaderChar">
    <w:name w:val="Header Char"/>
    <w:basedOn w:val="DefaultParagraphFont"/>
    <w:link w:val="Header"/>
    <w:semiHidden/>
    <w:rsid w:val="00D56E4F"/>
    <w:rPr>
      <w:rFonts w:ascii="Arial Narrow" w:hAnsi="Arial Narrow"/>
      <w:caps/>
      <w:color w:val="000000" w:themeColor="text1"/>
      <w:sz w:val="15"/>
      <w:szCs w:val="15"/>
    </w:rPr>
  </w:style>
  <w:style w:type="character" w:customStyle="1" w:styleId="Heading4Char">
    <w:name w:val="Heading 4 Char"/>
    <w:basedOn w:val="DefaultParagraphFont"/>
    <w:link w:val="Heading4"/>
    <w:uiPriority w:val="2"/>
    <w:semiHidden/>
    <w:rsid w:val="00D86FFF"/>
    <w:rPr>
      <w:rFonts w:asciiTheme="minorHAnsi" w:hAnsiTheme="minorHAnsi"/>
      <w:b/>
      <w:color w:val="000000" w:themeColor="text1"/>
      <w:kern w:val="28"/>
      <w:sz w:val="21"/>
      <w:szCs w:val="21"/>
    </w:rPr>
  </w:style>
  <w:style w:type="character" w:customStyle="1" w:styleId="Heading5Char">
    <w:name w:val="Heading 5 Char"/>
    <w:basedOn w:val="DefaultParagraphFont"/>
    <w:link w:val="Heading5"/>
    <w:uiPriority w:val="2"/>
    <w:semiHidden/>
    <w:rsid w:val="00D56E4F"/>
    <w:rPr>
      <w:rFonts w:asciiTheme="minorHAnsi" w:hAnsiTheme="minorHAnsi"/>
      <w:color w:val="000000" w:themeColor="text1"/>
      <w:sz w:val="21"/>
      <w:szCs w:val="19"/>
    </w:rPr>
  </w:style>
  <w:style w:type="character" w:customStyle="1" w:styleId="Heading6Char">
    <w:name w:val="Heading 6 Char"/>
    <w:aliases w:val="Appendix Heading 1 Char"/>
    <w:basedOn w:val="DefaultParagraphFont"/>
    <w:link w:val="Heading6"/>
    <w:uiPriority w:val="29"/>
    <w:semiHidden/>
    <w:rsid w:val="00A1602F"/>
    <w:rPr>
      <w:rFonts w:asciiTheme="majorHAnsi" w:hAnsiTheme="majorHAnsi"/>
      <w:b/>
      <w:bCs/>
      <w:color w:val="0087A2" w:themeColor="background2"/>
      <w:kern w:val="28"/>
      <w:sz w:val="44"/>
      <w:szCs w:val="44"/>
    </w:rPr>
  </w:style>
  <w:style w:type="character" w:customStyle="1" w:styleId="Heading7Char">
    <w:name w:val="Heading 7 Char"/>
    <w:aliases w:val="Appendix Heading 2 Char"/>
    <w:basedOn w:val="DefaultParagraphFont"/>
    <w:link w:val="Heading7"/>
    <w:uiPriority w:val="29"/>
    <w:semiHidden/>
    <w:rsid w:val="00A1602F"/>
    <w:rPr>
      <w:rFonts w:asciiTheme="majorHAnsi" w:hAnsiTheme="majorHAnsi"/>
      <w:b/>
      <w:color w:val="C75B12" w:themeColor="text2"/>
      <w:kern w:val="28"/>
      <w:sz w:val="32"/>
      <w:szCs w:val="32"/>
    </w:rPr>
  </w:style>
  <w:style w:type="paragraph" w:customStyle="1" w:styleId="AppendixHeading2unnumbered">
    <w:name w:val="Appendix Heading 2 unnumbered"/>
    <w:basedOn w:val="Heading7"/>
    <w:next w:val="BodyText"/>
    <w:link w:val="AppendixHeading2unnumberedChar"/>
    <w:uiPriority w:val="29"/>
    <w:semiHidden/>
    <w:rsid w:val="00D56E4F"/>
    <w:pPr>
      <w:numPr>
        <w:ilvl w:val="0"/>
        <w:numId w:val="0"/>
      </w:numPr>
    </w:pPr>
  </w:style>
  <w:style w:type="character" w:customStyle="1" w:styleId="Heading8Char">
    <w:name w:val="Heading 8 Char"/>
    <w:aliases w:val="Appendix Heading 3 Char"/>
    <w:basedOn w:val="DefaultParagraphFont"/>
    <w:link w:val="Heading8"/>
    <w:uiPriority w:val="29"/>
    <w:semiHidden/>
    <w:rsid w:val="00A1602F"/>
    <w:rPr>
      <w:rFonts w:asciiTheme="majorHAnsi" w:hAnsiTheme="majorHAnsi"/>
      <w:b/>
      <w:color w:val="14434B" w:themeColor="accent6"/>
      <w:kern w:val="28"/>
      <w:sz w:val="24"/>
      <w:szCs w:val="21"/>
    </w:rPr>
  </w:style>
  <w:style w:type="character" w:customStyle="1" w:styleId="Heading9Char">
    <w:name w:val="Heading 9 Char"/>
    <w:aliases w:val="Appendix Heading 4 Char"/>
    <w:basedOn w:val="DefaultParagraphFont"/>
    <w:link w:val="Heading9"/>
    <w:uiPriority w:val="29"/>
    <w:semiHidden/>
    <w:rsid w:val="00A1602F"/>
    <w:rPr>
      <w:rFonts w:asciiTheme="minorHAnsi" w:hAnsiTheme="minorHAnsi"/>
      <w:b/>
      <w:color w:val="000000" w:themeColor="text1"/>
      <w:kern w:val="28"/>
      <w:sz w:val="21"/>
      <w:szCs w:val="21"/>
    </w:rPr>
  </w:style>
  <w:style w:type="character" w:customStyle="1" w:styleId="Heading1Char">
    <w:name w:val="Heading 1 Char"/>
    <w:basedOn w:val="DefaultParagraphFont"/>
    <w:link w:val="Heading1"/>
    <w:uiPriority w:val="2"/>
    <w:rsid w:val="00A02EEE"/>
    <w:rPr>
      <w:rFonts w:ascii="Franklin Gothic Book" w:hAnsi="Franklin Gothic Book"/>
      <w:b/>
      <w:color w:val="000000" w:themeColor="text1"/>
      <w:sz w:val="28"/>
      <w:szCs w:val="28"/>
      <w:u w:val="single"/>
    </w:rPr>
  </w:style>
  <w:style w:type="paragraph" w:customStyle="1" w:styleId="Invisiblepara">
    <w:name w:val="Invisible para"/>
    <w:next w:val="BodyText"/>
    <w:semiHidden/>
    <w:rsid w:val="00D56E4F"/>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D56E4F"/>
    <w:pPr>
      <w:keepNext w:val="0"/>
      <w:spacing w:before="0" w:after="240"/>
    </w:pPr>
  </w:style>
  <w:style w:type="paragraph" w:styleId="ListBullet">
    <w:name w:val="List Bullet"/>
    <w:basedOn w:val="BodyText"/>
    <w:uiPriority w:val="1"/>
    <w:qFormat/>
    <w:rsid w:val="00D56E4F"/>
    <w:pPr>
      <w:numPr>
        <w:numId w:val="6"/>
      </w:numPr>
    </w:pPr>
    <w:rPr>
      <w:szCs w:val="20"/>
    </w:rPr>
  </w:style>
  <w:style w:type="paragraph" w:styleId="ListBullet2">
    <w:name w:val="List Bullet 2"/>
    <w:basedOn w:val="BodyText"/>
    <w:uiPriority w:val="1"/>
    <w:qFormat/>
    <w:rsid w:val="00D56E4F"/>
    <w:pPr>
      <w:numPr>
        <w:numId w:val="7"/>
      </w:numPr>
    </w:pPr>
  </w:style>
  <w:style w:type="paragraph" w:styleId="ListNumber">
    <w:name w:val="List Number"/>
    <w:basedOn w:val="BodyText"/>
    <w:uiPriority w:val="1"/>
    <w:qFormat/>
    <w:rsid w:val="00D56E4F"/>
    <w:pPr>
      <w:numPr>
        <w:numId w:val="8"/>
      </w:numPr>
    </w:pPr>
    <w:rPr>
      <w:szCs w:val="20"/>
    </w:rPr>
  </w:style>
  <w:style w:type="paragraph" w:styleId="ListNumber2">
    <w:name w:val="List Number 2"/>
    <w:basedOn w:val="BodyText"/>
    <w:uiPriority w:val="1"/>
    <w:qFormat/>
    <w:rsid w:val="00D56E4F"/>
    <w:pPr>
      <w:numPr>
        <w:numId w:val="9"/>
      </w:numPr>
    </w:pPr>
  </w:style>
  <w:style w:type="paragraph" w:customStyle="1" w:styleId="Note">
    <w:name w:val="Note"/>
    <w:uiPriority w:val="6"/>
    <w:qFormat/>
    <w:rsid w:val="00D56E4F"/>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D56E4F"/>
    <w:rPr>
      <w:rFonts w:ascii="Arial Narrow" w:hAnsi="Arial Narrow"/>
      <w:b/>
      <w:color w:val="000000" w:themeColor="text1"/>
      <w:position w:val="4"/>
      <w:sz w:val="16"/>
      <w:szCs w:val="14"/>
    </w:rPr>
  </w:style>
  <w:style w:type="paragraph" w:customStyle="1" w:styleId="NoteNumber">
    <w:name w:val="Note Number"/>
    <w:basedOn w:val="Note"/>
    <w:next w:val="Note"/>
    <w:uiPriority w:val="6"/>
    <w:qFormat/>
    <w:rsid w:val="00D56E4F"/>
    <w:pPr>
      <w:numPr>
        <w:numId w:val="10"/>
      </w:numPr>
      <w:spacing w:after="0"/>
    </w:pPr>
    <w:rPr>
      <w:szCs w:val="14"/>
    </w:rPr>
  </w:style>
  <w:style w:type="character" w:styleId="PageNumber">
    <w:name w:val="page number"/>
    <w:basedOn w:val="DefaultParagraphFont"/>
    <w:uiPriority w:val="39"/>
    <w:semiHidden/>
    <w:rsid w:val="00D56E4F"/>
    <w:rPr>
      <w:b/>
      <w:color w:val="806D64"/>
    </w:rPr>
  </w:style>
  <w:style w:type="paragraph" w:styleId="Quote">
    <w:name w:val="Quote"/>
    <w:link w:val="QuoteChar"/>
    <w:uiPriority w:val="7"/>
    <w:qFormat/>
    <w:rsid w:val="00D56E4F"/>
    <w:pPr>
      <w:spacing w:before="57" w:after="50" w:line="288" w:lineRule="auto"/>
      <w:ind w:left="567" w:right="567"/>
    </w:pPr>
    <w:rPr>
      <w:rFonts w:asciiTheme="minorHAnsi" w:hAnsiTheme="minorHAnsi"/>
      <w:i/>
      <w:color w:val="000000" w:themeColor="text1"/>
      <w:sz w:val="21"/>
      <w:szCs w:val="18"/>
    </w:rPr>
  </w:style>
  <w:style w:type="character" w:customStyle="1" w:styleId="QuoteChar">
    <w:name w:val="Quote Char"/>
    <w:basedOn w:val="DefaultParagraphFont"/>
    <w:link w:val="Quote"/>
    <w:uiPriority w:val="7"/>
    <w:rsid w:val="00D56E4F"/>
    <w:rPr>
      <w:rFonts w:asciiTheme="minorHAnsi" w:hAnsiTheme="minorHAnsi"/>
      <w:i/>
      <w:color w:val="000000" w:themeColor="text1"/>
      <w:sz w:val="21"/>
      <w:szCs w:val="18"/>
    </w:rPr>
  </w:style>
  <w:style w:type="paragraph" w:customStyle="1" w:styleId="QuoteBullet">
    <w:name w:val="Quote Bullet"/>
    <w:basedOn w:val="Quote"/>
    <w:uiPriority w:val="7"/>
    <w:qFormat/>
    <w:rsid w:val="00D56E4F"/>
    <w:pPr>
      <w:numPr>
        <w:numId w:val="11"/>
      </w:numPr>
      <w:spacing w:before="40"/>
    </w:pPr>
  </w:style>
  <w:style w:type="paragraph" w:customStyle="1" w:styleId="Reference">
    <w:name w:val="Reference"/>
    <w:uiPriority w:val="9"/>
    <w:semiHidden/>
    <w:qFormat/>
    <w:rsid w:val="00D56E4F"/>
    <w:pPr>
      <w:keepLines/>
      <w:spacing w:before="57" w:after="142" w:line="288" w:lineRule="auto"/>
      <w:ind w:left="284" w:hanging="284"/>
    </w:pPr>
    <w:rPr>
      <w:rFonts w:asciiTheme="minorHAnsi" w:hAnsiTheme="minorHAnsi"/>
      <w:color w:val="000000" w:themeColor="text1"/>
      <w:sz w:val="21"/>
      <w:szCs w:val="18"/>
    </w:rPr>
  </w:style>
  <w:style w:type="paragraph" w:styleId="Subtitle">
    <w:name w:val="Subtitle"/>
    <w:next w:val="BodyText"/>
    <w:link w:val="SubtitleChar"/>
    <w:uiPriority w:val="37"/>
    <w:rsid w:val="004E0E9F"/>
    <w:pPr>
      <w:spacing w:after="240" w:line="440" w:lineRule="exact"/>
    </w:pPr>
    <w:rPr>
      <w:rFonts w:asciiTheme="majorHAnsi" w:hAnsiTheme="majorHAnsi"/>
      <w:color w:val="0087A2"/>
      <w:kern w:val="28"/>
      <w:sz w:val="36"/>
      <w:szCs w:val="25"/>
    </w:rPr>
  </w:style>
  <w:style w:type="character" w:customStyle="1" w:styleId="SubtitleChar">
    <w:name w:val="Subtitle Char"/>
    <w:basedOn w:val="DefaultParagraphFont"/>
    <w:link w:val="Subtitle"/>
    <w:uiPriority w:val="37"/>
    <w:rsid w:val="004E0E9F"/>
    <w:rPr>
      <w:rFonts w:asciiTheme="majorHAnsi" w:hAnsiTheme="majorHAnsi"/>
      <w:color w:val="0087A2"/>
      <w:kern w:val="28"/>
      <w:sz w:val="36"/>
      <w:szCs w:val="25"/>
    </w:rPr>
  </w:style>
  <w:style w:type="paragraph" w:customStyle="1" w:styleId="TableDataColumnHeading">
    <w:name w:val="Table Data Column Heading"/>
    <w:uiPriority w:val="27"/>
    <w:rsid w:val="00D56E4F"/>
    <w:pPr>
      <w:keepNext/>
      <w:spacing w:after="57" w:line="288" w:lineRule="auto"/>
      <w:jc w:val="right"/>
    </w:pPr>
    <w:rPr>
      <w:rFonts w:ascii="Arial Narrow" w:hAnsi="Arial Narrow"/>
      <w:b/>
      <w:color w:val="14434B" w:themeColor="accent6"/>
      <w:sz w:val="19"/>
      <w:szCs w:val="17"/>
      <w:lang w:eastAsia="en-US"/>
    </w:rPr>
  </w:style>
  <w:style w:type="paragraph" w:customStyle="1" w:styleId="TableTextEntries">
    <w:name w:val="Table Text Entries"/>
    <w:uiPriority w:val="24"/>
    <w:rsid w:val="00D56E4F"/>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D56E4F"/>
    <w:pPr>
      <w:jc w:val="right"/>
    </w:pPr>
  </w:style>
  <w:style w:type="table" w:styleId="TableGrid">
    <w:name w:val="Table Grid"/>
    <w:basedOn w:val="TableNormal"/>
    <w:rsid w:val="00D56E4F"/>
    <w:rPr>
      <w:rFonts w:ascii="Times New Roman" w:hAnsi="Times New Roman"/>
    </w:rPr>
    <w:tblPr>
      <w:tblCellMar>
        <w:left w:w="0" w:type="dxa"/>
        <w:right w:w="0" w:type="dxa"/>
      </w:tblCellMar>
    </w:tblPr>
  </w:style>
  <w:style w:type="paragraph" w:customStyle="1" w:styleId="TableHeading1">
    <w:name w:val="Table Heading 1"/>
    <w:basedOn w:val="TableTextEntries"/>
    <w:next w:val="TableTextEntries"/>
    <w:uiPriority w:val="26"/>
    <w:rsid w:val="00D56E4F"/>
    <w:rPr>
      <w:b/>
      <w:color w:val="14434B" w:themeColor="accent6"/>
    </w:rPr>
  </w:style>
  <w:style w:type="paragraph" w:customStyle="1" w:styleId="TableHeading2">
    <w:name w:val="Table Heading 2"/>
    <w:basedOn w:val="TableHeading1"/>
    <w:next w:val="TableTextEntries"/>
    <w:uiPriority w:val="26"/>
    <w:rsid w:val="00D56E4F"/>
    <w:rPr>
      <w:b w:val="0"/>
      <w:i/>
    </w:rPr>
  </w:style>
  <w:style w:type="paragraph" w:customStyle="1" w:styleId="TableListBullet">
    <w:name w:val="Table List Bullet"/>
    <w:basedOn w:val="TableTextEntries"/>
    <w:uiPriority w:val="25"/>
    <w:rsid w:val="00D56E4F"/>
    <w:pPr>
      <w:numPr>
        <w:numId w:val="12"/>
      </w:numPr>
    </w:pPr>
  </w:style>
  <w:style w:type="paragraph" w:customStyle="1" w:styleId="TableListBullet2">
    <w:name w:val="Table List Bullet 2"/>
    <w:basedOn w:val="TableTextEntries"/>
    <w:uiPriority w:val="25"/>
    <w:rsid w:val="00D56E4F"/>
    <w:pPr>
      <w:numPr>
        <w:numId w:val="13"/>
      </w:numPr>
    </w:pPr>
  </w:style>
  <w:style w:type="paragraph" w:customStyle="1" w:styleId="TableListNumber">
    <w:name w:val="Table List Number"/>
    <w:basedOn w:val="TableTextEntries"/>
    <w:uiPriority w:val="25"/>
    <w:rsid w:val="00D56E4F"/>
    <w:pPr>
      <w:numPr>
        <w:numId w:val="14"/>
      </w:numPr>
    </w:pPr>
  </w:style>
  <w:style w:type="paragraph" w:customStyle="1" w:styleId="TableListNumber2">
    <w:name w:val="Table List Number 2"/>
    <w:basedOn w:val="TableTextEntries"/>
    <w:uiPriority w:val="25"/>
    <w:rsid w:val="00D56E4F"/>
    <w:pPr>
      <w:numPr>
        <w:numId w:val="15"/>
      </w:numPr>
    </w:pPr>
  </w:style>
  <w:style w:type="paragraph" w:styleId="TOC2">
    <w:name w:val="toc 2"/>
    <w:next w:val="BodyText"/>
    <w:uiPriority w:val="39"/>
    <w:semiHidden/>
    <w:rsid w:val="00D56E4F"/>
    <w:pPr>
      <w:tabs>
        <w:tab w:val="right" w:pos="8505"/>
      </w:tabs>
      <w:spacing w:before="85" w:after="28" w:line="288" w:lineRule="auto"/>
      <w:contextualSpacing/>
    </w:pPr>
    <w:rPr>
      <w:rFonts w:asciiTheme="majorHAnsi" w:hAnsiTheme="majorHAnsi"/>
      <w:color w:val="0087A2" w:themeColor="background2"/>
      <w:kern w:val="28"/>
      <w:sz w:val="24"/>
      <w:szCs w:val="24"/>
    </w:rPr>
  </w:style>
  <w:style w:type="paragraph" w:styleId="TableofFigures">
    <w:name w:val="table of figures"/>
    <w:basedOn w:val="TOC2"/>
    <w:next w:val="Normal"/>
    <w:uiPriority w:val="19"/>
    <w:semiHidden/>
    <w:rsid w:val="00D56E4F"/>
  </w:style>
  <w:style w:type="paragraph" w:customStyle="1" w:styleId="TableTextColumnHeading">
    <w:name w:val="Table Text Column Heading"/>
    <w:uiPriority w:val="27"/>
    <w:rsid w:val="00D56E4F"/>
    <w:pPr>
      <w:keepNext/>
      <w:spacing w:after="57" w:line="288" w:lineRule="auto"/>
    </w:pPr>
    <w:rPr>
      <w:rFonts w:ascii="Arial Narrow" w:hAnsi="Arial Narrow"/>
      <w:b/>
      <w:color w:val="14434B" w:themeColor="accent6"/>
      <w:sz w:val="19"/>
      <w:szCs w:val="17"/>
      <w:lang w:eastAsia="en-US"/>
    </w:rPr>
  </w:style>
  <w:style w:type="table" w:customStyle="1" w:styleId="TableODE">
    <w:name w:val="Table_ODE"/>
    <w:basedOn w:val="TableGrid"/>
    <w:semiHidden/>
    <w:rsid w:val="00D56E4F"/>
    <w:rPr>
      <w:rFonts w:ascii="Arial Narrow" w:hAnsi="Arial Narrow"/>
    </w:rPr>
    <w:tblPr>
      <w:tblCellMar>
        <w:left w:w="108"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itle">
    <w:name w:val="Title"/>
    <w:link w:val="TitleChar"/>
    <w:uiPriority w:val="36"/>
    <w:semiHidden/>
    <w:rsid w:val="00D56E4F"/>
    <w:pPr>
      <w:spacing w:line="288" w:lineRule="auto"/>
    </w:pPr>
    <w:rPr>
      <w:rFonts w:asciiTheme="majorHAnsi" w:hAnsiTheme="majorHAnsi"/>
      <w:b/>
      <w:color w:val="FFFFFF" w:themeColor="background1"/>
      <w:kern w:val="28"/>
      <w:sz w:val="44"/>
      <w:szCs w:val="44"/>
    </w:rPr>
  </w:style>
  <w:style w:type="character" w:customStyle="1" w:styleId="TitleChar">
    <w:name w:val="Title Char"/>
    <w:basedOn w:val="DefaultParagraphFont"/>
    <w:link w:val="Title"/>
    <w:uiPriority w:val="36"/>
    <w:semiHidden/>
    <w:rsid w:val="00A1602F"/>
    <w:rPr>
      <w:rFonts w:asciiTheme="majorHAnsi" w:hAnsiTheme="majorHAnsi"/>
      <w:b/>
      <w:color w:val="FFFFFF" w:themeColor="background1"/>
      <w:kern w:val="28"/>
      <w:sz w:val="44"/>
      <w:szCs w:val="44"/>
    </w:rPr>
  </w:style>
  <w:style w:type="paragraph" w:styleId="TOC3">
    <w:name w:val="toc 3"/>
    <w:next w:val="BodyText"/>
    <w:autoRedefine/>
    <w:uiPriority w:val="39"/>
    <w:semiHidden/>
    <w:rsid w:val="00D56E4F"/>
    <w:pPr>
      <w:tabs>
        <w:tab w:val="right" w:pos="8488"/>
      </w:tabs>
      <w:spacing w:line="288" w:lineRule="auto"/>
      <w:ind w:left="567"/>
    </w:pPr>
    <w:rPr>
      <w:rFonts w:asciiTheme="majorHAnsi" w:hAnsiTheme="majorHAnsi"/>
      <w:color w:val="0087A2" w:themeColor="background2"/>
      <w:sz w:val="21"/>
      <w:szCs w:val="24"/>
    </w:rPr>
  </w:style>
  <w:style w:type="character" w:customStyle="1" w:styleId="Heading2Char">
    <w:name w:val="Heading 2 Char"/>
    <w:basedOn w:val="DefaultParagraphFont"/>
    <w:link w:val="Heading2"/>
    <w:uiPriority w:val="2"/>
    <w:rsid w:val="008B5C42"/>
    <w:rPr>
      <w:rFonts w:ascii="Helvetica" w:hAnsi="Helvetica"/>
      <w:color w:val="127AA5"/>
      <w:kern w:val="28"/>
      <w:sz w:val="24"/>
      <w:szCs w:val="32"/>
    </w:rPr>
  </w:style>
  <w:style w:type="character" w:customStyle="1" w:styleId="Heading3Char">
    <w:name w:val="Heading 3 Char"/>
    <w:basedOn w:val="DefaultParagraphFont"/>
    <w:link w:val="Heading3"/>
    <w:uiPriority w:val="2"/>
    <w:rsid w:val="008B5C42"/>
    <w:rPr>
      <w:rFonts w:ascii="Helvetica" w:hAnsi="Helvetica"/>
      <w:kern w:val="28"/>
      <w:sz w:val="21"/>
      <w:szCs w:val="21"/>
    </w:rPr>
  </w:style>
  <w:style w:type="character" w:customStyle="1" w:styleId="AppendixHeading2unnumberedChar">
    <w:name w:val="Appendix Heading 2 unnumbered Char"/>
    <w:basedOn w:val="Heading7Char"/>
    <w:link w:val="AppendixHeading2unnumbered"/>
    <w:uiPriority w:val="29"/>
    <w:semiHidden/>
    <w:rsid w:val="00A1602F"/>
    <w:rPr>
      <w:rFonts w:asciiTheme="majorHAnsi" w:hAnsiTheme="majorHAnsi"/>
      <w:b/>
      <w:color w:val="C75B12" w:themeColor="text2"/>
      <w:kern w:val="28"/>
      <w:sz w:val="32"/>
      <w:szCs w:val="32"/>
    </w:rPr>
  </w:style>
  <w:style w:type="character" w:customStyle="1" w:styleId="EndnoteTextChar">
    <w:name w:val="Endnote Text Char"/>
    <w:basedOn w:val="DefaultParagraphFont"/>
    <w:link w:val="EndnoteText"/>
    <w:uiPriority w:val="99"/>
    <w:semiHidden/>
    <w:rsid w:val="00D56E4F"/>
    <w:rPr>
      <w:rFonts w:asciiTheme="minorHAnsi" w:hAnsiTheme="minorHAnsi"/>
      <w:color w:val="000000" w:themeColor="text1"/>
      <w:sz w:val="16"/>
    </w:rPr>
  </w:style>
  <w:style w:type="paragraph" w:customStyle="1" w:styleId="InfoHead">
    <w:name w:val="Info Head"/>
    <w:basedOn w:val="BoxTitle"/>
    <w:uiPriority w:val="39"/>
    <w:semiHidden/>
    <w:qFormat/>
    <w:rsid w:val="00D56E4F"/>
    <w:pPr>
      <w:framePr w:hSpace="181" w:wrap="around" w:hAnchor="margin" w:yAlign="bottom"/>
      <w:suppressOverlap/>
    </w:pPr>
  </w:style>
  <w:style w:type="character" w:styleId="PlaceholderText">
    <w:name w:val="Placeholder Text"/>
    <w:basedOn w:val="DefaultParagraphFont"/>
    <w:uiPriority w:val="99"/>
    <w:semiHidden/>
    <w:rsid w:val="00D56E4F"/>
    <w:rPr>
      <w:color w:val="808080"/>
    </w:rPr>
  </w:style>
  <w:style w:type="paragraph" w:styleId="BalloonText">
    <w:name w:val="Balloon Text"/>
    <w:basedOn w:val="Normal"/>
    <w:link w:val="BalloonTextChar"/>
    <w:uiPriority w:val="99"/>
    <w:semiHidden/>
    <w:rsid w:val="00D56E4F"/>
    <w:rPr>
      <w:rFonts w:ascii="Tahoma" w:hAnsi="Tahoma" w:cs="Tahoma"/>
      <w:sz w:val="16"/>
      <w:szCs w:val="16"/>
    </w:rPr>
  </w:style>
  <w:style w:type="character" w:customStyle="1" w:styleId="BalloonTextChar">
    <w:name w:val="Balloon Text Char"/>
    <w:basedOn w:val="DefaultParagraphFont"/>
    <w:link w:val="BalloonText"/>
    <w:uiPriority w:val="99"/>
    <w:semiHidden/>
    <w:rsid w:val="00D56E4F"/>
    <w:rPr>
      <w:rFonts w:ascii="Tahoma" w:hAnsi="Tahoma" w:cs="Tahoma"/>
      <w:color w:val="000000" w:themeColor="text1"/>
      <w:sz w:val="16"/>
      <w:szCs w:val="16"/>
    </w:rPr>
  </w:style>
  <w:style w:type="paragraph" w:styleId="NoSpacing">
    <w:name w:val="No Spacing"/>
    <w:uiPriority w:val="1"/>
    <w:semiHidden/>
    <w:qFormat/>
    <w:rsid w:val="00D56E4F"/>
    <w:rPr>
      <w:rFonts w:asciiTheme="minorHAnsi" w:hAnsiTheme="minorHAnsi"/>
      <w:color w:val="000000" w:themeColor="text1"/>
      <w:sz w:val="21"/>
      <w:szCs w:val="24"/>
    </w:rPr>
  </w:style>
  <w:style w:type="paragraph" w:customStyle="1" w:styleId="BodyText2">
    <w:name w:val="Body Text2"/>
    <w:semiHidden/>
    <w:rsid w:val="00D90DB4"/>
    <w:rPr>
      <w:rFonts w:ascii="Arial" w:hAnsi="Arial"/>
      <w:szCs w:val="24"/>
      <w:lang w:eastAsia="en-US"/>
    </w:rPr>
  </w:style>
  <w:style w:type="table" w:customStyle="1" w:styleId="ODETable">
    <w:name w:val="ODE Table"/>
    <w:basedOn w:val="TableNormal"/>
    <w:uiPriority w:val="99"/>
    <w:rsid w:val="00725858"/>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EEEFEE" w:themeFill="accent4"/>
    </w:tcPr>
    <w:tblStylePr w:type="firstRow">
      <w:tblPr/>
      <w:tcPr>
        <w:shd w:val="clear" w:color="auto" w:fill="92C3CA" w:themeFill="accent2"/>
      </w:tcPr>
    </w:tblStylePr>
  </w:style>
  <w:style w:type="character" w:styleId="EndnoteReference">
    <w:name w:val="endnote reference"/>
    <w:basedOn w:val="DefaultParagraphFont"/>
    <w:uiPriority w:val="99"/>
    <w:semiHidden/>
    <w:rsid w:val="007D68D7"/>
    <w:rPr>
      <w:vertAlign w:val="superscript"/>
    </w:rPr>
  </w:style>
  <w:style w:type="paragraph" w:styleId="CommentSubject">
    <w:name w:val="annotation subject"/>
    <w:basedOn w:val="CommentText"/>
    <w:next w:val="CommentText"/>
    <w:link w:val="CommentSubjectChar"/>
    <w:uiPriority w:val="99"/>
    <w:semiHidden/>
    <w:unhideWhenUsed/>
    <w:rsid w:val="007353B1"/>
    <w:pPr>
      <w:spacing w:line="240" w:lineRule="auto"/>
    </w:pPr>
    <w:rPr>
      <w:rFonts w:ascii="Franklin Gothic Book" w:hAnsi="Franklin Gothic Book"/>
      <w:b/>
      <w:bCs/>
      <w:sz w:val="20"/>
    </w:rPr>
  </w:style>
  <w:style w:type="character" w:customStyle="1" w:styleId="CommentSubjectChar">
    <w:name w:val="Comment Subject Char"/>
    <w:basedOn w:val="CommentTextChar"/>
    <w:link w:val="CommentSubject"/>
    <w:uiPriority w:val="99"/>
    <w:semiHidden/>
    <w:rsid w:val="007353B1"/>
    <w:rPr>
      <w:rFonts w:ascii="Franklin Gothic Book" w:hAnsi="Franklin Gothic Book"/>
      <w:b/>
      <w:bCs/>
      <w:color w:val="000000" w:themeColor="text1"/>
      <w:sz w:val="21"/>
    </w:rPr>
  </w:style>
  <w:style w:type="paragraph" w:styleId="Revision">
    <w:name w:val="Revision"/>
    <w:hidden/>
    <w:uiPriority w:val="99"/>
    <w:semiHidden/>
    <w:rsid w:val="00725B19"/>
    <w:rPr>
      <w:rFonts w:ascii="Franklin Gothic Book" w:hAnsi="Franklin Gothic Book"/>
      <w:color w:val="000000" w:themeColor="text1"/>
      <w:sz w:val="21"/>
      <w:szCs w:val="24"/>
    </w:rPr>
  </w:style>
  <w:style w:type="paragraph" w:styleId="NormalWeb">
    <w:name w:val="Normal (Web)"/>
    <w:basedOn w:val="Normal"/>
    <w:uiPriority w:val="99"/>
    <w:semiHidden/>
    <w:unhideWhenUsed/>
    <w:rsid w:val="0000692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623025">
      <w:bodyDiv w:val="1"/>
      <w:marLeft w:val="0"/>
      <w:marRight w:val="0"/>
      <w:marTop w:val="0"/>
      <w:marBottom w:val="0"/>
      <w:divBdr>
        <w:top w:val="none" w:sz="0" w:space="0" w:color="auto"/>
        <w:left w:val="none" w:sz="0" w:space="0" w:color="auto"/>
        <w:bottom w:val="none" w:sz="0" w:space="0" w:color="auto"/>
        <w:right w:val="none" w:sz="0" w:space="0" w:color="auto"/>
      </w:divBdr>
      <w:divsChild>
        <w:div w:id="1748647324">
          <w:marLeft w:val="0"/>
          <w:marRight w:val="0"/>
          <w:marTop w:val="0"/>
          <w:marBottom w:val="0"/>
          <w:divBdr>
            <w:top w:val="none" w:sz="0" w:space="0" w:color="auto"/>
            <w:left w:val="none" w:sz="0" w:space="0" w:color="auto"/>
            <w:bottom w:val="none" w:sz="0" w:space="0" w:color="auto"/>
            <w:right w:val="none" w:sz="0" w:space="0" w:color="auto"/>
          </w:divBdr>
          <w:divsChild>
            <w:div w:id="843738155">
              <w:marLeft w:val="0"/>
              <w:marRight w:val="0"/>
              <w:marTop w:val="0"/>
              <w:marBottom w:val="0"/>
              <w:divBdr>
                <w:top w:val="none" w:sz="0" w:space="0" w:color="auto"/>
                <w:left w:val="none" w:sz="0" w:space="0" w:color="auto"/>
                <w:bottom w:val="none" w:sz="0" w:space="0" w:color="auto"/>
                <w:right w:val="none" w:sz="0" w:space="0" w:color="auto"/>
              </w:divBdr>
              <w:divsChild>
                <w:div w:id="2075659643">
                  <w:marLeft w:val="0"/>
                  <w:marRight w:val="0"/>
                  <w:marTop w:val="0"/>
                  <w:marBottom w:val="0"/>
                  <w:divBdr>
                    <w:top w:val="none" w:sz="0" w:space="0" w:color="auto"/>
                    <w:left w:val="none" w:sz="0" w:space="0" w:color="auto"/>
                    <w:bottom w:val="none" w:sz="0" w:space="0" w:color="auto"/>
                    <w:right w:val="none" w:sz="0" w:space="0" w:color="auto"/>
                  </w:divBdr>
                  <w:divsChild>
                    <w:div w:id="4625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77790">
      <w:bodyDiv w:val="1"/>
      <w:marLeft w:val="0"/>
      <w:marRight w:val="0"/>
      <w:marTop w:val="0"/>
      <w:marBottom w:val="0"/>
      <w:divBdr>
        <w:top w:val="none" w:sz="0" w:space="0" w:color="auto"/>
        <w:left w:val="none" w:sz="0" w:space="0" w:color="auto"/>
        <w:bottom w:val="none" w:sz="0" w:space="0" w:color="auto"/>
        <w:right w:val="none" w:sz="0" w:space="0" w:color="auto"/>
      </w:divBdr>
      <w:divsChild>
        <w:div w:id="1598557418">
          <w:marLeft w:val="0"/>
          <w:marRight w:val="0"/>
          <w:marTop w:val="0"/>
          <w:marBottom w:val="0"/>
          <w:divBdr>
            <w:top w:val="none" w:sz="0" w:space="0" w:color="auto"/>
            <w:left w:val="none" w:sz="0" w:space="0" w:color="auto"/>
            <w:bottom w:val="none" w:sz="0" w:space="0" w:color="auto"/>
            <w:right w:val="none" w:sz="0" w:space="0" w:color="auto"/>
          </w:divBdr>
          <w:divsChild>
            <w:div w:id="1608345373">
              <w:marLeft w:val="0"/>
              <w:marRight w:val="0"/>
              <w:marTop w:val="0"/>
              <w:marBottom w:val="0"/>
              <w:divBdr>
                <w:top w:val="none" w:sz="0" w:space="0" w:color="auto"/>
                <w:left w:val="none" w:sz="0" w:space="0" w:color="auto"/>
                <w:bottom w:val="none" w:sz="0" w:space="0" w:color="auto"/>
                <w:right w:val="none" w:sz="0" w:space="0" w:color="auto"/>
              </w:divBdr>
              <w:divsChild>
                <w:div w:id="162009535">
                  <w:marLeft w:val="0"/>
                  <w:marRight w:val="0"/>
                  <w:marTop w:val="0"/>
                  <w:marBottom w:val="0"/>
                  <w:divBdr>
                    <w:top w:val="none" w:sz="0" w:space="0" w:color="auto"/>
                    <w:left w:val="none" w:sz="0" w:space="0" w:color="auto"/>
                    <w:bottom w:val="none" w:sz="0" w:space="0" w:color="auto"/>
                    <w:right w:val="none" w:sz="0" w:space="0" w:color="auto"/>
                  </w:divBdr>
                  <w:divsChild>
                    <w:div w:id="4798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84544">
      <w:bodyDiv w:val="1"/>
      <w:marLeft w:val="0"/>
      <w:marRight w:val="0"/>
      <w:marTop w:val="0"/>
      <w:marBottom w:val="0"/>
      <w:divBdr>
        <w:top w:val="none" w:sz="0" w:space="0" w:color="auto"/>
        <w:left w:val="none" w:sz="0" w:space="0" w:color="auto"/>
        <w:bottom w:val="none" w:sz="0" w:space="0" w:color="auto"/>
        <w:right w:val="none" w:sz="0" w:space="0" w:color="auto"/>
      </w:divBdr>
      <w:divsChild>
        <w:div w:id="1789737838">
          <w:marLeft w:val="0"/>
          <w:marRight w:val="0"/>
          <w:marTop w:val="0"/>
          <w:marBottom w:val="0"/>
          <w:divBdr>
            <w:top w:val="none" w:sz="0" w:space="0" w:color="auto"/>
            <w:left w:val="none" w:sz="0" w:space="0" w:color="auto"/>
            <w:bottom w:val="none" w:sz="0" w:space="0" w:color="auto"/>
            <w:right w:val="none" w:sz="0" w:space="0" w:color="auto"/>
          </w:divBdr>
          <w:divsChild>
            <w:div w:id="1250699973">
              <w:marLeft w:val="0"/>
              <w:marRight w:val="0"/>
              <w:marTop w:val="0"/>
              <w:marBottom w:val="0"/>
              <w:divBdr>
                <w:top w:val="none" w:sz="0" w:space="0" w:color="auto"/>
                <w:left w:val="none" w:sz="0" w:space="0" w:color="auto"/>
                <w:bottom w:val="none" w:sz="0" w:space="0" w:color="auto"/>
                <w:right w:val="none" w:sz="0" w:space="0" w:color="auto"/>
              </w:divBdr>
              <w:divsChild>
                <w:div w:id="1631352115">
                  <w:marLeft w:val="0"/>
                  <w:marRight w:val="0"/>
                  <w:marTop w:val="0"/>
                  <w:marBottom w:val="0"/>
                  <w:divBdr>
                    <w:top w:val="none" w:sz="0" w:space="0" w:color="auto"/>
                    <w:left w:val="none" w:sz="0" w:space="0" w:color="auto"/>
                    <w:bottom w:val="none" w:sz="0" w:space="0" w:color="auto"/>
                    <w:right w:val="none" w:sz="0" w:space="0" w:color="auto"/>
                  </w:divBdr>
                  <w:divsChild>
                    <w:div w:id="15070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DE">
  <a:themeElements>
    <a:clrScheme name="ODE">
      <a:dk1>
        <a:sysClr val="windowText" lastClr="000000"/>
      </a:dk1>
      <a:lt1>
        <a:sysClr val="window" lastClr="FFFFFF"/>
      </a:lt1>
      <a:dk2>
        <a:srgbClr val="C75B12"/>
      </a:dk2>
      <a:lt2>
        <a:srgbClr val="0087A2"/>
      </a:lt2>
      <a:accent1>
        <a:srgbClr val="0087A2"/>
      </a:accent1>
      <a:accent2>
        <a:srgbClr val="92C3CA"/>
      </a:accent2>
      <a:accent3>
        <a:srgbClr val="DCDEDE"/>
      </a:accent3>
      <a:accent4>
        <a:srgbClr val="EEEFEE"/>
      </a:accent4>
      <a:accent5>
        <a:srgbClr val="E6F3F6"/>
      </a:accent5>
      <a:accent6>
        <a:srgbClr val="14434B"/>
      </a:accent6>
      <a:hlink>
        <a:srgbClr val="0087A2"/>
      </a:hlink>
      <a:folHlink>
        <a:srgbClr val="92C3CA"/>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9234C5-F54F-4912-A9BE-7806FA00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3072</Words>
  <Characters>17012</Characters>
  <Application>Microsoft Office Word</Application>
  <DocSecurity>0</DocSecurity>
  <Lines>391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2021-11-22T03:49:00Z</dcterms:created>
  <dcterms:modified xsi:type="dcterms:W3CDTF">2021-11-22T03:49:00Z</dcterms:modified>
  <cp:category/>
</cp:coreProperties>
</file>