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footer5.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2AD" w:rsidRDefault="002B0D14" w:rsidP="00C462AD">
      <w:pPr>
        <w:rPr>
          <w:lang w:eastAsia="ja-JP"/>
        </w:rPr>
      </w:pPr>
      <w:r>
        <w:rPr>
          <w:rFonts w:ascii="Garamond" w:hAnsi="Garamond"/>
          <w:noProof/>
          <w:sz w:val="22"/>
          <w:szCs w:val="22"/>
          <w:lang w:val="en-AU" w:eastAsia="en-AU"/>
        </w:rPr>
        <mc:AlternateContent>
          <mc:Choice Requires="wps">
            <w:drawing>
              <wp:anchor distT="0" distB="0" distL="114300" distR="114300" simplePos="0" relativeHeight="251660288" behindDoc="0" locked="0" layoutInCell="1" allowOverlap="1">
                <wp:simplePos x="0" y="0"/>
                <wp:positionH relativeFrom="column">
                  <wp:posOffset>6022340</wp:posOffset>
                </wp:positionH>
                <wp:positionV relativeFrom="paragraph">
                  <wp:posOffset>114935</wp:posOffset>
                </wp:positionV>
                <wp:extent cx="733425" cy="1611630"/>
                <wp:effectExtent l="0" t="0" r="0" b="762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61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FEA" w:rsidRDefault="008C3FEA" w:rsidP="00C462AD">
                            <w:pPr>
                              <w:jc w:val="center"/>
                            </w:pPr>
                            <w:r>
                              <w:rPr>
                                <w:noProof/>
                                <w:lang w:val="en-AU" w:eastAsia="en-AU"/>
                              </w:rPr>
                              <w:drawing>
                                <wp:inline distT="0" distB="0" distL="0" distR="0">
                                  <wp:extent cx="389255" cy="812800"/>
                                  <wp:effectExtent l="2540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389255" cy="812800"/>
                                          </a:xfrm>
                                          <a:prstGeom prst="rect">
                                            <a:avLst/>
                                          </a:prstGeom>
                                          <a:noFill/>
                                          <a:ln w="9525">
                                            <a:noFill/>
                                            <a:miter lim="800000"/>
                                            <a:headEnd/>
                                            <a:tailEnd/>
                                          </a:ln>
                                        </pic:spPr>
                                      </pic:pic>
                                    </a:graphicData>
                                  </a:graphic>
                                </wp:inline>
                              </w:drawing>
                            </w:r>
                          </w:p>
                          <w:p w:rsidR="008C3FEA" w:rsidRDefault="008C3FEA" w:rsidP="00C462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74.2pt;margin-top:9.05pt;width:57.75pt;height:12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" filled="f" stroked="f">
                <v:textbox>
                  <w:txbxContent>
                    <w:p w:rsidR="008C3FEA" w:rsidRDefault="008C3FEA" w:rsidP="00C462AD">
                      <w:pPr>
                        <w:jc w:val="center"/>
                      </w:pPr>
                      <w:r>
                        <w:rPr>
                          <w:noProof/>
                          <w:lang w:val="en-AU" w:eastAsia="en-AU"/>
                        </w:rPr>
                        <w:drawing>
                          <wp:inline distT="0" distB="0" distL="0" distR="0">
                            <wp:extent cx="389255" cy="812800"/>
                            <wp:effectExtent l="2540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389255" cy="812800"/>
                                    </a:xfrm>
                                    <a:prstGeom prst="rect">
                                      <a:avLst/>
                                    </a:prstGeom>
                                    <a:noFill/>
                                    <a:ln w="9525">
                                      <a:noFill/>
                                      <a:miter lim="800000"/>
                                      <a:headEnd/>
                                      <a:tailEnd/>
                                    </a:ln>
                                  </pic:spPr>
                                </pic:pic>
                              </a:graphicData>
                            </a:graphic>
                          </wp:inline>
                        </w:drawing>
                      </w:r>
                    </w:p>
                    <w:p w:rsidR="008C3FEA" w:rsidRDefault="008C3FEA" w:rsidP="00C462AD"/>
                  </w:txbxContent>
                </v:textbox>
              </v:shape>
            </w:pict>
          </mc:Fallback>
        </mc:AlternateContent>
      </w:r>
      <w:r>
        <w:rPr>
          <w:b/>
          <w:bCs/>
          <w:caps/>
          <w:noProof/>
          <w:lang w:val="en-AU" w:eastAsia="en-AU"/>
        </w:rPr>
        <mc:AlternateContent>
          <mc:Choice Requires="wps">
            <w:drawing>
              <wp:anchor distT="0" distB="0" distL="114300" distR="114300" simplePos="0" relativeHeight="251657216" behindDoc="0" locked="0" layoutInCell="1" allowOverlap="1">
                <wp:simplePos x="0" y="0"/>
                <wp:positionH relativeFrom="column">
                  <wp:posOffset>-533400</wp:posOffset>
                </wp:positionH>
                <wp:positionV relativeFrom="paragraph">
                  <wp:posOffset>-571500</wp:posOffset>
                </wp:positionV>
                <wp:extent cx="2099310" cy="13786485"/>
                <wp:effectExtent l="0" t="0" r="15240" b="24765"/>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9310" cy="13786485"/>
                        </a:xfrm>
                        <a:prstGeom prst="rect">
                          <a:avLst/>
                        </a:prstGeom>
                        <a:solidFill>
                          <a:srgbClr val="333399"/>
                        </a:solidFill>
                        <a:ln w="9525">
                          <a:solidFill>
                            <a:srgbClr val="333399"/>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2pt;margin-top:-45pt;width:165.3pt;height:108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" fillcolor="#339" strokecolor="#339"/>
            </w:pict>
          </mc:Fallback>
        </mc:AlternateContent>
      </w:r>
    </w:p>
    <w:p w:rsidR="00C462AD" w:rsidRPr="003A184F" w:rsidRDefault="00B31B90" w:rsidP="00AB3075">
      <w:pPr>
        <w:rPr>
          <w:rFonts w:ascii="Garamond" w:hAnsi="Garamond"/>
          <w:sz w:val="22"/>
          <w:szCs w:val="22"/>
        </w:rPr>
      </w:pPr>
      <w:r>
        <w:rPr>
          <w:rFonts w:ascii="Garamond" w:hAnsi="Garamond"/>
          <w:noProof/>
          <w:sz w:val="22"/>
          <w:szCs w:val="22"/>
          <w:lang w:val="en-AU" w:eastAsia="en-AU"/>
        </w:rPr>
        <w:drawing>
          <wp:anchor distT="0" distB="0" distL="114300" distR="114300" simplePos="0" relativeHeight="251662336" behindDoc="0" locked="0" layoutInCell="1" allowOverlap="1">
            <wp:simplePos x="0" y="0"/>
            <wp:positionH relativeFrom="column">
              <wp:posOffset>4031615</wp:posOffset>
            </wp:positionH>
            <wp:positionV relativeFrom="paragraph">
              <wp:posOffset>89535</wp:posOffset>
            </wp:positionV>
            <wp:extent cx="741045" cy="735965"/>
            <wp:effectExtent l="2540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srcRect/>
                    <a:stretch>
                      <a:fillRect/>
                    </a:stretch>
                  </pic:blipFill>
                  <pic:spPr bwMode="auto">
                    <a:xfrm>
                      <a:off x="0" y="0"/>
                      <a:ext cx="741045" cy="735965"/>
                    </a:xfrm>
                    <a:prstGeom prst="rect">
                      <a:avLst/>
                    </a:prstGeom>
                    <a:noFill/>
                  </pic:spPr>
                </pic:pic>
              </a:graphicData>
            </a:graphic>
          </wp:anchor>
        </w:drawing>
      </w:r>
      <w:r w:rsidR="00AB3075">
        <w:t xml:space="preserve">                                            </w:t>
      </w:r>
      <w:r>
        <w:rPr>
          <w:noProof/>
          <w:lang w:val="en-AU" w:eastAsia="en-AU"/>
        </w:rPr>
        <w:drawing>
          <wp:inline distT="0" distB="0" distL="0" distR="0">
            <wp:extent cx="2133600" cy="5080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133600" cy="508000"/>
                    </a:xfrm>
                    <a:prstGeom prst="rect">
                      <a:avLst/>
                    </a:prstGeom>
                    <a:noFill/>
                    <a:ln w="9525">
                      <a:noFill/>
                      <a:miter lim="800000"/>
                      <a:headEnd/>
                      <a:tailEnd/>
                    </a:ln>
                  </pic:spPr>
                </pic:pic>
              </a:graphicData>
            </a:graphic>
          </wp:inline>
        </w:drawing>
      </w:r>
      <w:r w:rsidR="00C462AD">
        <w:t xml:space="preserve">           </w:t>
      </w:r>
      <w:r w:rsidR="00AB3075">
        <w:t xml:space="preserve">                        </w:t>
      </w:r>
      <w:r>
        <w:rPr>
          <w:rFonts w:ascii="Arial" w:hAnsi="Arial" w:cs="Arial"/>
          <w:b/>
          <w:bCs/>
          <w:noProof/>
          <w:sz w:val="20"/>
          <w:lang w:val="en-AU" w:eastAsia="en-AU"/>
        </w:rPr>
        <w:drawing>
          <wp:inline distT="0" distB="0" distL="0" distR="0">
            <wp:extent cx="787400" cy="838200"/>
            <wp:effectExtent l="2540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787400" cy="838200"/>
                    </a:xfrm>
                    <a:prstGeom prst="rect">
                      <a:avLst/>
                    </a:prstGeom>
                    <a:noFill/>
                    <a:ln w="9525">
                      <a:noFill/>
                      <a:miter lim="800000"/>
                      <a:headEnd/>
                      <a:tailEnd/>
                    </a:ln>
                  </pic:spPr>
                </pic:pic>
              </a:graphicData>
            </a:graphic>
          </wp:inline>
        </w:drawing>
      </w:r>
    </w:p>
    <w:p w:rsidR="00C462AD" w:rsidRPr="003A184F" w:rsidRDefault="00C462AD" w:rsidP="00C462AD">
      <w:pPr>
        <w:pStyle w:val="Heading7"/>
        <w:jc w:val="both"/>
        <w:rPr>
          <w:rFonts w:ascii="Garamond" w:hAnsi="Garamond"/>
          <w:sz w:val="22"/>
          <w:szCs w:val="22"/>
        </w:rPr>
      </w:pPr>
    </w:p>
    <w:p w:rsidR="00C462AD" w:rsidRPr="0053260B" w:rsidRDefault="00C462AD" w:rsidP="00C462AD">
      <w:pPr>
        <w:pStyle w:val="Heading7"/>
        <w:ind w:left="1980"/>
        <w:jc w:val="both"/>
        <w:rPr>
          <w:rFonts w:ascii="Garamond" w:hAnsi="Garamond"/>
          <w:sz w:val="22"/>
          <w:szCs w:val="22"/>
        </w:rPr>
      </w:pPr>
      <w:r w:rsidRPr="0053260B">
        <w:t xml:space="preserve">                        </w:t>
      </w:r>
      <w:r>
        <w:t xml:space="preserve"> </w:t>
      </w:r>
      <w:r w:rsidRPr="0053260B">
        <w:t xml:space="preserve"> </w:t>
      </w:r>
    </w:p>
    <w:p w:rsidR="00C462AD" w:rsidRPr="0053260B" w:rsidRDefault="009E581F" w:rsidP="00C462AD">
      <w:pPr>
        <w:pStyle w:val="Heading7"/>
        <w:jc w:val="both"/>
        <w:rPr>
          <w:rFonts w:ascii="Garamond" w:hAnsi="Garamond"/>
          <w:sz w:val="22"/>
          <w:szCs w:val="22"/>
        </w:rPr>
      </w:pPr>
      <w:proofErr w:type="spellStart"/>
      <w:proofErr w:type="gramStart"/>
      <w:r>
        <w:rPr>
          <w:rFonts w:ascii="Garamond" w:hAnsi="Garamond"/>
          <w:sz w:val="22"/>
          <w:szCs w:val="22"/>
        </w:rPr>
        <w:t>asasasas</w:t>
      </w:r>
      <w:proofErr w:type="spellEnd"/>
      <w:proofErr w:type="gramEnd"/>
    </w:p>
    <w:p w:rsidR="00C462AD" w:rsidRPr="0053260B" w:rsidRDefault="00C462AD" w:rsidP="00C462AD">
      <w:pPr>
        <w:jc w:val="both"/>
        <w:rPr>
          <w:rFonts w:ascii="Garamond" w:hAnsi="Garamond"/>
          <w:sz w:val="22"/>
          <w:szCs w:val="22"/>
        </w:rPr>
      </w:pPr>
    </w:p>
    <w:p w:rsidR="00C462AD" w:rsidRPr="003A184F" w:rsidRDefault="002B0D14" w:rsidP="00C462AD">
      <w:pPr>
        <w:pStyle w:val="Heading7"/>
        <w:jc w:val="both"/>
        <w:rPr>
          <w:rFonts w:ascii="Garamond" w:hAnsi="Garamond"/>
          <w:sz w:val="22"/>
          <w:szCs w:val="22"/>
        </w:rPr>
      </w:pPr>
      <w:r>
        <w:rPr>
          <w:b/>
          <w:bCs/>
          <w:caps/>
          <w:noProof/>
          <w:lang w:val="en-AU" w:eastAsia="en-AU"/>
        </w:rPr>
        <mc:AlternateContent>
          <mc:Choice Requires="wps">
            <w:drawing>
              <wp:anchor distT="0" distB="0" distL="114300" distR="114300" simplePos="0" relativeHeight="251661312" behindDoc="0" locked="0" layoutInCell="1" allowOverlap="1">
                <wp:simplePos x="0" y="0"/>
                <wp:positionH relativeFrom="column">
                  <wp:posOffset>2133600</wp:posOffset>
                </wp:positionH>
                <wp:positionV relativeFrom="paragraph">
                  <wp:posOffset>293370</wp:posOffset>
                </wp:positionV>
                <wp:extent cx="4495800" cy="3771900"/>
                <wp:effectExtent l="0" t="0" r="0" b="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377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3FEA" w:rsidRPr="00C462AD" w:rsidRDefault="008C3FEA" w:rsidP="00B45E96">
                            <w:pPr>
                              <w:pStyle w:val="Title"/>
                            </w:pPr>
                            <w:r w:rsidRPr="00B45E96">
                              <w:t>Mid</w:t>
                            </w:r>
                            <w:r>
                              <w:t>-Year</w:t>
                            </w:r>
                            <w:r w:rsidRPr="00C462AD">
                              <w:t xml:space="preserve"> </w:t>
                            </w:r>
                            <w:r>
                              <w:t>Report</w:t>
                            </w:r>
                            <w:r w:rsidRPr="00C462AD">
                              <w:t xml:space="preserve"> 201</w:t>
                            </w:r>
                            <w:r>
                              <w:t>1</w:t>
                            </w:r>
                          </w:p>
                          <w:p w:rsidR="008C3FEA" w:rsidRPr="00C462AD" w:rsidRDefault="008C3FEA" w:rsidP="00C462AD">
                            <w:pPr>
                              <w:spacing w:line="400" w:lineRule="exact"/>
                              <w:jc w:val="right"/>
                              <w:rPr>
                                <w:b/>
                                <w:sz w:val="32"/>
                              </w:rPr>
                            </w:pPr>
                          </w:p>
                          <w:p w:rsidR="008C3FEA" w:rsidRPr="00C462AD" w:rsidRDefault="008C3FEA" w:rsidP="00B45E96">
                            <w:pPr>
                              <w:pStyle w:val="Subtitle"/>
                            </w:pPr>
                            <w:r w:rsidRPr="00C462AD">
                              <w:t xml:space="preserve">Inclusive </w:t>
                            </w:r>
                            <w:r w:rsidRPr="00B45E96">
                              <w:t>Finance</w:t>
                            </w:r>
                            <w:r w:rsidRPr="00C462AD">
                              <w:t xml:space="preserve"> for Under-Served Economy</w:t>
                            </w:r>
                          </w:p>
                          <w:p w:rsidR="008C3FEA" w:rsidRDefault="008C3FEA" w:rsidP="00C462AD">
                            <w:pPr>
                              <w:spacing w:line="400" w:lineRule="exact"/>
                              <w:jc w:val="right"/>
                              <w:rPr>
                                <w:b/>
                                <w:sz w:val="32"/>
                                <w:szCs w:val="32"/>
                                <w:lang w:val="fr-FR"/>
                              </w:rPr>
                            </w:pPr>
                            <w:r w:rsidRPr="00C462AD">
                              <w:rPr>
                                <w:b/>
                                <w:sz w:val="32"/>
                                <w:szCs w:val="32"/>
                                <w:lang w:val="fr-FR"/>
                              </w:rPr>
                              <w:t>(INFUSE)</w:t>
                            </w:r>
                          </w:p>
                          <w:p w:rsidR="008C3FEA" w:rsidRDefault="008C3FEA" w:rsidP="00C462AD">
                            <w:pPr>
                              <w:spacing w:line="400" w:lineRule="exact"/>
                              <w:jc w:val="right"/>
                              <w:rPr>
                                <w:b/>
                                <w:sz w:val="32"/>
                                <w:szCs w:val="32"/>
                                <w:lang w:val="fr-FR"/>
                              </w:rPr>
                            </w:pPr>
                          </w:p>
                          <w:tbl>
                            <w:tblPr>
                              <w:tblW w:w="0" w:type="auto"/>
                              <w:jc w:val="right"/>
                              <w:tblInd w:w="361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797"/>
                              <w:gridCol w:w="1599"/>
                            </w:tblGrid>
                            <w:tr w:rsidR="008C3FEA" w:rsidRPr="00E462AB">
                              <w:trPr>
                                <w:jc w:val="right"/>
                              </w:trPr>
                              <w:tc>
                                <w:tcPr>
                                  <w:tcW w:w="3026" w:type="dxa"/>
                                </w:tcPr>
                                <w:p w:rsidR="008C3FEA" w:rsidRPr="00E462AB" w:rsidRDefault="008C3FEA" w:rsidP="00E462AB">
                                  <w:pPr>
                                    <w:spacing w:line="400" w:lineRule="exact"/>
                                    <w:jc w:val="right"/>
                                    <w:rPr>
                                      <w:b/>
                                      <w:sz w:val="32"/>
                                      <w:szCs w:val="32"/>
                                      <w:lang w:val="fr-FR"/>
                                    </w:rPr>
                                  </w:pPr>
                                  <w:r w:rsidRPr="00E462AB">
                                    <w:rPr>
                                      <w:b/>
                                      <w:sz w:val="32"/>
                                      <w:szCs w:val="32"/>
                                      <w:lang w:val="fr-FR"/>
                                    </w:rPr>
                                    <w:t>UN</w:t>
                                  </w:r>
                                  <w:r w:rsidRPr="00E462AB">
                                    <w:rPr>
                                      <w:b/>
                                      <w:sz w:val="32"/>
                                      <w:szCs w:val="32"/>
                                      <w:lang w:val="fr-FR" w:eastAsia="ja-JP"/>
                                    </w:rPr>
                                    <w:t>DP Code:</w:t>
                                  </w:r>
                                </w:p>
                              </w:tc>
                              <w:tc>
                                <w:tcPr>
                                  <w:tcW w:w="1872" w:type="dxa"/>
                                </w:tcPr>
                                <w:p w:rsidR="008C3FEA" w:rsidRPr="00E462AB" w:rsidRDefault="008C3FEA" w:rsidP="00E462AB">
                                  <w:pPr>
                                    <w:spacing w:line="400" w:lineRule="exact"/>
                                    <w:jc w:val="right"/>
                                    <w:rPr>
                                      <w:b/>
                                      <w:sz w:val="32"/>
                                      <w:szCs w:val="32"/>
                                      <w:lang w:val="fr-FR"/>
                                    </w:rPr>
                                  </w:pPr>
                                  <w:r w:rsidRPr="00E462AB">
                                    <w:rPr>
                                      <w:b/>
                                      <w:sz w:val="32"/>
                                      <w:szCs w:val="32"/>
                                      <w:lang w:val="fr-FR"/>
                                    </w:rPr>
                                    <w:t>000</w:t>
                                  </w:r>
                                  <w:r w:rsidRPr="00E462AB">
                                    <w:rPr>
                                      <w:b/>
                                      <w:sz w:val="32"/>
                                      <w:szCs w:val="32"/>
                                      <w:lang w:val="fr-FR" w:eastAsia="ja-JP"/>
                                    </w:rPr>
                                    <w:t>61961</w:t>
                                  </w:r>
                                </w:p>
                              </w:tc>
                            </w:tr>
                            <w:tr w:rsidR="008C3FEA" w:rsidRPr="00E462AB">
                              <w:trPr>
                                <w:jc w:val="right"/>
                              </w:trPr>
                              <w:tc>
                                <w:tcPr>
                                  <w:tcW w:w="3026" w:type="dxa"/>
                                </w:tcPr>
                                <w:p w:rsidR="008C3FEA" w:rsidRPr="00E462AB" w:rsidRDefault="008C3FEA" w:rsidP="00E462AB">
                                  <w:pPr>
                                    <w:spacing w:line="400" w:lineRule="exact"/>
                                    <w:jc w:val="right"/>
                                    <w:rPr>
                                      <w:b/>
                                      <w:sz w:val="32"/>
                                      <w:szCs w:val="32"/>
                                      <w:lang w:val="fr-FR"/>
                                    </w:rPr>
                                  </w:pPr>
                                  <w:r w:rsidRPr="00E462AB">
                                    <w:rPr>
                                      <w:b/>
                                      <w:sz w:val="32"/>
                                      <w:szCs w:val="32"/>
                                      <w:lang w:val="fr-FR"/>
                                    </w:rPr>
                                    <w:t>UNCDF Codes:</w:t>
                                  </w:r>
                                </w:p>
                              </w:tc>
                              <w:tc>
                                <w:tcPr>
                                  <w:tcW w:w="1872" w:type="dxa"/>
                                </w:tcPr>
                                <w:p w:rsidR="008C3FEA" w:rsidRPr="00E462AB" w:rsidRDefault="008C3FEA" w:rsidP="00E462AB">
                                  <w:pPr>
                                    <w:spacing w:line="400" w:lineRule="exact"/>
                                    <w:jc w:val="right"/>
                                    <w:rPr>
                                      <w:b/>
                                      <w:sz w:val="32"/>
                                      <w:szCs w:val="32"/>
                                      <w:lang w:val="fr-FR" w:eastAsia="ja-JP"/>
                                    </w:rPr>
                                  </w:pPr>
                                  <w:r w:rsidRPr="00E462AB">
                                    <w:rPr>
                                      <w:b/>
                                      <w:sz w:val="32"/>
                                      <w:szCs w:val="32"/>
                                      <w:lang w:val="fr-FR"/>
                                    </w:rPr>
                                    <w:t>000</w:t>
                                  </w:r>
                                  <w:r w:rsidRPr="00E462AB">
                                    <w:rPr>
                                      <w:b/>
                                      <w:sz w:val="32"/>
                                      <w:szCs w:val="32"/>
                                      <w:lang w:val="fr-FR" w:eastAsia="ja-JP"/>
                                    </w:rPr>
                                    <w:t>62359</w:t>
                                  </w:r>
                                </w:p>
                                <w:p w:rsidR="008C3FEA" w:rsidRPr="00E462AB" w:rsidRDefault="008C3FEA" w:rsidP="00E462AB">
                                  <w:pPr>
                                    <w:spacing w:line="400" w:lineRule="exact"/>
                                    <w:jc w:val="right"/>
                                    <w:rPr>
                                      <w:b/>
                                      <w:sz w:val="32"/>
                                      <w:szCs w:val="32"/>
                                      <w:lang w:val="fr-FR"/>
                                    </w:rPr>
                                  </w:pPr>
                                  <w:r w:rsidRPr="00E462AB">
                                    <w:rPr>
                                      <w:b/>
                                      <w:sz w:val="32"/>
                                      <w:szCs w:val="32"/>
                                    </w:rPr>
                                    <w:t>000</w:t>
                                  </w:r>
                                  <w:r w:rsidRPr="00E462AB">
                                    <w:rPr>
                                      <w:b/>
                                      <w:sz w:val="32"/>
                                      <w:szCs w:val="32"/>
                                      <w:lang w:eastAsia="ja-JP"/>
                                    </w:rPr>
                                    <w:t>72424</w:t>
                                  </w:r>
                                </w:p>
                              </w:tc>
                            </w:tr>
                          </w:tbl>
                          <w:p w:rsidR="008C3FEA" w:rsidRPr="00C462AD" w:rsidRDefault="008C3FEA" w:rsidP="00C462AD">
                            <w:pPr>
                              <w:spacing w:line="400" w:lineRule="exact"/>
                              <w:jc w:val="right"/>
                              <w:rPr>
                                <w:b/>
                                <w:sz w:val="32"/>
                                <w:szCs w:val="32"/>
                                <w:lang w:val="fr-FR"/>
                              </w:rPr>
                            </w:pPr>
                          </w:p>
                          <w:p w:rsidR="008C3FEA" w:rsidRPr="00D37547" w:rsidRDefault="008C3FEA" w:rsidP="00B45E96">
                            <w:pPr>
                              <w:pStyle w:val="Heading1"/>
                              <w:rPr>
                                <w:lang w:eastAsia="ja-JP"/>
                              </w:rPr>
                            </w:pPr>
                            <w:r w:rsidRPr="00C462AD">
                              <w:rPr>
                                <w:lang w:val="fr-FR" w:eastAsia="ja-JP"/>
                              </w:rPr>
                              <w:t xml:space="preserve">    </w:t>
                            </w:r>
                            <w:r w:rsidRPr="00D37547">
                              <w:t xml:space="preserve">    </w:t>
                            </w:r>
                            <w:r w:rsidRPr="00D37547">
                              <w:tab/>
                            </w:r>
                            <w:r w:rsidRPr="00D37547">
                              <w:tab/>
                              <w:t xml:space="preserve"> </w:t>
                            </w:r>
                          </w:p>
                          <w:p w:rsidR="008C3FEA" w:rsidRPr="00C462AD" w:rsidRDefault="008C3FEA" w:rsidP="00B45E96">
                            <w:pPr>
                              <w:pStyle w:val="Subtitle"/>
                            </w:pPr>
                            <w:r w:rsidRPr="00C462AD">
                              <w:t xml:space="preserve">Period covered: </w:t>
                            </w:r>
                            <w:r w:rsidRPr="00861BDB">
                              <w:t xml:space="preserve">January - </w:t>
                            </w:r>
                            <w:r>
                              <w:rPr>
                                <w:lang w:eastAsia="ja-JP"/>
                              </w:rPr>
                              <w:t>June</w:t>
                            </w:r>
                            <w:r w:rsidRPr="00861BDB">
                              <w:t xml:space="preserve"> 201</w:t>
                            </w:r>
                            <w:r>
                              <w:t>1</w:t>
                            </w:r>
                          </w:p>
                          <w:p w:rsidR="008C3FEA" w:rsidRPr="00C462AD" w:rsidRDefault="008C3FEA" w:rsidP="00C462AD">
                            <w:pPr>
                              <w:spacing w:line="400" w:lineRule="exact"/>
                              <w:jc w:val="right"/>
                              <w:rPr>
                                <w:sz w:val="32"/>
                              </w:rPr>
                            </w:pPr>
                          </w:p>
                          <w:p w:rsidR="008C3FEA" w:rsidRPr="00B45E96" w:rsidRDefault="008C3FEA" w:rsidP="00B45E96">
                            <w:pPr>
                              <w:pStyle w:val="Subtitle"/>
                              <w:rPr>
                                <w:b w:val="0"/>
                                <w:lang w:eastAsia="ja-JP"/>
                              </w:rPr>
                            </w:pPr>
                            <w:r w:rsidRPr="00B45E96">
                              <w:rPr>
                                <w:b w:val="0"/>
                              </w:rPr>
                              <w:t xml:space="preserve">Report Date: </w:t>
                            </w:r>
                            <w:r w:rsidRPr="00B45E96">
                              <w:rPr>
                                <w:b w:val="0"/>
                                <w:lang w:eastAsia="ja-JP"/>
                              </w:rPr>
                              <w:t>January</w:t>
                            </w:r>
                            <w:r w:rsidRPr="00B45E96">
                              <w:rPr>
                                <w:b w:val="0"/>
                              </w:rPr>
                              <w:t xml:space="preserve"> 20</w:t>
                            </w:r>
                            <w:r w:rsidRPr="00B45E96">
                              <w:rPr>
                                <w:b w:val="0"/>
                                <w:lang w:eastAsia="ja-JP"/>
                              </w:rPr>
                              <w:t>12</w:t>
                            </w:r>
                          </w:p>
                          <w:p w:rsidR="008C3FEA" w:rsidRPr="00981B06" w:rsidRDefault="008C3FEA" w:rsidP="00C462AD">
                            <w:pPr>
                              <w:spacing w:line="400" w:lineRule="exact"/>
                              <w:jc w:val="right"/>
                              <w:rPr>
                                <w:rFonts w:ascii="Calibri" w:hAnsi="Calibri" w:cs="Arial"/>
                                <w:b/>
                                <w:sz w:val="32"/>
                                <w:szCs w:val="32"/>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168pt;margin-top:23.1pt;width:354pt;height:2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" stroked="f">
                <v:textbox>
                  <w:txbxContent>
                    <w:p w:rsidR="008C3FEA" w:rsidRPr="00C462AD" w:rsidRDefault="008C3FEA" w:rsidP="00B45E96">
                      <w:pPr>
                        <w:pStyle w:val="Title"/>
                      </w:pPr>
                      <w:r w:rsidRPr="00B45E96">
                        <w:t>Mid</w:t>
                      </w:r>
                      <w:r>
                        <w:t>-Year</w:t>
                      </w:r>
                      <w:r w:rsidRPr="00C462AD">
                        <w:t xml:space="preserve"> </w:t>
                      </w:r>
                      <w:r>
                        <w:t>Report</w:t>
                      </w:r>
                      <w:r w:rsidRPr="00C462AD">
                        <w:t xml:space="preserve"> 201</w:t>
                      </w:r>
                      <w:r>
                        <w:t>1</w:t>
                      </w:r>
                    </w:p>
                    <w:p w:rsidR="008C3FEA" w:rsidRPr="00C462AD" w:rsidRDefault="008C3FEA" w:rsidP="00C462AD">
                      <w:pPr>
                        <w:spacing w:line="400" w:lineRule="exact"/>
                        <w:jc w:val="right"/>
                        <w:rPr>
                          <w:b/>
                          <w:sz w:val="32"/>
                        </w:rPr>
                      </w:pPr>
                    </w:p>
                    <w:p w:rsidR="008C3FEA" w:rsidRPr="00C462AD" w:rsidRDefault="008C3FEA" w:rsidP="00B45E96">
                      <w:pPr>
                        <w:pStyle w:val="Subtitle"/>
                      </w:pPr>
                      <w:r w:rsidRPr="00C462AD">
                        <w:t xml:space="preserve">Inclusive </w:t>
                      </w:r>
                      <w:r w:rsidRPr="00B45E96">
                        <w:t>Finance</w:t>
                      </w:r>
                      <w:r w:rsidRPr="00C462AD">
                        <w:t xml:space="preserve"> for Under-Served Economy</w:t>
                      </w:r>
                    </w:p>
                    <w:p w:rsidR="008C3FEA" w:rsidRDefault="008C3FEA" w:rsidP="00C462AD">
                      <w:pPr>
                        <w:spacing w:line="400" w:lineRule="exact"/>
                        <w:jc w:val="right"/>
                        <w:rPr>
                          <w:b/>
                          <w:sz w:val="32"/>
                          <w:szCs w:val="32"/>
                          <w:lang w:val="fr-FR"/>
                        </w:rPr>
                      </w:pPr>
                      <w:r w:rsidRPr="00C462AD">
                        <w:rPr>
                          <w:b/>
                          <w:sz w:val="32"/>
                          <w:szCs w:val="32"/>
                          <w:lang w:val="fr-FR"/>
                        </w:rPr>
                        <w:t>(INFUSE)</w:t>
                      </w:r>
                    </w:p>
                    <w:p w:rsidR="008C3FEA" w:rsidRDefault="008C3FEA" w:rsidP="00C462AD">
                      <w:pPr>
                        <w:spacing w:line="400" w:lineRule="exact"/>
                        <w:jc w:val="right"/>
                        <w:rPr>
                          <w:b/>
                          <w:sz w:val="32"/>
                          <w:szCs w:val="32"/>
                          <w:lang w:val="fr-FR"/>
                        </w:rPr>
                      </w:pPr>
                    </w:p>
                    <w:tbl>
                      <w:tblPr>
                        <w:tblW w:w="0" w:type="auto"/>
                        <w:jc w:val="right"/>
                        <w:tblInd w:w="361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797"/>
                        <w:gridCol w:w="1599"/>
                      </w:tblGrid>
                      <w:tr w:rsidR="008C3FEA" w:rsidRPr="00E462AB">
                        <w:trPr>
                          <w:jc w:val="right"/>
                        </w:trPr>
                        <w:tc>
                          <w:tcPr>
                            <w:tcW w:w="3026" w:type="dxa"/>
                          </w:tcPr>
                          <w:p w:rsidR="008C3FEA" w:rsidRPr="00E462AB" w:rsidRDefault="008C3FEA" w:rsidP="00E462AB">
                            <w:pPr>
                              <w:spacing w:line="400" w:lineRule="exact"/>
                              <w:jc w:val="right"/>
                              <w:rPr>
                                <w:b/>
                                <w:sz w:val="32"/>
                                <w:szCs w:val="32"/>
                                <w:lang w:val="fr-FR"/>
                              </w:rPr>
                            </w:pPr>
                            <w:r w:rsidRPr="00E462AB">
                              <w:rPr>
                                <w:b/>
                                <w:sz w:val="32"/>
                                <w:szCs w:val="32"/>
                                <w:lang w:val="fr-FR"/>
                              </w:rPr>
                              <w:t>UN</w:t>
                            </w:r>
                            <w:r w:rsidRPr="00E462AB">
                              <w:rPr>
                                <w:b/>
                                <w:sz w:val="32"/>
                                <w:szCs w:val="32"/>
                                <w:lang w:val="fr-FR" w:eastAsia="ja-JP"/>
                              </w:rPr>
                              <w:t>DP Code:</w:t>
                            </w:r>
                          </w:p>
                        </w:tc>
                        <w:tc>
                          <w:tcPr>
                            <w:tcW w:w="1872" w:type="dxa"/>
                          </w:tcPr>
                          <w:p w:rsidR="008C3FEA" w:rsidRPr="00E462AB" w:rsidRDefault="008C3FEA" w:rsidP="00E462AB">
                            <w:pPr>
                              <w:spacing w:line="400" w:lineRule="exact"/>
                              <w:jc w:val="right"/>
                              <w:rPr>
                                <w:b/>
                                <w:sz w:val="32"/>
                                <w:szCs w:val="32"/>
                                <w:lang w:val="fr-FR"/>
                              </w:rPr>
                            </w:pPr>
                            <w:r w:rsidRPr="00E462AB">
                              <w:rPr>
                                <w:b/>
                                <w:sz w:val="32"/>
                                <w:szCs w:val="32"/>
                                <w:lang w:val="fr-FR"/>
                              </w:rPr>
                              <w:t>000</w:t>
                            </w:r>
                            <w:r w:rsidRPr="00E462AB">
                              <w:rPr>
                                <w:b/>
                                <w:sz w:val="32"/>
                                <w:szCs w:val="32"/>
                                <w:lang w:val="fr-FR" w:eastAsia="ja-JP"/>
                              </w:rPr>
                              <w:t>61961</w:t>
                            </w:r>
                          </w:p>
                        </w:tc>
                      </w:tr>
                      <w:tr w:rsidR="008C3FEA" w:rsidRPr="00E462AB">
                        <w:trPr>
                          <w:jc w:val="right"/>
                        </w:trPr>
                        <w:tc>
                          <w:tcPr>
                            <w:tcW w:w="3026" w:type="dxa"/>
                          </w:tcPr>
                          <w:p w:rsidR="008C3FEA" w:rsidRPr="00E462AB" w:rsidRDefault="008C3FEA" w:rsidP="00E462AB">
                            <w:pPr>
                              <w:spacing w:line="400" w:lineRule="exact"/>
                              <w:jc w:val="right"/>
                              <w:rPr>
                                <w:b/>
                                <w:sz w:val="32"/>
                                <w:szCs w:val="32"/>
                                <w:lang w:val="fr-FR"/>
                              </w:rPr>
                            </w:pPr>
                            <w:r w:rsidRPr="00E462AB">
                              <w:rPr>
                                <w:b/>
                                <w:sz w:val="32"/>
                                <w:szCs w:val="32"/>
                                <w:lang w:val="fr-FR"/>
                              </w:rPr>
                              <w:t>UNCDF Codes:</w:t>
                            </w:r>
                          </w:p>
                        </w:tc>
                        <w:tc>
                          <w:tcPr>
                            <w:tcW w:w="1872" w:type="dxa"/>
                          </w:tcPr>
                          <w:p w:rsidR="008C3FEA" w:rsidRPr="00E462AB" w:rsidRDefault="008C3FEA" w:rsidP="00E462AB">
                            <w:pPr>
                              <w:spacing w:line="400" w:lineRule="exact"/>
                              <w:jc w:val="right"/>
                              <w:rPr>
                                <w:b/>
                                <w:sz w:val="32"/>
                                <w:szCs w:val="32"/>
                                <w:lang w:val="fr-FR" w:eastAsia="ja-JP"/>
                              </w:rPr>
                            </w:pPr>
                            <w:r w:rsidRPr="00E462AB">
                              <w:rPr>
                                <w:b/>
                                <w:sz w:val="32"/>
                                <w:szCs w:val="32"/>
                                <w:lang w:val="fr-FR"/>
                              </w:rPr>
                              <w:t>000</w:t>
                            </w:r>
                            <w:r w:rsidRPr="00E462AB">
                              <w:rPr>
                                <w:b/>
                                <w:sz w:val="32"/>
                                <w:szCs w:val="32"/>
                                <w:lang w:val="fr-FR" w:eastAsia="ja-JP"/>
                              </w:rPr>
                              <w:t>62359</w:t>
                            </w:r>
                          </w:p>
                          <w:p w:rsidR="008C3FEA" w:rsidRPr="00E462AB" w:rsidRDefault="008C3FEA" w:rsidP="00E462AB">
                            <w:pPr>
                              <w:spacing w:line="400" w:lineRule="exact"/>
                              <w:jc w:val="right"/>
                              <w:rPr>
                                <w:b/>
                                <w:sz w:val="32"/>
                                <w:szCs w:val="32"/>
                                <w:lang w:val="fr-FR"/>
                              </w:rPr>
                            </w:pPr>
                            <w:r w:rsidRPr="00E462AB">
                              <w:rPr>
                                <w:b/>
                                <w:sz w:val="32"/>
                                <w:szCs w:val="32"/>
                              </w:rPr>
                              <w:t>000</w:t>
                            </w:r>
                            <w:r w:rsidRPr="00E462AB">
                              <w:rPr>
                                <w:b/>
                                <w:sz w:val="32"/>
                                <w:szCs w:val="32"/>
                                <w:lang w:eastAsia="ja-JP"/>
                              </w:rPr>
                              <w:t>72424</w:t>
                            </w:r>
                          </w:p>
                        </w:tc>
                      </w:tr>
                    </w:tbl>
                    <w:p w:rsidR="008C3FEA" w:rsidRPr="00C462AD" w:rsidRDefault="008C3FEA" w:rsidP="00C462AD">
                      <w:pPr>
                        <w:spacing w:line="400" w:lineRule="exact"/>
                        <w:jc w:val="right"/>
                        <w:rPr>
                          <w:b/>
                          <w:sz w:val="32"/>
                          <w:szCs w:val="32"/>
                          <w:lang w:val="fr-FR"/>
                        </w:rPr>
                      </w:pPr>
                    </w:p>
                    <w:p w:rsidR="008C3FEA" w:rsidRPr="00D37547" w:rsidRDefault="008C3FEA" w:rsidP="00B45E96">
                      <w:pPr>
                        <w:pStyle w:val="Heading1"/>
                        <w:rPr>
                          <w:lang w:eastAsia="ja-JP"/>
                        </w:rPr>
                      </w:pPr>
                      <w:r w:rsidRPr="00C462AD">
                        <w:rPr>
                          <w:lang w:val="fr-FR" w:eastAsia="ja-JP"/>
                        </w:rPr>
                        <w:t xml:space="preserve">    </w:t>
                      </w:r>
                      <w:r w:rsidRPr="00D37547">
                        <w:t xml:space="preserve">    </w:t>
                      </w:r>
                      <w:r w:rsidRPr="00D37547">
                        <w:tab/>
                      </w:r>
                      <w:r w:rsidRPr="00D37547">
                        <w:tab/>
                        <w:t xml:space="preserve"> </w:t>
                      </w:r>
                    </w:p>
                    <w:p w:rsidR="008C3FEA" w:rsidRPr="00C462AD" w:rsidRDefault="008C3FEA" w:rsidP="00B45E96">
                      <w:pPr>
                        <w:pStyle w:val="Subtitle"/>
                      </w:pPr>
                      <w:r w:rsidRPr="00C462AD">
                        <w:t xml:space="preserve">Period covered: </w:t>
                      </w:r>
                      <w:r w:rsidRPr="00861BDB">
                        <w:t xml:space="preserve">January - </w:t>
                      </w:r>
                      <w:r>
                        <w:rPr>
                          <w:lang w:eastAsia="ja-JP"/>
                        </w:rPr>
                        <w:t>June</w:t>
                      </w:r>
                      <w:r w:rsidRPr="00861BDB">
                        <w:t xml:space="preserve"> 201</w:t>
                      </w:r>
                      <w:r>
                        <w:t>1</w:t>
                      </w:r>
                    </w:p>
                    <w:p w:rsidR="008C3FEA" w:rsidRPr="00C462AD" w:rsidRDefault="008C3FEA" w:rsidP="00C462AD">
                      <w:pPr>
                        <w:spacing w:line="400" w:lineRule="exact"/>
                        <w:jc w:val="right"/>
                        <w:rPr>
                          <w:sz w:val="32"/>
                        </w:rPr>
                      </w:pPr>
                    </w:p>
                    <w:p w:rsidR="008C3FEA" w:rsidRPr="00B45E96" w:rsidRDefault="008C3FEA" w:rsidP="00B45E96">
                      <w:pPr>
                        <w:pStyle w:val="Subtitle"/>
                        <w:rPr>
                          <w:b w:val="0"/>
                          <w:lang w:eastAsia="ja-JP"/>
                        </w:rPr>
                      </w:pPr>
                      <w:r w:rsidRPr="00B45E96">
                        <w:rPr>
                          <w:b w:val="0"/>
                        </w:rPr>
                        <w:t xml:space="preserve">Report Date: </w:t>
                      </w:r>
                      <w:r w:rsidRPr="00B45E96">
                        <w:rPr>
                          <w:b w:val="0"/>
                          <w:lang w:eastAsia="ja-JP"/>
                        </w:rPr>
                        <w:t>January</w:t>
                      </w:r>
                      <w:r w:rsidRPr="00B45E96">
                        <w:rPr>
                          <w:b w:val="0"/>
                        </w:rPr>
                        <w:t xml:space="preserve"> 20</w:t>
                      </w:r>
                      <w:r w:rsidRPr="00B45E96">
                        <w:rPr>
                          <w:b w:val="0"/>
                          <w:lang w:eastAsia="ja-JP"/>
                        </w:rPr>
                        <w:t>12</w:t>
                      </w:r>
                    </w:p>
                    <w:p w:rsidR="008C3FEA" w:rsidRPr="00981B06" w:rsidRDefault="008C3FEA" w:rsidP="00C462AD">
                      <w:pPr>
                        <w:spacing w:line="400" w:lineRule="exact"/>
                        <w:jc w:val="right"/>
                        <w:rPr>
                          <w:rFonts w:ascii="Calibri" w:hAnsi="Calibri" w:cs="Arial"/>
                          <w:b/>
                          <w:sz w:val="32"/>
                          <w:szCs w:val="32"/>
                          <w:lang w:eastAsia="ja-JP"/>
                        </w:rPr>
                      </w:pPr>
                    </w:p>
                  </w:txbxContent>
                </v:textbox>
              </v:shape>
            </w:pict>
          </mc:Fallback>
        </mc:AlternateContent>
      </w:r>
      <w:r>
        <w:rPr>
          <w:rFonts w:ascii="Garamond" w:hAnsi="Garamond"/>
          <w:noProof/>
          <w:sz w:val="22"/>
          <w:szCs w:val="22"/>
          <w:lang w:val="en-AU" w:eastAsia="en-AU"/>
        </w:rPr>
        <mc:AlternateContent>
          <mc:Choice Requires="wps">
            <w:drawing>
              <wp:anchor distT="4294967295" distB="4294967295" distL="114300" distR="114300" simplePos="0" relativeHeight="251659264" behindDoc="0" locked="0" layoutInCell="1" allowOverlap="1">
                <wp:simplePos x="0" y="0"/>
                <wp:positionH relativeFrom="column">
                  <wp:posOffset>1533525</wp:posOffset>
                </wp:positionH>
                <wp:positionV relativeFrom="paragraph">
                  <wp:posOffset>2171699</wp:posOffset>
                </wp:positionV>
                <wp:extent cx="4200525" cy="0"/>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052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0.75pt,171pt" to="451.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" stroked="f"/>
            </w:pict>
          </mc:Fallback>
        </mc:AlternateContent>
      </w:r>
    </w:p>
    <w:p w:rsidR="00C462AD" w:rsidRDefault="00C462AD" w:rsidP="00C462AD">
      <w:pPr>
        <w:jc w:val="both"/>
        <w:rPr>
          <w:rFonts w:ascii="Garamond" w:hAnsi="Garamond"/>
          <w:b/>
          <w:bCs/>
          <w:caps/>
          <w:sz w:val="22"/>
          <w:szCs w:val="22"/>
        </w:rPr>
      </w:pPr>
    </w:p>
    <w:p w:rsidR="00C462AD" w:rsidRDefault="00C462AD" w:rsidP="00C462AD">
      <w:pPr>
        <w:jc w:val="both"/>
        <w:rPr>
          <w:rFonts w:ascii="Garamond" w:hAnsi="Garamond"/>
          <w:b/>
          <w:bCs/>
          <w:caps/>
          <w:sz w:val="22"/>
          <w:szCs w:val="22"/>
        </w:rPr>
      </w:pPr>
    </w:p>
    <w:p w:rsidR="00C462AD" w:rsidRDefault="00C462AD" w:rsidP="00C462AD">
      <w:pPr>
        <w:jc w:val="both"/>
        <w:rPr>
          <w:rFonts w:ascii="Garamond" w:hAnsi="Garamond"/>
          <w:b/>
          <w:bCs/>
          <w:caps/>
          <w:sz w:val="22"/>
          <w:szCs w:val="22"/>
        </w:rPr>
      </w:pPr>
    </w:p>
    <w:p w:rsidR="00C462AD" w:rsidRPr="005A1C09" w:rsidRDefault="00C462AD" w:rsidP="00C462AD">
      <w:pPr>
        <w:jc w:val="both"/>
        <w:rPr>
          <w:rFonts w:ascii="Garamond" w:hAnsi="Garamond"/>
          <w:b/>
          <w:bCs/>
          <w:caps/>
          <w:sz w:val="22"/>
          <w:szCs w:val="22"/>
        </w:rPr>
      </w:pPr>
    </w:p>
    <w:p w:rsidR="00C462AD" w:rsidRDefault="00C462AD" w:rsidP="00C462AD">
      <w:pPr>
        <w:jc w:val="both"/>
        <w:rPr>
          <w:rFonts w:ascii="Garamond" w:hAnsi="Garamond"/>
          <w:b/>
          <w:bCs/>
          <w:caps/>
          <w:sz w:val="22"/>
          <w:szCs w:val="22"/>
        </w:rPr>
      </w:pPr>
    </w:p>
    <w:p w:rsidR="00C462AD" w:rsidRDefault="00C462AD" w:rsidP="00C462AD">
      <w:pPr>
        <w:jc w:val="both"/>
        <w:rPr>
          <w:rFonts w:ascii="Garamond" w:hAnsi="Garamond"/>
          <w:b/>
          <w:bCs/>
          <w:caps/>
          <w:sz w:val="22"/>
          <w:szCs w:val="22"/>
        </w:rPr>
      </w:pPr>
    </w:p>
    <w:p w:rsidR="00C462AD" w:rsidRDefault="00C462AD" w:rsidP="00C462AD">
      <w:pPr>
        <w:jc w:val="both"/>
        <w:rPr>
          <w:rFonts w:ascii="Garamond" w:hAnsi="Garamond"/>
          <w:b/>
          <w:bCs/>
          <w:caps/>
          <w:sz w:val="22"/>
          <w:szCs w:val="22"/>
        </w:rPr>
      </w:pPr>
    </w:p>
    <w:p w:rsidR="00C462AD" w:rsidRDefault="00C462AD" w:rsidP="00C462AD">
      <w:pPr>
        <w:jc w:val="both"/>
        <w:rPr>
          <w:rFonts w:ascii="Garamond" w:hAnsi="Garamond"/>
          <w:b/>
          <w:bCs/>
          <w:caps/>
          <w:sz w:val="22"/>
          <w:szCs w:val="22"/>
        </w:rPr>
      </w:pPr>
    </w:p>
    <w:p w:rsidR="00C462AD" w:rsidRDefault="00C462AD" w:rsidP="00C462AD">
      <w:pPr>
        <w:jc w:val="both"/>
        <w:rPr>
          <w:rFonts w:ascii="Garamond" w:hAnsi="Garamond"/>
          <w:b/>
          <w:bCs/>
          <w:caps/>
          <w:sz w:val="22"/>
          <w:szCs w:val="22"/>
        </w:rPr>
      </w:pPr>
    </w:p>
    <w:p w:rsidR="00C462AD" w:rsidRDefault="00C462AD" w:rsidP="00C462AD">
      <w:pPr>
        <w:jc w:val="both"/>
        <w:rPr>
          <w:rFonts w:ascii="Garamond" w:hAnsi="Garamond"/>
          <w:b/>
          <w:bCs/>
          <w:caps/>
          <w:sz w:val="22"/>
          <w:szCs w:val="22"/>
        </w:rPr>
      </w:pPr>
    </w:p>
    <w:p w:rsidR="00C462AD" w:rsidRDefault="00C462AD" w:rsidP="00C462AD">
      <w:pPr>
        <w:jc w:val="both"/>
        <w:rPr>
          <w:rFonts w:ascii="Garamond" w:hAnsi="Garamond"/>
          <w:b/>
          <w:bCs/>
          <w:caps/>
          <w:sz w:val="22"/>
          <w:szCs w:val="22"/>
        </w:rPr>
      </w:pPr>
    </w:p>
    <w:p w:rsidR="00C462AD" w:rsidRDefault="00C462AD" w:rsidP="00C462AD">
      <w:pPr>
        <w:jc w:val="both"/>
        <w:rPr>
          <w:rFonts w:ascii="Garamond" w:hAnsi="Garamond"/>
          <w:b/>
          <w:bCs/>
          <w:caps/>
          <w:sz w:val="22"/>
          <w:szCs w:val="22"/>
        </w:rPr>
      </w:pPr>
    </w:p>
    <w:p w:rsidR="00C462AD" w:rsidRDefault="00C462AD" w:rsidP="00C462AD">
      <w:pPr>
        <w:jc w:val="both"/>
        <w:rPr>
          <w:rFonts w:ascii="Garamond" w:hAnsi="Garamond"/>
          <w:b/>
          <w:bCs/>
          <w:caps/>
          <w:sz w:val="22"/>
          <w:szCs w:val="22"/>
        </w:rPr>
      </w:pPr>
    </w:p>
    <w:p w:rsidR="00C462AD" w:rsidRDefault="00C462AD" w:rsidP="00C462AD">
      <w:pPr>
        <w:jc w:val="both"/>
        <w:rPr>
          <w:rFonts w:ascii="Garamond" w:hAnsi="Garamond"/>
          <w:b/>
          <w:bCs/>
          <w:caps/>
          <w:sz w:val="22"/>
          <w:szCs w:val="22"/>
        </w:rPr>
      </w:pPr>
    </w:p>
    <w:p w:rsidR="00C462AD" w:rsidRDefault="00C462AD" w:rsidP="00C462AD">
      <w:pPr>
        <w:jc w:val="both"/>
        <w:rPr>
          <w:rFonts w:ascii="Garamond" w:hAnsi="Garamond"/>
          <w:b/>
          <w:bCs/>
          <w:caps/>
          <w:sz w:val="22"/>
          <w:szCs w:val="22"/>
        </w:rPr>
      </w:pPr>
    </w:p>
    <w:p w:rsidR="00C462AD" w:rsidRDefault="00C462AD" w:rsidP="00C462AD">
      <w:pPr>
        <w:jc w:val="both"/>
        <w:rPr>
          <w:rFonts w:ascii="Garamond" w:hAnsi="Garamond"/>
          <w:b/>
          <w:bCs/>
          <w:caps/>
          <w:sz w:val="22"/>
          <w:szCs w:val="22"/>
        </w:rPr>
      </w:pPr>
    </w:p>
    <w:p w:rsidR="00C462AD" w:rsidRDefault="00C462AD" w:rsidP="00C462AD">
      <w:pPr>
        <w:jc w:val="both"/>
        <w:rPr>
          <w:rFonts w:ascii="Garamond" w:hAnsi="Garamond"/>
          <w:b/>
          <w:bCs/>
          <w:caps/>
          <w:sz w:val="22"/>
          <w:szCs w:val="22"/>
        </w:rPr>
      </w:pPr>
    </w:p>
    <w:p w:rsidR="00C462AD" w:rsidRDefault="00C462AD" w:rsidP="00C462AD">
      <w:pPr>
        <w:jc w:val="both"/>
        <w:rPr>
          <w:rFonts w:ascii="Garamond" w:hAnsi="Garamond"/>
          <w:b/>
          <w:bCs/>
          <w:caps/>
          <w:sz w:val="22"/>
          <w:szCs w:val="22"/>
        </w:rPr>
      </w:pPr>
    </w:p>
    <w:p w:rsidR="00C462AD" w:rsidRDefault="00C462AD" w:rsidP="00C462AD">
      <w:pPr>
        <w:jc w:val="both"/>
        <w:rPr>
          <w:rFonts w:ascii="Garamond" w:hAnsi="Garamond"/>
          <w:b/>
          <w:bCs/>
          <w:caps/>
          <w:sz w:val="22"/>
          <w:szCs w:val="22"/>
        </w:rPr>
      </w:pPr>
    </w:p>
    <w:p w:rsidR="00C462AD" w:rsidRDefault="00C462AD" w:rsidP="00C462AD">
      <w:pPr>
        <w:jc w:val="both"/>
        <w:rPr>
          <w:rFonts w:ascii="Garamond" w:hAnsi="Garamond"/>
          <w:b/>
          <w:bCs/>
          <w:caps/>
          <w:sz w:val="22"/>
          <w:szCs w:val="22"/>
        </w:rPr>
      </w:pPr>
    </w:p>
    <w:p w:rsidR="00C462AD" w:rsidRDefault="00C462AD" w:rsidP="00C462AD">
      <w:pPr>
        <w:jc w:val="both"/>
        <w:rPr>
          <w:rFonts w:ascii="Garamond" w:hAnsi="Garamond"/>
          <w:b/>
          <w:bCs/>
          <w:caps/>
          <w:sz w:val="22"/>
          <w:szCs w:val="22"/>
        </w:rPr>
      </w:pPr>
    </w:p>
    <w:p w:rsidR="00C462AD" w:rsidRDefault="00C462AD" w:rsidP="00C462AD">
      <w:pPr>
        <w:jc w:val="both"/>
        <w:rPr>
          <w:rFonts w:ascii="Garamond" w:hAnsi="Garamond"/>
          <w:b/>
          <w:bCs/>
          <w:caps/>
          <w:sz w:val="22"/>
          <w:szCs w:val="22"/>
        </w:rPr>
      </w:pPr>
    </w:p>
    <w:p w:rsidR="00C462AD" w:rsidRDefault="00C462AD" w:rsidP="00C462AD">
      <w:pPr>
        <w:jc w:val="both"/>
        <w:rPr>
          <w:rFonts w:ascii="Garamond" w:hAnsi="Garamond"/>
          <w:b/>
          <w:bCs/>
          <w:caps/>
          <w:sz w:val="22"/>
          <w:szCs w:val="22"/>
        </w:rPr>
      </w:pPr>
    </w:p>
    <w:p w:rsidR="00C462AD" w:rsidRDefault="00C462AD" w:rsidP="00C462AD">
      <w:pPr>
        <w:jc w:val="both"/>
        <w:rPr>
          <w:rFonts w:ascii="Garamond" w:hAnsi="Garamond"/>
          <w:b/>
          <w:bCs/>
          <w:caps/>
          <w:sz w:val="22"/>
          <w:szCs w:val="22"/>
        </w:rPr>
      </w:pPr>
    </w:p>
    <w:p w:rsidR="00C462AD" w:rsidRDefault="00C462AD" w:rsidP="00C462AD">
      <w:pPr>
        <w:jc w:val="both"/>
        <w:rPr>
          <w:rFonts w:ascii="Garamond" w:hAnsi="Garamond"/>
          <w:b/>
          <w:bCs/>
          <w:caps/>
          <w:sz w:val="22"/>
          <w:szCs w:val="22"/>
        </w:rPr>
      </w:pPr>
    </w:p>
    <w:p w:rsidR="00C462AD" w:rsidRDefault="00C462AD" w:rsidP="00C462AD">
      <w:pPr>
        <w:jc w:val="both"/>
        <w:rPr>
          <w:rFonts w:ascii="Garamond" w:hAnsi="Garamond"/>
          <w:b/>
          <w:bCs/>
          <w:caps/>
          <w:sz w:val="22"/>
          <w:szCs w:val="22"/>
        </w:rPr>
      </w:pPr>
    </w:p>
    <w:p w:rsidR="00C462AD" w:rsidRDefault="00C462AD" w:rsidP="00C462AD">
      <w:pPr>
        <w:jc w:val="both"/>
        <w:rPr>
          <w:rFonts w:ascii="Garamond" w:hAnsi="Garamond"/>
          <w:b/>
          <w:bCs/>
          <w:caps/>
          <w:sz w:val="22"/>
          <w:szCs w:val="22"/>
        </w:rPr>
      </w:pPr>
    </w:p>
    <w:p w:rsidR="00C462AD" w:rsidRDefault="00C462AD" w:rsidP="00C462AD">
      <w:pPr>
        <w:jc w:val="both"/>
        <w:rPr>
          <w:rFonts w:ascii="Garamond" w:hAnsi="Garamond"/>
          <w:b/>
          <w:bCs/>
          <w:caps/>
          <w:sz w:val="22"/>
          <w:szCs w:val="22"/>
        </w:rPr>
      </w:pPr>
    </w:p>
    <w:p w:rsidR="00C462AD" w:rsidRDefault="00C462AD" w:rsidP="00C462AD">
      <w:pPr>
        <w:jc w:val="both"/>
        <w:rPr>
          <w:rFonts w:ascii="Garamond" w:hAnsi="Garamond"/>
          <w:b/>
          <w:bCs/>
          <w:caps/>
          <w:sz w:val="22"/>
          <w:szCs w:val="22"/>
        </w:rPr>
      </w:pPr>
    </w:p>
    <w:p w:rsidR="00D755B8" w:rsidRDefault="00D755B8" w:rsidP="00AB0274">
      <w:pPr>
        <w:jc w:val="center"/>
        <w:rPr>
          <w:b/>
          <w:bCs/>
          <w:caps/>
        </w:rPr>
        <w:sectPr w:rsidR="00D755B8">
          <w:footerReference w:type="even" r:id="rId13"/>
          <w:footerReference w:type="default" r:id="rId14"/>
          <w:footerReference w:type="first" r:id="rId15"/>
          <w:pgSz w:w="12240" w:h="15840" w:code="1"/>
          <w:pgMar w:top="806" w:right="994" w:bottom="1354" w:left="806" w:header="720" w:footer="418" w:gutter="0"/>
          <w:cols w:space="720"/>
          <w:docGrid w:linePitch="360"/>
        </w:sectPr>
      </w:pPr>
    </w:p>
    <w:p w:rsidR="00452ED1" w:rsidRDefault="009A093A" w:rsidP="00AB0274">
      <w:pPr>
        <w:jc w:val="center"/>
        <w:rPr>
          <w:b/>
          <w:bCs/>
          <w:caps/>
        </w:rPr>
      </w:pPr>
      <w:r>
        <w:rPr>
          <w:b/>
          <w:bCs/>
          <w:caps/>
        </w:rPr>
        <w:lastRenderedPageBreak/>
        <w:t>Report Cover PaGE</w:t>
      </w:r>
    </w:p>
    <w:p w:rsidR="009A093A" w:rsidRDefault="009A093A" w:rsidP="00AB0274">
      <w:pPr>
        <w:jc w:val="center"/>
        <w:rPr>
          <w:b/>
          <w:bCs/>
          <w:caps/>
        </w:rPr>
      </w:pPr>
    </w:p>
    <w:tbl>
      <w:tblPr>
        <w:tblW w:w="10968" w:type="dxa"/>
        <w:tblInd w:w="-72" w:type="dxa"/>
        <w:tblLayout w:type="fixed"/>
        <w:tblLook w:val="01E0" w:firstRow="1" w:lastRow="1" w:firstColumn="1" w:lastColumn="1" w:noHBand="0" w:noVBand="0"/>
      </w:tblPr>
      <w:tblGrid>
        <w:gridCol w:w="5516"/>
        <w:gridCol w:w="304"/>
        <w:gridCol w:w="5148"/>
      </w:tblGrid>
      <w:tr w:rsidR="000134CC" w:rsidRPr="00947685">
        <w:trPr>
          <w:trHeight w:val="206"/>
        </w:trPr>
        <w:tc>
          <w:tcPr>
            <w:tcW w:w="5516" w:type="dxa"/>
            <w:tcBorders>
              <w:top w:val="single" w:sz="4" w:space="0" w:color="auto"/>
              <w:left w:val="single" w:sz="4" w:space="0" w:color="auto"/>
              <w:right w:val="single" w:sz="4" w:space="0" w:color="auto"/>
            </w:tcBorders>
            <w:shd w:val="clear" w:color="auto" w:fill="F3F3F3"/>
            <w:vAlign w:val="center"/>
          </w:tcPr>
          <w:p w:rsidR="000134CC" w:rsidRPr="00947685" w:rsidRDefault="000134CC" w:rsidP="000134CC">
            <w:pPr>
              <w:pStyle w:val="H1"/>
              <w:jc w:val="center"/>
              <w:rPr>
                <w:rFonts w:cs="Times New Roman"/>
              </w:rPr>
            </w:pPr>
            <w:r>
              <w:rPr>
                <w:rFonts w:cs="Times New Roman"/>
              </w:rPr>
              <w:t>Programme Title &amp; Number</w:t>
            </w:r>
          </w:p>
        </w:tc>
        <w:tc>
          <w:tcPr>
            <w:tcW w:w="304" w:type="dxa"/>
            <w:vMerge w:val="restart"/>
            <w:tcBorders>
              <w:left w:val="single" w:sz="4" w:space="0" w:color="auto"/>
              <w:right w:val="single" w:sz="4" w:space="0" w:color="auto"/>
            </w:tcBorders>
            <w:vAlign w:val="center"/>
          </w:tcPr>
          <w:p w:rsidR="000134CC" w:rsidRPr="00B45A03" w:rsidRDefault="00D0750C" w:rsidP="000134CC">
            <w:pPr>
              <w:jc w:val="center"/>
            </w:pPr>
            <w:r>
              <w:t xml:space="preserve">   </w:t>
            </w:r>
          </w:p>
        </w:tc>
        <w:tc>
          <w:tcPr>
            <w:tcW w:w="5148" w:type="dxa"/>
            <w:tcBorders>
              <w:top w:val="single" w:sz="4" w:space="0" w:color="auto"/>
              <w:left w:val="single" w:sz="4" w:space="0" w:color="auto"/>
              <w:right w:val="single" w:sz="4" w:space="0" w:color="auto"/>
            </w:tcBorders>
            <w:shd w:val="clear" w:color="auto" w:fill="F3F3F3"/>
            <w:vAlign w:val="center"/>
          </w:tcPr>
          <w:p w:rsidR="000134CC" w:rsidRPr="00B45A03" w:rsidRDefault="000134CC" w:rsidP="000134CC">
            <w:pPr>
              <w:pStyle w:val="H1"/>
              <w:jc w:val="center"/>
              <w:rPr>
                <w:rFonts w:cs="Times New Roman"/>
              </w:rPr>
            </w:pPr>
            <w:r w:rsidRPr="00B45A03">
              <w:rPr>
                <w:rFonts w:cs="Times New Roman"/>
              </w:rPr>
              <w:t>Country, Locality(s), Thematic Area(s)</w:t>
            </w:r>
            <w:r w:rsidR="00CA33AC" w:rsidRPr="00B45A03">
              <w:rPr>
                <w:rStyle w:val="FootnoteReference"/>
                <w:rFonts w:cs="Times New Roman"/>
              </w:rPr>
              <w:footnoteReference w:id="1"/>
            </w:r>
          </w:p>
        </w:tc>
      </w:tr>
      <w:tr w:rsidR="000134CC" w:rsidRPr="00B45A03">
        <w:trPr>
          <w:trHeight w:val="495"/>
        </w:trPr>
        <w:tc>
          <w:tcPr>
            <w:tcW w:w="5516" w:type="dxa"/>
            <w:tcBorders>
              <w:left w:val="single" w:sz="4" w:space="0" w:color="auto"/>
              <w:bottom w:val="single" w:sz="4" w:space="0" w:color="auto"/>
              <w:right w:val="single" w:sz="4" w:space="0" w:color="auto"/>
            </w:tcBorders>
          </w:tcPr>
          <w:p w:rsidR="00B45A03" w:rsidRPr="00B45A03" w:rsidRDefault="000134CC" w:rsidP="00B65371">
            <w:pPr>
              <w:pStyle w:val="BodyText"/>
              <w:numPr>
                <w:ilvl w:val="0"/>
                <w:numId w:val="2"/>
              </w:numPr>
              <w:spacing w:before="60" w:after="60"/>
              <w:ind w:left="342"/>
              <w:jc w:val="both"/>
              <w:rPr>
                <w:rFonts w:ascii="Times New Roman" w:hAnsi="Times New Roman" w:cs="Times New Roman"/>
                <w:bCs/>
                <w:iCs/>
                <w:snapToGrid w:val="0"/>
              </w:rPr>
            </w:pPr>
            <w:r w:rsidRPr="00B45A03">
              <w:rPr>
                <w:rFonts w:ascii="Times New Roman" w:hAnsi="Times New Roman" w:cs="Times New Roman"/>
                <w:bCs/>
                <w:iCs/>
                <w:snapToGrid w:val="0"/>
              </w:rPr>
              <w:t>Programme Title:</w:t>
            </w:r>
            <w:r w:rsidR="00B45A03" w:rsidRPr="00B45A03">
              <w:rPr>
                <w:rFonts w:ascii="Times New Roman" w:hAnsi="Times New Roman" w:cs="Times New Roman"/>
                <w:bCs/>
                <w:iCs/>
                <w:snapToGrid w:val="0"/>
              </w:rPr>
              <w:t xml:space="preserve"> Inclusive Finance for the Under-served Economy (INFUSE)</w:t>
            </w:r>
          </w:p>
          <w:p w:rsidR="000134CC" w:rsidRPr="00B45A03" w:rsidRDefault="000134CC" w:rsidP="00B65371">
            <w:pPr>
              <w:pStyle w:val="BodyText"/>
              <w:numPr>
                <w:ilvl w:val="0"/>
                <w:numId w:val="2"/>
              </w:numPr>
              <w:spacing w:before="60" w:after="60"/>
              <w:ind w:left="342"/>
              <w:jc w:val="both"/>
              <w:rPr>
                <w:rFonts w:ascii="Times New Roman" w:hAnsi="Times New Roman" w:cs="Times New Roman"/>
                <w:bCs/>
                <w:iCs/>
                <w:snapToGrid w:val="0"/>
              </w:rPr>
            </w:pPr>
            <w:r w:rsidRPr="00B45A03">
              <w:rPr>
                <w:rFonts w:ascii="Times New Roman" w:hAnsi="Times New Roman" w:cs="Times New Roman"/>
                <w:bCs/>
                <w:iCs/>
                <w:snapToGrid w:val="0"/>
              </w:rPr>
              <w:t>Programme Number</w:t>
            </w:r>
            <w:r w:rsidR="00D14F94" w:rsidRPr="00B45A03">
              <w:rPr>
                <w:rFonts w:ascii="Times New Roman" w:hAnsi="Times New Roman" w:cs="Times New Roman"/>
                <w:bCs/>
                <w:iCs/>
                <w:snapToGrid w:val="0"/>
              </w:rPr>
              <w:t xml:space="preserve"> </w:t>
            </w:r>
          </w:p>
          <w:p w:rsidR="00B45A03" w:rsidRPr="008C3FEA" w:rsidRDefault="00B45A03" w:rsidP="00B45E96">
            <w:pPr>
              <w:pStyle w:val="Heading2"/>
              <w:rPr>
                <w:b/>
                <w:lang w:eastAsia="ja-JP"/>
              </w:rPr>
            </w:pPr>
            <w:bookmarkStart w:id="0" w:name="_Toc288467974"/>
            <w:bookmarkStart w:id="1" w:name="_Toc288468702"/>
            <w:bookmarkStart w:id="2" w:name="_Toc288469179"/>
            <w:bookmarkStart w:id="3" w:name="_Toc288470228"/>
            <w:bookmarkStart w:id="4" w:name="_Toc288486039"/>
            <w:bookmarkStart w:id="5" w:name="_Toc366502960"/>
            <w:r w:rsidRPr="008C3FEA">
              <w:t>UNDP:</w:t>
            </w:r>
            <w:r w:rsidRPr="008C3FEA">
              <w:rPr>
                <w:lang w:eastAsia="ja-JP"/>
              </w:rPr>
              <w:t xml:space="preserve"> 00050242 (Award ID),</w:t>
            </w:r>
            <w:r w:rsidRPr="008C3FEA">
              <w:t xml:space="preserve"> 00061961</w:t>
            </w:r>
            <w:r w:rsidRPr="008C3FEA">
              <w:rPr>
                <w:lang w:eastAsia="ja-JP"/>
              </w:rPr>
              <w:t>(Project ID)</w:t>
            </w:r>
            <w:bookmarkEnd w:id="0"/>
            <w:bookmarkEnd w:id="1"/>
            <w:bookmarkEnd w:id="2"/>
            <w:bookmarkEnd w:id="3"/>
            <w:bookmarkEnd w:id="4"/>
            <w:bookmarkEnd w:id="5"/>
            <w:r w:rsidRPr="008C3FEA">
              <w:rPr>
                <w:lang w:eastAsia="ja-JP"/>
              </w:rPr>
              <w:t xml:space="preserve"> </w:t>
            </w:r>
          </w:p>
          <w:p w:rsidR="00B45A03" w:rsidRPr="008C3FEA" w:rsidRDefault="00B45A03" w:rsidP="008C3FEA">
            <w:pPr>
              <w:shd w:val="clear" w:color="auto" w:fill="FFFFFF" w:themeFill="background1"/>
              <w:rPr>
                <w:sz w:val="20"/>
                <w:szCs w:val="20"/>
                <w:lang w:eastAsia="ja-JP"/>
              </w:rPr>
            </w:pPr>
            <w:r w:rsidRPr="008C3FEA">
              <w:rPr>
                <w:sz w:val="20"/>
                <w:szCs w:val="20"/>
              </w:rPr>
              <w:t>UNCDF</w:t>
            </w:r>
            <w:r w:rsidR="001A1ABC" w:rsidRPr="008C3FEA">
              <w:rPr>
                <w:sz w:val="20"/>
                <w:szCs w:val="20"/>
                <w:lang w:eastAsia="ja-JP"/>
              </w:rPr>
              <w:t>- C</w:t>
            </w:r>
            <w:r w:rsidRPr="008C3FEA">
              <w:rPr>
                <w:sz w:val="20"/>
                <w:szCs w:val="20"/>
                <w:lang w:eastAsia="ja-JP"/>
              </w:rPr>
              <w:t>ore</w:t>
            </w:r>
            <w:r w:rsidRPr="008C3FEA">
              <w:rPr>
                <w:sz w:val="20"/>
                <w:szCs w:val="20"/>
              </w:rPr>
              <w:t xml:space="preserve">: </w:t>
            </w:r>
            <w:r w:rsidRPr="008C3FEA">
              <w:rPr>
                <w:sz w:val="20"/>
                <w:szCs w:val="20"/>
                <w:lang w:eastAsia="ja-JP"/>
              </w:rPr>
              <w:t xml:space="preserve">00050456 (Award ID), </w:t>
            </w:r>
            <w:r w:rsidRPr="008C3FEA">
              <w:rPr>
                <w:sz w:val="20"/>
                <w:szCs w:val="20"/>
              </w:rPr>
              <w:t>0006235</w:t>
            </w:r>
            <w:r w:rsidRPr="008C3FEA">
              <w:rPr>
                <w:sz w:val="20"/>
                <w:szCs w:val="20"/>
                <w:lang w:eastAsia="ja-JP"/>
              </w:rPr>
              <w:t xml:space="preserve">9 (Project ID) </w:t>
            </w:r>
          </w:p>
          <w:p w:rsidR="00B45A03" w:rsidRPr="008C3FEA" w:rsidRDefault="00B45A03" w:rsidP="008C3FEA">
            <w:pPr>
              <w:shd w:val="clear" w:color="auto" w:fill="FFFFFF" w:themeFill="background1"/>
              <w:rPr>
                <w:sz w:val="20"/>
                <w:szCs w:val="20"/>
                <w:lang w:eastAsia="ja-JP"/>
              </w:rPr>
            </w:pPr>
            <w:r w:rsidRPr="008C3FEA">
              <w:rPr>
                <w:sz w:val="20"/>
                <w:szCs w:val="20"/>
                <w:lang w:eastAsia="ja-JP"/>
              </w:rPr>
              <w:t>UNCDF-GoTL: 00058333 (Award ID), 00072424 (Project ID)</w:t>
            </w:r>
          </w:p>
          <w:p w:rsidR="001A1ABC" w:rsidRPr="00B45A03" w:rsidRDefault="00B45A03" w:rsidP="008C3FEA">
            <w:pPr>
              <w:shd w:val="clear" w:color="auto" w:fill="FFFFFF" w:themeFill="background1"/>
              <w:rPr>
                <w:sz w:val="20"/>
                <w:szCs w:val="20"/>
                <w:lang w:eastAsia="ja-JP"/>
              </w:rPr>
            </w:pPr>
            <w:r w:rsidRPr="008C3FEA">
              <w:rPr>
                <w:sz w:val="20"/>
                <w:szCs w:val="20"/>
                <w:lang w:eastAsia="ja-JP"/>
              </w:rPr>
              <w:t>AusAID</w:t>
            </w:r>
            <w:r w:rsidR="001A1ABC" w:rsidRPr="008C3FEA">
              <w:rPr>
                <w:sz w:val="20"/>
                <w:szCs w:val="20"/>
                <w:lang w:eastAsia="ja-JP"/>
              </w:rPr>
              <w:t>: 00060350 (Award ID), 00075947 (Project)</w:t>
            </w:r>
          </w:p>
          <w:p w:rsidR="00B45A03" w:rsidRPr="00B45A03" w:rsidRDefault="00B45A03" w:rsidP="00B45A03">
            <w:pPr>
              <w:rPr>
                <w:sz w:val="20"/>
                <w:szCs w:val="20"/>
                <w:lang w:eastAsia="ja-JP"/>
              </w:rPr>
            </w:pPr>
          </w:p>
          <w:p w:rsidR="000134CC" w:rsidRPr="008C3FEA" w:rsidRDefault="000134CC" w:rsidP="00B65371">
            <w:pPr>
              <w:pStyle w:val="BodyText"/>
              <w:numPr>
                <w:ilvl w:val="0"/>
                <w:numId w:val="2"/>
              </w:numPr>
              <w:spacing w:before="60" w:after="60"/>
              <w:ind w:left="342"/>
              <w:jc w:val="both"/>
              <w:rPr>
                <w:rFonts w:ascii="Times New Roman" w:hAnsi="Times New Roman" w:cs="Times New Roman"/>
                <w:i/>
              </w:rPr>
            </w:pPr>
            <w:r w:rsidRPr="008C3FEA">
              <w:rPr>
                <w:rFonts w:ascii="Times New Roman" w:hAnsi="Times New Roman" w:cs="Times New Roman"/>
                <w:bCs/>
                <w:iCs/>
                <w:snapToGrid w:val="0"/>
              </w:rPr>
              <w:t>MDTF Office Atlas Number:</w:t>
            </w:r>
            <w:r w:rsidRPr="008C3FEA">
              <w:rPr>
                <w:rFonts w:ascii="Times New Roman" w:hAnsi="Times New Roman" w:cs="Times New Roman"/>
                <w:i/>
              </w:rPr>
              <w:t xml:space="preserve"> </w:t>
            </w:r>
          </w:p>
          <w:p w:rsidR="00B45A03" w:rsidRPr="00B45A03" w:rsidRDefault="00B45A03" w:rsidP="00B45A03">
            <w:pPr>
              <w:pStyle w:val="BodyText"/>
              <w:spacing w:before="60" w:after="60"/>
              <w:ind w:left="-18"/>
              <w:jc w:val="both"/>
              <w:rPr>
                <w:rFonts w:ascii="Times New Roman" w:hAnsi="Times New Roman" w:cs="Times New Roman"/>
                <w:i/>
              </w:rPr>
            </w:pPr>
            <w:r w:rsidRPr="008C3FEA">
              <w:rPr>
                <w:rFonts w:ascii="Times New Roman" w:hAnsi="Times New Roman" w:cs="Times New Roman"/>
                <w:lang w:eastAsia="ja-JP"/>
              </w:rPr>
              <w:t>00055655 (Award ID), 00067655 (Project ID)</w:t>
            </w:r>
          </w:p>
        </w:tc>
        <w:tc>
          <w:tcPr>
            <w:tcW w:w="304" w:type="dxa"/>
            <w:vMerge/>
            <w:tcBorders>
              <w:left w:val="single" w:sz="4" w:space="0" w:color="auto"/>
              <w:right w:val="single" w:sz="4" w:space="0" w:color="auto"/>
            </w:tcBorders>
          </w:tcPr>
          <w:p w:rsidR="000134CC" w:rsidRPr="00B45A03" w:rsidRDefault="000134CC" w:rsidP="000134CC">
            <w:pPr>
              <w:pStyle w:val="BodyText"/>
              <w:rPr>
                <w:rFonts w:ascii="Times New Roman" w:hAnsi="Times New Roman" w:cs="Times New Roman"/>
              </w:rPr>
            </w:pPr>
          </w:p>
        </w:tc>
        <w:tc>
          <w:tcPr>
            <w:tcW w:w="5148" w:type="dxa"/>
            <w:tcBorders>
              <w:left w:val="single" w:sz="4" w:space="0" w:color="auto"/>
              <w:bottom w:val="single" w:sz="4" w:space="0" w:color="auto"/>
              <w:right w:val="single" w:sz="4" w:space="0" w:color="auto"/>
            </w:tcBorders>
          </w:tcPr>
          <w:p w:rsidR="000134CC" w:rsidRPr="00B45A03" w:rsidRDefault="00B45A03" w:rsidP="000134CC">
            <w:pPr>
              <w:pStyle w:val="BodyText"/>
              <w:rPr>
                <w:rFonts w:ascii="Times New Roman" w:hAnsi="Times New Roman" w:cs="Times New Roman"/>
              </w:rPr>
            </w:pPr>
            <w:r w:rsidRPr="00B45A03">
              <w:rPr>
                <w:rFonts w:ascii="Times New Roman" w:hAnsi="Times New Roman" w:cs="Times New Roman"/>
                <w:bCs/>
                <w:iCs/>
                <w:snapToGrid w:val="0"/>
              </w:rPr>
              <w:t>Timor-Leste, Inclusive Finance</w:t>
            </w:r>
          </w:p>
        </w:tc>
      </w:tr>
    </w:tbl>
    <w:p w:rsidR="000134CC" w:rsidRDefault="000134CC" w:rsidP="00AB0274">
      <w:pPr>
        <w:jc w:val="center"/>
        <w:rPr>
          <w:b/>
          <w:bCs/>
          <w:caps/>
        </w:rPr>
      </w:pPr>
    </w:p>
    <w:tbl>
      <w:tblPr>
        <w:tblW w:w="10980" w:type="dxa"/>
        <w:tblInd w:w="-72" w:type="dxa"/>
        <w:tblLayout w:type="fixed"/>
        <w:tblLook w:val="01E0" w:firstRow="1" w:lastRow="1" w:firstColumn="1" w:lastColumn="1" w:noHBand="0" w:noVBand="0"/>
      </w:tblPr>
      <w:tblGrid>
        <w:gridCol w:w="5512"/>
        <w:gridCol w:w="360"/>
        <w:gridCol w:w="5108"/>
      </w:tblGrid>
      <w:tr w:rsidR="000134CC" w:rsidRPr="00947685">
        <w:trPr>
          <w:trHeight w:val="206"/>
        </w:trPr>
        <w:tc>
          <w:tcPr>
            <w:tcW w:w="5512" w:type="dxa"/>
            <w:tcBorders>
              <w:top w:val="single" w:sz="4" w:space="0" w:color="auto"/>
              <w:left w:val="single" w:sz="4" w:space="0" w:color="auto"/>
              <w:right w:val="single" w:sz="4" w:space="0" w:color="auto"/>
            </w:tcBorders>
            <w:shd w:val="clear" w:color="auto" w:fill="F3F3F3"/>
            <w:vAlign w:val="center"/>
          </w:tcPr>
          <w:p w:rsidR="000134CC" w:rsidRPr="00947685" w:rsidRDefault="000134CC" w:rsidP="000134CC">
            <w:pPr>
              <w:pStyle w:val="H1"/>
              <w:jc w:val="center"/>
              <w:rPr>
                <w:rFonts w:cs="Times New Roman"/>
              </w:rPr>
            </w:pPr>
            <w:r w:rsidRPr="00947685">
              <w:rPr>
                <w:rFonts w:cs="Times New Roman"/>
              </w:rPr>
              <w:t>Participating Organi</w:t>
            </w:r>
            <w:r>
              <w:rPr>
                <w:rFonts w:cs="Times New Roman"/>
              </w:rPr>
              <w:t>zation(s)</w:t>
            </w:r>
          </w:p>
        </w:tc>
        <w:tc>
          <w:tcPr>
            <w:tcW w:w="360" w:type="dxa"/>
            <w:vMerge w:val="restart"/>
            <w:tcBorders>
              <w:left w:val="single" w:sz="4" w:space="0" w:color="auto"/>
              <w:right w:val="single" w:sz="4" w:space="0" w:color="auto"/>
            </w:tcBorders>
            <w:vAlign w:val="center"/>
          </w:tcPr>
          <w:p w:rsidR="000134CC" w:rsidRPr="00947685" w:rsidRDefault="000134CC" w:rsidP="000134CC">
            <w:pPr>
              <w:jc w:val="center"/>
            </w:pPr>
          </w:p>
        </w:tc>
        <w:tc>
          <w:tcPr>
            <w:tcW w:w="5108" w:type="dxa"/>
            <w:tcBorders>
              <w:top w:val="single" w:sz="4" w:space="0" w:color="auto"/>
              <w:left w:val="single" w:sz="4" w:space="0" w:color="auto"/>
              <w:right w:val="single" w:sz="4" w:space="0" w:color="auto"/>
            </w:tcBorders>
            <w:shd w:val="clear" w:color="auto" w:fill="F3F3F3"/>
            <w:vAlign w:val="center"/>
          </w:tcPr>
          <w:p w:rsidR="000134CC" w:rsidRPr="00947685" w:rsidRDefault="000134CC" w:rsidP="000134CC">
            <w:pPr>
              <w:pStyle w:val="H1"/>
              <w:jc w:val="center"/>
              <w:rPr>
                <w:rFonts w:cs="Times New Roman"/>
                <w:sz w:val="20"/>
              </w:rPr>
            </w:pPr>
            <w:r>
              <w:rPr>
                <w:rFonts w:cs="Times New Roman"/>
              </w:rPr>
              <w:t>Implementing Partners</w:t>
            </w:r>
          </w:p>
        </w:tc>
      </w:tr>
      <w:tr w:rsidR="000134CC" w:rsidRPr="00947685">
        <w:trPr>
          <w:trHeight w:val="495"/>
        </w:trPr>
        <w:tc>
          <w:tcPr>
            <w:tcW w:w="5512" w:type="dxa"/>
            <w:tcBorders>
              <w:left w:val="single" w:sz="4" w:space="0" w:color="auto"/>
              <w:bottom w:val="single" w:sz="4" w:space="0" w:color="auto"/>
              <w:right w:val="single" w:sz="4" w:space="0" w:color="auto"/>
            </w:tcBorders>
          </w:tcPr>
          <w:p w:rsidR="00FE50CD" w:rsidRPr="00FE50CD" w:rsidRDefault="00FE50CD" w:rsidP="00B65371">
            <w:pPr>
              <w:pStyle w:val="BodyText"/>
              <w:numPr>
                <w:ilvl w:val="0"/>
                <w:numId w:val="2"/>
              </w:numPr>
              <w:spacing w:before="60" w:after="60"/>
              <w:ind w:left="342"/>
              <w:jc w:val="both"/>
              <w:rPr>
                <w:rFonts w:ascii="Times New Roman" w:hAnsi="Times New Roman" w:cs="Times New Roman"/>
                <w:bCs/>
                <w:iCs/>
                <w:snapToGrid w:val="0"/>
              </w:rPr>
            </w:pPr>
            <w:r>
              <w:rPr>
                <w:rFonts w:ascii="Times New Roman" w:hAnsi="Times New Roman" w:cs="Times New Roman"/>
                <w:bCs/>
                <w:iCs/>
                <w:snapToGrid w:val="0"/>
              </w:rPr>
              <w:t xml:space="preserve">United Nations </w:t>
            </w:r>
            <w:r w:rsidRPr="00FE50CD">
              <w:rPr>
                <w:rFonts w:ascii="Times New Roman" w:hAnsi="Times New Roman" w:cs="Times New Roman"/>
                <w:bCs/>
                <w:iCs/>
                <w:snapToGrid w:val="0"/>
              </w:rPr>
              <w:t>Capital Development Fund (UNCDF)</w:t>
            </w:r>
          </w:p>
          <w:p w:rsidR="00FE50CD" w:rsidRPr="00FE50CD" w:rsidRDefault="00FE50CD" w:rsidP="00B65371">
            <w:pPr>
              <w:pStyle w:val="BodyText"/>
              <w:numPr>
                <w:ilvl w:val="0"/>
                <w:numId w:val="2"/>
              </w:numPr>
              <w:spacing w:before="60" w:after="60"/>
              <w:ind w:left="342"/>
              <w:jc w:val="both"/>
              <w:rPr>
                <w:rFonts w:ascii="Times New Roman" w:hAnsi="Times New Roman" w:cs="Times New Roman"/>
                <w:bCs/>
                <w:iCs/>
                <w:snapToGrid w:val="0"/>
              </w:rPr>
            </w:pPr>
            <w:r w:rsidRPr="00FE50CD">
              <w:rPr>
                <w:rFonts w:ascii="Times New Roman" w:hAnsi="Times New Roman" w:cs="Times New Roman"/>
                <w:bCs/>
                <w:iCs/>
                <w:snapToGrid w:val="0"/>
              </w:rPr>
              <w:t>United Nations Development Programme (UNDP)</w:t>
            </w:r>
          </w:p>
          <w:p w:rsidR="00FE50CD" w:rsidRPr="00FE50CD" w:rsidRDefault="00FE50CD" w:rsidP="00B65371">
            <w:pPr>
              <w:pStyle w:val="BodyText"/>
              <w:numPr>
                <w:ilvl w:val="0"/>
                <w:numId w:val="2"/>
              </w:numPr>
              <w:spacing w:before="60" w:after="60"/>
              <w:ind w:left="342"/>
              <w:jc w:val="both"/>
              <w:rPr>
                <w:rFonts w:ascii="Times New Roman" w:hAnsi="Times New Roman" w:cs="Times New Roman"/>
                <w:bCs/>
                <w:iCs/>
                <w:snapToGrid w:val="0"/>
              </w:rPr>
            </w:pPr>
            <w:r w:rsidRPr="00FE50CD">
              <w:rPr>
                <w:rFonts w:ascii="Times New Roman" w:hAnsi="Times New Roman" w:cs="Times New Roman"/>
              </w:rPr>
              <w:t>Australian Agency for International Development (AusAID)</w:t>
            </w:r>
          </w:p>
          <w:p w:rsidR="000134CC" w:rsidRPr="00FE50CD" w:rsidRDefault="00FE50CD" w:rsidP="00B65371">
            <w:pPr>
              <w:pStyle w:val="BodyText"/>
              <w:numPr>
                <w:ilvl w:val="0"/>
                <w:numId w:val="2"/>
              </w:numPr>
              <w:spacing w:before="60" w:after="60"/>
              <w:ind w:left="342"/>
              <w:jc w:val="both"/>
              <w:rPr>
                <w:rFonts w:ascii="Times New Roman" w:hAnsi="Times New Roman" w:cs="Times New Roman"/>
                <w:bCs/>
                <w:iCs/>
                <w:snapToGrid w:val="0"/>
              </w:rPr>
            </w:pPr>
            <w:r w:rsidRPr="00FE50CD">
              <w:rPr>
                <w:rFonts w:ascii="Times New Roman" w:hAnsi="Times New Roman" w:cs="Times New Roman"/>
                <w:bCs/>
                <w:iCs/>
                <w:snapToGrid w:val="0"/>
                <w:color w:val="000000"/>
                <w:szCs w:val="28"/>
              </w:rPr>
              <w:t>Ministry of Economy and Development</w:t>
            </w:r>
            <w:r w:rsidR="00D530DE">
              <w:rPr>
                <w:rFonts w:ascii="Times New Roman" w:hAnsi="Times New Roman" w:cs="Times New Roman"/>
                <w:bCs/>
                <w:iCs/>
                <w:snapToGrid w:val="0"/>
                <w:color w:val="000000"/>
                <w:szCs w:val="28"/>
              </w:rPr>
              <w:t xml:space="preserve"> (MoED)</w:t>
            </w:r>
            <w:r w:rsidR="005E36FB">
              <w:rPr>
                <w:rFonts w:ascii="Times New Roman" w:hAnsi="Times New Roman" w:cs="Times New Roman"/>
                <w:bCs/>
                <w:iCs/>
                <w:snapToGrid w:val="0"/>
                <w:color w:val="000000"/>
                <w:szCs w:val="28"/>
              </w:rPr>
              <w:t xml:space="preserve"> / Government of Timor-Leste</w:t>
            </w:r>
          </w:p>
          <w:p w:rsidR="000134CC" w:rsidRPr="0023201B" w:rsidRDefault="000134CC" w:rsidP="000134CC">
            <w:pPr>
              <w:pStyle w:val="BodyText"/>
              <w:rPr>
                <w:rFonts w:ascii="Times New Roman" w:hAnsi="Times New Roman"/>
                <w:i/>
                <w:sz w:val="24"/>
              </w:rPr>
            </w:pPr>
          </w:p>
        </w:tc>
        <w:tc>
          <w:tcPr>
            <w:tcW w:w="360" w:type="dxa"/>
            <w:vMerge/>
            <w:tcBorders>
              <w:left w:val="single" w:sz="4" w:space="0" w:color="auto"/>
              <w:right w:val="single" w:sz="4" w:space="0" w:color="auto"/>
            </w:tcBorders>
          </w:tcPr>
          <w:p w:rsidR="000134CC" w:rsidRPr="00947685" w:rsidRDefault="000134CC" w:rsidP="000134CC">
            <w:pPr>
              <w:pStyle w:val="BodyText"/>
              <w:rPr>
                <w:rFonts w:ascii="Times New Roman" w:hAnsi="Times New Roman"/>
              </w:rPr>
            </w:pPr>
          </w:p>
        </w:tc>
        <w:tc>
          <w:tcPr>
            <w:tcW w:w="5108" w:type="dxa"/>
            <w:tcBorders>
              <w:left w:val="single" w:sz="4" w:space="0" w:color="auto"/>
              <w:bottom w:val="single" w:sz="4" w:space="0" w:color="auto"/>
              <w:right w:val="single" w:sz="4" w:space="0" w:color="auto"/>
            </w:tcBorders>
          </w:tcPr>
          <w:p w:rsidR="00B6073C" w:rsidRPr="00FE50CD" w:rsidRDefault="00B6073C" w:rsidP="00B65371">
            <w:pPr>
              <w:pStyle w:val="BodyText"/>
              <w:numPr>
                <w:ilvl w:val="0"/>
                <w:numId w:val="2"/>
              </w:numPr>
              <w:spacing w:before="60" w:after="60"/>
              <w:ind w:left="342"/>
              <w:jc w:val="both"/>
              <w:rPr>
                <w:rFonts w:ascii="Times New Roman" w:hAnsi="Times New Roman" w:cs="Times New Roman"/>
                <w:bCs/>
                <w:iCs/>
                <w:snapToGrid w:val="0"/>
              </w:rPr>
            </w:pPr>
            <w:r>
              <w:rPr>
                <w:rFonts w:ascii="Times New Roman" w:hAnsi="Times New Roman" w:cs="Times New Roman"/>
                <w:bCs/>
                <w:iCs/>
                <w:snapToGrid w:val="0"/>
              </w:rPr>
              <w:t xml:space="preserve">United Nations </w:t>
            </w:r>
            <w:r w:rsidRPr="00FE50CD">
              <w:rPr>
                <w:rFonts w:ascii="Times New Roman" w:hAnsi="Times New Roman" w:cs="Times New Roman"/>
                <w:bCs/>
                <w:iCs/>
                <w:snapToGrid w:val="0"/>
              </w:rPr>
              <w:t>Capital Development Fund (UNCDF)</w:t>
            </w:r>
          </w:p>
          <w:p w:rsidR="00B6073C" w:rsidRPr="00FE50CD" w:rsidRDefault="00B6073C" w:rsidP="00B65371">
            <w:pPr>
              <w:pStyle w:val="BodyText"/>
              <w:numPr>
                <w:ilvl w:val="0"/>
                <w:numId w:val="2"/>
              </w:numPr>
              <w:spacing w:before="60" w:after="60"/>
              <w:ind w:left="342"/>
              <w:jc w:val="both"/>
              <w:rPr>
                <w:rFonts w:ascii="Times New Roman" w:hAnsi="Times New Roman" w:cs="Times New Roman"/>
                <w:bCs/>
                <w:iCs/>
                <w:snapToGrid w:val="0"/>
              </w:rPr>
            </w:pPr>
            <w:r w:rsidRPr="00FE50CD">
              <w:rPr>
                <w:rFonts w:ascii="Times New Roman" w:hAnsi="Times New Roman" w:cs="Times New Roman"/>
                <w:bCs/>
                <w:iCs/>
                <w:snapToGrid w:val="0"/>
              </w:rPr>
              <w:t>United Nations Development Programme (UNDP)</w:t>
            </w:r>
          </w:p>
          <w:p w:rsidR="00B6073C" w:rsidRPr="009E3952" w:rsidRDefault="00B6073C" w:rsidP="00863C13">
            <w:pPr>
              <w:pStyle w:val="BodyText"/>
              <w:spacing w:before="60" w:after="60"/>
              <w:jc w:val="both"/>
              <w:rPr>
                <w:rFonts w:ascii="Times New Roman" w:hAnsi="Times New Roman"/>
                <w:bCs/>
                <w:iCs/>
                <w:snapToGrid w:val="0"/>
                <w:color w:val="000000"/>
                <w:szCs w:val="28"/>
              </w:rPr>
            </w:pPr>
          </w:p>
        </w:tc>
      </w:tr>
    </w:tbl>
    <w:p w:rsidR="000134CC" w:rsidRDefault="000134CC" w:rsidP="00AB0274">
      <w:pPr>
        <w:jc w:val="center"/>
        <w:rPr>
          <w:b/>
          <w:bCs/>
          <w:caps/>
        </w:rPr>
      </w:pPr>
    </w:p>
    <w:tbl>
      <w:tblPr>
        <w:tblW w:w="10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2531"/>
        <w:gridCol w:w="360"/>
        <w:gridCol w:w="2071"/>
        <w:gridCol w:w="3048"/>
      </w:tblGrid>
      <w:tr w:rsidR="000134CC" w:rsidRPr="0077491A">
        <w:trPr>
          <w:trHeight w:val="440"/>
        </w:trPr>
        <w:tc>
          <w:tcPr>
            <w:tcW w:w="5501" w:type="dxa"/>
            <w:gridSpan w:val="2"/>
            <w:tcBorders>
              <w:top w:val="single" w:sz="4" w:space="0" w:color="auto"/>
              <w:left w:val="single" w:sz="4" w:space="0" w:color="auto"/>
              <w:bottom w:val="nil"/>
              <w:right w:val="single" w:sz="4" w:space="0" w:color="auto"/>
            </w:tcBorders>
            <w:shd w:val="clear" w:color="auto" w:fill="F2F2F2"/>
            <w:vAlign w:val="center"/>
          </w:tcPr>
          <w:p w:rsidR="000134CC" w:rsidRPr="0077491A" w:rsidRDefault="000134CC" w:rsidP="000134CC">
            <w:pPr>
              <w:pStyle w:val="H1"/>
              <w:jc w:val="center"/>
              <w:rPr>
                <w:rFonts w:cs="Times New Roman"/>
              </w:rPr>
            </w:pPr>
            <w:r w:rsidRPr="0077491A">
              <w:rPr>
                <w:rFonts w:cs="Times New Roman"/>
              </w:rPr>
              <w:t>Programme/Project Cost (US$)</w:t>
            </w:r>
          </w:p>
        </w:tc>
        <w:tc>
          <w:tcPr>
            <w:tcW w:w="360" w:type="dxa"/>
            <w:tcBorders>
              <w:top w:val="nil"/>
              <w:left w:val="single" w:sz="4" w:space="0" w:color="auto"/>
              <w:bottom w:val="nil"/>
              <w:right w:val="single" w:sz="4" w:space="0" w:color="auto"/>
            </w:tcBorders>
            <w:shd w:val="clear" w:color="auto" w:fill="auto"/>
            <w:vAlign w:val="center"/>
          </w:tcPr>
          <w:p w:rsidR="000134CC" w:rsidRPr="0077491A" w:rsidRDefault="000134CC" w:rsidP="000134CC">
            <w:pPr>
              <w:pStyle w:val="H1"/>
              <w:jc w:val="center"/>
              <w:rPr>
                <w:rFonts w:cs="Times New Roman"/>
              </w:rPr>
            </w:pPr>
          </w:p>
        </w:tc>
        <w:tc>
          <w:tcPr>
            <w:tcW w:w="5119" w:type="dxa"/>
            <w:gridSpan w:val="2"/>
            <w:tcBorders>
              <w:top w:val="single" w:sz="4" w:space="0" w:color="auto"/>
              <w:left w:val="single" w:sz="4" w:space="0" w:color="auto"/>
              <w:bottom w:val="nil"/>
              <w:right w:val="single" w:sz="4" w:space="0" w:color="auto"/>
            </w:tcBorders>
            <w:shd w:val="clear" w:color="auto" w:fill="F2F2F2"/>
            <w:vAlign w:val="center"/>
          </w:tcPr>
          <w:p w:rsidR="000134CC" w:rsidRPr="0077491A" w:rsidRDefault="000134CC" w:rsidP="000134CC">
            <w:pPr>
              <w:pStyle w:val="H1"/>
              <w:jc w:val="center"/>
              <w:rPr>
                <w:rFonts w:cs="Times New Roman"/>
              </w:rPr>
            </w:pPr>
            <w:r w:rsidRPr="0077491A">
              <w:rPr>
                <w:rFonts w:cs="Times New Roman"/>
              </w:rPr>
              <w:t>Programme Duration (months)</w:t>
            </w:r>
          </w:p>
        </w:tc>
      </w:tr>
      <w:tr w:rsidR="000134CC" w:rsidRPr="0077491A">
        <w:trPr>
          <w:trHeight w:val="215"/>
        </w:trPr>
        <w:tc>
          <w:tcPr>
            <w:tcW w:w="2970" w:type="dxa"/>
            <w:tcBorders>
              <w:top w:val="nil"/>
              <w:left w:val="single" w:sz="4" w:space="0" w:color="auto"/>
              <w:bottom w:val="nil"/>
              <w:right w:val="nil"/>
            </w:tcBorders>
            <w:shd w:val="clear" w:color="auto" w:fill="auto"/>
            <w:vAlign w:val="center"/>
          </w:tcPr>
          <w:p w:rsidR="000134CC" w:rsidRPr="00377757" w:rsidRDefault="000134CC" w:rsidP="000134CC">
            <w:pPr>
              <w:pStyle w:val="H2"/>
              <w:spacing w:before="120"/>
              <w:rPr>
                <w:rFonts w:cs="Times New Roman"/>
                <w:b w:val="0"/>
              </w:rPr>
            </w:pPr>
            <w:r w:rsidRPr="00377757">
              <w:rPr>
                <w:rFonts w:cs="Times New Roman"/>
                <w:b w:val="0"/>
              </w:rPr>
              <w:t xml:space="preserve">MDTF Fund Contribution:  </w:t>
            </w:r>
          </w:p>
          <w:p w:rsidR="000134CC" w:rsidRPr="00377757" w:rsidRDefault="000134CC" w:rsidP="00B65371">
            <w:pPr>
              <w:pStyle w:val="H2"/>
              <w:numPr>
                <w:ilvl w:val="0"/>
                <w:numId w:val="4"/>
              </w:numPr>
              <w:spacing w:after="120"/>
              <w:ind w:left="162" w:hanging="180"/>
              <w:rPr>
                <w:rFonts w:cs="Times New Roman"/>
                <w:i/>
                <w:sz w:val="18"/>
                <w:szCs w:val="18"/>
              </w:rPr>
            </w:pPr>
            <w:r w:rsidRPr="00377757">
              <w:rPr>
                <w:rFonts w:cs="Times New Roman"/>
                <w:b w:val="0"/>
                <w:i/>
                <w:sz w:val="18"/>
                <w:szCs w:val="18"/>
              </w:rPr>
              <w:t>by Agency (if applicable)</w:t>
            </w:r>
          </w:p>
        </w:tc>
        <w:tc>
          <w:tcPr>
            <w:tcW w:w="2531" w:type="dxa"/>
            <w:tcBorders>
              <w:top w:val="nil"/>
              <w:left w:val="nil"/>
              <w:bottom w:val="nil"/>
              <w:right w:val="single" w:sz="4" w:space="0" w:color="auto"/>
            </w:tcBorders>
            <w:shd w:val="clear" w:color="auto" w:fill="auto"/>
          </w:tcPr>
          <w:p w:rsidR="000134CC" w:rsidRPr="00377757" w:rsidRDefault="000134CC" w:rsidP="001A1ABC">
            <w:pPr>
              <w:pStyle w:val="BodyText"/>
              <w:spacing w:before="120" w:after="120"/>
              <w:rPr>
                <w:rFonts w:ascii="Times New Roman" w:hAnsi="Times New Roman"/>
                <w:color w:val="000000"/>
              </w:rPr>
            </w:pPr>
          </w:p>
        </w:tc>
        <w:tc>
          <w:tcPr>
            <w:tcW w:w="360" w:type="dxa"/>
            <w:tcBorders>
              <w:top w:val="nil"/>
              <w:left w:val="single" w:sz="4" w:space="0" w:color="auto"/>
              <w:bottom w:val="nil"/>
              <w:right w:val="single" w:sz="4" w:space="0" w:color="auto"/>
            </w:tcBorders>
            <w:shd w:val="clear" w:color="auto" w:fill="auto"/>
          </w:tcPr>
          <w:p w:rsidR="000134CC" w:rsidRPr="0077491A" w:rsidRDefault="000134CC" w:rsidP="000134CC">
            <w:pPr>
              <w:pStyle w:val="BodyText"/>
              <w:spacing w:before="120" w:after="120"/>
              <w:rPr>
                <w:rFonts w:ascii="Times New Roman" w:hAnsi="Times New Roman"/>
              </w:rPr>
            </w:pPr>
          </w:p>
        </w:tc>
        <w:tc>
          <w:tcPr>
            <w:tcW w:w="2071" w:type="dxa"/>
            <w:tcBorders>
              <w:top w:val="nil"/>
              <w:left w:val="single" w:sz="4" w:space="0" w:color="auto"/>
              <w:bottom w:val="nil"/>
              <w:right w:val="nil"/>
            </w:tcBorders>
            <w:shd w:val="clear" w:color="auto" w:fill="auto"/>
            <w:vAlign w:val="center"/>
          </w:tcPr>
          <w:p w:rsidR="000134CC" w:rsidRPr="0077491A" w:rsidRDefault="000134CC" w:rsidP="000134CC">
            <w:pPr>
              <w:pStyle w:val="BodyText"/>
              <w:rPr>
                <w:rFonts w:ascii="Times New Roman" w:hAnsi="Times New Roman"/>
              </w:rPr>
            </w:pPr>
            <w:r w:rsidRPr="0077491A">
              <w:rPr>
                <w:rFonts w:ascii="Times New Roman" w:hAnsi="Times New Roman"/>
              </w:rPr>
              <w:t>Overall Duration</w:t>
            </w:r>
          </w:p>
        </w:tc>
        <w:tc>
          <w:tcPr>
            <w:tcW w:w="3048" w:type="dxa"/>
            <w:tcBorders>
              <w:top w:val="nil"/>
              <w:left w:val="nil"/>
              <w:bottom w:val="nil"/>
              <w:right w:val="single" w:sz="4" w:space="0" w:color="auto"/>
            </w:tcBorders>
            <w:shd w:val="clear" w:color="auto" w:fill="auto"/>
          </w:tcPr>
          <w:p w:rsidR="00B45A03" w:rsidRPr="00863C13" w:rsidRDefault="00B45A03" w:rsidP="00863C13">
            <w:pPr>
              <w:pStyle w:val="BodyText"/>
              <w:spacing w:before="120" w:after="120"/>
              <w:rPr>
                <w:rFonts w:ascii="Times New Roman" w:hAnsi="Times New Roman"/>
              </w:rPr>
            </w:pPr>
            <w:r w:rsidRPr="00863C13">
              <w:rPr>
                <w:rFonts w:ascii="Times New Roman" w:hAnsi="Times New Roman"/>
              </w:rPr>
              <w:t>2008 - 2012</w:t>
            </w:r>
          </w:p>
          <w:p w:rsidR="000134CC" w:rsidRPr="0077491A" w:rsidRDefault="000134CC" w:rsidP="000134CC">
            <w:pPr>
              <w:pStyle w:val="BodyText"/>
              <w:widowControl w:val="0"/>
              <w:spacing w:before="120" w:after="120"/>
              <w:rPr>
                <w:rFonts w:ascii="Times New Roman" w:hAnsi="Times New Roman"/>
              </w:rPr>
            </w:pPr>
          </w:p>
        </w:tc>
      </w:tr>
      <w:tr w:rsidR="000134CC" w:rsidRPr="0077491A">
        <w:trPr>
          <w:trHeight w:val="350"/>
        </w:trPr>
        <w:tc>
          <w:tcPr>
            <w:tcW w:w="2970" w:type="dxa"/>
            <w:tcBorders>
              <w:top w:val="nil"/>
              <w:left w:val="single" w:sz="4" w:space="0" w:color="auto"/>
              <w:bottom w:val="nil"/>
              <w:right w:val="nil"/>
            </w:tcBorders>
            <w:shd w:val="clear" w:color="auto" w:fill="auto"/>
            <w:vAlign w:val="center"/>
          </w:tcPr>
          <w:p w:rsidR="000134CC" w:rsidRPr="00377757" w:rsidRDefault="000134CC" w:rsidP="000134CC">
            <w:pPr>
              <w:pStyle w:val="H2"/>
              <w:spacing w:before="120"/>
              <w:rPr>
                <w:rFonts w:cs="Times New Roman"/>
                <w:b w:val="0"/>
              </w:rPr>
            </w:pPr>
            <w:r w:rsidRPr="00377757">
              <w:rPr>
                <w:rFonts w:cs="Times New Roman"/>
                <w:b w:val="0"/>
              </w:rPr>
              <w:t>Agency Contribution</w:t>
            </w:r>
          </w:p>
          <w:p w:rsidR="000134CC" w:rsidRPr="00377757" w:rsidRDefault="000134CC" w:rsidP="00B65371">
            <w:pPr>
              <w:pStyle w:val="H2"/>
              <w:numPr>
                <w:ilvl w:val="0"/>
                <w:numId w:val="3"/>
              </w:numPr>
              <w:spacing w:after="120"/>
              <w:ind w:left="162" w:hanging="162"/>
              <w:rPr>
                <w:rFonts w:cs="Times New Roman"/>
              </w:rPr>
            </w:pPr>
            <w:r w:rsidRPr="00377757">
              <w:rPr>
                <w:rFonts w:cs="Times New Roman"/>
                <w:b w:val="0"/>
                <w:i/>
                <w:sz w:val="18"/>
                <w:szCs w:val="18"/>
              </w:rPr>
              <w:t>by Agency (if applicable)</w:t>
            </w:r>
          </w:p>
        </w:tc>
        <w:tc>
          <w:tcPr>
            <w:tcW w:w="2531" w:type="dxa"/>
            <w:tcBorders>
              <w:top w:val="nil"/>
              <w:left w:val="nil"/>
              <w:bottom w:val="nil"/>
              <w:right w:val="single" w:sz="4" w:space="0" w:color="auto"/>
            </w:tcBorders>
            <w:shd w:val="clear" w:color="auto" w:fill="auto"/>
          </w:tcPr>
          <w:p w:rsidR="005E36FB" w:rsidRPr="00377757" w:rsidRDefault="005E36FB" w:rsidP="00B45A03">
            <w:pPr>
              <w:rPr>
                <w:sz w:val="20"/>
                <w:szCs w:val="20"/>
                <w:lang w:eastAsia="ja-JP"/>
              </w:rPr>
            </w:pPr>
          </w:p>
          <w:p w:rsidR="00B45A03" w:rsidRPr="00377757" w:rsidRDefault="00B45A03" w:rsidP="00B45A03">
            <w:pPr>
              <w:rPr>
                <w:sz w:val="20"/>
                <w:szCs w:val="20"/>
                <w:lang w:eastAsia="ja-JP"/>
              </w:rPr>
            </w:pPr>
            <w:r w:rsidRPr="00377757">
              <w:rPr>
                <w:sz w:val="20"/>
                <w:szCs w:val="20"/>
                <w:lang w:eastAsia="ja-JP"/>
              </w:rPr>
              <w:t>UNCDF: US$ 1,</w:t>
            </w:r>
            <w:r w:rsidR="00377757">
              <w:rPr>
                <w:sz w:val="20"/>
                <w:szCs w:val="20"/>
                <w:lang w:eastAsia="ja-JP"/>
              </w:rPr>
              <w:t>55</w:t>
            </w:r>
            <w:r w:rsidRPr="00377757">
              <w:rPr>
                <w:sz w:val="20"/>
                <w:szCs w:val="20"/>
                <w:lang w:eastAsia="ja-JP"/>
              </w:rPr>
              <w:t xml:space="preserve">0,000                     </w:t>
            </w:r>
          </w:p>
          <w:p w:rsidR="000134CC" w:rsidRPr="00377757" w:rsidRDefault="00B45A03" w:rsidP="00B45A03">
            <w:pPr>
              <w:pStyle w:val="BodyText"/>
              <w:spacing w:before="120" w:after="120"/>
              <w:rPr>
                <w:rFonts w:ascii="Times New Roman" w:hAnsi="Times New Roman"/>
                <w:color w:val="000000"/>
              </w:rPr>
            </w:pPr>
            <w:r w:rsidRPr="00377757">
              <w:rPr>
                <w:rFonts w:ascii="Times New Roman" w:hAnsi="Times New Roman" w:cs="Times New Roman"/>
                <w:lang w:eastAsia="ja-JP"/>
              </w:rPr>
              <w:t>UNDP: US$ 500,000</w:t>
            </w:r>
            <w:r w:rsidRPr="00377757">
              <w:rPr>
                <w:szCs w:val="24"/>
                <w:lang w:eastAsia="ja-JP"/>
              </w:rPr>
              <w:t xml:space="preserve">                            </w:t>
            </w:r>
          </w:p>
        </w:tc>
        <w:tc>
          <w:tcPr>
            <w:tcW w:w="360" w:type="dxa"/>
            <w:tcBorders>
              <w:top w:val="nil"/>
              <w:left w:val="single" w:sz="4" w:space="0" w:color="auto"/>
              <w:bottom w:val="nil"/>
              <w:right w:val="single" w:sz="4" w:space="0" w:color="auto"/>
            </w:tcBorders>
            <w:shd w:val="clear" w:color="auto" w:fill="auto"/>
          </w:tcPr>
          <w:p w:rsidR="000134CC" w:rsidRPr="0077491A" w:rsidRDefault="000134CC" w:rsidP="000134CC">
            <w:pPr>
              <w:pStyle w:val="BodyText"/>
              <w:spacing w:before="120" w:after="120"/>
              <w:rPr>
                <w:rFonts w:ascii="Times New Roman" w:hAnsi="Times New Roman"/>
              </w:rPr>
            </w:pPr>
          </w:p>
        </w:tc>
        <w:tc>
          <w:tcPr>
            <w:tcW w:w="2071" w:type="dxa"/>
            <w:tcBorders>
              <w:top w:val="nil"/>
              <w:left w:val="single" w:sz="4" w:space="0" w:color="auto"/>
              <w:bottom w:val="nil"/>
              <w:right w:val="nil"/>
            </w:tcBorders>
            <w:shd w:val="clear" w:color="auto" w:fill="auto"/>
            <w:vAlign w:val="center"/>
          </w:tcPr>
          <w:p w:rsidR="000134CC" w:rsidRPr="0077491A" w:rsidRDefault="000134CC" w:rsidP="000134CC">
            <w:pPr>
              <w:pStyle w:val="BodyText"/>
              <w:rPr>
                <w:rFonts w:ascii="Times New Roman" w:hAnsi="Times New Roman"/>
              </w:rPr>
            </w:pPr>
            <w:r w:rsidRPr="0077491A">
              <w:rPr>
                <w:rFonts w:ascii="Times New Roman" w:hAnsi="Times New Roman"/>
              </w:rPr>
              <w:t>Start Date</w:t>
            </w:r>
            <w:r w:rsidRPr="0077491A">
              <w:rPr>
                <w:rStyle w:val="FootnoteReference"/>
                <w:rFonts w:ascii="Times New Roman" w:hAnsi="Times New Roman"/>
              </w:rPr>
              <w:footnoteReference w:id="2"/>
            </w:r>
          </w:p>
        </w:tc>
        <w:tc>
          <w:tcPr>
            <w:tcW w:w="3048" w:type="dxa"/>
            <w:tcBorders>
              <w:top w:val="nil"/>
              <w:left w:val="nil"/>
              <w:bottom w:val="nil"/>
              <w:right w:val="single" w:sz="4" w:space="0" w:color="auto"/>
            </w:tcBorders>
            <w:shd w:val="clear" w:color="auto" w:fill="auto"/>
          </w:tcPr>
          <w:p w:rsidR="000134CC" w:rsidRPr="0077491A" w:rsidRDefault="001A1ABC" w:rsidP="000134CC">
            <w:pPr>
              <w:pStyle w:val="BodyText"/>
              <w:spacing w:before="120" w:after="120"/>
              <w:rPr>
                <w:rFonts w:ascii="Times New Roman" w:hAnsi="Times New Roman"/>
              </w:rPr>
            </w:pPr>
            <w:r w:rsidRPr="0077491A">
              <w:rPr>
                <w:rFonts w:ascii="Times New Roman" w:hAnsi="Times New Roman"/>
              </w:rPr>
              <w:t>27 August 2010</w:t>
            </w:r>
          </w:p>
        </w:tc>
      </w:tr>
      <w:tr w:rsidR="000134CC" w:rsidRPr="0077491A">
        <w:trPr>
          <w:trHeight w:val="350"/>
        </w:trPr>
        <w:tc>
          <w:tcPr>
            <w:tcW w:w="2970" w:type="dxa"/>
            <w:tcBorders>
              <w:top w:val="nil"/>
              <w:left w:val="single" w:sz="4" w:space="0" w:color="auto"/>
              <w:bottom w:val="nil"/>
              <w:right w:val="nil"/>
            </w:tcBorders>
            <w:shd w:val="clear" w:color="auto" w:fill="D9D9D9"/>
            <w:vAlign w:val="center"/>
          </w:tcPr>
          <w:p w:rsidR="000134CC" w:rsidRPr="00377757" w:rsidRDefault="000134CC" w:rsidP="000134CC">
            <w:pPr>
              <w:pStyle w:val="H2"/>
              <w:rPr>
                <w:rFonts w:cs="Times New Roman"/>
                <w:b w:val="0"/>
              </w:rPr>
            </w:pPr>
            <w:r w:rsidRPr="00377757">
              <w:rPr>
                <w:rFonts w:cs="Times New Roman"/>
                <w:b w:val="0"/>
              </w:rPr>
              <w:t>Government Contribution</w:t>
            </w:r>
          </w:p>
          <w:p w:rsidR="000134CC" w:rsidRPr="00377757" w:rsidRDefault="000134CC" w:rsidP="000134CC">
            <w:pPr>
              <w:pStyle w:val="H2"/>
              <w:rPr>
                <w:rFonts w:cs="Times New Roman"/>
              </w:rPr>
            </w:pPr>
            <w:r w:rsidRPr="00377757">
              <w:rPr>
                <w:rFonts w:cs="Times New Roman"/>
                <w:b w:val="0"/>
                <w:i/>
                <w:sz w:val="18"/>
                <w:szCs w:val="18"/>
              </w:rPr>
              <w:t>(if applicable)</w:t>
            </w:r>
          </w:p>
        </w:tc>
        <w:tc>
          <w:tcPr>
            <w:tcW w:w="2531" w:type="dxa"/>
            <w:tcBorders>
              <w:top w:val="nil"/>
              <w:left w:val="nil"/>
              <w:bottom w:val="nil"/>
              <w:right w:val="single" w:sz="4" w:space="0" w:color="auto"/>
            </w:tcBorders>
            <w:shd w:val="clear" w:color="auto" w:fill="D9D9D9"/>
          </w:tcPr>
          <w:p w:rsidR="000134CC" w:rsidRPr="00377757" w:rsidRDefault="00E25F3E" w:rsidP="000134CC">
            <w:pPr>
              <w:pStyle w:val="BodyText"/>
              <w:rPr>
                <w:rFonts w:ascii="Times New Roman" w:hAnsi="Times New Roman"/>
                <w:color w:val="000000"/>
              </w:rPr>
            </w:pPr>
            <w:r w:rsidRPr="00377757">
              <w:rPr>
                <w:rFonts w:ascii="Times New Roman" w:hAnsi="Times New Roman"/>
                <w:color w:val="000000"/>
              </w:rPr>
              <w:t>GoTL:</w:t>
            </w:r>
          </w:p>
          <w:p w:rsidR="00E25F3E" w:rsidRPr="00377757" w:rsidRDefault="00E25F3E" w:rsidP="000134CC">
            <w:pPr>
              <w:pStyle w:val="BodyText"/>
              <w:rPr>
                <w:rFonts w:ascii="Times New Roman" w:hAnsi="Times New Roman"/>
                <w:color w:val="000000"/>
              </w:rPr>
            </w:pPr>
            <w:r w:rsidRPr="00377757">
              <w:rPr>
                <w:rFonts w:ascii="Times New Roman" w:hAnsi="Times New Roman"/>
                <w:color w:val="000000"/>
              </w:rPr>
              <w:t>US$</w:t>
            </w:r>
            <w:r w:rsidR="00AB7A0B" w:rsidRPr="00377757">
              <w:rPr>
                <w:rFonts w:ascii="Times New Roman" w:hAnsi="Times New Roman"/>
                <w:color w:val="000000"/>
              </w:rPr>
              <w:t>1,0</w:t>
            </w:r>
            <w:r w:rsidR="003F3B62" w:rsidRPr="00377757">
              <w:rPr>
                <w:rFonts w:ascii="Times New Roman" w:hAnsi="Times New Roman"/>
                <w:color w:val="000000"/>
              </w:rPr>
              <w:t>00,000</w:t>
            </w:r>
          </w:p>
        </w:tc>
        <w:tc>
          <w:tcPr>
            <w:tcW w:w="360" w:type="dxa"/>
            <w:tcBorders>
              <w:top w:val="nil"/>
              <w:left w:val="single" w:sz="4" w:space="0" w:color="auto"/>
              <w:bottom w:val="nil"/>
              <w:right w:val="single" w:sz="4" w:space="0" w:color="auto"/>
            </w:tcBorders>
            <w:shd w:val="clear" w:color="auto" w:fill="auto"/>
          </w:tcPr>
          <w:p w:rsidR="000134CC" w:rsidRPr="0005346B" w:rsidRDefault="000134CC" w:rsidP="000134CC">
            <w:pPr>
              <w:pStyle w:val="BodyText"/>
              <w:rPr>
                <w:rFonts w:ascii="Times New Roman" w:hAnsi="Times New Roman"/>
              </w:rPr>
            </w:pPr>
          </w:p>
        </w:tc>
        <w:tc>
          <w:tcPr>
            <w:tcW w:w="2071" w:type="dxa"/>
            <w:tcBorders>
              <w:top w:val="nil"/>
              <w:left w:val="single" w:sz="4" w:space="0" w:color="auto"/>
              <w:bottom w:val="nil"/>
              <w:right w:val="nil"/>
            </w:tcBorders>
            <w:shd w:val="clear" w:color="auto" w:fill="auto"/>
            <w:vAlign w:val="center"/>
          </w:tcPr>
          <w:p w:rsidR="000134CC" w:rsidRPr="0005346B" w:rsidRDefault="003C4D74" w:rsidP="000134CC">
            <w:pPr>
              <w:pStyle w:val="BodyText"/>
              <w:rPr>
                <w:rFonts w:ascii="Times New Roman" w:hAnsi="Times New Roman"/>
              </w:rPr>
            </w:pPr>
            <w:r w:rsidRPr="0005346B">
              <w:rPr>
                <w:rFonts w:ascii="Times New Roman" w:hAnsi="Times New Roman"/>
              </w:rPr>
              <w:t xml:space="preserve">End Date or </w:t>
            </w:r>
            <w:r w:rsidR="000134CC" w:rsidRPr="0005346B">
              <w:rPr>
                <w:rFonts w:ascii="Times New Roman" w:hAnsi="Times New Roman"/>
              </w:rPr>
              <w:t xml:space="preserve">Revised End Date, </w:t>
            </w:r>
          </w:p>
          <w:p w:rsidR="000134CC" w:rsidRPr="0005346B" w:rsidRDefault="000134CC" w:rsidP="000134CC">
            <w:pPr>
              <w:pStyle w:val="BodyText"/>
              <w:rPr>
                <w:rFonts w:ascii="Times New Roman" w:hAnsi="Times New Roman"/>
              </w:rPr>
            </w:pPr>
            <w:r w:rsidRPr="0005346B">
              <w:rPr>
                <w:rFonts w:ascii="Times New Roman" w:hAnsi="Times New Roman"/>
                <w:bCs/>
                <w:i/>
                <w:iCs/>
                <w:snapToGrid w:val="0"/>
                <w:sz w:val="18"/>
                <w:szCs w:val="18"/>
              </w:rPr>
              <w:t>(if applicable)</w:t>
            </w:r>
          </w:p>
        </w:tc>
        <w:tc>
          <w:tcPr>
            <w:tcW w:w="3048" w:type="dxa"/>
            <w:tcBorders>
              <w:top w:val="nil"/>
              <w:left w:val="nil"/>
              <w:bottom w:val="nil"/>
              <w:right w:val="single" w:sz="4" w:space="0" w:color="auto"/>
            </w:tcBorders>
            <w:shd w:val="clear" w:color="auto" w:fill="auto"/>
          </w:tcPr>
          <w:p w:rsidR="000134CC" w:rsidRPr="0077491A" w:rsidRDefault="003F3B62" w:rsidP="000134CC">
            <w:pPr>
              <w:pStyle w:val="BodyText"/>
              <w:rPr>
                <w:rFonts w:ascii="Times New Roman" w:hAnsi="Times New Roman"/>
              </w:rPr>
            </w:pPr>
            <w:r w:rsidRPr="0005346B">
              <w:rPr>
                <w:rFonts w:ascii="Times New Roman" w:hAnsi="Times New Roman"/>
              </w:rPr>
              <w:t>December 31</w:t>
            </w:r>
            <w:r w:rsidRPr="0005346B">
              <w:rPr>
                <w:rFonts w:ascii="Times New Roman" w:hAnsi="Times New Roman"/>
                <w:vertAlign w:val="superscript"/>
              </w:rPr>
              <w:t>st</w:t>
            </w:r>
            <w:r w:rsidRPr="0005346B">
              <w:rPr>
                <w:rFonts w:ascii="Times New Roman" w:hAnsi="Times New Roman"/>
              </w:rPr>
              <w:t xml:space="preserve"> 2012</w:t>
            </w:r>
          </w:p>
        </w:tc>
      </w:tr>
      <w:tr w:rsidR="000134CC" w:rsidRPr="0077491A">
        <w:trPr>
          <w:trHeight w:val="350"/>
        </w:trPr>
        <w:tc>
          <w:tcPr>
            <w:tcW w:w="2970" w:type="dxa"/>
            <w:tcBorders>
              <w:top w:val="nil"/>
              <w:left w:val="single" w:sz="4" w:space="0" w:color="auto"/>
              <w:bottom w:val="nil"/>
              <w:right w:val="nil"/>
            </w:tcBorders>
            <w:shd w:val="clear" w:color="auto" w:fill="D9D9D9"/>
            <w:vAlign w:val="center"/>
          </w:tcPr>
          <w:p w:rsidR="000134CC" w:rsidRPr="00377757" w:rsidRDefault="000134CC" w:rsidP="000134CC">
            <w:pPr>
              <w:pStyle w:val="H2"/>
              <w:rPr>
                <w:rFonts w:cs="Times New Roman"/>
                <w:b w:val="0"/>
              </w:rPr>
            </w:pPr>
            <w:r w:rsidRPr="00377757">
              <w:rPr>
                <w:rFonts w:cs="Times New Roman"/>
                <w:b w:val="0"/>
              </w:rPr>
              <w:t>Other Contribution (donor)</w:t>
            </w:r>
            <w:r w:rsidR="00614FFD" w:rsidRPr="00377757">
              <w:rPr>
                <w:rStyle w:val="FootnoteReference"/>
                <w:color w:val="000000"/>
              </w:rPr>
              <w:t xml:space="preserve"> </w:t>
            </w:r>
            <w:r w:rsidR="00614FFD" w:rsidRPr="00377757">
              <w:rPr>
                <w:rStyle w:val="FootnoteReference"/>
                <w:color w:val="000000"/>
              </w:rPr>
              <w:footnoteReference w:id="3"/>
            </w:r>
          </w:p>
          <w:p w:rsidR="000134CC" w:rsidRPr="00377757" w:rsidRDefault="000134CC" w:rsidP="000134CC">
            <w:pPr>
              <w:pStyle w:val="H2"/>
              <w:rPr>
                <w:rFonts w:cs="Times New Roman"/>
              </w:rPr>
            </w:pPr>
            <w:r w:rsidRPr="00377757">
              <w:rPr>
                <w:rFonts w:cs="Times New Roman"/>
                <w:b w:val="0"/>
                <w:i/>
                <w:sz w:val="18"/>
                <w:szCs w:val="18"/>
              </w:rPr>
              <w:t>(if applicable)</w:t>
            </w:r>
          </w:p>
        </w:tc>
        <w:tc>
          <w:tcPr>
            <w:tcW w:w="2531" w:type="dxa"/>
            <w:tcBorders>
              <w:top w:val="nil"/>
              <w:left w:val="nil"/>
              <w:bottom w:val="nil"/>
              <w:right w:val="single" w:sz="4" w:space="0" w:color="auto"/>
            </w:tcBorders>
            <w:shd w:val="clear" w:color="auto" w:fill="D9D9D9"/>
          </w:tcPr>
          <w:p w:rsidR="000134CC" w:rsidRPr="00377757" w:rsidRDefault="00E25F3E" w:rsidP="00377757">
            <w:pPr>
              <w:pStyle w:val="BodyText"/>
              <w:rPr>
                <w:rFonts w:ascii="Times New Roman" w:hAnsi="Times New Roman"/>
                <w:color w:val="000000"/>
              </w:rPr>
            </w:pPr>
            <w:r w:rsidRPr="00377757">
              <w:rPr>
                <w:rFonts w:ascii="Times New Roman" w:hAnsi="Times New Roman"/>
                <w:color w:val="000000"/>
              </w:rPr>
              <w:t>AusAID: $</w:t>
            </w:r>
            <w:r w:rsidR="009E581F" w:rsidRPr="00377757">
              <w:rPr>
                <w:rFonts w:ascii="Times New Roman" w:hAnsi="Times New Roman"/>
                <w:color w:val="000000"/>
              </w:rPr>
              <w:t>2.</w:t>
            </w:r>
            <w:r w:rsidR="00377757">
              <w:rPr>
                <w:rFonts w:ascii="Times New Roman" w:hAnsi="Times New Roman"/>
                <w:color w:val="000000"/>
              </w:rPr>
              <w:t>450</w:t>
            </w:r>
            <w:r w:rsidR="009E581F" w:rsidRPr="00377757">
              <w:rPr>
                <w:rFonts w:ascii="Times New Roman" w:hAnsi="Times New Roman"/>
                <w:color w:val="000000"/>
              </w:rPr>
              <w:t>,</w:t>
            </w:r>
            <w:r w:rsidR="00377757">
              <w:rPr>
                <w:rFonts w:ascii="Times New Roman" w:hAnsi="Times New Roman"/>
                <w:color w:val="000000"/>
              </w:rPr>
              <w:t>000</w:t>
            </w:r>
          </w:p>
        </w:tc>
        <w:tc>
          <w:tcPr>
            <w:tcW w:w="360" w:type="dxa"/>
            <w:tcBorders>
              <w:top w:val="nil"/>
              <w:left w:val="single" w:sz="4" w:space="0" w:color="auto"/>
              <w:bottom w:val="nil"/>
              <w:right w:val="single" w:sz="4" w:space="0" w:color="auto"/>
            </w:tcBorders>
            <w:shd w:val="clear" w:color="auto" w:fill="auto"/>
          </w:tcPr>
          <w:p w:rsidR="000134CC" w:rsidRPr="0005346B" w:rsidRDefault="000134CC" w:rsidP="000134CC">
            <w:pPr>
              <w:pStyle w:val="BodyText"/>
              <w:rPr>
                <w:rFonts w:ascii="Times New Roman" w:hAnsi="Times New Roman"/>
              </w:rPr>
            </w:pPr>
          </w:p>
        </w:tc>
        <w:tc>
          <w:tcPr>
            <w:tcW w:w="2071" w:type="dxa"/>
            <w:tcBorders>
              <w:top w:val="nil"/>
              <w:left w:val="single" w:sz="4" w:space="0" w:color="auto"/>
              <w:bottom w:val="nil"/>
              <w:right w:val="nil"/>
            </w:tcBorders>
            <w:shd w:val="clear" w:color="auto" w:fill="auto"/>
            <w:vAlign w:val="center"/>
          </w:tcPr>
          <w:p w:rsidR="000134CC" w:rsidRPr="0005346B" w:rsidRDefault="000134CC" w:rsidP="000134CC">
            <w:pPr>
              <w:pStyle w:val="BodyText"/>
              <w:rPr>
                <w:rFonts w:ascii="Times New Roman" w:hAnsi="Times New Roman"/>
              </w:rPr>
            </w:pPr>
            <w:r w:rsidRPr="0005346B">
              <w:rPr>
                <w:rFonts w:ascii="Times New Roman" w:hAnsi="Times New Roman"/>
              </w:rPr>
              <w:t>Operational Closure Date</w:t>
            </w:r>
            <w:r w:rsidRPr="0005346B">
              <w:rPr>
                <w:rStyle w:val="FootnoteReference"/>
                <w:rFonts w:ascii="Times New Roman" w:hAnsi="Times New Roman"/>
              </w:rPr>
              <w:footnoteReference w:id="4"/>
            </w:r>
          </w:p>
        </w:tc>
        <w:tc>
          <w:tcPr>
            <w:tcW w:w="3048" w:type="dxa"/>
            <w:tcBorders>
              <w:top w:val="nil"/>
              <w:left w:val="nil"/>
              <w:bottom w:val="nil"/>
              <w:right w:val="single" w:sz="4" w:space="0" w:color="auto"/>
            </w:tcBorders>
            <w:shd w:val="clear" w:color="auto" w:fill="auto"/>
          </w:tcPr>
          <w:p w:rsidR="000134CC" w:rsidRPr="0077491A" w:rsidRDefault="003F3B62" w:rsidP="000134CC">
            <w:pPr>
              <w:pStyle w:val="BodyText"/>
              <w:rPr>
                <w:rFonts w:ascii="Times New Roman" w:hAnsi="Times New Roman"/>
              </w:rPr>
            </w:pPr>
            <w:r w:rsidRPr="0005346B">
              <w:rPr>
                <w:rFonts w:ascii="Times New Roman" w:hAnsi="Times New Roman"/>
              </w:rPr>
              <w:t>December 31</w:t>
            </w:r>
            <w:r w:rsidRPr="0005346B">
              <w:rPr>
                <w:rFonts w:ascii="Times New Roman" w:hAnsi="Times New Roman"/>
                <w:vertAlign w:val="superscript"/>
              </w:rPr>
              <w:t>st</w:t>
            </w:r>
            <w:r w:rsidRPr="0005346B">
              <w:rPr>
                <w:rFonts w:ascii="Times New Roman" w:hAnsi="Times New Roman"/>
              </w:rPr>
              <w:t xml:space="preserve"> 2012</w:t>
            </w:r>
          </w:p>
        </w:tc>
      </w:tr>
      <w:tr w:rsidR="000134CC" w:rsidRPr="00F75023">
        <w:trPr>
          <w:trHeight w:val="350"/>
        </w:trPr>
        <w:tc>
          <w:tcPr>
            <w:tcW w:w="2970" w:type="dxa"/>
            <w:tcBorders>
              <w:top w:val="nil"/>
              <w:left w:val="single" w:sz="4" w:space="0" w:color="auto"/>
              <w:bottom w:val="single" w:sz="4" w:space="0" w:color="auto"/>
              <w:right w:val="nil"/>
            </w:tcBorders>
            <w:shd w:val="clear" w:color="auto" w:fill="auto"/>
            <w:vAlign w:val="center"/>
          </w:tcPr>
          <w:p w:rsidR="000134CC" w:rsidRPr="00377757" w:rsidRDefault="000134CC" w:rsidP="000134CC">
            <w:pPr>
              <w:pStyle w:val="H2"/>
              <w:rPr>
                <w:rFonts w:cs="Times New Roman"/>
              </w:rPr>
            </w:pPr>
            <w:r w:rsidRPr="00377757">
              <w:rPr>
                <w:rFonts w:cs="Times New Roman"/>
              </w:rPr>
              <w:t>TOTAL:</w:t>
            </w:r>
          </w:p>
        </w:tc>
        <w:tc>
          <w:tcPr>
            <w:tcW w:w="2531" w:type="dxa"/>
            <w:tcBorders>
              <w:top w:val="nil"/>
              <w:left w:val="nil"/>
              <w:bottom w:val="single" w:sz="4" w:space="0" w:color="auto"/>
              <w:right w:val="single" w:sz="4" w:space="0" w:color="auto"/>
            </w:tcBorders>
            <w:shd w:val="clear" w:color="auto" w:fill="auto"/>
          </w:tcPr>
          <w:p w:rsidR="000134CC" w:rsidRPr="00377757" w:rsidRDefault="000134CC" w:rsidP="000134CC">
            <w:pPr>
              <w:pStyle w:val="BodyText"/>
              <w:rPr>
                <w:rFonts w:ascii="Times New Roman" w:hAnsi="Times New Roman"/>
                <w:color w:val="000000"/>
              </w:rPr>
            </w:pPr>
          </w:p>
          <w:p w:rsidR="005E36FB" w:rsidRPr="00377757" w:rsidRDefault="005E36FB" w:rsidP="00614FFD">
            <w:pPr>
              <w:pStyle w:val="BodyText"/>
              <w:rPr>
                <w:rFonts w:ascii="Times New Roman" w:hAnsi="Times New Roman"/>
                <w:color w:val="000000"/>
              </w:rPr>
            </w:pPr>
            <w:r w:rsidRPr="00377757">
              <w:rPr>
                <w:rFonts w:ascii="Times New Roman" w:hAnsi="Times New Roman"/>
                <w:color w:val="000000"/>
              </w:rPr>
              <w:t>5,</w:t>
            </w:r>
            <w:r w:rsidR="00377757" w:rsidRPr="00377757">
              <w:rPr>
                <w:rFonts w:ascii="Times New Roman" w:hAnsi="Times New Roman"/>
                <w:color w:val="000000"/>
              </w:rPr>
              <w:t>5</w:t>
            </w:r>
            <w:r w:rsidRPr="00377757">
              <w:rPr>
                <w:rFonts w:ascii="Times New Roman" w:hAnsi="Times New Roman"/>
                <w:color w:val="000000"/>
              </w:rPr>
              <w:t>00,000</w:t>
            </w:r>
          </w:p>
        </w:tc>
        <w:tc>
          <w:tcPr>
            <w:tcW w:w="360" w:type="dxa"/>
            <w:tcBorders>
              <w:top w:val="nil"/>
              <w:left w:val="single" w:sz="4" w:space="0" w:color="auto"/>
              <w:bottom w:val="nil"/>
              <w:right w:val="single" w:sz="4" w:space="0" w:color="auto"/>
            </w:tcBorders>
            <w:shd w:val="clear" w:color="auto" w:fill="auto"/>
          </w:tcPr>
          <w:p w:rsidR="000134CC" w:rsidRPr="0077491A" w:rsidRDefault="000134CC" w:rsidP="000134CC">
            <w:pPr>
              <w:pStyle w:val="BodyText"/>
              <w:rPr>
                <w:rFonts w:ascii="Times New Roman" w:hAnsi="Times New Roman"/>
              </w:rPr>
            </w:pPr>
          </w:p>
        </w:tc>
        <w:tc>
          <w:tcPr>
            <w:tcW w:w="2071" w:type="dxa"/>
            <w:tcBorders>
              <w:top w:val="nil"/>
              <w:left w:val="single" w:sz="4" w:space="0" w:color="auto"/>
              <w:bottom w:val="single" w:sz="4" w:space="0" w:color="auto"/>
              <w:right w:val="nil"/>
            </w:tcBorders>
            <w:shd w:val="clear" w:color="auto" w:fill="auto"/>
            <w:vAlign w:val="center"/>
          </w:tcPr>
          <w:p w:rsidR="00FE1D71" w:rsidRPr="0077491A" w:rsidRDefault="000134CC" w:rsidP="000134CC">
            <w:pPr>
              <w:pStyle w:val="BodyText"/>
              <w:rPr>
                <w:rFonts w:ascii="Times New Roman" w:hAnsi="Times New Roman"/>
              </w:rPr>
            </w:pPr>
            <w:r w:rsidRPr="0077491A">
              <w:rPr>
                <w:rFonts w:ascii="Times New Roman" w:hAnsi="Times New Roman"/>
              </w:rPr>
              <w:t>Expected Financial Closure Date</w:t>
            </w:r>
          </w:p>
        </w:tc>
        <w:tc>
          <w:tcPr>
            <w:tcW w:w="3048" w:type="dxa"/>
            <w:tcBorders>
              <w:top w:val="nil"/>
              <w:left w:val="nil"/>
              <w:bottom w:val="single" w:sz="4" w:space="0" w:color="auto"/>
              <w:right w:val="single" w:sz="4" w:space="0" w:color="auto"/>
            </w:tcBorders>
            <w:shd w:val="clear" w:color="auto" w:fill="auto"/>
          </w:tcPr>
          <w:p w:rsidR="000134CC" w:rsidRPr="00F75023" w:rsidRDefault="001A1ABC" w:rsidP="00692D12">
            <w:pPr>
              <w:pStyle w:val="BodyText"/>
              <w:rPr>
                <w:rFonts w:ascii="Times New Roman" w:hAnsi="Times New Roman"/>
              </w:rPr>
            </w:pPr>
            <w:r w:rsidRPr="0077491A">
              <w:rPr>
                <w:rFonts w:ascii="Times New Roman" w:hAnsi="Times New Roman"/>
              </w:rPr>
              <w:t>31</w:t>
            </w:r>
            <w:r w:rsidRPr="0077491A">
              <w:rPr>
                <w:rFonts w:ascii="Times New Roman" w:hAnsi="Times New Roman"/>
                <w:vertAlign w:val="superscript"/>
              </w:rPr>
              <w:t>st</w:t>
            </w:r>
            <w:r w:rsidRPr="0077491A">
              <w:rPr>
                <w:rFonts w:ascii="Times New Roman" w:hAnsi="Times New Roman"/>
              </w:rPr>
              <w:t xml:space="preserve"> </w:t>
            </w:r>
            <w:r w:rsidR="00692D12">
              <w:rPr>
                <w:rFonts w:ascii="Times New Roman" w:hAnsi="Times New Roman"/>
              </w:rPr>
              <w:t xml:space="preserve">–December, </w:t>
            </w:r>
            <w:r w:rsidRPr="0077491A">
              <w:rPr>
                <w:rFonts w:ascii="Times New Roman" w:hAnsi="Times New Roman"/>
              </w:rPr>
              <w:t>2013</w:t>
            </w:r>
          </w:p>
        </w:tc>
      </w:tr>
    </w:tbl>
    <w:p w:rsidR="000134CC" w:rsidRDefault="000134CC" w:rsidP="00AB0274">
      <w:pPr>
        <w:jc w:val="center"/>
        <w:rPr>
          <w:b/>
          <w:bCs/>
          <w:caps/>
        </w:rPr>
      </w:pPr>
    </w:p>
    <w:tbl>
      <w:tblPr>
        <w:tblW w:w="10964" w:type="dxa"/>
        <w:tblInd w:w="-72" w:type="dxa"/>
        <w:tblLayout w:type="fixed"/>
        <w:tblLook w:val="01E0" w:firstRow="1" w:lastRow="1" w:firstColumn="1" w:lastColumn="1" w:noHBand="0" w:noVBand="0"/>
      </w:tblPr>
      <w:tblGrid>
        <w:gridCol w:w="5460"/>
        <w:gridCol w:w="360"/>
        <w:gridCol w:w="5144"/>
      </w:tblGrid>
      <w:tr w:rsidR="000134CC" w:rsidRPr="00947685">
        <w:trPr>
          <w:trHeight w:val="206"/>
        </w:trPr>
        <w:tc>
          <w:tcPr>
            <w:tcW w:w="5460" w:type="dxa"/>
            <w:tcBorders>
              <w:top w:val="single" w:sz="4" w:space="0" w:color="auto"/>
              <w:left w:val="single" w:sz="4" w:space="0" w:color="auto"/>
              <w:right w:val="single" w:sz="4" w:space="0" w:color="auto"/>
            </w:tcBorders>
            <w:shd w:val="clear" w:color="auto" w:fill="F3F3F3"/>
          </w:tcPr>
          <w:p w:rsidR="000134CC" w:rsidRPr="00947685" w:rsidRDefault="000134CC" w:rsidP="00EE0977">
            <w:pPr>
              <w:pStyle w:val="H1"/>
              <w:jc w:val="center"/>
              <w:rPr>
                <w:rFonts w:cs="Times New Roman"/>
              </w:rPr>
            </w:pPr>
            <w:r>
              <w:rPr>
                <w:rFonts w:cs="Times New Roman"/>
              </w:rPr>
              <w:t>Programme</w:t>
            </w:r>
            <w:r w:rsidR="00EE0977">
              <w:rPr>
                <w:rFonts w:cs="Times New Roman"/>
              </w:rPr>
              <w:t xml:space="preserve"> Assessments/Mid-Term</w:t>
            </w:r>
            <w:r>
              <w:rPr>
                <w:rFonts w:cs="Times New Roman"/>
              </w:rPr>
              <w:t xml:space="preserve"> Evaluation</w:t>
            </w:r>
          </w:p>
        </w:tc>
        <w:tc>
          <w:tcPr>
            <w:tcW w:w="360" w:type="dxa"/>
            <w:vMerge w:val="restart"/>
            <w:tcBorders>
              <w:left w:val="single" w:sz="4" w:space="0" w:color="auto"/>
              <w:right w:val="single" w:sz="4" w:space="0" w:color="auto"/>
            </w:tcBorders>
          </w:tcPr>
          <w:p w:rsidR="000134CC" w:rsidRPr="00947685" w:rsidRDefault="00D0750C" w:rsidP="000134CC">
            <w:r>
              <w:t xml:space="preserve">  </w:t>
            </w:r>
          </w:p>
        </w:tc>
        <w:tc>
          <w:tcPr>
            <w:tcW w:w="5144" w:type="dxa"/>
            <w:tcBorders>
              <w:top w:val="single" w:sz="4" w:space="0" w:color="auto"/>
              <w:left w:val="single" w:sz="4" w:space="0" w:color="auto"/>
              <w:right w:val="single" w:sz="4" w:space="0" w:color="auto"/>
            </w:tcBorders>
            <w:shd w:val="clear" w:color="auto" w:fill="F3F3F3"/>
          </w:tcPr>
          <w:p w:rsidR="000134CC" w:rsidRPr="0026644C" w:rsidRDefault="000134CC" w:rsidP="000134CC">
            <w:pPr>
              <w:pStyle w:val="H1"/>
              <w:jc w:val="center"/>
              <w:rPr>
                <w:rFonts w:cs="Times New Roman"/>
              </w:rPr>
            </w:pPr>
            <w:r w:rsidRPr="0026644C">
              <w:rPr>
                <w:bCs w:val="0"/>
              </w:rPr>
              <w:t>Submitted By</w:t>
            </w:r>
          </w:p>
        </w:tc>
      </w:tr>
      <w:tr w:rsidR="000134CC" w:rsidRPr="00947685">
        <w:trPr>
          <w:trHeight w:val="495"/>
        </w:trPr>
        <w:tc>
          <w:tcPr>
            <w:tcW w:w="5460" w:type="dxa"/>
            <w:tcBorders>
              <w:left w:val="single" w:sz="4" w:space="0" w:color="auto"/>
              <w:bottom w:val="single" w:sz="4" w:space="0" w:color="auto"/>
              <w:right w:val="single" w:sz="4" w:space="0" w:color="auto"/>
            </w:tcBorders>
          </w:tcPr>
          <w:p w:rsidR="00F316CE" w:rsidRPr="00D755B8" w:rsidRDefault="00EE0977" w:rsidP="000134CC">
            <w:pPr>
              <w:pStyle w:val="BodyText"/>
              <w:rPr>
                <w:rFonts w:ascii="Times New Roman" w:hAnsi="Times New Roman" w:cs="Times New Roman"/>
                <w:bCs/>
                <w:i/>
                <w:iCs/>
                <w:snapToGrid w:val="0"/>
                <w:sz w:val="18"/>
                <w:szCs w:val="18"/>
                <w:lang w:val="en-GB"/>
              </w:rPr>
            </w:pPr>
            <w:r w:rsidRPr="00D755B8">
              <w:rPr>
                <w:rFonts w:ascii="Times New Roman" w:hAnsi="Times New Roman"/>
              </w:rPr>
              <w:t>Assessment</w:t>
            </w:r>
            <w:r w:rsidR="000134CC" w:rsidRPr="00D755B8">
              <w:rPr>
                <w:rFonts w:ascii="Times New Roman" w:hAnsi="Times New Roman"/>
              </w:rPr>
              <w:t xml:space="preserve"> Completed  </w:t>
            </w:r>
            <w:r w:rsidR="00066978" w:rsidRPr="00D755B8">
              <w:rPr>
                <w:rFonts w:ascii="Times New Roman" w:hAnsi="Times New Roman"/>
              </w:rPr>
              <w:t xml:space="preserve">- </w:t>
            </w:r>
            <w:r w:rsidR="0053545E" w:rsidRPr="00D755B8">
              <w:rPr>
                <w:rFonts w:ascii="Times New Roman" w:hAnsi="Times New Roman"/>
              </w:rPr>
              <w:t xml:space="preserve">if applicable </w:t>
            </w:r>
            <w:r w:rsidR="00066978" w:rsidRPr="00D755B8">
              <w:rPr>
                <w:rFonts w:ascii="Times New Roman" w:hAnsi="Times New Roman" w:cs="Times New Roman"/>
                <w:bCs/>
                <w:i/>
                <w:iCs/>
                <w:snapToGrid w:val="0"/>
                <w:sz w:val="18"/>
                <w:szCs w:val="18"/>
                <w:lang w:val="en-GB"/>
              </w:rPr>
              <w:t>please attach</w:t>
            </w:r>
          </w:p>
          <w:p w:rsidR="004D1571" w:rsidRPr="00D755B8" w:rsidRDefault="002B0D14" w:rsidP="004D1571">
            <w:pPr>
              <w:pStyle w:val="BodyText"/>
              <w:rPr>
                <w:rFonts w:ascii="Times New Roman" w:hAnsi="Times New Roman"/>
              </w:rPr>
            </w:pPr>
            <w:r>
              <w:rPr>
                <w:rFonts w:ascii="Times New Roman" w:hAnsi="Times New Roman"/>
                <w:i/>
                <w:noProof/>
                <w:lang w:val="en-AU" w:eastAsia="en-AU"/>
              </w:rPr>
              <mc:AlternateContent>
                <mc:Choice Requires="wps">
                  <w:drawing>
                    <wp:anchor distT="0" distB="0" distL="114300" distR="114300" simplePos="0" relativeHeight="251653120" behindDoc="0" locked="0" layoutInCell="1" allowOverlap="1" wp14:anchorId="3542845D" wp14:editId="53DCAC17">
                      <wp:simplePos x="0" y="0"/>
                      <wp:positionH relativeFrom="column">
                        <wp:posOffset>524510</wp:posOffset>
                      </wp:positionH>
                      <wp:positionV relativeFrom="paragraph">
                        <wp:posOffset>17145</wp:posOffset>
                      </wp:positionV>
                      <wp:extent cx="90805" cy="90805"/>
                      <wp:effectExtent l="0" t="0" r="23495" b="2349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1.3pt;margin-top:1.35pt;width:7.15pt;height:7.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"/>
                  </w:pict>
                </mc:Fallback>
              </mc:AlternateContent>
            </w:r>
            <w:r>
              <w:rPr>
                <w:rFonts w:ascii="Times New Roman" w:hAnsi="Times New Roman"/>
                <w:i/>
                <w:noProof/>
                <w:lang w:val="en-AU" w:eastAsia="en-AU"/>
              </w:rPr>
              <mc:AlternateContent>
                <mc:Choice Requires="wps">
                  <w:drawing>
                    <wp:anchor distT="0" distB="0" distL="114300" distR="114300" simplePos="0" relativeHeight="251655168" behindDoc="0" locked="0" layoutInCell="1" allowOverlap="1" wp14:anchorId="53C2D30F" wp14:editId="7427C515">
                      <wp:simplePos x="0" y="0"/>
                      <wp:positionH relativeFrom="column">
                        <wp:posOffset>-8890</wp:posOffset>
                      </wp:positionH>
                      <wp:positionV relativeFrom="paragraph">
                        <wp:posOffset>17145</wp:posOffset>
                      </wp:positionV>
                      <wp:extent cx="90805" cy="90805"/>
                      <wp:effectExtent l="0" t="0" r="23495" b="2349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7pt;margin-top:1.35pt;width:7.15pt;height:7.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"/>
                  </w:pict>
                </mc:Fallback>
              </mc:AlternateContent>
            </w:r>
            <w:r w:rsidR="000134CC" w:rsidRPr="00D755B8">
              <w:rPr>
                <w:rFonts w:ascii="Times New Roman" w:hAnsi="Times New Roman"/>
              </w:rPr>
              <w:t xml:space="preserve">     Yes          No    Date: __________________</w:t>
            </w:r>
          </w:p>
          <w:p w:rsidR="000134CC" w:rsidRPr="00D755B8" w:rsidRDefault="00066978" w:rsidP="004D1571">
            <w:pPr>
              <w:pStyle w:val="BodyText"/>
              <w:rPr>
                <w:rFonts w:ascii="Times New Roman" w:hAnsi="Times New Roman"/>
              </w:rPr>
            </w:pPr>
            <w:r w:rsidRPr="00D755B8">
              <w:rPr>
                <w:rFonts w:ascii="Times New Roman" w:hAnsi="Times New Roman"/>
              </w:rPr>
              <w:t>Mid-</w:t>
            </w:r>
            <w:r w:rsidR="000134CC" w:rsidRPr="00D755B8">
              <w:rPr>
                <w:rFonts w:ascii="Times New Roman" w:hAnsi="Times New Roman"/>
              </w:rPr>
              <w:t xml:space="preserve">Evaluation Report </w:t>
            </w:r>
            <w:r w:rsidRPr="00D755B8">
              <w:rPr>
                <w:rFonts w:ascii="Times New Roman" w:hAnsi="Times New Roman" w:cs="Times New Roman"/>
                <w:bCs/>
                <w:i/>
                <w:iCs/>
                <w:snapToGrid w:val="0"/>
                <w:sz w:val="18"/>
                <w:szCs w:val="18"/>
                <w:lang w:val="en-GB"/>
              </w:rPr>
              <w:t xml:space="preserve">– </w:t>
            </w:r>
            <w:r w:rsidR="0053545E" w:rsidRPr="00D755B8">
              <w:rPr>
                <w:rFonts w:ascii="Times New Roman" w:hAnsi="Times New Roman" w:cs="Times New Roman"/>
                <w:bCs/>
                <w:i/>
                <w:iCs/>
                <w:snapToGrid w:val="0"/>
                <w:sz w:val="18"/>
                <w:szCs w:val="18"/>
                <w:lang w:val="en-GB"/>
              </w:rPr>
              <w:t xml:space="preserve">if applicable </w:t>
            </w:r>
            <w:r w:rsidRPr="00D755B8">
              <w:rPr>
                <w:rFonts w:ascii="Times New Roman" w:hAnsi="Times New Roman" w:cs="Times New Roman"/>
                <w:bCs/>
                <w:i/>
                <w:iCs/>
                <w:snapToGrid w:val="0"/>
                <w:sz w:val="18"/>
                <w:szCs w:val="18"/>
                <w:lang w:val="en-GB"/>
              </w:rPr>
              <w:t>please a</w:t>
            </w:r>
            <w:r w:rsidR="000134CC" w:rsidRPr="00D755B8">
              <w:rPr>
                <w:rFonts w:ascii="Times New Roman" w:hAnsi="Times New Roman" w:cs="Times New Roman"/>
                <w:bCs/>
                <w:i/>
                <w:iCs/>
                <w:snapToGrid w:val="0"/>
                <w:sz w:val="18"/>
                <w:szCs w:val="18"/>
                <w:lang w:val="en-GB"/>
              </w:rPr>
              <w:t>ttach</w:t>
            </w:r>
            <w:r w:rsidR="000134CC" w:rsidRPr="00D755B8">
              <w:rPr>
                <w:rFonts w:ascii="Times New Roman" w:hAnsi="Times New Roman"/>
                <w:b/>
              </w:rPr>
              <w:t xml:space="preserve">          </w:t>
            </w:r>
          </w:p>
          <w:p w:rsidR="000134CC" w:rsidRPr="003507AD" w:rsidRDefault="002B0D14" w:rsidP="00C56517">
            <w:pPr>
              <w:pStyle w:val="BodyText"/>
              <w:rPr>
                <w:rFonts w:ascii="Times New Roman" w:hAnsi="Times New Roman"/>
              </w:rPr>
            </w:pPr>
            <w:r>
              <w:rPr>
                <w:rFonts w:ascii="Times New Roman" w:hAnsi="Times New Roman"/>
                <w:i/>
                <w:noProof/>
                <w:lang w:val="en-AU" w:eastAsia="en-AU"/>
              </w:rPr>
              <mc:AlternateContent>
                <mc:Choice Requires="wps">
                  <w:drawing>
                    <wp:anchor distT="0" distB="0" distL="114300" distR="114300" simplePos="0" relativeHeight="251654144" behindDoc="0" locked="0" layoutInCell="1" allowOverlap="1" wp14:anchorId="34C0A047" wp14:editId="5CD1A220">
                      <wp:simplePos x="0" y="0"/>
                      <wp:positionH relativeFrom="column">
                        <wp:posOffset>519430</wp:posOffset>
                      </wp:positionH>
                      <wp:positionV relativeFrom="paragraph">
                        <wp:posOffset>20320</wp:posOffset>
                      </wp:positionV>
                      <wp:extent cx="90805" cy="90805"/>
                      <wp:effectExtent l="0" t="0" r="23495" b="2349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0.9pt;margin-top:1.6pt;width:7.15pt;height:7.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"/>
                  </w:pict>
                </mc:Fallback>
              </mc:AlternateContent>
            </w:r>
            <w:r w:rsidR="000134CC" w:rsidRPr="008C1B27">
              <w:rPr>
                <w:rFonts w:ascii="Times New Roman" w:hAnsi="Times New Roman"/>
              </w:rPr>
              <w:t xml:space="preserve"> </w:t>
            </w:r>
            <w:r w:rsidR="005E36FB" w:rsidRPr="008C1B27">
              <w:rPr>
                <w:rFonts w:ascii="Times New Roman" w:hAnsi="Times New Roman"/>
              </w:rPr>
              <w:t xml:space="preserve">X </w:t>
            </w:r>
            <w:r w:rsidR="000134CC" w:rsidRPr="008C1B27">
              <w:rPr>
                <w:rFonts w:ascii="Times New Roman" w:hAnsi="Times New Roman"/>
              </w:rPr>
              <w:t>Yes</w:t>
            </w:r>
            <w:r w:rsidR="000134CC" w:rsidRPr="00D755B8">
              <w:rPr>
                <w:rFonts w:ascii="Times New Roman" w:hAnsi="Times New Roman"/>
              </w:rPr>
              <w:t xml:space="preserve">          No</w:t>
            </w:r>
            <w:r w:rsidR="00066978" w:rsidRPr="00D755B8">
              <w:rPr>
                <w:rFonts w:ascii="Times New Roman" w:hAnsi="Times New Roman"/>
              </w:rPr>
              <w:t xml:space="preserve">    Date: </w:t>
            </w:r>
            <w:r w:rsidR="00C56517" w:rsidRPr="00D755B8">
              <w:rPr>
                <w:rFonts w:ascii="Times New Roman" w:hAnsi="Times New Roman"/>
              </w:rPr>
              <w:t>August, 2010</w:t>
            </w:r>
          </w:p>
        </w:tc>
        <w:tc>
          <w:tcPr>
            <w:tcW w:w="360" w:type="dxa"/>
            <w:vMerge/>
            <w:tcBorders>
              <w:left w:val="single" w:sz="4" w:space="0" w:color="auto"/>
              <w:right w:val="single" w:sz="4" w:space="0" w:color="auto"/>
            </w:tcBorders>
          </w:tcPr>
          <w:p w:rsidR="000134CC" w:rsidRPr="00947685" w:rsidRDefault="000134CC" w:rsidP="000134CC">
            <w:pPr>
              <w:pStyle w:val="BodyText"/>
              <w:rPr>
                <w:rFonts w:ascii="Times New Roman" w:hAnsi="Times New Roman"/>
              </w:rPr>
            </w:pPr>
          </w:p>
        </w:tc>
        <w:tc>
          <w:tcPr>
            <w:tcW w:w="5144" w:type="dxa"/>
            <w:tcBorders>
              <w:left w:val="single" w:sz="4" w:space="0" w:color="auto"/>
              <w:bottom w:val="single" w:sz="4" w:space="0" w:color="auto"/>
              <w:right w:val="single" w:sz="4" w:space="0" w:color="auto"/>
            </w:tcBorders>
          </w:tcPr>
          <w:p w:rsidR="000134CC" w:rsidRPr="00614FFD" w:rsidRDefault="000134CC" w:rsidP="00B65371">
            <w:pPr>
              <w:numPr>
                <w:ilvl w:val="0"/>
                <w:numId w:val="5"/>
              </w:numPr>
              <w:ind w:left="342"/>
              <w:rPr>
                <w:sz w:val="20"/>
                <w:szCs w:val="20"/>
                <w:lang w:val="en-GB"/>
              </w:rPr>
            </w:pPr>
            <w:r w:rsidRPr="00614FFD">
              <w:rPr>
                <w:sz w:val="20"/>
                <w:szCs w:val="20"/>
                <w:lang w:val="en-GB"/>
              </w:rPr>
              <w:t>Name:</w:t>
            </w:r>
            <w:r w:rsidR="005E36FB" w:rsidRPr="00614FFD">
              <w:rPr>
                <w:sz w:val="20"/>
                <w:szCs w:val="20"/>
                <w:lang w:val="en-GB"/>
              </w:rPr>
              <w:t xml:space="preserve"> </w:t>
            </w:r>
            <w:r w:rsidR="00553A82" w:rsidRPr="00614FFD">
              <w:rPr>
                <w:sz w:val="20"/>
                <w:szCs w:val="20"/>
                <w:lang w:val="en-GB"/>
              </w:rPr>
              <w:t>Cedric Javary</w:t>
            </w:r>
          </w:p>
          <w:p w:rsidR="000134CC" w:rsidRPr="00614FFD" w:rsidRDefault="000134CC" w:rsidP="00B65371">
            <w:pPr>
              <w:numPr>
                <w:ilvl w:val="0"/>
                <w:numId w:val="5"/>
              </w:numPr>
              <w:ind w:left="342"/>
              <w:rPr>
                <w:sz w:val="20"/>
                <w:szCs w:val="20"/>
                <w:lang w:val="en-GB"/>
              </w:rPr>
            </w:pPr>
            <w:r w:rsidRPr="00614FFD">
              <w:rPr>
                <w:sz w:val="20"/>
                <w:szCs w:val="20"/>
                <w:lang w:val="en-GB"/>
              </w:rPr>
              <w:t>Title:</w:t>
            </w:r>
            <w:r w:rsidR="00614FFD" w:rsidRPr="00614FFD">
              <w:rPr>
                <w:sz w:val="20"/>
                <w:szCs w:val="20"/>
                <w:lang w:val="en-GB"/>
              </w:rPr>
              <w:t xml:space="preserve"> Chief Technical Advisor</w:t>
            </w:r>
            <w:r w:rsidR="005E36FB" w:rsidRPr="00614FFD">
              <w:rPr>
                <w:sz w:val="20"/>
                <w:szCs w:val="20"/>
                <w:lang w:val="en-GB"/>
              </w:rPr>
              <w:t xml:space="preserve">  </w:t>
            </w:r>
          </w:p>
          <w:p w:rsidR="000134CC" w:rsidRPr="00614FFD" w:rsidRDefault="000134CC" w:rsidP="00B65371">
            <w:pPr>
              <w:numPr>
                <w:ilvl w:val="0"/>
                <w:numId w:val="5"/>
              </w:numPr>
              <w:ind w:left="342"/>
              <w:rPr>
                <w:sz w:val="20"/>
                <w:szCs w:val="20"/>
                <w:lang w:val="en-GB"/>
              </w:rPr>
            </w:pPr>
            <w:r w:rsidRPr="00614FFD">
              <w:rPr>
                <w:sz w:val="20"/>
                <w:szCs w:val="20"/>
                <w:lang w:val="en-GB"/>
              </w:rPr>
              <w:t>Participating Organization (Lead):</w:t>
            </w:r>
            <w:r w:rsidR="005E36FB" w:rsidRPr="00614FFD">
              <w:rPr>
                <w:sz w:val="20"/>
                <w:szCs w:val="20"/>
                <w:lang w:val="en-GB"/>
              </w:rPr>
              <w:t xml:space="preserve"> </w:t>
            </w:r>
            <w:r w:rsidR="00FE1D71" w:rsidRPr="00614FFD">
              <w:rPr>
                <w:sz w:val="20"/>
                <w:szCs w:val="20"/>
                <w:lang w:val="en-GB"/>
              </w:rPr>
              <w:t>UNCDF</w:t>
            </w:r>
          </w:p>
          <w:p w:rsidR="000134CC" w:rsidRPr="00614FFD" w:rsidRDefault="00AC4360" w:rsidP="00553A82">
            <w:pPr>
              <w:pStyle w:val="BodyText"/>
              <w:numPr>
                <w:ilvl w:val="0"/>
                <w:numId w:val="5"/>
              </w:numPr>
              <w:spacing w:after="120"/>
              <w:ind w:left="342"/>
              <w:jc w:val="both"/>
              <w:rPr>
                <w:rFonts w:ascii="Times New Roman" w:hAnsi="Times New Roman"/>
                <w:b/>
                <w:bCs/>
                <w:snapToGrid w:val="0"/>
                <w:kern w:val="32"/>
                <w:sz w:val="24"/>
                <w:szCs w:val="32"/>
              </w:rPr>
            </w:pPr>
            <w:r w:rsidRPr="00614FFD">
              <w:rPr>
                <w:rFonts w:ascii="Times New Roman" w:hAnsi="Times New Roman"/>
              </w:rPr>
              <w:t>Email address</w:t>
            </w:r>
            <w:r w:rsidR="000134CC" w:rsidRPr="00614FFD">
              <w:rPr>
                <w:rFonts w:ascii="Times New Roman" w:hAnsi="Times New Roman"/>
              </w:rPr>
              <w:t>:</w:t>
            </w:r>
            <w:r w:rsidR="005E36FB" w:rsidRPr="00614FFD">
              <w:rPr>
                <w:rFonts w:ascii="Times New Roman" w:hAnsi="Times New Roman"/>
              </w:rPr>
              <w:t xml:space="preserve"> </w:t>
            </w:r>
            <w:r w:rsidR="00553A82" w:rsidRPr="00614FFD">
              <w:rPr>
                <w:rFonts w:ascii="Times New Roman" w:hAnsi="Times New Roman"/>
              </w:rPr>
              <w:t>cedric.javary@uncdf.org</w:t>
            </w:r>
          </w:p>
        </w:tc>
      </w:tr>
    </w:tbl>
    <w:p w:rsidR="007C1C10" w:rsidRDefault="007C1C10" w:rsidP="00156FF2">
      <w:pPr>
        <w:rPr>
          <w:b/>
          <w:bCs/>
          <w:caps/>
        </w:rPr>
        <w:sectPr w:rsidR="007C1C10">
          <w:footerReference w:type="even" r:id="rId16"/>
          <w:footerReference w:type="default" r:id="rId17"/>
          <w:footerReference w:type="first" r:id="rId18"/>
          <w:pgSz w:w="12240" w:h="15840" w:code="1"/>
          <w:pgMar w:top="810" w:right="990" w:bottom="1354" w:left="806" w:header="720" w:footer="418" w:gutter="0"/>
          <w:cols w:space="720"/>
          <w:docGrid w:linePitch="360"/>
        </w:sectPr>
      </w:pPr>
    </w:p>
    <w:p w:rsidR="007F2A41" w:rsidRDefault="007F2A41" w:rsidP="00156FF2">
      <w:pPr>
        <w:rPr>
          <w:b/>
          <w:bCs/>
          <w:caps/>
        </w:rPr>
      </w:pPr>
    </w:p>
    <w:tbl>
      <w:tblPr>
        <w:tblW w:w="8898" w:type="dxa"/>
        <w:tblInd w:w="570" w:type="dxa"/>
        <w:tblLook w:val="0000" w:firstRow="0" w:lastRow="0" w:firstColumn="0" w:lastColumn="0" w:noHBand="0" w:noVBand="0"/>
      </w:tblPr>
      <w:tblGrid>
        <w:gridCol w:w="1440"/>
        <w:gridCol w:w="7458"/>
      </w:tblGrid>
      <w:tr w:rsidR="001C3825" w:rsidRPr="00156FF2">
        <w:trPr>
          <w:trHeight w:val="255"/>
        </w:trPr>
        <w:tc>
          <w:tcPr>
            <w:tcW w:w="889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1C3825" w:rsidRPr="00156FF2" w:rsidRDefault="001C3825">
            <w:pPr>
              <w:jc w:val="center"/>
              <w:rPr>
                <w:b/>
                <w:bCs/>
                <w:sz w:val="22"/>
                <w:szCs w:val="22"/>
              </w:rPr>
            </w:pPr>
            <w:r w:rsidRPr="00156FF2">
              <w:rPr>
                <w:b/>
                <w:bCs/>
                <w:sz w:val="22"/>
                <w:szCs w:val="22"/>
              </w:rPr>
              <w:t>Abbreviations and Acronyms</w:t>
            </w:r>
          </w:p>
        </w:tc>
      </w:tr>
      <w:tr w:rsidR="001C3825" w:rsidRPr="00156FF2">
        <w:trPr>
          <w:trHeight w:val="255"/>
        </w:trPr>
        <w:tc>
          <w:tcPr>
            <w:tcW w:w="1440" w:type="dxa"/>
            <w:tcBorders>
              <w:top w:val="nil"/>
              <w:left w:val="single" w:sz="4" w:space="0" w:color="auto"/>
              <w:bottom w:val="single" w:sz="4" w:space="0" w:color="auto"/>
              <w:right w:val="single" w:sz="4" w:space="0" w:color="auto"/>
            </w:tcBorders>
            <w:shd w:val="clear" w:color="auto" w:fill="auto"/>
          </w:tcPr>
          <w:p w:rsidR="001C3825" w:rsidRPr="00156FF2" w:rsidRDefault="001C3825">
            <w:pPr>
              <w:rPr>
                <w:sz w:val="22"/>
                <w:szCs w:val="22"/>
              </w:rPr>
            </w:pPr>
            <w:r w:rsidRPr="00156FF2">
              <w:rPr>
                <w:sz w:val="22"/>
                <w:szCs w:val="22"/>
              </w:rPr>
              <w:t>ADB</w:t>
            </w:r>
          </w:p>
        </w:tc>
        <w:tc>
          <w:tcPr>
            <w:tcW w:w="7458" w:type="dxa"/>
            <w:tcBorders>
              <w:top w:val="nil"/>
              <w:left w:val="nil"/>
              <w:bottom w:val="single" w:sz="4" w:space="0" w:color="auto"/>
              <w:right w:val="single" w:sz="4" w:space="0" w:color="auto"/>
            </w:tcBorders>
            <w:shd w:val="clear" w:color="auto" w:fill="auto"/>
          </w:tcPr>
          <w:p w:rsidR="001C3825" w:rsidRPr="00156FF2" w:rsidRDefault="001C3825">
            <w:pPr>
              <w:jc w:val="both"/>
              <w:rPr>
                <w:sz w:val="22"/>
                <w:szCs w:val="22"/>
              </w:rPr>
            </w:pPr>
            <w:r w:rsidRPr="00156FF2">
              <w:rPr>
                <w:sz w:val="22"/>
                <w:szCs w:val="22"/>
              </w:rPr>
              <w:t>Asian Development Bank</w:t>
            </w:r>
          </w:p>
        </w:tc>
      </w:tr>
      <w:tr w:rsidR="007F584B" w:rsidRPr="00156FF2">
        <w:trPr>
          <w:trHeight w:val="255"/>
        </w:trPr>
        <w:tc>
          <w:tcPr>
            <w:tcW w:w="1440" w:type="dxa"/>
            <w:tcBorders>
              <w:top w:val="nil"/>
              <w:left w:val="single" w:sz="4" w:space="0" w:color="auto"/>
              <w:bottom w:val="single" w:sz="4" w:space="0" w:color="auto"/>
              <w:right w:val="single" w:sz="4" w:space="0" w:color="auto"/>
            </w:tcBorders>
            <w:shd w:val="clear" w:color="auto" w:fill="auto"/>
          </w:tcPr>
          <w:p w:rsidR="007F584B" w:rsidRPr="00156FF2" w:rsidRDefault="007F584B">
            <w:pPr>
              <w:rPr>
                <w:sz w:val="22"/>
                <w:szCs w:val="22"/>
              </w:rPr>
            </w:pPr>
            <w:r>
              <w:rPr>
                <w:sz w:val="22"/>
                <w:szCs w:val="22"/>
              </w:rPr>
              <w:t>AFI</w:t>
            </w:r>
          </w:p>
        </w:tc>
        <w:tc>
          <w:tcPr>
            <w:tcW w:w="7458" w:type="dxa"/>
            <w:tcBorders>
              <w:top w:val="nil"/>
              <w:left w:val="nil"/>
              <w:bottom w:val="single" w:sz="4" w:space="0" w:color="auto"/>
              <w:right w:val="single" w:sz="4" w:space="0" w:color="auto"/>
            </w:tcBorders>
            <w:shd w:val="clear" w:color="auto" w:fill="auto"/>
          </w:tcPr>
          <w:p w:rsidR="007F584B" w:rsidRPr="00156FF2" w:rsidRDefault="007F584B">
            <w:pPr>
              <w:jc w:val="both"/>
              <w:rPr>
                <w:sz w:val="22"/>
                <w:szCs w:val="22"/>
              </w:rPr>
            </w:pPr>
            <w:r>
              <w:rPr>
                <w:sz w:val="22"/>
                <w:szCs w:val="22"/>
              </w:rPr>
              <w:t>Alliance for Financial Inclusion</w:t>
            </w:r>
          </w:p>
        </w:tc>
      </w:tr>
      <w:tr w:rsidR="00E207B6" w:rsidRPr="00156FF2">
        <w:trPr>
          <w:trHeight w:val="255"/>
        </w:trPr>
        <w:tc>
          <w:tcPr>
            <w:tcW w:w="1440" w:type="dxa"/>
            <w:tcBorders>
              <w:top w:val="nil"/>
              <w:left w:val="single" w:sz="4" w:space="0" w:color="auto"/>
              <w:bottom w:val="single" w:sz="4" w:space="0" w:color="auto"/>
              <w:right w:val="single" w:sz="4" w:space="0" w:color="auto"/>
            </w:tcBorders>
            <w:shd w:val="clear" w:color="auto" w:fill="auto"/>
          </w:tcPr>
          <w:p w:rsidR="00E207B6" w:rsidRPr="00156FF2" w:rsidRDefault="00E207B6">
            <w:pPr>
              <w:rPr>
                <w:sz w:val="22"/>
                <w:szCs w:val="22"/>
              </w:rPr>
            </w:pPr>
            <w:r w:rsidRPr="00E207B6">
              <w:rPr>
                <w:sz w:val="22"/>
                <w:szCs w:val="22"/>
              </w:rPr>
              <w:t>AMFITIL</w:t>
            </w:r>
          </w:p>
        </w:tc>
        <w:tc>
          <w:tcPr>
            <w:tcW w:w="7458" w:type="dxa"/>
            <w:tcBorders>
              <w:top w:val="nil"/>
              <w:left w:val="nil"/>
              <w:bottom w:val="single" w:sz="4" w:space="0" w:color="auto"/>
              <w:right w:val="single" w:sz="4" w:space="0" w:color="auto"/>
            </w:tcBorders>
            <w:shd w:val="clear" w:color="auto" w:fill="auto"/>
          </w:tcPr>
          <w:p w:rsidR="00E207B6" w:rsidRPr="00156FF2" w:rsidRDefault="00E207B6">
            <w:pPr>
              <w:jc w:val="both"/>
              <w:rPr>
                <w:sz w:val="22"/>
                <w:szCs w:val="22"/>
              </w:rPr>
            </w:pPr>
            <w:r w:rsidRPr="00E207B6">
              <w:rPr>
                <w:sz w:val="22"/>
                <w:szCs w:val="22"/>
              </w:rPr>
              <w:t>Association of Microfinance Institutions of Timor-Leste</w:t>
            </w:r>
          </w:p>
        </w:tc>
      </w:tr>
      <w:tr w:rsidR="001C3825" w:rsidRPr="00156FF2">
        <w:trPr>
          <w:trHeight w:val="255"/>
        </w:trPr>
        <w:tc>
          <w:tcPr>
            <w:tcW w:w="1440" w:type="dxa"/>
            <w:tcBorders>
              <w:top w:val="nil"/>
              <w:left w:val="single" w:sz="4" w:space="0" w:color="auto"/>
              <w:bottom w:val="single" w:sz="4" w:space="0" w:color="auto"/>
              <w:right w:val="single" w:sz="4" w:space="0" w:color="auto"/>
            </w:tcBorders>
            <w:shd w:val="clear" w:color="auto" w:fill="auto"/>
          </w:tcPr>
          <w:p w:rsidR="001C3825" w:rsidRPr="00156FF2" w:rsidRDefault="001C3825">
            <w:pPr>
              <w:rPr>
                <w:sz w:val="22"/>
                <w:szCs w:val="22"/>
              </w:rPr>
            </w:pPr>
            <w:r w:rsidRPr="00156FF2">
              <w:rPr>
                <w:sz w:val="22"/>
                <w:szCs w:val="22"/>
              </w:rPr>
              <w:t>AusAID</w:t>
            </w:r>
          </w:p>
        </w:tc>
        <w:tc>
          <w:tcPr>
            <w:tcW w:w="7458" w:type="dxa"/>
            <w:tcBorders>
              <w:top w:val="nil"/>
              <w:left w:val="nil"/>
              <w:bottom w:val="single" w:sz="4" w:space="0" w:color="auto"/>
              <w:right w:val="single" w:sz="4" w:space="0" w:color="auto"/>
            </w:tcBorders>
            <w:shd w:val="clear" w:color="auto" w:fill="auto"/>
          </w:tcPr>
          <w:p w:rsidR="001C3825" w:rsidRPr="00156FF2" w:rsidRDefault="001C3825">
            <w:pPr>
              <w:jc w:val="both"/>
              <w:rPr>
                <w:sz w:val="22"/>
                <w:szCs w:val="22"/>
              </w:rPr>
            </w:pPr>
            <w:r w:rsidRPr="00156FF2">
              <w:rPr>
                <w:sz w:val="22"/>
                <w:szCs w:val="22"/>
              </w:rPr>
              <w:t>Australian Agency for International Development</w:t>
            </w:r>
          </w:p>
        </w:tc>
      </w:tr>
      <w:tr w:rsidR="001C3825" w:rsidRPr="00156FF2">
        <w:trPr>
          <w:trHeight w:val="255"/>
        </w:trPr>
        <w:tc>
          <w:tcPr>
            <w:tcW w:w="1440" w:type="dxa"/>
            <w:tcBorders>
              <w:top w:val="nil"/>
              <w:left w:val="single" w:sz="4" w:space="0" w:color="auto"/>
              <w:bottom w:val="single" w:sz="4" w:space="0" w:color="auto"/>
              <w:right w:val="single" w:sz="4" w:space="0" w:color="auto"/>
            </w:tcBorders>
            <w:shd w:val="clear" w:color="auto" w:fill="auto"/>
          </w:tcPr>
          <w:p w:rsidR="001C3825" w:rsidRPr="00156FF2" w:rsidRDefault="001C3825">
            <w:pPr>
              <w:rPr>
                <w:sz w:val="22"/>
                <w:szCs w:val="22"/>
              </w:rPr>
            </w:pPr>
            <w:r w:rsidRPr="00156FF2">
              <w:rPr>
                <w:sz w:val="22"/>
                <w:szCs w:val="22"/>
              </w:rPr>
              <w:t>BASIX</w:t>
            </w:r>
          </w:p>
        </w:tc>
        <w:tc>
          <w:tcPr>
            <w:tcW w:w="7458" w:type="dxa"/>
            <w:tcBorders>
              <w:top w:val="nil"/>
              <w:left w:val="nil"/>
              <w:bottom w:val="single" w:sz="4" w:space="0" w:color="auto"/>
              <w:right w:val="single" w:sz="4" w:space="0" w:color="auto"/>
            </w:tcBorders>
            <w:shd w:val="clear" w:color="auto" w:fill="auto"/>
          </w:tcPr>
          <w:p w:rsidR="001C3825" w:rsidRPr="00156FF2" w:rsidRDefault="001C3825">
            <w:pPr>
              <w:jc w:val="both"/>
              <w:rPr>
                <w:sz w:val="22"/>
                <w:szCs w:val="22"/>
              </w:rPr>
            </w:pPr>
            <w:r w:rsidRPr="00156FF2">
              <w:rPr>
                <w:sz w:val="22"/>
                <w:szCs w:val="22"/>
              </w:rPr>
              <w:t>Bhartiya Samruddhi Investments and Consulting Services Ltd.</w:t>
            </w:r>
          </w:p>
        </w:tc>
      </w:tr>
      <w:tr w:rsidR="000A37CA" w:rsidRPr="008C1B27">
        <w:trPr>
          <w:trHeight w:val="255"/>
        </w:trPr>
        <w:tc>
          <w:tcPr>
            <w:tcW w:w="1440" w:type="dxa"/>
            <w:tcBorders>
              <w:top w:val="nil"/>
              <w:left w:val="single" w:sz="4" w:space="0" w:color="auto"/>
              <w:bottom w:val="single" w:sz="4" w:space="0" w:color="auto"/>
              <w:right w:val="single" w:sz="4" w:space="0" w:color="auto"/>
            </w:tcBorders>
            <w:shd w:val="clear" w:color="auto" w:fill="auto"/>
          </w:tcPr>
          <w:p w:rsidR="000A37CA" w:rsidRPr="00156FF2" w:rsidRDefault="000A37CA">
            <w:pPr>
              <w:rPr>
                <w:sz w:val="22"/>
                <w:szCs w:val="22"/>
              </w:rPr>
            </w:pPr>
            <w:r>
              <w:rPr>
                <w:sz w:val="22"/>
                <w:szCs w:val="22"/>
              </w:rPr>
              <w:t>BCTL</w:t>
            </w:r>
          </w:p>
        </w:tc>
        <w:tc>
          <w:tcPr>
            <w:tcW w:w="7458" w:type="dxa"/>
            <w:tcBorders>
              <w:top w:val="nil"/>
              <w:left w:val="nil"/>
              <w:bottom w:val="single" w:sz="4" w:space="0" w:color="auto"/>
              <w:right w:val="single" w:sz="4" w:space="0" w:color="auto"/>
            </w:tcBorders>
            <w:shd w:val="clear" w:color="auto" w:fill="auto"/>
          </w:tcPr>
          <w:p w:rsidR="000A37CA" w:rsidRPr="008C1B27" w:rsidRDefault="000A37CA">
            <w:pPr>
              <w:jc w:val="both"/>
              <w:rPr>
                <w:sz w:val="22"/>
                <w:szCs w:val="22"/>
                <w:lang w:val="fr-FR"/>
              </w:rPr>
            </w:pPr>
            <w:r w:rsidRPr="008C1B27">
              <w:rPr>
                <w:sz w:val="22"/>
                <w:szCs w:val="22"/>
                <w:lang w:val="fr-FR"/>
              </w:rPr>
              <w:t>Banco Central de Timor-Leste</w:t>
            </w:r>
          </w:p>
        </w:tc>
      </w:tr>
      <w:tr w:rsidR="001C3825" w:rsidRPr="00156FF2">
        <w:trPr>
          <w:trHeight w:val="255"/>
        </w:trPr>
        <w:tc>
          <w:tcPr>
            <w:tcW w:w="1440" w:type="dxa"/>
            <w:tcBorders>
              <w:top w:val="single" w:sz="4" w:space="0" w:color="auto"/>
              <w:left w:val="single" w:sz="4" w:space="0" w:color="auto"/>
              <w:bottom w:val="nil"/>
              <w:right w:val="single" w:sz="4" w:space="0" w:color="auto"/>
            </w:tcBorders>
            <w:shd w:val="clear" w:color="auto" w:fill="auto"/>
          </w:tcPr>
          <w:p w:rsidR="001C3825" w:rsidRPr="00156FF2" w:rsidRDefault="001C3825">
            <w:pPr>
              <w:rPr>
                <w:sz w:val="22"/>
                <w:szCs w:val="22"/>
              </w:rPr>
            </w:pPr>
            <w:r w:rsidRPr="00156FF2">
              <w:rPr>
                <w:sz w:val="22"/>
                <w:szCs w:val="22"/>
              </w:rPr>
              <w:t>BPA</w:t>
            </w:r>
          </w:p>
        </w:tc>
        <w:tc>
          <w:tcPr>
            <w:tcW w:w="7458" w:type="dxa"/>
            <w:tcBorders>
              <w:top w:val="single" w:sz="4" w:space="0" w:color="auto"/>
              <w:left w:val="nil"/>
              <w:bottom w:val="single" w:sz="4" w:space="0" w:color="auto"/>
              <w:right w:val="single" w:sz="4" w:space="0" w:color="auto"/>
            </w:tcBorders>
            <w:shd w:val="clear" w:color="auto" w:fill="auto"/>
          </w:tcPr>
          <w:p w:rsidR="001C3825" w:rsidRPr="00156FF2" w:rsidRDefault="001C3825">
            <w:pPr>
              <w:jc w:val="both"/>
              <w:rPr>
                <w:sz w:val="22"/>
                <w:szCs w:val="22"/>
              </w:rPr>
            </w:pPr>
            <w:r w:rsidRPr="00156FF2">
              <w:rPr>
                <w:sz w:val="22"/>
                <w:szCs w:val="22"/>
              </w:rPr>
              <w:t>Banking and Payments Authority</w:t>
            </w:r>
          </w:p>
        </w:tc>
      </w:tr>
      <w:tr w:rsidR="001C3825" w:rsidRPr="00156FF2">
        <w:trPr>
          <w:trHeight w:val="255"/>
        </w:trPr>
        <w:tc>
          <w:tcPr>
            <w:tcW w:w="1440" w:type="dxa"/>
            <w:tcBorders>
              <w:top w:val="single" w:sz="4" w:space="0" w:color="auto"/>
              <w:left w:val="single" w:sz="4" w:space="0" w:color="auto"/>
              <w:bottom w:val="single" w:sz="4" w:space="0" w:color="auto"/>
              <w:right w:val="single" w:sz="4" w:space="0" w:color="auto"/>
            </w:tcBorders>
            <w:shd w:val="clear" w:color="auto" w:fill="auto"/>
          </w:tcPr>
          <w:p w:rsidR="001C3825" w:rsidRPr="00156FF2" w:rsidRDefault="001C3825">
            <w:pPr>
              <w:rPr>
                <w:sz w:val="22"/>
                <w:szCs w:val="22"/>
              </w:rPr>
            </w:pPr>
            <w:r w:rsidRPr="00156FF2">
              <w:rPr>
                <w:sz w:val="22"/>
                <w:szCs w:val="22"/>
              </w:rPr>
              <w:t>CGAP</w:t>
            </w:r>
          </w:p>
        </w:tc>
        <w:tc>
          <w:tcPr>
            <w:tcW w:w="7458" w:type="dxa"/>
            <w:tcBorders>
              <w:top w:val="nil"/>
              <w:left w:val="nil"/>
              <w:bottom w:val="single" w:sz="4" w:space="0" w:color="auto"/>
              <w:right w:val="single" w:sz="4" w:space="0" w:color="auto"/>
            </w:tcBorders>
            <w:shd w:val="clear" w:color="auto" w:fill="auto"/>
          </w:tcPr>
          <w:p w:rsidR="001C3825" w:rsidRPr="00156FF2" w:rsidRDefault="001C3825">
            <w:pPr>
              <w:jc w:val="both"/>
              <w:rPr>
                <w:sz w:val="22"/>
                <w:szCs w:val="22"/>
              </w:rPr>
            </w:pPr>
            <w:r w:rsidRPr="00156FF2">
              <w:rPr>
                <w:sz w:val="22"/>
                <w:szCs w:val="22"/>
              </w:rPr>
              <w:t>Consultative Group for Assistance to the Poorest</w:t>
            </w:r>
          </w:p>
        </w:tc>
      </w:tr>
      <w:tr w:rsidR="001C3825" w:rsidRPr="00156FF2">
        <w:trPr>
          <w:trHeight w:val="255"/>
        </w:trPr>
        <w:tc>
          <w:tcPr>
            <w:tcW w:w="1440" w:type="dxa"/>
            <w:tcBorders>
              <w:top w:val="nil"/>
              <w:left w:val="single" w:sz="4" w:space="0" w:color="auto"/>
              <w:bottom w:val="single" w:sz="4" w:space="0" w:color="auto"/>
              <w:right w:val="single" w:sz="4" w:space="0" w:color="auto"/>
            </w:tcBorders>
            <w:shd w:val="clear" w:color="auto" w:fill="auto"/>
          </w:tcPr>
          <w:p w:rsidR="001C3825" w:rsidRPr="00156FF2" w:rsidRDefault="001C3825">
            <w:pPr>
              <w:rPr>
                <w:sz w:val="22"/>
                <w:szCs w:val="22"/>
              </w:rPr>
            </w:pPr>
            <w:r w:rsidRPr="00156FF2">
              <w:rPr>
                <w:sz w:val="22"/>
                <w:szCs w:val="22"/>
              </w:rPr>
              <w:t>CTA</w:t>
            </w:r>
          </w:p>
        </w:tc>
        <w:tc>
          <w:tcPr>
            <w:tcW w:w="7458" w:type="dxa"/>
            <w:tcBorders>
              <w:top w:val="nil"/>
              <w:left w:val="nil"/>
              <w:bottom w:val="single" w:sz="4" w:space="0" w:color="auto"/>
              <w:right w:val="single" w:sz="4" w:space="0" w:color="auto"/>
            </w:tcBorders>
            <w:shd w:val="clear" w:color="auto" w:fill="auto"/>
          </w:tcPr>
          <w:p w:rsidR="001C3825" w:rsidRPr="00156FF2" w:rsidRDefault="001C3825">
            <w:pPr>
              <w:jc w:val="both"/>
              <w:rPr>
                <w:sz w:val="22"/>
                <w:szCs w:val="22"/>
              </w:rPr>
            </w:pPr>
            <w:r w:rsidRPr="00156FF2">
              <w:rPr>
                <w:sz w:val="22"/>
                <w:szCs w:val="22"/>
              </w:rPr>
              <w:t>Chief Technical Adviser</w:t>
            </w:r>
          </w:p>
        </w:tc>
      </w:tr>
      <w:tr w:rsidR="001C3825" w:rsidRPr="00156FF2">
        <w:trPr>
          <w:trHeight w:val="255"/>
        </w:trPr>
        <w:tc>
          <w:tcPr>
            <w:tcW w:w="1440" w:type="dxa"/>
            <w:tcBorders>
              <w:top w:val="nil"/>
              <w:left w:val="single" w:sz="4" w:space="0" w:color="auto"/>
              <w:bottom w:val="single" w:sz="4" w:space="0" w:color="auto"/>
              <w:right w:val="single" w:sz="4" w:space="0" w:color="auto"/>
            </w:tcBorders>
            <w:shd w:val="clear" w:color="auto" w:fill="auto"/>
          </w:tcPr>
          <w:p w:rsidR="001C3825" w:rsidRPr="00156FF2" w:rsidRDefault="001C3825">
            <w:pPr>
              <w:rPr>
                <w:sz w:val="22"/>
                <w:szCs w:val="22"/>
              </w:rPr>
            </w:pPr>
            <w:r w:rsidRPr="00156FF2">
              <w:rPr>
                <w:sz w:val="22"/>
                <w:szCs w:val="22"/>
              </w:rPr>
              <w:t>CUFA</w:t>
            </w:r>
          </w:p>
        </w:tc>
        <w:tc>
          <w:tcPr>
            <w:tcW w:w="7458" w:type="dxa"/>
            <w:tcBorders>
              <w:top w:val="nil"/>
              <w:left w:val="nil"/>
              <w:bottom w:val="single" w:sz="4" w:space="0" w:color="auto"/>
              <w:right w:val="single" w:sz="4" w:space="0" w:color="auto"/>
            </w:tcBorders>
            <w:shd w:val="clear" w:color="auto" w:fill="auto"/>
          </w:tcPr>
          <w:p w:rsidR="001C3825" w:rsidRPr="00156FF2" w:rsidRDefault="001C3825">
            <w:pPr>
              <w:jc w:val="both"/>
              <w:rPr>
                <w:sz w:val="22"/>
                <w:szCs w:val="22"/>
              </w:rPr>
            </w:pPr>
            <w:r w:rsidRPr="00156FF2">
              <w:rPr>
                <w:sz w:val="22"/>
                <w:szCs w:val="22"/>
              </w:rPr>
              <w:t>Credit Union Foundation of Australia</w:t>
            </w:r>
          </w:p>
        </w:tc>
      </w:tr>
      <w:tr w:rsidR="001C3825" w:rsidRPr="00156FF2">
        <w:trPr>
          <w:trHeight w:val="255"/>
        </w:trPr>
        <w:tc>
          <w:tcPr>
            <w:tcW w:w="1440" w:type="dxa"/>
            <w:tcBorders>
              <w:top w:val="nil"/>
              <w:left w:val="single" w:sz="4" w:space="0" w:color="auto"/>
              <w:bottom w:val="single" w:sz="4" w:space="0" w:color="auto"/>
              <w:right w:val="single" w:sz="4" w:space="0" w:color="auto"/>
            </w:tcBorders>
            <w:shd w:val="clear" w:color="auto" w:fill="auto"/>
          </w:tcPr>
          <w:p w:rsidR="001C3825" w:rsidRPr="00156FF2" w:rsidRDefault="001C3825">
            <w:pPr>
              <w:rPr>
                <w:sz w:val="22"/>
                <w:szCs w:val="22"/>
              </w:rPr>
            </w:pPr>
            <w:r w:rsidRPr="00156FF2">
              <w:rPr>
                <w:sz w:val="22"/>
                <w:szCs w:val="22"/>
              </w:rPr>
              <w:t>DNC</w:t>
            </w:r>
          </w:p>
        </w:tc>
        <w:tc>
          <w:tcPr>
            <w:tcW w:w="7458" w:type="dxa"/>
            <w:tcBorders>
              <w:top w:val="nil"/>
              <w:left w:val="nil"/>
              <w:bottom w:val="single" w:sz="4" w:space="0" w:color="auto"/>
              <w:right w:val="single" w:sz="4" w:space="0" w:color="auto"/>
            </w:tcBorders>
            <w:shd w:val="clear" w:color="auto" w:fill="auto"/>
          </w:tcPr>
          <w:p w:rsidR="001C3825" w:rsidRPr="00156FF2" w:rsidRDefault="001C3825">
            <w:pPr>
              <w:jc w:val="both"/>
              <w:rPr>
                <w:sz w:val="22"/>
                <w:szCs w:val="22"/>
              </w:rPr>
            </w:pPr>
            <w:r w:rsidRPr="00156FF2">
              <w:rPr>
                <w:sz w:val="22"/>
                <w:szCs w:val="22"/>
              </w:rPr>
              <w:t>National Directorate of Cooperatives</w:t>
            </w:r>
          </w:p>
        </w:tc>
      </w:tr>
      <w:tr w:rsidR="001C3825" w:rsidRPr="00156FF2">
        <w:trPr>
          <w:trHeight w:val="255"/>
        </w:trPr>
        <w:tc>
          <w:tcPr>
            <w:tcW w:w="1440" w:type="dxa"/>
            <w:tcBorders>
              <w:top w:val="nil"/>
              <w:left w:val="single" w:sz="4" w:space="0" w:color="auto"/>
              <w:bottom w:val="single" w:sz="4" w:space="0" w:color="auto"/>
              <w:right w:val="single" w:sz="4" w:space="0" w:color="auto"/>
            </w:tcBorders>
            <w:shd w:val="clear" w:color="auto" w:fill="auto"/>
          </w:tcPr>
          <w:p w:rsidR="001C3825" w:rsidRPr="00156FF2" w:rsidRDefault="001C3825">
            <w:pPr>
              <w:rPr>
                <w:sz w:val="22"/>
                <w:szCs w:val="22"/>
              </w:rPr>
            </w:pPr>
            <w:r w:rsidRPr="00156FF2">
              <w:rPr>
                <w:sz w:val="22"/>
                <w:szCs w:val="22"/>
              </w:rPr>
              <w:t>FHM</w:t>
            </w:r>
          </w:p>
        </w:tc>
        <w:tc>
          <w:tcPr>
            <w:tcW w:w="7458" w:type="dxa"/>
            <w:tcBorders>
              <w:top w:val="nil"/>
              <w:left w:val="nil"/>
              <w:bottom w:val="single" w:sz="4" w:space="0" w:color="auto"/>
              <w:right w:val="single" w:sz="4" w:space="0" w:color="auto"/>
            </w:tcBorders>
            <w:shd w:val="clear" w:color="auto" w:fill="auto"/>
          </w:tcPr>
          <w:p w:rsidR="001C3825" w:rsidRPr="00156FF2" w:rsidRDefault="001C3825">
            <w:pPr>
              <w:jc w:val="both"/>
              <w:rPr>
                <w:sz w:val="22"/>
                <w:szCs w:val="22"/>
              </w:rPr>
            </w:pPr>
            <w:r w:rsidRPr="00156FF2">
              <w:rPr>
                <w:sz w:val="22"/>
                <w:szCs w:val="22"/>
              </w:rPr>
              <w:t>Federa</w:t>
            </w:r>
            <w:r w:rsidR="00156FF2" w:rsidRPr="00156FF2">
              <w:rPr>
                <w:sz w:val="22"/>
                <w:szCs w:val="22"/>
              </w:rPr>
              <w:t>s</w:t>
            </w:r>
            <w:r w:rsidRPr="00156FF2">
              <w:rPr>
                <w:sz w:val="22"/>
                <w:szCs w:val="22"/>
              </w:rPr>
              <w:t>aun Hanai Malu (</w:t>
            </w:r>
            <w:r w:rsidR="00697746" w:rsidRPr="00156FF2">
              <w:rPr>
                <w:sz w:val="22"/>
                <w:szCs w:val="22"/>
              </w:rPr>
              <w:t>Federation</w:t>
            </w:r>
            <w:r w:rsidRPr="00156FF2">
              <w:rPr>
                <w:sz w:val="22"/>
                <w:szCs w:val="22"/>
              </w:rPr>
              <w:t xml:space="preserve"> of Savings and Credit Cooperatives)</w:t>
            </w:r>
          </w:p>
        </w:tc>
      </w:tr>
      <w:tr w:rsidR="001C3825" w:rsidRPr="00156FF2">
        <w:trPr>
          <w:trHeight w:val="255"/>
        </w:trPr>
        <w:tc>
          <w:tcPr>
            <w:tcW w:w="1440" w:type="dxa"/>
            <w:tcBorders>
              <w:top w:val="nil"/>
              <w:left w:val="single" w:sz="4" w:space="0" w:color="auto"/>
              <w:bottom w:val="single" w:sz="4" w:space="0" w:color="auto"/>
              <w:right w:val="single" w:sz="4" w:space="0" w:color="auto"/>
            </w:tcBorders>
            <w:shd w:val="clear" w:color="auto" w:fill="auto"/>
          </w:tcPr>
          <w:p w:rsidR="001C3825" w:rsidRPr="00156FF2" w:rsidRDefault="001C3825">
            <w:pPr>
              <w:rPr>
                <w:sz w:val="22"/>
                <w:szCs w:val="22"/>
              </w:rPr>
            </w:pPr>
            <w:r w:rsidRPr="00156FF2">
              <w:rPr>
                <w:sz w:val="22"/>
                <w:szCs w:val="22"/>
              </w:rPr>
              <w:t>FSPs</w:t>
            </w:r>
          </w:p>
        </w:tc>
        <w:tc>
          <w:tcPr>
            <w:tcW w:w="7458" w:type="dxa"/>
            <w:tcBorders>
              <w:top w:val="nil"/>
              <w:left w:val="nil"/>
              <w:bottom w:val="single" w:sz="4" w:space="0" w:color="auto"/>
              <w:right w:val="single" w:sz="4" w:space="0" w:color="auto"/>
            </w:tcBorders>
            <w:shd w:val="clear" w:color="auto" w:fill="auto"/>
          </w:tcPr>
          <w:p w:rsidR="001C3825" w:rsidRPr="00156FF2" w:rsidRDefault="001C3825">
            <w:pPr>
              <w:jc w:val="both"/>
              <w:rPr>
                <w:sz w:val="22"/>
                <w:szCs w:val="22"/>
              </w:rPr>
            </w:pPr>
            <w:r w:rsidRPr="00156FF2">
              <w:rPr>
                <w:sz w:val="22"/>
                <w:szCs w:val="22"/>
              </w:rPr>
              <w:t>Financial Services Providers</w:t>
            </w:r>
          </w:p>
        </w:tc>
      </w:tr>
      <w:tr w:rsidR="001C3825" w:rsidRPr="00156FF2">
        <w:trPr>
          <w:trHeight w:val="255"/>
        </w:trPr>
        <w:tc>
          <w:tcPr>
            <w:tcW w:w="1440" w:type="dxa"/>
            <w:tcBorders>
              <w:top w:val="nil"/>
              <w:left w:val="single" w:sz="4" w:space="0" w:color="auto"/>
              <w:bottom w:val="single" w:sz="4" w:space="0" w:color="auto"/>
              <w:right w:val="single" w:sz="4" w:space="0" w:color="auto"/>
            </w:tcBorders>
            <w:shd w:val="clear" w:color="auto" w:fill="auto"/>
          </w:tcPr>
          <w:p w:rsidR="001C3825" w:rsidRPr="00156FF2" w:rsidRDefault="001C3825">
            <w:pPr>
              <w:rPr>
                <w:sz w:val="22"/>
                <w:szCs w:val="22"/>
              </w:rPr>
            </w:pPr>
            <w:r w:rsidRPr="00156FF2">
              <w:rPr>
                <w:sz w:val="22"/>
                <w:szCs w:val="22"/>
              </w:rPr>
              <w:t>FSS</w:t>
            </w:r>
          </w:p>
        </w:tc>
        <w:tc>
          <w:tcPr>
            <w:tcW w:w="7458" w:type="dxa"/>
            <w:tcBorders>
              <w:top w:val="nil"/>
              <w:left w:val="nil"/>
              <w:bottom w:val="single" w:sz="4" w:space="0" w:color="auto"/>
              <w:right w:val="single" w:sz="4" w:space="0" w:color="auto"/>
            </w:tcBorders>
            <w:shd w:val="clear" w:color="auto" w:fill="auto"/>
          </w:tcPr>
          <w:p w:rsidR="001C3825" w:rsidRPr="00156FF2" w:rsidRDefault="001C3825">
            <w:pPr>
              <w:jc w:val="both"/>
              <w:rPr>
                <w:sz w:val="22"/>
                <w:szCs w:val="22"/>
              </w:rPr>
            </w:pPr>
            <w:r w:rsidRPr="00156FF2">
              <w:rPr>
                <w:sz w:val="22"/>
                <w:szCs w:val="22"/>
              </w:rPr>
              <w:t>Financial Self-sufficiency ratio</w:t>
            </w:r>
          </w:p>
        </w:tc>
      </w:tr>
      <w:tr w:rsidR="001C3825" w:rsidRPr="00156FF2">
        <w:trPr>
          <w:trHeight w:val="255"/>
        </w:trPr>
        <w:tc>
          <w:tcPr>
            <w:tcW w:w="1440" w:type="dxa"/>
            <w:tcBorders>
              <w:top w:val="nil"/>
              <w:left w:val="single" w:sz="4" w:space="0" w:color="auto"/>
              <w:bottom w:val="single" w:sz="4" w:space="0" w:color="auto"/>
              <w:right w:val="single" w:sz="4" w:space="0" w:color="auto"/>
            </w:tcBorders>
            <w:shd w:val="clear" w:color="auto" w:fill="auto"/>
          </w:tcPr>
          <w:p w:rsidR="001C3825" w:rsidRPr="00156FF2" w:rsidRDefault="001C3825">
            <w:pPr>
              <w:rPr>
                <w:sz w:val="22"/>
                <w:szCs w:val="22"/>
              </w:rPr>
            </w:pPr>
            <w:r w:rsidRPr="00156FF2">
              <w:rPr>
                <w:sz w:val="22"/>
                <w:szCs w:val="22"/>
              </w:rPr>
              <w:t>GoTL</w:t>
            </w:r>
          </w:p>
        </w:tc>
        <w:tc>
          <w:tcPr>
            <w:tcW w:w="7458" w:type="dxa"/>
            <w:tcBorders>
              <w:top w:val="nil"/>
              <w:left w:val="nil"/>
              <w:bottom w:val="single" w:sz="4" w:space="0" w:color="auto"/>
              <w:right w:val="single" w:sz="4" w:space="0" w:color="auto"/>
            </w:tcBorders>
            <w:shd w:val="clear" w:color="auto" w:fill="auto"/>
          </w:tcPr>
          <w:p w:rsidR="001C3825" w:rsidRPr="00156FF2" w:rsidRDefault="001C3825">
            <w:pPr>
              <w:jc w:val="both"/>
              <w:rPr>
                <w:sz w:val="22"/>
                <w:szCs w:val="22"/>
              </w:rPr>
            </w:pPr>
            <w:r w:rsidRPr="00156FF2">
              <w:rPr>
                <w:sz w:val="22"/>
                <w:szCs w:val="22"/>
              </w:rPr>
              <w:t>Government of Timor-Leste</w:t>
            </w:r>
          </w:p>
        </w:tc>
      </w:tr>
      <w:tr w:rsidR="007F584B" w:rsidRPr="00156FF2">
        <w:trPr>
          <w:trHeight w:val="255"/>
        </w:trPr>
        <w:tc>
          <w:tcPr>
            <w:tcW w:w="1440" w:type="dxa"/>
            <w:tcBorders>
              <w:top w:val="nil"/>
              <w:left w:val="single" w:sz="4" w:space="0" w:color="auto"/>
              <w:bottom w:val="single" w:sz="4" w:space="0" w:color="auto"/>
              <w:right w:val="single" w:sz="4" w:space="0" w:color="auto"/>
            </w:tcBorders>
            <w:shd w:val="clear" w:color="auto" w:fill="auto"/>
          </w:tcPr>
          <w:p w:rsidR="007F584B" w:rsidRPr="00156FF2" w:rsidRDefault="007F584B">
            <w:pPr>
              <w:rPr>
                <w:sz w:val="22"/>
                <w:szCs w:val="22"/>
              </w:rPr>
            </w:pPr>
            <w:r>
              <w:rPr>
                <w:sz w:val="22"/>
                <w:szCs w:val="22"/>
              </w:rPr>
              <w:t>HR</w:t>
            </w:r>
          </w:p>
        </w:tc>
        <w:tc>
          <w:tcPr>
            <w:tcW w:w="7458" w:type="dxa"/>
            <w:tcBorders>
              <w:top w:val="nil"/>
              <w:left w:val="nil"/>
              <w:bottom w:val="single" w:sz="4" w:space="0" w:color="auto"/>
              <w:right w:val="single" w:sz="4" w:space="0" w:color="auto"/>
            </w:tcBorders>
            <w:shd w:val="clear" w:color="auto" w:fill="auto"/>
          </w:tcPr>
          <w:p w:rsidR="007F584B" w:rsidRPr="00156FF2" w:rsidRDefault="007F584B">
            <w:pPr>
              <w:jc w:val="both"/>
              <w:rPr>
                <w:sz w:val="22"/>
                <w:szCs w:val="22"/>
              </w:rPr>
            </w:pPr>
            <w:r>
              <w:rPr>
                <w:sz w:val="22"/>
                <w:szCs w:val="22"/>
              </w:rPr>
              <w:t>Human resources</w:t>
            </w:r>
          </w:p>
        </w:tc>
      </w:tr>
      <w:tr w:rsidR="001C3825" w:rsidRPr="00156FF2">
        <w:trPr>
          <w:trHeight w:val="255"/>
        </w:trPr>
        <w:tc>
          <w:tcPr>
            <w:tcW w:w="1440" w:type="dxa"/>
            <w:tcBorders>
              <w:top w:val="nil"/>
              <w:left w:val="single" w:sz="4" w:space="0" w:color="auto"/>
              <w:bottom w:val="single" w:sz="4" w:space="0" w:color="auto"/>
              <w:right w:val="single" w:sz="4" w:space="0" w:color="auto"/>
            </w:tcBorders>
            <w:shd w:val="clear" w:color="auto" w:fill="auto"/>
          </w:tcPr>
          <w:p w:rsidR="001C3825" w:rsidRPr="00156FF2" w:rsidRDefault="001C3825">
            <w:pPr>
              <w:rPr>
                <w:sz w:val="22"/>
                <w:szCs w:val="22"/>
              </w:rPr>
            </w:pPr>
            <w:r w:rsidRPr="00156FF2">
              <w:rPr>
                <w:sz w:val="22"/>
                <w:szCs w:val="22"/>
              </w:rPr>
              <w:t>IFC</w:t>
            </w:r>
          </w:p>
        </w:tc>
        <w:tc>
          <w:tcPr>
            <w:tcW w:w="7458" w:type="dxa"/>
            <w:tcBorders>
              <w:top w:val="nil"/>
              <w:left w:val="nil"/>
              <w:bottom w:val="single" w:sz="4" w:space="0" w:color="auto"/>
              <w:right w:val="single" w:sz="4" w:space="0" w:color="auto"/>
            </w:tcBorders>
            <w:shd w:val="clear" w:color="auto" w:fill="auto"/>
          </w:tcPr>
          <w:p w:rsidR="001C3825" w:rsidRPr="00156FF2" w:rsidRDefault="001C3825">
            <w:pPr>
              <w:jc w:val="both"/>
              <w:rPr>
                <w:sz w:val="22"/>
                <w:szCs w:val="22"/>
              </w:rPr>
            </w:pPr>
            <w:r w:rsidRPr="00156FF2">
              <w:rPr>
                <w:sz w:val="22"/>
                <w:szCs w:val="22"/>
              </w:rPr>
              <w:t>International Finance Corporation</w:t>
            </w:r>
          </w:p>
        </w:tc>
      </w:tr>
      <w:tr w:rsidR="001C3825" w:rsidRPr="008C1B27">
        <w:trPr>
          <w:trHeight w:val="255"/>
        </w:trPr>
        <w:tc>
          <w:tcPr>
            <w:tcW w:w="1440" w:type="dxa"/>
            <w:tcBorders>
              <w:top w:val="nil"/>
              <w:left w:val="single" w:sz="4" w:space="0" w:color="auto"/>
              <w:bottom w:val="single" w:sz="4" w:space="0" w:color="auto"/>
              <w:right w:val="single" w:sz="4" w:space="0" w:color="auto"/>
            </w:tcBorders>
            <w:shd w:val="clear" w:color="auto" w:fill="auto"/>
          </w:tcPr>
          <w:p w:rsidR="001C3825" w:rsidRPr="00156FF2" w:rsidRDefault="001C3825">
            <w:pPr>
              <w:rPr>
                <w:sz w:val="22"/>
                <w:szCs w:val="22"/>
              </w:rPr>
            </w:pPr>
            <w:r w:rsidRPr="00156FF2">
              <w:rPr>
                <w:sz w:val="22"/>
                <w:szCs w:val="22"/>
              </w:rPr>
              <w:t>IMfTL</w:t>
            </w:r>
          </w:p>
        </w:tc>
        <w:tc>
          <w:tcPr>
            <w:tcW w:w="7458" w:type="dxa"/>
            <w:tcBorders>
              <w:top w:val="nil"/>
              <w:left w:val="nil"/>
              <w:bottom w:val="single" w:sz="4" w:space="0" w:color="auto"/>
              <w:right w:val="single" w:sz="4" w:space="0" w:color="auto"/>
            </w:tcBorders>
            <w:shd w:val="clear" w:color="auto" w:fill="auto"/>
          </w:tcPr>
          <w:p w:rsidR="001C3825" w:rsidRPr="008C1B27" w:rsidRDefault="001C3825">
            <w:pPr>
              <w:jc w:val="both"/>
              <w:rPr>
                <w:sz w:val="22"/>
                <w:szCs w:val="22"/>
                <w:lang w:val="fr-FR"/>
              </w:rPr>
            </w:pPr>
            <w:proofErr w:type="spellStart"/>
            <w:r w:rsidRPr="00156FF2">
              <w:rPr>
                <w:sz w:val="22"/>
                <w:szCs w:val="22"/>
                <w:lang w:val="es-MX"/>
              </w:rPr>
              <w:t>Instituicao</w:t>
            </w:r>
            <w:proofErr w:type="spellEnd"/>
            <w:r w:rsidRPr="00156FF2">
              <w:rPr>
                <w:sz w:val="22"/>
                <w:szCs w:val="22"/>
                <w:lang w:val="es-MX"/>
              </w:rPr>
              <w:t xml:space="preserve"> de </w:t>
            </w:r>
            <w:proofErr w:type="spellStart"/>
            <w:r w:rsidRPr="00156FF2">
              <w:rPr>
                <w:sz w:val="22"/>
                <w:szCs w:val="22"/>
                <w:lang w:val="es-MX"/>
              </w:rPr>
              <w:t>Microfinancas</w:t>
            </w:r>
            <w:proofErr w:type="spellEnd"/>
            <w:r w:rsidRPr="00156FF2">
              <w:rPr>
                <w:sz w:val="22"/>
                <w:szCs w:val="22"/>
                <w:lang w:val="es-MX"/>
              </w:rPr>
              <w:t xml:space="preserve"> de Timor-Leste</w:t>
            </w:r>
          </w:p>
        </w:tc>
      </w:tr>
      <w:tr w:rsidR="001C3825" w:rsidRPr="00156FF2">
        <w:trPr>
          <w:trHeight w:val="255"/>
        </w:trPr>
        <w:tc>
          <w:tcPr>
            <w:tcW w:w="1440" w:type="dxa"/>
            <w:tcBorders>
              <w:top w:val="nil"/>
              <w:left w:val="single" w:sz="4" w:space="0" w:color="auto"/>
              <w:bottom w:val="single" w:sz="4" w:space="0" w:color="auto"/>
              <w:right w:val="single" w:sz="4" w:space="0" w:color="auto"/>
            </w:tcBorders>
            <w:shd w:val="clear" w:color="auto" w:fill="auto"/>
          </w:tcPr>
          <w:p w:rsidR="001C3825" w:rsidRPr="00156FF2" w:rsidRDefault="001C3825">
            <w:pPr>
              <w:rPr>
                <w:sz w:val="22"/>
                <w:szCs w:val="22"/>
              </w:rPr>
            </w:pPr>
            <w:r w:rsidRPr="00156FF2">
              <w:rPr>
                <w:sz w:val="22"/>
                <w:szCs w:val="22"/>
              </w:rPr>
              <w:t>INFUSE</w:t>
            </w:r>
          </w:p>
        </w:tc>
        <w:tc>
          <w:tcPr>
            <w:tcW w:w="7458" w:type="dxa"/>
            <w:tcBorders>
              <w:top w:val="nil"/>
              <w:left w:val="nil"/>
              <w:bottom w:val="single" w:sz="4" w:space="0" w:color="auto"/>
              <w:right w:val="single" w:sz="4" w:space="0" w:color="auto"/>
            </w:tcBorders>
            <w:shd w:val="clear" w:color="auto" w:fill="auto"/>
          </w:tcPr>
          <w:p w:rsidR="001C3825" w:rsidRPr="00156FF2" w:rsidRDefault="001C3825">
            <w:pPr>
              <w:jc w:val="both"/>
              <w:rPr>
                <w:sz w:val="22"/>
                <w:szCs w:val="22"/>
              </w:rPr>
            </w:pPr>
            <w:r w:rsidRPr="00156FF2">
              <w:rPr>
                <w:sz w:val="22"/>
                <w:szCs w:val="22"/>
              </w:rPr>
              <w:t>Inclusive Finance for the Under-Served Economy</w:t>
            </w:r>
          </w:p>
        </w:tc>
      </w:tr>
      <w:tr w:rsidR="001C3825" w:rsidRPr="00156FF2">
        <w:trPr>
          <w:trHeight w:val="255"/>
        </w:trPr>
        <w:tc>
          <w:tcPr>
            <w:tcW w:w="1440" w:type="dxa"/>
            <w:tcBorders>
              <w:top w:val="nil"/>
              <w:left w:val="single" w:sz="4" w:space="0" w:color="auto"/>
              <w:bottom w:val="single" w:sz="4" w:space="0" w:color="auto"/>
              <w:right w:val="single" w:sz="4" w:space="0" w:color="auto"/>
            </w:tcBorders>
            <w:shd w:val="clear" w:color="auto" w:fill="auto"/>
          </w:tcPr>
          <w:p w:rsidR="001C3825" w:rsidRPr="00156FF2" w:rsidRDefault="001C3825">
            <w:pPr>
              <w:rPr>
                <w:sz w:val="22"/>
                <w:szCs w:val="22"/>
              </w:rPr>
            </w:pPr>
            <w:r w:rsidRPr="00156FF2">
              <w:rPr>
                <w:sz w:val="22"/>
                <w:szCs w:val="22"/>
              </w:rPr>
              <w:t>INDMO</w:t>
            </w:r>
          </w:p>
        </w:tc>
        <w:tc>
          <w:tcPr>
            <w:tcW w:w="7458" w:type="dxa"/>
            <w:tcBorders>
              <w:top w:val="nil"/>
              <w:left w:val="nil"/>
              <w:bottom w:val="single" w:sz="4" w:space="0" w:color="auto"/>
              <w:right w:val="single" w:sz="4" w:space="0" w:color="auto"/>
            </w:tcBorders>
            <w:shd w:val="clear" w:color="auto" w:fill="auto"/>
          </w:tcPr>
          <w:p w:rsidR="001C3825" w:rsidRPr="00156FF2" w:rsidRDefault="00697746">
            <w:pPr>
              <w:jc w:val="both"/>
              <w:rPr>
                <w:sz w:val="22"/>
                <w:szCs w:val="22"/>
              </w:rPr>
            </w:pPr>
            <w:r w:rsidRPr="00156FF2">
              <w:rPr>
                <w:sz w:val="22"/>
                <w:szCs w:val="22"/>
              </w:rPr>
              <w:t xml:space="preserve">Institusaun Nacional Desenvolvimento Maun d’Obre / </w:t>
            </w:r>
            <w:r w:rsidR="001C3825" w:rsidRPr="00156FF2">
              <w:rPr>
                <w:sz w:val="22"/>
                <w:szCs w:val="22"/>
              </w:rPr>
              <w:t xml:space="preserve">National </w:t>
            </w:r>
            <w:r w:rsidR="00620C25" w:rsidRPr="00156FF2">
              <w:rPr>
                <w:sz w:val="22"/>
                <w:szCs w:val="22"/>
              </w:rPr>
              <w:t>Labor</w:t>
            </w:r>
            <w:r w:rsidR="001C3825" w:rsidRPr="00156FF2">
              <w:rPr>
                <w:sz w:val="22"/>
                <w:szCs w:val="22"/>
              </w:rPr>
              <w:t xml:space="preserve"> Force Development Institute</w:t>
            </w:r>
          </w:p>
        </w:tc>
      </w:tr>
      <w:tr w:rsidR="000A37CA" w:rsidRPr="00156FF2">
        <w:trPr>
          <w:trHeight w:val="255"/>
        </w:trPr>
        <w:tc>
          <w:tcPr>
            <w:tcW w:w="1440" w:type="dxa"/>
            <w:tcBorders>
              <w:top w:val="nil"/>
              <w:left w:val="single" w:sz="4" w:space="0" w:color="auto"/>
              <w:bottom w:val="single" w:sz="4" w:space="0" w:color="auto"/>
              <w:right w:val="single" w:sz="4" w:space="0" w:color="auto"/>
            </w:tcBorders>
            <w:shd w:val="clear" w:color="auto" w:fill="auto"/>
          </w:tcPr>
          <w:p w:rsidR="000A37CA" w:rsidRPr="00156FF2" w:rsidRDefault="000A37CA">
            <w:pPr>
              <w:rPr>
                <w:sz w:val="22"/>
                <w:szCs w:val="22"/>
              </w:rPr>
            </w:pPr>
            <w:r>
              <w:rPr>
                <w:sz w:val="22"/>
                <w:szCs w:val="22"/>
              </w:rPr>
              <w:t>MC</w:t>
            </w:r>
          </w:p>
        </w:tc>
        <w:tc>
          <w:tcPr>
            <w:tcW w:w="7458" w:type="dxa"/>
            <w:tcBorders>
              <w:top w:val="nil"/>
              <w:left w:val="nil"/>
              <w:bottom w:val="single" w:sz="4" w:space="0" w:color="auto"/>
              <w:right w:val="single" w:sz="4" w:space="0" w:color="auto"/>
            </w:tcBorders>
            <w:shd w:val="clear" w:color="auto" w:fill="auto"/>
          </w:tcPr>
          <w:p w:rsidR="000A37CA" w:rsidRPr="00156FF2" w:rsidRDefault="000A37CA">
            <w:pPr>
              <w:jc w:val="both"/>
              <w:rPr>
                <w:sz w:val="22"/>
                <w:szCs w:val="22"/>
              </w:rPr>
            </w:pPr>
            <w:r>
              <w:rPr>
                <w:sz w:val="22"/>
                <w:szCs w:val="22"/>
              </w:rPr>
              <w:t>Mercy Corps</w:t>
            </w:r>
          </w:p>
        </w:tc>
      </w:tr>
      <w:tr w:rsidR="001C3825" w:rsidRPr="00156FF2">
        <w:trPr>
          <w:trHeight w:val="255"/>
        </w:trPr>
        <w:tc>
          <w:tcPr>
            <w:tcW w:w="1440" w:type="dxa"/>
            <w:tcBorders>
              <w:top w:val="nil"/>
              <w:left w:val="single" w:sz="4" w:space="0" w:color="auto"/>
              <w:bottom w:val="single" w:sz="4" w:space="0" w:color="auto"/>
              <w:right w:val="single" w:sz="4" w:space="0" w:color="auto"/>
            </w:tcBorders>
            <w:shd w:val="clear" w:color="auto" w:fill="auto"/>
          </w:tcPr>
          <w:p w:rsidR="001C3825" w:rsidRPr="00156FF2" w:rsidRDefault="001C3825">
            <w:pPr>
              <w:rPr>
                <w:sz w:val="22"/>
                <w:szCs w:val="22"/>
              </w:rPr>
            </w:pPr>
            <w:r w:rsidRPr="00156FF2">
              <w:rPr>
                <w:sz w:val="22"/>
                <w:szCs w:val="22"/>
              </w:rPr>
              <w:t>MCIF</w:t>
            </w:r>
          </w:p>
        </w:tc>
        <w:tc>
          <w:tcPr>
            <w:tcW w:w="7458" w:type="dxa"/>
            <w:tcBorders>
              <w:top w:val="nil"/>
              <w:left w:val="nil"/>
              <w:bottom w:val="single" w:sz="4" w:space="0" w:color="auto"/>
              <w:right w:val="single" w:sz="4" w:space="0" w:color="auto"/>
            </w:tcBorders>
            <w:shd w:val="clear" w:color="auto" w:fill="auto"/>
          </w:tcPr>
          <w:p w:rsidR="001C3825" w:rsidRPr="00156FF2" w:rsidRDefault="001C3825">
            <w:pPr>
              <w:jc w:val="both"/>
              <w:rPr>
                <w:sz w:val="22"/>
                <w:szCs w:val="22"/>
              </w:rPr>
            </w:pPr>
            <w:r w:rsidRPr="00156FF2">
              <w:rPr>
                <w:sz w:val="22"/>
                <w:szCs w:val="22"/>
              </w:rPr>
              <w:t xml:space="preserve">Management </w:t>
            </w:r>
            <w:r w:rsidR="00690FF3">
              <w:rPr>
                <w:sz w:val="22"/>
                <w:szCs w:val="22"/>
              </w:rPr>
              <w:t>Committee for Inclusive Finance</w:t>
            </w:r>
          </w:p>
        </w:tc>
      </w:tr>
      <w:tr w:rsidR="001C3825" w:rsidRPr="00156FF2">
        <w:trPr>
          <w:trHeight w:val="255"/>
        </w:trPr>
        <w:tc>
          <w:tcPr>
            <w:tcW w:w="1440" w:type="dxa"/>
            <w:tcBorders>
              <w:top w:val="nil"/>
              <w:left w:val="single" w:sz="4" w:space="0" w:color="auto"/>
              <w:bottom w:val="single" w:sz="4" w:space="0" w:color="auto"/>
              <w:right w:val="single" w:sz="4" w:space="0" w:color="auto"/>
            </w:tcBorders>
            <w:shd w:val="clear" w:color="auto" w:fill="auto"/>
          </w:tcPr>
          <w:p w:rsidR="001C3825" w:rsidRPr="00156FF2" w:rsidRDefault="001C3825">
            <w:pPr>
              <w:rPr>
                <w:sz w:val="22"/>
                <w:szCs w:val="22"/>
              </w:rPr>
            </w:pPr>
            <w:r w:rsidRPr="00156FF2">
              <w:rPr>
                <w:sz w:val="22"/>
                <w:szCs w:val="22"/>
              </w:rPr>
              <w:t>MCRIL</w:t>
            </w:r>
          </w:p>
        </w:tc>
        <w:tc>
          <w:tcPr>
            <w:tcW w:w="7458" w:type="dxa"/>
            <w:tcBorders>
              <w:top w:val="nil"/>
              <w:left w:val="nil"/>
              <w:bottom w:val="single" w:sz="4" w:space="0" w:color="auto"/>
              <w:right w:val="single" w:sz="4" w:space="0" w:color="auto"/>
            </w:tcBorders>
            <w:shd w:val="clear" w:color="auto" w:fill="auto"/>
          </w:tcPr>
          <w:p w:rsidR="001C3825" w:rsidRPr="00156FF2" w:rsidRDefault="001C3825">
            <w:pPr>
              <w:jc w:val="both"/>
              <w:rPr>
                <w:sz w:val="22"/>
                <w:szCs w:val="22"/>
              </w:rPr>
            </w:pPr>
            <w:proofErr w:type="spellStart"/>
            <w:r w:rsidRPr="00156FF2">
              <w:rPr>
                <w:sz w:val="22"/>
                <w:szCs w:val="22"/>
              </w:rPr>
              <w:t>MicroRating</w:t>
            </w:r>
            <w:proofErr w:type="spellEnd"/>
            <w:r w:rsidRPr="00156FF2">
              <w:rPr>
                <w:sz w:val="22"/>
                <w:szCs w:val="22"/>
              </w:rPr>
              <w:t xml:space="preserve"> International (microfinance rating agency)</w:t>
            </w:r>
          </w:p>
        </w:tc>
      </w:tr>
      <w:tr w:rsidR="001C3825" w:rsidRPr="00156FF2">
        <w:trPr>
          <w:trHeight w:val="255"/>
        </w:trPr>
        <w:tc>
          <w:tcPr>
            <w:tcW w:w="1440" w:type="dxa"/>
            <w:tcBorders>
              <w:top w:val="nil"/>
              <w:left w:val="single" w:sz="4" w:space="0" w:color="auto"/>
              <w:bottom w:val="single" w:sz="4" w:space="0" w:color="auto"/>
              <w:right w:val="single" w:sz="4" w:space="0" w:color="auto"/>
            </w:tcBorders>
            <w:shd w:val="clear" w:color="auto" w:fill="auto"/>
          </w:tcPr>
          <w:p w:rsidR="001C3825" w:rsidRPr="00156FF2" w:rsidRDefault="001C3825">
            <w:pPr>
              <w:rPr>
                <w:sz w:val="22"/>
                <w:szCs w:val="22"/>
              </w:rPr>
            </w:pPr>
            <w:r w:rsidRPr="00156FF2">
              <w:rPr>
                <w:sz w:val="22"/>
                <w:szCs w:val="22"/>
              </w:rPr>
              <w:t>MDG(s)</w:t>
            </w:r>
          </w:p>
        </w:tc>
        <w:tc>
          <w:tcPr>
            <w:tcW w:w="7458" w:type="dxa"/>
            <w:tcBorders>
              <w:top w:val="nil"/>
              <w:left w:val="nil"/>
              <w:bottom w:val="single" w:sz="4" w:space="0" w:color="auto"/>
              <w:right w:val="single" w:sz="4" w:space="0" w:color="auto"/>
            </w:tcBorders>
            <w:shd w:val="clear" w:color="auto" w:fill="auto"/>
          </w:tcPr>
          <w:p w:rsidR="001C3825" w:rsidRPr="00156FF2" w:rsidRDefault="001C3825">
            <w:pPr>
              <w:jc w:val="both"/>
              <w:rPr>
                <w:sz w:val="22"/>
                <w:szCs w:val="22"/>
              </w:rPr>
            </w:pPr>
            <w:r w:rsidRPr="00156FF2">
              <w:rPr>
                <w:sz w:val="22"/>
                <w:szCs w:val="22"/>
              </w:rPr>
              <w:t>Millennium Development Goal(s)</w:t>
            </w:r>
          </w:p>
        </w:tc>
      </w:tr>
      <w:tr w:rsidR="001C3825" w:rsidRPr="00156FF2">
        <w:trPr>
          <w:trHeight w:val="255"/>
        </w:trPr>
        <w:tc>
          <w:tcPr>
            <w:tcW w:w="1440" w:type="dxa"/>
            <w:tcBorders>
              <w:top w:val="nil"/>
              <w:left w:val="single" w:sz="4" w:space="0" w:color="auto"/>
              <w:bottom w:val="single" w:sz="4" w:space="0" w:color="auto"/>
              <w:right w:val="single" w:sz="4" w:space="0" w:color="auto"/>
            </w:tcBorders>
            <w:shd w:val="clear" w:color="auto" w:fill="auto"/>
          </w:tcPr>
          <w:p w:rsidR="001C3825" w:rsidRPr="00156FF2" w:rsidRDefault="001C3825">
            <w:pPr>
              <w:rPr>
                <w:sz w:val="22"/>
                <w:szCs w:val="22"/>
              </w:rPr>
            </w:pPr>
            <w:r w:rsidRPr="00156FF2">
              <w:rPr>
                <w:sz w:val="22"/>
                <w:szCs w:val="22"/>
              </w:rPr>
              <w:t>MDTF</w:t>
            </w:r>
          </w:p>
        </w:tc>
        <w:tc>
          <w:tcPr>
            <w:tcW w:w="7458" w:type="dxa"/>
            <w:tcBorders>
              <w:top w:val="nil"/>
              <w:left w:val="nil"/>
              <w:bottom w:val="single" w:sz="4" w:space="0" w:color="auto"/>
              <w:right w:val="single" w:sz="4" w:space="0" w:color="auto"/>
            </w:tcBorders>
            <w:shd w:val="clear" w:color="auto" w:fill="auto"/>
          </w:tcPr>
          <w:p w:rsidR="001C3825" w:rsidRPr="00156FF2" w:rsidRDefault="001C3825">
            <w:pPr>
              <w:jc w:val="both"/>
              <w:rPr>
                <w:sz w:val="22"/>
                <w:szCs w:val="22"/>
              </w:rPr>
            </w:pPr>
            <w:r w:rsidRPr="00156FF2">
              <w:rPr>
                <w:sz w:val="22"/>
                <w:szCs w:val="22"/>
              </w:rPr>
              <w:t>Multi-donor Trust Fund</w:t>
            </w:r>
          </w:p>
        </w:tc>
      </w:tr>
      <w:tr w:rsidR="00697746" w:rsidRPr="00156FF2">
        <w:trPr>
          <w:trHeight w:val="255"/>
        </w:trPr>
        <w:tc>
          <w:tcPr>
            <w:tcW w:w="1440" w:type="dxa"/>
            <w:tcBorders>
              <w:top w:val="nil"/>
              <w:left w:val="single" w:sz="4" w:space="0" w:color="auto"/>
              <w:bottom w:val="single" w:sz="4" w:space="0" w:color="auto"/>
              <w:right w:val="single" w:sz="4" w:space="0" w:color="auto"/>
            </w:tcBorders>
            <w:shd w:val="clear" w:color="auto" w:fill="auto"/>
          </w:tcPr>
          <w:p w:rsidR="00697746" w:rsidRPr="00156FF2" w:rsidRDefault="00697746">
            <w:pPr>
              <w:rPr>
                <w:sz w:val="22"/>
                <w:szCs w:val="22"/>
              </w:rPr>
            </w:pPr>
            <w:r w:rsidRPr="00156FF2">
              <w:rPr>
                <w:sz w:val="22"/>
                <w:szCs w:val="22"/>
              </w:rPr>
              <w:t>MF</w:t>
            </w:r>
          </w:p>
        </w:tc>
        <w:tc>
          <w:tcPr>
            <w:tcW w:w="7458" w:type="dxa"/>
            <w:tcBorders>
              <w:top w:val="nil"/>
              <w:left w:val="nil"/>
              <w:bottom w:val="single" w:sz="4" w:space="0" w:color="auto"/>
              <w:right w:val="single" w:sz="4" w:space="0" w:color="auto"/>
            </w:tcBorders>
            <w:shd w:val="clear" w:color="auto" w:fill="auto"/>
          </w:tcPr>
          <w:p w:rsidR="00697746" w:rsidRPr="00156FF2" w:rsidRDefault="00697746">
            <w:pPr>
              <w:jc w:val="both"/>
              <w:rPr>
                <w:sz w:val="22"/>
                <w:szCs w:val="22"/>
              </w:rPr>
            </w:pPr>
            <w:r w:rsidRPr="00156FF2">
              <w:rPr>
                <w:sz w:val="22"/>
                <w:szCs w:val="22"/>
              </w:rPr>
              <w:t>Microfinance</w:t>
            </w:r>
          </w:p>
        </w:tc>
      </w:tr>
      <w:tr w:rsidR="001C3825" w:rsidRPr="00156FF2">
        <w:trPr>
          <w:trHeight w:val="255"/>
        </w:trPr>
        <w:tc>
          <w:tcPr>
            <w:tcW w:w="1440" w:type="dxa"/>
            <w:tcBorders>
              <w:top w:val="nil"/>
              <w:left w:val="single" w:sz="4" w:space="0" w:color="auto"/>
              <w:bottom w:val="single" w:sz="4" w:space="0" w:color="auto"/>
              <w:right w:val="single" w:sz="4" w:space="0" w:color="auto"/>
            </w:tcBorders>
            <w:shd w:val="clear" w:color="auto" w:fill="auto"/>
          </w:tcPr>
          <w:p w:rsidR="001C3825" w:rsidRPr="00156FF2" w:rsidRDefault="001C3825">
            <w:pPr>
              <w:rPr>
                <w:sz w:val="22"/>
                <w:szCs w:val="22"/>
              </w:rPr>
            </w:pPr>
            <w:r w:rsidRPr="00156FF2">
              <w:rPr>
                <w:sz w:val="22"/>
                <w:szCs w:val="22"/>
              </w:rPr>
              <w:t>MFIs</w:t>
            </w:r>
          </w:p>
        </w:tc>
        <w:tc>
          <w:tcPr>
            <w:tcW w:w="7458" w:type="dxa"/>
            <w:tcBorders>
              <w:top w:val="nil"/>
              <w:left w:val="nil"/>
              <w:bottom w:val="single" w:sz="4" w:space="0" w:color="auto"/>
              <w:right w:val="single" w:sz="4" w:space="0" w:color="auto"/>
            </w:tcBorders>
            <w:shd w:val="clear" w:color="auto" w:fill="auto"/>
          </w:tcPr>
          <w:p w:rsidR="001C3825" w:rsidRPr="00156FF2" w:rsidRDefault="001C3825">
            <w:pPr>
              <w:jc w:val="both"/>
              <w:rPr>
                <w:sz w:val="22"/>
                <w:szCs w:val="22"/>
              </w:rPr>
            </w:pPr>
            <w:r w:rsidRPr="00156FF2">
              <w:rPr>
                <w:sz w:val="22"/>
                <w:szCs w:val="22"/>
              </w:rPr>
              <w:t>Microfinance Institutions</w:t>
            </w:r>
          </w:p>
        </w:tc>
      </w:tr>
      <w:tr w:rsidR="001C3825" w:rsidRPr="00156FF2">
        <w:trPr>
          <w:trHeight w:val="255"/>
        </w:trPr>
        <w:tc>
          <w:tcPr>
            <w:tcW w:w="1440" w:type="dxa"/>
            <w:tcBorders>
              <w:top w:val="nil"/>
              <w:left w:val="single" w:sz="4" w:space="0" w:color="auto"/>
              <w:bottom w:val="single" w:sz="4" w:space="0" w:color="auto"/>
              <w:right w:val="single" w:sz="4" w:space="0" w:color="auto"/>
            </w:tcBorders>
            <w:shd w:val="clear" w:color="auto" w:fill="auto"/>
          </w:tcPr>
          <w:p w:rsidR="001C3825" w:rsidRPr="00156FF2" w:rsidRDefault="001C3825">
            <w:pPr>
              <w:rPr>
                <w:sz w:val="22"/>
                <w:szCs w:val="22"/>
              </w:rPr>
            </w:pPr>
            <w:r w:rsidRPr="00156FF2">
              <w:rPr>
                <w:sz w:val="22"/>
                <w:szCs w:val="22"/>
              </w:rPr>
              <w:t>MIS</w:t>
            </w:r>
          </w:p>
        </w:tc>
        <w:tc>
          <w:tcPr>
            <w:tcW w:w="7458" w:type="dxa"/>
            <w:tcBorders>
              <w:top w:val="nil"/>
              <w:left w:val="nil"/>
              <w:bottom w:val="single" w:sz="4" w:space="0" w:color="auto"/>
              <w:right w:val="single" w:sz="4" w:space="0" w:color="auto"/>
            </w:tcBorders>
            <w:shd w:val="clear" w:color="auto" w:fill="auto"/>
          </w:tcPr>
          <w:p w:rsidR="001C3825" w:rsidRPr="00156FF2" w:rsidRDefault="001C3825">
            <w:pPr>
              <w:jc w:val="both"/>
              <w:rPr>
                <w:sz w:val="22"/>
                <w:szCs w:val="22"/>
              </w:rPr>
            </w:pPr>
            <w:r w:rsidRPr="00156FF2">
              <w:rPr>
                <w:sz w:val="22"/>
                <w:szCs w:val="22"/>
              </w:rPr>
              <w:t>Management Information System</w:t>
            </w:r>
          </w:p>
        </w:tc>
      </w:tr>
      <w:tr w:rsidR="001C3825" w:rsidRPr="00156FF2">
        <w:trPr>
          <w:trHeight w:val="255"/>
        </w:trPr>
        <w:tc>
          <w:tcPr>
            <w:tcW w:w="1440" w:type="dxa"/>
            <w:tcBorders>
              <w:top w:val="nil"/>
              <w:left w:val="single" w:sz="4" w:space="0" w:color="auto"/>
              <w:bottom w:val="single" w:sz="4" w:space="0" w:color="auto"/>
              <w:right w:val="single" w:sz="4" w:space="0" w:color="auto"/>
            </w:tcBorders>
            <w:shd w:val="clear" w:color="auto" w:fill="auto"/>
          </w:tcPr>
          <w:p w:rsidR="001C3825" w:rsidRPr="00156FF2" w:rsidRDefault="001C3825">
            <w:pPr>
              <w:rPr>
                <w:sz w:val="22"/>
                <w:szCs w:val="22"/>
              </w:rPr>
            </w:pPr>
            <w:r w:rsidRPr="00156FF2">
              <w:rPr>
                <w:sz w:val="22"/>
                <w:szCs w:val="22"/>
              </w:rPr>
              <w:t>MoED</w:t>
            </w:r>
          </w:p>
        </w:tc>
        <w:tc>
          <w:tcPr>
            <w:tcW w:w="7458" w:type="dxa"/>
            <w:tcBorders>
              <w:top w:val="nil"/>
              <w:left w:val="nil"/>
              <w:bottom w:val="single" w:sz="4" w:space="0" w:color="auto"/>
              <w:right w:val="single" w:sz="4" w:space="0" w:color="auto"/>
            </w:tcBorders>
            <w:shd w:val="clear" w:color="auto" w:fill="auto"/>
          </w:tcPr>
          <w:p w:rsidR="001C3825" w:rsidRPr="00156FF2" w:rsidRDefault="001C3825">
            <w:pPr>
              <w:jc w:val="both"/>
              <w:rPr>
                <w:sz w:val="22"/>
                <w:szCs w:val="22"/>
              </w:rPr>
            </w:pPr>
            <w:r w:rsidRPr="00156FF2">
              <w:rPr>
                <w:sz w:val="22"/>
                <w:szCs w:val="22"/>
              </w:rPr>
              <w:t>Ministry of Economy and Development</w:t>
            </w:r>
          </w:p>
        </w:tc>
      </w:tr>
      <w:tr w:rsidR="001C3825" w:rsidRPr="00156FF2">
        <w:trPr>
          <w:trHeight w:val="255"/>
        </w:trPr>
        <w:tc>
          <w:tcPr>
            <w:tcW w:w="1440" w:type="dxa"/>
            <w:tcBorders>
              <w:top w:val="nil"/>
              <w:left w:val="single" w:sz="4" w:space="0" w:color="auto"/>
              <w:bottom w:val="single" w:sz="4" w:space="0" w:color="auto"/>
              <w:right w:val="single" w:sz="4" w:space="0" w:color="auto"/>
            </w:tcBorders>
            <w:shd w:val="clear" w:color="auto" w:fill="auto"/>
          </w:tcPr>
          <w:p w:rsidR="001C3825" w:rsidRPr="00156FF2" w:rsidRDefault="001C3825">
            <w:pPr>
              <w:rPr>
                <w:sz w:val="22"/>
                <w:szCs w:val="22"/>
              </w:rPr>
            </w:pPr>
            <w:r w:rsidRPr="00156FF2">
              <w:rPr>
                <w:sz w:val="22"/>
                <w:szCs w:val="22"/>
              </w:rPr>
              <w:t>MR</w:t>
            </w:r>
          </w:p>
        </w:tc>
        <w:tc>
          <w:tcPr>
            <w:tcW w:w="7458" w:type="dxa"/>
            <w:tcBorders>
              <w:top w:val="nil"/>
              <w:left w:val="nil"/>
              <w:bottom w:val="single" w:sz="4" w:space="0" w:color="auto"/>
              <w:right w:val="single" w:sz="4" w:space="0" w:color="auto"/>
            </w:tcBorders>
            <w:shd w:val="clear" w:color="auto" w:fill="auto"/>
          </w:tcPr>
          <w:p w:rsidR="001C3825" w:rsidRPr="00156FF2" w:rsidRDefault="001C3825">
            <w:pPr>
              <w:jc w:val="both"/>
              <w:rPr>
                <w:sz w:val="22"/>
                <w:szCs w:val="22"/>
              </w:rPr>
            </w:pPr>
            <w:r w:rsidRPr="00156FF2">
              <w:rPr>
                <w:sz w:val="22"/>
                <w:szCs w:val="22"/>
              </w:rPr>
              <w:t>Moris Rasik</w:t>
            </w:r>
          </w:p>
        </w:tc>
      </w:tr>
      <w:tr w:rsidR="00E207B6" w:rsidRPr="00156FF2">
        <w:trPr>
          <w:trHeight w:val="255"/>
        </w:trPr>
        <w:tc>
          <w:tcPr>
            <w:tcW w:w="1440" w:type="dxa"/>
            <w:tcBorders>
              <w:top w:val="nil"/>
              <w:left w:val="single" w:sz="4" w:space="0" w:color="auto"/>
              <w:bottom w:val="single" w:sz="4" w:space="0" w:color="auto"/>
              <w:right w:val="single" w:sz="4" w:space="0" w:color="auto"/>
            </w:tcBorders>
            <w:shd w:val="clear" w:color="auto" w:fill="auto"/>
          </w:tcPr>
          <w:p w:rsidR="00E207B6" w:rsidRPr="00156FF2" w:rsidRDefault="00E207B6">
            <w:pPr>
              <w:rPr>
                <w:sz w:val="22"/>
                <w:szCs w:val="22"/>
              </w:rPr>
            </w:pPr>
            <w:r>
              <w:rPr>
                <w:sz w:val="22"/>
                <w:szCs w:val="22"/>
              </w:rPr>
              <w:t>NITL</w:t>
            </w:r>
          </w:p>
        </w:tc>
        <w:tc>
          <w:tcPr>
            <w:tcW w:w="7458" w:type="dxa"/>
            <w:tcBorders>
              <w:top w:val="nil"/>
              <w:left w:val="nil"/>
              <w:bottom w:val="single" w:sz="4" w:space="0" w:color="auto"/>
              <w:right w:val="single" w:sz="4" w:space="0" w:color="auto"/>
            </w:tcBorders>
            <w:shd w:val="clear" w:color="auto" w:fill="auto"/>
          </w:tcPr>
          <w:p w:rsidR="00E207B6" w:rsidRPr="00156FF2" w:rsidRDefault="00E207B6">
            <w:pPr>
              <w:jc w:val="both"/>
              <w:rPr>
                <w:sz w:val="22"/>
                <w:szCs w:val="22"/>
              </w:rPr>
            </w:pPr>
            <w:r w:rsidRPr="00E207B6">
              <w:rPr>
                <w:sz w:val="22"/>
                <w:szCs w:val="22"/>
              </w:rPr>
              <w:t>National I</w:t>
            </w:r>
            <w:r>
              <w:rPr>
                <w:sz w:val="22"/>
                <w:szCs w:val="22"/>
              </w:rPr>
              <w:t>nsurance of Timor-</w:t>
            </w:r>
            <w:r w:rsidRPr="00E207B6">
              <w:rPr>
                <w:sz w:val="22"/>
                <w:szCs w:val="22"/>
              </w:rPr>
              <w:t>Leste</w:t>
            </w:r>
          </w:p>
        </w:tc>
      </w:tr>
      <w:tr w:rsidR="001C3825" w:rsidRPr="00156FF2">
        <w:trPr>
          <w:trHeight w:val="255"/>
        </w:trPr>
        <w:tc>
          <w:tcPr>
            <w:tcW w:w="1440" w:type="dxa"/>
            <w:tcBorders>
              <w:top w:val="nil"/>
              <w:left w:val="single" w:sz="4" w:space="0" w:color="auto"/>
              <w:bottom w:val="single" w:sz="4" w:space="0" w:color="auto"/>
              <w:right w:val="single" w:sz="4" w:space="0" w:color="auto"/>
            </w:tcBorders>
            <w:shd w:val="clear" w:color="auto" w:fill="auto"/>
          </w:tcPr>
          <w:p w:rsidR="001C3825" w:rsidRPr="00156FF2" w:rsidRDefault="001C3825">
            <w:pPr>
              <w:rPr>
                <w:sz w:val="22"/>
                <w:szCs w:val="22"/>
              </w:rPr>
            </w:pPr>
            <w:r w:rsidRPr="00156FF2">
              <w:rPr>
                <w:sz w:val="22"/>
                <w:szCs w:val="22"/>
              </w:rPr>
              <w:t>NGO</w:t>
            </w:r>
          </w:p>
        </w:tc>
        <w:tc>
          <w:tcPr>
            <w:tcW w:w="7458" w:type="dxa"/>
            <w:tcBorders>
              <w:top w:val="nil"/>
              <w:left w:val="nil"/>
              <w:bottom w:val="single" w:sz="4" w:space="0" w:color="auto"/>
              <w:right w:val="single" w:sz="4" w:space="0" w:color="auto"/>
            </w:tcBorders>
            <w:shd w:val="clear" w:color="auto" w:fill="auto"/>
          </w:tcPr>
          <w:p w:rsidR="001C3825" w:rsidRPr="00156FF2" w:rsidRDefault="001C3825">
            <w:pPr>
              <w:jc w:val="both"/>
              <w:rPr>
                <w:sz w:val="22"/>
                <w:szCs w:val="22"/>
              </w:rPr>
            </w:pPr>
            <w:r w:rsidRPr="00156FF2">
              <w:rPr>
                <w:sz w:val="22"/>
                <w:szCs w:val="22"/>
              </w:rPr>
              <w:t>Non-Government Organization</w:t>
            </w:r>
          </w:p>
        </w:tc>
      </w:tr>
      <w:tr w:rsidR="001C3825" w:rsidRPr="00156FF2">
        <w:trPr>
          <w:trHeight w:val="255"/>
        </w:trPr>
        <w:tc>
          <w:tcPr>
            <w:tcW w:w="1440" w:type="dxa"/>
            <w:tcBorders>
              <w:top w:val="nil"/>
              <w:left w:val="single" w:sz="4" w:space="0" w:color="auto"/>
              <w:bottom w:val="single" w:sz="4" w:space="0" w:color="auto"/>
              <w:right w:val="single" w:sz="4" w:space="0" w:color="auto"/>
            </w:tcBorders>
            <w:shd w:val="clear" w:color="auto" w:fill="auto"/>
          </w:tcPr>
          <w:p w:rsidR="001C3825" w:rsidRPr="00156FF2" w:rsidRDefault="001C3825">
            <w:pPr>
              <w:rPr>
                <w:sz w:val="22"/>
                <w:szCs w:val="22"/>
              </w:rPr>
            </w:pPr>
            <w:r w:rsidRPr="00156FF2">
              <w:rPr>
                <w:sz w:val="22"/>
                <w:szCs w:val="22"/>
              </w:rPr>
              <w:t>NPWG</w:t>
            </w:r>
          </w:p>
        </w:tc>
        <w:tc>
          <w:tcPr>
            <w:tcW w:w="7458" w:type="dxa"/>
            <w:tcBorders>
              <w:top w:val="nil"/>
              <w:left w:val="nil"/>
              <w:bottom w:val="single" w:sz="4" w:space="0" w:color="auto"/>
              <w:right w:val="single" w:sz="4" w:space="0" w:color="auto"/>
            </w:tcBorders>
            <w:shd w:val="clear" w:color="auto" w:fill="auto"/>
          </w:tcPr>
          <w:p w:rsidR="001C3825" w:rsidRPr="00156FF2" w:rsidRDefault="001C3825">
            <w:pPr>
              <w:jc w:val="both"/>
              <w:rPr>
                <w:sz w:val="22"/>
                <w:szCs w:val="22"/>
              </w:rPr>
            </w:pPr>
            <w:r w:rsidRPr="00156FF2">
              <w:rPr>
                <w:sz w:val="22"/>
                <w:szCs w:val="22"/>
              </w:rPr>
              <w:t>National Priority Working Group</w:t>
            </w:r>
          </w:p>
        </w:tc>
      </w:tr>
      <w:tr w:rsidR="001C3825" w:rsidRPr="00156FF2">
        <w:trPr>
          <w:trHeight w:val="255"/>
        </w:trPr>
        <w:tc>
          <w:tcPr>
            <w:tcW w:w="1440" w:type="dxa"/>
            <w:tcBorders>
              <w:top w:val="nil"/>
              <w:left w:val="single" w:sz="4" w:space="0" w:color="auto"/>
              <w:bottom w:val="single" w:sz="4" w:space="0" w:color="auto"/>
              <w:right w:val="single" w:sz="4" w:space="0" w:color="auto"/>
            </w:tcBorders>
            <w:shd w:val="clear" w:color="auto" w:fill="auto"/>
          </w:tcPr>
          <w:p w:rsidR="001C3825" w:rsidRPr="00156FF2" w:rsidRDefault="001C3825">
            <w:pPr>
              <w:rPr>
                <w:sz w:val="22"/>
                <w:szCs w:val="22"/>
              </w:rPr>
            </w:pPr>
            <w:r w:rsidRPr="00156FF2">
              <w:rPr>
                <w:sz w:val="22"/>
                <w:szCs w:val="22"/>
              </w:rPr>
              <w:t>ODTI</w:t>
            </w:r>
          </w:p>
        </w:tc>
        <w:tc>
          <w:tcPr>
            <w:tcW w:w="7458" w:type="dxa"/>
            <w:tcBorders>
              <w:top w:val="nil"/>
              <w:left w:val="nil"/>
              <w:bottom w:val="single" w:sz="4" w:space="0" w:color="auto"/>
              <w:right w:val="single" w:sz="4" w:space="0" w:color="auto"/>
            </w:tcBorders>
            <w:shd w:val="clear" w:color="auto" w:fill="auto"/>
          </w:tcPr>
          <w:p w:rsidR="001C3825" w:rsidRPr="00156FF2" w:rsidRDefault="001C3825">
            <w:pPr>
              <w:jc w:val="both"/>
              <w:rPr>
                <w:sz w:val="22"/>
                <w:szCs w:val="22"/>
              </w:rPr>
            </w:pPr>
            <w:r w:rsidRPr="00156FF2">
              <w:rPr>
                <w:sz w:val="22"/>
                <w:szCs w:val="22"/>
              </w:rPr>
              <w:t xml:space="preserve">Other Deposit-Taking Institution </w:t>
            </w:r>
          </w:p>
        </w:tc>
      </w:tr>
      <w:tr w:rsidR="001C3825" w:rsidRPr="00156FF2">
        <w:trPr>
          <w:trHeight w:val="255"/>
        </w:trPr>
        <w:tc>
          <w:tcPr>
            <w:tcW w:w="1440" w:type="dxa"/>
            <w:tcBorders>
              <w:top w:val="nil"/>
              <w:left w:val="single" w:sz="4" w:space="0" w:color="auto"/>
              <w:bottom w:val="single" w:sz="4" w:space="0" w:color="auto"/>
              <w:right w:val="single" w:sz="4" w:space="0" w:color="auto"/>
            </w:tcBorders>
            <w:shd w:val="clear" w:color="auto" w:fill="auto"/>
          </w:tcPr>
          <w:p w:rsidR="001C3825" w:rsidRPr="00156FF2" w:rsidRDefault="007F584B">
            <w:pPr>
              <w:rPr>
                <w:sz w:val="22"/>
                <w:szCs w:val="22"/>
              </w:rPr>
            </w:pPr>
            <w:r>
              <w:rPr>
                <w:sz w:val="22"/>
                <w:szCs w:val="22"/>
              </w:rPr>
              <w:t>PA</w:t>
            </w:r>
            <w:r w:rsidR="001C3825" w:rsidRPr="00156FF2">
              <w:rPr>
                <w:sz w:val="22"/>
                <w:szCs w:val="22"/>
              </w:rPr>
              <w:t>R</w:t>
            </w:r>
          </w:p>
        </w:tc>
        <w:tc>
          <w:tcPr>
            <w:tcW w:w="7458" w:type="dxa"/>
            <w:tcBorders>
              <w:top w:val="nil"/>
              <w:left w:val="nil"/>
              <w:bottom w:val="single" w:sz="4" w:space="0" w:color="auto"/>
              <w:right w:val="single" w:sz="4" w:space="0" w:color="auto"/>
            </w:tcBorders>
            <w:shd w:val="clear" w:color="auto" w:fill="auto"/>
          </w:tcPr>
          <w:p w:rsidR="001C3825" w:rsidRPr="00156FF2" w:rsidRDefault="001C3825">
            <w:pPr>
              <w:jc w:val="both"/>
              <w:rPr>
                <w:sz w:val="22"/>
                <w:szCs w:val="22"/>
              </w:rPr>
            </w:pPr>
            <w:r w:rsidRPr="00156FF2">
              <w:rPr>
                <w:sz w:val="22"/>
                <w:szCs w:val="22"/>
              </w:rPr>
              <w:t>Portfolio at Risk</w:t>
            </w:r>
          </w:p>
        </w:tc>
      </w:tr>
      <w:tr w:rsidR="007F584B" w:rsidRPr="00156FF2">
        <w:trPr>
          <w:trHeight w:val="255"/>
        </w:trPr>
        <w:tc>
          <w:tcPr>
            <w:tcW w:w="1440" w:type="dxa"/>
            <w:tcBorders>
              <w:top w:val="nil"/>
              <w:left w:val="single" w:sz="4" w:space="0" w:color="auto"/>
              <w:bottom w:val="single" w:sz="4" w:space="0" w:color="auto"/>
              <w:right w:val="single" w:sz="4" w:space="0" w:color="auto"/>
            </w:tcBorders>
            <w:shd w:val="clear" w:color="auto" w:fill="auto"/>
          </w:tcPr>
          <w:p w:rsidR="007F584B" w:rsidRPr="00156FF2" w:rsidRDefault="007F584B" w:rsidP="007F584B">
            <w:pPr>
              <w:jc w:val="both"/>
              <w:rPr>
                <w:sz w:val="22"/>
                <w:szCs w:val="22"/>
              </w:rPr>
            </w:pPr>
            <w:r>
              <w:rPr>
                <w:sz w:val="22"/>
                <w:szCs w:val="22"/>
              </w:rPr>
              <w:t>PBAs</w:t>
            </w:r>
          </w:p>
        </w:tc>
        <w:tc>
          <w:tcPr>
            <w:tcW w:w="7458" w:type="dxa"/>
            <w:tcBorders>
              <w:top w:val="nil"/>
              <w:left w:val="nil"/>
              <w:bottom w:val="single" w:sz="4" w:space="0" w:color="auto"/>
              <w:right w:val="single" w:sz="4" w:space="0" w:color="auto"/>
            </w:tcBorders>
            <w:shd w:val="clear" w:color="auto" w:fill="auto"/>
          </w:tcPr>
          <w:p w:rsidR="007F584B" w:rsidRPr="00156FF2" w:rsidRDefault="007F584B" w:rsidP="007F584B">
            <w:pPr>
              <w:jc w:val="both"/>
              <w:rPr>
                <w:sz w:val="22"/>
                <w:szCs w:val="22"/>
              </w:rPr>
            </w:pPr>
            <w:r w:rsidRPr="007F584B">
              <w:rPr>
                <w:sz w:val="22"/>
                <w:szCs w:val="22"/>
              </w:rPr>
              <w:t>Performance Based Agreements</w:t>
            </w:r>
          </w:p>
        </w:tc>
      </w:tr>
      <w:tr w:rsidR="001C3825" w:rsidRPr="00156FF2">
        <w:trPr>
          <w:trHeight w:val="255"/>
        </w:trPr>
        <w:tc>
          <w:tcPr>
            <w:tcW w:w="1440" w:type="dxa"/>
            <w:tcBorders>
              <w:top w:val="nil"/>
              <w:left w:val="single" w:sz="4" w:space="0" w:color="auto"/>
              <w:bottom w:val="single" w:sz="4" w:space="0" w:color="auto"/>
              <w:right w:val="single" w:sz="4" w:space="0" w:color="auto"/>
            </w:tcBorders>
            <w:shd w:val="clear" w:color="auto" w:fill="auto"/>
          </w:tcPr>
          <w:p w:rsidR="001C3825" w:rsidRPr="00156FF2" w:rsidRDefault="001C3825">
            <w:pPr>
              <w:rPr>
                <w:sz w:val="22"/>
                <w:szCs w:val="22"/>
              </w:rPr>
            </w:pPr>
            <w:r w:rsidRPr="00156FF2">
              <w:rPr>
                <w:sz w:val="22"/>
                <w:szCs w:val="22"/>
              </w:rPr>
              <w:t>PIU</w:t>
            </w:r>
          </w:p>
        </w:tc>
        <w:tc>
          <w:tcPr>
            <w:tcW w:w="7458" w:type="dxa"/>
            <w:tcBorders>
              <w:top w:val="nil"/>
              <w:left w:val="nil"/>
              <w:bottom w:val="single" w:sz="4" w:space="0" w:color="auto"/>
              <w:right w:val="single" w:sz="4" w:space="0" w:color="auto"/>
            </w:tcBorders>
            <w:shd w:val="clear" w:color="auto" w:fill="auto"/>
          </w:tcPr>
          <w:p w:rsidR="001C3825" w:rsidRPr="00156FF2" w:rsidRDefault="00620C25">
            <w:pPr>
              <w:jc w:val="both"/>
              <w:rPr>
                <w:sz w:val="22"/>
                <w:szCs w:val="22"/>
              </w:rPr>
            </w:pPr>
            <w:r w:rsidRPr="00156FF2">
              <w:rPr>
                <w:sz w:val="22"/>
                <w:szCs w:val="22"/>
              </w:rPr>
              <w:t>Program</w:t>
            </w:r>
            <w:r w:rsidR="001C3825" w:rsidRPr="00156FF2">
              <w:rPr>
                <w:sz w:val="22"/>
                <w:szCs w:val="22"/>
              </w:rPr>
              <w:t xml:space="preserve"> Implementation Unit</w:t>
            </w:r>
          </w:p>
        </w:tc>
      </w:tr>
      <w:tr w:rsidR="001C3825" w:rsidRPr="00156FF2">
        <w:trPr>
          <w:trHeight w:val="255"/>
        </w:trPr>
        <w:tc>
          <w:tcPr>
            <w:tcW w:w="1440" w:type="dxa"/>
            <w:tcBorders>
              <w:top w:val="nil"/>
              <w:left w:val="single" w:sz="4" w:space="0" w:color="auto"/>
              <w:bottom w:val="single" w:sz="4" w:space="0" w:color="auto"/>
              <w:right w:val="single" w:sz="4" w:space="0" w:color="auto"/>
            </w:tcBorders>
            <w:shd w:val="clear" w:color="auto" w:fill="auto"/>
          </w:tcPr>
          <w:p w:rsidR="001C3825" w:rsidRPr="00156FF2" w:rsidRDefault="001C3825">
            <w:pPr>
              <w:rPr>
                <w:sz w:val="22"/>
                <w:szCs w:val="22"/>
              </w:rPr>
            </w:pPr>
            <w:r w:rsidRPr="00156FF2">
              <w:rPr>
                <w:sz w:val="22"/>
                <w:szCs w:val="22"/>
              </w:rPr>
              <w:t>PFIP</w:t>
            </w:r>
          </w:p>
        </w:tc>
        <w:tc>
          <w:tcPr>
            <w:tcW w:w="7458" w:type="dxa"/>
            <w:tcBorders>
              <w:top w:val="nil"/>
              <w:left w:val="nil"/>
              <w:bottom w:val="single" w:sz="4" w:space="0" w:color="auto"/>
              <w:right w:val="single" w:sz="4" w:space="0" w:color="auto"/>
            </w:tcBorders>
            <w:shd w:val="clear" w:color="auto" w:fill="auto"/>
          </w:tcPr>
          <w:p w:rsidR="001C3825" w:rsidRPr="00156FF2" w:rsidRDefault="001C3825">
            <w:pPr>
              <w:jc w:val="both"/>
              <w:rPr>
                <w:sz w:val="22"/>
                <w:szCs w:val="22"/>
              </w:rPr>
            </w:pPr>
            <w:r w:rsidRPr="00156FF2">
              <w:rPr>
                <w:sz w:val="22"/>
                <w:szCs w:val="22"/>
              </w:rPr>
              <w:t xml:space="preserve">Pacific Financial Inclusion </w:t>
            </w:r>
            <w:r w:rsidR="00620C25" w:rsidRPr="00156FF2">
              <w:rPr>
                <w:sz w:val="22"/>
                <w:szCs w:val="22"/>
              </w:rPr>
              <w:t>Program</w:t>
            </w:r>
          </w:p>
        </w:tc>
      </w:tr>
      <w:tr w:rsidR="000A37CA" w:rsidRPr="00156FF2">
        <w:trPr>
          <w:trHeight w:val="255"/>
        </w:trPr>
        <w:tc>
          <w:tcPr>
            <w:tcW w:w="1440" w:type="dxa"/>
            <w:tcBorders>
              <w:top w:val="nil"/>
              <w:left w:val="single" w:sz="4" w:space="0" w:color="auto"/>
              <w:bottom w:val="single" w:sz="4" w:space="0" w:color="auto"/>
              <w:right w:val="single" w:sz="4" w:space="0" w:color="auto"/>
            </w:tcBorders>
            <w:shd w:val="clear" w:color="auto" w:fill="auto"/>
          </w:tcPr>
          <w:p w:rsidR="000A37CA" w:rsidRPr="00156FF2" w:rsidRDefault="000A37CA">
            <w:pPr>
              <w:rPr>
                <w:sz w:val="22"/>
                <w:szCs w:val="22"/>
              </w:rPr>
            </w:pPr>
            <w:r>
              <w:rPr>
                <w:sz w:val="22"/>
                <w:szCs w:val="22"/>
              </w:rPr>
              <w:t>PPI</w:t>
            </w:r>
          </w:p>
        </w:tc>
        <w:tc>
          <w:tcPr>
            <w:tcW w:w="7458" w:type="dxa"/>
            <w:tcBorders>
              <w:top w:val="nil"/>
              <w:left w:val="nil"/>
              <w:bottom w:val="single" w:sz="4" w:space="0" w:color="auto"/>
              <w:right w:val="single" w:sz="4" w:space="0" w:color="auto"/>
            </w:tcBorders>
            <w:shd w:val="clear" w:color="auto" w:fill="auto"/>
          </w:tcPr>
          <w:p w:rsidR="000A37CA" w:rsidRPr="00156FF2" w:rsidRDefault="000A37CA">
            <w:pPr>
              <w:jc w:val="both"/>
              <w:rPr>
                <w:sz w:val="22"/>
                <w:szCs w:val="22"/>
              </w:rPr>
            </w:pPr>
            <w:r>
              <w:rPr>
                <w:sz w:val="22"/>
                <w:szCs w:val="22"/>
              </w:rPr>
              <w:t>Progress out of Poverty Index</w:t>
            </w:r>
          </w:p>
        </w:tc>
      </w:tr>
      <w:tr w:rsidR="001C3825" w:rsidRPr="00156FF2">
        <w:trPr>
          <w:trHeight w:val="255"/>
        </w:trPr>
        <w:tc>
          <w:tcPr>
            <w:tcW w:w="1440" w:type="dxa"/>
            <w:tcBorders>
              <w:top w:val="nil"/>
              <w:left w:val="single" w:sz="4" w:space="0" w:color="auto"/>
              <w:bottom w:val="single" w:sz="4" w:space="0" w:color="auto"/>
              <w:right w:val="single" w:sz="4" w:space="0" w:color="auto"/>
            </w:tcBorders>
            <w:shd w:val="clear" w:color="auto" w:fill="auto"/>
          </w:tcPr>
          <w:p w:rsidR="001C3825" w:rsidRPr="00156FF2" w:rsidRDefault="001C3825">
            <w:pPr>
              <w:rPr>
                <w:sz w:val="22"/>
                <w:szCs w:val="22"/>
              </w:rPr>
            </w:pPr>
            <w:r w:rsidRPr="00156FF2">
              <w:rPr>
                <w:sz w:val="22"/>
                <w:szCs w:val="22"/>
              </w:rPr>
              <w:t>TA</w:t>
            </w:r>
          </w:p>
        </w:tc>
        <w:tc>
          <w:tcPr>
            <w:tcW w:w="7458" w:type="dxa"/>
            <w:tcBorders>
              <w:top w:val="nil"/>
              <w:left w:val="nil"/>
              <w:bottom w:val="single" w:sz="4" w:space="0" w:color="auto"/>
              <w:right w:val="single" w:sz="4" w:space="0" w:color="auto"/>
            </w:tcBorders>
            <w:shd w:val="clear" w:color="auto" w:fill="auto"/>
          </w:tcPr>
          <w:p w:rsidR="001C3825" w:rsidRPr="00156FF2" w:rsidRDefault="001C3825">
            <w:pPr>
              <w:jc w:val="both"/>
              <w:rPr>
                <w:sz w:val="22"/>
                <w:szCs w:val="22"/>
              </w:rPr>
            </w:pPr>
            <w:r w:rsidRPr="00156FF2">
              <w:rPr>
                <w:sz w:val="22"/>
                <w:szCs w:val="22"/>
              </w:rPr>
              <w:t>Technical Assistance/Assistant</w:t>
            </w:r>
          </w:p>
        </w:tc>
      </w:tr>
      <w:tr w:rsidR="00E207B6" w:rsidRPr="00156FF2">
        <w:trPr>
          <w:trHeight w:val="255"/>
        </w:trPr>
        <w:tc>
          <w:tcPr>
            <w:tcW w:w="1440" w:type="dxa"/>
            <w:tcBorders>
              <w:top w:val="nil"/>
              <w:left w:val="single" w:sz="4" w:space="0" w:color="auto"/>
              <w:bottom w:val="single" w:sz="4" w:space="0" w:color="auto"/>
              <w:right w:val="single" w:sz="4" w:space="0" w:color="auto"/>
            </w:tcBorders>
            <w:shd w:val="clear" w:color="auto" w:fill="auto"/>
          </w:tcPr>
          <w:p w:rsidR="00E207B6" w:rsidRPr="00156FF2" w:rsidRDefault="00E207B6">
            <w:pPr>
              <w:rPr>
                <w:sz w:val="22"/>
                <w:szCs w:val="22"/>
              </w:rPr>
            </w:pPr>
            <w:r>
              <w:rPr>
                <w:sz w:val="22"/>
                <w:szCs w:val="22"/>
              </w:rPr>
              <w:t>PMI</w:t>
            </w:r>
          </w:p>
        </w:tc>
        <w:tc>
          <w:tcPr>
            <w:tcW w:w="7458" w:type="dxa"/>
            <w:tcBorders>
              <w:top w:val="nil"/>
              <w:left w:val="nil"/>
              <w:bottom w:val="single" w:sz="4" w:space="0" w:color="auto"/>
              <w:right w:val="single" w:sz="4" w:space="0" w:color="auto"/>
            </w:tcBorders>
            <w:shd w:val="clear" w:color="auto" w:fill="auto"/>
          </w:tcPr>
          <w:p w:rsidR="00E207B6" w:rsidRPr="00156FF2" w:rsidRDefault="00E207B6">
            <w:pPr>
              <w:jc w:val="both"/>
              <w:rPr>
                <w:sz w:val="22"/>
                <w:szCs w:val="22"/>
              </w:rPr>
            </w:pPr>
            <w:r>
              <w:rPr>
                <w:sz w:val="22"/>
                <w:szCs w:val="22"/>
              </w:rPr>
              <w:t xml:space="preserve">Pacific Microfinance </w:t>
            </w:r>
            <w:proofErr w:type="spellStart"/>
            <w:r>
              <w:rPr>
                <w:sz w:val="22"/>
                <w:szCs w:val="22"/>
              </w:rPr>
              <w:t>Intitiative</w:t>
            </w:r>
            <w:proofErr w:type="spellEnd"/>
          </w:p>
        </w:tc>
      </w:tr>
      <w:tr w:rsidR="001C3825" w:rsidRPr="00156FF2">
        <w:trPr>
          <w:trHeight w:val="255"/>
        </w:trPr>
        <w:tc>
          <w:tcPr>
            <w:tcW w:w="1440" w:type="dxa"/>
            <w:tcBorders>
              <w:top w:val="nil"/>
              <w:left w:val="single" w:sz="4" w:space="0" w:color="auto"/>
              <w:bottom w:val="single" w:sz="4" w:space="0" w:color="auto"/>
              <w:right w:val="single" w:sz="4" w:space="0" w:color="auto"/>
            </w:tcBorders>
            <w:shd w:val="clear" w:color="auto" w:fill="auto"/>
          </w:tcPr>
          <w:p w:rsidR="001C3825" w:rsidRPr="00156FF2" w:rsidRDefault="001C3825">
            <w:pPr>
              <w:rPr>
                <w:sz w:val="22"/>
                <w:szCs w:val="22"/>
              </w:rPr>
            </w:pPr>
            <w:r w:rsidRPr="00156FF2">
              <w:rPr>
                <w:sz w:val="22"/>
                <w:szCs w:val="22"/>
              </w:rPr>
              <w:t>TRM</w:t>
            </w:r>
          </w:p>
        </w:tc>
        <w:tc>
          <w:tcPr>
            <w:tcW w:w="7458" w:type="dxa"/>
            <w:tcBorders>
              <w:top w:val="nil"/>
              <w:left w:val="nil"/>
              <w:bottom w:val="single" w:sz="4" w:space="0" w:color="auto"/>
              <w:right w:val="single" w:sz="4" w:space="0" w:color="auto"/>
            </w:tcBorders>
            <w:shd w:val="clear" w:color="auto" w:fill="auto"/>
          </w:tcPr>
          <w:p w:rsidR="001C3825" w:rsidRPr="00156FF2" w:rsidRDefault="001C3825">
            <w:pPr>
              <w:jc w:val="both"/>
              <w:rPr>
                <w:sz w:val="22"/>
                <w:szCs w:val="22"/>
              </w:rPr>
            </w:pPr>
            <w:r w:rsidRPr="00156FF2">
              <w:rPr>
                <w:sz w:val="22"/>
                <w:szCs w:val="22"/>
                <w:lang w:val="fr-FR"/>
              </w:rPr>
              <w:t xml:space="preserve">Tuba Rai Metin </w:t>
            </w:r>
          </w:p>
        </w:tc>
      </w:tr>
      <w:tr w:rsidR="001C3825" w:rsidRPr="00156FF2">
        <w:trPr>
          <w:trHeight w:val="255"/>
        </w:trPr>
        <w:tc>
          <w:tcPr>
            <w:tcW w:w="1440" w:type="dxa"/>
            <w:tcBorders>
              <w:top w:val="nil"/>
              <w:left w:val="single" w:sz="4" w:space="0" w:color="auto"/>
              <w:bottom w:val="single" w:sz="4" w:space="0" w:color="auto"/>
              <w:right w:val="single" w:sz="4" w:space="0" w:color="auto"/>
            </w:tcBorders>
            <w:shd w:val="clear" w:color="auto" w:fill="auto"/>
          </w:tcPr>
          <w:p w:rsidR="001C3825" w:rsidRPr="00156FF2" w:rsidRDefault="001C3825">
            <w:pPr>
              <w:rPr>
                <w:sz w:val="22"/>
                <w:szCs w:val="22"/>
              </w:rPr>
            </w:pPr>
            <w:r w:rsidRPr="00156FF2">
              <w:rPr>
                <w:sz w:val="22"/>
                <w:szCs w:val="22"/>
              </w:rPr>
              <w:t>TSPs</w:t>
            </w:r>
          </w:p>
        </w:tc>
        <w:tc>
          <w:tcPr>
            <w:tcW w:w="7458" w:type="dxa"/>
            <w:tcBorders>
              <w:top w:val="single" w:sz="4" w:space="0" w:color="auto"/>
              <w:left w:val="nil"/>
              <w:bottom w:val="single" w:sz="4" w:space="0" w:color="auto"/>
              <w:right w:val="single" w:sz="4" w:space="0" w:color="auto"/>
            </w:tcBorders>
            <w:shd w:val="clear" w:color="auto" w:fill="auto"/>
          </w:tcPr>
          <w:p w:rsidR="001C3825" w:rsidRPr="00156FF2" w:rsidRDefault="001C3825">
            <w:pPr>
              <w:jc w:val="both"/>
              <w:rPr>
                <w:sz w:val="22"/>
                <w:szCs w:val="22"/>
              </w:rPr>
            </w:pPr>
            <w:r w:rsidRPr="00156FF2">
              <w:rPr>
                <w:sz w:val="22"/>
                <w:szCs w:val="22"/>
              </w:rPr>
              <w:t>Technical Service Providers</w:t>
            </w:r>
          </w:p>
        </w:tc>
      </w:tr>
      <w:tr w:rsidR="001C3825" w:rsidRPr="00156FF2">
        <w:trPr>
          <w:trHeight w:val="255"/>
        </w:trPr>
        <w:tc>
          <w:tcPr>
            <w:tcW w:w="1440" w:type="dxa"/>
            <w:tcBorders>
              <w:top w:val="nil"/>
              <w:left w:val="single" w:sz="4" w:space="0" w:color="auto"/>
              <w:bottom w:val="single" w:sz="4" w:space="0" w:color="auto"/>
              <w:right w:val="single" w:sz="4" w:space="0" w:color="auto"/>
            </w:tcBorders>
            <w:shd w:val="clear" w:color="auto" w:fill="auto"/>
          </w:tcPr>
          <w:p w:rsidR="001C3825" w:rsidRPr="00156FF2" w:rsidRDefault="001C3825">
            <w:pPr>
              <w:rPr>
                <w:sz w:val="22"/>
                <w:szCs w:val="22"/>
              </w:rPr>
            </w:pPr>
            <w:r w:rsidRPr="00156FF2">
              <w:rPr>
                <w:sz w:val="22"/>
                <w:szCs w:val="22"/>
              </w:rPr>
              <w:t>UNCDF</w:t>
            </w:r>
          </w:p>
        </w:tc>
        <w:tc>
          <w:tcPr>
            <w:tcW w:w="7458" w:type="dxa"/>
            <w:tcBorders>
              <w:top w:val="nil"/>
              <w:left w:val="nil"/>
              <w:bottom w:val="single" w:sz="4" w:space="0" w:color="auto"/>
              <w:right w:val="single" w:sz="4" w:space="0" w:color="auto"/>
            </w:tcBorders>
            <w:shd w:val="clear" w:color="auto" w:fill="auto"/>
          </w:tcPr>
          <w:p w:rsidR="001C3825" w:rsidRPr="00156FF2" w:rsidRDefault="001C3825">
            <w:pPr>
              <w:jc w:val="both"/>
              <w:rPr>
                <w:sz w:val="22"/>
                <w:szCs w:val="22"/>
              </w:rPr>
            </w:pPr>
            <w:r w:rsidRPr="00156FF2">
              <w:rPr>
                <w:sz w:val="22"/>
                <w:szCs w:val="22"/>
              </w:rPr>
              <w:t>United Nations Capital Development Fund</w:t>
            </w:r>
          </w:p>
        </w:tc>
      </w:tr>
      <w:tr w:rsidR="00553A82" w:rsidRPr="00156FF2">
        <w:trPr>
          <w:trHeight w:val="255"/>
        </w:trPr>
        <w:tc>
          <w:tcPr>
            <w:tcW w:w="1440" w:type="dxa"/>
            <w:tcBorders>
              <w:top w:val="nil"/>
              <w:left w:val="single" w:sz="4" w:space="0" w:color="auto"/>
              <w:bottom w:val="single" w:sz="4" w:space="0" w:color="auto"/>
              <w:right w:val="single" w:sz="4" w:space="0" w:color="auto"/>
            </w:tcBorders>
            <w:shd w:val="clear" w:color="auto" w:fill="auto"/>
          </w:tcPr>
          <w:p w:rsidR="00553A82" w:rsidRPr="00156FF2" w:rsidRDefault="00553A82">
            <w:pPr>
              <w:rPr>
                <w:sz w:val="22"/>
                <w:szCs w:val="22"/>
              </w:rPr>
            </w:pPr>
            <w:r>
              <w:rPr>
                <w:sz w:val="22"/>
                <w:szCs w:val="22"/>
              </w:rPr>
              <w:t>UNDAF</w:t>
            </w:r>
          </w:p>
        </w:tc>
        <w:tc>
          <w:tcPr>
            <w:tcW w:w="7458" w:type="dxa"/>
            <w:tcBorders>
              <w:top w:val="single" w:sz="4" w:space="0" w:color="auto"/>
              <w:left w:val="nil"/>
              <w:bottom w:val="single" w:sz="4" w:space="0" w:color="auto"/>
              <w:right w:val="single" w:sz="4" w:space="0" w:color="auto"/>
            </w:tcBorders>
            <w:shd w:val="clear" w:color="auto" w:fill="auto"/>
          </w:tcPr>
          <w:p w:rsidR="00553A82" w:rsidRPr="00156FF2" w:rsidRDefault="00553A82">
            <w:pPr>
              <w:jc w:val="both"/>
              <w:rPr>
                <w:sz w:val="22"/>
                <w:szCs w:val="22"/>
              </w:rPr>
            </w:pPr>
            <w:r>
              <w:rPr>
                <w:sz w:val="22"/>
                <w:szCs w:val="22"/>
              </w:rPr>
              <w:t>United Nations Development Assistance Framework</w:t>
            </w:r>
          </w:p>
        </w:tc>
      </w:tr>
      <w:tr w:rsidR="001C3825" w:rsidRPr="00156FF2">
        <w:trPr>
          <w:trHeight w:val="255"/>
        </w:trPr>
        <w:tc>
          <w:tcPr>
            <w:tcW w:w="1440" w:type="dxa"/>
            <w:tcBorders>
              <w:top w:val="nil"/>
              <w:left w:val="single" w:sz="4" w:space="0" w:color="auto"/>
              <w:bottom w:val="single" w:sz="4" w:space="0" w:color="auto"/>
              <w:right w:val="single" w:sz="4" w:space="0" w:color="auto"/>
            </w:tcBorders>
            <w:shd w:val="clear" w:color="auto" w:fill="auto"/>
          </w:tcPr>
          <w:p w:rsidR="001C3825" w:rsidRPr="00156FF2" w:rsidRDefault="001C3825">
            <w:pPr>
              <w:rPr>
                <w:sz w:val="22"/>
                <w:szCs w:val="22"/>
              </w:rPr>
            </w:pPr>
            <w:r w:rsidRPr="00156FF2">
              <w:rPr>
                <w:sz w:val="22"/>
                <w:szCs w:val="22"/>
              </w:rPr>
              <w:t>UNDP</w:t>
            </w:r>
          </w:p>
        </w:tc>
        <w:tc>
          <w:tcPr>
            <w:tcW w:w="7458" w:type="dxa"/>
            <w:tcBorders>
              <w:top w:val="single" w:sz="4" w:space="0" w:color="auto"/>
              <w:left w:val="nil"/>
              <w:bottom w:val="single" w:sz="4" w:space="0" w:color="auto"/>
              <w:right w:val="single" w:sz="4" w:space="0" w:color="auto"/>
            </w:tcBorders>
            <w:shd w:val="clear" w:color="auto" w:fill="auto"/>
          </w:tcPr>
          <w:p w:rsidR="001C3825" w:rsidRPr="00156FF2" w:rsidRDefault="001C3825">
            <w:pPr>
              <w:jc w:val="both"/>
              <w:rPr>
                <w:sz w:val="22"/>
                <w:szCs w:val="22"/>
              </w:rPr>
            </w:pPr>
            <w:r w:rsidRPr="00156FF2">
              <w:rPr>
                <w:sz w:val="22"/>
                <w:szCs w:val="22"/>
              </w:rPr>
              <w:t xml:space="preserve">United Nations Development </w:t>
            </w:r>
            <w:r w:rsidR="00620C25" w:rsidRPr="00156FF2">
              <w:rPr>
                <w:sz w:val="22"/>
                <w:szCs w:val="22"/>
              </w:rPr>
              <w:t>Program</w:t>
            </w:r>
          </w:p>
        </w:tc>
      </w:tr>
      <w:tr w:rsidR="001C3825" w:rsidRPr="00156FF2">
        <w:trPr>
          <w:trHeight w:val="255"/>
        </w:trPr>
        <w:tc>
          <w:tcPr>
            <w:tcW w:w="1440" w:type="dxa"/>
            <w:tcBorders>
              <w:top w:val="nil"/>
              <w:left w:val="single" w:sz="4" w:space="0" w:color="auto"/>
              <w:bottom w:val="single" w:sz="4" w:space="0" w:color="auto"/>
              <w:right w:val="single" w:sz="4" w:space="0" w:color="auto"/>
            </w:tcBorders>
            <w:shd w:val="clear" w:color="auto" w:fill="auto"/>
          </w:tcPr>
          <w:p w:rsidR="001C3825" w:rsidRPr="00156FF2" w:rsidRDefault="001C3825">
            <w:pPr>
              <w:rPr>
                <w:sz w:val="22"/>
                <w:szCs w:val="22"/>
              </w:rPr>
            </w:pPr>
            <w:r w:rsidRPr="00156FF2">
              <w:rPr>
                <w:sz w:val="22"/>
                <w:szCs w:val="22"/>
              </w:rPr>
              <w:t>USAID</w:t>
            </w:r>
          </w:p>
        </w:tc>
        <w:tc>
          <w:tcPr>
            <w:tcW w:w="7458" w:type="dxa"/>
            <w:tcBorders>
              <w:top w:val="nil"/>
              <w:left w:val="nil"/>
              <w:bottom w:val="single" w:sz="4" w:space="0" w:color="auto"/>
              <w:right w:val="single" w:sz="4" w:space="0" w:color="auto"/>
            </w:tcBorders>
            <w:shd w:val="clear" w:color="auto" w:fill="auto"/>
          </w:tcPr>
          <w:p w:rsidR="001C3825" w:rsidRPr="00156FF2" w:rsidRDefault="001C3825">
            <w:pPr>
              <w:jc w:val="both"/>
              <w:rPr>
                <w:sz w:val="22"/>
                <w:szCs w:val="22"/>
              </w:rPr>
            </w:pPr>
            <w:r w:rsidRPr="00156FF2">
              <w:rPr>
                <w:sz w:val="22"/>
                <w:szCs w:val="22"/>
              </w:rPr>
              <w:t>United States Agency for International Development</w:t>
            </w:r>
          </w:p>
        </w:tc>
      </w:tr>
      <w:tr w:rsidR="001C3825" w:rsidRPr="00156FF2">
        <w:trPr>
          <w:trHeight w:val="255"/>
        </w:trPr>
        <w:tc>
          <w:tcPr>
            <w:tcW w:w="1440" w:type="dxa"/>
            <w:tcBorders>
              <w:top w:val="nil"/>
              <w:left w:val="single" w:sz="4" w:space="0" w:color="auto"/>
              <w:bottom w:val="single" w:sz="4" w:space="0" w:color="auto"/>
              <w:right w:val="single" w:sz="4" w:space="0" w:color="auto"/>
            </w:tcBorders>
            <w:shd w:val="clear" w:color="auto" w:fill="auto"/>
          </w:tcPr>
          <w:p w:rsidR="001C3825" w:rsidRPr="00156FF2" w:rsidRDefault="001C3825">
            <w:pPr>
              <w:rPr>
                <w:sz w:val="22"/>
                <w:szCs w:val="22"/>
              </w:rPr>
            </w:pPr>
            <w:r w:rsidRPr="00156FF2">
              <w:rPr>
                <w:sz w:val="22"/>
                <w:szCs w:val="22"/>
              </w:rPr>
              <w:t>WEAL</w:t>
            </w:r>
          </w:p>
        </w:tc>
        <w:tc>
          <w:tcPr>
            <w:tcW w:w="7458" w:type="dxa"/>
            <w:tcBorders>
              <w:top w:val="nil"/>
              <w:left w:val="single" w:sz="4" w:space="0" w:color="auto"/>
              <w:bottom w:val="single" w:sz="4" w:space="0" w:color="auto"/>
              <w:right w:val="single" w:sz="4" w:space="0" w:color="auto"/>
            </w:tcBorders>
            <w:shd w:val="clear" w:color="auto" w:fill="auto"/>
          </w:tcPr>
          <w:p w:rsidR="001C3825" w:rsidRPr="00156FF2" w:rsidRDefault="001C3825">
            <w:pPr>
              <w:jc w:val="both"/>
              <w:rPr>
                <w:sz w:val="22"/>
                <w:szCs w:val="22"/>
              </w:rPr>
            </w:pPr>
            <w:r w:rsidRPr="00156FF2">
              <w:rPr>
                <w:sz w:val="22"/>
                <w:szCs w:val="22"/>
              </w:rPr>
              <w:t>World Education Australia Limited</w:t>
            </w:r>
          </w:p>
        </w:tc>
      </w:tr>
    </w:tbl>
    <w:p w:rsidR="00B50961" w:rsidRDefault="00B50961" w:rsidP="00AB0274">
      <w:pPr>
        <w:jc w:val="center"/>
        <w:rPr>
          <w:b/>
          <w:bCs/>
          <w:caps/>
        </w:rPr>
      </w:pPr>
    </w:p>
    <w:p w:rsidR="00AB0274" w:rsidRPr="005F19C1" w:rsidRDefault="00AB0274" w:rsidP="00AB0274"/>
    <w:p w:rsidR="00924249" w:rsidRDefault="0043228A" w:rsidP="00B45E96">
      <w:pPr>
        <w:pStyle w:val="Heading1"/>
      </w:pPr>
      <w:bookmarkStart w:id="6" w:name="_Toc366502961"/>
      <w:r w:rsidRPr="008C1B27">
        <w:t xml:space="preserve">TABLE OF </w:t>
      </w:r>
      <w:r w:rsidRPr="00B45E96">
        <w:t>CONTENTS</w:t>
      </w:r>
      <w:bookmarkEnd w:id="6"/>
    </w:p>
    <w:p w:rsidR="00D07CC6" w:rsidRDefault="00924249" w:rsidP="00AB0274">
      <w:pPr>
        <w:rPr>
          <w:noProof/>
        </w:rPr>
      </w:pPr>
      <w:r w:rsidRPr="00924249">
        <w:rPr>
          <w:b/>
          <w:u w:val="single"/>
        </w:rPr>
        <w:t xml:space="preserve"> </w:t>
      </w:r>
      <w:r w:rsidR="00AE1324" w:rsidRPr="000817E7">
        <w:rPr>
          <w:b/>
          <w:u w:val="single"/>
        </w:rPr>
        <w:fldChar w:fldCharType="begin"/>
      </w:r>
      <w:r w:rsidRPr="000817E7">
        <w:rPr>
          <w:b/>
          <w:u w:val="single"/>
        </w:rPr>
        <w:instrText xml:space="preserve"> TOC \o "1-3" \h \z \u </w:instrText>
      </w:r>
      <w:r w:rsidR="00AE1324" w:rsidRPr="000817E7">
        <w:rPr>
          <w:b/>
          <w:u w:val="single"/>
        </w:rPr>
        <w:fldChar w:fldCharType="separate"/>
      </w:r>
    </w:p>
    <w:p w:rsidR="00D07CC6" w:rsidRDefault="00D07CC6">
      <w:pPr>
        <w:pStyle w:val="TOC2"/>
        <w:tabs>
          <w:tab w:val="right" w:leader="dot" w:pos="9350"/>
        </w:tabs>
        <w:rPr>
          <w:rFonts w:asciiTheme="minorHAnsi" w:eastAsiaTheme="minorEastAsia" w:hAnsiTheme="minorHAnsi" w:cstheme="minorBidi"/>
          <w:b w:val="0"/>
          <w:bCs w:val="0"/>
          <w:noProof/>
          <w:sz w:val="22"/>
          <w:szCs w:val="22"/>
          <w:lang w:val="en-AU" w:eastAsia="en-AU"/>
        </w:rPr>
      </w:pPr>
      <w:hyperlink w:anchor="_Toc366502960" w:history="1">
        <w:r w:rsidRPr="009A6FD8">
          <w:rPr>
            <w:rStyle w:val="Hyperlink"/>
            <w:noProof/>
          </w:rPr>
          <w:t>UNDP:</w:t>
        </w:r>
        <w:r w:rsidRPr="009A6FD8">
          <w:rPr>
            <w:rStyle w:val="Hyperlink"/>
            <w:noProof/>
            <w:lang w:eastAsia="ja-JP"/>
          </w:rPr>
          <w:t xml:space="preserve"> 00050242 (Award ID),</w:t>
        </w:r>
        <w:r w:rsidRPr="009A6FD8">
          <w:rPr>
            <w:rStyle w:val="Hyperlink"/>
            <w:noProof/>
          </w:rPr>
          <w:t xml:space="preserve"> 00061961</w:t>
        </w:r>
        <w:r w:rsidRPr="009A6FD8">
          <w:rPr>
            <w:rStyle w:val="Hyperlink"/>
            <w:noProof/>
            <w:lang w:eastAsia="ja-JP"/>
          </w:rPr>
          <w:t>(Project ID)</w:t>
        </w:r>
        <w:r>
          <w:rPr>
            <w:noProof/>
            <w:webHidden/>
          </w:rPr>
          <w:tab/>
        </w:r>
        <w:r>
          <w:rPr>
            <w:noProof/>
            <w:webHidden/>
          </w:rPr>
          <w:fldChar w:fldCharType="begin"/>
        </w:r>
        <w:r>
          <w:rPr>
            <w:noProof/>
            <w:webHidden/>
          </w:rPr>
          <w:instrText xml:space="preserve"> PAGEREF _Toc366502960 \h </w:instrText>
        </w:r>
        <w:r>
          <w:rPr>
            <w:noProof/>
            <w:webHidden/>
          </w:rPr>
        </w:r>
        <w:r>
          <w:rPr>
            <w:noProof/>
            <w:webHidden/>
          </w:rPr>
          <w:fldChar w:fldCharType="separate"/>
        </w:r>
        <w:r>
          <w:rPr>
            <w:noProof/>
            <w:webHidden/>
          </w:rPr>
          <w:t>2</w:t>
        </w:r>
        <w:r>
          <w:rPr>
            <w:noProof/>
            <w:webHidden/>
          </w:rPr>
          <w:fldChar w:fldCharType="end"/>
        </w:r>
      </w:hyperlink>
    </w:p>
    <w:p w:rsidR="00D07CC6" w:rsidRDefault="00D07CC6">
      <w:pPr>
        <w:pStyle w:val="TOC1"/>
        <w:rPr>
          <w:rFonts w:asciiTheme="minorHAnsi" w:eastAsiaTheme="minorEastAsia" w:hAnsiTheme="minorHAnsi" w:cstheme="minorBidi"/>
          <w:b w:val="0"/>
          <w:bCs w:val="0"/>
          <w:caps w:val="0"/>
          <w:sz w:val="22"/>
          <w:szCs w:val="22"/>
          <w:lang w:val="en-AU" w:eastAsia="en-AU"/>
        </w:rPr>
      </w:pPr>
      <w:hyperlink w:anchor="_Toc366502961" w:history="1">
        <w:r w:rsidRPr="009A6FD8">
          <w:rPr>
            <w:rStyle w:val="Hyperlink"/>
          </w:rPr>
          <w:t>TABLE OF CONTENTS</w:t>
        </w:r>
        <w:r>
          <w:rPr>
            <w:webHidden/>
          </w:rPr>
          <w:tab/>
        </w:r>
        <w:r>
          <w:rPr>
            <w:webHidden/>
          </w:rPr>
          <w:fldChar w:fldCharType="begin"/>
        </w:r>
        <w:r>
          <w:rPr>
            <w:webHidden/>
          </w:rPr>
          <w:instrText xml:space="preserve"> PAGEREF _Toc366502961 \h </w:instrText>
        </w:r>
        <w:r>
          <w:rPr>
            <w:webHidden/>
          </w:rPr>
        </w:r>
        <w:r>
          <w:rPr>
            <w:webHidden/>
          </w:rPr>
          <w:fldChar w:fldCharType="separate"/>
        </w:r>
        <w:r>
          <w:rPr>
            <w:webHidden/>
          </w:rPr>
          <w:t>4</w:t>
        </w:r>
        <w:r>
          <w:rPr>
            <w:webHidden/>
          </w:rPr>
          <w:fldChar w:fldCharType="end"/>
        </w:r>
      </w:hyperlink>
    </w:p>
    <w:p w:rsidR="00D07CC6" w:rsidRDefault="00D07CC6">
      <w:pPr>
        <w:pStyle w:val="TOC1"/>
        <w:rPr>
          <w:rFonts w:asciiTheme="minorHAnsi" w:eastAsiaTheme="minorEastAsia" w:hAnsiTheme="minorHAnsi" w:cstheme="minorBidi"/>
          <w:b w:val="0"/>
          <w:bCs w:val="0"/>
          <w:caps w:val="0"/>
          <w:sz w:val="22"/>
          <w:szCs w:val="22"/>
          <w:lang w:val="en-AU" w:eastAsia="en-AU"/>
        </w:rPr>
      </w:pPr>
      <w:hyperlink w:anchor="_Toc366502962" w:history="1">
        <w:r w:rsidRPr="009A6FD8">
          <w:rPr>
            <w:rStyle w:val="Hyperlink"/>
          </w:rPr>
          <w:t>ANNUAL NARRATIVE PROGRESS REPORT OF THE INCLUSIVE FINANCE for the UNDER</w:t>
        </w:r>
        <w:r w:rsidRPr="009A6FD8">
          <w:rPr>
            <w:rStyle w:val="Hyperlink"/>
            <w:rFonts w:eastAsia="MS Mincho" w:hAnsi="MS Mincho"/>
          </w:rPr>
          <w:t>‐</w:t>
        </w:r>
        <w:r w:rsidRPr="009A6FD8">
          <w:rPr>
            <w:rStyle w:val="Hyperlink"/>
          </w:rPr>
          <w:t>SERVED ECONOMY [INFUSE] PROGRAM</w:t>
        </w:r>
        <w:r>
          <w:rPr>
            <w:webHidden/>
          </w:rPr>
          <w:tab/>
        </w:r>
        <w:r>
          <w:rPr>
            <w:webHidden/>
          </w:rPr>
          <w:fldChar w:fldCharType="begin"/>
        </w:r>
        <w:r>
          <w:rPr>
            <w:webHidden/>
          </w:rPr>
          <w:instrText xml:space="preserve"> PAGEREF _Toc366502962 \h </w:instrText>
        </w:r>
        <w:r>
          <w:rPr>
            <w:webHidden/>
          </w:rPr>
        </w:r>
        <w:r>
          <w:rPr>
            <w:webHidden/>
          </w:rPr>
          <w:fldChar w:fldCharType="separate"/>
        </w:r>
        <w:r>
          <w:rPr>
            <w:webHidden/>
          </w:rPr>
          <w:t>1</w:t>
        </w:r>
        <w:r>
          <w:rPr>
            <w:webHidden/>
          </w:rPr>
          <w:fldChar w:fldCharType="end"/>
        </w:r>
      </w:hyperlink>
    </w:p>
    <w:p w:rsidR="00D07CC6" w:rsidRDefault="00D07CC6">
      <w:pPr>
        <w:pStyle w:val="TOC1"/>
        <w:rPr>
          <w:rFonts w:asciiTheme="minorHAnsi" w:eastAsiaTheme="minorEastAsia" w:hAnsiTheme="minorHAnsi" w:cstheme="minorBidi"/>
          <w:b w:val="0"/>
          <w:bCs w:val="0"/>
          <w:caps w:val="0"/>
          <w:sz w:val="22"/>
          <w:szCs w:val="22"/>
          <w:lang w:val="en-AU" w:eastAsia="en-AU"/>
        </w:rPr>
      </w:pPr>
      <w:hyperlink w:anchor="_Toc366502963" w:history="1">
        <w:r w:rsidRPr="009A6FD8">
          <w:rPr>
            <w:rStyle w:val="Hyperlink"/>
          </w:rPr>
          <w:t>1.</w:t>
        </w:r>
        <w:r>
          <w:rPr>
            <w:rFonts w:asciiTheme="minorHAnsi" w:eastAsiaTheme="minorEastAsia" w:hAnsiTheme="minorHAnsi" w:cstheme="minorBidi"/>
            <w:b w:val="0"/>
            <w:bCs w:val="0"/>
            <w:caps w:val="0"/>
            <w:sz w:val="22"/>
            <w:szCs w:val="22"/>
            <w:lang w:val="en-AU" w:eastAsia="en-AU"/>
          </w:rPr>
          <w:tab/>
        </w:r>
        <w:r w:rsidRPr="009A6FD8">
          <w:rPr>
            <w:rStyle w:val="Hyperlink"/>
          </w:rPr>
          <w:t>Purpose</w:t>
        </w:r>
        <w:r>
          <w:rPr>
            <w:webHidden/>
          </w:rPr>
          <w:tab/>
        </w:r>
        <w:r>
          <w:rPr>
            <w:webHidden/>
          </w:rPr>
          <w:fldChar w:fldCharType="begin"/>
        </w:r>
        <w:r>
          <w:rPr>
            <w:webHidden/>
          </w:rPr>
          <w:instrText xml:space="preserve"> PAGEREF _Toc366502963 \h </w:instrText>
        </w:r>
        <w:r>
          <w:rPr>
            <w:webHidden/>
          </w:rPr>
        </w:r>
        <w:r>
          <w:rPr>
            <w:webHidden/>
          </w:rPr>
          <w:fldChar w:fldCharType="separate"/>
        </w:r>
        <w:r>
          <w:rPr>
            <w:webHidden/>
          </w:rPr>
          <w:t>1</w:t>
        </w:r>
        <w:r>
          <w:rPr>
            <w:webHidden/>
          </w:rPr>
          <w:fldChar w:fldCharType="end"/>
        </w:r>
      </w:hyperlink>
    </w:p>
    <w:p w:rsidR="00D07CC6" w:rsidRDefault="00D07CC6">
      <w:pPr>
        <w:pStyle w:val="TOC1"/>
        <w:rPr>
          <w:rFonts w:asciiTheme="minorHAnsi" w:eastAsiaTheme="minorEastAsia" w:hAnsiTheme="minorHAnsi" w:cstheme="minorBidi"/>
          <w:b w:val="0"/>
          <w:bCs w:val="0"/>
          <w:caps w:val="0"/>
          <w:sz w:val="22"/>
          <w:szCs w:val="22"/>
          <w:lang w:val="en-AU" w:eastAsia="en-AU"/>
        </w:rPr>
      </w:pPr>
      <w:hyperlink w:anchor="_Toc366502964" w:history="1">
        <w:r w:rsidRPr="009A6FD8">
          <w:rPr>
            <w:rStyle w:val="Hyperlink"/>
          </w:rPr>
          <w:t>2.</w:t>
        </w:r>
        <w:r>
          <w:rPr>
            <w:rFonts w:asciiTheme="minorHAnsi" w:eastAsiaTheme="minorEastAsia" w:hAnsiTheme="minorHAnsi" w:cstheme="minorBidi"/>
            <w:b w:val="0"/>
            <w:bCs w:val="0"/>
            <w:caps w:val="0"/>
            <w:sz w:val="22"/>
            <w:szCs w:val="22"/>
            <w:lang w:val="en-AU" w:eastAsia="en-AU"/>
          </w:rPr>
          <w:tab/>
        </w:r>
        <w:r w:rsidRPr="009A6FD8">
          <w:rPr>
            <w:rStyle w:val="Hyperlink"/>
          </w:rPr>
          <w:t>Resources</w:t>
        </w:r>
        <w:r>
          <w:rPr>
            <w:webHidden/>
          </w:rPr>
          <w:tab/>
        </w:r>
        <w:r>
          <w:rPr>
            <w:webHidden/>
          </w:rPr>
          <w:fldChar w:fldCharType="begin"/>
        </w:r>
        <w:r>
          <w:rPr>
            <w:webHidden/>
          </w:rPr>
          <w:instrText xml:space="preserve"> PAGEREF _Toc366502964 \h </w:instrText>
        </w:r>
        <w:r>
          <w:rPr>
            <w:webHidden/>
          </w:rPr>
        </w:r>
        <w:r>
          <w:rPr>
            <w:webHidden/>
          </w:rPr>
          <w:fldChar w:fldCharType="separate"/>
        </w:r>
        <w:r>
          <w:rPr>
            <w:webHidden/>
          </w:rPr>
          <w:t>2</w:t>
        </w:r>
        <w:r>
          <w:rPr>
            <w:webHidden/>
          </w:rPr>
          <w:fldChar w:fldCharType="end"/>
        </w:r>
      </w:hyperlink>
    </w:p>
    <w:p w:rsidR="00D07CC6" w:rsidRDefault="00D07CC6">
      <w:pPr>
        <w:pStyle w:val="TOC2"/>
        <w:tabs>
          <w:tab w:val="right" w:leader="dot" w:pos="9350"/>
        </w:tabs>
        <w:rPr>
          <w:rFonts w:asciiTheme="minorHAnsi" w:eastAsiaTheme="minorEastAsia" w:hAnsiTheme="minorHAnsi" w:cstheme="minorBidi"/>
          <w:b w:val="0"/>
          <w:bCs w:val="0"/>
          <w:noProof/>
          <w:sz w:val="22"/>
          <w:szCs w:val="22"/>
          <w:lang w:val="en-AU" w:eastAsia="en-AU"/>
        </w:rPr>
      </w:pPr>
      <w:hyperlink w:anchor="_Toc366502965" w:history="1">
        <w:r w:rsidRPr="009A6FD8">
          <w:rPr>
            <w:rStyle w:val="Hyperlink"/>
            <w:noProof/>
          </w:rPr>
          <w:t>Financial Resources:</w:t>
        </w:r>
        <w:r>
          <w:rPr>
            <w:noProof/>
            <w:webHidden/>
          </w:rPr>
          <w:tab/>
        </w:r>
        <w:r>
          <w:rPr>
            <w:noProof/>
            <w:webHidden/>
          </w:rPr>
          <w:fldChar w:fldCharType="begin"/>
        </w:r>
        <w:r>
          <w:rPr>
            <w:noProof/>
            <w:webHidden/>
          </w:rPr>
          <w:instrText xml:space="preserve"> PAGEREF _Toc366502965 \h </w:instrText>
        </w:r>
        <w:r>
          <w:rPr>
            <w:noProof/>
            <w:webHidden/>
          </w:rPr>
        </w:r>
        <w:r>
          <w:rPr>
            <w:noProof/>
            <w:webHidden/>
          </w:rPr>
          <w:fldChar w:fldCharType="separate"/>
        </w:r>
        <w:r>
          <w:rPr>
            <w:noProof/>
            <w:webHidden/>
          </w:rPr>
          <w:t>2</w:t>
        </w:r>
        <w:r>
          <w:rPr>
            <w:noProof/>
            <w:webHidden/>
          </w:rPr>
          <w:fldChar w:fldCharType="end"/>
        </w:r>
      </w:hyperlink>
    </w:p>
    <w:p w:rsidR="00D07CC6" w:rsidRDefault="00D07CC6">
      <w:pPr>
        <w:pStyle w:val="TOC2"/>
        <w:tabs>
          <w:tab w:val="right" w:leader="dot" w:pos="9350"/>
        </w:tabs>
        <w:rPr>
          <w:rFonts w:asciiTheme="minorHAnsi" w:eastAsiaTheme="minorEastAsia" w:hAnsiTheme="minorHAnsi" w:cstheme="minorBidi"/>
          <w:b w:val="0"/>
          <w:bCs w:val="0"/>
          <w:noProof/>
          <w:sz w:val="22"/>
          <w:szCs w:val="22"/>
          <w:lang w:val="en-AU" w:eastAsia="en-AU"/>
        </w:rPr>
      </w:pPr>
      <w:hyperlink w:anchor="_Toc366502966" w:history="1">
        <w:r w:rsidRPr="009A6FD8">
          <w:rPr>
            <w:rStyle w:val="Hyperlink"/>
            <w:noProof/>
            <w:lang w:eastAsia="ja-JP"/>
          </w:rPr>
          <w:t>Budget Approvals</w:t>
        </w:r>
        <w:r>
          <w:rPr>
            <w:noProof/>
            <w:webHidden/>
          </w:rPr>
          <w:tab/>
        </w:r>
        <w:r>
          <w:rPr>
            <w:noProof/>
            <w:webHidden/>
          </w:rPr>
          <w:fldChar w:fldCharType="begin"/>
        </w:r>
        <w:r>
          <w:rPr>
            <w:noProof/>
            <w:webHidden/>
          </w:rPr>
          <w:instrText xml:space="preserve"> PAGEREF _Toc366502966 \h </w:instrText>
        </w:r>
        <w:r>
          <w:rPr>
            <w:noProof/>
            <w:webHidden/>
          </w:rPr>
        </w:r>
        <w:r>
          <w:rPr>
            <w:noProof/>
            <w:webHidden/>
          </w:rPr>
          <w:fldChar w:fldCharType="separate"/>
        </w:r>
        <w:r>
          <w:rPr>
            <w:noProof/>
            <w:webHidden/>
          </w:rPr>
          <w:t>2</w:t>
        </w:r>
        <w:r>
          <w:rPr>
            <w:noProof/>
            <w:webHidden/>
          </w:rPr>
          <w:fldChar w:fldCharType="end"/>
        </w:r>
      </w:hyperlink>
    </w:p>
    <w:p w:rsidR="00D07CC6" w:rsidRDefault="00D07CC6">
      <w:pPr>
        <w:pStyle w:val="TOC2"/>
        <w:tabs>
          <w:tab w:val="right" w:leader="dot" w:pos="9350"/>
        </w:tabs>
        <w:rPr>
          <w:rFonts w:asciiTheme="minorHAnsi" w:eastAsiaTheme="minorEastAsia" w:hAnsiTheme="minorHAnsi" w:cstheme="minorBidi"/>
          <w:b w:val="0"/>
          <w:bCs w:val="0"/>
          <w:noProof/>
          <w:sz w:val="22"/>
          <w:szCs w:val="22"/>
          <w:lang w:val="en-AU" w:eastAsia="en-AU"/>
        </w:rPr>
      </w:pPr>
      <w:hyperlink w:anchor="_Toc366502967" w:history="1">
        <w:r w:rsidRPr="009A6FD8">
          <w:rPr>
            <w:rStyle w:val="Hyperlink"/>
            <w:noProof/>
          </w:rPr>
          <w:t>Funding Mobilization</w:t>
        </w:r>
        <w:r w:rsidRPr="009A6FD8">
          <w:rPr>
            <w:rStyle w:val="Hyperlink"/>
            <w:i/>
            <w:noProof/>
          </w:rPr>
          <w:t>:</w:t>
        </w:r>
        <w:r>
          <w:rPr>
            <w:noProof/>
            <w:webHidden/>
          </w:rPr>
          <w:tab/>
        </w:r>
        <w:r>
          <w:rPr>
            <w:noProof/>
            <w:webHidden/>
          </w:rPr>
          <w:fldChar w:fldCharType="begin"/>
        </w:r>
        <w:r>
          <w:rPr>
            <w:noProof/>
            <w:webHidden/>
          </w:rPr>
          <w:instrText xml:space="preserve"> PAGEREF _Toc366502967 \h </w:instrText>
        </w:r>
        <w:r>
          <w:rPr>
            <w:noProof/>
            <w:webHidden/>
          </w:rPr>
        </w:r>
        <w:r>
          <w:rPr>
            <w:noProof/>
            <w:webHidden/>
          </w:rPr>
          <w:fldChar w:fldCharType="separate"/>
        </w:r>
        <w:r>
          <w:rPr>
            <w:noProof/>
            <w:webHidden/>
          </w:rPr>
          <w:t>2</w:t>
        </w:r>
        <w:r>
          <w:rPr>
            <w:noProof/>
            <w:webHidden/>
          </w:rPr>
          <w:fldChar w:fldCharType="end"/>
        </w:r>
      </w:hyperlink>
    </w:p>
    <w:p w:rsidR="00D07CC6" w:rsidRDefault="00D07CC6">
      <w:pPr>
        <w:pStyle w:val="TOC2"/>
        <w:tabs>
          <w:tab w:val="right" w:leader="dot" w:pos="9350"/>
        </w:tabs>
        <w:rPr>
          <w:rFonts w:asciiTheme="minorHAnsi" w:eastAsiaTheme="minorEastAsia" w:hAnsiTheme="minorHAnsi" w:cstheme="minorBidi"/>
          <w:b w:val="0"/>
          <w:bCs w:val="0"/>
          <w:noProof/>
          <w:sz w:val="22"/>
          <w:szCs w:val="22"/>
          <w:lang w:val="en-AU" w:eastAsia="en-AU"/>
        </w:rPr>
      </w:pPr>
      <w:hyperlink w:anchor="_Toc366502968" w:history="1">
        <w:r w:rsidRPr="009A6FD8">
          <w:rPr>
            <w:rStyle w:val="Hyperlink"/>
            <w:noProof/>
          </w:rPr>
          <w:t>Financial &amp; Procurement Processes</w:t>
        </w:r>
        <w:r>
          <w:rPr>
            <w:noProof/>
            <w:webHidden/>
          </w:rPr>
          <w:tab/>
        </w:r>
        <w:r>
          <w:rPr>
            <w:noProof/>
            <w:webHidden/>
          </w:rPr>
          <w:fldChar w:fldCharType="begin"/>
        </w:r>
        <w:r>
          <w:rPr>
            <w:noProof/>
            <w:webHidden/>
          </w:rPr>
          <w:instrText xml:space="preserve"> PAGEREF _Toc366502968 \h </w:instrText>
        </w:r>
        <w:r>
          <w:rPr>
            <w:noProof/>
            <w:webHidden/>
          </w:rPr>
        </w:r>
        <w:r>
          <w:rPr>
            <w:noProof/>
            <w:webHidden/>
          </w:rPr>
          <w:fldChar w:fldCharType="separate"/>
        </w:r>
        <w:r>
          <w:rPr>
            <w:noProof/>
            <w:webHidden/>
          </w:rPr>
          <w:t>2</w:t>
        </w:r>
        <w:r>
          <w:rPr>
            <w:noProof/>
            <w:webHidden/>
          </w:rPr>
          <w:fldChar w:fldCharType="end"/>
        </w:r>
      </w:hyperlink>
    </w:p>
    <w:p w:rsidR="00D07CC6" w:rsidRDefault="00D07CC6">
      <w:pPr>
        <w:pStyle w:val="TOC2"/>
        <w:tabs>
          <w:tab w:val="right" w:leader="dot" w:pos="9350"/>
        </w:tabs>
        <w:rPr>
          <w:rFonts w:asciiTheme="minorHAnsi" w:eastAsiaTheme="minorEastAsia" w:hAnsiTheme="minorHAnsi" w:cstheme="minorBidi"/>
          <w:b w:val="0"/>
          <w:bCs w:val="0"/>
          <w:noProof/>
          <w:sz w:val="22"/>
          <w:szCs w:val="22"/>
          <w:lang w:val="en-AU" w:eastAsia="en-AU"/>
        </w:rPr>
      </w:pPr>
      <w:hyperlink w:anchor="_Toc366502969" w:history="1">
        <w:r w:rsidRPr="009A6FD8">
          <w:rPr>
            <w:rStyle w:val="Hyperlink"/>
            <w:noProof/>
          </w:rPr>
          <w:t>Human Resources:</w:t>
        </w:r>
        <w:r>
          <w:rPr>
            <w:noProof/>
            <w:webHidden/>
          </w:rPr>
          <w:tab/>
        </w:r>
        <w:r>
          <w:rPr>
            <w:noProof/>
            <w:webHidden/>
          </w:rPr>
          <w:fldChar w:fldCharType="begin"/>
        </w:r>
        <w:r>
          <w:rPr>
            <w:noProof/>
            <w:webHidden/>
          </w:rPr>
          <w:instrText xml:space="preserve"> PAGEREF _Toc366502969 \h </w:instrText>
        </w:r>
        <w:r>
          <w:rPr>
            <w:noProof/>
            <w:webHidden/>
          </w:rPr>
        </w:r>
        <w:r>
          <w:rPr>
            <w:noProof/>
            <w:webHidden/>
          </w:rPr>
          <w:fldChar w:fldCharType="separate"/>
        </w:r>
        <w:r>
          <w:rPr>
            <w:noProof/>
            <w:webHidden/>
          </w:rPr>
          <w:t>2</w:t>
        </w:r>
        <w:r>
          <w:rPr>
            <w:noProof/>
            <w:webHidden/>
          </w:rPr>
          <w:fldChar w:fldCharType="end"/>
        </w:r>
      </w:hyperlink>
    </w:p>
    <w:p w:rsidR="00D07CC6" w:rsidRDefault="00D07CC6">
      <w:pPr>
        <w:pStyle w:val="TOC1"/>
        <w:rPr>
          <w:rFonts w:asciiTheme="minorHAnsi" w:eastAsiaTheme="minorEastAsia" w:hAnsiTheme="minorHAnsi" w:cstheme="minorBidi"/>
          <w:b w:val="0"/>
          <w:bCs w:val="0"/>
          <w:caps w:val="0"/>
          <w:sz w:val="22"/>
          <w:szCs w:val="22"/>
          <w:lang w:val="en-AU" w:eastAsia="en-AU"/>
        </w:rPr>
      </w:pPr>
      <w:hyperlink w:anchor="_Toc366502970" w:history="1">
        <w:r w:rsidRPr="009A6FD8">
          <w:rPr>
            <w:rStyle w:val="Hyperlink"/>
          </w:rPr>
          <w:t>3.</w:t>
        </w:r>
        <w:r>
          <w:rPr>
            <w:rFonts w:asciiTheme="minorHAnsi" w:eastAsiaTheme="minorEastAsia" w:hAnsiTheme="minorHAnsi" w:cstheme="minorBidi"/>
            <w:b w:val="0"/>
            <w:bCs w:val="0"/>
            <w:caps w:val="0"/>
            <w:sz w:val="22"/>
            <w:szCs w:val="22"/>
            <w:lang w:val="en-AU" w:eastAsia="en-AU"/>
          </w:rPr>
          <w:tab/>
        </w:r>
        <w:r w:rsidRPr="009A6FD8">
          <w:rPr>
            <w:rStyle w:val="Hyperlink"/>
          </w:rPr>
          <w:t>Implementation and Monitoring Arrangements</w:t>
        </w:r>
        <w:r>
          <w:rPr>
            <w:webHidden/>
          </w:rPr>
          <w:tab/>
        </w:r>
        <w:r>
          <w:rPr>
            <w:webHidden/>
          </w:rPr>
          <w:fldChar w:fldCharType="begin"/>
        </w:r>
        <w:r>
          <w:rPr>
            <w:webHidden/>
          </w:rPr>
          <w:instrText xml:space="preserve"> PAGEREF _Toc366502970 \h </w:instrText>
        </w:r>
        <w:r>
          <w:rPr>
            <w:webHidden/>
          </w:rPr>
        </w:r>
        <w:r>
          <w:rPr>
            <w:webHidden/>
          </w:rPr>
          <w:fldChar w:fldCharType="separate"/>
        </w:r>
        <w:r>
          <w:rPr>
            <w:webHidden/>
          </w:rPr>
          <w:t>3</w:t>
        </w:r>
        <w:r>
          <w:rPr>
            <w:webHidden/>
          </w:rPr>
          <w:fldChar w:fldCharType="end"/>
        </w:r>
      </w:hyperlink>
    </w:p>
    <w:p w:rsidR="00D07CC6" w:rsidRDefault="00D07CC6">
      <w:pPr>
        <w:pStyle w:val="TOC2"/>
        <w:tabs>
          <w:tab w:val="right" w:leader="dot" w:pos="9350"/>
        </w:tabs>
        <w:rPr>
          <w:rFonts w:asciiTheme="minorHAnsi" w:eastAsiaTheme="minorEastAsia" w:hAnsiTheme="minorHAnsi" w:cstheme="minorBidi"/>
          <w:b w:val="0"/>
          <w:bCs w:val="0"/>
          <w:noProof/>
          <w:sz w:val="22"/>
          <w:szCs w:val="22"/>
          <w:lang w:val="en-AU" w:eastAsia="en-AU"/>
        </w:rPr>
      </w:pPr>
      <w:hyperlink w:anchor="_Toc366502971" w:history="1">
        <w:r w:rsidRPr="009A6FD8">
          <w:rPr>
            <w:rStyle w:val="Hyperlink"/>
            <w:noProof/>
          </w:rPr>
          <w:t>Program Implementation</w:t>
        </w:r>
        <w:r>
          <w:rPr>
            <w:noProof/>
            <w:webHidden/>
          </w:rPr>
          <w:tab/>
        </w:r>
        <w:r>
          <w:rPr>
            <w:noProof/>
            <w:webHidden/>
          </w:rPr>
          <w:fldChar w:fldCharType="begin"/>
        </w:r>
        <w:r>
          <w:rPr>
            <w:noProof/>
            <w:webHidden/>
          </w:rPr>
          <w:instrText xml:space="preserve"> PAGEREF _Toc366502971 \h </w:instrText>
        </w:r>
        <w:r>
          <w:rPr>
            <w:noProof/>
            <w:webHidden/>
          </w:rPr>
        </w:r>
        <w:r>
          <w:rPr>
            <w:noProof/>
            <w:webHidden/>
          </w:rPr>
          <w:fldChar w:fldCharType="separate"/>
        </w:r>
        <w:r>
          <w:rPr>
            <w:noProof/>
            <w:webHidden/>
          </w:rPr>
          <w:t>3</w:t>
        </w:r>
        <w:r>
          <w:rPr>
            <w:noProof/>
            <w:webHidden/>
          </w:rPr>
          <w:fldChar w:fldCharType="end"/>
        </w:r>
      </w:hyperlink>
    </w:p>
    <w:p w:rsidR="00D07CC6" w:rsidRDefault="00D07CC6">
      <w:pPr>
        <w:pStyle w:val="TOC2"/>
        <w:tabs>
          <w:tab w:val="right" w:leader="dot" w:pos="9350"/>
        </w:tabs>
        <w:rPr>
          <w:rFonts w:asciiTheme="minorHAnsi" w:eastAsiaTheme="minorEastAsia" w:hAnsiTheme="minorHAnsi" w:cstheme="minorBidi"/>
          <w:b w:val="0"/>
          <w:bCs w:val="0"/>
          <w:noProof/>
          <w:sz w:val="22"/>
          <w:szCs w:val="22"/>
          <w:lang w:val="en-AU" w:eastAsia="en-AU"/>
        </w:rPr>
      </w:pPr>
      <w:hyperlink w:anchor="_Toc366502972" w:history="1">
        <w:r w:rsidRPr="009A6FD8">
          <w:rPr>
            <w:rStyle w:val="Hyperlink"/>
            <w:noProof/>
          </w:rPr>
          <w:t>Monitoring and Evaluation</w:t>
        </w:r>
        <w:r>
          <w:rPr>
            <w:noProof/>
            <w:webHidden/>
          </w:rPr>
          <w:tab/>
        </w:r>
        <w:r>
          <w:rPr>
            <w:noProof/>
            <w:webHidden/>
          </w:rPr>
          <w:fldChar w:fldCharType="begin"/>
        </w:r>
        <w:r>
          <w:rPr>
            <w:noProof/>
            <w:webHidden/>
          </w:rPr>
          <w:instrText xml:space="preserve"> PAGEREF _Toc366502972 \h </w:instrText>
        </w:r>
        <w:r>
          <w:rPr>
            <w:noProof/>
            <w:webHidden/>
          </w:rPr>
        </w:r>
        <w:r>
          <w:rPr>
            <w:noProof/>
            <w:webHidden/>
          </w:rPr>
          <w:fldChar w:fldCharType="separate"/>
        </w:r>
        <w:r>
          <w:rPr>
            <w:noProof/>
            <w:webHidden/>
          </w:rPr>
          <w:t>4</w:t>
        </w:r>
        <w:r>
          <w:rPr>
            <w:noProof/>
            <w:webHidden/>
          </w:rPr>
          <w:fldChar w:fldCharType="end"/>
        </w:r>
      </w:hyperlink>
    </w:p>
    <w:p w:rsidR="00D07CC6" w:rsidRDefault="00D07CC6">
      <w:pPr>
        <w:pStyle w:val="TOC1"/>
        <w:rPr>
          <w:rFonts w:asciiTheme="minorHAnsi" w:eastAsiaTheme="minorEastAsia" w:hAnsiTheme="minorHAnsi" w:cstheme="minorBidi"/>
          <w:b w:val="0"/>
          <w:bCs w:val="0"/>
          <w:caps w:val="0"/>
          <w:sz w:val="22"/>
          <w:szCs w:val="22"/>
          <w:lang w:val="en-AU" w:eastAsia="en-AU"/>
        </w:rPr>
      </w:pPr>
      <w:hyperlink w:anchor="_Toc366502973" w:history="1">
        <w:r w:rsidRPr="009A6FD8">
          <w:rPr>
            <w:rStyle w:val="Hyperlink"/>
          </w:rPr>
          <w:t>4.</w:t>
        </w:r>
        <w:r>
          <w:rPr>
            <w:rFonts w:asciiTheme="minorHAnsi" w:eastAsiaTheme="minorEastAsia" w:hAnsiTheme="minorHAnsi" w:cstheme="minorBidi"/>
            <w:b w:val="0"/>
            <w:bCs w:val="0"/>
            <w:caps w:val="0"/>
            <w:sz w:val="22"/>
            <w:szCs w:val="22"/>
            <w:lang w:val="en-AU" w:eastAsia="en-AU"/>
          </w:rPr>
          <w:tab/>
        </w:r>
        <w:r w:rsidRPr="009A6FD8">
          <w:rPr>
            <w:rStyle w:val="Hyperlink"/>
          </w:rPr>
          <w:t>Results</w:t>
        </w:r>
        <w:r>
          <w:rPr>
            <w:webHidden/>
          </w:rPr>
          <w:tab/>
        </w:r>
        <w:r>
          <w:rPr>
            <w:webHidden/>
          </w:rPr>
          <w:fldChar w:fldCharType="begin"/>
        </w:r>
        <w:r>
          <w:rPr>
            <w:webHidden/>
          </w:rPr>
          <w:instrText xml:space="preserve"> PAGEREF _Toc366502973 \h </w:instrText>
        </w:r>
        <w:r>
          <w:rPr>
            <w:webHidden/>
          </w:rPr>
        </w:r>
        <w:r>
          <w:rPr>
            <w:webHidden/>
          </w:rPr>
          <w:fldChar w:fldCharType="separate"/>
        </w:r>
        <w:r>
          <w:rPr>
            <w:webHidden/>
          </w:rPr>
          <w:t>4</w:t>
        </w:r>
        <w:r>
          <w:rPr>
            <w:webHidden/>
          </w:rPr>
          <w:fldChar w:fldCharType="end"/>
        </w:r>
      </w:hyperlink>
    </w:p>
    <w:p w:rsidR="00D07CC6" w:rsidRDefault="00D07CC6">
      <w:pPr>
        <w:pStyle w:val="TOC2"/>
        <w:tabs>
          <w:tab w:val="right" w:leader="dot" w:pos="9350"/>
        </w:tabs>
        <w:rPr>
          <w:rFonts w:asciiTheme="minorHAnsi" w:eastAsiaTheme="minorEastAsia" w:hAnsiTheme="minorHAnsi" w:cstheme="minorBidi"/>
          <w:b w:val="0"/>
          <w:bCs w:val="0"/>
          <w:noProof/>
          <w:sz w:val="22"/>
          <w:szCs w:val="22"/>
          <w:lang w:val="en-AU" w:eastAsia="en-AU"/>
        </w:rPr>
      </w:pPr>
      <w:hyperlink w:anchor="_Toc366502974" w:history="1">
        <w:r w:rsidRPr="009A6FD8">
          <w:rPr>
            <w:rStyle w:val="Hyperlink"/>
            <w:noProof/>
          </w:rPr>
          <w:t>The following key activities implemented in support of Output 3 from January-June 2011:</w:t>
        </w:r>
        <w:r>
          <w:rPr>
            <w:noProof/>
            <w:webHidden/>
          </w:rPr>
          <w:tab/>
        </w:r>
        <w:r>
          <w:rPr>
            <w:noProof/>
            <w:webHidden/>
          </w:rPr>
          <w:fldChar w:fldCharType="begin"/>
        </w:r>
        <w:r>
          <w:rPr>
            <w:noProof/>
            <w:webHidden/>
          </w:rPr>
          <w:instrText xml:space="preserve"> PAGEREF _Toc366502974 \h </w:instrText>
        </w:r>
        <w:r>
          <w:rPr>
            <w:noProof/>
            <w:webHidden/>
          </w:rPr>
        </w:r>
        <w:r>
          <w:rPr>
            <w:noProof/>
            <w:webHidden/>
          </w:rPr>
          <w:fldChar w:fldCharType="separate"/>
        </w:r>
        <w:r>
          <w:rPr>
            <w:noProof/>
            <w:webHidden/>
          </w:rPr>
          <w:t>7</w:t>
        </w:r>
        <w:r>
          <w:rPr>
            <w:noProof/>
            <w:webHidden/>
          </w:rPr>
          <w:fldChar w:fldCharType="end"/>
        </w:r>
      </w:hyperlink>
    </w:p>
    <w:p w:rsidR="00D07CC6" w:rsidRDefault="00D07CC6">
      <w:pPr>
        <w:pStyle w:val="TOC1"/>
        <w:rPr>
          <w:rFonts w:asciiTheme="minorHAnsi" w:eastAsiaTheme="minorEastAsia" w:hAnsiTheme="minorHAnsi" w:cstheme="minorBidi"/>
          <w:b w:val="0"/>
          <w:bCs w:val="0"/>
          <w:caps w:val="0"/>
          <w:sz w:val="22"/>
          <w:szCs w:val="22"/>
          <w:lang w:val="en-AU" w:eastAsia="en-AU"/>
        </w:rPr>
      </w:pPr>
      <w:hyperlink w:anchor="_Toc366502975" w:history="1">
        <w:r w:rsidRPr="009A6FD8">
          <w:rPr>
            <w:rStyle w:val="Hyperlink"/>
          </w:rPr>
          <w:t>5.</w:t>
        </w:r>
        <w:r>
          <w:rPr>
            <w:rFonts w:asciiTheme="minorHAnsi" w:eastAsiaTheme="minorEastAsia" w:hAnsiTheme="minorHAnsi" w:cstheme="minorBidi"/>
            <w:b w:val="0"/>
            <w:bCs w:val="0"/>
            <w:caps w:val="0"/>
            <w:sz w:val="22"/>
            <w:szCs w:val="22"/>
            <w:lang w:val="en-AU" w:eastAsia="en-AU"/>
          </w:rPr>
          <w:tab/>
        </w:r>
        <w:r w:rsidRPr="009A6FD8">
          <w:rPr>
            <w:rStyle w:val="Hyperlink"/>
          </w:rPr>
          <w:t>Work Plan 2011</w:t>
        </w:r>
        <w:r>
          <w:rPr>
            <w:webHidden/>
          </w:rPr>
          <w:tab/>
        </w:r>
        <w:r>
          <w:rPr>
            <w:webHidden/>
          </w:rPr>
          <w:fldChar w:fldCharType="begin"/>
        </w:r>
        <w:r>
          <w:rPr>
            <w:webHidden/>
          </w:rPr>
          <w:instrText xml:space="preserve"> PAGEREF _Toc366502975 \h </w:instrText>
        </w:r>
        <w:r>
          <w:rPr>
            <w:webHidden/>
          </w:rPr>
        </w:r>
        <w:r>
          <w:rPr>
            <w:webHidden/>
          </w:rPr>
          <w:fldChar w:fldCharType="separate"/>
        </w:r>
        <w:r>
          <w:rPr>
            <w:webHidden/>
          </w:rPr>
          <w:t>8</w:t>
        </w:r>
        <w:r>
          <w:rPr>
            <w:webHidden/>
          </w:rPr>
          <w:fldChar w:fldCharType="end"/>
        </w:r>
      </w:hyperlink>
    </w:p>
    <w:p w:rsidR="00D07CC6" w:rsidRDefault="00D07CC6">
      <w:pPr>
        <w:pStyle w:val="TOC1"/>
        <w:rPr>
          <w:rFonts w:asciiTheme="minorHAnsi" w:eastAsiaTheme="minorEastAsia" w:hAnsiTheme="minorHAnsi" w:cstheme="minorBidi"/>
          <w:b w:val="0"/>
          <w:bCs w:val="0"/>
          <w:caps w:val="0"/>
          <w:sz w:val="22"/>
          <w:szCs w:val="22"/>
          <w:lang w:val="en-AU" w:eastAsia="en-AU"/>
        </w:rPr>
      </w:pPr>
      <w:hyperlink w:anchor="_Toc366502976" w:history="1">
        <w:r w:rsidRPr="009A6FD8">
          <w:rPr>
            <w:rStyle w:val="Hyperlink"/>
          </w:rPr>
          <w:t>6.</w:t>
        </w:r>
        <w:r>
          <w:rPr>
            <w:rFonts w:asciiTheme="minorHAnsi" w:eastAsiaTheme="minorEastAsia" w:hAnsiTheme="minorHAnsi" w:cstheme="minorBidi"/>
            <w:b w:val="0"/>
            <w:bCs w:val="0"/>
            <w:caps w:val="0"/>
            <w:sz w:val="22"/>
            <w:szCs w:val="22"/>
            <w:lang w:val="en-AU" w:eastAsia="en-AU"/>
          </w:rPr>
          <w:tab/>
        </w:r>
        <w:r w:rsidRPr="009A6FD8">
          <w:rPr>
            <w:rStyle w:val="Hyperlink"/>
          </w:rPr>
          <w:t>ANNEX 1: January 1– June 20, 2011 Funding Disbursements</w:t>
        </w:r>
        <w:r>
          <w:rPr>
            <w:webHidden/>
          </w:rPr>
          <w:tab/>
        </w:r>
        <w:r>
          <w:rPr>
            <w:webHidden/>
          </w:rPr>
          <w:fldChar w:fldCharType="begin"/>
        </w:r>
        <w:r>
          <w:rPr>
            <w:webHidden/>
          </w:rPr>
          <w:instrText xml:space="preserve"> PAGEREF _Toc366502976 \h </w:instrText>
        </w:r>
        <w:r>
          <w:rPr>
            <w:webHidden/>
          </w:rPr>
        </w:r>
        <w:r>
          <w:rPr>
            <w:webHidden/>
          </w:rPr>
          <w:fldChar w:fldCharType="separate"/>
        </w:r>
        <w:r>
          <w:rPr>
            <w:webHidden/>
          </w:rPr>
          <w:t>14</w:t>
        </w:r>
        <w:r>
          <w:rPr>
            <w:webHidden/>
          </w:rPr>
          <w:fldChar w:fldCharType="end"/>
        </w:r>
      </w:hyperlink>
    </w:p>
    <w:p w:rsidR="00304CE1" w:rsidRPr="000817E7" w:rsidRDefault="00AE1324" w:rsidP="00AB0274">
      <w:pPr>
        <w:rPr>
          <w:b/>
          <w:u w:val="single"/>
        </w:rPr>
      </w:pPr>
      <w:r w:rsidRPr="000817E7">
        <w:rPr>
          <w:b/>
          <w:u w:val="single"/>
        </w:rPr>
        <w:fldChar w:fldCharType="end"/>
      </w:r>
    </w:p>
    <w:p w:rsidR="00A04D97" w:rsidRPr="000817E7" w:rsidRDefault="00A04D97" w:rsidP="00A04D97">
      <w:pPr>
        <w:ind w:right="-720"/>
        <w:rPr>
          <w:b/>
        </w:rPr>
      </w:pPr>
      <w:r w:rsidRPr="000817E7">
        <w:rPr>
          <w:b/>
        </w:rPr>
        <w:t>VII. INDICATOR BASED PERFORMANCE ASSESSMENT                                              14</w:t>
      </w:r>
    </w:p>
    <w:p w:rsidR="00DA5B38" w:rsidRPr="000817E7" w:rsidRDefault="00DA5B38" w:rsidP="00AB0274">
      <w:pPr>
        <w:rPr>
          <w:b/>
          <w:u w:val="single"/>
        </w:rPr>
      </w:pPr>
    </w:p>
    <w:p w:rsidR="00DA5B38" w:rsidRDefault="00DA5B38" w:rsidP="00AB0274">
      <w:pPr>
        <w:rPr>
          <w:b/>
          <w:u w:val="single"/>
        </w:rPr>
      </w:pPr>
    </w:p>
    <w:p w:rsidR="00DA5B38" w:rsidRDefault="00DA5B38" w:rsidP="00AB0274">
      <w:pPr>
        <w:rPr>
          <w:b/>
          <w:u w:val="single"/>
        </w:rPr>
      </w:pPr>
    </w:p>
    <w:p w:rsidR="0031582B" w:rsidRDefault="0031582B" w:rsidP="00AB0274">
      <w:pPr>
        <w:rPr>
          <w:b/>
          <w:u w:val="single"/>
        </w:rPr>
      </w:pPr>
      <w:r>
        <w:rPr>
          <w:b/>
          <w:u w:val="single"/>
        </w:rPr>
        <w:t>List of Annexes:</w:t>
      </w:r>
    </w:p>
    <w:p w:rsidR="00924249" w:rsidRPr="0031582B" w:rsidRDefault="00924249" w:rsidP="0031582B">
      <w:pPr>
        <w:spacing w:before="120"/>
        <w:rPr>
          <w:u w:val="single"/>
        </w:rPr>
      </w:pPr>
      <w:r w:rsidRPr="0031582B">
        <w:rPr>
          <w:u w:val="single"/>
        </w:rPr>
        <w:t>Annex 1</w:t>
      </w:r>
      <w:r w:rsidRPr="00903234">
        <w:rPr>
          <w:u w:val="single"/>
        </w:rPr>
        <w:t>:</w:t>
      </w:r>
      <w:r w:rsidRPr="00903234">
        <w:t xml:space="preserve"> </w:t>
      </w:r>
      <w:r w:rsidR="00553A82" w:rsidRPr="00903234">
        <w:t>January 1– June 30, 2011</w:t>
      </w:r>
      <w:r w:rsidRPr="00903234">
        <w:t xml:space="preserve"> Funding Disbursements</w:t>
      </w:r>
    </w:p>
    <w:p w:rsidR="00B131AA" w:rsidRDefault="00924249" w:rsidP="0031582B">
      <w:pPr>
        <w:spacing w:before="120" w:after="100" w:afterAutospacing="1"/>
        <w:sectPr w:rsidR="00B131AA">
          <w:pgSz w:w="12240" w:h="15840" w:code="1"/>
          <w:pgMar w:top="1152" w:right="1440" w:bottom="1152" w:left="1440" w:header="720" w:footer="418" w:gutter="0"/>
          <w:cols w:space="720"/>
          <w:docGrid w:linePitch="360"/>
        </w:sectPr>
      </w:pPr>
      <w:r w:rsidRPr="0031582B">
        <w:rPr>
          <w:u w:val="single"/>
        </w:rPr>
        <w:t>Annex 2:</w:t>
      </w:r>
      <w:r w:rsidRPr="0031582B">
        <w:t xml:space="preserve"> Minutes of MCIF </w:t>
      </w:r>
      <w:r w:rsidR="0031582B" w:rsidRPr="0031582B">
        <w:t xml:space="preserve">Meetings held on </w:t>
      </w:r>
      <w:r w:rsidR="00553A82">
        <w:t>5 May</w:t>
      </w:r>
      <w:r w:rsidR="0031582B" w:rsidRPr="00D57D23">
        <w:t xml:space="preserve"> </w:t>
      </w:r>
      <w:r w:rsidR="00D57D23" w:rsidRPr="00D57D23">
        <w:t>2011</w:t>
      </w:r>
    </w:p>
    <w:p w:rsidR="00AB0274" w:rsidRPr="0031582B" w:rsidRDefault="0031582B" w:rsidP="00B45E96">
      <w:pPr>
        <w:pStyle w:val="Clea"/>
      </w:pPr>
      <w:bookmarkStart w:id="7" w:name="_Toc288470229"/>
      <w:bookmarkStart w:id="8" w:name="_Toc288486040"/>
      <w:bookmarkStart w:id="9" w:name="_Toc366502962"/>
      <w:r w:rsidRPr="0031582B">
        <w:lastRenderedPageBreak/>
        <w:t>ANNUAL NARRATIVE PROGRESS REPORT OF</w:t>
      </w:r>
      <w:bookmarkStart w:id="10" w:name="_Toc288470230"/>
      <w:bookmarkStart w:id="11" w:name="_Toc288486041"/>
      <w:bookmarkEnd w:id="7"/>
      <w:bookmarkEnd w:id="8"/>
      <w:r w:rsidR="00860691">
        <w:t xml:space="preserve"> </w:t>
      </w:r>
      <w:r w:rsidRPr="0031582B">
        <w:t>THE INCLUSIVE FINANCE for the UNDER</w:t>
      </w:r>
      <w:r w:rsidRPr="0031582B">
        <w:rPr>
          <w:rFonts w:eastAsia="MS Mincho" w:hAnsi="MS Mincho"/>
        </w:rPr>
        <w:t>‐</w:t>
      </w:r>
      <w:r w:rsidRPr="0031582B">
        <w:t>SERVED ECONOMY [INFUSE] PROGRAM</w:t>
      </w:r>
      <w:bookmarkEnd w:id="10"/>
      <w:bookmarkEnd w:id="11"/>
      <w:bookmarkEnd w:id="9"/>
    </w:p>
    <w:p w:rsidR="0031582B" w:rsidRDefault="0031582B" w:rsidP="00B45E96">
      <w:pPr>
        <w:pStyle w:val="Clea"/>
      </w:pPr>
    </w:p>
    <w:p w:rsidR="0031582B" w:rsidRPr="009A3692" w:rsidRDefault="0031582B" w:rsidP="00B45E96">
      <w:pPr>
        <w:pStyle w:val="Clea"/>
      </w:pPr>
    </w:p>
    <w:p w:rsidR="00AB0274" w:rsidRPr="00F84101" w:rsidRDefault="00AB0274" w:rsidP="00B45E96">
      <w:pPr>
        <w:pStyle w:val="Heading1"/>
        <w:numPr>
          <w:ilvl w:val="0"/>
          <w:numId w:val="29"/>
        </w:numPr>
      </w:pPr>
      <w:bookmarkStart w:id="12" w:name="_Toc249364483"/>
      <w:bookmarkStart w:id="13" w:name="_Toc288467975"/>
      <w:bookmarkStart w:id="14" w:name="_Toc288468703"/>
      <w:bookmarkStart w:id="15" w:name="_Toc366502963"/>
      <w:r w:rsidRPr="00B45E96">
        <w:t>Purpose</w:t>
      </w:r>
      <w:bookmarkEnd w:id="12"/>
      <w:bookmarkEnd w:id="13"/>
      <w:bookmarkEnd w:id="14"/>
      <w:bookmarkEnd w:id="15"/>
    </w:p>
    <w:p w:rsidR="007F2A41" w:rsidRPr="00F84101" w:rsidRDefault="007F2A41" w:rsidP="007F2A41">
      <w:pPr>
        <w:pStyle w:val="BodyText"/>
        <w:jc w:val="both"/>
        <w:rPr>
          <w:rFonts w:ascii="Times New Roman" w:hAnsi="Times New Roman" w:cs="Times New Roman"/>
          <w:sz w:val="24"/>
          <w:szCs w:val="24"/>
        </w:rPr>
      </w:pPr>
    </w:p>
    <w:p w:rsidR="00A66881" w:rsidRPr="00F84101" w:rsidRDefault="007F2A41" w:rsidP="00FE1D71">
      <w:pPr>
        <w:jc w:val="both"/>
        <w:rPr>
          <w:b/>
        </w:rPr>
      </w:pPr>
      <w:r w:rsidRPr="00F84101">
        <w:rPr>
          <w:lang w:val="en-GB"/>
        </w:rPr>
        <w:t xml:space="preserve">The overall goal of the </w:t>
      </w:r>
      <w:r w:rsidR="003B482C">
        <w:rPr>
          <w:lang w:val="en-GB"/>
        </w:rPr>
        <w:t>Inclusive Finance for the Underserved Economy (</w:t>
      </w:r>
      <w:r w:rsidRPr="00F84101">
        <w:rPr>
          <w:lang w:val="en-GB"/>
        </w:rPr>
        <w:t>INFUSE</w:t>
      </w:r>
      <w:r w:rsidR="003B482C">
        <w:rPr>
          <w:lang w:val="en-GB"/>
        </w:rPr>
        <w:t>)</w:t>
      </w:r>
      <w:r w:rsidR="00C35A31">
        <w:rPr>
          <w:lang w:val="en-GB"/>
        </w:rPr>
        <w:t xml:space="preserve"> Program</w:t>
      </w:r>
      <w:r w:rsidRPr="00F84101">
        <w:rPr>
          <w:lang w:val="en-GB"/>
        </w:rPr>
        <w:t xml:space="preserve"> is to contribute to the achievement of the Millennium Development Goals (MDGs), in particular Goal 1 of cutting absolute poverty in Timor-Leste by one third by 2015, </w:t>
      </w:r>
      <w:r w:rsidR="00A30793">
        <w:rPr>
          <w:lang w:val="en-GB"/>
        </w:rPr>
        <w:t>through</w:t>
      </w:r>
      <w:r w:rsidRPr="00F84101">
        <w:rPr>
          <w:lang w:val="en-GB"/>
        </w:rPr>
        <w:t xml:space="preserve"> increasing sustainable access to financial services for </w:t>
      </w:r>
      <w:r w:rsidR="001503B4">
        <w:rPr>
          <w:lang w:val="en-GB"/>
        </w:rPr>
        <w:t xml:space="preserve">poor and </w:t>
      </w:r>
      <w:r w:rsidRPr="00F84101">
        <w:rPr>
          <w:lang w:val="en-GB"/>
        </w:rPr>
        <w:t xml:space="preserve">low-income people, both women and men. </w:t>
      </w:r>
      <w:r w:rsidR="009D70A6" w:rsidRPr="00F84101">
        <w:t xml:space="preserve">The </w:t>
      </w:r>
      <w:r w:rsidR="00620C25" w:rsidRPr="00F84101">
        <w:t>program</w:t>
      </w:r>
      <w:r w:rsidR="009D70A6" w:rsidRPr="00F84101">
        <w:t xml:space="preserve"> </w:t>
      </w:r>
      <w:r w:rsidR="004713D0" w:rsidRPr="00F84101">
        <w:t>utilizes a</w:t>
      </w:r>
      <w:r w:rsidR="009D70A6" w:rsidRPr="00F84101">
        <w:t xml:space="preserve"> sector-wide approach</w:t>
      </w:r>
      <w:r w:rsidR="004713D0" w:rsidRPr="00F84101">
        <w:t xml:space="preserve"> to building an inclusive financial sector</w:t>
      </w:r>
      <w:r w:rsidR="001A1ABC" w:rsidRPr="00F84101">
        <w:t>, focusing</w:t>
      </w:r>
      <w:r w:rsidR="007821FC" w:rsidRPr="00F84101">
        <w:rPr>
          <w:lang w:val="en-GB"/>
        </w:rPr>
        <w:t xml:space="preserve"> on</w:t>
      </w:r>
      <w:r w:rsidR="004713D0" w:rsidRPr="00F84101">
        <w:rPr>
          <w:lang w:val="en-GB"/>
        </w:rPr>
        <w:t xml:space="preserve"> addressing gaps </w:t>
      </w:r>
      <w:r w:rsidR="001A1ABC" w:rsidRPr="00F84101">
        <w:rPr>
          <w:lang w:val="en-GB"/>
        </w:rPr>
        <w:t>and impediments</w:t>
      </w:r>
      <w:r w:rsidR="004713D0" w:rsidRPr="00F84101">
        <w:rPr>
          <w:lang w:val="en-GB"/>
        </w:rPr>
        <w:t xml:space="preserve"> </w:t>
      </w:r>
      <w:r w:rsidR="007821FC" w:rsidRPr="00F84101">
        <w:rPr>
          <w:lang w:val="en-GB"/>
        </w:rPr>
        <w:t>at</w:t>
      </w:r>
      <w:r w:rsidR="007821FC" w:rsidRPr="00F84101">
        <w:t xml:space="preserve"> the retail (micro-), </w:t>
      </w:r>
      <w:r w:rsidR="001E30F0">
        <w:t xml:space="preserve">infrastructure </w:t>
      </w:r>
      <w:r w:rsidR="00FD2BFE" w:rsidRPr="00F84101">
        <w:t>(</w:t>
      </w:r>
      <w:r w:rsidR="007821FC" w:rsidRPr="00F84101">
        <w:t>meso-</w:t>
      </w:r>
      <w:r w:rsidR="001E30F0">
        <w:t>)</w:t>
      </w:r>
      <w:r w:rsidR="00FE1D71">
        <w:t>,</w:t>
      </w:r>
      <w:r w:rsidR="007821FC" w:rsidRPr="00F84101">
        <w:t xml:space="preserve"> and legal and regulatory (macro-) levels</w:t>
      </w:r>
      <w:r w:rsidR="007821FC" w:rsidRPr="00F84101">
        <w:rPr>
          <w:lang w:val="en-GB"/>
        </w:rPr>
        <w:t>.</w:t>
      </w:r>
      <w:r w:rsidR="009D70A6" w:rsidRPr="00F84101">
        <w:t xml:space="preserve"> </w:t>
      </w:r>
    </w:p>
    <w:p w:rsidR="00A66881" w:rsidRPr="00F84101" w:rsidRDefault="00A66881" w:rsidP="00FD2BFE">
      <w:pPr>
        <w:jc w:val="both"/>
        <w:rPr>
          <w:b/>
        </w:rPr>
      </w:pPr>
    </w:p>
    <w:p w:rsidR="007F2A41" w:rsidRPr="00F84101" w:rsidRDefault="007F2A41" w:rsidP="00FD2BFE">
      <w:pPr>
        <w:tabs>
          <w:tab w:val="left" w:pos="4680"/>
        </w:tabs>
        <w:jc w:val="both"/>
        <w:rPr>
          <w:bCs/>
          <w:lang w:eastAsia="ja-JP"/>
        </w:rPr>
      </w:pPr>
      <w:r w:rsidRPr="00F84101">
        <w:rPr>
          <w:bCs/>
        </w:rPr>
        <w:t xml:space="preserve">At the end </w:t>
      </w:r>
      <w:r w:rsidR="00A30793">
        <w:rPr>
          <w:bCs/>
        </w:rPr>
        <w:t xml:space="preserve">of </w:t>
      </w:r>
      <w:r w:rsidR="0085272C">
        <w:rPr>
          <w:bCs/>
        </w:rPr>
        <w:t>program</w:t>
      </w:r>
      <w:r w:rsidRPr="00F84101">
        <w:rPr>
          <w:bCs/>
          <w:lang w:eastAsia="ja-JP"/>
        </w:rPr>
        <w:t xml:space="preserve"> implementation</w:t>
      </w:r>
      <w:r w:rsidRPr="00F84101">
        <w:rPr>
          <w:bCs/>
        </w:rPr>
        <w:t xml:space="preserve">, </w:t>
      </w:r>
      <w:r w:rsidRPr="00F84101">
        <w:rPr>
          <w:bCs/>
          <w:lang w:eastAsia="ja-JP"/>
        </w:rPr>
        <w:t xml:space="preserve">INFUSE aims to achieve the above goal through the </w:t>
      </w:r>
      <w:r w:rsidRPr="00F84101">
        <w:rPr>
          <w:bCs/>
        </w:rPr>
        <w:t>following outputs</w:t>
      </w:r>
      <w:r w:rsidR="008B4E46" w:rsidRPr="00F84101">
        <w:rPr>
          <w:bCs/>
          <w:lang w:eastAsia="ja-JP"/>
        </w:rPr>
        <w:t>:</w:t>
      </w:r>
    </w:p>
    <w:p w:rsidR="007F2A41" w:rsidRPr="00F84101" w:rsidRDefault="007F2A41" w:rsidP="006D2666">
      <w:pPr>
        <w:pStyle w:val="CM6"/>
        <w:numPr>
          <w:ilvl w:val="0"/>
          <w:numId w:val="6"/>
        </w:numPr>
        <w:tabs>
          <w:tab w:val="clear" w:pos="360"/>
          <w:tab w:val="num" w:pos="720"/>
        </w:tabs>
        <w:spacing w:line="240" w:lineRule="auto"/>
        <w:ind w:leftChars="150" w:left="720" w:hangingChars="150"/>
        <w:jc w:val="both"/>
        <w:rPr>
          <w:rFonts w:ascii="Times New Roman" w:hAnsi="Times New Roman" w:cs="Times New Roman"/>
          <w:lang w:val="en-GB"/>
        </w:rPr>
      </w:pPr>
      <w:bookmarkStart w:id="16" w:name="OLE_LINK1"/>
      <w:bookmarkStart w:id="17" w:name="OLE_LINK2"/>
      <w:r w:rsidRPr="00F84101">
        <w:rPr>
          <w:rFonts w:ascii="Times New Roman" w:hAnsi="Times New Roman" w:cs="Times New Roman"/>
          <w:lang w:val="en-GB"/>
        </w:rPr>
        <w:t>Output 1:</w:t>
      </w:r>
      <w:r w:rsidRPr="00F84101">
        <w:rPr>
          <w:rFonts w:ascii="Times New Roman" w:hAnsi="Times New Roman" w:cs="Times New Roman"/>
          <w:b/>
          <w:bCs/>
          <w:lang w:val="en-GB"/>
        </w:rPr>
        <w:t xml:space="preserve"> </w:t>
      </w:r>
      <w:r w:rsidRPr="00F84101">
        <w:rPr>
          <w:rFonts w:ascii="Times New Roman" w:hAnsi="Times New Roman" w:cs="Times New Roman"/>
          <w:lang w:val="en-GB" w:eastAsia="ja-JP"/>
        </w:rPr>
        <w:t>Policy development and strategic coordination to enhance the enabling environment</w:t>
      </w:r>
    </w:p>
    <w:p w:rsidR="007F2A41" w:rsidRPr="00F84101" w:rsidRDefault="007F2A41" w:rsidP="006D2666">
      <w:pPr>
        <w:pStyle w:val="CM6"/>
        <w:numPr>
          <w:ilvl w:val="0"/>
          <w:numId w:val="6"/>
        </w:numPr>
        <w:tabs>
          <w:tab w:val="clear" w:pos="360"/>
          <w:tab w:val="num" w:pos="720"/>
        </w:tabs>
        <w:spacing w:line="240" w:lineRule="auto"/>
        <w:ind w:leftChars="150" w:left="720" w:hangingChars="150"/>
        <w:jc w:val="both"/>
        <w:rPr>
          <w:rFonts w:ascii="Times New Roman" w:hAnsi="Times New Roman" w:cs="Times New Roman"/>
          <w:lang w:val="en-GB"/>
        </w:rPr>
      </w:pPr>
      <w:r w:rsidRPr="00F84101">
        <w:rPr>
          <w:rFonts w:ascii="Times New Roman" w:hAnsi="Times New Roman" w:cs="Times New Roman"/>
          <w:lang w:val="en-GB"/>
        </w:rPr>
        <w:t>Output</w:t>
      </w:r>
      <w:r w:rsidR="00FE1D71">
        <w:rPr>
          <w:rFonts w:ascii="Times New Roman" w:hAnsi="Times New Roman" w:cs="Times New Roman"/>
          <w:lang w:val="en-GB"/>
        </w:rPr>
        <w:t xml:space="preserve"> </w:t>
      </w:r>
      <w:r w:rsidRPr="00F84101">
        <w:rPr>
          <w:rFonts w:ascii="Times New Roman" w:hAnsi="Times New Roman" w:cs="Times New Roman"/>
          <w:lang w:val="en-GB"/>
        </w:rPr>
        <w:t xml:space="preserve">2: </w:t>
      </w:r>
      <w:r w:rsidRPr="00F84101">
        <w:rPr>
          <w:rFonts w:ascii="Times New Roman" w:hAnsi="Times New Roman" w:cs="Times New Roman"/>
          <w:lang w:val="en-GB" w:eastAsia="ja-JP"/>
        </w:rPr>
        <w:t>Facilitation of the growth and long-term sustainability of the retail financial service providers</w:t>
      </w:r>
      <w:r w:rsidR="001503B4">
        <w:rPr>
          <w:rFonts w:ascii="Times New Roman" w:hAnsi="Times New Roman" w:cs="Times New Roman"/>
          <w:lang w:val="en-GB" w:eastAsia="ja-JP"/>
        </w:rPr>
        <w:t xml:space="preserve"> (FSPs)</w:t>
      </w:r>
      <w:r w:rsidRPr="00F84101">
        <w:rPr>
          <w:rFonts w:ascii="Times New Roman" w:hAnsi="Times New Roman" w:cs="Times New Roman"/>
          <w:lang w:val="en-GB" w:eastAsia="ja-JP"/>
        </w:rPr>
        <w:t>, so that they can increase their outreach to poor and low-income people; and</w:t>
      </w:r>
    </w:p>
    <w:p w:rsidR="007F2A41" w:rsidRPr="00F84101" w:rsidRDefault="00C46476" w:rsidP="006D2666">
      <w:pPr>
        <w:pStyle w:val="Default"/>
        <w:numPr>
          <w:ilvl w:val="0"/>
          <w:numId w:val="6"/>
        </w:numPr>
        <w:tabs>
          <w:tab w:val="clear" w:pos="360"/>
          <w:tab w:val="num" w:pos="720"/>
        </w:tabs>
        <w:ind w:leftChars="150" w:left="720" w:hangingChars="150"/>
        <w:jc w:val="both"/>
        <w:rPr>
          <w:rFonts w:ascii="Times New Roman" w:hAnsi="Times New Roman" w:cs="Times New Roman"/>
          <w:lang w:val="en-GB"/>
        </w:rPr>
      </w:pPr>
      <w:r w:rsidRPr="00F84101">
        <w:rPr>
          <w:rFonts w:ascii="Times New Roman" w:hAnsi="Times New Roman" w:cs="Times New Roman"/>
          <w:lang w:val="en-GB"/>
        </w:rPr>
        <w:t>Output</w:t>
      </w:r>
      <w:r w:rsidR="00FE1D71">
        <w:rPr>
          <w:rFonts w:ascii="Times New Roman" w:hAnsi="Times New Roman" w:cs="Times New Roman"/>
          <w:lang w:val="en-GB"/>
        </w:rPr>
        <w:t xml:space="preserve"> </w:t>
      </w:r>
      <w:r w:rsidR="007F2A41" w:rsidRPr="00F84101">
        <w:rPr>
          <w:rFonts w:ascii="Times New Roman" w:hAnsi="Times New Roman" w:cs="Times New Roman"/>
          <w:lang w:val="en-GB"/>
        </w:rPr>
        <w:t xml:space="preserve">3: </w:t>
      </w:r>
      <w:r w:rsidR="007F2A41" w:rsidRPr="00F84101">
        <w:rPr>
          <w:rFonts w:ascii="Times New Roman" w:hAnsi="Times New Roman" w:cs="Times New Roman"/>
          <w:lang w:val="en-GB" w:eastAsia="ja-JP"/>
        </w:rPr>
        <w:t>Development of financial business support infrastructure (credit registry, audit, information technology, innovative technology</w:t>
      </w:r>
      <w:r w:rsidR="001503B4">
        <w:rPr>
          <w:rFonts w:ascii="Times New Roman" w:hAnsi="Times New Roman" w:cs="Times New Roman"/>
          <w:lang w:val="en-GB" w:eastAsia="ja-JP"/>
        </w:rPr>
        <w:t>, etc.</w:t>
      </w:r>
      <w:r w:rsidR="007F2A41" w:rsidRPr="00F84101">
        <w:rPr>
          <w:rFonts w:ascii="Times New Roman" w:hAnsi="Times New Roman" w:cs="Times New Roman"/>
          <w:lang w:val="en-GB" w:eastAsia="ja-JP"/>
        </w:rPr>
        <w:t>).</w:t>
      </w:r>
    </w:p>
    <w:bookmarkEnd w:id="16"/>
    <w:bookmarkEnd w:id="17"/>
    <w:p w:rsidR="007F2A41" w:rsidRPr="00F84101" w:rsidRDefault="007F2A41" w:rsidP="00FD2BFE">
      <w:pPr>
        <w:pStyle w:val="BodyText"/>
        <w:jc w:val="both"/>
        <w:rPr>
          <w:rFonts w:ascii="Times New Roman" w:hAnsi="Times New Roman" w:cs="Times New Roman"/>
          <w:sz w:val="24"/>
          <w:szCs w:val="24"/>
          <w:lang w:val="en-GB"/>
        </w:rPr>
      </w:pPr>
    </w:p>
    <w:p w:rsidR="007F2A41" w:rsidRPr="00F84101" w:rsidRDefault="00C35A31" w:rsidP="00FD2BFE">
      <w:pPr>
        <w:pStyle w:val="Default"/>
        <w:jc w:val="both"/>
        <w:rPr>
          <w:rFonts w:ascii="Times New Roman" w:hAnsi="Times New Roman" w:cs="Times New Roman"/>
          <w:u w:val="single"/>
          <w:lang w:val="en-GB" w:eastAsia="ja-JP"/>
        </w:rPr>
      </w:pPr>
      <w:r>
        <w:rPr>
          <w:rFonts w:ascii="Times New Roman" w:hAnsi="Times New Roman" w:cs="Times New Roman"/>
          <w:u w:val="single"/>
          <w:lang w:val="en-GB" w:eastAsia="ja-JP"/>
        </w:rPr>
        <w:t>INFUSE Program</w:t>
      </w:r>
      <w:r w:rsidR="007F2A41" w:rsidRPr="00F84101">
        <w:rPr>
          <w:rFonts w:ascii="Times New Roman" w:hAnsi="Times New Roman" w:cs="Times New Roman"/>
          <w:u w:val="single"/>
          <w:lang w:val="en-GB" w:eastAsia="ja-JP"/>
        </w:rPr>
        <w:t xml:space="preserve"> in relation with UNDAF</w:t>
      </w:r>
    </w:p>
    <w:p w:rsidR="007F2A41" w:rsidRPr="00F84101" w:rsidRDefault="007F2A41" w:rsidP="00FD2BFE">
      <w:pPr>
        <w:pStyle w:val="Default"/>
        <w:jc w:val="both"/>
        <w:rPr>
          <w:rFonts w:ascii="Times New Roman" w:hAnsi="Times New Roman" w:cs="Times New Roman"/>
          <w:lang w:val="en-GB" w:eastAsia="ja-JP"/>
        </w:rPr>
      </w:pPr>
    </w:p>
    <w:p w:rsidR="007F2A41" w:rsidRPr="00F84101" w:rsidRDefault="007F2A41" w:rsidP="00FD2BFE">
      <w:pPr>
        <w:tabs>
          <w:tab w:val="left" w:pos="4680"/>
        </w:tabs>
        <w:jc w:val="both"/>
        <w:rPr>
          <w:bCs/>
          <w:lang w:eastAsia="ja-JP"/>
        </w:rPr>
      </w:pPr>
      <w:r w:rsidRPr="00F84101">
        <w:t xml:space="preserve">The expected outcome of the </w:t>
      </w:r>
      <w:r w:rsidR="0085272C" w:rsidRPr="00F84101">
        <w:t>program</w:t>
      </w:r>
      <w:r w:rsidRPr="00F84101">
        <w:t xml:space="preserve"> is that vulnerable groups will have improved access to </w:t>
      </w:r>
      <w:r w:rsidRPr="00F84101">
        <w:rPr>
          <w:lang w:eastAsia="ja-JP"/>
        </w:rPr>
        <w:t>sustainable financial services</w:t>
      </w:r>
      <w:r w:rsidRPr="00F84101">
        <w:t xml:space="preserve">. This is </w:t>
      </w:r>
      <w:r w:rsidR="00BA72A6" w:rsidRPr="00F84101">
        <w:t>consistent</w:t>
      </w:r>
      <w:r w:rsidRPr="00F84101">
        <w:t xml:space="preserve"> with the </w:t>
      </w:r>
      <w:r w:rsidRPr="00F84101">
        <w:rPr>
          <w:bCs/>
        </w:rPr>
        <w:t>UN</w:t>
      </w:r>
      <w:r w:rsidR="008B4E46" w:rsidRPr="00F84101">
        <w:rPr>
          <w:bCs/>
        </w:rPr>
        <w:t xml:space="preserve"> Development Assistance Framework</w:t>
      </w:r>
      <w:r w:rsidRPr="00F84101">
        <w:rPr>
          <w:bCs/>
        </w:rPr>
        <w:t xml:space="preserve"> </w:t>
      </w:r>
      <w:r w:rsidR="008B4E46" w:rsidRPr="00F84101">
        <w:rPr>
          <w:bCs/>
        </w:rPr>
        <w:t>(UNDAF) O</w:t>
      </w:r>
      <w:r w:rsidRPr="00F84101">
        <w:rPr>
          <w:bCs/>
          <w:lang w:eastAsia="ja-JP"/>
        </w:rPr>
        <w:t xml:space="preserve">utcome </w:t>
      </w:r>
      <w:r w:rsidRPr="00F84101">
        <w:rPr>
          <w:bCs/>
        </w:rPr>
        <w:t>2</w:t>
      </w:r>
      <w:r w:rsidRPr="00F84101">
        <w:rPr>
          <w:bCs/>
          <w:lang w:eastAsia="ja-JP"/>
        </w:rPr>
        <w:t>: B</w:t>
      </w:r>
      <w:r w:rsidRPr="00F84101">
        <w:rPr>
          <w:bCs/>
        </w:rPr>
        <w:t xml:space="preserve">y 2013, vulnerable groups experience significant improvement in sustainable livelihoods, poverty reduction </w:t>
      </w:r>
      <w:r w:rsidR="001503B4">
        <w:rPr>
          <w:bCs/>
        </w:rPr>
        <w:t>and</w:t>
      </w:r>
      <w:r w:rsidRPr="00F84101">
        <w:rPr>
          <w:bCs/>
        </w:rPr>
        <w:t xml:space="preserve"> disaster risk management within an overarching crisis preventions and recovery context.</w:t>
      </w:r>
      <w:r w:rsidRPr="00F84101">
        <w:rPr>
          <w:bCs/>
          <w:lang w:eastAsia="ja-JP"/>
        </w:rPr>
        <w:t xml:space="preserve"> The </w:t>
      </w:r>
      <w:r w:rsidR="0085272C" w:rsidRPr="00F84101">
        <w:rPr>
          <w:bCs/>
          <w:lang w:eastAsia="ja-JP"/>
        </w:rPr>
        <w:t>program</w:t>
      </w:r>
      <w:r w:rsidRPr="00F84101">
        <w:rPr>
          <w:bCs/>
          <w:lang w:eastAsia="ja-JP"/>
        </w:rPr>
        <w:t xml:space="preserve"> specifically </w:t>
      </w:r>
      <w:r w:rsidR="00BA72A6" w:rsidRPr="00F84101">
        <w:rPr>
          <w:bCs/>
          <w:lang w:eastAsia="ja-JP"/>
        </w:rPr>
        <w:t>relates to</w:t>
      </w:r>
      <w:r w:rsidRPr="00F84101">
        <w:rPr>
          <w:bCs/>
          <w:lang w:eastAsia="ja-JP"/>
        </w:rPr>
        <w:t xml:space="preserve"> UNDAF sub-outcome 2.1.5: Microfinance institutions are capacitated to increase outreach to the low income populations.</w:t>
      </w:r>
    </w:p>
    <w:p w:rsidR="007F2A41" w:rsidRPr="00F84101" w:rsidRDefault="007F2A41" w:rsidP="00FD2BFE">
      <w:pPr>
        <w:tabs>
          <w:tab w:val="left" w:pos="4680"/>
        </w:tabs>
        <w:jc w:val="both"/>
        <w:rPr>
          <w:bCs/>
          <w:lang w:eastAsia="ja-JP"/>
        </w:rPr>
      </w:pPr>
    </w:p>
    <w:p w:rsidR="007F2A41" w:rsidRPr="00F84101" w:rsidRDefault="007F2A41" w:rsidP="001F0D73">
      <w:pPr>
        <w:tabs>
          <w:tab w:val="left" w:pos="4680"/>
        </w:tabs>
        <w:jc w:val="both"/>
        <w:rPr>
          <w:lang w:val="en-GB" w:eastAsia="ja-JP"/>
        </w:rPr>
      </w:pPr>
      <w:r w:rsidRPr="00F84101">
        <w:rPr>
          <w:bCs/>
          <w:lang w:eastAsia="ja-JP"/>
        </w:rPr>
        <w:t xml:space="preserve">INFUSE </w:t>
      </w:r>
      <w:r w:rsidR="00481378" w:rsidRPr="00F84101">
        <w:rPr>
          <w:bCs/>
          <w:lang w:eastAsia="ja-JP"/>
        </w:rPr>
        <w:t>objectives are also</w:t>
      </w:r>
      <w:r w:rsidRPr="00F84101">
        <w:rPr>
          <w:bCs/>
          <w:lang w:eastAsia="ja-JP"/>
        </w:rPr>
        <w:t xml:space="preserve"> linked to</w:t>
      </w:r>
      <w:r w:rsidR="00C35A31">
        <w:rPr>
          <w:bCs/>
          <w:lang w:eastAsia="ja-JP"/>
        </w:rPr>
        <w:t xml:space="preserve"> the following </w:t>
      </w:r>
      <w:r w:rsidRPr="00F84101">
        <w:rPr>
          <w:bCs/>
          <w:lang w:eastAsia="ja-JP"/>
        </w:rPr>
        <w:t>Outcome and Output</w:t>
      </w:r>
      <w:r w:rsidR="00E425B3" w:rsidRPr="00E425B3">
        <w:rPr>
          <w:bCs/>
          <w:lang w:eastAsia="ja-JP"/>
        </w:rPr>
        <w:t xml:space="preserve"> </w:t>
      </w:r>
      <w:r w:rsidR="00E425B3">
        <w:rPr>
          <w:bCs/>
          <w:lang w:eastAsia="ja-JP"/>
        </w:rPr>
        <w:t>of UNDP Country Pro</w:t>
      </w:r>
      <w:r w:rsidR="00FF41BD">
        <w:rPr>
          <w:bCs/>
          <w:lang w:eastAsia="ja-JP"/>
        </w:rPr>
        <w:t>gram (2009 – 13) in Timor-Leste</w:t>
      </w:r>
      <w:r w:rsidRPr="00F84101">
        <w:rPr>
          <w:bCs/>
          <w:lang w:eastAsia="ja-JP"/>
        </w:rPr>
        <w:t>:</w:t>
      </w:r>
    </w:p>
    <w:p w:rsidR="007F2A41" w:rsidRPr="00F84101" w:rsidRDefault="007F2A41" w:rsidP="006D2666">
      <w:pPr>
        <w:pStyle w:val="CM6"/>
        <w:numPr>
          <w:ilvl w:val="0"/>
          <w:numId w:val="6"/>
        </w:numPr>
        <w:tabs>
          <w:tab w:val="clear" w:pos="360"/>
          <w:tab w:val="num" w:pos="720"/>
        </w:tabs>
        <w:spacing w:line="240" w:lineRule="auto"/>
        <w:ind w:leftChars="150" w:left="720" w:hangingChars="150"/>
        <w:jc w:val="both"/>
        <w:rPr>
          <w:rFonts w:ascii="Times New Roman" w:hAnsi="Times New Roman" w:cs="Times New Roman"/>
          <w:lang w:val="en-GB"/>
        </w:rPr>
      </w:pPr>
      <w:r w:rsidRPr="00F84101">
        <w:rPr>
          <w:rFonts w:ascii="Times New Roman" w:hAnsi="Times New Roman" w:cs="Times New Roman"/>
          <w:lang w:val="en-GB"/>
        </w:rPr>
        <w:t>Country Programme Outcome 3: Vulnerable groups have improved access to livelihoods</w:t>
      </w:r>
    </w:p>
    <w:p w:rsidR="007F2A41" w:rsidRPr="00F84101" w:rsidRDefault="007F2A41" w:rsidP="006D2666">
      <w:pPr>
        <w:pStyle w:val="CM6"/>
        <w:numPr>
          <w:ilvl w:val="0"/>
          <w:numId w:val="6"/>
        </w:numPr>
        <w:tabs>
          <w:tab w:val="clear" w:pos="360"/>
          <w:tab w:val="num" w:pos="720"/>
        </w:tabs>
        <w:spacing w:line="240" w:lineRule="auto"/>
        <w:ind w:leftChars="150" w:left="720" w:hangingChars="150"/>
        <w:jc w:val="both"/>
        <w:rPr>
          <w:rFonts w:ascii="Times New Roman" w:hAnsi="Times New Roman" w:cs="Times New Roman"/>
          <w:lang w:val="en-GB"/>
        </w:rPr>
      </w:pPr>
      <w:r w:rsidRPr="00F84101">
        <w:rPr>
          <w:rFonts w:ascii="Times New Roman" w:hAnsi="Times New Roman" w:cs="Times New Roman"/>
          <w:lang w:val="en-GB"/>
        </w:rPr>
        <w:t xml:space="preserve">Country Programme Output 3.1: Rural communities have microenterprises through improved access to microfinance </w:t>
      </w:r>
      <w:r w:rsidR="001503B4">
        <w:rPr>
          <w:rFonts w:ascii="Times New Roman" w:hAnsi="Times New Roman" w:cs="Times New Roman"/>
          <w:lang w:val="en-GB"/>
        </w:rPr>
        <w:t>and</w:t>
      </w:r>
      <w:r w:rsidRPr="00F84101">
        <w:rPr>
          <w:rFonts w:ascii="Times New Roman" w:hAnsi="Times New Roman" w:cs="Times New Roman"/>
          <w:lang w:val="en-GB"/>
        </w:rPr>
        <w:t xml:space="preserve"> markets.</w:t>
      </w:r>
    </w:p>
    <w:p w:rsidR="007F2A41" w:rsidRPr="00F84101" w:rsidRDefault="007F2A41" w:rsidP="00FD2BFE">
      <w:pPr>
        <w:pStyle w:val="Default"/>
        <w:jc w:val="both"/>
        <w:rPr>
          <w:rFonts w:ascii="Times New Roman" w:hAnsi="Times New Roman" w:cs="Times New Roman"/>
          <w:lang w:val="en-GB" w:eastAsia="ja-JP"/>
        </w:rPr>
      </w:pPr>
    </w:p>
    <w:p w:rsidR="00EB1AE7" w:rsidRPr="00F84101" w:rsidRDefault="00C35A31" w:rsidP="00FD2BFE">
      <w:pPr>
        <w:pStyle w:val="Default"/>
        <w:jc w:val="both"/>
        <w:rPr>
          <w:rFonts w:ascii="Times New Roman" w:hAnsi="Times New Roman" w:cs="Times New Roman"/>
          <w:u w:val="single"/>
          <w:lang w:val="en-GB" w:eastAsia="ja-JP"/>
        </w:rPr>
      </w:pPr>
      <w:r>
        <w:rPr>
          <w:rFonts w:ascii="Times New Roman" w:hAnsi="Times New Roman" w:cs="Times New Roman"/>
          <w:u w:val="single"/>
          <w:lang w:val="en-GB" w:eastAsia="ja-JP"/>
        </w:rPr>
        <w:t>INFUSE Program</w:t>
      </w:r>
      <w:r w:rsidR="00EB1AE7" w:rsidRPr="00F84101">
        <w:rPr>
          <w:rFonts w:ascii="Times New Roman" w:hAnsi="Times New Roman" w:cs="Times New Roman"/>
          <w:u w:val="single"/>
          <w:lang w:val="en-GB" w:eastAsia="ja-JP"/>
        </w:rPr>
        <w:t xml:space="preserve"> in relation with </w:t>
      </w:r>
      <w:r w:rsidR="00690FF3" w:rsidRPr="00690FF3">
        <w:rPr>
          <w:rFonts w:ascii="Times New Roman" w:hAnsi="Times New Roman" w:cs="Times New Roman"/>
          <w:u w:val="single"/>
          <w:lang w:eastAsia="ja-JP"/>
        </w:rPr>
        <w:t>Government of Timor Leste (</w:t>
      </w:r>
      <w:r w:rsidR="00EB1AE7" w:rsidRPr="00F84101">
        <w:rPr>
          <w:rFonts w:ascii="Times New Roman" w:hAnsi="Times New Roman" w:cs="Times New Roman"/>
          <w:u w:val="single"/>
          <w:lang w:val="en-GB" w:eastAsia="ja-JP"/>
        </w:rPr>
        <w:t>GoTL</w:t>
      </w:r>
      <w:r w:rsidR="00690FF3">
        <w:rPr>
          <w:rFonts w:ascii="Times New Roman" w:hAnsi="Times New Roman" w:cs="Times New Roman"/>
          <w:u w:val="single"/>
          <w:lang w:val="en-GB" w:eastAsia="ja-JP"/>
        </w:rPr>
        <w:t>)</w:t>
      </w:r>
      <w:r w:rsidR="00EB1AE7" w:rsidRPr="00F84101">
        <w:rPr>
          <w:rFonts w:ascii="Times New Roman" w:hAnsi="Times New Roman" w:cs="Times New Roman"/>
          <w:u w:val="single"/>
          <w:lang w:val="en-GB" w:eastAsia="ja-JP"/>
        </w:rPr>
        <w:t xml:space="preserve"> </w:t>
      </w:r>
      <w:r w:rsidR="001179EA" w:rsidRPr="00F84101">
        <w:rPr>
          <w:rFonts w:ascii="Times New Roman" w:hAnsi="Times New Roman" w:cs="Times New Roman"/>
          <w:u w:val="single"/>
          <w:lang w:val="en-GB" w:eastAsia="ja-JP"/>
        </w:rPr>
        <w:t>National</w:t>
      </w:r>
      <w:r w:rsidR="00EB1AE7" w:rsidRPr="00F84101">
        <w:rPr>
          <w:rFonts w:ascii="Times New Roman" w:hAnsi="Times New Roman" w:cs="Times New Roman"/>
          <w:u w:val="single"/>
          <w:lang w:val="en-GB" w:eastAsia="ja-JP"/>
        </w:rPr>
        <w:t xml:space="preserve"> </w:t>
      </w:r>
      <w:r w:rsidR="001503B4">
        <w:rPr>
          <w:rFonts w:ascii="Times New Roman" w:hAnsi="Times New Roman" w:cs="Times New Roman"/>
          <w:u w:val="single"/>
          <w:lang w:val="en-GB" w:eastAsia="ja-JP"/>
        </w:rPr>
        <w:t>Plans and Priori</w:t>
      </w:r>
      <w:r w:rsidR="00EB1AE7" w:rsidRPr="00F84101">
        <w:rPr>
          <w:rFonts w:ascii="Times New Roman" w:hAnsi="Times New Roman" w:cs="Times New Roman"/>
          <w:u w:val="single"/>
          <w:lang w:val="en-GB" w:eastAsia="ja-JP"/>
        </w:rPr>
        <w:t>ties</w:t>
      </w:r>
    </w:p>
    <w:p w:rsidR="00BA72A6" w:rsidRPr="00F84101" w:rsidRDefault="00BA72A6" w:rsidP="00FD2BFE">
      <w:pPr>
        <w:autoSpaceDE w:val="0"/>
        <w:autoSpaceDN w:val="0"/>
        <w:adjustRightInd w:val="0"/>
        <w:jc w:val="both"/>
        <w:rPr>
          <w:color w:val="000000"/>
          <w:lang w:val="en-GB"/>
        </w:rPr>
      </w:pPr>
    </w:p>
    <w:p w:rsidR="008B4E46" w:rsidRPr="00FF41BD" w:rsidRDefault="001077D5" w:rsidP="00FF41BD">
      <w:pPr>
        <w:spacing w:before="40"/>
        <w:jc w:val="both"/>
        <w:rPr>
          <w:color w:val="000000"/>
        </w:rPr>
      </w:pPr>
      <w:r w:rsidRPr="00F84101">
        <w:rPr>
          <w:color w:val="000000"/>
        </w:rPr>
        <w:t>INFUSE</w:t>
      </w:r>
      <w:r w:rsidR="00F324D2" w:rsidRPr="00F84101">
        <w:rPr>
          <w:color w:val="000000"/>
        </w:rPr>
        <w:t xml:space="preserve"> objectives </w:t>
      </w:r>
      <w:r w:rsidR="001503B4">
        <w:rPr>
          <w:color w:val="000000"/>
        </w:rPr>
        <w:t xml:space="preserve">were incorporated into the </w:t>
      </w:r>
      <w:r w:rsidR="00F324D2" w:rsidRPr="00F84101">
        <w:rPr>
          <w:color w:val="000000"/>
        </w:rPr>
        <w:t xml:space="preserve"> </w:t>
      </w:r>
      <w:r w:rsidR="001503B4" w:rsidRPr="00F84101">
        <w:rPr>
          <w:color w:val="000000"/>
        </w:rPr>
        <w:t>Government of Timor-Leste’s National Priorities 201</w:t>
      </w:r>
      <w:r w:rsidR="00FF41BD">
        <w:rPr>
          <w:color w:val="000000"/>
        </w:rPr>
        <w:t>1</w:t>
      </w:r>
      <w:r w:rsidR="001503B4" w:rsidRPr="00F84101">
        <w:rPr>
          <w:color w:val="000000"/>
        </w:rPr>
        <w:t xml:space="preserve"> framework</w:t>
      </w:r>
      <w:r w:rsidR="001503B4">
        <w:rPr>
          <w:color w:val="000000"/>
        </w:rPr>
        <w:t>, specifically within the</w:t>
      </w:r>
      <w:r w:rsidR="001503B4" w:rsidRPr="00F84101">
        <w:rPr>
          <w:color w:val="000000"/>
        </w:rPr>
        <w:t xml:space="preserve"> </w:t>
      </w:r>
      <w:r w:rsidR="00F324D2" w:rsidRPr="00F84101">
        <w:rPr>
          <w:color w:val="000000"/>
        </w:rPr>
        <w:t>Nat</w:t>
      </w:r>
      <w:r w:rsidR="00BA72A6" w:rsidRPr="00F84101">
        <w:rPr>
          <w:color w:val="000000"/>
        </w:rPr>
        <w:t>io</w:t>
      </w:r>
      <w:r w:rsidR="00F324D2" w:rsidRPr="00F84101">
        <w:rPr>
          <w:color w:val="000000"/>
        </w:rPr>
        <w:t>nal Prior</w:t>
      </w:r>
      <w:r w:rsidR="00BA72A6" w:rsidRPr="00F84101">
        <w:rPr>
          <w:color w:val="000000"/>
        </w:rPr>
        <w:t xml:space="preserve">ity # </w:t>
      </w:r>
      <w:r w:rsidR="00FF41BD">
        <w:rPr>
          <w:color w:val="000000"/>
        </w:rPr>
        <w:t>2</w:t>
      </w:r>
      <w:r w:rsidRPr="00F84101">
        <w:rPr>
          <w:color w:val="000000"/>
        </w:rPr>
        <w:t>:</w:t>
      </w:r>
      <w:r w:rsidR="00BA72A6" w:rsidRPr="00F84101">
        <w:rPr>
          <w:color w:val="000000"/>
        </w:rPr>
        <w:t xml:space="preserve"> </w:t>
      </w:r>
      <w:r w:rsidR="00FF41BD">
        <w:rPr>
          <w:bCs/>
          <w:lang w:val="en-GB"/>
        </w:rPr>
        <w:t>Rural Development</w:t>
      </w:r>
      <w:r w:rsidR="00BA72A6" w:rsidRPr="001F0D73">
        <w:rPr>
          <w:bCs/>
          <w:lang w:val="en-GB"/>
        </w:rPr>
        <w:t xml:space="preserve"> (</w:t>
      </w:r>
      <w:r w:rsidR="00FF41BD">
        <w:rPr>
          <w:bCs/>
          <w:lang w:val="en-GB"/>
        </w:rPr>
        <w:t xml:space="preserve">Food and Nutrition Security and Sustainable Economic </w:t>
      </w:r>
      <w:r w:rsidR="001F0D73" w:rsidRPr="001F0D73">
        <w:rPr>
          <w:bCs/>
          <w:lang w:val="en-GB"/>
        </w:rPr>
        <w:t>Development</w:t>
      </w:r>
      <w:r w:rsidR="00BA72A6" w:rsidRPr="00F84101">
        <w:rPr>
          <w:b/>
          <w:bCs/>
          <w:lang w:val="en-GB"/>
        </w:rPr>
        <w:t>)</w:t>
      </w:r>
      <w:r w:rsidR="00BA72A6" w:rsidRPr="00F84101">
        <w:rPr>
          <w:color w:val="000000"/>
        </w:rPr>
        <w:t xml:space="preserve">. </w:t>
      </w:r>
      <w:r w:rsidRPr="00F84101">
        <w:rPr>
          <w:color w:val="000000"/>
        </w:rPr>
        <w:t xml:space="preserve">The relevant objective </w:t>
      </w:r>
      <w:r w:rsidR="00FF41BD" w:rsidRPr="00F84101">
        <w:rPr>
          <w:color w:val="000000"/>
        </w:rPr>
        <w:t>during 201</w:t>
      </w:r>
      <w:r w:rsidR="00FF41BD">
        <w:rPr>
          <w:color w:val="000000"/>
        </w:rPr>
        <w:t xml:space="preserve">1 </w:t>
      </w:r>
      <w:r w:rsidRPr="00F84101">
        <w:rPr>
          <w:color w:val="000000"/>
        </w:rPr>
        <w:t xml:space="preserve">is to deliver support to </w:t>
      </w:r>
      <w:r w:rsidR="00690FF3">
        <w:rPr>
          <w:color w:val="000000"/>
        </w:rPr>
        <w:t>FSPs</w:t>
      </w:r>
      <w:r w:rsidR="001503B4">
        <w:rPr>
          <w:color w:val="000000"/>
        </w:rPr>
        <w:t xml:space="preserve"> </w:t>
      </w:r>
      <w:r w:rsidRPr="00F84101">
        <w:rPr>
          <w:color w:val="000000"/>
        </w:rPr>
        <w:t>to increase access</w:t>
      </w:r>
      <w:r w:rsidR="00A54F36" w:rsidRPr="00F84101">
        <w:rPr>
          <w:color w:val="000000"/>
        </w:rPr>
        <w:t xml:space="preserve"> to microfinance services by </w:t>
      </w:r>
      <w:r w:rsidRPr="00F84101">
        <w:rPr>
          <w:color w:val="000000"/>
        </w:rPr>
        <w:t xml:space="preserve">an additional </w:t>
      </w:r>
      <w:r w:rsidR="00FF41BD">
        <w:rPr>
          <w:color w:val="000000"/>
        </w:rPr>
        <w:t>10,000</w:t>
      </w:r>
      <w:r w:rsidRPr="00F84101">
        <w:rPr>
          <w:color w:val="000000"/>
        </w:rPr>
        <w:t xml:space="preserve"> </w:t>
      </w:r>
      <w:r w:rsidRPr="00F84101">
        <w:rPr>
          <w:color w:val="000000"/>
        </w:rPr>
        <w:lastRenderedPageBreak/>
        <w:t>clients</w:t>
      </w:r>
      <w:r w:rsidR="00A54F36" w:rsidRPr="00F84101">
        <w:rPr>
          <w:color w:val="000000"/>
        </w:rPr>
        <w:t>,</w:t>
      </w:r>
      <w:r w:rsidRPr="00F84101">
        <w:rPr>
          <w:color w:val="000000"/>
        </w:rPr>
        <w:t xml:space="preserve"> </w:t>
      </w:r>
      <w:r w:rsidR="00A54F36" w:rsidRPr="00F84101">
        <w:rPr>
          <w:color w:val="000000"/>
        </w:rPr>
        <w:t xml:space="preserve">of which at least 50% are women, </w:t>
      </w:r>
      <w:r w:rsidR="00FF41BD">
        <w:rPr>
          <w:color w:val="000000"/>
        </w:rPr>
        <w:t>and i</w:t>
      </w:r>
      <w:r w:rsidR="00FF41BD" w:rsidRPr="00FF41BD">
        <w:rPr>
          <w:color w:val="000000"/>
        </w:rPr>
        <w:t>ncrease diversity of financial products and services available.</w:t>
      </w:r>
    </w:p>
    <w:p w:rsidR="00DE6E89" w:rsidRPr="00F84101" w:rsidRDefault="00DE6E89" w:rsidP="00DE6E89">
      <w:pPr>
        <w:pStyle w:val="BodyText"/>
        <w:ind w:left="720"/>
        <w:jc w:val="both"/>
        <w:rPr>
          <w:rFonts w:ascii="Times New Roman" w:hAnsi="Times New Roman" w:cs="Times New Roman"/>
          <w:sz w:val="24"/>
          <w:szCs w:val="24"/>
          <w:lang w:val="en-GB"/>
        </w:rPr>
      </w:pPr>
    </w:p>
    <w:p w:rsidR="00AB0274" w:rsidRDefault="00AB0274" w:rsidP="00B45E96">
      <w:pPr>
        <w:pStyle w:val="Heading1"/>
        <w:numPr>
          <w:ilvl w:val="0"/>
          <w:numId w:val="29"/>
        </w:numPr>
      </w:pPr>
      <w:bookmarkStart w:id="18" w:name="_Toc249364484"/>
      <w:bookmarkStart w:id="19" w:name="_Toc288467976"/>
      <w:bookmarkStart w:id="20" w:name="_Toc288468704"/>
      <w:bookmarkStart w:id="21" w:name="_Toc366502964"/>
      <w:r w:rsidRPr="00F84101">
        <w:t>Resources</w:t>
      </w:r>
      <w:bookmarkEnd w:id="18"/>
      <w:bookmarkEnd w:id="19"/>
      <w:bookmarkEnd w:id="20"/>
      <w:bookmarkEnd w:id="21"/>
      <w:r w:rsidRPr="00F84101">
        <w:t xml:space="preserve"> </w:t>
      </w:r>
    </w:p>
    <w:p w:rsidR="00E108D3" w:rsidRPr="00E108D3" w:rsidRDefault="00E108D3" w:rsidP="00E108D3"/>
    <w:p w:rsidR="00AB0274" w:rsidRPr="001E30F0" w:rsidRDefault="00AB0274" w:rsidP="00B45E96">
      <w:pPr>
        <w:pStyle w:val="Heading2"/>
        <w:rPr>
          <w:b/>
        </w:rPr>
      </w:pPr>
      <w:bookmarkStart w:id="22" w:name="_Toc288468705"/>
      <w:bookmarkStart w:id="23" w:name="_Toc366502965"/>
      <w:r w:rsidRPr="001E30F0">
        <w:t xml:space="preserve">Financial </w:t>
      </w:r>
      <w:r w:rsidRPr="00B45E96">
        <w:t>Resources</w:t>
      </w:r>
      <w:r w:rsidRPr="001E30F0">
        <w:t>:</w:t>
      </w:r>
      <w:bookmarkEnd w:id="22"/>
      <w:bookmarkEnd w:id="23"/>
    </w:p>
    <w:p w:rsidR="001C3825" w:rsidRPr="00F84101" w:rsidRDefault="001C3825" w:rsidP="00FF41BD">
      <w:pPr>
        <w:pStyle w:val="BodyText"/>
        <w:jc w:val="both"/>
        <w:rPr>
          <w:rFonts w:ascii="Times New Roman" w:hAnsi="Times New Roman" w:cs="Times New Roman"/>
          <w:sz w:val="24"/>
          <w:szCs w:val="24"/>
          <w:lang w:eastAsia="ja-JP"/>
        </w:rPr>
      </w:pPr>
      <w:r w:rsidRPr="00F84101">
        <w:rPr>
          <w:rFonts w:ascii="Times New Roman" w:hAnsi="Times New Roman" w:cs="Times New Roman"/>
          <w:sz w:val="24"/>
          <w:szCs w:val="24"/>
          <w:lang w:eastAsia="ja-JP"/>
        </w:rPr>
        <w:t>INFUSE</w:t>
      </w:r>
      <w:r w:rsidR="00C05D69" w:rsidRPr="00F84101">
        <w:rPr>
          <w:rFonts w:ascii="Times New Roman" w:hAnsi="Times New Roman" w:cs="Times New Roman"/>
          <w:sz w:val="24"/>
          <w:szCs w:val="24"/>
          <w:lang w:eastAsia="ja-JP"/>
        </w:rPr>
        <w:t xml:space="preserve"> was incepted as a </w:t>
      </w:r>
      <w:r w:rsidR="00E425B3">
        <w:rPr>
          <w:rFonts w:ascii="Times New Roman" w:hAnsi="Times New Roman" w:cs="Times New Roman"/>
          <w:sz w:val="24"/>
          <w:szCs w:val="24"/>
          <w:lang w:eastAsia="ja-JP"/>
        </w:rPr>
        <w:t>GoTL-</w:t>
      </w:r>
      <w:r w:rsidR="00C05D69" w:rsidRPr="00F84101">
        <w:rPr>
          <w:rFonts w:ascii="Times New Roman" w:hAnsi="Times New Roman" w:cs="Times New Roman"/>
          <w:iCs/>
          <w:sz w:val="24"/>
          <w:szCs w:val="24"/>
        </w:rPr>
        <w:t xml:space="preserve">UNCDF-UNDP partnership </w:t>
      </w:r>
      <w:r w:rsidR="00C05D69" w:rsidRPr="00F84101">
        <w:rPr>
          <w:rFonts w:ascii="Times New Roman" w:hAnsi="Times New Roman" w:cs="Times New Roman"/>
          <w:sz w:val="24"/>
          <w:szCs w:val="24"/>
          <w:lang w:eastAsia="ja-JP"/>
        </w:rPr>
        <w:t>with a programmed budget of US$ 5</w:t>
      </w:r>
      <w:r w:rsidR="00690FF3">
        <w:rPr>
          <w:rFonts w:ascii="Times New Roman" w:hAnsi="Times New Roman" w:cs="Times New Roman"/>
          <w:sz w:val="24"/>
          <w:szCs w:val="24"/>
          <w:lang w:eastAsia="ja-JP"/>
        </w:rPr>
        <w:t xml:space="preserve"> </w:t>
      </w:r>
      <w:r w:rsidR="00C05D69" w:rsidRPr="00F84101">
        <w:rPr>
          <w:rFonts w:ascii="Times New Roman" w:hAnsi="Times New Roman" w:cs="Times New Roman"/>
          <w:sz w:val="24"/>
          <w:szCs w:val="24"/>
          <w:lang w:eastAsia="ja-JP"/>
        </w:rPr>
        <w:t>m</w:t>
      </w:r>
      <w:r w:rsidR="00690FF3">
        <w:rPr>
          <w:rFonts w:ascii="Times New Roman" w:hAnsi="Times New Roman" w:cs="Times New Roman"/>
          <w:sz w:val="24"/>
          <w:szCs w:val="24"/>
          <w:lang w:eastAsia="ja-JP"/>
        </w:rPr>
        <w:t>illio</w:t>
      </w:r>
      <w:r w:rsidR="00472DAD" w:rsidRPr="00F84101">
        <w:rPr>
          <w:rFonts w:ascii="Times New Roman" w:hAnsi="Times New Roman" w:cs="Times New Roman"/>
          <w:sz w:val="24"/>
          <w:szCs w:val="24"/>
          <w:lang w:eastAsia="ja-JP"/>
        </w:rPr>
        <w:t>n</w:t>
      </w:r>
      <w:r w:rsidR="00C05D69" w:rsidRPr="00F84101">
        <w:rPr>
          <w:rFonts w:ascii="Times New Roman" w:hAnsi="Times New Roman" w:cs="Times New Roman"/>
          <w:sz w:val="24"/>
          <w:szCs w:val="24"/>
          <w:lang w:eastAsia="ja-JP"/>
        </w:rPr>
        <w:t>, including initial funding of US$1,050,000 from UNCDF and $500,000 from UNDP</w:t>
      </w:r>
      <w:r w:rsidRPr="00F84101">
        <w:rPr>
          <w:rFonts w:ascii="Times New Roman" w:hAnsi="Times New Roman" w:cs="Times New Roman"/>
          <w:sz w:val="24"/>
          <w:szCs w:val="24"/>
          <w:lang w:eastAsia="ja-JP"/>
        </w:rPr>
        <w:t xml:space="preserve">. </w:t>
      </w:r>
      <w:r w:rsidR="001503B4">
        <w:rPr>
          <w:rFonts w:ascii="Times New Roman" w:hAnsi="Times New Roman" w:cs="Times New Roman"/>
          <w:sz w:val="24"/>
          <w:szCs w:val="24"/>
          <w:lang w:eastAsia="ja-JP"/>
        </w:rPr>
        <w:t>At</w:t>
      </w:r>
      <w:r w:rsidRPr="00F84101">
        <w:rPr>
          <w:rFonts w:ascii="Times New Roman" w:hAnsi="Times New Roman" w:cs="Times New Roman"/>
          <w:sz w:val="24"/>
          <w:szCs w:val="24"/>
          <w:lang w:eastAsia="ja-JP"/>
        </w:rPr>
        <w:t xml:space="preserve"> the end </w:t>
      </w:r>
      <w:r w:rsidR="00A66881" w:rsidRPr="00F84101">
        <w:rPr>
          <w:rFonts w:ascii="Times New Roman" w:hAnsi="Times New Roman" w:cs="Times New Roman"/>
          <w:sz w:val="24"/>
          <w:szCs w:val="24"/>
          <w:lang w:eastAsia="ja-JP"/>
        </w:rPr>
        <w:t xml:space="preserve">of </w:t>
      </w:r>
      <w:r w:rsidR="00FF41BD">
        <w:rPr>
          <w:rFonts w:ascii="Times New Roman" w:hAnsi="Times New Roman" w:cs="Times New Roman"/>
          <w:sz w:val="24"/>
          <w:szCs w:val="24"/>
          <w:lang w:eastAsia="ja-JP"/>
        </w:rPr>
        <w:t>June 2011</w:t>
      </w:r>
      <w:r w:rsidRPr="00F84101">
        <w:rPr>
          <w:rFonts w:ascii="Times New Roman" w:hAnsi="Times New Roman" w:cs="Times New Roman"/>
          <w:sz w:val="24"/>
          <w:szCs w:val="24"/>
          <w:lang w:eastAsia="ja-JP"/>
        </w:rPr>
        <w:t xml:space="preserve">, the </w:t>
      </w:r>
      <w:r w:rsidR="009F6088" w:rsidRPr="00F84101">
        <w:rPr>
          <w:rFonts w:ascii="Times New Roman" w:hAnsi="Times New Roman" w:cs="Times New Roman"/>
          <w:sz w:val="24"/>
          <w:szCs w:val="24"/>
          <w:lang w:eastAsia="ja-JP"/>
        </w:rPr>
        <w:t>program</w:t>
      </w:r>
      <w:r w:rsidRPr="00F84101">
        <w:rPr>
          <w:rFonts w:ascii="Times New Roman" w:hAnsi="Times New Roman" w:cs="Times New Roman"/>
          <w:sz w:val="24"/>
          <w:szCs w:val="24"/>
          <w:lang w:eastAsia="ja-JP"/>
        </w:rPr>
        <w:t xml:space="preserve"> is funded by UNCDF, UNDP, </w:t>
      </w:r>
      <w:proofErr w:type="gramStart"/>
      <w:r w:rsidRPr="00F84101">
        <w:rPr>
          <w:rFonts w:ascii="Times New Roman" w:hAnsi="Times New Roman" w:cs="Times New Roman"/>
          <w:sz w:val="24"/>
          <w:szCs w:val="24"/>
          <w:lang w:eastAsia="ja-JP"/>
        </w:rPr>
        <w:t>the</w:t>
      </w:r>
      <w:proofErr w:type="gramEnd"/>
      <w:r w:rsidRPr="00F84101">
        <w:rPr>
          <w:rFonts w:ascii="Times New Roman" w:hAnsi="Times New Roman" w:cs="Times New Roman"/>
          <w:sz w:val="24"/>
          <w:szCs w:val="24"/>
          <w:lang w:eastAsia="ja-JP"/>
        </w:rPr>
        <w:t xml:space="preserve"> </w:t>
      </w:r>
      <w:r w:rsidR="00690FF3">
        <w:rPr>
          <w:rFonts w:ascii="Times New Roman" w:hAnsi="Times New Roman" w:cs="Times New Roman"/>
          <w:sz w:val="24"/>
          <w:szCs w:val="24"/>
          <w:lang w:eastAsia="ja-JP"/>
        </w:rPr>
        <w:t>GoTL</w:t>
      </w:r>
      <w:r w:rsidR="00164BD8">
        <w:rPr>
          <w:rFonts w:ascii="Times New Roman" w:hAnsi="Times New Roman" w:cs="Times New Roman"/>
          <w:sz w:val="24"/>
          <w:szCs w:val="24"/>
          <w:lang w:eastAsia="ja-JP"/>
        </w:rPr>
        <w:t xml:space="preserve"> through the budget of the Ministry of Economy and Development (</w:t>
      </w:r>
      <w:r w:rsidRPr="00F84101">
        <w:rPr>
          <w:rFonts w:ascii="Times New Roman" w:hAnsi="Times New Roman" w:cs="Times New Roman"/>
          <w:sz w:val="24"/>
          <w:szCs w:val="24"/>
          <w:lang w:eastAsia="ja-JP"/>
        </w:rPr>
        <w:t>MoED</w:t>
      </w:r>
      <w:r w:rsidR="00164BD8">
        <w:rPr>
          <w:rFonts w:ascii="Times New Roman" w:hAnsi="Times New Roman" w:cs="Times New Roman"/>
          <w:sz w:val="24"/>
          <w:szCs w:val="24"/>
          <w:lang w:eastAsia="ja-JP"/>
        </w:rPr>
        <w:t>)</w:t>
      </w:r>
      <w:r w:rsidRPr="00F84101">
        <w:rPr>
          <w:rFonts w:ascii="Times New Roman" w:hAnsi="Times New Roman" w:cs="Times New Roman"/>
          <w:sz w:val="24"/>
          <w:szCs w:val="24"/>
          <w:lang w:eastAsia="ja-JP"/>
        </w:rPr>
        <w:t xml:space="preserve"> and </w:t>
      </w:r>
      <w:r w:rsidR="00164BD8">
        <w:rPr>
          <w:rFonts w:ascii="Times New Roman" w:hAnsi="Times New Roman" w:cs="Times New Roman"/>
          <w:sz w:val="24"/>
          <w:szCs w:val="24"/>
          <w:lang w:eastAsia="ja-JP"/>
        </w:rPr>
        <w:t>the Australian Agency for International Development (</w:t>
      </w:r>
      <w:r w:rsidRPr="00F84101">
        <w:rPr>
          <w:rFonts w:ascii="Times New Roman" w:hAnsi="Times New Roman" w:cs="Times New Roman"/>
          <w:sz w:val="24"/>
          <w:szCs w:val="24"/>
          <w:lang w:eastAsia="ja-JP"/>
        </w:rPr>
        <w:t>AusAID</w:t>
      </w:r>
      <w:r w:rsidR="00164BD8">
        <w:rPr>
          <w:rFonts w:ascii="Times New Roman" w:hAnsi="Times New Roman" w:cs="Times New Roman"/>
          <w:sz w:val="24"/>
          <w:szCs w:val="24"/>
          <w:lang w:eastAsia="ja-JP"/>
        </w:rPr>
        <w:t>)</w:t>
      </w:r>
      <w:r w:rsidRPr="00F84101">
        <w:rPr>
          <w:rFonts w:ascii="Times New Roman" w:hAnsi="Times New Roman" w:cs="Times New Roman"/>
          <w:sz w:val="24"/>
          <w:szCs w:val="24"/>
          <w:lang w:eastAsia="ja-JP"/>
        </w:rPr>
        <w:t xml:space="preserve">. </w:t>
      </w:r>
      <w:r w:rsidR="00614FFD">
        <w:rPr>
          <w:rFonts w:ascii="Times New Roman" w:hAnsi="Times New Roman" w:cs="Times New Roman"/>
          <w:sz w:val="24"/>
          <w:szCs w:val="24"/>
          <w:lang w:eastAsia="ja-JP"/>
        </w:rPr>
        <w:t xml:space="preserve">UNCDF has agreed to an increase in their contribution by USD0.5 million, which now takes their total contribution to USD1, 550,000. </w:t>
      </w:r>
      <w:r w:rsidR="00FF41BD">
        <w:rPr>
          <w:rFonts w:ascii="Times New Roman" w:hAnsi="Times New Roman" w:cs="Times New Roman"/>
          <w:sz w:val="24"/>
          <w:szCs w:val="24"/>
          <w:lang w:eastAsia="ja-JP"/>
        </w:rPr>
        <w:t>Respective contributions are listed below in</w:t>
      </w:r>
      <w:r w:rsidRPr="00F84101">
        <w:rPr>
          <w:rFonts w:ascii="Times New Roman" w:hAnsi="Times New Roman" w:cs="Times New Roman"/>
          <w:sz w:val="24"/>
          <w:szCs w:val="24"/>
          <w:lang w:eastAsia="ja-JP"/>
        </w:rPr>
        <w:t xml:space="preserve"> </w:t>
      </w:r>
      <w:r w:rsidR="003E12FD" w:rsidRPr="00F84101">
        <w:rPr>
          <w:rFonts w:ascii="Times New Roman" w:hAnsi="Times New Roman" w:cs="Times New Roman"/>
          <w:sz w:val="24"/>
          <w:szCs w:val="24"/>
          <w:lang w:eastAsia="ja-JP"/>
        </w:rPr>
        <w:t>Table 1</w:t>
      </w:r>
      <w:r w:rsidRPr="00F84101">
        <w:rPr>
          <w:rFonts w:ascii="Times New Roman" w:hAnsi="Times New Roman" w:cs="Times New Roman"/>
          <w:sz w:val="24"/>
          <w:szCs w:val="24"/>
          <w:lang w:eastAsia="ja-JP"/>
        </w:rPr>
        <w:t xml:space="preserve"> </w:t>
      </w:r>
      <w:r w:rsidR="00FF41BD">
        <w:rPr>
          <w:rFonts w:ascii="Times New Roman" w:hAnsi="Times New Roman" w:cs="Times New Roman"/>
          <w:sz w:val="24"/>
          <w:szCs w:val="24"/>
          <w:lang w:eastAsia="ja-JP"/>
        </w:rPr>
        <w:t>displaying</w:t>
      </w:r>
      <w:r w:rsidRPr="00F84101">
        <w:rPr>
          <w:rFonts w:ascii="Times New Roman" w:hAnsi="Times New Roman" w:cs="Times New Roman"/>
          <w:sz w:val="24"/>
          <w:szCs w:val="24"/>
          <w:lang w:eastAsia="ja-JP"/>
        </w:rPr>
        <w:t xml:space="preserve"> the </w:t>
      </w:r>
      <w:r w:rsidR="00FF41BD">
        <w:rPr>
          <w:rFonts w:ascii="Times New Roman" w:hAnsi="Times New Roman" w:cs="Times New Roman"/>
          <w:sz w:val="24"/>
          <w:szCs w:val="24"/>
          <w:lang w:eastAsia="ja-JP"/>
        </w:rPr>
        <w:t>annual</w:t>
      </w:r>
      <w:r w:rsidRPr="00F84101">
        <w:rPr>
          <w:rFonts w:ascii="Times New Roman" w:hAnsi="Times New Roman" w:cs="Times New Roman"/>
          <w:sz w:val="24"/>
          <w:szCs w:val="24"/>
          <w:lang w:eastAsia="ja-JP"/>
        </w:rPr>
        <w:t xml:space="preserve"> budget and financial contribution from donors</w:t>
      </w:r>
      <w:r w:rsidR="00FF41BD">
        <w:rPr>
          <w:rFonts w:ascii="Times New Roman" w:hAnsi="Times New Roman" w:cs="Times New Roman"/>
          <w:sz w:val="24"/>
          <w:szCs w:val="24"/>
          <w:lang w:eastAsia="ja-JP"/>
        </w:rPr>
        <w:t xml:space="preserve"> (actual through 2011 and proposed for 2012)</w:t>
      </w:r>
      <w:r w:rsidRPr="00F84101">
        <w:rPr>
          <w:rFonts w:ascii="Times New Roman" w:hAnsi="Times New Roman" w:cs="Times New Roman"/>
          <w:sz w:val="24"/>
          <w:szCs w:val="24"/>
          <w:lang w:eastAsia="ja-JP"/>
        </w:rPr>
        <w:t xml:space="preserve">. </w:t>
      </w:r>
    </w:p>
    <w:p w:rsidR="001C3825" w:rsidRPr="001503B4" w:rsidRDefault="001C3825" w:rsidP="001C3825">
      <w:pPr>
        <w:rPr>
          <w:sz w:val="22"/>
          <w:szCs w:val="22"/>
        </w:rPr>
      </w:pPr>
    </w:p>
    <w:p w:rsidR="00E714E3" w:rsidRDefault="00FC1304" w:rsidP="00FC1304">
      <w:pPr>
        <w:rPr>
          <w:sz w:val="22"/>
          <w:szCs w:val="22"/>
        </w:rPr>
      </w:pPr>
      <w:r w:rsidRPr="001503B4">
        <w:rPr>
          <w:sz w:val="22"/>
          <w:szCs w:val="22"/>
        </w:rPr>
        <w:t xml:space="preserve">Table 1: Yearly Financial Contribution by Donor </w:t>
      </w:r>
    </w:p>
    <w:tbl>
      <w:tblPr>
        <w:tblW w:w="5038" w:type="pct"/>
        <w:tblLook w:val="04A0" w:firstRow="1" w:lastRow="0" w:firstColumn="1" w:lastColumn="0" w:noHBand="0" w:noVBand="1"/>
      </w:tblPr>
      <w:tblGrid>
        <w:gridCol w:w="2191"/>
        <w:gridCol w:w="1295"/>
        <w:gridCol w:w="1295"/>
        <w:gridCol w:w="1482"/>
        <w:gridCol w:w="1176"/>
        <w:gridCol w:w="1176"/>
        <w:gridCol w:w="1563"/>
      </w:tblGrid>
      <w:tr w:rsidR="00614FFD" w:rsidRPr="00614FFD" w:rsidTr="00614FFD">
        <w:trPr>
          <w:trHeight w:val="864"/>
        </w:trPr>
        <w:tc>
          <w:tcPr>
            <w:tcW w:w="1034"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614FFD" w:rsidRPr="00614FFD" w:rsidRDefault="00614FFD">
            <w:r w:rsidRPr="00614FFD">
              <w:rPr>
                <w:b/>
                <w:bCs/>
                <w:color w:val="000000"/>
              </w:rPr>
              <w:t xml:space="preserve">Funding Source </w:t>
            </w:r>
            <w:r w:rsidRPr="00614FFD">
              <w:t xml:space="preserve"> </w:t>
            </w:r>
          </w:p>
        </w:tc>
        <w:tc>
          <w:tcPr>
            <w:tcW w:w="657" w:type="pct"/>
            <w:tcBorders>
              <w:top w:val="single" w:sz="4" w:space="0" w:color="auto"/>
              <w:left w:val="nil"/>
              <w:bottom w:val="single" w:sz="4" w:space="0" w:color="auto"/>
              <w:right w:val="single" w:sz="4" w:space="0" w:color="auto"/>
            </w:tcBorders>
            <w:shd w:val="clear" w:color="000000" w:fill="F2F2F2"/>
            <w:noWrap/>
            <w:vAlign w:val="bottom"/>
            <w:hideMark/>
          </w:tcPr>
          <w:p w:rsidR="00614FFD" w:rsidRPr="00614FFD" w:rsidRDefault="00614FFD">
            <w:pPr>
              <w:jc w:val="center"/>
              <w:rPr>
                <w:b/>
                <w:bCs/>
              </w:rPr>
            </w:pPr>
            <w:r w:rsidRPr="00614FFD">
              <w:rPr>
                <w:b/>
                <w:bCs/>
              </w:rPr>
              <w:t>2008</w:t>
            </w:r>
          </w:p>
        </w:tc>
        <w:tc>
          <w:tcPr>
            <w:tcW w:w="657" w:type="pct"/>
            <w:tcBorders>
              <w:top w:val="single" w:sz="4" w:space="0" w:color="auto"/>
              <w:left w:val="nil"/>
              <w:bottom w:val="single" w:sz="4" w:space="0" w:color="auto"/>
              <w:right w:val="single" w:sz="4" w:space="0" w:color="auto"/>
            </w:tcBorders>
            <w:shd w:val="clear" w:color="000000" w:fill="F2F2F2"/>
            <w:noWrap/>
            <w:vAlign w:val="bottom"/>
            <w:hideMark/>
          </w:tcPr>
          <w:p w:rsidR="00614FFD" w:rsidRPr="00614FFD" w:rsidRDefault="00614FFD">
            <w:pPr>
              <w:jc w:val="center"/>
              <w:rPr>
                <w:b/>
                <w:bCs/>
              </w:rPr>
            </w:pPr>
            <w:r w:rsidRPr="00614FFD">
              <w:rPr>
                <w:b/>
                <w:bCs/>
              </w:rPr>
              <w:t>2009</w:t>
            </w:r>
          </w:p>
        </w:tc>
        <w:tc>
          <w:tcPr>
            <w:tcW w:w="751" w:type="pct"/>
            <w:tcBorders>
              <w:top w:val="single" w:sz="4" w:space="0" w:color="auto"/>
              <w:left w:val="nil"/>
              <w:bottom w:val="single" w:sz="4" w:space="0" w:color="auto"/>
              <w:right w:val="single" w:sz="4" w:space="0" w:color="auto"/>
            </w:tcBorders>
            <w:shd w:val="clear" w:color="000000" w:fill="F2F2F2"/>
            <w:noWrap/>
            <w:vAlign w:val="bottom"/>
            <w:hideMark/>
          </w:tcPr>
          <w:p w:rsidR="00614FFD" w:rsidRPr="00614FFD" w:rsidRDefault="00614FFD">
            <w:pPr>
              <w:jc w:val="center"/>
              <w:rPr>
                <w:b/>
                <w:bCs/>
              </w:rPr>
            </w:pPr>
            <w:r w:rsidRPr="00614FFD">
              <w:rPr>
                <w:b/>
                <w:bCs/>
              </w:rPr>
              <w:t>2010</w:t>
            </w:r>
          </w:p>
        </w:tc>
        <w:tc>
          <w:tcPr>
            <w:tcW w:w="561" w:type="pct"/>
            <w:tcBorders>
              <w:top w:val="single" w:sz="4" w:space="0" w:color="auto"/>
              <w:left w:val="nil"/>
              <w:bottom w:val="single" w:sz="4" w:space="0" w:color="auto"/>
              <w:right w:val="single" w:sz="4" w:space="0" w:color="auto"/>
            </w:tcBorders>
            <w:shd w:val="clear" w:color="000000" w:fill="F2F2F2"/>
            <w:noWrap/>
            <w:vAlign w:val="bottom"/>
            <w:hideMark/>
          </w:tcPr>
          <w:p w:rsidR="00614FFD" w:rsidRPr="00614FFD" w:rsidRDefault="00614FFD">
            <w:pPr>
              <w:jc w:val="center"/>
              <w:rPr>
                <w:b/>
                <w:bCs/>
              </w:rPr>
            </w:pPr>
            <w:r w:rsidRPr="00614FFD">
              <w:rPr>
                <w:b/>
                <w:bCs/>
              </w:rPr>
              <w:t>2011</w:t>
            </w:r>
          </w:p>
        </w:tc>
        <w:tc>
          <w:tcPr>
            <w:tcW w:w="561" w:type="pct"/>
            <w:tcBorders>
              <w:top w:val="single" w:sz="4" w:space="0" w:color="auto"/>
              <w:left w:val="nil"/>
              <w:bottom w:val="single" w:sz="4" w:space="0" w:color="auto"/>
              <w:right w:val="single" w:sz="4" w:space="0" w:color="auto"/>
            </w:tcBorders>
            <w:shd w:val="clear" w:color="000000" w:fill="F2F2F2"/>
            <w:noWrap/>
            <w:vAlign w:val="bottom"/>
            <w:hideMark/>
          </w:tcPr>
          <w:p w:rsidR="00614FFD" w:rsidRPr="00614FFD" w:rsidRDefault="00614FFD">
            <w:pPr>
              <w:jc w:val="center"/>
              <w:rPr>
                <w:b/>
                <w:bCs/>
              </w:rPr>
            </w:pPr>
            <w:r w:rsidRPr="00614FFD">
              <w:rPr>
                <w:b/>
                <w:bCs/>
              </w:rPr>
              <w:t>2012</w:t>
            </w:r>
          </w:p>
        </w:tc>
        <w:tc>
          <w:tcPr>
            <w:tcW w:w="779" w:type="pct"/>
            <w:tcBorders>
              <w:top w:val="single" w:sz="4" w:space="0" w:color="auto"/>
              <w:left w:val="nil"/>
              <w:bottom w:val="single" w:sz="4" w:space="0" w:color="auto"/>
              <w:right w:val="single" w:sz="4" w:space="0" w:color="auto"/>
            </w:tcBorders>
            <w:shd w:val="clear" w:color="000000" w:fill="F2F2F2"/>
            <w:vAlign w:val="bottom"/>
            <w:hideMark/>
          </w:tcPr>
          <w:p w:rsidR="00614FFD" w:rsidRPr="00614FFD" w:rsidRDefault="00614FFD">
            <w:pPr>
              <w:jc w:val="center"/>
            </w:pPr>
            <w:r w:rsidRPr="00614FFD">
              <w:t xml:space="preserve"> </w:t>
            </w:r>
            <w:r w:rsidRPr="00614FFD">
              <w:rPr>
                <w:b/>
                <w:bCs/>
                <w:color w:val="000000"/>
              </w:rPr>
              <w:t xml:space="preserve">Total </w:t>
            </w:r>
            <w:r w:rsidRPr="00614FFD">
              <w:rPr>
                <w:b/>
                <w:bCs/>
                <w:color w:val="000000"/>
              </w:rPr>
              <w:br/>
              <w:t>Contribution</w:t>
            </w:r>
            <w:r w:rsidRPr="00614FFD">
              <w:rPr>
                <w:b/>
                <w:bCs/>
                <w:color w:val="000000"/>
              </w:rPr>
              <w:br/>
              <w:t xml:space="preserve">(USD) </w:t>
            </w:r>
            <w:r w:rsidRPr="00614FFD">
              <w:t xml:space="preserve"> </w:t>
            </w:r>
          </w:p>
        </w:tc>
      </w:tr>
      <w:tr w:rsidR="00614FFD" w:rsidRPr="00614FFD" w:rsidTr="00614FFD">
        <w:trPr>
          <w:trHeight w:val="288"/>
        </w:trPr>
        <w:tc>
          <w:tcPr>
            <w:tcW w:w="1034" w:type="pct"/>
            <w:tcBorders>
              <w:top w:val="nil"/>
              <w:left w:val="single" w:sz="4" w:space="0" w:color="auto"/>
              <w:bottom w:val="single" w:sz="4" w:space="0" w:color="auto"/>
              <w:right w:val="single" w:sz="4" w:space="0" w:color="auto"/>
            </w:tcBorders>
            <w:shd w:val="clear" w:color="000000" w:fill="F2F2F2"/>
            <w:noWrap/>
            <w:vAlign w:val="bottom"/>
            <w:hideMark/>
          </w:tcPr>
          <w:p w:rsidR="00614FFD" w:rsidRPr="00614FFD" w:rsidRDefault="00614FFD">
            <w:r w:rsidRPr="00614FFD">
              <w:t xml:space="preserve"> </w:t>
            </w:r>
            <w:r w:rsidRPr="00614FFD">
              <w:rPr>
                <w:color w:val="000000"/>
              </w:rPr>
              <w:t xml:space="preserve">UNCDF </w:t>
            </w:r>
            <w:r w:rsidRPr="00614FFD">
              <w:t xml:space="preserve"> *</w:t>
            </w:r>
          </w:p>
        </w:tc>
        <w:tc>
          <w:tcPr>
            <w:tcW w:w="657" w:type="pct"/>
            <w:tcBorders>
              <w:top w:val="nil"/>
              <w:left w:val="nil"/>
              <w:bottom w:val="single" w:sz="4" w:space="0" w:color="auto"/>
              <w:right w:val="single" w:sz="4" w:space="0" w:color="auto"/>
            </w:tcBorders>
            <w:shd w:val="clear" w:color="auto" w:fill="auto"/>
            <w:noWrap/>
            <w:vAlign w:val="bottom"/>
            <w:hideMark/>
          </w:tcPr>
          <w:p w:rsidR="00614FFD" w:rsidRPr="00614FFD" w:rsidRDefault="00614FFD" w:rsidP="00614FFD">
            <w:pPr>
              <w:jc w:val="center"/>
              <w:rPr>
                <w:color w:val="000000"/>
              </w:rPr>
            </w:pPr>
            <w:r w:rsidRPr="00614FFD">
              <w:rPr>
                <w:color w:val="000000"/>
              </w:rPr>
              <w:t>190,053</w:t>
            </w:r>
          </w:p>
        </w:tc>
        <w:tc>
          <w:tcPr>
            <w:tcW w:w="657" w:type="pct"/>
            <w:tcBorders>
              <w:top w:val="nil"/>
              <w:left w:val="nil"/>
              <w:bottom w:val="single" w:sz="4" w:space="0" w:color="auto"/>
              <w:right w:val="single" w:sz="4" w:space="0" w:color="auto"/>
            </w:tcBorders>
            <w:shd w:val="clear" w:color="auto" w:fill="auto"/>
            <w:noWrap/>
            <w:vAlign w:val="bottom"/>
            <w:hideMark/>
          </w:tcPr>
          <w:p w:rsidR="00614FFD" w:rsidRPr="00614FFD" w:rsidRDefault="00614FFD" w:rsidP="00614FFD">
            <w:pPr>
              <w:jc w:val="center"/>
              <w:rPr>
                <w:color w:val="000000"/>
              </w:rPr>
            </w:pPr>
            <w:r w:rsidRPr="00614FFD">
              <w:rPr>
                <w:color w:val="000000"/>
              </w:rPr>
              <w:t>110,007</w:t>
            </w:r>
          </w:p>
        </w:tc>
        <w:tc>
          <w:tcPr>
            <w:tcW w:w="751" w:type="pct"/>
            <w:tcBorders>
              <w:top w:val="nil"/>
              <w:left w:val="nil"/>
              <w:bottom w:val="single" w:sz="4" w:space="0" w:color="auto"/>
              <w:right w:val="single" w:sz="4" w:space="0" w:color="auto"/>
            </w:tcBorders>
            <w:shd w:val="clear" w:color="auto" w:fill="auto"/>
            <w:noWrap/>
            <w:vAlign w:val="bottom"/>
            <w:hideMark/>
          </w:tcPr>
          <w:p w:rsidR="00614FFD" w:rsidRPr="00614FFD" w:rsidRDefault="00614FFD" w:rsidP="00614FFD">
            <w:pPr>
              <w:jc w:val="center"/>
              <w:rPr>
                <w:color w:val="000000"/>
              </w:rPr>
            </w:pPr>
            <w:r w:rsidRPr="00614FFD">
              <w:rPr>
                <w:color w:val="000000"/>
              </w:rPr>
              <w:t>599,536</w:t>
            </w:r>
          </w:p>
        </w:tc>
        <w:tc>
          <w:tcPr>
            <w:tcW w:w="561" w:type="pct"/>
            <w:tcBorders>
              <w:top w:val="nil"/>
              <w:left w:val="nil"/>
              <w:bottom w:val="single" w:sz="4" w:space="0" w:color="auto"/>
              <w:right w:val="single" w:sz="4" w:space="0" w:color="auto"/>
            </w:tcBorders>
            <w:shd w:val="clear" w:color="auto" w:fill="auto"/>
            <w:noWrap/>
            <w:vAlign w:val="bottom"/>
            <w:hideMark/>
          </w:tcPr>
          <w:p w:rsidR="00614FFD" w:rsidRPr="00614FFD" w:rsidRDefault="00614FFD" w:rsidP="00614FFD">
            <w:pPr>
              <w:jc w:val="center"/>
              <w:rPr>
                <w:color w:val="000000"/>
              </w:rPr>
            </w:pPr>
            <w:r w:rsidRPr="00614FFD">
              <w:rPr>
                <w:color w:val="000000"/>
              </w:rPr>
              <w:t>385,694</w:t>
            </w:r>
          </w:p>
        </w:tc>
        <w:tc>
          <w:tcPr>
            <w:tcW w:w="561" w:type="pct"/>
            <w:tcBorders>
              <w:top w:val="nil"/>
              <w:left w:val="nil"/>
              <w:bottom w:val="single" w:sz="4" w:space="0" w:color="auto"/>
              <w:right w:val="single" w:sz="4" w:space="0" w:color="auto"/>
            </w:tcBorders>
            <w:shd w:val="clear" w:color="auto" w:fill="auto"/>
            <w:noWrap/>
            <w:vAlign w:val="bottom"/>
            <w:hideMark/>
          </w:tcPr>
          <w:p w:rsidR="00614FFD" w:rsidRPr="00614FFD" w:rsidRDefault="00614FFD" w:rsidP="00614FFD">
            <w:pPr>
              <w:jc w:val="center"/>
              <w:rPr>
                <w:color w:val="000000"/>
              </w:rPr>
            </w:pPr>
            <w:r w:rsidRPr="00614FFD">
              <w:rPr>
                <w:color w:val="000000"/>
              </w:rPr>
              <w:t>264,711</w:t>
            </w:r>
          </w:p>
        </w:tc>
        <w:tc>
          <w:tcPr>
            <w:tcW w:w="779" w:type="pct"/>
            <w:tcBorders>
              <w:top w:val="nil"/>
              <w:left w:val="nil"/>
              <w:bottom w:val="nil"/>
              <w:right w:val="single" w:sz="4" w:space="0" w:color="auto"/>
            </w:tcBorders>
            <w:shd w:val="clear" w:color="000000" w:fill="F2F2F2"/>
            <w:noWrap/>
            <w:vAlign w:val="bottom"/>
            <w:hideMark/>
          </w:tcPr>
          <w:p w:rsidR="00614FFD" w:rsidRPr="00614FFD" w:rsidRDefault="00614FFD" w:rsidP="00614FFD">
            <w:pPr>
              <w:jc w:val="center"/>
              <w:rPr>
                <w:color w:val="000000"/>
              </w:rPr>
            </w:pPr>
            <w:r w:rsidRPr="00614FFD">
              <w:rPr>
                <w:color w:val="000000"/>
              </w:rPr>
              <w:t>1,550,000</w:t>
            </w:r>
          </w:p>
        </w:tc>
      </w:tr>
      <w:tr w:rsidR="00614FFD" w:rsidRPr="00614FFD" w:rsidTr="00614FFD">
        <w:trPr>
          <w:trHeight w:val="288"/>
        </w:trPr>
        <w:tc>
          <w:tcPr>
            <w:tcW w:w="1034" w:type="pct"/>
            <w:tcBorders>
              <w:top w:val="nil"/>
              <w:left w:val="single" w:sz="4" w:space="0" w:color="auto"/>
              <w:bottom w:val="single" w:sz="4" w:space="0" w:color="auto"/>
              <w:right w:val="single" w:sz="4" w:space="0" w:color="auto"/>
            </w:tcBorders>
            <w:shd w:val="clear" w:color="000000" w:fill="F2F2F2"/>
            <w:noWrap/>
            <w:vAlign w:val="bottom"/>
            <w:hideMark/>
          </w:tcPr>
          <w:p w:rsidR="00614FFD" w:rsidRPr="00614FFD" w:rsidRDefault="00614FFD">
            <w:r w:rsidRPr="00614FFD">
              <w:t xml:space="preserve"> </w:t>
            </w:r>
            <w:r w:rsidRPr="00614FFD">
              <w:rPr>
                <w:color w:val="000000"/>
              </w:rPr>
              <w:t xml:space="preserve">UNDP </w:t>
            </w:r>
            <w:r w:rsidRPr="00614FFD">
              <w:t xml:space="preserve"> </w:t>
            </w:r>
          </w:p>
        </w:tc>
        <w:tc>
          <w:tcPr>
            <w:tcW w:w="657" w:type="pct"/>
            <w:tcBorders>
              <w:top w:val="nil"/>
              <w:left w:val="nil"/>
              <w:bottom w:val="single" w:sz="4" w:space="0" w:color="auto"/>
              <w:right w:val="single" w:sz="4" w:space="0" w:color="auto"/>
            </w:tcBorders>
            <w:shd w:val="clear" w:color="auto" w:fill="auto"/>
            <w:noWrap/>
            <w:vAlign w:val="bottom"/>
            <w:hideMark/>
          </w:tcPr>
          <w:p w:rsidR="00614FFD" w:rsidRPr="00614FFD" w:rsidRDefault="00614FFD" w:rsidP="00614FFD">
            <w:pPr>
              <w:jc w:val="center"/>
              <w:rPr>
                <w:color w:val="000000"/>
              </w:rPr>
            </w:pPr>
            <w:r w:rsidRPr="00614FFD">
              <w:rPr>
                <w:color w:val="000000"/>
              </w:rPr>
              <w:t>100,000</w:t>
            </w:r>
          </w:p>
        </w:tc>
        <w:tc>
          <w:tcPr>
            <w:tcW w:w="657" w:type="pct"/>
            <w:tcBorders>
              <w:top w:val="nil"/>
              <w:left w:val="nil"/>
              <w:bottom w:val="single" w:sz="4" w:space="0" w:color="auto"/>
              <w:right w:val="single" w:sz="4" w:space="0" w:color="auto"/>
            </w:tcBorders>
            <w:shd w:val="clear" w:color="auto" w:fill="auto"/>
            <w:noWrap/>
            <w:vAlign w:val="bottom"/>
            <w:hideMark/>
          </w:tcPr>
          <w:p w:rsidR="00614FFD" w:rsidRPr="00614FFD" w:rsidRDefault="00614FFD" w:rsidP="00614FFD">
            <w:pPr>
              <w:jc w:val="center"/>
              <w:rPr>
                <w:color w:val="000000"/>
              </w:rPr>
            </w:pPr>
            <w:r w:rsidRPr="00614FFD">
              <w:rPr>
                <w:color w:val="000000"/>
              </w:rPr>
              <w:t>100,000</w:t>
            </w:r>
          </w:p>
        </w:tc>
        <w:tc>
          <w:tcPr>
            <w:tcW w:w="751" w:type="pct"/>
            <w:tcBorders>
              <w:top w:val="nil"/>
              <w:left w:val="nil"/>
              <w:bottom w:val="single" w:sz="4" w:space="0" w:color="auto"/>
              <w:right w:val="single" w:sz="4" w:space="0" w:color="auto"/>
            </w:tcBorders>
            <w:shd w:val="clear" w:color="auto" w:fill="auto"/>
            <w:noWrap/>
            <w:vAlign w:val="bottom"/>
            <w:hideMark/>
          </w:tcPr>
          <w:p w:rsidR="00614FFD" w:rsidRPr="00614FFD" w:rsidRDefault="00614FFD" w:rsidP="00614FFD">
            <w:pPr>
              <w:jc w:val="center"/>
              <w:rPr>
                <w:color w:val="000000"/>
              </w:rPr>
            </w:pPr>
            <w:r w:rsidRPr="00614FFD">
              <w:rPr>
                <w:color w:val="000000"/>
              </w:rPr>
              <w:t>100,000</w:t>
            </w:r>
          </w:p>
        </w:tc>
        <w:tc>
          <w:tcPr>
            <w:tcW w:w="561" w:type="pct"/>
            <w:tcBorders>
              <w:top w:val="nil"/>
              <w:left w:val="nil"/>
              <w:bottom w:val="single" w:sz="4" w:space="0" w:color="auto"/>
              <w:right w:val="single" w:sz="4" w:space="0" w:color="auto"/>
            </w:tcBorders>
            <w:shd w:val="clear" w:color="auto" w:fill="auto"/>
            <w:noWrap/>
            <w:vAlign w:val="bottom"/>
            <w:hideMark/>
          </w:tcPr>
          <w:p w:rsidR="00614FFD" w:rsidRPr="00614FFD" w:rsidRDefault="00614FFD" w:rsidP="00614FFD">
            <w:pPr>
              <w:jc w:val="center"/>
              <w:rPr>
                <w:color w:val="000000"/>
              </w:rPr>
            </w:pPr>
            <w:r w:rsidRPr="00614FFD">
              <w:rPr>
                <w:color w:val="000000"/>
              </w:rPr>
              <w:t>100,000</w:t>
            </w:r>
          </w:p>
        </w:tc>
        <w:tc>
          <w:tcPr>
            <w:tcW w:w="561" w:type="pct"/>
            <w:tcBorders>
              <w:top w:val="nil"/>
              <w:left w:val="nil"/>
              <w:bottom w:val="single" w:sz="4" w:space="0" w:color="auto"/>
              <w:right w:val="single" w:sz="4" w:space="0" w:color="auto"/>
            </w:tcBorders>
            <w:shd w:val="clear" w:color="auto" w:fill="auto"/>
            <w:noWrap/>
            <w:vAlign w:val="bottom"/>
            <w:hideMark/>
          </w:tcPr>
          <w:p w:rsidR="00614FFD" w:rsidRPr="00614FFD" w:rsidRDefault="00614FFD" w:rsidP="00614FFD">
            <w:pPr>
              <w:jc w:val="center"/>
              <w:rPr>
                <w:color w:val="000000"/>
              </w:rPr>
            </w:pPr>
            <w:r w:rsidRPr="00614FFD">
              <w:rPr>
                <w:color w:val="000000"/>
              </w:rPr>
              <w:t>100,000</w:t>
            </w:r>
          </w:p>
        </w:tc>
        <w:tc>
          <w:tcPr>
            <w:tcW w:w="779" w:type="pct"/>
            <w:tcBorders>
              <w:top w:val="nil"/>
              <w:left w:val="nil"/>
              <w:bottom w:val="nil"/>
              <w:right w:val="single" w:sz="4" w:space="0" w:color="auto"/>
            </w:tcBorders>
            <w:shd w:val="clear" w:color="000000" w:fill="F2F2F2"/>
            <w:noWrap/>
            <w:vAlign w:val="bottom"/>
            <w:hideMark/>
          </w:tcPr>
          <w:p w:rsidR="00614FFD" w:rsidRPr="00614FFD" w:rsidRDefault="00614FFD" w:rsidP="00614FFD">
            <w:pPr>
              <w:jc w:val="center"/>
              <w:rPr>
                <w:color w:val="000000"/>
              </w:rPr>
            </w:pPr>
            <w:r w:rsidRPr="00614FFD">
              <w:rPr>
                <w:color w:val="000000"/>
              </w:rPr>
              <w:t>500,000</w:t>
            </w:r>
          </w:p>
        </w:tc>
      </w:tr>
      <w:tr w:rsidR="00614FFD" w:rsidRPr="00614FFD" w:rsidTr="00614FFD">
        <w:trPr>
          <w:trHeight w:val="288"/>
        </w:trPr>
        <w:tc>
          <w:tcPr>
            <w:tcW w:w="1034" w:type="pct"/>
            <w:tcBorders>
              <w:top w:val="nil"/>
              <w:left w:val="single" w:sz="4" w:space="0" w:color="auto"/>
              <w:bottom w:val="single" w:sz="4" w:space="0" w:color="auto"/>
              <w:right w:val="single" w:sz="4" w:space="0" w:color="auto"/>
            </w:tcBorders>
            <w:shd w:val="clear" w:color="000000" w:fill="F2F2F2"/>
            <w:noWrap/>
            <w:vAlign w:val="bottom"/>
            <w:hideMark/>
          </w:tcPr>
          <w:p w:rsidR="00614FFD" w:rsidRPr="00614FFD" w:rsidRDefault="00614FFD">
            <w:r w:rsidRPr="00614FFD">
              <w:t xml:space="preserve"> </w:t>
            </w:r>
            <w:r w:rsidRPr="00614FFD">
              <w:rPr>
                <w:color w:val="000000"/>
              </w:rPr>
              <w:t xml:space="preserve">MoED </w:t>
            </w:r>
            <w:r w:rsidRPr="00614FFD">
              <w:t xml:space="preserve"> </w:t>
            </w:r>
          </w:p>
        </w:tc>
        <w:tc>
          <w:tcPr>
            <w:tcW w:w="657" w:type="pct"/>
            <w:tcBorders>
              <w:top w:val="nil"/>
              <w:left w:val="nil"/>
              <w:bottom w:val="single" w:sz="4" w:space="0" w:color="auto"/>
              <w:right w:val="single" w:sz="4" w:space="0" w:color="auto"/>
            </w:tcBorders>
            <w:shd w:val="clear" w:color="auto" w:fill="auto"/>
            <w:noWrap/>
            <w:vAlign w:val="bottom"/>
            <w:hideMark/>
          </w:tcPr>
          <w:p w:rsidR="00614FFD" w:rsidRPr="00614FFD" w:rsidRDefault="00614FFD" w:rsidP="00614FFD">
            <w:pPr>
              <w:jc w:val="center"/>
              <w:rPr>
                <w:color w:val="000000"/>
              </w:rPr>
            </w:pPr>
          </w:p>
        </w:tc>
        <w:tc>
          <w:tcPr>
            <w:tcW w:w="657" w:type="pct"/>
            <w:tcBorders>
              <w:top w:val="nil"/>
              <w:left w:val="nil"/>
              <w:bottom w:val="single" w:sz="4" w:space="0" w:color="auto"/>
              <w:right w:val="single" w:sz="4" w:space="0" w:color="auto"/>
            </w:tcBorders>
            <w:shd w:val="clear" w:color="auto" w:fill="auto"/>
            <w:noWrap/>
            <w:vAlign w:val="bottom"/>
            <w:hideMark/>
          </w:tcPr>
          <w:p w:rsidR="00614FFD" w:rsidRPr="00614FFD" w:rsidRDefault="00614FFD" w:rsidP="00614FFD">
            <w:pPr>
              <w:jc w:val="center"/>
              <w:rPr>
                <w:color w:val="000000"/>
              </w:rPr>
            </w:pPr>
            <w:r w:rsidRPr="00614FFD">
              <w:rPr>
                <w:color w:val="000000"/>
              </w:rPr>
              <w:t>300,000</w:t>
            </w:r>
          </w:p>
        </w:tc>
        <w:tc>
          <w:tcPr>
            <w:tcW w:w="751" w:type="pct"/>
            <w:tcBorders>
              <w:top w:val="nil"/>
              <w:left w:val="nil"/>
              <w:bottom w:val="single" w:sz="4" w:space="0" w:color="auto"/>
              <w:right w:val="single" w:sz="4" w:space="0" w:color="auto"/>
            </w:tcBorders>
            <w:shd w:val="clear" w:color="auto" w:fill="auto"/>
            <w:noWrap/>
            <w:vAlign w:val="bottom"/>
            <w:hideMark/>
          </w:tcPr>
          <w:p w:rsidR="00614FFD" w:rsidRPr="00614FFD" w:rsidRDefault="00614FFD" w:rsidP="00614FFD">
            <w:pPr>
              <w:jc w:val="center"/>
              <w:rPr>
                <w:color w:val="000000"/>
              </w:rPr>
            </w:pPr>
            <w:r w:rsidRPr="00614FFD">
              <w:rPr>
                <w:color w:val="000000"/>
              </w:rPr>
              <w:t>200,000</w:t>
            </w:r>
          </w:p>
        </w:tc>
        <w:tc>
          <w:tcPr>
            <w:tcW w:w="561" w:type="pct"/>
            <w:tcBorders>
              <w:top w:val="nil"/>
              <w:left w:val="nil"/>
              <w:bottom w:val="single" w:sz="4" w:space="0" w:color="auto"/>
              <w:right w:val="single" w:sz="4" w:space="0" w:color="auto"/>
            </w:tcBorders>
            <w:shd w:val="clear" w:color="auto" w:fill="auto"/>
            <w:noWrap/>
            <w:vAlign w:val="bottom"/>
            <w:hideMark/>
          </w:tcPr>
          <w:p w:rsidR="00614FFD" w:rsidRPr="00614FFD" w:rsidRDefault="00614FFD" w:rsidP="00614FFD">
            <w:pPr>
              <w:jc w:val="center"/>
              <w:rPr>
                <w:color w:val="000000"/>
              </w:rPr>
            </w:pPr>
            <w:r w:rsidRPr="00614FFD">
              <w:rPr>
                <w:color w:val="000000"/>
              </w:rPr>
              <w:t>200,000</w:t>
            </w:r>
          </w:p>
        </w:tc>
        <w:tc>
          <w:tcPr>
            <w:tcW w:w="561" w:type="pct"/>
            <w:tcBorders>
              <w:top w:val="nil"/>
              <w:left w:val="nil"/>
              <w:bottom w:val="single" w:sz="4" w:space="0" w:color="auto"/>
              <w:right w:val="single" w:sz="4" w:space="0" w:color="auto"/>
            </w:tcBorders>
            <w:shd w:val="clear" w:color="auto" w:fill="auto"/>
            <w:noWrap/>
            <w:vAlign w:val="bottom"/>
            <w:hideMark/>
          </w:tcPr>
          <w:p w:rsidR="00614FFD" w:rsidRPr="00614FFD" w:rsidRDefault="00614FFD" w:rsidP="00614FFD">
            <w:pPr>
              <w:jc w:val="center"/>
              <w:rPr>
                <w:color w:val="000000"/>
              </w:rPr>
            </w:pPr>
            <w:r w:rsidRPr="00614FFD">
              <w:rPr>
                <w:color w:val="000000"/>
              </w:rPr>
              <w:t>300,000</w:t>
            </w:r>
          </w:p>
        </w:tc>
        <w:tc>
          <w:tcPr>
            <w:tcW w:w="779" w:type="pct"/>
            <w:tcBorders>
              <w:top w:val="nil"/>
              <w:left w:val="nil"/>
              <w:bottom w:val="nil"/>
              <w:right w:val="single" w:sz="4" w:space="0" w:color="auto"/>
            </w:tcBorders>
            <w:shd w:val="clear" w:color="000000" w:fill="F2F2F2"/>
            <w:noWrap/>
            <w:vAlign w:val="bottom"/>
            <w:hideMark/>
          </w:tcPr>
          <w:p w:rsidR="00614FFD" w:rsidRPr="00614FFD" w:rsidRDefault="00614FFD" w:rsidP="00614FFD">
            <w:pPr>
              <w:jc w:val="center"/>
              <w:rPr>
                <w:color w:val="000000"/>
              </w:rPr>
            </w:pPr>
            <w:r w:rsidRPr="00614FFD">
              <w:rPr>
                <w:color w:val="000000"/>
              </w:rPr>
              <w:t>1,000,000</w:t>
            </w:r>
          </w:p>
        </w:tc>
      </w:tr>
      <w:tr w:rsidR="00614FFD" w:rsidRPr="00614FFD" w:rsidTr="00614FFD">
        <w:trPr>
          <w:trHeight w:val="288"/>
        </w:trPr>
        <w:tc>
          <w:tcPr>
            <w:tcW w:w="1034" w:type="pct"/>
            <w:tcBorders>
              <w:top w:val="nil"/>
              <w:left w:val="single" w:sz="4" w:space="0" w:color="auto"/>
              <w:bottom w:val="single" w:sz="4" w:space="0" w:color="auto"/>
              <w:right w:val="single" w:sz="4" w:space="0" w:color="auto"/>
            </w:tcBorders>
            <w:shd w:val="clear" w:color="000000" w:fill="F2F2F2"/>
            <w:noWrap/>
            <w:vAlign w:val="bottom"/>
            <w:hideMark/>
          </w:tcPr>
          <w:p w:rsidR="00614FFD" w:rsidRPr="00614FFD" w:rsidRDefault="00614FFD">
            <w:r w:rsidRPr="00614FFD">
              <w:t xml:space="preserve"> </w:t>
            </w:r>
            <w:r w:rsidRPr="00614FFD">
              <w:rPr>
                <w:color w:val="000000"/>
              </w:rPr>
              <w:t xml:space="preserve">AusAID </w:t>
            </w:r>
            <w:r w:rsidRPr="00614FFD">
              <w:t xml:space="preserve"> </w:t>
            </w:r>
          </w:p>
        </w:tc>
        <w:tc>
          <w:tcPr>
            <w:tcW w:w="657" w:type="pct"/>
            <w:tcBorders>
              <w:top w:val="nil"/>
              <w:left w:val="nil"/>
              <w:bottom w:val="single" w:sz="4" w:space="0" w:color="auto"/>
              <w:right w:val="single" w:sz="4" w:space="0" w:color="auto"/>
            </w:tcBorders>
            <w:shd w:val="clear" w:color="auto" w:fill="auto"/>
            <w:noWrap/>
            <w:vAlign w:val="bottom"/>
            <w:hideMark/>
          </w:tcPr>
          <w:p w:rsidR="00614FFD" w:rsidRPr="00614FFD" w:rsidRDefault="00614FFD" w:rsidP="00614FFD">
            <w:pPr>
              <w:jc w:val="center"/>
              <w:rPr>
                <w:color w:val="000000"/>
              </w:rPr>
            </w:pPr>
          </w:p>
        </w:tc>
        <w:tc>
          <w:tcPr>
            <w:tcW w:w="657" w:type="pct"/>
            <w:tcBorders>
              <w:top w:val="nil"/>
              <w:left w:val="nil"/>
              <w:bottom w:val="single" w:sz="4" w:space="0" w:color="auto"/>
              <w:right w:val="single" w:sz="4" w:space="0" w:color="auto"/>
            </w:tcBorders>
            <w:shd w:val="clear" w:color="auto" w:fill="auto"/>
            <w:noWrap/>
            <w:vAlign w:val="bottom"/>
            <w:hideMark/>
          </w:tcPr>
          <w:p w:rsidR="00614FFD" w:rsidRPr="00614FFD" w:rsidRDefault="00614FFD" w:rsidP="00614FFD">
            <w:pPr>
              <w:jc w:val="center"/>
              <w:rPr>
                <w:color w:val="000000"/>
              </w:rPr>
            </w:pPr>
          </w:p>
        </w:tc>
        <w:tc>
          <w:tcPr>
            <w:tcW w:w="751" w:type="pct"/>
            <w:tcBorders>
              <w:top w:val="nil"/>
              <w:left w:val="nil"/>
              <w:bottom w:val="single" w:sz="4" w:space="0" w:color="auto"/>
              <w:right w:val="single" w:sz="4" w:space="0" w:color="auto"/>
            </w:tcBorders>
            <w:shd w:val="clear" w:color="auto" w:fill="auto"/>
            <w:noWrap/>
            <w:vAlign w:val="bottom"/>
            <w:hideMark/>
          </w:tcPr>
          <w:p w:rsidR="00614FFD" w:rsidRPr="00614FFD" w:rsidRDefault="00614FFD" w:rsidP="00614FFD">
            <w:pPr>
              <w:jc w:val="center"/>
              <w:rPr>
                <w:color w:val="000000"/>
              </w:rPr>
            </w:pPr>
            <w:r w:rsidRPr="00614FFD">
              <w:rPr>
                <w:color w:val="000000"/>
              </w:rPr>
              <w:t>732,934</w:t>
            </w:r>
          </w:p>
        </w:tc>
        <w:tc>
          <w:tcPr>
            <w:tcW w:w="561" w:type="pct"/>
            <w:tcBorders>
              <w:top w:val="nil"/>
              <w:left w:val="nil"/>
              <w:bottom w:val="single" w:sz="4" w:space="0" w:color="auto"/>
              <w:right w:val="single" w:sz="4" w:space="0" w:color="auto"/>
            </w:tcBorders>
            <w:shd w:val="clear" w:color="auto" w:fill="auto"/>
            <w:noWrap/>
            <w:vAlign w:val="bottom"/>
            <w:hideMark/>
          </w:tcPr>
          <w:p w:rsidR="00614FFD" w:rsidRPr="00614FFD" w:rsidRDefault="00614FFD" w:rsidP="00614FFD">
            <w:pPr>
              <w:jc w:val="center"/>
              <w:rPr>
                <w:color w:val="000000"/>
              </w:rPr>
            </w:pPr>
            <w:r w:rsidRPr="00614FFD">
              <w:rPr>
                <w:color w:val="000000"/>
              </w:rPr>
              <w:t>848,665</w:t>
            </w:r>
          </w:p>
        </w:tc>
        <w:tc>
          <w:tcPr>
            <w:tcW w:w="561" w:type="pct"/>
            <w:tcBorders>
              <w:top w:val="nil"/>
              <w:left w:val="nil"/>
              <w:bottom w:val="single" w:sz="4" w:space="0" w:color="auto"/>
              <w:right w:val="single" w:sz="4" w:space="0" w:color="auto"/>
            </w:tcBorders>
            <w:shd w:val="clear" w:color="auto" w:fill="auto"/>
            <w:noWrap/>
            <w:vAlign w:val="bottom"/>
            <w:hideMark/>
          </w:tcPr>
          <w:p w:rsidR="00614FFD" w:rsidRPr="00614FFD" w:rsidRDefault="00614FFD" w:rsidP="00614FFD">
            <w:pPr>
              <w:jc w:val="center"/>
              <w:rPr>
                <w:color w:val="000000"/>
              </w:rPr>
            </w:pPr>
            <w:r w:rsidRPr="00614FFD">
              <w:rPr>
                <w:color w:val="000000"/>
              </w:rPr>
              <w:t>733,575</w:t>
            </w:r>
          </w:p>
        </w:tc>
        <w:tc>
          <w:tcPr>
            <w:tcW w:w="779" w:type="pct"/>
            <w:tcBorders>
              <w:top w:val="nil"/>
              <w:left w:val="nil"/>
              <w:bottom w:val="nil"/>
              <w:right w:val="single" w:sz="4" w:space="0" w:color="auto"/>
            </w:tcBorders>
            <w:shd w:val="clear" w:color="000000" w:fill="F2F2F2"/>
            <w:noWrap/>
            <w:vAlign w:val="bottom"/>
            <w:hideMark/>
          </w:tcPr>
          <w:p w:rsidR="00614FFD" w:rsidRPr="00614FFD" w:rsidRDefault="00614FFD" w:rsidP="00614FFD">
            <w:pPr>
              <w:jc w:val="center"/>
              <w:rPr>
                <w:color w:val="000000"/>
              </w:rPr>
            </w:pPr>
            <w:r w:rsidRPr="00614FFD">
              <w:rPr>
                <w:color w:val="000000"/>
              </w:rPr>
              <w:t>2,315,174</w:t>
            </w:r>
          </w:p>
        </w:tc>
      </w:tr>
      <w:tr w:rsidR="00614FFD" w:rsidRPr="00614FFD" w:rsidTr="00614FFD">
        <w:trPr>
          <w:trHeight w:val="288"/>
        </w:trPr>
        <w:tc>
          <w:tcPr>
            <w:tcW w:w="1034" w:type="pct"/>
            <w:tcBorders>
              <w:top w:val="nil"/>
              <w:left w:val="single" w:sz="4" w:space="0" w:color="auto"/>
              <w:bottom w:val="single" w:sz="4" w:space="0" w:color="auto"/>
              <w:right w:val="single" w:sz="4" w:space="0" w:color="auto"/>
            </w:tcBorders>
            <w:shd w:val="clear" w:color="000000" w:fill="F2F2F2"/>
            <w:noWrap/>
            <w:vAlign w:val="bottom"/>
            <w:hideMark/>
          </w:tcPr>
          <w:p w:rsidR="00614FFD" w:rsidRPr="00614FFD" w:rsidRDefault="00614FFD">
            <w:r w:rsidRPr="00614FFD">
              <w:t xml:space="preserve"> </w:t>
            </w:r>
            <w:r w:rsidRPr="00614FFD">
              <w:rPr>
                <w:color w:val="000000"/>
              </w:rPr>
              <w:t xml:space="preserve">To be mobilized </w:t>
            </w:r>
            <w:r w:rsidRPr="00614FFD">
              <w:t xml:space="preserve"> </w:t>
            </w:r>
          </w:p>
        </w:tc>
        <w:tc>
          <w:tcPr>
            <w:tcW w:w="657" w:type="pct"/>
            <w:tcBorders>
              <w:top w:val="nil"/>
              <w:left w:val="nil"/>
              <w:bottom w:val="single" w:sz="4" w:space="0" w:color="auto"/>
              <w:right w:val="single" w:sz="4" w:space="0" w:color="auto"/>
            </w:tcBorders>
            <w:shd w:val="clear" w:color="auto" w:fill="auto"/>
            <w:noWrap/>
            <w:vAlign w:val="bottom"/>
            <w:hideMark/>
          </w:tcPr>
          <w:p w:rsidR="00614FFD" w:rsidRPr="00614FFD" w:rsidRDefault="00614FFD" w:rsidP="00614FFD">
            <w:pPr>
              <w:jc w:val="center"/>
              <w:rPr>
                <w:color w:val="000000"/>
              </w:rPr>
            </w:pPr>
          </w:p>
        </w:tc>
        <w:tc>
          <w:tcPr>
            <w:tcW w:w="657" w:type="pct"/>
            <w:tcBorders>
              <w:top w:val="nil"/>
              <w:left w:val="nil"/>
              <w:bottom w:val="single" w:sz="4" w:space="0" w:color="auto"/>
              <w:right w:val="single" w:sz="4" w:space="0" w:color="auto"/>
            </w:tcBorders>
            <w:shd w:val="clear" w:color="auto" w:fill="auto"/>
            <w:noWrap/>
            <w:vAlign w:val="bottom"/>
            <w:hideMark/>
          </w:tcPr>
          <w:p w:rsidR="00614FFD" w:rsidRPr="00614FFD" w:rsidRDefault="00614FFD" w:rsidP="00614FFD">
            <w:pPr>
              <w:jc w:val="center"/>
              <w:rPr>
                <w:color w:val="000000"/>
              </w:rPr>
            </w:pPr>
          </w:p>
        </w:tc>
        <w:tc>
          <w:tcPr>
            <w:tcW w:w="751" w:type="pct"/>
            <w:tcBorders>
              <w:top w:val="nil"/>
              <w:left w:val="nil"/>
              <w:bottom w:val="single" w:sz="4" w:space="0" w:color="auto"/>
              <w:right w:val="single" w:sz="4" w:space="0" w:color="auto"/>
            </w:tcBorders>
            <w:shd w:val="clear" w:color="auto" w:fill="auto"/>
            <w:noWrap/>
            <w:vAlign w:val="bottom"/>
            <w:hideMark/>
          </w:tcPr>
          <w:p w:rsidR="00614FFD" w:rsidRPr="00614FFD" w:rsidRDefault="00614FFD" w:rsidP="00614FFD">
            <w:pPr>
              <w:jc w:val="center"/>
              <w:rPr>
                <w:color w:val="000000"/>
              </w:rPr>
            </w:pPr>
          </w:p>
        </w:tc>
        <w:tc>
          <w:tcPr>
            <w:tcW w:w="561" w:type="pct"/>
            <w:tcBorders>
              <w:top w:val="nil"/>
              <w:left w:val="nil"/>
              <w:bottom w:val="single" w:sz="4" w:space="0" w:color="auto"/>
              <w:right w:val="single" w:sz="4" w:space="0" w:color="auto"/>
            </w:tcBorders>
            <w:shd w:val="clear" w:color="auto" w:fill="auto"/>
            <w:noWrap/>
            <w:vAlign w:val="bottom"/>
            <w:hideMark/>
          </w:tcPr>
          <w:p w:rsidR="00614FFD" w:rsidRPr="00614FFD" w:rsidRDefault="00614FFD" w:rsidP="00614FFD">
            <w:pPr>
              <w:jc w:val="center"/>
              <w:rPr>
                <w:color w:val="000000"/>
              </w:rPr>
            </w:pPr>
            <w:r w:rsidRPr="00614FFD">
              <w:rPr>
                <w:color w:val="000000"/>
              </w:rPr>
              <w:t>134,826</w:t>
            </w:r>
          </w:p>
        </w:tc>
        <w:tc>
          <w:tcPr>
            <w:tcW w:w="561" w:type="pct"/>
            <w:tcBorders>
              <w:top w:val="nil"/>
              <w:left w:val="nil"/>
              <w:bottom w:val="single" w:sz="4" w:space="0" w:color="auto"/>
              <w:right w:val="single" w:sz="4" w:space="0" w:color="auto"/>
            </w:tcBorders>
            <w:shd w:val="clear" w:color="auto" w:fill="auto"/>
            <w:noWrap/>
            <w:vAlign w:val="bottom"/>
            <w:hideMark/>
          </w:tcPr>
          <w:p w:rsidR="00614FFD" w:rsidRPr="00614FFD" w:rsidRDefault="00614FFD" w:rsidP="00614FFD">
            <w:pPr>
              <w:jc w:val="center"/>
              <w:rPr>
                <w:color w:val="000000"/>
              </w:rPr>
            </w:pPr>
          </w:p>
        </w:tc>
        <w:tc>
          <w:tcPr>
            <w:tcW w:w="779" w:type="pct"/>
            <w:tcBorders>
              <w:top w:val="nil"/>
              <w:left w:val="nil"/>
              <w:bottom w:val="nil"/>
              <w:right w:val="single" w:sz="4" w:space="0" w:color="auto"/>
            </w:tcBorders>
            <w:shd w:val="clear" w:color="000000" w:fill="F2F2F2"/>
            <w:noWrap/>
            <w:vAlign w:val="bottom"/>
            <w:hideMark/>
          </w:tcPr>
          <w:p w:rsidR="00614FFD" w:rsidRPr="00614FFD" w:rsidRDefault="00614FFD" w:rsidP="00614FFD">
            <w:pPr>
              <w:jc w:val="center"/>
              <w:rPr>
                <w:color w:val="000000"/>
              </w:rPr>
            </w:pPr>
            <w:r w:rsidRPr="00614FFD">
              <w:rPr>
                <w:color w:val="000000"/>
              </w:rPr>
              <w:t>134,826</w:t>
            </w:r>
          </w:p>
        </w:tc>
      </w:tr>
      <w:tr w:rsidR="00614FFD" w:rsidRPr="00614FFD" w:rsidTr="00614FFD">
        <w:trPr>
          <w:trHeight w:val="288"/>
        </w:trPr>
        <w:tc>
          <w:tcPr>
            <w:tcW w:w="1034" w:type="pct"/>
            <w:tcBorders>
              <w:top w:val="nil"/>
              <w:left w:val="single" w:sz="4" w:space="0" w:color="auto"/>
              <w:bottom w:val="single" w:sz="4" w:space="0" w:color="auto"/>
              <w:right w:val="single" w:sz="4" w:space="0" w:color="auto"/>
            </w:tcBorders>
            <w:shd w:val="clear" w:color="000000" w:fill="F2F2F2"/>
            <w:noWrap/>
            <w:vAlign w:val="bottom"/>
            <w:hideMark/>
          </w:tcPr>
          <w:p w:rsidR="00614FFD" w:rsidRPr="00614FFD" w:rsidRDefault="00614FFD">
            <w:pPr>
              <w:rPr>
                <w:b/>
                <w:bCs/>
              </w:rPr>
            </w:pPr>
            <w:r w:rsidRPr="00614FFD">
              <w:rPr>
                <w:b/>
                <w:bCs/>
              </w:rPr>
              <w:t xml:space="preserve"> </w:t>
            </w:r>
            <w:r w:rsidRPr="00614FFD">
              <w:rPr>
                <w:b/>
                <w:bCs/>
                <w:color w:val="000000"/>
              </w:rPr>
              <w:t xml:space="preserve">TOTAL BUDGET </w:t>
            </w:r>
            <w:r w:rsidRPr="00614FFD">
              <w:rPr>
                <w:b/>
                <w:bCs/>
              </w:rPr>
              <w:t xml:space="preserve"> </w:t>
            </w:r>
          </w:p>
        </w:tc>
        <w:tc>
          <w:tcPr>
            <w:tcW w:w="657" w:type="pct"/>
            <w:tcBorders>
              <w:top w:val="nil"/>
              <w:left w:val="nil"/>
              <w:bottom w:val="single" w:sz="4" w:space="0" w:color="auto"/>
              <w:right w:val="nil"/>
            </w:tcBorders>
            <w:shd w:val="clear" w:color="000000" w:fill="F2F2F2"/>
            <w:noWrap/>
            <w:vAlign w:val="bottom"/>
            <w:hideMark/>
          </w:tcPr>
          <w:p w:rsidR="00614FFD" w:rsidRPr="00614FFD" w:rsidRDefault="00614FFD" w:rsidP="00614FFD">
            <w:pPr>
              <w:jc w:val="center"/>
              <w:rPr>
                <w:b/>
                <w:bCs/>
              </w:rPr>
            </w:pPr>
            <w:r w:rsidRPr="00614FFD">
              <w:rPr>
                <w:b/>
                <w:bCs/>
              </w:rPr>
              <w:t>290,053</w:t>
            </w:r>
          </w:p>
        </w:tc>
        <w:tc>
          <w:tcPr>
            <w:tcW w:w="657" w:type="pct"/>
            <w:tcBorders>
              <w:top w:val="nil"/>
              <w:left w:val="nil"/>
              <w:bottom w:val="single" w:sz="4" w:space="0" w:color="auto"/>
              <w:right w:val="nil"/>
            </w:tcBorders>
            <w:shd w:val="clear" w:color="000000" w:fill="F2F2F2"/>
            <w:noWrap/>
            <w:vAlign w:val="bottom"/>
            <w:hideMark/>
          </w:tcPr>
          <w:p w:rsidR="00614FFD" w:rsidRPr="00614FFD" w:rsidRDefault="00614FFD" w:rsidP="00614FFD">
            <w:pPr>
              <w:jc w:val="center"/>
              <w:rPr>
                <w:b/>
                <w:bCs/>
              </w:rPr>
            </w:pPr>
            <w:r w:rsidRPr="00614FFD">
              <w:rPr>
                <w:b/>
                <w:bCs/>
              </w:rPr>
              <w:t>510,007</w:t>
            </w:r>
          </w:p>
        </w:tc>
        <w:tc>
          <w:tcPr>
            <w:tcW w:w="751" w:type="pct"/>
            <w:tcBorders>
              <w:top w:val="nil"/>
              <w:left w:val="nil"/>
              <w:bottom w:val="single" w:sz="4" w:space="0" w:color="auto"/>
              <w:right w:val="nil"/>
            </w:tcBorders>
            <w:shd w:val="clear" w:color="000000" w:fill="F2F2F2"/>
            <w:noWrap/>
            <w:vAlign w:val="bottom"/>
            <w:hideMark/>
          </w:tcPr>
          <w:p w:rsidR="00614FFD" w:rsidRPr="00614FFD" w:rsidRDefault="00614FFD" w:rsidP="00614FFD">
            <w:pPr>
              <w:jc w:val="center"/>
              <w:rPr>
                <w:b/>
                <w:bCs/>
              </w:rPr>
            </w:pPr>
            <w:r w:rsidRPr="00614FFD">
              <w:rPr>
                <w:b/>
                <w:bCs/>
              </w:rPr>
              <w:t>1,632,470</w:t>
            </w:r>
          </w:p>
        </w:tc>
        <w:tc>
          <w:tcPr>
            <w:tcW w:w="561" w:type="pct"/>
            <w:tcBorders>
              <w:top w:val="nil"/>
              <w:left w:val="nil"/>
              <w:bottom w:val="single" w:sz="4" w:space="0" w:color="auto"/>
              <w:right w:val="nil"/>
            </w:tcBorders>
            <w:shd w:val="clear" w:color="000000" w:fill="F2F2F2"/>
            <w:noWrap/>
            <w:vAlign w:val="bottom"/>
            <w:hideMark/>
          </w:tcPr>
          <w:p w:rsidR="00614FFD" w:rsidRPr="00614FFD" w:rsidRDefault="00614FFD" w:rsidP="00614FFD">
            <w:pPr>
              <w:jc w:val="center"/>
              <w:rPr>
                <w:b/>
                <w:bCs/>
              </w:rPr>
            </w:pPr>
            <w:r w:rsidRPr="00614FFD">
              <w:rPr>
                <w:b/>
                <w:bCs/>
              </w:rPr>
              <w:t>1,669,185</w:t>
            </w:r>
          </w:p>
        </w:tc>
        <w:tc>
          <w:tcPr>
            <w:tcW w:w="561" w:type="pct"/>
            <w:tcBorders>
              <w:top w:val="nil"/>
              <w:left w:val="nil"/>
              <w:bottom w:val="single" w:sz="4" w:space="0" w:color="auto"/>
              <w:right w:val="nil"/>
            </w:tcBorders>
            <w:shd w:val="clear" w:color="000000" w:fill="F2F2F2"/>
            <w:noWrap/>
            <w:vAlign w:val="bottom"/>
            <w:hideMark/>
          </w:tcPr>
          <w:p w:rsidR="00614FFD" w:rsidRPr="00614FFD" w:rsidRDefault="00614FFD" w:rsidP="00614FFD">
            <w:pPr>
              <w:jc w:val="center"/>
              <w:rPr>
                <w:b/>
                <w:bCs/>
              </w:rPr>
            </w:pPr>
            <w:r w:rsidRPr="00614FFD">
              <w:rPr>
                <w:b/>
                <w:bCs/>
              </w:rPr>
              <w:t>1,398,286</w:t>
            </w:r>
          </w:p>
        </w:tc>
        <w:tc>
          <w:tcPr>
            <w:tcW w:w="779"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614FFD" w:rsidRPr="00614FFD" w:rsidRDefault="00614FFD" w:rsidP="00614FFD">
            <w:pPr>
              <w:jc w:val="center"/>
              <w:rPr>
                <w:b/>
                <w:bCs/>
              </w:rPr>
            </w:pPr>
            <w:r w:rsidRPr="00614FFD">
              <w:rPr>
                <w:b/>
                <w:bCs/>
              </w:rPr>
              <w:t>5,500,000</w:t>
            </w:r>
          </w:p>
        </w:tc>
      </w:tr>
      <w:tr w:rsidR="00614FFD" w:rsidRPr="00614FFD" w:rsidTr="00614FFD">
        <w:trPr>
          <w:trHeight w:val="288"/>
        </w:trPr>
        <w:tc>
          <w:tcPr>
            <w:tcW w:w="3100" w:type="pct"/>
            <w:gridSpan w:val="4"/>
            <w:tcBorders>
              <w:top w:val="nil"/>
              <w:left w:val="nil"/>
              <w:bottom w:val="nil"/>
              <w:right w:val="nil"/>
            </w:tcBorders>
            <w:shd w:val="clear" w:color="auto" w:fill="auto"/>
            <w:noWrap/>
            <w:vAlign w:val="bottom"/>
            <w:hideMark/>
          </w:tcPr>
          <w:p w:rsidR="00614FFD" w:rsidRPr="00614FFD" w:rsidRDefault="00614FFD">
            <w:r w:rsidRPr="00614FFD">
              <w:t>* UNCDF Contribution to be increased in 2012 by USD0.5m</w:t>
            </w:r>
          </w:p>
        </w:tc>
        <w:tc>
          <w:tcPr>
            <w:tcW w:w="561" w:type="pct"/>
            <w:tcBorders>
              <w:top w:val="nil"/>
              <w:left w:val="nil"/>
              <w:bottom w:val="nil"/>
              <w:right w:val="nil"/>
            </w:tcBorders>
            <w:shd w:val="clear" w:color="auto" w:fill="auto"/>
            <w:noWrap/>
            <w:vAlign w:val="bottom"/>
            <w:hideMark/>
          </w:tcPr>
          <w:p w:rsidR="00614FFD" w:rsidRPr="00614FFD" w:rsidRDefault="00614FFD">
            <w:pPr>
              <w:rPr>
                <w:color w:val="000000"/>
              </w:rPr>
            </w:pPr>
          </w:p>
        </w:tc>
        <w:tc>
          <w:tcPr>
            <w:tcW w:w="561" w:type="pct"/>
            <w:tcBorders>
              <w:top w:val="nil"/>
              <w:left w:val="nil"/>
              <w:bottom w:val="nil"/>
              <w:right w:val="nil"/>
            </w:tcBorders>
            <w:shd w:val="clear" w:color="auto" w:fill="auto"/>
            <w:noWrap/>
            <w:vAlign w:val="bottom"/>
            <w:hideMark/>
          </w:tcPr>
          <w:p w:rsidR="00614FFD" w:rsidRPr="00614FFD" w:rsidRDefault="00614FFD">
            <w:pPr>
              <w:rPr>
                <w:color w:val="000000"/>
              </w:rPr>
            </w:pPr>
          </w:p>
        </w:tc>
        <w:tc>
          <w:tcPr>
            <w:tcW w:w="779" w:type="pct"/>
            <w:tcBorders>
              <w:top w:val="nil"/>
              <w:left w:val="nil"/>
              <w:bottom w:val="nil"/>
              <w:right w:val="nil"/>
            </w:tcBorders>
            <w:shd w:val="clear" w:color="auto" w:fill="auto"/>
            <w:noWrap/>
            <w:vAlign w:val="bottom"/>
            <w:hideMark/>
          </w:tcPr>
          <w:p w:rsidR="00614FFD" w:rsidRPr="00614FFD" w:rsidRDefault="00614FFD">
            <w:pPr>
              <w:rPr>
                <w:color w:val="000000"/>
              </w:rPr>
            </w:pPr>
          </w:p>
        </w:tc>
      </w:tr>
    </w:tbl>
    <w:p w:rsidR="008870EA" w:rsidRPr="00C971ED" w:rsidRDefault="008870EA" w:rsidP="008870EA">
      <w:pPr>
        <w:pStyle w:val="BodyText"/>
        <w:rPr>
          <w:rFonts w:ascii="Times New Roman" w:hAnsi="Times New Roman" w:cs="Times New Roman"/>
          <w:b/>
          <w:i/>
          <w:sz w:val="24"/>
          <w:szCs w:val="24"/>
          <w:lang w:eastAsia="ja-JP"/>
        </w:rPr>
      </w:pPr>
    </w:p>
    <w:p w:rsidR="00C971ED" w:rsidRPr="001E30F0" w:rsidRDefault="00C971ED" w:rsidP="00B45E96">
      <w:pPr>
        <w:pStyle w:val="Heading2"/>
        <w:rPr>
          <w:lang w:eastAsia="ja-JP"/>
        </w:rPr>
      </w:pPr>
      <w:bookmarkStart w:id="24" w:name="_Toc366502966"/>
      <w:r w:rsidRPr="001E30F0">
        <w:rPr>
          <w:lang w:eastAsia="ja-JP"/>
        </w:rPr>
        <w:t xml:space="preserve">Budget </w:t>
      </w:r>
      <w:r w:rsidR="00FF41BD">
        <w:rPr>
          <w:lang w:eastAsia="ja-JP"/>
        </w:rPr>
        <w:t>Approvals</w:t>
      </w:r>
      <w:bookmarkEnd w:id="24"/>
      <w:r w:rsidRPr="001E30F0">
        <w:rPr>
          <w:lang w:eastAsia="ja-JP"/>
        </w:rPr>
        <w:t xml:space="preserve"> </w:t>
      </w:r>
    </w:p>
    <w:p w:rsidR="00C971ED" w:rsidRPr="00F84101" w:rsidRDefault="00FF41BD" w:rsidP="00AF4D0C">
      <w:pPr>
        <w:pStyle w:val="BodyText"/>
        <w:jc w:val="both"/>
        <w:rPr>
          <w:rFonts w:ascii="Times New Roman" w:hAnsi="Times New Roman" w:cs="Times New Roman"/>
          <w:b/>
          <w:sz w:val="24"/>
          <w:szCs w:val="24"/>
          <w:lang w:eastAsia="ja-JP"/>
        </w:rPr>
      </w:pPr>
      <w:r>
        <w:rPr>
          <w:rFonts w:ascii="Times New Roman" w:hAnsi="Times New Roman" w:cs="Times New Roman"/>
          <w:sz w:val="24"/>
          <w:szCs w:val="24"/>
          <w:lang w:eastAsia="ja-JP"/>
        </w:rPr>
        <w:t xml:space="preserve">The 2011 annual budget and work plan was approved by the </w:t>
      </w:r>
      <w:r w:rsidR="00690FF3" w:rsidRPr="00690FF3">
        <w:rPr>
          <w:rFonts w:ascii="Times New Roman" w:hAnsi="Times New Roman" w:cs="Times New Roman"/>
          <w:sz w:val="24"/>
          <w:szCs w:val="24"/>
          <w:lang w:eastAsia="ja-JP"/>
        </w:rPr>
        <w:t>Management Committee for Inclusive Finance</w:t>
      </w:r>
      <w:r w:rsidR="00690FF3" w:rsidRPr="00156FF2">
        <w:rPr>
          <w:sz w:val="22"/>
          <w:szCs w:val="22"/>
        </w:rPr>
        <w:t xml:space="preserve"> </w:t>
      </w:r>
      <w:r w:rsidR="00690FF3">
        <w:rPr>
          <w:sz w:val="22"/>
          <w:szCs w:val="22"/>
        </w:rPr>
        <w:t>(</w:t>
      </w:r>
      <w:r>
        <w:rPr>
          <w:rFonts w:ascii="Times New Roman" w:hAnsi="Times New Roman" w:cs="Times New Roman"/>
          <w:sz w:val="24"/>
          <w:szCs w:val="24"/>
          <w:lang w:eastAsia="ja-JP"/>
        </w:rPr>
        <w:t>MCIF</w:t>
      </w:r>
      <w:r w:rsidR="00690FF3">
        <w:rPr>
          <w:rFonts w:ascii="Times New Roman" w:hAnsi="Times New Roman" w:cs="Times New Roman"/>
          <w:sz w:val="24"/>
          <w:szCs w:val="24"/>
          <w:lang w:eastAsia="ja-JP"/>
        </w:rPr>
        <w:t>)</w:t>
      </w:r>
      <w:r>
        <w:rPr>
          <w:rFonts w:ascii="Times New Roman" w:hAnsi="Times New Roman" w:cs="Times New Roman"/>
          <w:sz w:val="24"/>
          <w:szCs w:val="24"/>
          <w:lang w:eastAsia="ja-JP"/>
        </w:rPr>
        <w:t xml:space="preserve"> </w:t>
      </w:r>
      <w:r w:rsidR="00690FF3">
        <w:rPr>
          <w:rFonts w:ascii="Times New Roman" w:hAnsi="Times New Roman" w:cs="Times New Roman"/>
          <w:sz w:val="24"/>
          <w:szCs w:val="24"/>
          <w:lang w:eastAsia="ja-JP"/>
        </w:rPr>
        <w:t xml:space="preserve">in May 2011.  </w:t>
      </w:r>
    </w:p>
    <w:p w:rsidR="00955546" w:rsidRPr="00A357D8" w:rsidRDefault="00955546" w:rsidP="00B45E96">
      <w:pPr>
        <w:pStyle w:val="Heading2"/>
        <w:rPr>
          <w:b/>
          <w:i/>
        </w:rPr>
      </w:pPr>
      <w:bookmarkStart w:id="25" w:name="_Toc366502967"/>
      <w:r w:rsidRPr="001E30F0">
        <w:t>Funding Mobilization</w:t>
      </w:r>
      <w:r w:rsidRPr="00A357D8">
        <w:rPr>
          <w:b/>
          <w:i/>
        </w:rPr>
        <w:t>:</w:t>
      </w:r>
      <w:bookmarkEnd w:id="25"/>
      <w:r w:rsidRPr="00A357D8">
        <w:rPr>
          <w:b/>
          <w:i/>
        </w:rPr>
        <w:t xml:space="preserve"> </w:t>
      </w:r>
    </w:p>
    <w:p w:rsidR="00955546" w:rsidRDefault="00955546" w:rsidP="00FF41BD">
      <w:pPr>
        <w:pStyle w:val="Default"/>
        <w:widowControl/>
        <w:numPr>
          <w:ilvl w:val="0"/>
          <w:numId w:val="8"/>
        </w:numPr>
        <w:jc w:val="both"/>
        <w:rPr>
          <w:rFonts w:ascii="Times New Roman" w:hAnsi="Times New Roman" w:cs="Times New Roman"/>
        </w:rPr>
      </w:pPr>
      <w:r w:rsidRPr="00F84101">
        <w:rPr>
          <w:rFonts w:ascii="Times New Roman" w:hAnsi="Times New Roman" w:cs="Times New Roman"/>
        </w:rPr>
        <w:t xml:space="preserve">Negotiations with USAID </w:t>
      </w:r>
      <w:r w:rsidR="00FF41BD">
        <w:rPr>
          <w:rFonts w:ascii="Times New Roman" w:hAnsi="Times New Roman" w:cs="Times New Roman"/>
        </w:rPr>
        <w:t xml:space="preserve">were </w:t>
      </w:r>
      <w:r w:rsidR="00690FF3">
        <w:rPr>
          <w:rFonts w:ascii="Times New Roman" w:hAnsi="Times New Roman" w:cs="Times New Roman"/>
        </w:rPr>
        <w:t>ceased</w:t>
      </w:r>
      <w:r w:rsidR="00FF41BD">
        <w:rPr>
          <w:rFonts w:ascii="Times New Roman" w:hAnsi="Times New Roman" w:cs="Times New Roman"/>
        </w:rPr>
        <w:t xml:space="preserve"> </w:t>
      </w:r>
      <w:r w:rsidR="00690FF3">
        <w:rPr>
          <w:rFonts w:ascii="Times New Roman" w:hAnsi="Times New Roman" w:cs="Times New Roman"/>
        </w:rPr>
        <w:t>during</w:t>
      </w:r>
      <w:r w:rsidR="00FF41BD">
        <w:rPr>
          <w:rFonts w:ascii="Times New Roman" w:hAnsi="Times New Roman" w:cs="Times New Roman"/>
        </w:rPr>
        <w:t xml:space="preserve"> transition of the in-country resident</w:t>
      </w:r>
      <w:r w:rsidR="00690FF3">
        <w:rPr>
          <w:rFonts w:ascii="Times New Roman" w:hAnsi="Times New Roman" w:cs="Times New Roman"/>
        </w:rPr>
        <w:t xml:space="preserve"> representative.  In 2012, INFUSE will again reach out</w:t>
      </w:r>
      <w:r w:rsidR="00FF41BD">
        <w:rPr>
          <w:rFonts w:ascii="Times New Roman" w:hAnsi="Times New Roman" w:cs="Times New Roman"/>
        </w:rPr>
        <w:t xml:space="preserve"> </w:t>
      </w:r>
      <w:r w:rsidR="00690FF3">
        <w:rPr>
          <w:rFonts w:ascii="Times New Roman" w:hAnsi="Times New Roman" w:cs="Times New Roman"/>
        </w:rPr>
        <w:t>to</w:t>
      </w:r>
      <w:r w:rsidR="00FF41BD">
        <w:rPr>
          <w:rFonts w:ascii="Times New Roman" w:hAnsi="Times New Roman" w:cs="Times New Roman"/>
        </w:rPr>
        <w:t xml:space="preserve"> the new USAID team country team</w:t>
      </w:r>
      <w:r w:rsidR="00AC52B6" w:rsidRPr="00F84101">
        <w:rPr>
          <w:rFonts w:ascii="Times New Roman" w:hAnsi="Times New Roman" w:cs="Times New Roman"/>
        </w:rPr>
        <w:t>.</w:t>
      </w:r>
      <w:r w:rsidRPr="00F84101">
        <w:rPr>
          <w:rFonts w:ascii="Times New Roman" w:hAnsi="Times New Roman" w:cs="Times New Roman"/>
        </w:rPr>
        <w:t xml:space="preserve"> </w:t>
      </w:r>
    </w:p>
    <w:p w:rsidR="00FF41BD" w:rsidRPr="00F84101" w:rsidRDefault="00FF41BD" w:rsidP="00FF41BD">
      <w:pPr>
        <w:pStyle w:val="Default"/>
        <w:widowControl/>
        <w:numPr>
          <w:ilvl w:val="0"/>
          <w:numId w:val="8"/>
        </w:numPr>
        <w:jc w:val="both"/>
        <w:rPr>
          <w:rFonts w:ascii="Times New Roman" w:hAnsi="Times New Roman" w:cs="Times New Roman"/>
        </w:rPr>
      </w:pPr>
      <w:r>
        <w:rPr>
          <w:rFonts w:ascii="Times New Roman" w:hAnsi="Times New Roman" w:cs="Times New Roman"/>
        </w:rPr>
        <w:t xml:space="preserve">Request was initiated with AusAID to seek additional contributions to allow the INFUSE program to be extended through 2013 or beyond.  </w:t>
      </w:r>
    </w:p>
    <w:p w:rsidR="00714DBF" w:rsidRPr="00F84101" w:rsidRDefault="00714DBF" w:rsidP="00AF4D0C">
      <w:pPr>
        <w:pStyle w:val="Default"/>
        <w:widowControl/>
        <w:jc w:val="both"/>
        <w:rPr>
          <w:rFonts w:ascii="Times New Roman" w:hAnsi="Times New Roman" w:cs="Times New Roman"/>
        </w:rPr>
      </w:pPr>
    </w:p>
    <w:p w:rsidR="002664D4" w:rsidRPr="001E30F0" w:rsidRDefault="002664D4" w:rsidP="00B45E96">
      <w:pPr>
        <w:pStyle w:val="Heading2"/>
      </w:pPr>
      <w:bookmarkStart w:id="26" w:name="_Toc366502968"/>
      <w:r w:rsidRPr="001E30F0">
        <w:t xml:space="preserve">Financial </w:t>
      </w:r>
      <w:r w:rsidR="00FD0E41" w:rsidRPr="001E30F0">
        <w:t xml:space="preserve">&amp; Procurement </w:t>
      </w:r>
      <w:r w:rsidRPr="001E30F0">
        <w:t>Process</w:t>
      </w:r>
      <w:r w:rsidR="00FD0E41" w:rsidRPr="001E30F0">
        <w:t>es</w:t>
      </w:r>
      <w:bookmarkEnd w:id="26"/>
    </w:p>
    <w:p w:rsidR="00446826" w:rsidRDefault="001305B2" w:rsidP="001305B2">
      <w:pPr>
        <w:pStyle w:val="Default"/>
        <w:widowControl/>
        <w:numPr>
          <w:ilvl w:val="0"/>
          <w:numId w:val="17"/>
        </w:numPr>
        <w:jc w:val="both"/>
        <w:rPr>
          <w:rFonts w:ascii="Times New Roman" w:hAnsi="Times New Roman" w:cs="Times New Roman"/>
        </w:rPr>
      </w:pPr>
      <w:r>
        <w:rPr>
          <w:rFonts w:ascii="Times New Roman" w:hAnsi="Times New Roman" w:cs="Times New Roman"/>
        </w:rPr>
        <w:t>T</w:t>
      </w:r>
      <w:r w:rsidR="00EE3F68" w:rsidRPr="00F84101">
        <w:rPr>
          <w:rFonts w:ascii="Times New Roman" w:hAnsi="Times New Roman" w:cs="Times New Roman"/>
        </w:rPr>
        <w:t xml:space="preserve">urnaround time for administrative and finance/budget processing </w:t>
      </w:r>
      <w:r>
        <w:rPr>
          <w:rFonts w:ascii="Times New Roman" w:hAnsi="Times New Roman" w:cs="Times New Roman"/>
        </w:rPr>
        <w:t>continues to be</w:t>
      </w:r>
      <w:r w:rsidR="00EE3F68" w:rsidRPr="00F84101">
        <w:rPr>
          <w:rFonts w:ascii="Times New Roman" w:hAnsi="Times New Roman" w:cs="Times New Roman"/>
        </w:rPr>
        <w:t xml:space="preserve"> lengthy, and require persistent follow-up</w:t>
      </w:r>
      <w:r>
        <w:rPr>
          <w:rFonts w:ascii="Times New Roman" w:hAnsi="Times New Roman" w:cs="Times New Roman"/>
        </w:rPr>
        <w:t>, sometimes up to several months to process a payment</w:t>
      </w:r>
      <w:r w:rsidR="00EE3F68" w:rsidRPr="00F84101">
        <w:rPr>
          <w:rFonts w:ascii="Times New Roman" w:hAnsi="Times New Roman" w:cs="Times New Roman"/>
        </w:rPr>
        <w:t xml:space="preserve">. </w:t>
      </w:r>
    </w:p>
    <w:p w:rsidR="00FD0E41" w:rsidRDefault="00FD0E41" w:rsidP="001305B2">
      <w:pPr>
        <w:pStyle w:val="Default"/>
        <w:widowControl/>
        <w:numPr>
          <w:ilvl w:val="0"/>
          <w:numId w:val="17"/>
        </w:numPr>
        <w:jc w:val="both"/>
        <w:rPr>
          <w:rFonts w:ascii="Times New Roman" w:hAnsi="Times New Roman" w:cs="Times New Roman"/>
        </w:rPr>
      </w:pPr>
      <w:r>
        <w:rPr>
          <w:rFonts w:ascii="Times New Roman" w:hAnsi="Times New Roman" w:cs="Times New Roman"/>
        </w:rPr>
        <w:t xml:space="preserve">Procurement of consultant services </w:t>
      </w:r>
      <w:r w:rsidR="001305B2">
        <w:rPr>
          <w:rFonts w:ascii="Times New Roman" w:hAnsi="Times New Roman" w:cs="Times New Roman"/>
        </w:rPr>
        <w:t xml:space="preserve">continues to </w:t>
      </w:r>
      <w:r>
        <w:rPr>
          <w:rFonts w:ascii="Times New Roman" w:hAnsi="Times New Roman" w:cs="Times New Roman"/>
        </w:rPr>
        <w:t xml:space="preserve">experience delays and </w:t>
      </w:r>
      <w:r w:rsidR="001305B2">
        <w:rPr>
          <w:rFonts w:ascii="Times New Roman" w:hAnsi="Times New Roman" w:cs="Times New Roman"/>
        </w:rPr>
        <w:t xml:space="preserve">hinder program implementation.  </w:t>
      </w:r>
      <w:r w:rsidR="00690FF3">
        <w:rPr>
          <w:rFonts w:ascii="Times New Roman" w:hAnsi="Times New Roman" w:cs="Times New Roman"/>
        </w:rPr>
        <w:t xml:space="preserve">This weakness was sited in the Mid Term Evaluation and also has been </w:t>
      </w:r>
      <w:r w:rsidR="007F584B">
        <w:rPr>
          <w:rFonts w:ascii="Times New Roman" w:hAnsi="Times New Roman" w:cs="Times New Roman"/>
        </w:rPr>
        <w:t>listed by AusAID as a concern for further funding.</w:t>
      </w:r>
    </w:p>
    <w:p w:rsidR="00A54F36" w:rsidRPr="00F84101" w:rsidRDefault="00A54F36" w:rsidP="00AF4D0C">
      <w:pPr>
        <w:pStyle w:val="BodyText"/>
        <w:jc w:val="both"/>
        <w:rPr>
          <w:rFonts w:ascii="Times New Roman" w:hAnsi="Times New Roman" w:cs="Times New Roman"/>
          <w:sz w:val="24"/>
          <w:szCs w:val="24"/>
          <w:highlight w:val="yellow"/>
        </w:rPr>
      </w:pPr>
    </w:p>
    <w:p w:rsidR="00AB0274" w:rsidRPr="001E30F0" w:rsidRDefault="00AB0274" w:rsidP="00B45E96">
      <w:pPr>
        <w:pStyle w:val="Heading2"/>
        <w:rPr>
          <w:b/>
        </w:rPr>
      </w:pPr>
      <w:bookmarkStart w:id="27" w:name="_Toc288468706"/>
      <w:bookmarkStart w:id="28" w:name="_Toc366502969"/>
      <w:r w:rsidRPr="001E30F0">
        <w:t>Human Resources:</w:t>
      </w:r>
      <w:bookmarkEnd w:id="27"/>
      <w:bookmarkEnd w:id="28"/>
    </w:p>
    <w:p w:rsidR="005D7401" w:rsidRDefault="002A1459" w:rsidP="001305B2">
      <w:pPr>
        <w:pStyle w:val="BodyText"/>
        <w:jc w:val="both"/>
        <w:rPr>
          <w:rFonts w:ascii="Times New Roman" w:hAnsi="Times New Roman" w:cs="Times New Roman"/>
          <w:sz w:val="24"/>
          <w:szCs w:val="24"/>
        </w:rPr>
      </w:pPr>
      <w:r w:rsidRPr="004E0969">
        <w:rPr>
          <w:rFonts w:ascii="Times New Roman" w:hAnsi="Times New Roman" w:cs="Times New Roman"/>
          <w:sz w:val="24"/>
          <w:szCs w:val="24"/>
        </w:rPr>
        <w:t xml:space="preserve">During </w:t>
      </w:r>
      <w:r w:rsidR="001305B2">
        <w:rPr>
          <w:rFonts w:ascii="Times New Roman" w:hAnsi="Times New Roman" w:cs="Times New Roman"/>
          <w:sz w:val="24"/>
          <w:szCs w:val="24"/>
        </w:rPr>
        <w:t>the first half of 2011</w:t>
      </w:r>
      <w:r w:rsidRPr="004E0969">
        <w:rPr>
          <w:rFonts w:ascii="Times New Roman" w:hAnsi="Times New Roman" w:cs="Times New Roman"/>
          <w:sz w:val="24"/>
          <w:szCs w:val="24"/>
        </w:rPr>
        <w:t>, t</w:t>
      </w:r>
      <w:r w:rsidR="004E45BF" w:rsidRPr="004E0969">
        <w:rPr>
          <w:rFonts w:ascii="Times New Roman" w:hAnsi="Times New Roman" w:cs="Times New Roman"/>
          <w:sz w:val="24"/>
          <w:szCs w:val="24"/>
        </w:rPr>
        <w:t xml:space="preserve">he INFUSE </w:t>
      </w:r>
      <w:r w:rsidR="0085272C" w:rsidRPr="004E0969">
        <w:rPr>
          <w:rFonts w:ascii="Times New Roman" w:hAnsi="Times New Roman" w:cs="Times New Roman"/>
          <w:sz w:val="24"/>
          <w:szCs w:val="24"/>
        </w:rPr>
        <w:t>program</w:t>
      </w:r>
      <w:r w:rsidRPr="004E0969">
        <w:rPr>
          <w:rFonts w:ascii="Times New Roman" w:hAnsi="Times New Roman" w:cs="Times New Roman"/>
          <w:sz w:val="24"/>
          <w:szCs w:val="24"/>
        </w:rPr>
        <w:t xml:space="preserve"> implementation unit (PIU) comprised the following staff</w:t>
      </w:r>
      <w:r w:rsidR="004E45BF" w:rsidRPr="004E0969">
        <w:rPr>
          <w:rFonts w:ascii="Times New Roman" w:hAnsi="Times New Roman" w:cs="Times New Roman"/>
          <w:sz w:val="24"/>
          <w:szCs w:val="24"/>
        </w:rPr>
        <w:t>:</w:t>
      </w:r>
      <w:r w:rsidR="004E0969" w:rsidRPr="004E0969">
        <w:rPr>
          <w:rFonts w:ascii="Times New Roman" w:hAnsi="Times New Roman" w:cs="Times New Roman"/>
          <w:sz w:val="24"/>
          <w:szCs w:val="24"/>
        </w:rPr>
        <w:t xml:space="preserve"> </w:t>
      </w:r>
    </w:p>
    <w:p w:rsidR="005D7401" w:rsidRPr="00713BDF" w:rsidRDefault="001305B2" w:rsidP="00186572">
      <w:pPr>
        <w:numPr>
          <w:ilvl w:val="0"/>
          <w:numId w:val="11"/>
        </w:numPr>
        <w:tabs>
          <w:tab w:val="clear" w:pos="720"/>
          <w:tab w:val="num" w:pos="360"/>
        </w:tabs>
        <w:autoSpaceDE w:val="0"/>
        <w:autoSpaceDN w:val="0"/>
        <w:adjustRightInd w:val="0"/>
        <w:ind w:left="360"/>
        <w:jc w:val="both"/>
        <w:rPr>
          <w:lang w:eastAsia="ja-JP"/>
        </w:rPr>
      </w:pPr>
      <w:r>
        <w:rPr>
          <w:lang w:eastAsia="ja-JP"/>
        </w:rPr>
        <w:lastRenderedPageBreak/>
        <w:t>The expatriate</w:t>
      </w:r>
      <w:r w:rsidR="00713BDF" w:rsidRPr="00713BDF">
        <w:rPr>
          <w:lang w:eastAsia="ja-JP"/>
        </w:rPr>
        <w:t xml:space="preserve"> </w:t>
      </w:r>
      <w:r w:rsidR="004E45BF" w:rsidRPr="00713BDF">
        <w:rPr>
          <w:lang w:eastAsia="ja-JP"/>
        </w:rPr>
        <w:t>Chief Technical Advisor</w:t>
      </w:r>
      <w:r>
        <w:rPr>
          <w:lang w:eastAsia="ja-JP"/>
        </w:rPr>
        <w:t xml:space="preserve"> </w:t>
      </w:r>
      <w:r w:rsidR="007F584B">
        <w:rPr>
          <w:lang w:eastAsia="ja-JP"/>
        </w:rPr>
        <w:t xml:space="preserve">(CTA) </w:t>
      </w:r>
      <w:r w:rsidRPr="00713BDF">
        <w:rPr>
          <w:lang w:eastAsia="ja-JP"/>
        </w:rPr>
        <w:t>whose</w:t>
      </w:r>
      <w:r w:rsidR="005D7401" w:rsidRPr="00713BDF">
        <w:rPr>
          <w:lang w:eastAsia="ja-JP"/>
        </w:rPr>
        <w:t xml:space="preserve"> contract expired 31 December 2010</w:t>
      </w:r>
      <w:r>
        <w:rPr>
          <w:lang w:eastAsia="ja-JP"/>
        </w:rPr>
        <w:t xml:space="preserve"> reapplied for the lead position and was rehired in March 2011.  The contract conversion </w:t>
      </w:r>
      <w:r w:rsidR="00487BFF">
        <w:rPr>
          <w:lang w:eastAsia="ja-JP"/>
        </w:rPr>
        <w:t>assigned</w:t>
      </w:r>
      <w:r>
        <w:rPr>
          <w:lang w:eastAsia="ja-JP"/>
        </w:rPr>
        <w:t xml:space="preserve"> a new title of Technical Specialist</w:t>
      </w:r>
      <w:r w:rsidR="000800A5">
        <w:rPr>
          <w:lang w:eastAsia="ja-JP"/>
        </w:rPr>
        <w:t xml:space="preserve"> (P4 level)</w:t>
      </w:r>
      <w:r>
        <w:rPr>
          <w:lang w:eastAsia="ja-JP"/>
        </w:rPr>
        <w:t xml:space="preserve">. </w:t>
      </w:r>
      <w:r w:rsidR="005D7401" w:rsidRPr="00713BDF">
        <w:rPr>
          <w:lang w:eastAsia="ja-JP"/>
        </w:rPr>
        <w:t xml:space="preserve">The position </w:t>
      </w:r>
      <w:r w:rsidR="009E581F">
        <w:rPr>
          <w:lang w:eastAsia="ja-JP"/>
        </w:rPr>
        <w:t>was</w:t>
      </w:r>
      <w:r w:rsidR="005D7401" w:rsidRPr="00713BDF">
        <w:rPr>
          <w:lang w:eastAsia="ja-JP"/>
        </w:rPr>
        <w:t xml:space="preserve"> </w:t>
      </w:r>
      <w:r>
        <w:rPr>
          <w:lang w:eastAsia="ja-JP"/>
        </w:rPr>
        <w:t xml:space="preserve">vacant </w:t>
      </w:r>
      <w:r w:rsidR="000800A5">
        <w:rPr>
          <w:lang w:eastAsia="ja-JP"/>
        </w:rPr>
        <w:t>from December through February</w:t>
      </w:r>
      <w:r w:rsidR="005D7401" w:rsidRPr="00713BDF">
        <w:rPr>
          <w:lang w:eastAsia="ja-JP"/>
        </w:rPr>
        <w:t>.</w:t>
      </w:r>
      <w:r w:rsidR="0045758D">
        <w:rPr>
          <w:lang w:eastAsia="ja-JP"/>
        </w:rPr>
        <w:t xml:space="preserve"> </w:t>
      </w:r>
    </w:p>
    <w:p w:rsidR="005D7401" w:rsidRPr="00713BDF" w:rsidRDefault="001305B2" w:rsidP="00186572">
      <w:pPr>
        <w:numPr>
          <w:ilvl w:val="0"/>
          <w:numId w:val="11"/>
        </w:numPr>
        <w:tabs>
          <w:tab w:val="clear" w:pos="720"/>
          <w:tab w:val="num" w:pos="360"/>
        </w:tabs>
        <w:autoSpaceDE w:val="0"/>
        <w:autoSpaceDN w:val="0"/>
        <w:adjustRightInd w:val="0"/>
        <w:ind w:left="360"/>
        <w:jc w:val="both"/>
        <w:rPr>
          <w:lang w:eastAsia="ja-JP"/>
        </w:rPr>
      </w:pPr>
      <w:r>
        <w:rPr>
          <w:lang w:eastAsia="ja-JP"/>
        </w:rPr>
        <w:t>The expatriate UNV/</w:t>
      </w:r>
      <w:r w:rsidR="004E0969" w:rsidRPr="00713BDF">
        <w:rPr>
          <w:lang w:eastAsia="ja-JP"/>
        </w:rPr>
        <w:t>Programme Officer</w:t>
      </w:r>
      <w:r w:rsidR="00487BFF">
        <w:rPr>
          <w:lang w:eastAsia="ja-JP"/>
        </w:rPr>
        <w:t>’s</w:t>
      </w:r>
      <w:r>
        <w:rPr>
          <w:lang w:eastAsia="ja-JP"/>
        </w:rPr>
        <w:t xml:space="preserve"> </w:t>
      </w:r>
      <w:r w:rsidR="000800A5">
        <w:rPr>
          <w:lang w:eastAsia="ja-JP"/>
        </w:rPr>
        <w:t xml:space="preserve">contract will end </w:t>
      </w:r>
      <w:r w:rsidR="00311DE2">
        <w:rPr>
          <w:lang w:eastAsia="ja-JP"/>
        </w:rPr>
        <w:t xml:space="preserve">in early August and her work is </w:t>
      </w:r>
      <w:r w:rsidR="000800A5">
        <w:rPr>
          <w:lang w:eastAsia="ja-JP"/>
        </w:rPr>
        <w:t>planned to be taken over by a new</w:t>
      </w:r>
      <w:r w:rsidR="00487BFF">
        <w:rPr>
          <w:lang w:eastAsia="ja-JP"/>
        </w:rPr>
        <w:t>ly</w:t>
      </w:r>
      <w:r w:rsidR="000800A5">
        <w:rPr>
          <w:lang w:eastAsia="ja-JP"/>
        </w:rPr>
        <w:t xml:space="preserve"> recruit</w:t>
      </w:r>
      <w:r w:rsidR="00487BFF">
        <w:rPr>
          <w:lang w:eastAsia="ja-JP"/>
        </w:rPr>
        <w:t>ed</w:t>
      </w:r>
      <w:r w:rsidR="000800A5">
        <w:rPr>
          <w:lang w:eastAsia="ja-JP"/>
        </w:rPr>
        <w:t xml:space="preserve"> expatriate Technical Specialist (P3 level)</w:t>
      </w:r>
      <w:r w:rsidR="00713BDF" w:rsidRPr="00713BDF">
        <w:rPr>
          <w:lang w:eastAsia="ja-JP"/>
        </w:rPr>
        <w:t xml:space="preserve">.  </w:t>
      </w:r>
    </w:p>
    <w:p w:rsidR="00487BFF" w:rsidRDefault="00487BFF" w:rsidP="00186572">
      <w:pPr>
        <w:numPr>
          <w:ilvl w:val="0"/>
          <w:numId w:val="11"/>
        </w:numPr>
        <w:tabs>
          <w:tab w:val="clear" w:pos="720"/>
          <w:tab w:val="num" w:pos="360"/>
        </w:tabs>
        <w:autoSpaceDE w:val="0"/>
        <w:autoSpaceDN w:val="0"/>
        <w:adjustRightInd w:val="0"/>
        <w:ind w:left="360"/>
        <w:jc w:val="both"/>
        <w:rPr>
          <w:lang w:eastAsia="ja-JP"/>
        </w:rPr>
      </w:pPr>
      <w:r>
        <w:rPr>
          <w:lang w:eastAsia="ja-JP"/>
        </w:rPr>
        <w:t xml:space="preserve">The </w:t>
      </w:r>
      <w:r w:rsidR="004E45BF" w:rsidRPr="00713BDF">
        <w:rPr>
          <w:lang w:eastAsia="ja-JP"/>
        </w:rPr>
        <w:t>National Programme Officer</w:t>
      </w:r>
      <w:r w:rsidR="000800A5">
        <w:rPr>
          <w:lang w:eastAsia="ja-JP"/>
        </w:rPr>
        <w:t xml:space="preserve"> contract will end in July and it’s anticipated that he will not renew.  Recruitment for this position will resume </w:t>
      </w:r>
      <w:r>
        <w:rPr>
          <w:lang w:eastAsia="ja-JP"/>
        </w:rPr>
        <w:t>to</w:t>
      </w:r>
      <w:r w:rsidR="000800A5">
        <w:rPr>
          <w:lang w:eastAsia="ja-JP"/>
        </w:rPr>
        <w:t xml:space="preserve"> identify a candidate with a more appropriate level of skills.  Recruitment for national staff with relevant level of skills, qualifications, and experience remains challenging in Timor.</w:t>
      </w:r>
    </w:p>
    <w:p w:rsidR="00487BFF" w:rsidRDefault="00487BFF" w:rsidP="00186572">
      <w:pPr>
        <w:numPr>
          <w:ilvl w:val="0"/>
          <w:numId w:val="11"/>
        </w:numPr>
        <w:tabs>
          <w:tab w:val="clear" w:pos="720"/>
          <w:tab w:val="num" w:pos="360"/>
        </w:tabs>
        <w:autoSpaceDE w:val="0"/>
        <w:autoSpaceDN w:val="0"/>
        <w:adjustRightInd w:val="0"/>
        <w:ind w:left="360"/>
        <w:jc w:val="both"/>
        <w:rPr>
          <w:lang w:eastAsia="ja-JP"/>
        </w:rPr>
      </w:pPr>
      <w:r>
        <w:rPr>
          <w:lang w:eastAsia="ja-JP"/>
        </w:rPr>
        <w:t xml:space="preserve">The </w:t>
      </w:r>
      <w:r w:rsidR="004E45BF" w:rsidRPr="00713BDF">
        <w:rPr>
          <w:lang w:eastAsia="ja-JP"/>
        </w:rPr>
        <w:t>National</w:t>
      </w:r>
      <w:r w:rsidR="004E0969" w:rsidRPr="00713BDF">
        <w:rPr>
          <w:lang w:eastAsia="ja-JP"/>
        </w:rPr>
        <w:t xml:space="preserve"> Administration/Finance </w:t>
      </w:r>
      <w:r w:rsidR="007F584B">
        <w:rPr>
          <w:lang w:eastAsia="ja-JP"/>
        </w:rPr>
        <w:t>Associate</w:t>
      </w:r>
      <w:r>
        <w:rPr>
          <w:lang w:eastAsia="ja-JP"/>
        </w:rPr>
        <w:t xml:space="preserve"> resumed work in January after a four month leave of absence.  She notified of her resignation to be effective as August.  Recruitment of this position will be done as soon as possible.  </w:t>
      </w:r>
    </w:p>
    <w:p w:rsidR="00713BDF" w:rsidRPr="00713BDF" w:rsidRDefault="00487BFF" w:rsidP="00186572">
      <w:pPr>
        <w:numPr>
          <w:ilvl w:val="0"/>
          <w:numId w:val="11"/>
        </w:numPr>
        <w:tabs>
          <w:tab w:val="clear" w:pos="720"/>
          <w:tab w:val="num" w:pos="360"/>
        </w:tabs>
        <w:autoSpaceDE w:val="0"/>
        <w:autoSpaceDN w:val="0"/>
        <w:adjustRightInd w:val="0"/>
        <w:ind w:left="360"/>
        <w:jc w:val="both"/>
        <w:rPr>
          <w:lang w:eastAsia="ja-JP"/>
        </w:rPr>
      </w:pPr>
      <w:r>
        <w:rPr>
          <w:lang w:eastAsia="ja-JP"/>
        </w:rPr>
        <w:t xml:space="preserve">The </w:t>
      </w:r>
      <w:r w:rsidR="00713BDF" w:rsidRPr="00713BDF">
        <w:rPr>
          <w:lang w:eastAsia="ja-JP"/>
        </w:rPr>
        <w:t>National Driver/Clerk</w:t>
      </w:r>
      <w:r>
        <w:rPr>
          <w:lang w:eastAsia="ja-JP"/>
        </w:rPr>
        <w:t xml:space="preserve"> became seriously ill in June and may need to be replaced.  </w:t>
      </w:r>
    </w:p>
    <w:p w:rsidR="00487BFF" w:rsidRDefault="00487BFF" w:rsidP="00D8365F">
      <w:pPr>
        <w:pStyle w:val="Default"/>
        <w:widowControl/>
        <w:jc w:val="both"/>
        <w:rPr>
          <w:rFonts w:ascii="Times New Roman" w:hAnsi="Times New Roman" w:cs="Times New Roman"/>
        </w:rPr>
      </w:pPr>
    </w:p>
    <w:p w:rsidR="009C5860" w:rsidRPr="00713BDF" w:rsidRDefault="009C5860" w:rsidP="00D8365F">
      <w:pPr>
        <w:pStyle w:val="Default"/>
        <w:widowControl/>
        <w:jc w:val="both"/>
        <w:rPr>
          <w:rFonts w:ascii="Times New Roman" w:hAnsi="Times New Roman" w:cs="Times New Roman"/>
        </w:rPr>
      </w:pPr>
      <w:r>
        <w:rPr>
          <w:rFonts w:ascii="Times New Roman" w:hAnsi="Times New Roman" w:cs="Times New Roman"/>
        </w:rPr>
        <w:t xml:space="preserve">In addition, the </w:t>
      </w:r>
      <w:r w:rsidR="0085272C">
        <w:rPr>
          <w:rFonts w:ascii="Times New Roman" w:hAnsi="Times New Roman" w:cs="Times New Roman"/>
        </w:rPr>
        <w:t>program</w:t>
      </w:r>
      <w:r>
        <w:rPr>
          <w:rFonts w:ascii="Times New Roman" w:hAnsi="Times New Roman" w:cs="Times New Roman"/>
        </w:rPr>
        <w:t xml:space="preserve"> receives support from the following:</w:t>
      </w:r>
    </w:p>
    <w:p w:rsidR="00045672" w:rsidRPr="00713BDF" w:rsidRDefault="00045672" w:rsidP="00186572">
      <w:pPr>
        <w:numPr>
          <w:ilvl w:val="0"/>
          <w:numId w:val="11"/>
        </w:numPr>
        <w:tabs>
          <w:tab w:val="clear" w:pos="720"/>
          <w:tab w:val="num" w:pos="360"/>
        </w:tabs>
        <w:autoSpaceDE w:val="0"/>
        <w:autoSpaceDN w:val="0"/>
        <w:adjustRightInd w:val="0"/>
        <w:ind w:left="360"/>
        <w:jc w:val="both"/>
        <w:rPr>
          <w:lang w:eastAsia="ja-JP"/>
        </w:rPr>
      </w:pPr>
      <w:r w:rsidRPr="00713BDF">
        <w:rPr>
          <w:lang w:eastAsia="ja-JP"/>
        </w:rPr>
        <w:t xml:space="preserve">Technical oversight and guidance to the Programme </w:t>
      </w:r>
      <w:r w:rsidR="00D8365F">
        <w:rPr>
          <w:lang w:eastAsia="ja-JP"/>
        </w:rPr>
        <w:t>was</w:t>
      </w:r>
      <w:r w:rsidRPr="00713BDF">
        <w:rPr>
          <w:lang w:eastAsia="ja-JP"/>
        </w:rPr>
        <w:t xml:space="preserve"> provided </w:t>
      </w:r>
      <w:r w:rsidRPr="00D8365F">
        <w:rPr>
          <w:lang w:eastAsia="ja-JP"/>
        </w:rPr>
        <w:t xml:space="preserve">by an UNCDF Regional Technical Advisor based at the Pacific Financial Inclusion Programme (PFIP) in Suva, Fiji. </w:t>
      </w:r>
    </w:p>
    <w:p w:rsidR="00987ECD" w:rsidRPr="00713BDF" w:rsidRDefault="00487BFF" w:rsidP="00186572">
      <w:pPr>
        <w:numPr>
          <w:ilvl w:val="0"/>
          <w:numId w:val="11"/>
        </w:numPr>
        <w:tabs>
          <w:tab w:val="clear" w:pos="720"/>
          <w:tab w:val="num" w:pos="360"/>
        </w:tabs>
        <w:autoSpaceDE w:val="0"/>
        <w:autoSpaceDN w:val="0"/>
        <w:adjustRightInd w:val="0"/>
        <w:ind w:left="360"/>
        <w:jc w:val="both"/>
        <w:rPr>
          <w:lang w:eastAsia="ja-JP"/>
        </w:rPr>
      </w:pPr>
      <w:r>
        <w:rPr>
          <w:lang w:eastAsia="ja-JP"/>
        </w:rPr>
        <w:t xml:space="preserve">A INFUSE part-time Deputy Program Manager (based in the PFIP office) provided considerable support on finance and operations.  </w:t>
      </w:r>
    </w:p>
    <w:p w:rsidR="000252EE" w:rsidRDefault="000252EE" w:rsidP="00BA0310">
      <w:pPr>
        <w:pStyle w:val="Default"/>
        <w:rPr>
          <w:rFonts w:ascii="Times New Roman" w:hAnsi="Times New Roman" w:cs="Times New Roman"/>
        </w:rPr>
      </w:pPr>
    </w:p>
    <w:p w:rsidR="00924249" w:rsidRDefault="00924249" w:rsidP="00B45E96">
      <w:pPr>
        <w:pStyle w:val="Heading1"/>
        <w:numPr>
          <w:ilvl w:val="0"/>
          <w:numId w:val="29"/>
        </w:numPr>
      </w:pPr>
      <w:bookmarkStart w:id="29" w:name="_Toc366502970"/>
      <w:r w:rsidRPr="00F84101">
        <w:t>Implementation and Monitoring Arrangements</w:t>
      </w:r>
      <w:bookmarkEnd w:id="29"/>
      <w:r w:rsidRPr="00F84101">
        <w:t xml:space="preserve"> </w:t>
      </w:r>
    </w:p>
    <w:p w:rsidR="00924249" w:rsidRPr="00F84101" w:rsidRDefault="00924249" w:rsidP="00BA0310">
      <w:pPr>
        <w:pStyle w:val="Default"/>
        <w:rPr>
          <w:rFonts w:ascii="Times New Roman" w:hAnsi="Times New Roman" w:cs="Times New Roman"/>
        </w:rPr>
      </w:pPr>
    </w:p>
    <w:p w:rsidR="00F70ABD" w:rsidRPr="001E30F0" w:rsidRDefault="00C35A31" w:rsidP="00B45E96">
      <w:pPr>
        <w:pStyle w:val="Heading2"/>
        <w:rPr>
          <w:b/>
        </w:rPr>
      </w:pPr>
      <w:bookmarkStart w:id="30" w:name="_Toc288468708"/>
      <w:bookmarkStart w:id="31" w:name="_Toc366502971"/>
      <w:r>
        <w:t>Program</w:t>
      </w:r>
      <w:r w:rsidR="00C318F5" w:rsidRPr="001E30F0">
        <w:t xml:space="preserve"> </w:t>
      </w:r>
      <w:r w:rsidR="00F70ABD" w:rsidRPr="001E30F0">
        <w:t>Implementation</w:t>
      </w:r>
      <w:bookmarkEnd w:id="30"/>
      <w:bookmarkEnd w:id="31"/>
    </w:p>
    <w:p w:rsidR="004538E9" w:rsidRPr="00F84101" w:rsidRDefault="007807DB" w:rsidP="00460BDE">
      <w:pPr>
        <w:jc w:val="both"/>
      </w:pPr>
      <w:r w:rsidRPr="00F84101">
        <w:t xml:space="preserve">INFUSE is </w:t>
      </w:r>
      <w:r w:rsidR="00507DDC">
        <w:t xml:space="preserve">an UNCDF-led </w:t>
      </w:r>
      <w:r w:rsidR="00620C25">
        <w:t>program</w:t>
      </w:r>
      <w:r w:rsidR="003B482C">
        <w:t xml:space="preserve"> </w:t>
      </w:r>
      <w:r w:rsidR="003B482C" w:rsidRPr="00F84101">
        <w:t xml:space="preserve">implemented jointly </w:t>
      </w:r>
      <w:r w:rsidR="003B482C">
        <w:t>with</w:t>
      </w:r>
      <w:r w:rsidRPr="00F84101">
        <w:t xml:space="preserve"> UNDP. UNDP</w:t>
      </w:r>
      <w:r w:rsidRPr="00F84101">
        <w:rPr>
          <w:rFonts w:ascii="Calibri" w:hAnsi="Calibri"/>
        </w:rPr>
        <w:t>‐</w:t>
      </w:r>
      <w:r w:rsidRPr="00F84101">
        <w:t xml:space="preserve">Timor Leste, </w:t>
      </w:r>
      <w:r w:rsidR="00E425B3">
        <w:t>the</w:t>
      </w:r>
      <w:r w:rsidR="00E425B3" w:rsidRPr="00F84101">
        <w:t xml:space="preserve"> </w:t>
      </w:r>
      <w:r w:rsidRPr="00F84101">
        <w:t xml:space="preserve">Administrative Agent, is established in country with support units (HR, procurement, etc.) that </w:t>
      </w:r>
      <w:r w:rsidR="003B482C">
        <w:t xml:space="preserve">the </w:t>
      </w:r>
      <w:r w:rsidRPr="00F84101">
        <w:t xml:space="preserve">INFUSE </w:t>
      </w:r>
      <w:r w:rsidR="00620C25">
        <w:t>Program</w:t>
      </w:r>
      <w:r w:rsidR="00164BD8">
        <w:t xml:space="preserve"> Implementation Unit (</w:t>
      </w:r>
      <w:r w:rsidRPr="00F84101">
        <w:t>PIU</w:t>
      </w:r>
      <w:r w:rsidR="00164BD8">
        <w:t>)</w:t>
      </w:r>
      <w:r w:rsidRPr="00F84101">
        <w:t xml:space="preserve"> accesses</w:t>
      </w:r>
      <w:r w:rsidR="003B482C">
        <w:t>.</w:t>
      </w:r>
      <w:r w:rsidRPr="00F84101">
        <w:t xml:space="preserve"> UNCDF provides technical assistance and manages the </w:t>
      </w:r>
      <w:r w:rsidR="00620C25">
        <w:t>p</w:t>
      </w:r>
      <w:r w:rsidR="00620C25" w:rsidRPr="00F84101">
        <w:t>rogram</w:t>
      </w:r>
      <w:r w:rsidRPr="00F84101">
        <w:t>. In order to harmonize funding and ensure effective co</w:t>
      </w:r>
      <w:r w:rsidRPr="00F84101">
        <w:rPr>
          <w:rFonts w:ascii="Calibri" w:hAnsi="Calibri"/>
        </w:rPr>
        <w:t>‐</w:t>
      </w:r>
      <w:r w:rsidRPr="00F84101">
        <w:t xml:space="preserve">ordination in </w:t>
      </w:r>
      <w:r w:rsidR="00620C25" w:rsidRPr="00F84101">
        <w:t>program</w:t>
      </w:r>
      <w:r w:rsidRPr="00F84101">
        <w:t xml:space="preserve"> implementation, both UNCDF and UNDP roles in the </w:t>
      </w:r>
      <w:r w:rsidR="00620C25" w:rsidRPr="00F84101">
        <w:t>program</w:t>
      </w:r>
      <w:r w:rsidRPr="00F84101">
        <w:t xml:space="preserve"> are outlined according to regulations defined by the </w:t>
      </w:r>
      <w:r w:rsidR="004D1B3C">
        <w:t xml:space="preserve">2003 </w:t>
      </w:r>
      <w:r w:rsidRPr="00F84101">
        <w:t xml:space="preserve">UN Development Group </w:t>
      </w:r>
      <w:r w:rsidR="003B482C">
        <w:t>Guidance Note on Joint Programming</w:t>
      </w:r>
      <w:r w:rsidR="004D1B3C">
        <w:t xml:space="preserve"> with further clarification in the UNCDF-UNDP Guidance Note dated 2 November 2007</w:t>
      </w:r>
      <w:r w:rsidRPr="00F84101">
        <w:t xml:space="preserve">. In the course of implementation of this </w:t>
      </w:r>
      <w:r w:rsidR="00620C25" w:rsidRPr="00F84101">
        <w:t>program</w:t>
      </w:r>
      <w:r w:rsidRPr="00F84101">
        <w:t>, and in monitoring and reporting on progress, UNCDF, UNDP and other future associated UN agencies will collaborate a</w:t>
      </w:r>
      <w:r w:rsidR="00020C13" w:rsidRPr="00F84101">
        <w:t>ccording to the</w:t>
      </w:r>
      <w:r w:rsidR="004D1B3C">
        <w:t>se</w:t>
      </w:r>
      <w:r w:rsidR="00020C13" w:rsidRPr="00F84101">
        <w:t xml:space="preserve"> Joint Programme</w:t>
      </w:r>
      <w:r w:rsidRPr="00F84101">
        <w:t xml:space="preserve"> </w:t>
      </w:r>
      <w:r w:rsidR="00507DDC">
        <w:t>r</w:t>
      </w:r>
      <w:r w:rsidRPr="00F84101">
        <w:t xml:space="preserve">egulations </w:t>
      </w:r>
      <w:r w:rsidR="00C56517">
        <w:t xml:space="preserve">and Standard Administrative Agreements already in place. </w:t>
      </w:r>
    </w:p>
    <w:p w:rsidR="004538E9" w:rsidRPr="00F84101" w:rsidRDefault="004538E9" w:rsidP="00460BDE">
      <w:pPr>
        <w:pStyle w:val="BodyText"/>
        <w:jc w:val="both"/>
        <w:rPr>
          <w:rFonts w:ascii="Times New Roman" w:hAnsi="Times New Roman" w:cs="Times New Roman"/>
          <w:sz w:val="24"/>
          <w:szCs w:val="24"/>
        </w:rPr>
      </w:pPr>
    </w:p>
    <w:p w:rsidR="000040FC" w:rsidRDefault="007807DB" w:rsidP="00460BDE">
      <w:pPr>
        <w:pStyle w:val="BodyText"/>
        <w:jc w:val="both"/>
        <w:rPr>
          <w:rFonts w:ascii="Times New Roman" w:hAnsi="Times New Roman" w:cs="Times New Roman"/>
          <w:sz w:val="24"/>
          <w:szCs w:val="24"/>
        </w:rPr>
      </w:pPr>
      <w:r w:rsidRPr="00F84101">
        <w:rPr>
          <w:rFonts w:ascii="Times New Roman" w:hAnsi="Times New Roman" w:cs="Times New Roman"/>
          <w:sz w:val="24"/>
          <w:szCs w:val="24"/>
        </w:rPr>
        <w:t xml:space="preserve">Although each of the implementing agencies have their own roles in the implementation of the Joint Programme as governed by </w:t>
      </w:r>
      <w:r w:rsidR="004D1B3C">
        <w:rPr>
          <w:rFonts w:ascii="Times New Roman" w:hAnsi="Times New Roman" w:cs="Times New Roman"/>
          <w:sz w:val="24"/>
          <w:szCs w:val="24"/>
        </w:rPr>
        <w:t>these aforementioned guidance notes</w:t>
      </w:r>
      <w:r w:rsidRPr="00F84101">
        <w:rPr>
          <w:rFonts w:ascii="Times New Roman" w:hAnsi="Times New Roman" w:cs="Times New Roman"/>
          <w:sz w:val="24"/>
          <w:szCs w:val="24"/>
        </w:rPr>
        <w:t xml:space="preserve">, each of the agencies will have to agree and understand that the administration of this </w:t>
      </w:r>
      <w:r w:rsidR="00620C25" w:rsidRPr="00F84101">
        <w:rPr>
          <w:rFonts w:ascii="Times New Roman" w:hAnsi="Times New Roman" w:cs="Times New Roman"/>
          <w:sz w:val="24"/>
          <w:szCs w:val="24"/>
        </w:rPr>
        <w:t>program</w:t>
      </w:r>
      <w:r w:rsidRPr="00F84101">
        <w:rPr>
          <w:rFonts w:ascii="Times New Roman" w:hAnsi="Times New Roman" w:cs="Times New Roman"/>
          <w:sz w:val="24"/>
          <w:szCs w:val="24"/>
        </w:rPr>
        <w:t xml:space="preserve"> shall be governed by UNDP rules and regulations, which UNCDF also adopts, as defined in the Resource Management Guide within the policy context defined by the Executive Board.</w:t>
      </w:r>
    </w:p>
    <w:p w:rsidR="00C94AE2" w:rsidRDefault="00C94AE2" w:rsidP="00460BDE">
      <w:pPr>
        <w:pStyle w:val="BodyText"/>
        <w:jc w:val="both"/>
        <w:rPr>
          <w:rFonts w:ascii="Times New Roman" w:hAnsi="Times New Roman" w:cs="Times New Roman"/>
          <w:sz w:val="24"/>
          <w:szCs w:val="24"/>
        </w:rPr>
      </w:pPr>
    </w:p>
    <w:p w:rsidR="004233D8" w:rsidRDefault="003363DA" w:rsidP="00C94AE2">
      <w:pPr>
        <w:pStyle w:val="BodyTextIndent"/>
        <w:ind w:left="0" w:firstLine="0"/>
        <w:jc w:val="both"/>
        <w:rPr>
          <w:rFonts w:ascii="Times New Roman" w:hAnsi="Times New Roman" w:cs="Times New Roman"/>
          <w:b w:val="0"/>
          <w:sz w:val="24"/>
          <w:szCs w:val="24"/>
        </w:rPr>
      </w:pPr>
      <w:r>
        <w:rPr>
          <w:rFonts w:ascii="Times New Roman" w:hAnsi="Times New Roman" w:cs="Times New Roman"/>
          <w:b w:val="0"/>
          <w:sz w:val="24"/>
          <w:szCs w:val="24"/>
        </w:rPr>
        <w:t>T</w:t>
      </w:r>
      <w:r w:rsidR="00C94AE2">
        <w:rPr>
          <w:rFonts w:ascii="Times New Roman" w:hAnsi="Times New Roman" w:cs="Times New Roman"/>
          <w:b w:val="0"/>
          <w:sz w:val="24"/>
          <w:szCs w:val="24"/>
        </w:rPr>
        <w:t xml:space="preserve">he </w:t>
      </w:r>
      <w:r w:rsidR="007F584B">
        <w:rPr>
          <w:rFonts w:ascii="Times New Roman" w:hAnsi="Times New Roman" w:cs="Times New Roman"/>
          <w:b w:val="0"/>
          <w:sz w:val="24"/>
          <w:szCs w:val="24"/>
        </w:rPr>
        <w:t>MCIF</w:t>
      </w:r>
      <w:r>
        <w:rPr>
          <w:rFonts w:ascii="Times New Roman" w:hAnsi="Times New Roman" w:cs="Times New Roman"/>
          <w:b w:val="0"/>
          <w:sz w:val="24"/>
          <w:szCs w:val="24"/>
        </w:rPr>
        <w:t>, comprising donors to the Programme</w:t>
      </w:r>
      <w:r>
        <w:rPr>
          <w:rStyle w:val="FootnoteReference"/>
          <w:rFonts w:ascii="Times New Roman" w:hAnsi="Times New Roman" w:cs="Times New Roman"/>
          <w:b w:val="0"/>
          <w:sz w:val="24"/>
          <w:szCs w:val="24"/>
        </w:rPr>
        <w:footnoteReference w:id="5"/>
      </w:r>
      <w:r>
        <w:rPr>
          <w:rFonts w:ascii="Times New Roman" w:hAnsi="Times New Roman" w:cs="Times New Roman"/>
          <w:b w:val="0"/>
          <w:sz w:val="24"/>
          <w:szCs w:val="24"/>
        </w:rPr>
        <w:t>,</w:t>
      </w:r>
      <w:r w:rsidRPr="003363DA">
        <w:rPr>
          <w:rFonts w:ascii="Times New Roman" w:hAnsi="Times New Roman" w:cs="Times New Roman"/>
          <w:b w:val="0"/>
          <w:sz w:val="24"/>
          <w:szCs w:val="24"/>
        </w:rPr>
        <w:t xml:space="preserve"> </w:t>
      </w:r>
      <w:r>
        <w:rPr>
          <w:rFonts w:ascii="Times New Roman" w:hAnsi="Times New Roman" w:cs="Times New Roman"/>
          <w:b w:val="0"/>
          <w:sz w:val="24"/>
          <w:szCs w:val="24"/>
        </w:rPr>
        <w:t>oversees the</w:t>
      </w:r>
      <w:r w:rsidRPr="00C94AE2">
        <w:rPr>
          <w:rFonts w:ascii="Times New Roman" w:hAnsi="Times New Roman" w:cs="Times New Roman"/>
          <w:b w:val="0"/>
          <w:sz w:val="24"/>
          <w:szCs w:val="24"/>
        </w:rPr>
        <w:t xml:space="preserve"> </w:t>
      </w:r>
      <w:r w:rsidR="00446826">
        <w:rPr>
          <w:rFonts w:ascii="Times New Roman" w:hAnsi="Times New Roman" w:cs="Times New Roman"/>
          <w:b w:val="0"/>
          <w:sz w:val="24"/>
          <w:szCs w:val="24"/>
        </w:rPr>
        <w:t xml:space="preserve">INFUSE </w:t>
      </w:r>
      <w:r w:rsidR="007F584B">
        <w:rPr>
          <w:rFonts w:ascii="Times New Roman" w:hAnsi="Times New Roman" w:cs="Times New Roman"/>
          <w:b w:val="0"/>
          <w:sz w:val="24"/>
          <w:szCs w:val="24"/>
        </w:rPr>
        <w:t>Fund for Inclusive Finance</w:t>
      </w:r>
      <w:r w:rsidR="00E858A7">
        <w:rPr>
          <w:rFonts w:ascii="Times New Roman" w:hAnsi="Times New Roman" w:cs="Times New Roman"/>
          <w:b w:val="0"/>
          <w:sz w:val="24"/>
          <w:szCs w:val="24"/>
        </w:rPr>
        <w:t>.  The MCIF meets biannually to approve funding of specific</w:t>
      </w:r>
      <w:r w:rsidR="004D1B3C">
        <w:rPr>
          <w:rFonts w:ascii="Times New Roman" w:hAnsi="Times New Roman" w:cs="Times New Roman"/>
          <w:b w:val="0"/>
          <w:sz w:val="24"/>
          <w:szCs w:val="24"/>
        </w:rPr>
        <w:t xml:space="preserve"> activities that promote inclusive finance through </w:t>
      </w:r>
      <w:r w:rsidR="004233D8">
        <w:rPr>
          <w:rFonts w:ascii="Times New Roman" w:hAnsi="Times New Roman" w:cs="Times New Roman"/>
          <w:b w:val="0"/>
          <w:sz w:val="24"/>
          <w:szCs w:val="24"/>
        </w:rPr>
        <w:t xml:space="preserve">using a variety of funding </w:t>
      </w:r>
      <w:r w:rsidR="004D1B3C">
        <w:rPr>
          <w:rFonts w:ascii="Times New Roman" w:hAnsi="Times New Roman" w:cs="Times New Roman"/>
          <w:b w:val="0"/>
          <w:sz w:val="24"/>
          <w:szCs w:val="24"/>
        </w:rPr>
        <w:t xml:space="preserve">mechanisms </w:t>
      </w:r>
      <w:r w:rsidR="004233D8">
        <w:rPr>
          <w:rFonts w:ascii="Times New Roman" w:hAnsi="Times New Roman" w:cs="Times New Roman"/>
          <w:b w:val="0"/>
          <w:sz w:val="24"/>
          <w:szCs w:val="24"/>
        </w:rPr>
        <w:t>including</w:t>
      </w:r>
      <w:r w:rsidR="004D1B3C">
        <w:rPr>
          <w:rFonts w:ascii="Times New Roman" w:hAnsi="Times New Roman" w:cs="Times New Roman"/>
          <w:b w:val="0"/>
          <w:sz w:val="24"/>
          <w:szCs w:val="24"/>
        </w:rPr>
        <w:t xml:space="preserve"> grants, loans, and </w:t>
      </w:r>
      <w:r w:rsidR="004233D8">
        <w:rPr>
          <w:rFonts w:ascii="Times New Roman" w:hAnsi="Times New Roman" w:cs="Times New Roman"/>
          <w:b w:val="0"/>
          <w:sz w:val="24"/>
          <w:szCs w:val="24"/>
        </w:rPr>
        <w:t xml:space="preserve">direct </w:t>
      </w:r>
      <w:r w:rsidR="00E858A7">
        <w:rPr>
          <w:rFonts w:ascii="Times New Roman" w:hAnsi="Times New Roman" w:cs="Times New Roman"/>
          <w:b w:val="0"/>
          <w:sz w:val="24"/>
          <w:szCs w:val="24"/>
        </w:rPr>
        <w:t xml:space="preserve">procured </w:t>
      </w:r>
      <w:r w:rsidR="004D1B3C">
        <w:rPr>
          <w:rFonts w:ascii="Times New Roman" w:hAnsi="Times New Roman" w:cs="Times New Roman"/>
          <w:b w:val="0"/>
          <w:sz w:val="24"/>
          <w:szCs w:val="24"/>
        </w:rPr>
        <w:t xml:space="preserve">technical assistance.  </w:t>
      </w:r>
      <w:r w:rsidR="00E858A7">
        <w:rPr>
          <w:rFonts w:ascii="Times New Roman" w:hAnsi="Times New Roman" w:cs="Times New Roman"/>
          <w:b w:val="0"/>
          <w:sz w:val="24"/>
          <w:szCs w:val="24"/>
        </w:rPr>
        <w:t xml:space="preserve">This flexibility allows for the </w:t>
      </w:r>
      <w:r w:rsidR="004233D8">
        <w:rPr>
          <w:rFonts w:ascii="Times New Roman" w:hAnsi="Times New Roman" w:cs="Times New Roman"/>
          <w:b w:val="0"/>
          <w:sz w:val="24"/>
          <w:szCs w:val="24"/>
        </w:rPr>
        <w:t xml:space="preserve">PIU to accept proposals, </w:t>
      </w:r>
      <w:r w:rsidR="004233D8">
        <w:rPr>
          <w:rFonts w:ascii="Times New Roman" w:hAnsi="Times New Roman" w:cs="Times New Roman"/>
          <w:b w:val="0"/>
          <w:sz w:val="24"/>
          <w:szCs w:val="24"/>
        </w:rPr>
        <w:lastRenderedPageBreak/>
        <w:t xml:space="preserve">develop partnerships, and identify needs for targeted technical assistance.  And it engages the </w:t>
      </w:r>
      <w:r w:rsidR="00E858A7">
        <w:rPr>
          <w:rFonts w:ascii="Times New Roman" w:hAnsi="Times New Roman" w:cs="Times New Roman"/>
          <w:b w:val="0"/>
          <w:sz w:val="24"/>
          <w:szCs w:val="24"/>
        </w:rPr>
        <w:t xml:space="preserve">MCIF to </w:t>
      </w:r>
      <w:r w:rsidR="004233D8">
        <w:rPr>
          <w:rFonts w:ascii="Times New Roman" w:hAnsi="Times New Roman" w:cs="Times New Roman"/>
          <w:b w:val="0"/>
          <w:sz w:val="24"/>
          <w:szCs w:val="24"/>
        </w:rPr>
        <w:t>evaluate</w:t>
      </w:r>
      <w:r w:rsidR="00E858A7">
        <w:rPr>
          <w:rFonts w:ascii="Times New Roman" w:hAnsi="Times New Roman" w:cs="Times New Roman"/>
          <w:b w:val="0"/>
          <w:sz w:val="24"/>
          <w:szCs w:val="24"/>
        </w:rPr>
        <w:t xml:space="preserve"> and </w:t>
      </w:r>
      <w:r w:rsidR="004233D8">
        <w:rPr>
          <w:rFonts w:ascii="Times New Roman" w:hAnsi="Times New Roman" w:cs="Times New Roman"/>
          <w:b w:val="0"/>
          <w:sz w:val="24"/>
          <w:szCs w:val="24"/>
        </w:rPr>
        <w:t>provide feedback on</w:t>
      </w:r>
      <w:r w:rsidR="00E858A7">
        <w:rPr>
          <w:rFonts w:ascii="Times New Roman" w:hAnsi="Times New Roman" w:cs="Times New Roman"/>
          <w:b w:val="0"/>
          <w:sz w:val="24"/>
          <w:szCs w:val="24"/>
        </w:rPr>
        <w:t xml:space="preserve"> </w:t>
      </w:r>
      <w:r w:rsidR="00620C25">
        <w:rPr>
          <w:rFonts w:ascii="Times New Roman" w:hAnsi="Times New Roman" w:cs="Times New Roman"/>
          <w:b w:val="0"/>
          <w:sz w:val="24"/>
          <w:szCs w:val="24"/>
        </w:rPr>
        <w:t>program</w:t>
      </w:r>
      <w:r w:rsidR="00E858A7">
        <w:rPr>
          <w:rFonts w:ascii="Times New Roman" w:hAnsi="Times New Roman" w:cs="Times New Roman"/>
          <w:b w:val="0"/>
          <w:sz w:val="24"/>
          <w:szCs w:val="24"/>
        </w:rPr>
        <w:t xml:space="preserve"> activities.</w:t>
      </w:r>
    </w:p>
    <w:p w:rsidR="004233D8" w:rsidRPr="00396A41" w:rsidRDefault="004233D8" w:rsidP="00B45E96">
      <w:pPr>
        <w:pStyle w:val="Heading2"/>
      </w:pPr>
    </w:p>
    <w:p w:rsidR="006000A9" w:rsidRPr="001E30F0" w:rsidRDefault="006000A9" w:rsidP="00B45E96">
      <w:pPr>
        <w:pStyle w:val="Heading2"/>
        <w:rPr>
          <w:b/>
        </w:rPr>
      </w:pPr>
      <w:bookmarkStart w:id="32" w:name="_Toc288468709"/>
      <w:bookmarkStart w:id="33" w:name="_Toc366502972"/>
      <w:r w:rsidRPr="001E30F0">
        <w:t>Monitoring and Evaluation</w:t>
      </w:r>
      <w:bookmarkEnd w:id="32"/>
      <w:bookmarkEnd w:id="33"/>
    </w:p>
    <w:p w:rsidR="006000A9" w:rsidRPr="009E2D76" w:rsidRDefault="006000A9" w:rsidP="006000A9">
      <w:pPr>
        <w:pStyle w:val="BodyText"/>
        <w:jc w:val="both"/>
        <w:rPr>
          <w:rFonts w:ascii="Times New Roman" w:hAnsi="Times New Roman" w:cs="Times New Roman"/>
          <w:color w:val="000000"/>
          <w:sz w:val="24"/>
          <w:szCs w:val="24"/>
        </w:rPr>
      </w:pPr>
      <w:r w:rsidRPr="009E2D76">
        <w:rPr>
          <w:rFonts w:ascii="Times New Roman" w:hAnsi="Times New Roman" w:cs="Times New Roman"/>
          <w:color w:val="000000"/>
          <w:sz w:val="24"/>
          <w:szCs w:val="24"/>
        </w:rPr>
        <w:t xml:space="preserve">Monitoring </w:t>
      </w:r>
      <w:r>
        <w:rPr>
          <w:rFonts w:ascii="Times New Roman" w:hAnsi="Times New Roman" w:cs="Times New Roman"/>
          <w:color w:val="000000"/>
          <w:sz w:val="24"/>
          <w:szCs w:val="24"/>
        </w:rPr>
        <w:t xml:space="preserve">is conducted at two levels: </w:t>
      </w:r>
      <w:r w:rsidR="00620C25">
        <w:rPr>
          <w:rFonts w:ascii="Times New Roman" w:hAnsi="Times New Roman" w:cs="Times New Roman"/>
          <w:color w:val="000000"/>
          <w:sz w:val="24"/>
          <w:szCs w:val="24"/>
        </w:rPr>
        <w:t>program</w:t>
      </w:r>
      <w:r>
        <w:rPr>
          <w:rFonts w:ascii="Times New Roman" w:hAnsi="Times New Roman" w:cs="Times New Roman"/>
          <w:color w:val="000000"/>
          <w:sz w:val="24"/>
          <w:szCs w:val="24"/>
        </w:rPr>
        <w:t xml:space="preserve"> progress is monitored</w:t>
      </w:r>
      <w:r w:rsidR="00D5196F">
        <w:rPr>
          <w:rFonts w:ascii="Times New Roman" w:hAnsi="Times New Roman" w:cs="Times New Roman"/>
          <w:color w:val="000000"/>
          <w:sz w:val="24"/>
          <w:szCs w:val="24"/>
        </w:rPr>
        <w:t xml:space="preserve"> by UNCDF, UNDP and the </w:t>
      </w:r>
      <w:r w:rsidR="004D1B3C">
        <w:rPr>
          <w:rFonts w:ascii="Times New Roman" w:hAnsi="Times New Roman" w:cs="Times New Roman"/>
          <w:color w:val="000000"/>
          <w:sz w:val="24"/>
          <w:szCs w:val="24"/>
        </w:rPr>
        <w:t>MCIF</w:t>
      </w:r>
      <w:r>
        <w:rPr>
          <w:rFonts w:ascii="Times New Roman" w:hAnsi="Times New Roman" w:cs="Times New Roman"/>
          <w:color w:val="000000"/>
          <w:sz w:val="24"/>
          <w:szCs w:val="24"/>
        </w:rPr>
        <w:t xml:space="preserve">; and the PIU monitors progress of partners and activities. The following </w:t>
      </w:r>
      <w:r w:rsidR="00D5196F">
        <w:rPr>
          <w:rFonts w:ascii="Times New Roman" w:hAnsi="Times New Roman" w:cs="Times New Roman"/>
          <w:color w:val="000000"/>
          <w:sz w:val="24"/>
          <w:szCs w:val="24"/>
        </w:rPr>
        <w:t xml:space="preserve">monitoring </w:t>
      </w:r>
      <w:r>
        <w:rPr>
          <w:rFonts w:ascii="Times New Roman" w:hAnsi="Times New Roman" w:cs="Times New Roman"/>
          <w:color w:val="000000"/>
          <w:sz w:val="24"/>
          <w:szCs w:val="24"/>
        </w:rPr>
        <w:t xml:space="preserve">mechanisms are in place. </w:t>
      </w:r>
    </w:p>
    <w:p w:rsidR="006000A9" w:rsidRPr="00186572" w:rsidRDefault="006000A9" w:rsidP="00186572">
      <w:pPr>
        <w:numPr>
          <w:ilvl w:val="0"/>
          <w:numId w:val="11"/>
        </w:numPr>
        <w:tabs>
          <w:tab w:val="clear" w:pos="720"/>
          <w:tab w:val="num" w:pos="360"/>
        </w:tabs>
        <w:autoSpaceDE w:val="0"/>
        <w:autoSpaceDN w:val="0"/>
        <w:adjustRightInd w:val="0"/>
        <w:ind w:left="360"/>
        <w:jc w:val="both"/>
        <w:rPr>
          <w:lang w:eastAsia="ja-JP"/>
        </w:rPr>
      </w:pPr>
      <w:r w:rsidRPr="00186572">
        <w:rPr>
          <w:lang w:eastAsia="ja-JP"/>
        </w:rPr>
        <w:t xml:space="preserve">On a biannual basis, </w:t>
      </w:r>
      <w:r w:rsidR="00620C25" w:rsidRPr="00186572">
        <w:rPr>
          <w:lang w:eastAsia="ja-JP"/>
        </w:rPr>
        <w:t>program</w:t>
      </w:r>
      <w:r w:rsidRPr="00186572">
        <w:rPr>
          <w:lang w:eastAsia="ja-JP"/>
        </w:rPr>
        <w:t xml:space="preserve"> progress is reported against pre-determined target outputs and activities, </w:t>
      </w:r>
      <w:r w:rsidR="00507DDC" w:rsidRPr="00186572">
        <w:rPr>
          <w:lang w:eastAsia="ja-JP"/>
        </w:rPr>
        <w:t xml:space="preserve">and </w:t>
      </w:r>
      <w:r w:rsidRPr="00186572">
        <w:rPr>
          <w:lang w:eastAsia="ja-JP"/>
        </w:rPr>
        <w:t>challenges and issues are identified in t</w:t>
      </w:r>
      <w:r w:rsidR="007F584B" w:rsidRPr="00186572">
        <w:rPr>
          <w:lang w:eastAsia="ja-JP"/>
        </w:rPr>
        <w:t xml:space="preserve">hese consolidated reports. These </w:t>
      </w:r>
      <w:r w:rsidRPr="00186572">
        <w:rPr>
          <w:lang w:eastAsia="ja-JP"/>
        </w:rPr>
        <w:t>report</w:t>
      </w:r>
      <w:r w:rsidR="007F584B" w:rsidRPr="00186572">
        <w:rPr>
          <w:lang w:eastAsia="ja-JP"/>
        </w:rPr>
        <w:t>s</w:t>
      </w:r>
      <w:r w:rsidRPr="00186572">
        <w:rPr>
          <w:lang w:eastAsia="ja-JP"/>
        </w:rPr>
        <w:t xml:space="preserve">, which includes a narrative and financial component, is prepared and shared with INFUSE donors and contains information on the achievements, challenges and lessons learned during the year. </w:t>
      </w:r>
    </w:p>
    <w:p w:rsidR="006000A9" w:rsidRPr="00186572" w:rsidRDefault="006000A9" w:rsidP="00186572">
      <w:pPr>
        <w:numPr>
          <w:ilvl w:val="0"/>
          <w:numId w:val="11"/>
        </w:numPr>
        <w:tabs>
          <w:tab w:val="clear" w:pos="720"/>
          <w:tab w:val="num" w:pos="360"/>
        </w:tabs>
        <w:autoSpaceDE w:val="0"/>
        <w:autoSpaceDN w:val="0"/>
        <w:adjustRightInd w:val="0"/>
        <w:ind w:left="360"/>
        <w:jc w:val="both"/>
        <w:rPr>
          <w:lang w:eastAsia="ja-JP"/>
        </w:rPr>
      </w:pPr>
      <w:r w:rsidRPr="00186572">
        <w:rPr>
          <w:lang w:eastAsia="ja-JP"/>
        </w:rPr>
        <w:t>The MCIF</w:t>
      </w:r>
      <w:r w:rsidR="00543E8C" w:rsidRPr="00186572">
        <w:rPr>
          <w:lang w:eastAsia="ja-JP"/>
        </w:rPr>
        <w:t xml:space="preserve"> is responsible for</w:t>
      </w:r>
      <w:r w:rsidRPr="00186572">
        <w:rPr>
          <w:lang w:eastAsia="ja-JP"/>
        </w:rPr>
        <w:t xml:space="preserve"> monitor</w:t>
      </w:r>
      <w:r w:rsidR="00543E8C" w:rsidRPr="00186572">
        <w:rPr>
          <w:lang w:eastAsia="ja-JP"/>
        </w:rPr>
        <w:t>ing</w:t>
      </w:r>
      <w:r w:rsidRPr="00186572">
        <w:rPr>
          <w:lang w:eastAsia="ja-JP"/>
        </w:rPr>
        <w:t xml:space="preserve"> programme progress at bi-annual </w:t>
      </w:r>
      <w:r w:rsidR="007F584B" w:rsidRPr="00186572">
        <w:rPr>
          <w:lang w:eastAsia="ja-JP"/>
        </w:rPr>
        <w:t>meetings.  The last one</w:t>
      </w:r>
      <w:r w:rsidR="00543E8C" w:rsidRPr="00186572">
        <w:rPr>
          <w:lang w:eastAsia="ja-JP"/>
        </w:rPr>
        <w:t xml:space="preserve"> occurred </w:t>
      </w:r>
      <w:r w:rsidRPr="00186572">
        <w:rPr>
          <w:lang w:eastAsia="ja-JP"/>
        </w:rPr>
        <w:t xml:space="preserve">in </w:t>
      </w:r>
      <w:r w:rsidR="007F584B" w:rsidRPr="00186572">
        <w:rPr>
          <w:lang w:eastAsia="ja-JP"/>
        </w:rPr>
        <w:t>May 2011</w:t>
      </w:r>
      <w:r w:rsidRPr="00186572">
        <w:rPr>
          <w:lang w:eastAsia="ja-JP"/>
        </w:rPr>
        <w:t xml:space="preserve">. </w:t>
      </w:r>
    </w:p>
    <w:p w:rsidR="001054B9" w:rsidRPr="00186572" w:rsidRDefault="001054B9" w:rsidP="00186572">
      <w:pPr>
        <w:numPr>
          <w:ilvl w:val="0"/>
          <w:numId w:val="11"/>
        </w:numPr>
        <w:tabs>
          <w:tab w:val="clear" w:pos="720"/>
          <w:tab w:val="num" w:pos="360"/>
        </w:tabs>
        <w:autoSpaceDE w:val="0"/>
        <w:autoSpaceDN w:val="0"/>
        <w:adjustRightInd w:val="0"/>
        <w:ind w:left="360"/>
        <w:jc w:val="both"/>
        <w:rPr>
          <w:lang w:eastAsia="ja-JP"/>
        </w:rPr>
      </w:pPr>
      <w:r w:rsidRPr="00186572">
        <w:rPr>
          <w:lang w:eastAsia="ja-JP"/>
        </w:rPr>
        <w:t xml:space="preserve">The INFUSE PIU monitors recipients of grant funding and loan capital against specific targets, disbursement conditions and </w:t>
      </w:r>
      <w:r w:rsidRPr="00F84101">
        <w:rPr>
          <w:lang w:eastAsia="ja-JP"/>
        </w:rPr>
        <w:t xml:space="preserve">reporting requirements </w:t>
      </w:r>
      <w:r>
        <w:rPr>
          <w:lang w:eastAsia="ja-JP"/>
        </w:rPr>
        <w:t xml:space="preserve">outlined </w:t>
      </w:r>
      <w:r w:rsidRPr="00F84101">
        <w:rPr>
          <w:lang w:eastAsia="ja-JP"/>
        </w:rPr>
        <w:t xml:space="preserve">in the Performance Based Agreements (PBAs) with </w:t>
      </w:r>
      <w:r>
        <w:rPr>
          <w:lang w:eastAsia="ja-JP"/>
        </w:rPr>
        <w:t>FSPs</w:t>
      </w:r>
      <w:r w:rsidRPr="00F84101">
        <w:rPr>
          <w:lang w:eastAsia="ja-JP"/>
        </w:rPr>
        <w:t xml:space="preserve"> and </w:t>
      </w:r>
      <w:r w:rsidR="00507DDC">
        <w:rPr>
          <w:lang w:eastAsia="ja-JP"/>
        </w:rPr>
        <w:t>Technical Service Providers (</w:t>
      </w:r>
      <w:r w:rsidRPr="00F84101">
        <w:rPr>
          <w:lang w:eastAsia="ja-JP"/>
        </w:rPr>
        <w:t>TSPs</w:t>
      </w:r>
      <w:r w:rsidR="00507DDC">
        <w:rPr>
          <w:lang w:eastAsia="ja-JP"/>
        </w:rPr>
        <w:t>)</w:t>
      </w:r>
      <w:r w:rsidRPr="00F84101">
        <w:rPr>
          <w:lang w:eastAsia="ja-JP"/>
        </w:rPr>
        <w:t>.</w:t>
      </w:r>
      <w:r w:rsidRPr="006000A9">
        <w:rPr>
          <w:lang w:eastAsia="ja-JP"/>
        </w:rPr>
        <w:t xml:space="preserve"> </w:t>
      </w:r>
      <w:r>
        <w:rPr>
          <w:lang w:eastAsia="ja-JP"/>
        </w:rPr>
        <w:t xml:space="preserve"> All supported FSPs report on a quarterly basis adhering to the UNCDF standard requirements</w:t>
      </w:r>
      <w:r w:rsidR="00507DDC">
        <w:rPr>
          <w:lang w:eastAsia="ja-JP"/>
        </w:rPr>
        <w:t xml:space="preserve"> and formats </w:t>
      </w:r>
      <w:r w:rsidR="00FA2CEB">
        <w:rPr>
          <w:lang w:eastAsia="ja-JP"/>
        </w:rPr>
        <w:t>for</w:t>
      </w:r>
      <w:r w:rsidR="00507DDC">
        <w:rPr>
          <w:lang w:eastAsia="ja-JP"/>
        </w:rPr>
        <w:t xml:space="preserve"> Inclusive Finance</w:t>
      </w:r>
      <w:r>
        <w:rPr>
          <w:lang w:eastAsia="ja-JP"/>
        </w:rPr>
        <w:t>.</w:t>
      </w:r>
    </w:p>
    <w:p w:rsidR="006000A9" w:rsidRPr="00186572" w:rsidRDefault="006000A9" w:rsidP="00186572">
      <w:pPr>
        <w:numPr>
          <w:ilvl w:val="0"/>
          <w:numId w:val="11"/>
        </w:numPr>
        <w:tabs>
          <w:tab w:val="clear" w:pos="720"/>
          <w:tab w:val="num" w:pos="360"/>
        </w:tabs>
        <w:autoSpaceDE w:val="0"/>
        <w:autoSpaceDN w:val="0"/>
        <w:adjustRightInd w:val="0"/>
        <w:ind w:left="360"/>
        <w:jc w:val="both"/>
        <w:rPr>
          <w:lang w:eastAsia="ja-JP"/>
        </w:rPr>
      </w:pPr>
      <w:r w:rsidRPr="00F84101">
        <w:rPr>
          <w:lang w:eastAsia="ja-JP"/>
        </w:rPr>
        <w:t xml:space="preserve">The mid-term evaluation of INFUSE took place in August 2010. The main objectives were to: evaluate Programme performance thus far against its stated objectives and make recommendations to improve implementation going forward; and to assess Programme performance </w:t>
      </w:r>
      <w:r w:rsidRPr="00186572">
        <w:rPr>
          <w:lang w:eastAsia="ja-JP"/>
        </w:rPr>
        <w:t>against the UNCDF’s global corporate strategy objectives and draw lessons to inform UNCDF’s future strategy debates.</w:t>
      </w:r>
      <w:r w:rsidR="007F584B" w:rsidRPr="00186572">
        <w:rPr>
          <w:lang w:eastAsia="ja-JP"/>
        </w:rPr>
        <w:t xml:space="preserve">  The report was finalized in May 2011.</w:t>
      </w:r>
      <w:r w:rsidRPr="00186572">
        <w:rPr>
          <w:lang w:eastAsia="ja-JP"/>
        </w:rPr>
        <w:t xml:space="preserve"> </w:t>
      </w:r>
    </w:p>
    <w:p w:rsidR="00D95AE1" w:rsidRPr="00F84101" w:rsidRDefault="00D95AE1" w:rsidP="00460BDE">
      <w:pPr>
        <w:pStyle w:val="BodyText"/>
        <w:jc w:val="both"/>
        <w:rPr>
          <w:rFonts w:ascii="Times New Roman" w:hAnsi="Times New Roman" w:cs="Times New Roman"/>
          <w:b/>
          <w:sz w:val="24"/>
          <w:szCs w:val="24"/>
        </w:rPr>
      </w:pPr>
    </w:p>
    <w:p w:rsidR="00AB0274" w:rsidRPr="00F84101" w:rsidRDefault="007241EA" w:rsidP="00B45E96">
      <w:pPr>
        <w:pStyle w:val="Heading1"/>
        <w:numPr>
          <w:ilvl w:val="0"/>
          <w:numId w:val="29"/>
        </w:numPr>
      </w:pPr>
      <w:bookmarkStart w:id="34" w:name="_Toc249364486"/>
      <w:bookmarkStart w:id="35" w:name="_Toc288467978"/>
      <w:bookmarkStart w:id="36" w:name="_Toc288468710"/>
      <w:bookmarkStart w:id="37" w:name="_Toc366502973"/>
      <w:r>
        <w:t>R</w:t>
      </w:r>
      <w:r w:rsidR="00AB0274" w:rsidRPr="00F84101">
        <w:t>esults</w:t>
      </w:r>
      <w:bookmarkEnd w:id="34"/>
      <w:bookmarkEnd w:id="35"/>
      <w:bookmarkEnd w:id="36"/>
      <w:bookmarkEnd w:id="37"/>
      <w:r w:rsidR="00AB0274" w:rsidRPr="00F84101">
        <w:t xml:space="preserve"> </w:t>
      </w:r>
    </w:p>
    <w:p w:rsidR="006B25D4" w:rsidRPr="00F84101" w:rsidRDefault="006B25D4" w:rsidP="00AB0274">
      <w:pPr>
        <w:pStyle w:val="BodyText"/>
        <w:ind w:left="360"/>
        <w:rPr>
          <w:rFonts w:ascii="Times New Roman" w:hAnsi="Times New Roman" w:cs="Times New Roman"/>
          <w:sz w:val="24"/>
          <w:szCs w:val="24"/>
        </w:rPr>
      </w:pPr>
    </w:p>
    <w:p w:rsidR="00304CE1" w:rsidRDefault="00304CE1" w:rsidP="006B25D4">
      <w:pPr>
        <w:pBdr>
          <w:top w:val="single" w:sz="4" w:space="1" w:color="auto"/>
          <w:left w:val="single" w:sz="4" w:space="4" w:color="auto"/>
          <w:bottom w:val="single" w:sz="4" w:space="1" w:color="auto"/>
          <w:right w:val="single" w:sz="4" w:space="4" w:color="auto"/>
        </w:pBdr>
        <w:shd w:val="clear" w:color="auto" w:fill="CCCCCC"/>
        <w:jc w:val="both"/>
        <w:rPr>
          <w:b/>
          <w:bCs/>
        </w:rPr>
      </w:pPr>
    </w:p>
    <w:p w:rsidR="006B25D4" w:rsidRPr="00F84101" w:rsidRDefault="006B25D4" w:rsidP="006B25D4">
      <w:pPr>
        <w:pBdr>
          <w:top w:val="single" w:sz="4" w:space="1" w:color="auto"/>
          <w:left w:val="single" w:sz="4" w:space="4" w:color="auto"/>
          <w:bottom w:val="single" w:sz="4" w:space="1" w:color="auto"/>
          <w:right w:val="single" w:sz="4" w:space="4" w:color="auto"/>
        </w:pBdr>
        <w:shd w:val="clear" w:color="auto" w:fill="CCCCCC"/>
        <w:jc w:val="both"/>
        <w:rPr>
          <w:b/>
          <w:caps/>
          <w:lang w:eastAsia="ja-JP"/>
        </w:rPr>
      </w:pPr>
      <w:r w:rsidRPr="00F84101">
        <w:rPr>
          <w:b/>
          <w:bCs/>
        </w:rPr>
        <w:t xml:space="preserve">OUTPUT 1: </w:t>
      </w:r>
      <w:r w:rsidRPr="00F84101">
        <w:rPr>
          <w:b/>
          <w:caps/>
        </w:rPr>
        <w:t>ACHIEVING A POLICY</w:t>
      </w:r>
      <w:r w:rsidRPr="00F84101">
        <w:rPr>
          <w:b/>
          <w:caps/>
          <w:lang w:eastAsia="ja-JP"/>
        </w:rPr>
        <w:t xml:space="preserve"> </w:t>
      </w:r>
      <w:r w:rsidRPr="00F84101">
        <w:rPr>
          <w:b/>
          <w:caps/>
        </w:rPr>
        <w:t>/</w:t>
      </w:r>
      <w:r w:rsidRPr="00F84101">
        <w:rPr>
          <w:b/>
          <w:caps/>
          <w:lang w:eastAsia="ja-JP"/>
        </w:rPr>
        <w:t xml:space="preserve"> </w:t>
      </w:r>
      <w:r w:rsidRPr="00F84101">
        <w:rPr>
          <w:b/>
          <w:caps/>
        </w:rPr>
        <w:t>VISION STATEMENT</w:t>
      </w:r>
      <w:r w:rsidRPr="00F84101">
        <w:rPr>
          <w:b/>
          <w:caps/>
          <w:lang w:eastAsia="ja-JP"/>
        </w:rPr>
        <w:t xml:space="preserve"> </w:t>
      </w:r>
    </w:p>
    <w:p w:rsidR="006B25D4" w:rsidRPr="00304CE1" w:rsidRDefault="006B25D4" w:rsidP="006B25D4">
      <w:pPr>
        <w:pBdr>
          <w:top w:val="single" w:sz="4" w:space="1" w:color="auto"/>
          <w:left w:val="single" w:sz="4" w:space="4" w:color="auto"/>
          <w:bottom w:val="single" w:sz="4" w:space="1" w:color="auto"/>
          <w:right w:val="single" w:sz="4" w:space="4" w:color="auto"/>
        </w:pBdr>
        <w:shd w:val="clear" w:color="auto" w:fill="CCCCCC"/>
        <w:jc w:val="both"/>
        <w:rPr>
          <w:b/>
        </w:rPr>
      </w:pPr>
    </w:p>
    <w:p w:rsidR="006B25D4" w:rsidRPr="00F84101" w:rsidRDefault="006B25D4" w:rsidP="006B25D4">
      <w:pPr>
        <w:pStyle w:val="Default"/>
        <w:jc w:val="both"/>
        <w:rPr>
          <w:rFonts w:ascii="Times New Roman" w:hAnsi="Times New Roman" w:cs="Times New Roman"/>
          <w:b/>
          <w:bCs/>
          <w:color w:val="auto"/>
          <w:lang w:val="en-GB" w:eastAsia="ja-JP"/>
        </w:rPr>
      </w:pPr>
    </w:p>
    <w:p w:rsidR="006B25D4" w:rsidRPr="00F84101" w:rsidRDefault="006B25D4" w:rsidP="006B25D4">
      <w:pPr>
        <w:pStyle w:val="Default"/>
        <w:pBdr>
          <w:top w:val="single" w:sz="4" w:space="1" w:color="auto"/>
          <w:left w:val="single" w:sz="4" w:space="4" w:color="auto"/>
          <w:bottom w:val="single" w:sz="4" w:space="1" w:color="auto"/>
          <w:right w:val="single" w:sz="4" w:space="4" w:color="auto"/>
        </w:pBdr>
        <w:shd w:val="clear" w:color="auto" w:fill="F3F3F3"/>
        <w:jc w:val="both"/>
        <w:rPr>
          <w:rFonts w:ascii="Times New Roman" w:hAnsi="Times New Roman" w:cs="Times New Roman"/>
          <w:b/>
          <w:i/>
          <w:lang w:val="en-GB" w:eastAsia="ja-JP"/>
        </w:rPr>
      </w:pPr>
    </w:p>
    <w:p w:rsidR="006B25D4" w:rsidRPr="00F84101" w:rsidRDefault="006B25D4" w:rsidP="006B25D4">
      <w:pPr>
        <w:pStyle w:val="Default"/>
        <w:pBdr>
          <w:top w:val="single" w:sz="4" w:space="1" w:color="auto"/>
          <w:left w:val="single" w:sz="4" w:space="4" w:color="auto"/>
          <w:bottom w:val="single" w:sz="4" w:space="1" w:color="auto"/>
          <w:right w:val="single" w:sz="4" w:space="4" w:color="auto"/>
        </w:pBdr>
        <w:shd w:val="clear" w:color="auto" w:fill="F3F3F3"/>
        <w:jc w:val="both"/>
        <w:rPr>
          <w:rFonts w:ascii="Times New Roman" w:hAnsi="Times New Roman" w:cs="Times New Roman"/>
          <w:b/>
          <w:i/>
          <w:lang w:val="en-GB" w:eastAsia="ja-JP"/>
        </w:rPr>
      </w:pPr>
      <w:r w:rsidRPr="00F84101">
        <w:rPr>
          <w:rFonts w:ascii="Times New Roman" w:hAnsi="Times New Roman" w:cs="Times New Roman"/>
          <w:b/>
          <w:i/>
          <w:lang w:val="en-GB"/>
        </w:rPr>
        <w:t>A national policy/vision statement for inclusive finance is developed, consulted and adopted by GoTL, and enabling legislation is in place to support the expansion and consolidation of the financial sector. Coherent, effective and synergetic donor funding based on the national policy framework has been provided.</w:t>
      </w:r>
    </w:p>
    <w:p w:rsidR="006B25D4" w:rsidRPr="00F84101" w:rsidRDefault="006B25D4" w:rsidP="006B25D4">
      <w:pPr>
        <w:pStyle w:val="Default"/>
        <w:pBdr>
          <w:top w:val="single" w:sz="4" w:space="1" w:color="auto"/>
          <w:left w:val="single" w:sz="4" w:space="4" w:color="auto"/>
          <w:bottom w:val="single" w:sz="4" w:space="1" w:color="auto"/>
          <w:right w:val="single" w:sz="4" w:space="4" w:color="auto"/>
        </w:pBdr>
        <w:shd w:val="clear" w:color="auto" w:fill="F3F3F3"/>
        <w:jc w:val="both"/>
        <w:rPr>
          <w:rFonts w:ascii="Times New Roman" w:hAnsi="Times New Roman" w:cs="Times New Roman"/>
          <w:bCs/>
          <w:i/>
          <w:color w:val="auto"/>
          <w:lang w:val="en-GB" w:eastAsia="ja-JP"/>
        </w:rPr>
      </w:pPr>
    </w:p>
    <w:p w:rsidR="006B25D4" w:rsidRPr="00E66359" w:rsidRDefault="006B25D4" w:rsidP="006B25D4">
      <w:pPr>
        <w:pStyle w:val="Default"/>
        <w:jc w:val="both"/>
        <w:rPr>
          <w:rFonts w:ascii="Times New Roman" w:hAnsi="Times New Roman" w:cs="Times New Roman"/>
          <w:b/>
          <w:bCs/>
          <w:color w:val="auto"/>
          <w:lang w:val="en-GB" w:eastAsia="ja-JP"/>
        </w:rPr>
      </w:pPr>
    </w:p>
    <w:p w:rsidR="006B25D4" w:rsidRPr="00E546B1" w:rsidRDefault="006B25D4" w:rsidP="001C543C">
      <w:pPr>
        <w:rPr>
          <w:i/>
        </w:rPr>
      </w:pPr>
      <w:r w:rsidRPr="00E546B1">
        <w:rPr>
          <w:rFonts w:eastAsia="MS Mincho"/>
          <w:i/>
        </w:rPr>
        <w:t xml:space="preserve">The following </w:t>
      </w:r>
      <w:r w:rsidR="00C03FD2" w:rsidRPr="00E546B1">
        <w:rPr>
          <w:rFonts w:eastAsia="MS Mincho"/>
          <w:i/>
        </w:rPr>
        <w:t xml:space="preserve">key </w:t>
      </w:r>
      <w:r w:rsidR="00193774" w:rsidRPr="00E546B1">
        <w:rPr>
          <w:rFonts w:eastAsia="MS Mincho"/>
          <w:i/>
        </w:rPr>
        <w:t>activities implemented</w:t>
      </w:r>
      <w:r w:rsidRPr="00E546B1">
        <w:rPr>
          <w:rFonts w:eastAsia="MS Mincho"/>
          <w:i/>
        </w:rPr>
        <w:t xml:space="preserve"> </w:t>
      </w:r>
      <w:r w:rsidR="00B407FE" w:rsidRPr="00E546B1">
        <w:rPr>
          <w:rFonts w:eastAsia="MS Mincho"/>
          <w:i/>
        </w:rPr>
        <w:t xml:space="preserve">in support of Output 1 </w:t>
      </w:r>
      <w:r w:rsidR="001C543C" w:rsidRPr="00E546B1">
        <w:rPr>
          <w:rFonts w:eastAsia="MS Mincho"/>
          <w:i/>
        </w:rPr>
        <w:t>from January – June 2011</w:t>
      </w:r>
      <w:r w:rsidRPr="00E546B1">
        <w:rPr>
          <w:rFonts w:eastAsia="MS Mincho"/>
          <w:i/>
        </w:rPr>
        <w:t>:</w:t>
      </w:r>
    </w:p>
    <w:p w:rsidR="006B25D4" w:rsidRDefault="006B25D4" w:rsidP="006B25D4">
      <w:pPr>
        <w:jc w:val="both"/>
        <w:rPr>
          <w:lang w:eastAsia="ja-JP"/>
        </w:rPr>
      </w:pPr>
    </w:p>
    <w:p w:rsidR="00D46C5B" w:rsidRDefault="00263613" w:rsidP="00D46C5B">
      <w:pPr>
        <w:numPr>
          <w:ilvl w:val="0"/>
          <w:numId w:val="20"/>
        </w:numPr>
        <w:jc w:val="both"/>
      </w:pPr>
      <w:r>
        <w:t xml:space="preserve">INFUSE continued working </w:t>
      </w:r>
      <w:r w:rsidR="00884F34">
        <w:t>to support</w:t>
      </w:r>
      <w:r>
        <w:t xml:space="preserve"> t</w:t>
      </w:r>
      <w:r w:rsidR="001C543C">
        <w:t>he Banki</w:t>
      </w:r>
      <w:r>
        <w:t>ng</w:t>
      </w:r>
      <w:r w:rsidR="00884F34">
        <w:t xml:space="preserve"> and Payments Authority (BPA). INFUSE procured the</w:t>
      </w:r>
      <w:r w:rsidR="00B31B90">
        <w:t xml:space="preserve"> services of a consulting firm </w:t>
      </w:r>
      <w:r w:rsidR="00884F34">
        <w:t xml:space="preserve">to </w:t>
      </w:r>
      <w:r w:rsidR="00B31B90">
        <w:t>provide technical assistance to the BPA in development</w:t>
      </w:r>
      <w:r w:rsidR="00884F34">
        <w:t xml:space="preserve"> of the supervision regime for Other Deposit Taking Institutions (ODTIs.) </w:t>
      </w:r>
      <w:r w:rsidR="00B31B90" w:rsidRPr="00D46C5B">
        <w:rPr>
          <w:szCs w:val="22"/>
        </w:rPr>
        <w:t xml:space="preserve">The </w:t>
      </w:r>
      <w:r w:rsidR="00B31B90" w:rsidRPr="00D46C5B">
        <w:rPr>
          <w:i/>
          <w:szCs w:val="22"/>
        </w:rPr>
        <w:t>Public Instruction No. 06/2010 On the Licensing and Supervision of ODTIs</w:t>
      </w:r>
      <w:r w:rsidR="00B31B90" w:rsidRPr="00D46C5B">
        <w:rPr>
          <w:szCs w:val="22"/>
        </w:rPr>
        <w:t xml:space="preserve"> requires </w:t>
      </w:r>
      <w:r w:rsidR="00D46C5B">
        <w:rPr>
          <w:szCs w:val="22"/>
        </w:rPr>
        <w:t>that all existing MFIs</w:t>
      </w:r>
      <w:r w:rsidR="00B31B90" w:rsidRPr="00D46C5B">
        <w:rPr>
          <w:szCs w:val="22"/>
        </w:rPr>
        <w:t xml:space="preserve"> </w:t>
      </w:r>
      <w:r w:rsidR="00013D73">
        <w:rPr>
          <w:szCs w:val="22"/>
        </w:rPr>
        <w:t>to apply for a</w:t>
      </w:r>
      <w:r w:rsidR="00B31B90" w:rsidRPr="00D46C5B">
        <w:rPr>
          <w:szCs w:val="22"/>
        </w:rPr>
        <w:t xml:space="preserve"> license in 2011. The BPA needs to develop the instruments and staff capacity to carry out its supervision responsibilities of this new financial entity.  </w:t>
      </w:r>
    </w:p>
    <w:p w:rsidR="007F584B" w:rsidRPr="0041565D" w:rsidRDefault="007F584B" w:rsidP="007F584B">
      <w:pPr>
        <w:pStyle w:val="BodyText"/>
        <w:numPr>
          <w:ilvl w:val="0"/>
          <w:numId w:val="20"/>
        </w:numPr>
        <w:jc w:val="both"/>
        <w:rPr>
          <w:rFonts w:ascii="Times New Roman" w:hAnsi="Times New Roman" w:cs="Times New Roman"/>
          <w:sz w:val="24"/>
          <w:szCs w:val="24"/>
        </w:rPr>
      </w:pPr>
      <w:r w:rsidRPr="0041565D">
        <w:rPr>
          <w:rFonts w:ascii="Times New Roman" w:hAnsi="Times New Roman" w:cs="Times New Roman"/>
          <w:sz w:val="24"/>
          <w:szCs w:val="24"/>
          <w:lang w:eastAsia="ja-JP"/>
        </w:rPr>
        <w:lastRenderedPageBreak/>
        <w:t xml:space="preserve">INFUSE sponsored two staff members of the BPA to attend a Pacific Regional </w:t>
      </w:r>
      <w:r w:rsidRPr="0041565D">
        <w:rPr>
          <w:rFonts w:ascii="Times New Roman" w:hAnsi="Times New Roman" w:cs="Times New Roman"/>
          <w:sz w:val="24"/>
          <w:szCs w:val="24"/>
        </w:rPr>
        <w:t xml:space="preserve">Training for Supervision of MFIs organized by Alliance for Financial Inclusion (AFI) </w:t>
      </w:r>
      <w:r w:rsidRPr="0041565D">
        <w:rPr>
          <w:rFonts w:ascii="Times New Roman" w:hAnsi="Times New Roman" w:cs="Times New Roman"/>
          <w:sz w:val="24"/>
          <w:szCs w:val="24"/>
          <w:lang w:eastAsia="ja-JP"/>
        </w:rPr>
        <w:t xml:space="preserve">in April in Fiji </w:t>
      </w:r>
      <w:r w:rsidRPr="0041565D">
        <w:rPr>
          <w:rFonts w:ascii="Times New Roman" w:hAnsi="Times New Roman" w:cs="Times New Roman"/>
          <w:sz w:val="24"/>
          <w:szCs w:val="24"/>
        </w:rPr>
        <w:t>(as an initial step to more tailored training directly with the BPA).</w:t>
      </w:r>
    </w:p>
    <w:p w:rsidR="00D46C5B" w:rsidRPr="00D46C5B" w:rsidRDefault="00D46C5B" w:rsidP="00D46C5B">
      <w:pPr>
        <w:numPr>
          <w:ilvl w:val="0"/>
          <w:numId w:val="20"/>
        </w:numPr>
        <w:jc w:val="both"/>
      </w:pPr>
      <w:r>
        <w:t xml:space="preserve">INFUSE </w:t>
      </w:r>
      <w:r w:rsidR="00013D73" w:rsidRPr="00381876">
        <w:t>facilitated and managed</w:t>
      </w:r>
      <w:r w:rsidRPr="00381876">
        <w:t xml:space="preserve"> an intern</w:t>
      </w:r>
      <w:r w:rsidR="00013D73" w:rsidRPr="00381876">
        <w:t xml:space="preserve"> who provided</w:t>
      </w:r>
      <w:r w:rsidRPr="00381876">
        <w:t xml:space="preserve"> support to the BPA as it transformed into the Central Bank of Timor-Leste (BCTL), </w:t>
      </w:r>
      <w:r w:rsidR="00013D73" w:rsidRPr="00381876">
        <w:t>particularly in preparation of the BCTL’s responsibility</w:t>
      </w:r>
      <w:r w:rsidRPr="00381876">
        <w:t xml:space="preserve"> for supervision and regulation of the </w:t>
      </w:r>
      <w:r w:rsidR="00013D73" w:rsidRPr="00381876">
        <w:t>ODTIs.</w:t>
      </w:r>
      <w:r w:rsidRPr="00381876">
        <w:t xml:space="preserve"> </w:t>
      </w:r>
    </w:p>
    <w:p w:rsidR="00A05E33" w:rsidRPr="007241EA" w:rsidRDefault="00A05E33" w:rsidP="00381876">
      <w:pPr>
        <w:numPr>
          <w:ilvl w:val="0"/>
          <w:numId w:val="20"/>
        </w:numPr>
        <w:jc w:val="both"/>
      </w:pPr>
      <w:r w:rsidRPr="007241EA">
        <w:t xml:space="preserve">INFUSE </w:t>
      </w:r>
      <w:r w:rsidR="007241EA">
        <w:t xml:space="preserve">continued </w:t>
      </w:r>
      <w:r w:rsidR="000B002C">
        <w:t>its involvement</w:t>
      </w:r>
      <w:r w:rsidRPr="007241EA">
        <w:t xml:space="preserve"> in the</w:t>
      </w:r>
      <w:r w:rsidR="000B002C">
        <w:t xml:space="preserve"> </w:t>
      </w:r>
      <w:r w:rsidR="000A37CA">
        <w:t>GoTL</w:t>
      </w:r>
      <w:r w:rsidRPr="007241EA">
        <w:t xml:space="preserve"> Nation</w:t>
      </w:r>
      <w:r w:rsidR="007241EA" w:rsidRPr="007241EA">
        <w:t xml:space="preserve">al Priority Working Group (NPWG) </w:t>
      </w:r>
      <w:r w:rsidR="000B002C">
        <w:t>to promote the importance of targeting financial inclusion</w:t>
      </w:r>
      <w:r w:rsidR="007241EA">
        <w:t>.  INFUSE participated in the NPWG</w:t>
      </w:r>
      <w:r w:rsidR="007241EA" w:rsidRPr="007241EA">
        <w:t xml:space="preserve"> meeting on </w:t>
      </w:r>
      <w:r w:rsidR="000B002C">
        <w:t>6 June, 2011. INFUSE contributed</w:t>
      </w:r>
      <w:r w:rsidR="007241EA" w:rsidRPr="007241EA">
        <w:t xml:space="preserve"> to the NPWG by reporting on</w:t>
      </w:r>
      <w:r w:rsidRPr="007241EA">
        <w:t xml:space="preserve"> </w:t>
      </w:r>
      <w:r w:rsidR="007241EA" w:rsidRPr="007241EA">
        <w:t>achievement towards goals for access to financial services</w:t>
      </w:r>
      <w:r w:rsidR="000B002C">
        <w:t xml:space="preserve"> quarterly</w:t>
      </w:r>
      <w:r w:rsidRPr="007241EA">
        <w:t>.</w:t>
      </w:r>
    </w:p>
    <w:p w:rsidR="001E30F0" w:rsidRPr="00F84101" w:rsidRDefault="001E30F0" w:rsidP="006B25D4">
      <w:pPr>
        <w:pStyle w:val="Default"/>
        <w:jc w:val="both"/>
        <w:rPr>
          <w:rFonts w:ascii="Times New Roman" w:hAnsi="Times New Roman" w:cs="Times New Roman"/>
          <w:lang w:val="en-GB" w:eastAsia="ja-JP"/>
        </w:rPr>
      </w:pPr>
    </w:p>
    <w:p w:rsidR="006B25D4" w:rsidRPr="00F84101" w:rsidRDefault="006B25D4" w:rsidP="006B25D4">
      <w:pPr>
        <w:pBdr>
          <w:top w:val="single" w:sz="4" w:space="2" w:color="auto"/>
          <w:left w:val="single" w:sz="4" w:space="4" w:color="auto"/>
          <w:bottom w:val="single" w:sz="4" w:space="1" w:color="auto"/>
          <w:right w:val="single" w:sz="4" w:space="4" w:color="auto"/>
        </w:pBdr>
        <w:shd w:val="clear" w:color="auto" w:fill="CCCCCC"/>
        <w:jc w:val="both"/>
        <w:rPr>
          <w:lang w:eastAsia="ja-JP"/>
        </w:rPr>
      </w:pPr>
    </w:p>
    <w:p w:rsidR="006B25D4" w:rsidRPr="00F84101" w:rsidRDefault="006B25D4" w:rsidP="006B25D4">
      <w:pPr>
        <w:pBdr>
          <w:top w:val="single" w:sz="4" w:space="2" w:color="auto"/>
          <w:left w:val="single" w:sz="4" w:space="4" w:color="auto"/>
          <w:bottom w:val="single" w:sz="4" w:space="1" w:color="auto"/>
          <w:right w:val="single" w:sz="4" w:space="4" w:color="auto"/>
        </w:pBdr>
        <w:shd w:val="clear" w:color="auto" w:fill="CCCCCC"/>
        <w:jc w:val="both"/>
        <w:rPr>
          <w:b/>
          <w:lang w:eastAsia="ja-JP"/>
        </w:rPr>
      </w:pPr>
      <w:r w:rsidRPr="00F84101">
        <w:rPr>
          <w:b/>
          <w:lang w:eastAsia="ja-JP"/>
        </w:rPr>
        <w:t>OUTPUT 2: INCREASED OUTREACH OF SUSTAINABLE FINANCIAL SERVICES</w:t>
      </w:r>
    </w:p>
    <w:p w:rsidR="006B25D4" w:rsidRPr="00F84101" w:rsidRDefault="006B25D4" w:rsidP="006B25D4">
      <w:pPr>
        <w:pBdr>
          <w:top w:val="single" w:sz="4" w:space="2" w:color="auto"/>
          <w:left w:val="single" w:sz="4" w:space="4" w:color="auto"/>
          <w:bottom w:val="single" w:sz="4" w:space="1" w:color="auto"/>
          <w:right w:val="single" w:sz="4" w:space="4" w:color="auto"/>
        </w:pBdr>
        <w:shd w:val="clear" w:color="auto" w:fill="CCCCCC"/>
        <w:jc w:val="both"/>
        <w:rPr>
          <w:b/>
          <w:lang w:eastAsia="ja-JP"/>
        </w:rPr>
      </w:pPr>
    </w:p>
    <w:p w:rsidR="006B25D4" w:rsidRPr="00F84101" w:rsidRDefault="006B25D4" w:rsidP="006B25D4">
      <w:pPr>
        <w:pStyle w:val="Default"/>
        <w:jc w:val="both"/>
        <w:rPr>
          <w:rFonts w:ascii="Times New Roman" w:hAnsi="Times New Roman" w:cs="Times New Roman"/>
          <w:b/>
          <w:lang w:val="en-GB" w:eastAsia="ja-JP"/>
        </w:rPr>
      </w:pPr>
    </w:p>
    <w:p w:rsidR="006B25D4" w:rsidRPr="00F84101" w:rsidRDefault="006B25D4" w:rsidP="006B25D4">
      <w:pPr>
        <w:pBdr>
          <w:top w:val="single" w:sz="4" w:space="1" w:color="auto"/>
          <w:left w:val="single" w:sz="4" w:space="4" w:color="auto"/>
          <w:bottom w:val="single" w:sz="4" w:space="1" w:color="auto"/>
          <w:right w:val="single" w:sz="4" w:space="4" w:color="auto"/>
        </w:pBdr>
        <w:shd w:val="clear" w:color="auto" w:fill="F3F3F3"/>
        <w:jc w:val="both"/>
        <w:rPr>
          <w:b/>
          <w:i/>
          <w:lang w:eastAsia="ja-JP"/>
        </w:rPr>
      </w:pPr>
    </w:p>
    <w:p w:rsidR="006B25D4" w:rsidRPr="00F84101" w:rsidRDefault="006B25D4" w:rsidP="006B25D4">
      <w:pPr>
        <w:pBdr>
          <w:top w:val="single" w:sz="4" w:space="1" w:color="auto"/>
          <w:left w:val="single" w:sz="4" w:space="4" w:color="auto"/>
          <w:bottom w:val="single" w:sz="4" w:space="1" w:color="auto"/>
          <w:right w:val="single" w:sz="4" w:space="4" w:color="auto"/>
        </w:pBdr>
        <w:shd w:val="clear" w:color="auto" w:fill="F3F3F3"/>
        <w:jc w:val="both"/>
        <w:rPr>
          <w:b/>
          <w:i/>
          <w:lang w:eastAsia="ja-JP"/>
        </w:rPr>
      </w:pPr>
      <w:r w:rsidRPr="00F84101">
        <w:rPr>
          <w:b/>
          <w:i/>
        </w:rPr>
        <w:t xml:space="preserve">Good practice-based Financial Services Providers (FSPs) serving primarily the poor and low-income market make progress towards sustainability and increase their outreach, while maintaining a high portfolio quality. </w:t>
      </w:r>
    </w:p>
    <w:p w:rsidR="006B25D4" w:rsidRPr="00F84101" w:rsidRDefault="006B25D4" w:rsidP="006B25D4">
      <w:pPr>
        <w:pBdr>
          <w:top w:val="single" w:sz="4" w:space="1" w:color="auto"/>
          <w:left w:val="single" w:sz="4" w:space="4" w:color="auto"/>
          <w:bottom w:val="single" w:sz="4" w:space="1" w:color="auto"/>
          <w:right w:val="single" w:sz="4" w:space="4" w:color="auto"/>
        </w:pBdr>
        <w:shd w:val="clear" w:color="auto" w:fill="F3F3F3"/>
        <w:jc w:val="both"/>
        <w:rPr>
          <w:b/>
          <w:i/>
          <w:lang w:eastAsia="ja-JP"/>
        </w:rPr>
      </w:pPr>
    </w:p>
    <w:p w:rsidR="006B25D4" w:rsidRPr="00F84101" w:rsidRDefault="006B25D4" w:rsidP="006B25D4">
      <w:pPr>
        <w:pStyle w:val="Default"/>
        <w:jc w:val="both"/>
        <w:rPr>
          <w:rFonts w:ascii="Times New Roman" w:hAnsi="Times New Roman" w:cs="Times New Roman"/>
          <w:i/>
          <w:u w:val="single"/>
          <w:lang w:val="en-GB" w:eastAsia="ja-JP"/>
        </w:rPr>
      </w:pPr>
    </w:p>
    <w:p w:rsidR="009F6088" w:rsidRPr="000A37CA" w:rsidRDefault="00B407FE" w:rsidP="000A37CA">
      <w:pPr>
        <w:rPr>
          <w:b/>
          <w:bCs/>
          <w:i/>
          <w:iCs/>
        </w:rPr>
      </w:pPr>
      <w:r w:rsidRPr="00E546B1">
        <w:rPr>
          <w:rFonts w:eastAsia="MS Mincho"/>
          <w:i/>
        </w:rPr>
        <w:t xml:space="preserve">The following key activities implemented in support of </w:t>
      </w:r>
      <w:r w:rsidR="00E546B1">
        <w:rPr>
          <w:rFonts w:eastAsia="MS Mincho"/>
          <w:i/>
        </w:rPr>
        <w:t>Output 2 from January – June 2011</w:t>
      </w:r>
      <w:r w:rsidRPr="00E546B1">
        <w:rPr>
          <w:rFonts w:eastAsia="MS Mincho"/>
          <w:i/>
        </w:rPr>
        <w:t>:</w:t>
      </w:r>
      <w:r w:rsidR="000A37CA">
        <w:rPr>
          <w:rFonts w:eastAsia="MS Mincho"/>
          <w:i/>
        </w:rPr>
        <w:br/>
      </w:r>
    </w:p>
    <w:p w:rsidR="001A551E" w:rsidRDefault="000A37CA" w:rsidP="00B65371">
      <w:pPr>
        <w:numPr>
          <w:ilvl w:val="0"/>
          <w:numId w:val="11"/>
        </w:numPr>
        <w:tabs>
          <w:tab w:val="clear" w:pos="720"/>
          <w:tab w:val="num" w:pos="360"/>
        </w:tabs>
        <w:autoSpaceDE w:val="0"/>
        <w:autoSpaceDN w:val="0"/>
        <w:adjustRightInd w:val="0"/>
        <w:ind w:left="360"/>
        <w:jc w:val="both"/>
        <w:rPr>
          <w:lang w:eastAsia="ja-JP"/>
        </w:rPr>
      </w:pPr>
      <w:r>
        <w:rPr>
          <w:lang w:eastAsia="ja-JP"/>
        </w:rPr>
        <w:t>At</w:t>
      </w:r>
      <w:r w:rsidR="006B25D4" w:rsidRPr="00F84101">
        <w:rPr>
          <w:lang w:eastAsia="ja-JP"/>
        </w:rPr>
        <w:t xml:space="preserve"> the </w:t>
      </w:r>
      <w:r>
        <w:rPr>
          <w:lang w:eastAsia="ja-JP"/>
        </w:rPr>
        <w:t xml:space="preserve">May </w:t>
      </w:r>
      <w:r w:rsidR="006B25D4" w:rsidRPr="00F84101">
        <w:rPr>
          <w:lang w:eastAsia="ja-JP"/>
        </w:rPr>
        <w:t xml:space="preserve">MCIF </w:t>
      </w:r>
      <w:r>
        <w:rPr>
          <w:lang w:eastAsia="ja-JP"/>
        </w:rPr>
        <w:t>meeting</w:t>
      </w:r>
      <w:r w:rsidR="00FD5324" w:rsidRPr="00F84101">
        <w:rPr>
          <w:lang w:eastAsia="ja-JP"/>
        </w:rPr>
        <w:t xml:space="preserve">, </w:t>
      </w:r>
      <w:r w:rsidR="00E546B1">
        <w:rPr>
          <w:lang w:eastAsia="ja-JP"/>
        </w:rPr>
        <w:t>the detailed 2011</w:t>
      </w:r>
      <w:r w:rsidR="006B25D4" w:rsidRPr="00F84101">
        <w:rPr>
          <w:lang w:eastAsia="ja-JP"/>
        </w:rPr>
        <w:t xml:space="preserve"> annual work plan</w:t>
      </w:r>
      <w:r>
        <w:rPr>
          <w:lang w:eastAsia="ja-JP"/>
        </w:rPr>
        <w:t xml:space="preserve"> was approved, which included</w:t>
      </w:r>
      <w:r w:rsidR="006B25D4" w:rsidRPr="00F84101">
        <w:rPr>
          <w:lang w:eastAsia="ja-JP"/>
        </w:rPr>
        <w:t xml:space="preserve"> several funding investments for FSPs</w:t>
      </w:r>
      <w:r w:rsidR="00FD5324" w:rsidRPr="00F84101">
        <w:rPr>
          <w:lang w:eastAsia="ja-JP"/>
        </w:rPr>
        <w:t xml:space="preserve"> and TSPs</w:t>
      </w:r>
      <w:r w:rsidR="006B25D4" w:rsidRPr="00F84101">
        <w:rPr>
          <w:lang w:eastAsia="ja-JP"/>
        </w:rPr>
        <w:t xml:space="preserve">. </w:t>
      </w:r>
      <w:r w:rsidR="00C358C9">
        <w:rPr>
          <w:lang w:eastAsia="ja-JP"/>
        </w:rPr>
        <w:t xml:space="preserve"> </w:t>
      </w:r>
      <w:r w:rsidR="006B25D4" w:rsidRPr="00F84101">
        <w:rPr>
          <w:lang w:eastAsia="ja-JP"/>
        </w:rPr>
        <w:t>Details of these i</w:t>
      </w:r>
      <w:r w:rsidR="002E1687">
        <w:rPr>
          <w:lang w:eastAsia="ja-JP"/>
        </w:rPr>
        <w:t xml:space="preserve">nvestments are described below. </w:t>
      </w:r>
    </w:p>
    <w:p w:rsidR="00AF08FB" w:rsidRDefault="00F55310" w:rsidP="00B65371">
      <w:pPr>
        <w:numPr>
          <w:ilvl w:val="0"/>
          <w:numId w:val="11"/>
        </w:numPr>
        <w:tabs>
          <w:tab w:val="clear" w:pos="720"/>
          <w:tab w:val="num" w:pos="360"/>
        </w:tabs>
        <w:autoSpaceDE w:val="0"/>
        <w:autoSpaceDN w:val="0"/>
        <w:adjustRightInd w:val="0"/>
        <w:ind w:left="360"/>
        <w:jc w:val="both"/>
        <w:rPr>
          <w:lang w:eastAsia="ja-JP"/>
        </w:rPr>
      </w:pPr>
      <w:r>
        <w:rPr>
          <w:lang w:eastAsia="ja-JP"/>
        </w:rPr>
        <w:t xml:space="preserve">Tuba </w:t>
      </w:r>
      <w:proofErr w:type="spellStart"/>
      <w:r>
        <w:rPr>
          <w:lang w:eastAsia="ja-JP"/>
        </w:rPr>
        <w:t>Rai</w:t>
      </w:r>
      <w:proofErr w:type="spellEnd"/>
      <w:r>
        <w:rPr>
          <w:lang w:eastAsia="ja-JP"/>
        </w:rPr>
        <w:t xml:space="preserve"> </w:t>
      </w:r>
      <w:proofErr w:type="spellStart"/>
      <w:r>
        <w:rPr>
          <w:lang w:eastAsia="ja-JP"/>
        </w:rPr>
        <w:t>Metin</w:t>
      </w:r>
      <w:proofErr w:type="spellEnd"/>
      <w:r>
        <w:rPr>
          <w:lang w:eastAsia="ja-JP"/>
        </w:rPr>
        <w:t xml:space="preserve"> (TRM)</w:t>
      </w:r>
      <w:r w:rsidR="00E546B1">
        <w:rPr>
          <w:lang w:eastAsia="ja-JP"/>
        </w:rPr>
        <w:t xml:space="preserve">:  INFUSE </w:t>
      </w:r>
      <w:r w:rsidR="00AF08FB">
        <w:rPr>
          <w:lang w:eastAsia="ja-JP"/>
        </w:rPr>
        <w:t>provided</w:t>
      </w:r>
      <w:r w:rsidR="001A551E">
        <w:rPr>
          <w:lang w:eastAsia="ja-JP"/>
        </w:rPr>
        <w:t xml:space="preserve"> </w:t>
      </w:r>
      <w:r w:rsidR="00AF08FB">
        <w:rPr>
          <w:lang w:eastAsia="ja-JP"/>
        </w:rPr>
        <w:t xml:space="preserve">a </w:t>
      </w:r>
      <w:r w:rsidR="001A551E" w:rsidRPr="001A551E">
        <w:rPr>
          <w:lang w:eastAsia="ja-JP"/>
        </w:rPr>
        <w:t>US$ 300,000</w:t>
      </w:r>
      <w:r w:rsidR="001A551E">
        <w:rPr>
          <w:lang w:eastAsia="ja-JP"/>
        </w:rPr>
        <w:t xml:space="preserve"> </w:t>
      </w:r>
      <w:r w:rsidR="00AF08FB">
        <w:rPr>
          <w:lang w:eastAsia="ja-JP"/>
        </w:rPr>
        <w:t xml:space="preserve">loan guarantee for TRM at </w:t>
      </w:r>
      <w:r w:rsidR="001A551E">
        <w:rPr>
          <w:lang w:eastAsia="ja-JP"/>
        </w:rPr>
        <w:t xml:space="preserve">ANZ </w:t>
      </w:r>
      <w:r w:rsidR="00AF08FB">
        <w:rPr>
          <w:lang w:eastAsia="ja-JP"/>
        </w:rPr>
        <w:t>bank</w:t>
      </w:r>
      <w:r w:rsidR="001A551E" w:rsidRPr="001A551E">
        <w:rPr>
          <w:lang w:eastAsia="ja-JP"/>
        </w:rPr>
        <w:t>.</w:t>
      </w:r>
      <w:r w:rsidR="001A551E">
        <w:rPr>
          <w:lang w:eastAsia="ja-JP"/>
        </w:rPr>
        <w:t xml:space="preserve"> TRM had requested short-term support for loan capital to expand operations. A guarantee fund was </w:t>
      </w:r>
      <w:r w:rsidR="001A551E" w:rsidRPr="001A551E">
        <w:rPr>
          <w:lang w:eastAsia="ja-JP"/>
        </w:rPr>
        <w:t xml:space="preserve">preferred over a direct loan </w:t>
      </w:r>
      <w:r w:rsidR="001A551E">
        <w:rPr>
          <w:lang w:eastAsia="ja-JP"/>
        </w:rPr>
        <w:t>as it can help</w:t>
      </w:r>
      <w:r w:rsidR="001A551E" w:rsidRPr="001A551E">
        <w:rPr>
          <w:lang w:eastAsia="ja-JP"/>
        </w:rPr>
        <w:t xml:space="preserve"> establish a relationship between TRM and ANZ,</w:t>
      </w:r>
      <w:r w:rsidR="001A551E">
        <w:rPr>
          <w:lang w:eastAsia="ja-JP"/>
        </w:rPr>
        <w:t xml:space="preserve"> p</w:t>
      </w:r>
      <w:r w:rsidR="001A551E" w:rsidRPr="001A551E">
        <w:rPr>
          <w:lang w:eastAsia="ja-JP"/>
        </w:rPr>
        <w:t>ossibly resulting in an opportunity for TRM to secure future re-financing.</w:t>
      </w:r>
      <w:r w:rsidR="001A551E">
        <w:rPr>
          <w:lang w:eastAsia="ja-JP"/>
        </w:rPr>
        <w:t xml:space="preserve">  The grant will be returned to INFUSE in </w:t>
      </w:r>
      <w:r w:rsidR="000A37CA">
        <w:rPr>
          <w:lang w:eastAsia="ja-JP"/>
        </w:rPr>
        <w:t>January</w:t>
      </w:r>
      <w:r w:rsidR="001A551E">
        <w:rPr>
          <w:lang w:eastAsia="ja-JP"/>
        </w:rPr>
        <w:t xml:space="preserve"> 2011.</w:t>
      </w:r>
    </w:p>
    <w:p w:rsidR="00FA1B46" w:rsidRDefault="00AF08FB" w:rsidP="00B65371">
      <w:pPr>
        <w:numPr>
          <w:ilvl w:val="0"/>
          <w:numId w:val="11"/>
        </w:numPr>
        <w:tabs>
          <w:tab w:val="clear" w:pos="720"/>
          <w:tab w:val="num" w:pos="360"/>
        </w:tabs>
        <w:autoSpaceDE w:val="0"/>
        <w:autoSpaceDN w:val="0"/>
        <w:adjustRightInd w:val="0"/>
        <w:ind w:left="360"/>
        <w:jc w:val="both"/>
        <w:rPr>
          <w:lang w:eastAsia="ja-JP"/>
        </w:rPr>
      </w:pPr>
      <w:r>
        <w:rPr>
          <w:lang w:eastAsia="ja-JP"/>
        </w:rPr>
        <w:t>Moris Rasik (MR): INFUSE made a grant</w:t>
      </w:r>
      <w:r w:rsidRPr="00AF08FB">
        <w:rPr>
          <w:rFonts w:ascii="Garamond" w:hAnsi="Garamond" w:cs="Garamond"/>
          <w:sz w:val="22"/>
          <w:szCs w:val="22"/>
        </w:rPr>
        <w:t xml:space="preserve"> </w:t>
      </w:r>
      <w:r w:rsidR="00FE59C8">
        <w:rPr>
          <w:lang w:eastAsia="ja-JP"/>
        </w:rPr>
        <w:t>of US$ 84,00</w:t>
      </w:r>
      <w:r w:rsidRPr="00AF08FB">
        <w:rPr>
          <w:lang w:eastAsia="ja-JP"/>
        </w:rPr>
        <w:t xml:space="preserve"> for short-term transformation support</w:t>
      </w:r>
      <w:r w:rsidR="00E43661">
        <w:rPr>
          <w:lang w:eastAsia="ja-JP"/>
        </w:rPr>
        <w:t xml:space="preserve"> to help MR meet</w:t>
      </w:r>
      <w:r>
        <w:rPr>
          <w:lang w:eastAsia="ja-JP"/>
        </w:rPr>
        <w:t xml:space="preserve"> </w:t>
      </w:r>
      <w:r w:rsidRPr="00AF08FB">
        <w:rPr>
          <w:lang w:eastAsia="ja-JP"/>
        </w:rPr>
        <w:t xml:space="preserve">the deadline issued by the BPA for application for an </w:t>
      </w:r>
      <w:r>
        <w:rPr>
          <w:lang w:eastAsia="ja-JP"/>
        </w:rPr>
        <w:t xml:space="preserve">OTDI license.  MR required the urgent legal and </w:t>
      </w:r>
      <w:r w:rsidRPr="00AF08FB">
        <w:rPr>
          <w:lang w:eastAsia="ja-JP"/>
        </w:rPr>
        <w:t>transformation support necessary to comply with the deadline.</w:t>
      </w:r>
    </w:p>
    <w:p w:rsidR="00FA1B46" w:rsidRPr="00F84101" w:rsidRDefault="00FA1B46" w:rsidP="00B65371">
      <w:pPr>
        <w:numPr>
          <w:ilvl w:val="0"/>
          <w:numId w:val="11"/>
        </w:numPr>
        <w:tabs>
          <w:tab w:val="clear" w:pos="720"/>
          <w:tab w:val="num" w:pos="360"/>
        </w:tabs>
        <w:autoSpaceDE w:val="0"/>
        <w:autoSpaceDN w:val="0"/>
        <w:adjustRightInd w:val="0"/>
        <w:ind w:left="360"/>
        <w:jc w:val="both"/>
        <w:rPr>
          <w:lang w:eastAsia="ja-JP"/>
        </w:rPr>
      </w:pPr>
      <w:r w:rsidRPr="00F84101">
        <w:rPr>
          <w:lang w:eastAsia="ja-JP"/>
        </w:rPr>
        <w:t xml:space="preserve">INFUSE continues to coordinate and monitor the </w:t>
      </w:r>
      <w:proofErr w:type="spellStart"/>
      <w:r w:rsidRPr="00F84101">
        <w:rPr>
          <w:lang w:eastAsia="ja-JP"/>
        </w:rPr>
        <w:t>MicroLead</w:t>
      </w:r>
      <w:proofErr w:type="spellEnd"/>
      <w:r w:rsidRPr="00F84101">
        <w:rPr>
          <w:lang w:eastAsia="ja-JP"/>
        </w:rPr>
        <w:t xml:space="preserve"> P</w:t>
      </w:r>
      <w:r w:rsidR="00E207B6">
        <w:rPr>
          <w:lang w:eastAsia="ja-JP"/>
        </w:rPr>
        <w:t>rogram partnership between BASIX</w:t>
      </w:r>
      <w:r w:rsidRPr="00F84101">
        <w:rPr>
          <w:lang w:eastAsia="ja-JP"/>
        </w:rPr>
        <w:t xml:space="preserve">, the </w:t>
      </w:r>
      <w:r>
        <w:rPr>
          <w:lang w:eastAsia="ja-JP"/>
        </w:rPr>
        <w:t>TSP</w:t>
      </w:r>
      <w:r w:rsidRPr="00F84101">
        <w:rPr>
          <w:lang w:eastAsia="ja-JP"/>
        </w:rPr>
        <w:t xml:space="preserve">, and </w:t>
      </w:r>
      <w:r>
        <w:rPr>
          <w:lang w:eastAsia="ja-JP"/>
        </w:rPr>
        <w:t>TRM</w:t>
      </w:r>
      <w:r w:rsidRPr="00F84101">
        <w:rPr>
          <w:lang w:eastAsia="ja-JP"/>
        </w:rPr>
        <w:t xml:space="preserve">, meeting at minimum every two months to review the progress as per the 4.5 year detailed implementation plan.   </w:t>
      </w:r>
    </w:p>
    <w:p w:rsidR="00803EA6" w:rsidRDefault="00FA1B46" w:rsidP="00B65371">
      <w:pPr>
        <w:numPr>
          <w:ilvl w:val="0"/>
          <w:numId w:val="11"/>
        </w:numPr>
        <w:tabs>
          <w:tab w:val="clear" w:pos="720"/>
          <w:tab w:val="num" w:pos="360"/>
        </w:tabs>
        <w:autoSpaceDE w:val="0"/>
        <w:autoSpaceDN w:val="0"/>
        <w:adjustRightInd w:val="0"/>
        <w:ind w:left="360"/>
        <w:jc w:val="both"/>
        <w:rPr>
          <w:lang w:eastAsia="ja-JP"/>
        </w:rPr>
      </w:pPr>
      <w:r>
        <w:rPr>
          <w:lang w:eastAsia="ja-JP"/>
        </w:rPr>
        <w:t xml:space="preserve">INFUSE continues to coordinate and monitor the </w:t>
      </w:r>
      <w:r w:rsidR="000A37CA">
        <w:rPr>
          <w:lang w:eastAsia="ja-JP"/>
        </w:rPr>
        <w:t>World Education Australia Limited (</w:t>
      </w:r>
      <w:r>
        <w:rPr>
          <w:lang w:eastAsia="ja-JP"/>
        </w:rPr>
        <w:t>WEAL</w:t>
      </w:r>
      <w:r w:rsidR="000A37CA">
        <w:rPr>
          <w:lang w:eastAsia="ja-JP"/>
        </w:rPr>
        <w:t>)</w:t>
      </w:r>
      <w:r>
        <w:rPr>
          <w:lang w:eastAsia="ja-JP"/>
        </w:rPr>
        <w:t xml:space="preserve">/MR grant for </w:t>
      </w:r>
      <w:r w:rsidR="006B25D4" w:rsidRPr="00F84101">
        <w:rPr>
          <w:lang w:eastAsia="ja-JP"/>
        </w:rPr>
        <w:t>institutional capacity building</w:t>
      </w:r>
      <w:r>
        <w:rPr>
          <w:lang w:eastAsia="ja-JP"/>
        </w:rPr>
        <w:t>, meeting at a minimum every two months to review the progress as per the 2 year detailed implementation plan.</w:t>
      </w:r>
    </w:p>
    <w:p w:rsidR="0072444D" w:rsidRDefault="00AA5880" w:rsidP="00B65371">
      <w:pPr>
        <w:numPr>
          <w:ilvl w:val="0"/>
          <w:numId w:val="11"/>
        </w:numPr>
        <w:tabs>
          <w:tab w:val="clear" w:pos="720"/>
          <w:tab w:val="num" w:pos="360"/>
        </w:tabs>
        <w:autoSpaceDE w:val="0"/>
        <w:autoSpaceDN w:val="0"/>
        <w:adjustRightInd w:val="0"/>
        <w:ind w:left="360"/>
        <w:jc w:val="both"/>
        <w:rPr>
          <w:lang w:eastAsia="ja-JP"/>
        </w:rPr>
      </w:pPr>
      <w:r>
        <w:rPr>
          <w:lang w:eastAsia="ja-JP"/>
        </w:rPr>
        <w:t xml:space="preserve">In its continued attempt to support the credit union movement, </w:t>
      </w:r>
      <w:r w:rsidR="00803EA6">
        <w:rPr>
          <w:lang w:eastAsia="ja-JP"/>
        </w:rPr>
        <w:t>INFUSE</w:t>
      </w:r>
      <w:r>
        <w:rPr>
          <w:lang w:eastAsia="ja-JP"/>
        </w:rPr>
        <w:t xml:space="preserve"> participated in the </w:t>
      </w:r>
      <w:proofErr w:type="spellStart"/>
      <w:r>
        <w:rPr>
          <w:lang w:eastAsia="ja-JP"/>
        </w:rPr>
        <w:t>Fedration</w:t>
      </w:r>
      <w:proofErr w:type="spellEnd"/>
      <w:r>
        <w:rPr>
          <w:lang w:eastAsia="ja-JP"/>
        </w:rPr>
        <w:t xml:space="preserve"> </w:t>
      </w:r>
      <w:proofErr w:type="spellStart"/>
      <w:r>
        <w:rPr>
          <w:lang w:eastAsia="ja-JP"/>
        </w:rPr>
        <w:t>Hana’i</w:t>
      </w:r>
      <w:proofErr w:type="spellEnd"/>
      <w:r>
        <w:rPr>
          <w:lang w:eastAsia="ja-JP"/>
        </w:rPr>
        <w:t xml:space="preserve"> </w:t>
      </w:r>
      <w:proofErr w:type="spellStart"/>
      <w:r>
        <w:rPr>
          <w:lang w:eastAsia="ja-JP"/>
        </w:rPr>
        <w:t>Malu</w:t>
      </w:r>
      <w:proofErr w:type="spellEnd"/>
      <w:r>
        <w:rPr>
          <w:lang w:eastAsia="ja-JP"/>
        </w:rPr>
        <w:t xml:space="preserve"> (FHM) workshop in January 2011.</w:t>
      </w:r>
      <w:r w:rsidR="0072444D">
        <w:rPr>
          <w:lang w:eastAsia="ja-JP"/>
        </w:rPr>
        <w:t xml:space="preserve"> The FHM was recently reformed in November 2010 with support from the Credit Union Foundation Australia (CUFA). At the meeting, the FHM developed a work plan for 2011 – 2014 to support the credit union movement and develop institutionally.</w:t>
      </w:r>
    </w:p>
    <w:p w:rsidR="00AC28A8" w:rsidRDefault="0072444D" w:rsidP="00B65371">
      <w:pPr>
        <w:numPr>
          <w:ilvl w:val="0"/>
          <w:numId w:val="11"/>
        </w:numPr>
        <w:tabs>
          <w:tab w:val="clear" w:pos="720"/>
          <w:tab w:val="num" w:pos="360"/>
        </w:tabs>
        <w:autoSpaceDE w:val="0"/>
        <w:autoSpaceDN w:val="0"/>
        <w:adjustRightInd w:val="0"/>
        <w:ind w:left="360"/>
        <w:jc w:val="both"/>
        <w:rPr>
          <w:lang w:eastAsia="ja-JP"/>
        </w:rPr>
      </w:pPr>
      <w:r>
        <w:rPr>
          <w:lang w:eastAsia="ja-JP"/>
        </w:rPr>
        <w:lastRenderedPageBreak/>
        <w:t>In January, INFUSE received a written proposal for $2,200 to fund the credit union annual general meeting in February, but the proposal was not received with sufficient time for INFUSE to approve the disbursement.</w:t>
      </w:r>
    </w:p>
    <w:p w:rsidR="008F45E8" w:rsidRDefault="00901686" w:rsidP="008F45E8">
      <w:pPr>
        <w:numPr>
          <w:ilvl w:val="0"/>
          <w:numId w:val="23"/>
        </w:numPr>
        <w:jc w:val="both"/>
        <w:rPr>
          <w:lang w:eastAsia="ja-JP"/>
        </w:rPr>
      </w:pPr>
      <w:r>
        <w:rPr>
          <w:lang w:eastAsia="ja-JP"/>
        </w:rPr>
        <w:t xml:space="preserve">In May the MCIF approved $80,000 to </w:t>
      </w:r>
      <w:r w:rsidR="008F45E8">
        <w:rPr>
          <w:lang w:eastAsia="ja-JP"/>
        </w:rPr>
        <w:t>support a microinsurance fellow to work with the National I</w:t>
      </w:r>
      <w:r w:rsidR="00E207B6">
        <w:rPr>
          <w:lang w:eastAsia="ja-JP"/>
        </w:rPr>
        <w:t>nsurance of Timor-</w:t>
      </w:r>
      <w:r w:rsidR="008F45E8">
        <w:rPr>
          <w:lang w:eastAsia="ja-JP"/>
        </w:rPr>
        <w:t xml:space="preserve">Leste (NITL) develop and distributes </w:t>
      </w:r>
      <w:proofErr w:type="spellStart"/>
      <w:r w:rsidR="008F45E8">
        <w:rPr>
          <w:lang w:eastAsia="ja-JP"/>
        </w:rPr>
        <w:t>microinsurance</w:t>
      </w:r>
      <w:proofErr w:type="spellEnd"/>
      <w:r w:rsidR="008F45E8">
        <w:rPr>
          <w:lang w:eastAsia="ja-JP"/>
        </w:rPr>
        <w:t xml:space="preserve"> products, via INFUSE’s </w:t>
      </w:r>
      <w:r w:rsidR="000A37CA">
        <w:rPr>
          <w:lang w:eastAsia="ja-JP"/>
        </w:rPr>
        <w:t xml:space="preserve">MFI </w:t>
      </w:r>
      <w:r w:rsidR="008F45E8">
        <w:rPr>
          <w:lang w:eastAsia="ja-JP"/>
        </w:rPr>
        <w:t xml:space="preserve">partners (TRM and MR) as agents. </w:t>
      </w:r>
      <w:r w:rsidR="008F45E8" w:rsidRPr="008F45E8">
        <w:rPr>
          <w:lang w:eastAsia="ja-JP"/>
        </w:rPr>
        <w:t xml:space="preserve">Since receiving a license in April 2010, </w:t>
      </w:r>
      <w:r w:rsidR="00E207B6">
        <w:rPr>
          <w:lang w:eastAsia="ja-JP"/>
        </w:rPr>
        <w:t>NITL</w:t>
      </w:r>
      <w:r w:rsidR="008F45E8" w:rsidRPr="008F45E8">
        <w:rPr>
          <w:lang w:eastAsia="ja-JP"/>
        </w:rPr>
        <w:t xml:space="preserve"> expressed interest in developing microinsurance products and using MFIs as agents.  Likewise, TRM and </w:t>
      </w:r>
      <w:r w:rsidR="000A37CA">
        <w:rPr>
          <w:lang w:eastAsia="ja-JP"/>
        </w:rPr>
        <w:t>MR</w:t>
      </w:r>
      <w:r w:rsidR="008F45E8" w:rsidRPr="008F45E8">
        <w:rPr>
          <w:lang w:eastAsia="ja-JP"/>
        </w:rPr>
        <w:t xml:space="preserve"> both expressed interest in provision of microinsurance to their clients, and d</w:t>
      </w:r>
      <w:r w:rsidR="00E207B6">
        <w:rPr>
          <w:lang w:eastAsia="ja-JP"/>
        </w:rPr>
        <w:t>oing so in collaboration with NI</w:t>
      </w:r>
      <w:r w:rsidR="008F45E8" w:rsidRPr="008F45E8">
        <w:rPr>
          <w:lang w:eastAsia="ja-JP"/>
        </w:rPr>
        <w:t>TL</w:t>
      </w:r>
      <w:r w:rsidR="008F45E8">
        <w:rPr>
          <w:lang w:eastAsia="ja-JP"/>
        </w:rPr>
        <w:t xml:space="preserve">. </w:t>
      </w:r>
      <w:r w:rsidR="008F45E8" w:rsidRPr="008F45E8">
        <w:rPr>
          <w:lang w:eastAsia="ja-JP"/>
        </w:rPr>
        <w:t>Technical support is required to facilitate development of a</w:t>
      </w:r>
      <w:r w:rsidR="00E207B6">
        <w:rPr>
          <w:lang w:eastAsia="ja-JP"/>
        </w:rPr>
        <w:t xml:space="preserve"> business model with NI</w:t>
      </w:r>
      <w:r w:rsidR="008F45E8" w:rsidRPr="008F45E8">
        <w:rPr>
          <w:lang w:eastAsia="ja-JP"/>
        </w:rPr>
        <w:t>TL as the provider and the MFIs as agents including coordination of partner activities, research and development of the product/s, design of the delivery systems, training and capacity building, and support to pilot products.</w:t>
      </w:r>
    </w:p>
    <w:p w:rsidR="00564A61" w:rsidRPr="004D63B9" w:rsidRDefault="00564A61" w:rsidP="00B65371">
      <w:pPr>
        <w:numPr>
          <w:ilvl w:val="0"/>
          <w:numId w:val="9"/>
        </w:numPr>
        <w:autoSpaceDE w:val="0"/>
        <w:autoSpaceDN w:val="0"/>
        <w:adjustRightInd w:val="0"/>
        <w:ind w:left="360"/>
        <w:jc w:val="both"/>
        <w:rPr>
          <w:lang w:eastAsia="ja-JP"/>
        </w:rPr>
      </w:pPr>
      <w:r w:rsidRPr="00F84101">
        <w:rPr>
          <w:lang w:eastAsia="ja-JP"/>
        </w:rPr>
        <w:t xml:space="preserve">In </w:t>
      </w:r>
      <w:r w:rsidR="0099413A">
        <w:rPr>
          <w:lang w:eastAsia="ja-JP"/>
        </w:rPr>
        <w:t>April</w:t>
      </w:r>
      <w:r w:rsidRPr="00F84101">
        <w:rPr>
          <w:lang w:eastAsia="ja-JP"/>
        </w:rPr>
        <w:t xml:space="preserve">, </w:t>
      </w:r>
      <w:r w:rsidR="0099413A">
        <w:rPr>
          <w:lang w:eastAsia="ja-JP"/>
        </w:rPr>
        <w:t>INFUSE received,</w:t>
      </w:r>
      <w:r w:rsidRPr="00F84101">
        <w:rPr>
          <w:lang w:eastAsia="ja-JP"/>
        </w:rPr>
        <w:t xml:space="preserve"> reviewed and approved </w:t>
      </w:r>
      <w:r w:rsidR="0099413A">
        <w:rPr>
          <w:lang w:eastAsia="ja-JP"/>
        </w:rPr>
        <w:t xml:space="preserve">a revised implementation plan </w:t>
      </w:r>
      <w:r w:rsidRPr="00F84101">
        <w:rPr>
          <w:lang w:eastAsia="ja-JP"/>
        </w:rPr>
        <w:t>from</w:t>
      </w:r>
      <w:r w:rsidRPr="00F84101">
        <w:t xml:space="preserve"> Mercy Corps</w:t>
      </w:r>
      <w:r w:rsidR="00C40491" w:rsidRPr="00F84101">
        <w:t xml:space="preserve"> </w:t>
      </w:r>
      <w:r w:rsidR="00FE59C8">
        <w:t xml:space="preserve">(MC) </w:t>
      </w:r>
      <w:r w:rsidR="00C40491" w:rsidRPr="00F84101">
        <w:t xml:space="preserve">for </w:t>
      </w:r>
      <w:r w:rsidR="0099413A">
        <w:t xml:space="preserve">the </w:t>
      </w:r>
      <w:r w:rsidR="00C40491" w:rsidRPr="00F84101">
        <w:t xml:space="preserve">development and implementation of a </w:t>
      </w:r>
      <w:r w:rsidR="00CA6F99">
        <w:t xml:space="preserve">social performance </w:t>
      </w:r>
      <w:r w:rsidR="00695E3F">
        <w:t xml:space="preserve">measurement tool—i.e. </w:t>
      </w:r>
      <w:r w:rsidR="00CA6F99" w:rsidRPr="00F84101">
        <w:t>the Grameen Foundation Pro</w:t>
      </w:r>
      <w:r w:rsidR="00695E3F">
        <w:t>gress out of Poverty (PPI) Tool</w:t>
      </w:r>
      <w:r w:rsidR="00CA6F99">
        <w:t xml:space="preserve"> </w:t>
      </w:r>
      <w:r w:rsidR="00CA6F99" w:rsidRPr="00F84101">
        <w:t xml:space="preserve">which is internationally </w:t>
      </w:r>
      <w:r w:rsidR="00695E3F" w:rsidRPr="00F84101">
        <w:t>recognized</w:t>
      </w:r>
      <w:r w:rsidR="00CA6F99" w:rsidRPr="00F84101">
        <w:t>, si</w:t>
      </w:r>
      <w:r w:rsidR="00CA6F99">
        <w:t xml:space="preserve">mple to use and non-proprietary.  </w:t>
      </w:r>
      <w:r w:rsidR="0017224B">
        <w:t>MC</w:t>
      </w:r>
      <w:r w:rsidR="00CA6F99">
        <w:t xml:space="preserve"> create</w:t>
      </w:r>
      <w:r w:rsidR="0099413A">
        <w:t>d</w:t>
      </w:r>
      <w:r w:rsidR="000A37CA">
        <w:t xml:space="preserve"> memoranda of understanding</w:t>
      </w:r>
      <w:r w:rsidR="00CA6F99">
        <w:t xml:space="preserve"> to pil</w:t>
      </w:r>
      <w:r w:rsidR="008F45E8">
        <w:t>ot this with TRM and MR</w:t>
      </w:r>
      <w:r w:rsidR="00CA6F99">
        <w:t xml:space="preserve"> so they can </w:t>
      </w:r>
      <w:r w:rsidR="00C40491" w:rsidRPr="00F84101">
        <w:t xml:space="preserve">measure </w:t>
      </w:r>
      <w:r w:rsidR="000A37CA">
        <w:t xml:space="preserve">how well </w:t>
      </w:r>
      <w:r w:rsidR="00C40491" w:rsidRPr="00F84101">
        <w:t xml:space="preserve">their products and services </w:t>
      </w:r>
      <w:r w:rsidR="000A37CA">
        <w:t>are reaching clients below selected poverty levels</w:t>
      </w:r>
      <w:r w:rsidR="00C40491" w:rsidRPr="00F84101">
        <w:t xml:space="preserve">. </w:t>
      </w:r>
      <w:r w:rsidRPr="00F84101">
        <w:t xml:space="preserve">By using the </w:t>
      </w:r>
      <w:r w:rsidR="00E75D68" w:rsidRPr="00F84101">
        <w:t>PPI</w:t>
      </w:r>
      <w:r w:rsidRPr="00F84101">
        <w:t xml:space="preserve"> over time, MFIs in Timor-Leste would be able to:</w:t>
      </w:r>
    </w:p>
    <w:p w:rsidR="00564A61" w:rsidRPr="00381876" w:rsidRDefault="00564A61" w:rsidP="00381876">
      <w:pPr>
        <w:pStyle w:val="BodyText"/>
        <w:numPr>
          <w:ilvl w:val="1"/>
          <w:numId w:val="22"/>
        </w:numPr>
        <w:jc w:val="both"/>
        <w:rPr>
          <w:rFonts w:ascii="Times New Roman" w:hAnsi="Times New Roman"/>
          <w:sz w:val="24"/>
          <w:szCs w:val="22"/>
        </w:rPr>
      </w:pPr>
      <w:r w:rsidRPr="00381876">
        <w:rPr>
          <w:rFonts w:ascii="Times New Roman" w:hAnsi="Times New Roman"/>
          <w:sz w:val="24"/>
          <w:szCs w:val="22"/>
        </w:rPr>
        <w:t>Better define and adhere to their missions;</w:t>
      </w:r>
    </w:p>
    <w:p w:rsidR="00564A61" w:rsidRPr="00381876" w:rsidRDefault="00564A61" w:rsidP="00381876">
      <w:pPr>
        <w:pStyle w:val="BodyText"/>
        <w:numPr>
          <w:ilvl w:val="1"/>
          <w:numId w:val="22"/>
        </w:numPr>
        <w:jc w:val="both"/>
        <w:rPr>
          <w:rFonts w:ascii="Times New Roman" w:hAnsi="Times New Roman"/>
          <w:sz w:val="24"/>
          <w:szCs w:val="22"/>
        </w:rPr>
      </w:pPr>
      <w:r w:rsidRPr="00381876">
        <w:rPr>
          <w:rFonts w:ascii="Times New Roman" w:hAnsi="Times New Roman"/>
          <w:sz w:val="24"/>
          <w:szCs w:val="22"/>
        </w:rPr>
        <w:t>Monitor the p</w:t>
      </w:r>
      <w:r w:rsidR="000A37CA">
        <w:rPr>
          <w:rFonts w:ascii="Times New Roman" w:hAnsi="Times New Roman"/>
          <w:sz w:val="24"/>
          <w:szCs w:val="22"/>
        </w:rPr>
        <w:t xml:space="preserve">overty status of their clients in order to </w:t>
      </w:r>
      <w:r w:rsidR="00CA6F99" w:rsidRPr="00381876">
        <w:rPr>
          <w:rFonts w:ascii="Times New Roman" w:hAnsi="Times New Roman"/>
          <w:sz w:val="24"/>
          <w:szCs w:val="22"/>
        </w:rPr>
        <w:t xml:space="preserve">better </w:t>
      </w:r>
      <w:r w:rsidRPr="00381876">
        <w:rPr>
          <w:rFonts w:ascii="Times New Roman" w:hAnsi="Times New Roman"/>
          <w:sz w:val="24"/>
          <w:szCs w:val="22"/>
        </w:rPr>
        <w:t xml:space="preserve">design and deliver appropriate financial products and services for the </w:t>
      </w:r>
      <w:r w:rsidR="00CA6F99" w:rsidRPr="00381876">
        <w:rPr>
          <w:rFonts w:ascii="Times New Roman" w:hAnsi="Times New Roman"/>
          <w:sz w:val="24"/>
          <w:szCs w:val="22"/>
        </w:rPr>
        <w:t>poor</w:t>
      </w:r>
      <w:r w:rsidRPr="00381876">
        <w:rPr>
          <w:rFonts w:ascii="Times New Roman" w:hAnsi="Times New Roman"/>
          <w:sz w:val="24"/>
          <w:szCs w:val="22"/>
        </w:rPr>
        <w:t xml:space="preserve">; </w:t>
      </w:r>
    </w:p>
    <w:p w:rsidR="00564A61" w:rsidRPr="00381876" w:rsidRDefault="00564A61" w:rsidP="00381876">
      <w:pPr>
        <w:pStyle w:val="BodyText"/>
        <w:numPr>
          <w:ilvl w:val="1"/>
          <w:numId w:val="22"/>
        </w:numPr>
        <w:jc w:val="both"/>
        <w:rPr>
          <w:rFonts w:ascii="Times New Roman" w:hAnsi="Times New Roman"/>
          <w:sz w:val="24"/>
          <w:szCs w:val="22"/>
        </w:rPr>
      </w:pPr>
      <w:r w:rsidRPr="00381876">
        <w:rPr>
          <w:rFonts w:ascii="Times New Roman" w:hAnsi="Times New Roman"/>
          <w:sz w:val="24"/>
          <w:szCs w:val="22"/>
        </w:rPr>
        <w:t>Increase their competitive edge, profitability, and ability to retain clients</w:t>
      </w:r>
      <w:r w:rsidR="0017224B" w:rsidRPr="00381876">
        <w:rPr>
          <w:rFonts w:ascii="Times New Roman" w:hAnsi="Times New Roman"/>
          <w:sz w:val="24"/>
          <w:szCs w:val="22"/>
        </w:rPr>
        <w:t>;</w:t>
      </w:r>
      <w:r w:rsidRPr="00381876">
        <w:rPr>
          <w:rFonts w:ascii="Times New Roman" w:hAnsi="Times New Roman"/>
          <w:sz w:val="24"/>
          <w:szCs w:val="22"/>
        </w:rPr>
        <w:t xml:space="preserve"> </w:t>
      </w:r>
    </w:p>
    <w:p w:rsidR="00564A61" w:rsidRPr="00381876" w:rsidRDefault="00564A61" w:rsidP="00381876">
      <w:pPr>
        <w:pStyle w:val="BodyText"/>
        <w:numPr>
          <w:ilvl w:val="1"/>
          <w:numId w:val="22"/>
        </w:numPr>
        <w:jc w:val="both"/>
        <w:rPr>
          <w:rFonts w:ascii="Times New Roman" w:hAnsi="Times New Roman"/>
          <w:sz w:val="24"/>
          <w:szCs w:val="22"/>
        </w:rPr>
      </w:pPr>
      <w:r w:rsidRPr="00381876">
        <w:rPr>
          <w:rFonts w:ascii="Times New Roman" w:hAnsi="Times New Roman"/>
          <w:sz w:val="24"/>
          <w:szCs w:val="22"/>
        </w:rPr>
        <w:t>Provide timely and accurate information to investors.</w:t>
      </w:r>
    </w:p>
    <w:p w:rsidR="004A0DE6" w:rsidRPr="00872A76" w:rsidRDefault="004A0DE6" w:rsidP="006B25D4">
      <w:pPr>
        <w:pStyle w:val="Default"/>
        <w:jc w:val="both"/>
        <w:rPr>
          <w:rFonts w:ascii="Times New Roman" w:hAnsi="Times New Roman" w:cs="Times New Roman"/>
          <w:bCs/>
          <w:i/>
          <w:color w:val="auto"/>
          <w:lang w:val="en-GB" w:eastAsia="ja-JP"/>
        </w:rPr>
      </w:pPr>
    </w:p>
    <w:p w:rsidR="0099413A" w:rsidRDefault="0099413A" w:rsidP="00B407FE">
      <w:pPr>
        <w:pStyle w:val="Default"/>
        <w:jc w:val="both"/>
        <w:rPr>
          <w:rFonts w:ascii="Times New Roman" w:hAnsi="Times New Roman" w:cs="Times New Roman"/>
          <w:bCs/>
          <w:i/>
          <w:color w:val="auto"/>
          <w:lang w:val="en-GB" w:eastAsia="ja-JP"/>
        </w:rPr>
      </w:pPr>
      <w:r>
        <w:rPr>
          <w:rFonts w:ascii="Times New Roman" w:hAnsi="Times New Roman" w:cs="Times New Roman"/>
          <w:bCs/>
          <w:i/>
          <w:color w:val="auto"/>
          <w:lang w:val="en-GB" w:eastAsia="ja-JP"/>
        </w:rPr>
        <w:t>Monitoring of recipients of grant funding and loan capital</w:t>
      </w:r>
      <w:r w:rsidR="00B407FE" w:rsidRPr="002541D7">
        <w:rPr>
          <w:rFonts w:ascii="Times New Roman" w:hAnsi="Times New Roman" w:cs="Times New Roman"/>
          <w:bCs/>
          <w:i/>
          <w:color w:val="auto"/>
          <w:lang w:val="en-GB" w:eastAsia="ja-JP"/>
        </w:rPr>
        <w:t xml:space="preserve"> January – </w:t>
      </w:r>
      <w:r>
        <w:rPr>
          <w:rFonts w:ascii="Times New Roman" w:hAnsi="Times New Roman" w:cs="Times New Roman"/>
          <w:bCs/>
          <w:i/>
          <w:color w:val="auto"/>
          <w:lang w:val="en-GB" w:eastAsia="ja-JP"/>
        </w:rPr>
        <w:t>June 2011</w:t>
      </w:r>
      <w:r w:rsidR="00B407FE" w:rsidRPr="002541D7">
        <w:rPr>
          <w:rFonts w:ascii="Times New Roman" w:hAnsi="Times New Roman" w:cs="Times New Roman"/>
          <w:bCs/>
          <w:i/>
          <w:color w:val="auto"/>
          <w:lang w:val="en-GB" w:eastAsia="ja-JP"/>
        </w:rPr>
        <w:t>:</w:t>
      </w:r>
    </w:p>
    <w:p w:rsidR="0099413A" w:rsidRPr="0099413A" w:rsidRDefault="0099413A" w:rsidP="0099413A">
      <w:pPr>
        <w:pStyle w:val="BodyText"/>
        <w:numPr>
          <w:ilvl w:val="0"/>
          <w:numId w:val="21"/>
        </w:numPr>
        <w:jc w:val="both"/>
        <w:rPr>
          <w:rFonts w:ascii="Times New Roman" w:hAnsi="Times New Roman"/>
          <w:sz w:val="24"/>
          <w:szCs w:val="22"/>
          <w:lang w:eastAsia="ja-JP"/>
        </w:rPr>
      </w:pPr>
      <w:r w:rsidRPr="0099413A">
        <w:rPr>
          <w:rFonts w:ascii="Times New Roman" w:hAnsi="Times New Roman"/>
          <w:sz w:val="24"/>
          <w:szCs w:val="22"/>
        </w:rPr>
        <w:t xml:space="preserve">As per the reporting requirements in the Performance Based Agreements (PBAs) for the grants and loans, both </w:t>
      </w:r>
      <w:r w:rsidR="008F45E8">
        <w:rPr>
          <w:rFonts w:ascii="Times New Roman" w:hAnsi="Times New Roman"/>
          <w:sz w:val="24"/>
          <w:szCs w:val="22"/>
        </w:rPr>
        <w:t>MR and TRM</w:t>
      </w:r>
      <w:r w:rsidRPr="0099413A">
        <w:rPr>
          <w:rFonts w:ascii="Times New Roman" w:hAnsi="Times New Roman"/>
          <w:sz w:val="24"/>
          <w:szCs w:val="22"/>
        </w:rPr>
        <w:t>, complied with their submission of the following reports:</w:t>
      </w:r>
    </w:p>
    <w:p w:rsidR="0099413A" w:rsidRPr="0099413A" w:rsidRDefault="0099413A" w:rsidP="0099413A">
      <w:pPr>
        <w:pStyle w:val="BodyText"/>
        <w:numPr>
          <w:ilvl w:val="1"/>
          <w:numId w:val="22"/>
        </w:numPr>
        <w:jc w:val="both"/>
        <w:rPr>
          <w:rFonts w:ascii="Times New Roman" w:hAnsi="Times New Roman"/>
          <w:sz w:val="24"/>
          <w:szCs w:val="22"/>
          <w:lang w:eastAsia="ja-JP"/>
        </w:rPr>
      </w:pPr>
      <w:r>
        <w:rPr>
          <w:rFonts w:ascii="Times New Roman" w:hAnsi="Times New Roman"/>
          <w:sz w:val="24"/>
          <w:szCs w:val="22"/>
        </w:rPr>
        <w:t>S</w:t>
      </w:r>
      <w:r w:rsidRPr="0099413A">
        <w:rPr>
          <w:rFonts w:ascii="Times New Roman" w:hAnsi="Times New Roman"/>
          <w:sz w:val="24"/>
          <w:szCs w:val="22"/>
        </w:rPr>
        <w:t>ubmission of their 4</w:t>
      </w:r>
      <w:r w:rsidRPr="0099413A">
        <w:rPr>
          <w:rFonts w:ascii="Times New Roman" w:hAnsi="Times New Roman"/>
          <w:sz w:val="24"/>
          <w:szCs w:val="22"/>
          <w:vertAlign w:val="superscript"/>
        </w:rPr>
        <w:t>th</w:t>
      </w:r>
      <w:r w:rsidRPr="0099413A">
        <w:rPr>
          <w:rFonts w:ascii="Times New Roman" w:hAnsi="Times New Roman"/>
          <w:sz w:val="24"/>
          <w:szCs w:val="22"/>
        </w:rPr>
        <w:t xml:space="preserve"> quarter and ann</w:t>
      </w:r>
      <w:r>
        <w:rPr>
          <w:rFonts w:ascii="Times New Roman" w:hAnsi="Times New Roman"/>
          <w:sz w:val="24"/>
          <w:szCs w:val="22"/>
        </w:rPr>
        <w:t>ual reports for 2010</w:t>
      </w:r>
      <w:r w:rsidRPr="0099413A">
        <w:rPr>
          <w:rFonts w:ascii="Times New Roman" w:hAnsi="Times New Roman"/>
          <w:sz w:val="24"/>
          <w:szCs w:val="22"/>
        </w:rPr>
        <w:t xml:space="preserve">.  </w:t>
      </w:r>
    </w:p>
    <w:p w:rsidR="0099413A" w:rsidRPr="0099413A" w:rsidRDefault="0099413A" w:rsidP="0099413A">
      <w:pPr>
        <w:pStyle w:val="BodyText"/>
        <w:numPr>
          <w:ilvl w:val="1"/>
          <w:numId w:val="22"/>
        </w:numPr>
        <w:jc w:val="both"/>
        <w:rPr>
          <w:rFonts w:ascii="Times New Roman" w:hAnsi="Times New Roman"/>
          <w:sz w:val="24"/>
          <w:szCs w:val="22"/>
          <w:lang w:eastAsia="ja-JP"/>
        </w:rPr>
      </w:pPr>
      <w:r>
        <w:rPr>
          <w:rFonts w:ascii="Times New Roman" w:hAnsi="Times New Roman"/>
          <w:sz w:val="24"/>
          <w:szCs w:val="22"/>
        </w:rPr>
        <w:t>S</w:t>
      </w:r>
      <w:r w:rsidRPr="0099413A">
        <w:rPr>
          <w:rFonts w:ascii="Times New Roman" w:hAnsi="Times New Roman"/>
          <w:sz w:val="24"/>
          <w:szCs w:val="22"/>
        </w:rPr>
        <w:t>ubmission of their 1</w:t>
      </w:r>
      <w:r w:rsidRPr="0099413A">
        <w:rPr>
          <w:rFonts w:ascii="Times New Roman" w:hAnsi="Times New Roman"/>
          <w:sz w:val="24"/>
          <w:szCs w:val="22"/>
          <w:vertAlign w:val="superscript"/>
        </w:rPr>
        <w:t>st</w:t>
      </w:r>
      <w:r w:rsidR="008F45E8">
        <w:rPr>
          <w:rFonts w:ascii="Times New Roman" w:hAnsi="Times New Roman"/>
          <w:sz w:val="24"/>
          <w:szCs w:val="22"/>
        </w:rPr>
        <w:t xml:space="preserve"> quarter report for 2011</w:t>
      </w:r>
      <w:r w:rsidRPr="0099413A">
        <w:rPr>
          <w:rFonts w:ascii="Times New Roman" w:hAnsi="Times New Roman"/>
          <w:sz w:val="24"/>
          <w:szCs w:val="22"/>
        </w:rPr>
        <w:t>.</w:t>
      </w:r>
    </w:p>
    <w:p w:rsidR="0099413A" w:rsidRPr="0099413A" w:rsidRDefault="0099413A" w:rsidP="0099413A">
      <w:pPr>
        <w:pStyle w:val="BodyText"/>
        <w:numPr>
          <w:ilvl w:val="1"/>
          <w:numId w:val="22"/>
        </w:numPr>
        <w:spacing w:before="100" w:beforeAutospacing="1"/>
        <w:jc w:val="both"/>
        <w:rPr>
          <w:rFonts w:ascii="Times New Roman" w:hAnsi="Times New Roman"/>
          <w:sz w:val="24"/>
          <w:szCs w:val="22"/>
          <w:lang w:eastAsia="ja-JP"/>
        </w:rPr>
      </w:pPr>
      <w:r w:rsidRPr="0099413A">
        <w:rPr>
          <w:rFonts w:ascii="Times New Roman" w:hAnsi="Times New Roman"/>
          <w:sz w:val="24"/>
          <w:szCs w:val="22"/>
        </w:rPr>
        <w:t xml:space="preserve">Posting of </w:t>
      </w:r>
      <w:r>
        <w:rPr>
          <w:rFonts w:ascii="Times New Roman" w:hAnsi="Times New Roman"/>
          <w:sz w:val="24"/>
          <w:szCs w:val="22"/>
        </w:rPr>
        <w:t>2010</w:t>
      </w:r>
      <w:r w:rsidRPr="0099413A">
        <w:rPr>
          <w:rFonts w:ascii="Times New Roman" w:hAnsi="Times New Roman"/>
          <w:sz w:val="24"/>
          <w:szCs w:val="22"/>
        </w:rPr>
        <w:t xml:space="preserve"> data on the Mix Market website.</w:t>
      </w:r>
    </w:p>
    <w:p w:rsidR="0099413A" w:rsidRPr="0099413A" w:rsidRDefault="0099413A" w:rsidP="0099413A">
      <w:pPr>
        <w:pStyle w:val="BodyText"/>
        <w:numPr>
          <w:ilvl w:val="1"/>
          <w:numId w:val="22"/>
        </w:numPr>
        <w:spacing w:before="100" w:beforeAutospacing="1"/>
        <w:jc w:val="both"/>
        <w:rPr>
          <w:rFonts w:ascii="Times New Roman" w:hAnsi="Times New Roman"/>
          <w:sz w:val="24"/>
          <w:szCs w:val="22"/>
          <w:lang w:eastAsia="ja-JP"/>
        </w:rPr>
      </w:pPr>
      <w:r>
        <w:rPr>
          <w:rFonts w:ascii="Times New Roman" w:hAnsi="Times New Roman"/>
          <w:sz w:val="24"/>
          <w:szCs w:val="22"/>
        </w:rPr>
        <w:t xml:space="preserve">TRM </w:t>
      </w:r>
      <w:r w:rsidR="008F45E8">
        <w:rPr>
          <w:rFonts w:ascii="Times New Roman" w:hAnsi="Times New Roman"/>
          <w:sz w:val="24"/>
          <w:szCs w:val="22"/>
        </w:rPr>
        <w:t xml:space="preserve">and MR </w:t>
      </w:r>
      <w:r>
        <w:rPr>
          <w:rFonts w:ascii="Times New Roman" w:hAnsi="Times New Roman"/>
          <w:sz w:val="24"/>
          <w:szCs w:val="22"/>
        </w:rPr>
        <w:t>submitted their 2010 audited financial statements</w:t>
      </w:r>
      <w:r w:rsidRPr="0099413A">
        <w:rPr>
          <w:rFonts w:ascii="Times New Roman" w:hAnsi="Times New Roman"/>
          <w:sz w:val="24"/>
          <w:szCs w:val="22"/>
        </w:rPr>
        <w:t xml:space="preserve">.  </w:t>
      </w:r>
    </w:p>
    <w:p w:rsidR="00901686" w:rsidRPr="00901686" w:rsidRDefault="0099413A" w:rsidP="00B407FE">
      <w:pPr>
        <w:pStyle w:val="Default"/>
        <w:numPr>
          <w:ilvl w:val="0"/>
          <w:numId w:val="21"/>
        </w:numPr>
        <w:jc w:val="both"/>
        <w:rPr>
          <w:rFonts w:ascii="Times New Roman" w:hAnsi="Times New Roman" w:cs="Times New Roman"/>
          <w:bCs/>
          <w:i/>
          <w:color w:val="auto"/>
          <w:lang w:val="en-GB" w:eastAsia="ja-JP"/>
        </w:rPr>
      </w:pPr>
      <w:r>
        <w:rPr>
          <w:rFonts w:ascii="Times New Roman" w:hAnsi="Times New Roman" w:cs="Times New Roman"/>
          <w:szCs w:val="22"/>
          <w:lang w:val="en-GB" w:eastAsia="ja-JP"/>
        </w:rPr>
        <w:t xml:space="preserve">In </w:t>
      </w:r>
      <w:r w:rsidR="00FE59C8">
        <w:rPr>
          <w:rFonts w:ascii="Times New Roman" w:hAnsi="Times New Roman" w:cs="Times New Roman"/>
          <w:szCs w:val="22"/>
          <w:lang w:val="en-GB" w:eastAsia="ja-JP"/>
        </w:rPr>
        <w:t xml:space="preserve">April INFUSE and </w:t>
      </w:r>
      <w:r w:rsidR="000A37CA">
        <w:rPr>
          <w:rFonts w:ascii="Times New Roman" w:hAnsi="Times New Roman" w:cs="Times New Roman"/>
          <w:szCs w:val="22"/>
          <w:lang w:val="en-GB" w:eastAsia="ja-JP"/>
        </w:rPr>
        <w:t>MC</w:t>
      </w:r>
      <w:r w:rsidR="00FE59C8">
        <w:rPr>
          <w:rFonts w:ascii="Times New Roman" w:hAnsi="Times New Roman" w:cs="Times New Roman"/>
          <w:szCs w:val="22"/>
          <w:lang w:val="en-GB" w:eastAsia="ja-JP"/>
        </w:rPr>
        <w:t xml:space="preserve"> had</w:t>
      </w:r>
      <w:r>
        <w:rPr>
          <w:rFonts w:ascii="Times New Roman" w:hAnsi="Times New Roman" w:cs="Times New Roman"/>
          <w:szCs w:val="22"/>
          <w:lang w:val="en-GB" w:eastAsia="ja-JP"/>
        </w:rPr>
        <w:t xml:space="preserve"> a progress meeting to review advances in creation of the PPI.</w:t>
      </w:r>
    </w:p>
    <w:p w:rsidR="00E66359" w:rsidRDefault="00E66359" w:rsidP="006B25D4">
      <w:pPr>
        <w:pStyle w:val="Default"/>
        <w:jc w:val="both"/>
        <w:rPr>
          <w:rFonts w:ascii="Times New Roman" w:hAnsi="Times New Roman" w:cs="Times New Roman"/>
          <w:u w:val="single"/>
          <w:lang w:eastAsia="ja-JP"/>
        </w:rPr>
      </w:pPr>
    </w:p>
    <w:p w:rsidR="006B4115" w:rsidRPr="00512A1A" w:rsidRDefault="009467D7" w:rsidP="006B25D4">
      <w:pPr>
        <w:pStyle w:val="Default"/>
        <w:jc w:val="both"/>
        <w:rPr>
          <w:rFonts w:ascii="Times New Roman" w:hAnsi="Times New Roman" w:cs="Times New Roman"/>
          <w:u w:val="single"/>
          <w:lang w:eastAsia="ja-JP"/>
        </w:rPr>
      </w:pPr>
      <w:r w:rsidRPr="00512A1A">
        <w:rPr>
          <w:rFonts w:ascii="Times New Roman" w:hAnsi="Times New Roman" w:cs="Times New Roman"/>
          <w:u w:val="single"/>
          <w:lang w:eastAsia="ja-JP"/>
        </w:rPr>
        <w:t>Outreach</w:t>
      </w:r>
      <w:r w:rsidR="006B4115" w:rsidRPr="00512A1A">
        <w:rPr>
          <w:rFonts w:ascii="Times New Roman" w:hAnsi="Times New Roman" w:cs="Times New Roman"/>
          <w:u w:val="single"/>
          <w:lang w:eastAsia="ja-JP"/>
        </w:rPr>
        <w:t xml:space="preserve"> </w:t>
      </w:r>
    </w:p>
    <w:p w:rsidR="0018095F" w:rsidRDefault="0018095F" w:rsidP="0018095F">
      <w:pPr>
        <w:pStyle w:val="Default"/>
        <w:jc w:val="both"/>
        <w:rPr>
          <w:rFonts w:ascii="Times New Roman" w:hAnsi="Times New Roman" w:cs="Times New Roman"/>
          <w:lang w:val="en-GB" w:eastAsia="ja-JP"/>
        </w:rPr>
      </w:pPr>
    </w:p>
    <w:p w:rsidR="009A7E9A" w:rsidRPr="0041565D" w:rsidRDefault="00381876" w:rsidP="006B25D4">
      <w:pPr>
        <w:pStyle w:val="Default"/>
        <w:jc w:val="both"/>
        <w:rPr>
          <w:rFonts w:ascii="Times New Roman" w:hAnsi="Times New Roman" w:cs="Times New Roman"/>
          <w:lang w:val="en-GB" w:eastAsia="ja-JP"/>
        </w:rPr>
      </w:pPr>
      <w:r w:rsidRPr="0041565D">
        <w:rPr>
          <w:rFonts w:ascii="Times New Roman" w:hAnsi="Times New Roman" w:cs="Times New Roman"/>
          <w:lang w:val="en-GB" w:eastAsia="ja-JP"/>
        </w:rPr>
        <w:t>T</w:t>
      </w:r>
      <w:r w:rsidR="006B25D4" w:rsidRPr="0041565D">
        <w:rPr>
          <w:rFonts w:ascii="Times New Roman" w:hAnsi="Times New Roman" w:cs="Times New Roman"/>
          <w:lang w:val="en-GB" w:eastAsia="ja-JP"/>
        </w:rPr>
        <w:t xml:space="preserve">able </w:t>
      </w:r>
      <w:r w:rsidR="009467D7" w:rsidRPr="0041565D">
        <w:rPr>
          <w:rFonts w:ascii="Times New Roman" w:hAnsi="Times New Roman" w:cs="Times New Roman"/>
          <w:lang w:val="en-GB" w:eastAsia="ja-JP"/>
        </w:rPr>
        <w:t>2</w:t>
      </w:r>
      <w:r w:rsidR="009A7E9A" w:rsidRPr="0041565D">
        <w:rPr>
          <w:rFonts w:ascii="Times New Roman" w:hAnsi="Times New Roman" w:cs="Times New Roman"/>
          <w:lang w:val="en-GB" w:eastAsia="ja-JP"/>
        </w:rPr>
        <w:t xml:space="preserve"> below</w:t>
      </w:r>
      <w:r w:rsidR="006B25D4" w:rsidRPr="0041565D">
        <w:rPr>
          <w:rFonts w:ascii="Times New Roman" w:hAnsi="Times New Roman" w:cs="Times New Roman"/>
          <w:lang w:val="en-GB" w:eastAsia="ja-JP"/>
        </w:rPr>
        <w:t>,</w:t>
      </w:r>
      <w:r w:rsidRPr="0041565D">
        <w:rPr>
          <w:rFonts w:ascii="Times New Roman" w:hAnsi="Times New Roman" w:cs="Times New Roman"/>
          <w:lang w:val="en-GB" w:eastAsia="ja-JP"/>
        </w:rPr>
        <w:t xml:space="preserve"> presents the</w:t>
      </w:r>
      <w:r w:rsidR="006B25D4" w:rsidRPr="0041565D">
        <w:rPr>
          <w:rFonts w:ascii="Times New Roman" w:hAnsi="Times New Roman" w:cs="Times New Roman"/>
          <w:lang w:val="en-GB" w:eastAsia="ja-JP"/>
        </w:rPr>
        <w:t xml:space="preserve"> growth in total number of clients </w:t>
      </w:r>
      <w:r w:rsidR="003242E6" w:rsidRPr="0041565D">
        <w:rPr>
          <w:rFonts w:ascii="Times New Roman" w:hAnsi="Times New Roman" w:cs="Times New Roman"/>
          <w:lang w:val="en-GB" w:eastAsia="ja-JP"/>
        </w:rPr>
        <w:t xml:space="preserve">served by INFUSE’s partner </w:t>
      </w:r>
      <w:r w:rsidR="00353F4A">
        <w:rPr>
          <w:rFonts w:ascii="Times New Roman" w:hAnsi="Times New Roman" w:cs="Times New Roman"/>
          <w:lang w:val="en-GB" w:eastAsia="ja-JP"/>
        </w:rPr>
        <w:t xml:space="preserve">financial service providers, </w:t>
      </w:r>
      <w:r w:rsidR="003242E6" w:rsidRPr="0041565D">
        <w:rPr>
          <w:rFonts w:ascii="Times New Roman" w:hAnsi="Times New Roman" w:cs="Times New Roman"/>
          <w:lang w:val="en-GB" w:eastAsia="ja-JP"/>
        </w:rPr>
        <w:t>MR</w:t>
      </w:r>
      <w:r w:rsidR="006B25D4" w:rsidRPr="0041565D">
        <w:rPr>
          <w:rFonts w:ascii="Times New Roman" w:hAnsi="Times New Roman" w:cs="Times New Roman"/>
          <w:lang w:val="en-GB" w:eastAsia="ja-JP"/>
        </w:rPr>
        <w:t xml:space="preserve"> </w:t>
      </w:r>
      <w:r w:rsidRPr="0041565D">
        <w:rPr>
          <w:rFonts w:ascii="Times New Roman" w:hAnsi="Times New Roman" w:cs="Times New Roman"/>
          <w:lang w:val="en-GB" w:eastAsia="ja-JP"/>
        </w:rPr>
        <w:t xml:space="preserve">and </w:t>
      </w:r>
      <w:r w:rsidR="006B25D4" w:rsidRPr="0041565D">
        <w:rPr>
          <w:rFonts w:ascii="Times New Roman" w:hAnsi="Times New Roman" w:cs="Times New Roman"/>
          <w:lang w:val="en-GB" w:eastAsia="ja-JP"/>
        </w:rPr>
        <w:t>T</w:t>
      </w:r>
      <w:r w:rsidRPr="0041565D">
        <w:rPr>
          <w:rFonts w:ascii="Times New Roman" w:hAnsi="Times New Roman" w:cs="Times New Roman"/>
          <w:lang w:val="en-GB" w:eastAsia="ja-JP"/>
        </w:rPr>
        <w:t>RM.</w:t>
      </w:r>
      <w:r w:rsidR="00591C68" w:rsidRPr="0041565D">
        <w:rPr>
          <w:rStyle w:val="FootnoteReference"/>
          <w:rFonts w:ascii="Times New Roman" w:hAnsi="Times New Roman" w:cs="Times New Roman"/>
          <w:lang w:val="en-GB" w:eastAsia="ja-JP"/>
        </w:rPr>
        <w:footnoteReference w:id="6"/>
      </w:r>
      <w:r w:rsidR="002163FC" w:rsidRPr="0041565D">
        <w:rPr>
          <w:rFonts w:ascii="Times New Roman" w:hAnsi="Times New Roman" w:cs="Times New Roman"/>
          <w:lang w:val="en-GB" w:eastAsia="ja-JP"/>
        </w:rPr>
        <w:t xml:space="preserve"> </w:t>
      </w:r>
    </w:p>
    <w:p w:rsidR="0041565D" w:rsidRPr="0041565D" w:rsidRDefault="0041565D">
      <w:pPr>
        <w:rPr>
          <w:rFonts w:eastAsia="MS Mincho"/>
          <w:color w:val="000000"/>
          <w:sz w:val="22"/>
          <w:szCs w:val="22"/>
          <w:lang w:val="en-GB" w:eastAsia="ja-JP"/>
        </w:rPr>
      </w:pPr>
    </w:p>
    <w:p w:rsidR="00F53C79" w:rsidRDefault="00F53C79">
      <w:pPr>
        <w:rPr>
          <w:rFonts w:eastAsia="MS Mincho"/>
          <w:color w:val="000000"/>
          <w:sz w:val="22"/>
          <w:szCs w:val="22"/>
          <w:lang w:val="en-GB" w:eastAsia="ja-JP"/>
        </w:rPr>
      </w:pPr>
      <w:r>
        <w:rPr>
          <w:sz w:val="22"/>
          <w:szCs w:val="22"/>
          <w:lang w:val="en-GB" w:eastAsia="ja-JP"/>
        </w:rPr>
        <w:br w:type="page"/>
      </w:r>
    </w:p>
    <w:p w:rsidR="000F1E18" w:rsidRPr="0041565D" w:rsidRDefault="009467D7" w:rsidP="006B25D4">
      <w:pPr>
        <w:pStyle w:val="Default"/>
        <w:jc w:val="both"/>
        <w:rPr>
          <w:rFonts w:ascii="Times New Roman" w:hAnsi="Times New Roman" w:cs="Times New Roman"/>
          <w:sz w:val="22"/>
          <w:szCs w:val="22"/>
          <w:lang w:val="en-GB" w:eastAsia="ja-JP"/>
        </w:rPr>
      </w:pPr>
      <w:r w:rsidRPr="0041565D">
        <w:rPr>
          <w:rFonts w:ascii="Times New Roman" w:hAnsi="Times New Roman" w:cs="Times New Roman"/>
          <w:sz w:val="22"/>
          <w:szCs w:val="22"/>
          <w:lang w:val="en-GB" w:eastAsia="ja-JP"/>
        </w:rPr>
        <w:lastRenderedPageBreak/>
        <w:t>Table 2</w:t>
      </w:r>
      <w:r w:rsidR="00B44323" w:rsidRPr="0041565D">
        <w:rPr>
          <w:rFonts w:ascii="Times New Roman" w:hAnsi="Times New Roman" w:cs="Times New Roman"/>
          <w:sz w:val="22"/>
          <w:szCs w:val="22"/>
          <w:lang w:val="en-GB" w:eastAsia="ja-JP"/>
        </w:rPr>
        <w:t xml:space="preserve">: Growth in outreach of financial services for institutions serving the </w:t>
      </w:r>
      <w:r w:rsidR="00B008A0" w:rsidRPr="0041565D">
        <w:rPr>
          <w:rFonts w:ascii="Times New Roman" w:hAnsi="Times New Roman" w:cs="Times New Roman"/>
          <w:sz w:val="22"/>
          <w:szCs w:val="22"/>
          <w:lang w:val="en-GB" w:eastAsia="ja-JP"/>
        </w:rPr>
        <w:t>bottom</w:t>
      </w:r>
      <w:r w:rsidR="00B44323" w:rsidRPr="0041565D">
        <w:rPr>
          <w:rFonts w:ascii="Times New Roman" w:hAnsi="Times New Roman" w:cs="Times New Roman"/>
          <w:sz w:val="22"/>
          <w:szCs w:val="22"/>
          <w:lang w:val="en-GB" w:eastAsia="ja-JP"/>
        </w:rPr>
        <w:t xml:space="preserve"> </w:t>
      </w:r>
      <w:r w:rsidR="00B008A0" w:rsidRPr="0041565D">
        <w:rPr>
          <w:rFonts w:ascii="Times New Roman" w:hAnsi="Times New Roman" w:cs="Times New Roman"/>
          <w:sz w:val="22"/>
          <w:szCs w:val="22"/>
          <w:lang w:val="en-GB" w:eastAsia="ja-JP"/>
        </w:rPr>
        <w:t>end</w:t>
      </w:r>
      <w:r w:rsidR="00B44323" w:rsidRPr="0041565D">
        <w:rPr>
          <w:rFonts w:ascii="Times New Roman" w:hAnsi="Times New Roman" w:cs="Times New Roman"/>
          <w:sz w:val="22"/>
          <w:szCs w:val="22"/>
          <w:lang w:val="en-GB" w:eastAsia="ja-JP"/>
        </w:rPr>
        <w:t xml:space="preserve"> of the market:</w:t>
      </w:r>
    </w:p>
    <w:tbl>
      <w:tblPr>
        <w:tblW w:w="9373" w:type="dxa"/>
        <w:tblInd w:w="95" w:type="dxa"/>
        <w:tblLayout w:type="fixed"/>
        <w:tblLook w:val="0000" w:firstRow="0" w:lastRow="0" w:firstColumn="0" w:lastColumn="0" w:noHBand="0" w:noVBand="0"/>
      </w:tblPr>
      <w:tblGrid>
        <w:gridCol w:w="1903"/>
        <w:gridCol w:w="1236"/>
        <w:gridCol w:w="1463"/>
        <w:gridCol w:w="1463"/>
        <w:gridCol w:w="1463"/>
        <w:gridCol w:w="1845"/>
      </w:tblGrid>
      <w:tr w:rsidR="0041565D" w:rsidRPr="0041565D">
        <w:trPr>
          <w:trHeight w:val="780"/>
        </w:trPr>
        <w:tc>
          <w:tcPr>
            <w:tcW w:w="1903"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41565D" w:rsidRPr="0041565D" w:rsidRDefault="0041565D" w:rsidP="0041565D">
            <w:pPr>
              <w:jc w:val="center"/>
              <w:rPr>
                <w:sz w:val="22"/>
                <w:szCs w:val="22"/>
              </w:rPr>
            </w:pPr>
            <w:r w:rsidRPr="0041565D">
              <w:rPr>
                <w:sz w:val="22"/>
                <w:szCs w:val="22"/>
              </w:rPr>
              <w:t>Indicator</w:t>
            </w:r>
          </w:p>
        </w:tc>
        <w:tc>
          <w:tcPr>
            <w:tcW w:w="562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1565D" w:rsidRPr="0041565D" w:rsidRDefault="0041565D" w:rsidP="0041565D">
            <w:pPr>
              <w:jc w:val="center"/>
              <w:rPr>
                <w:sz w:val="22"/>
                <w:szCs w:val="22"/>
              </w:rPr>
            </w:pPr>
            <w:r w:rsidRPr="0041565D">
              <w:rPr>
                <w:sz w:val="22"/>
                <w:szCs w:val="22"/>
              </w:rPr>
              <w:t>Number of Microfinance Clients (as at)</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bottom"/>
          </w:tcPr>
          <w:p w:rsidR="0041565D" w:rsidRPr="0041565D" w:rsidRDefault="0041565D" w:rsidP="0041565D">
            <w:pPr>
              <w:jc w:val="center"/>
              <w:rPr>
                <w:sz w:val="22"/>
                <w:szCs w:val="22"/>
              </w:rPr>
            </w:pPr>
            <w:r w:rsidRPr="0041565D">
              <w:rPr>
                <w:sz w:val="22"/>
                <w:szCs w:val="22"/>
              </w:rPr>
              <w:t>Change in Client Numbers</w:t>
            </w:r>
          </w:p>
        </w:tc>
      </w:tr>
      <w:tr w:rsidR="0041565D" w:rsidRPr="0041565D">
        <w:trPr>
          <w:trHeight w:val="520"/>
        </w:trPr>
        <w:tc>
          <w:tcPr>
            <w:tcW w:w="1903"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565D" w:rsidRPr="0041565D" w:rsidRDefault="0041565D" w:rsidP="0041565D">
            <w:pPr>
              <w:rPr>
                <w:sz w:val="22"/>
                <w:szCs w:val="22"/>
              </w:rPr>
            </w:pPr>
          </w:p>
        </w:tc>
        <w:tc>
          <w:tcPr>
            <w:tcW w:w="1236" w:type="dxa"/>
            <w:tcBorders>
              <w:top w:val="single" w:sz="4" w:space="0" w:color="auto"/>
              <w:left w:val="single" w:sz="4" w:space="0" w:color="auto"/>
              <w:bottom w:val="single" w:sz="4" w:space="0" w:color="auto"/>
              <w:right w:val="single" w:sz="4" w:space="0" w:color="auto"/>
            </w:tcBorders>
            <w:shd w:val="clear" w:color="auto" w:fill="auto"/>
            <w:vAlign w:val="bottom"/>
          </w:tcPr>
          <w:p w:rsidR="0041565D" w:rsidRPr="0041565D" w:rsidRDefault="0041565D" w:rsidP="0041565D">
            <w:pPr>
              <w:jc w:val="center"/>
              <w:rPr>
                <w:sz w:val="22"/>
                <w:szCs w:val="22"/>
              </w:rPr>
            </w:pPr>
            <w:r w:rsidRPr="0041565D">
              <w:rPr>
                <w:sz w:val="22"/>
                <w:szCs w:val="22"/>
              </w:rPr>
              <w:t>31-Dec-08</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bottom"/>
          </w:tcPr>
          <w:p w:rsidR="0041565D" w:rsidRPr="0041565D" w:rsidRDefault="0041565D" w:rsidP="0041565D">
            <w:pPr>
              <w:jc w:val="center"/>
              <w:rPr>
                <w:sz w:val="22"/>
                <w:szCs w:val="22"/>
              </w:rPr>
            </w:pPr>
            <w:r w:rsidRPr="0041565D">
              <w:rPr>
                <w:sz w:val="22"/>
                <w:szCs w:val="22"/>
              </w:rPr>
              <w:t>31-Dec-09</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bottom"/>
          </w:tcPr>
          <w:p w:rsidR="0041565D" w:rsidRPr="0041565D" w:rsidRDefault="0041565D" w:rsidP="0041565D">
            <w:pPr>
              <w:jc w:val="center"/>
              <w:rPr>
                <w:sz w:val="22"/>
                <w:szCs w:val="22"/>
              </w:rPr>
            </w:pPr>
            <w:r w:rsidRPr="0041565D">
              <w:rPr>
                <w:sz w:val="22"/>
                <w:szCs w:val="22"/>
              </w:rPr>
              <w:t>31-Dec-10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bottom"/>
          </w:tcPr>
          <w:p w:rsidR="0041565D" w:rsidRPr="0041565D" w:rsidRDefault="0041565D" w:rsidP="0041565D">
            <w:pPr>
              <w:jc w:val="center"/>
              <w:rPr>
                <w:sz w:val="22"/>
                <w:szCs w:val="22"/>
              </w:rPr>
            </w:pPr>
            <w:r w:rsidRPr="0041565D">
              <w:rPr>
                <w:sz w:val="22"/>
                <w:szCs w:val="22"/>
              </w:rPr>
              <w:t>30-Jun-11</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bottom"/>
          </w:tcPr>
          <w:p w:rsidR="0041565D" w:rsidRPr="0041565D" w:rsidRDefault="0041565D" w:rsidP="0041565D">
            <w:pPr>
              <w:jc w:val="center"/>
              <w:rPr>
                <w:sz w:val="22"/>
                <w:szCs w:val="22"/>
              </w:rPr>
            </w:pPr>
            <w:r w:rsidRPr="0041565D">
              <w:rPr>
                <w:sz w:val="22"/>
                <w:szCs w:val="22"/>
              </w:rPr>
              <w:t xml:space="preserve"> 31 Dec 2008 -  31 Dec 2010</w:t>
            </w:r>
          </w:p>
        </w:tc>
      </w:tr>
      <w:tr w:rsidR="0041565D" w:rsidRPr="0041565D">
        <w:trPr>
          <w:trHeight w:val="260"/>
        </w:trPr>
        <w:tc>
          <w:tcPr>
            <w:tcW w:w="19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565D" w:rsidRPr="0041565D" w:rsidRDefault="0041565D" w:rsidP="0041565D">
            <w:pPr>
              <w:rPr>
                <w:sz w:val="22"/>
                <w:szCs w:val="22"/>
              </w:rPr>
            </w:pPr>
            <w:r w:rsidRPr="0041565D">
              <w:rPr>
                <w:sz w:val="22"/>
                <w:szCs w:val="22"/>
              </w:rPr>
              <w:t>Active Clients</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565D" w:rsidRPr="0041565D" w:rsidRDefault="0041565D" w:rsidP="0041565D">
            <w:pPr>
              <w:jc w:val="right"/>
              <w:rPr>
                <w:sz w:val="22"/>
                <w:szCs w:val="22"/>
              </w:rPr>
            </w:pPr>
            <w:r w:rsidRPr="0041565D">
              <w:rPr>
                <w:sz w:val="22"/>
                <w:szCs w:val="22"/>
              </w:rPr>
              <w:t>14,112</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565D" w:rsidRPr="0041565D" w:rsidRDefault="0041565D" w:rsidP="0041565D">
            <w:pPr>
              <w:jc w:val="right"/>
              <w:rPr>
                <w:sz w:val="22"/>
                <w:szCs w:val="22"/>
              </w:rPr>
            </w:pPr>
            <w:r w:rsidRPr="0041565D">
              <w:rPr>
                <w:sz w:val="22"/>
                <w:szCs w:val="22"/>
              </w:rPr>
              <w:t>14,030</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565D" w:rsidRPr="0041565D" w:rsidRDefault="0041565D" w:rsidP="0041565D">
            <w:pPr>
              <w:jc w:val="right"/>
              <w:rPr>
                <w:sz w:val="22"/>
                <w:szCs w:val="22"/>
              </w:rPr>
            </w:pPr>
            <w:r w:rsidRPr="0041565D">
              <w:rPr>
                <w:sz w:val="22"/>
                <w:szCs w:val="22"/>
              </w:rPr>
              <w:t>16,095</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565D" w:rsidRPr="0041565D" w:rsidRDefault="0041565D" w:rsidP="0041565D">
            <w:pPr>
              <w:jc w:val="right"/>
              <w:rPr>
                <w:sz w:val="22"/>
                <w:szCs w:val="22"/>
              </w:rPr>
            </w:pPr>
            <w:r w:rsidRPr="0041565D">
              <w:rPr>
                <w:sz w:val="22"/>
                <w:szCs w:val="22"/>
              </w:rPr>
              <w:t>19,022</w:t>
            </w:r>
          </w:p>
        </w:tc>
        <w:tc>
          <w:tcPr>
            <w:tcW w:w="18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565D" w:rsidRPr="0041565D" w:rsidRDefault="0041565D" w:rsidP="0041565D">
            <w:pPr>
              <w:jc w:val="right"/>
              <w:rPr>
                <w:sz w:val="22"/>
                <w:szCs w:val="22"/>
              </w:rPr>
            </w:pPr>
            <w:r w:rsidRPr="0041565D">
              <w:rPr>
                <w:sz w:val="22"/>
                <w:szCs w:val="22"/>
              </w:rPr>
              <w:t>4,910</w:t>
            </w:r>
          </w:p>
        </w:tc>
      </w:tr>
      <w:tr w:rsidR="0041565D" w:rsidRPr="0041565D">
        <w:trPr>
          <w:trHeight w:val="260"/>
        </w:trPr>
        <w:tc>
          <w:tcPr>
            <w:tcW w:w="19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565D" w:rsidRPr="0041565D" w:rsidRDefault="0041565D" w:rsidP="0041565D">
            <w:pPr>
              <w:rPr>
                <w:sz w:val="22"/>
                <w:szCs w:val="22"/>
              </w:rPr>
            </w:pPr>
            <w:r w:rsidRPr="0041565D">
              <w:rPr>
                <w:sz w:val="22"/>
                <w:szCs w:val="22"/>
              </w:rPr>
              <w:t>Borrowers</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565D" w:rsidRPr="0041565D" w:rsidRDefault="0041565D" w:rsidP="0041565D">
            <w:pPr>
              <w:jc w:val="right"/>
              <w:rPr>
                <w:sz w:val="22"/>
                <w:szCs w:val="22"/>
              </w:rPr>
            </w:pPr>
            <w:r w:rsidRPr="0041565D">
              <w:rPr>
                <w:sz w:val="22"/>
                <w:szCs w:val="22"/>
              </w:rPr>
              <w:t>14,112</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565D" w:rsidRPr="0041565D" w:rsidRDefault="0041565D" w:rsidP="0041565D">
            <w:pPr>
              <w:jc w:val="right"/>
              <w:rPr>
                <w:sz w:val="22"/>
                <w:szCs w:val="22"/>
              </w:rPr>
            </w:pPr>
            <w:r w:rsidRPr="0041565D">
              <w:rPr>
                <w:sz w:val="22"/>
                <w:szCs w:val="22"/>
              </w:rPr>
              <w:t>14,030</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565D" w:rsidRPr="0041565D" w:rsidRDefault="0041565D" w:rsidP="0041565D">
            <w:pPr>
              <w:jc w:val="right"/>
              <w:rPr>
                <w:sz w:val="22"/>
                <w:szCs w:val="22"/>
              </w:rPr>
            </w:pPr>
            <w:r w:rsidRPr="0041565D">
              <w:rPr>
                <w:sz w:val="22"/>
                <w:szCs w:val="22"/>
              </w:rPr>
              <w:t>14,091</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565D" w:rsidRPr="0041565D" w:rsidRDefault="0041565D" w:rsidP="0041565D">
            <w:pPr>
              <w:jc w:val="right"/>
              <w:rPr>
                <w:sz w:val="22"/>
                <w:szCs w:val="22"/>
              </w:rPr>
            </w:pPr>
            <w:r w:rsidRPr="0041565D">
              <w:rPr>
                <w:sz w:val="22"/>
                <w:szCs w:val="22"/>
              </w:rPr>
              <w:t>16,935</w:t>
            </w:r>
          </w:p>
        </w:tc>
        <w:tc>
          <w:tcPr>
            <w:tcW w:w="18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565D" w:rsidRPr="0041565D" w:rsidRDefault="0041565D" w:rsidP="0041565D">
            <w:pPr>
              <w:jc w:val="right"/>
              <w:rPr>
                <w:sz w:val="22"/>
                <w:szCs w:val="22"/>
              </w:rPr>
            </w:pPr>
            <w:r w:rsidRPr="0041565D">
              <w:rPr>
                <w:sz w:val="22"/>
                <w:szCs w:val="22"/>
              </w:rPr>
              <w:t>2,823</w:t>
            </w:r>
          </w:p>
        </w:tc>
      </w:tr>
      <w:tr w:rsidR="0041565D" w:rsidRPr="0041565D">
        <w:trPr>
          <w:trHeight w:val="260"/>
        </w:trPr>
        <w:tc>
          <w:tcPr>
            <w:tcW w:w="19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565D" w:rsidRPr="0041565D" w:rsidRDefault="0041565D" w:rsidP="0041565D">
            <w:pPr>
              <w:rPr>
                <w:sz w:val="22"/>
                <w:szCs w:val="22"/>
              </w:rPr>
            </w:pPr>
            <w:r w:rsidRPr="0041565D">
              <w:rPr>
                <w:sz w:val="22"/>
                <w:szCs w:val="22"/>
              </w:rPr>
              <w:t>Women Borrowers</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565D" w:rsidRPr="0041565D" w:rsidRDefault="0041565D" w:rsidP="0041565D">
            <w:pPr>
              <w:jc w:val="right"/>
              <w:rPr>
                <w:sz w:val="22"/>
                <w:szCs w:val="22"/>
              </w:rPr>
            </w:pPr>
            <w:r w:rsidRPr="0041565D">
              <w:rPr>
                <w:sz w:val="22"/>
                <w:szCs w:val="22"/>
              </w:rPr>
              <w:t>13,095</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565D" w:rsidRPr="0041565D" w:rsidRDefault="0041565D" w:rsidP="0041565D">
            <w:pPr>
              <w:jc w:val="right"/>
              <w:rPr>
                <w:sz w:val="22"/>
                <w:szCs w:val="22"/>
              </w:rPr>
            </w:pPr>
            <w:r w:rsidRPr="0041565D">
              <w:rPr>
                <w:sz w:val="22"/>
                <w:szCs w:val="22"/>
              </w:rPr>
              <w:t>12,799</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565D" w:rsidRPr="0041565D" w:rsidRDefault="0041565D" w:rsidP="0041565D">
            <w:pPr>
              <w:jc w:val="right"/>
              <w:rPr>
                <w:sz w:val="22"/>
                <w:szCs w:val="22"/>
              </w:rPr>
            </w:pPr>
            <w:r w:rsidRPr="0041565D">
              <w:rPr>
                <w:sz w:val="22"/>
                <w:szCs w:val="22"/>
              </w:rPr>
              <w:t>13,747</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565D" w:rsidRPr="0041565D" w:rsidRDefault="0041565D" w:rsidP="0041565D">
            <w:pPr>
              <w:jc w:val="right"/>
              <w:rPr>
                <w:sz w:val="22"/>
                <w:szCs w:val="22"/>
              </w:rPr>
            </w:pPr>
            <w:r w:rsidRPr="0041565D">
              <w:rPr>
                <w:sz w:val="22"/>
                <w:szCs w:val="22"/>
              </w:rPr>
              <w:t>15,773</w:t>
            </w:r>
          </w:p>
        </w:tc>
        <w:tc>
          <w:tcPr>
            <w:tcW w:w="18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565D" w:rsidRPr="0041565D" w:rsidRDefault="0041565D" w:rsidP="0041565D">
            <w:pPr>
              <w:jc w:val="right"/>
              <w:rPr>
                <w:sz w:val="22"/>
                <w:szCs w:val="22"/>
              </w:rPr>
            </w:pPr>
            <w:r w:rsidRPr="0041565D">
              <w:rPr>
                <w:sz w:val="22"/>
                <w:szCs w:val="22"/>
              </w:rPr>
              <w:t>2,678</w:t>
            </w:r>
          </w:p>
        </w:tc>
      </w:tr>
      <w:tr w:rsidR="0041565D" w:rsidRPr="0041565D">
        <w:trPr>
          <w:trHeight w:val="260"/>
        </w:trPr>
        <w:tc>
          <w:tcPr>
            <w:tcW w:w="19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565D" w:rsidRPr="0041565D" w:rsidRDefault="0041565D" w:rsidP="0041565D">
            <w:pPr>
              <w:rPr>
                <w:sz w:val="22"/>
                <w:szCs w:val="22"/>
              </w:rPr>
            </w:pPr>
            <w:r w:rsidRPr="0041565D">
              <w:rPr>
                <w:sz w:val="22"/>
                <w:szCs w:val="22"/>
              </w:rPr>
              <w:t>Savers</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565D" w:rsidRPr="0041565D" w:rsidRDefault="0041565D" w:rsidP="0041565D">
            <w:pPr>
              <w:jc w:val="right"/>
              <w:rPr>
                <w:sz w:val="22"/>
                <w:szCs w:val="22"/>
              </w:rPr>
            </w:pPr>
            <w:r w:rsidRPr="0041565D">
              <w:rPr>
                <w:sz w:val="22"/>
                <w:szCs w:val="22"/>
              </w:rPr>
              <w:t>13,476</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565D" w:rsidRPr="0041565D" w:rsidRDefault="0041565D" w:rsidP="0041565D">
            <w:pPr>
              <w:jc w:val="right"/>
              <w:rPr>
                <w:sz w:val="22"/>
                <w:szCs w:val="22"/>
              </w:rPr>
            </w:pPr>
            <w:r w:rsidRPr="0041565D">
              <w:rPr>
                <w:sz w:val="22"/>
                <w:szCs w:val="22"/>
              </w:rPr>
              <w:t>13,915</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565D" w:rsidRPr="0041565D" w:rsidRDefault="0041565D" w:rsidP="0041565D">
            <w:pPr>
              <w:jc w:val="right"/>
              <w:rPr>
                <w:sz w:val="22"/>
                <w:szCs w:val="22"/>
              </w:rPr>
            </w:pPr>
            <w:r w:rsidRPr="0041565D">
              <w:rPr>
                <w:sz w:val="22"/>
                <w:szCs w:val="22"/>
              </w:rPr>
              <w:t>14,734</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565D" w:rsidRPr="0041565D" w:rsidRDefault="0041565D" w:rsidP="0041565D">
            <w:pPr>
              <w:jc w:val="right"/>
              <w:rPr>
                <w:sz w:val="22"/>
                <w:szCs w:val="22"/>
              </w:rPr>
            </w:pPr>
            <w:r w:rsidRPr="0041565D">
              <w:rPr>
                <w:sz w:val="22"/>
                <w:szCs w:val="22"/>
              </w:rPr>
              <w:t>16,139</w:t>
            </w:r>
          </w:p>
        </w:tc>
        <w:tc>
          <w:tcPr>
            <w:tcW w:w="18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565D" w:rsidRPr="0041565D" w:rsidRDefault="0041565D" w:rsidP="0041565D">
            <w:pPr>
              <w:jc w:val="right"/>
              <w:rPr>
                <w:sz w:val="22"/>
                <w:szCs w:val="22"/>
              </w:rPr>
            </w:pPr>
            <w:r w:rsidRPr="0041565D">
              <w:rPr>
                <w:sz w:val="22"/>
                <w:szCs w:val="22"/>
              </w:rPr>
              <w:t>2,663</w:t>
            </w:r>
          </w:p>
        </w:tc>
      </w:tr>
      <w:tr w:rsidR="0041565D" w:rsidRPr="0041565D">
        <w:trPr>
          <w:trHeight w:val="260"/>
        </w:trPr>
        <w:tc>
          <w:tcPr>
            <w:tcW w:w="19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565D" w:rsidRPr="0041565D" w:rsidRDefault="0041565D" w:rsidP="0041565D">
            <w:pPr>
              <w:rPr>
                <w:sz w:val="22"/>
                <w:szCs w:val="22"/>
              </w:rPr>
            </w:pPr>
            <w:r w:rsidRPr="0041565D">
              <w:rPr>
                <w:sz w:val="22"/>
                <w:szCs w:val="22"/>
              </w:rPr>
              <w:t>Women Savers</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565D" w:rsidRPr="0041565D" w:rsidRDefault="0041565D" w:rsidP="0041565D">
            <w:pPr>
              <w:jc w:val="right"/>
              <w:rPr>
                <w:sz w:val="22"/>
                <w:szCs w:val="22"/>
              </w:rPr>
            </w:pPr>
            <w:r w:rsidRPr="0041565D">
              <w:rPr>
                <w:sz w:val="22"/>
                <w:szCs w:val="22"/>
              </w:rPr>
              <w:t>13,470</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565D" w:rsidRPr="0041565D" w:rsidRDefault="0041565D" w:rsidP="0041565D">
            <w:pPr>
              <w:jc w:val="right"/>
              <w:rPr>
                <w:sz w:val="22"/>
                <w:szCs w:val="22"/>
              </w:rPr>
            </w:pPr>
            <w:r w:rsidRPr="0041565D">
              <w:rPr>
                <w:sz w:val="22"/>
                <w:szCs w:val="22"/>
              </w:rPr>
              <w:t>13,915</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565D" w:rsidRPr="0041565D" w:rsidRDefault="0041565D" w:rsidP="0041565D">
            <w:pPr>
              <w:jc w:val="right"/>
              <w:rPr>
                <w:sz w:val="22"/>
                <w:szCs w:val="22"/>
              </w:rPr>
            </w:pPr>
            <w:r w:rsidRPr="0041565D">
              <w:rPr>
                <w:sz w:val="22"/>
                <w:szCs w:val="22"/>
              </w:rPr>
              <w:t>14,581</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565D" w:rsidRPr="0041565D" w:rsidRDefault="0041565D" w:rsidP="0041565D">
            <w:pPr>
              <w:jc w:val="right"/>
              <w:rPr>
                <w:sz w:val="22"/>
                <w:szCs w:val="22"/>
              </w:rPr>
            </w:pPr>
            <w:r w:rsidRPr="0041565D">
              <w:rPr>
                <w:sz w:val="22"/>
                <w:szCs w:val="22"/>
              </w:rPr>
              <w:t>16,139</w:t>
            </w:r>
          </w:p>
        </w:tc>
        <w:tc>
          <w:tcPr>
            <w:tcW w:w="18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565D" w:rsidRPr="0041565D" w:rsidRDefault="0041565D" w:rsidP="0041565D">
            <w:pPr>
              <w:jc w:val="right"/>
              <w:rPr>
                <w:sz w:val="22"/>
                <w:szCs w:val="22"/>
              </w:rPr>
            </w:pPr>
            <w:r w:rsidRPr="0041565D">
              <w:rPr>
                <w:sz w:val="22"/>
                <w:szCs w:val="22"/>
              </w:rPr>
              <w:t>2,669</w:t>
            </w:r>
          </w:p>
        </w:tc>
      </w:tr>
    </w:tbl>
    <w:p w:rsidR="004A2342" w:rsidRPr="00700A74" w:rsidRDefault="004A2342" w:rsidP="000C71FC">
      <w:pPr>
        <w:pStyle w:val="Default"/>
        <w:jc w:val="both"/>
        <w:rPr>
          <w:rFonts w:ascii="Times New Roman" w:hAnsi="Times New Roman" w:cs="Times New Roman"/>
          <w:sz w:val="22"/>
          <w:szCs w:val="22"/>
          <w:highlight w:val="yellow"/>
          <w:lang w:val="en-GB" w:eastAsia="ja-JP"/>
        </w:rPr>
      </w:pPr>
    </w:p>
    <w:p w:rsidR="00A41867" w:rsidRDefault="00A41867" w:rsidP="00A41867">
      <w:pPr>
        <w:pStyle w:val="Default"/>
        <w:jc w:val="both"/>
        <w:rPr>
          <w:rFonts w:ascii="Times New Roman" w:hAnsi="Times New Roman" w:cs="Times New Roman"/>
          <w:lang w:eastAsia="ja-JP"/>
        </w:rPr>
      </w:pPr>
    </w:p>
    <w:p w:rsidR="006B4115" w:rsidRPr="00F84101" w:rsidRDefault="00E8226A" w:rsidP="00E8492D">
      <w:pPr>
        <w:tabs>
          <w:tab w:val="left" w:pos="426"/>
        </w:tabs>
        <w:jc w:val="both"/>
        <w:rPr>
          <w:lang w:eastAsia="ja-JP"/>
        </w:rPr>
      </w:pPr>
      <w:r w:rsidRPr="00F84101">
        <w:t xml:space="preserve">The project document highlights </w:t>
      </w:r>
      <w:r w:rsidR="00E14751">
        <w:t xml:space="preserve">a </w:t>
      </w:r>
      <w:r w:rsidR="00763459">
        <w:t>cross-cutting issue of gender and requires</w:t>
      </w:r>
      <w:r w:rsidRPr="00F84101">
        <w:t xml:space="preserve"> that 50% of the clients ser</w:t>
      </w:r>
      <w:r w:rsidR="00763459">
        <w:t xml:space="preserve">ved by grantees should be </w:t>
      </w:r>
      <w:r w:rsidR="00763459" w:rsidRPr="00520290">
        <w:t>women</w:t>
      </w:r>
      <w:r w:rsidRPr="00520290">
        <w:t xml:space="preserve">.  </w:t>
      </w:r>
      <w:r w:rsidR="00763459" w:rsidRPr="00520290">
        <w:t xml:space="preserve">As </w:t>
      </w:r>
      <w:r w:rsidR="00700A74" w:rsidRPr="00520290">
        <w:t>of June 2011</w:t>
      </w:r>
      <w:r w:rsidR="00763459" w:rsidRPr="00520290">
        <w:t xml:space="preserve">, </w:t>
      </w:r>
      <w:r w:rsidR="00700A74" w:rsidRPr="00520290">
        <w:t xml:space="preserve">women comprised approximately </w:t>
      </w:r>
      <w:r w:rsidR="00520290" w:rsidRPr="00520290">
        <w:t>93</w:t>
      </w:r>
      <w:r w:rsidR="00763459" w:rsidRPr="00520290">
        <w:t>%</w:t>
      </w:r>
      <w:r w:rsidR="0025695C" w:rsidRPr="00520290">
        <w:t xml:space="preserve"> </w:t>
      </w:r>
      <w:r w:rsidR="00763459" w:rsidRPr="00520290">
        <w:t>of</w:t>
      </w:r>
      <w:r w:rsidR="00520290" w:rsidRPr="00520290">
        <w:t xml:space="preserve"> borrowers and 100% of savers</w:t>
      </w:r>
      <w:r w:rsidR="00763459" w:rsidRPr="00520290">
        <w:t xml:space="preserve"> at the MFIs supported by INFUSE.</w:t>
      </w:r>
      <w:r w:rsidR="0025695C" w:rsidRPr="00520290">
        <w:t xml:space="preserve"> </w:t>
      </w:r>
      <w:r w:rsidR="00763459" w:rsidRPr="00520290">
        <w:t xml:space="preserve"> </w:t>
      </w:r>
      <w:r w:rsidR="00E8492D" w:rsidRPr="00520290">
        <w:t>In addition, b</w:t>
      </w:r>
      <w:r w:rsidR="006B4115" w:rsidRPr="00520290">
        <w:rPr>
          <w:lang w:eastAsia="ja-JP"/>
        </w:rPr>
        <w:t xml:space="preserve">oth MR and TRM were </w:t>
      </w:r>
      <w:r w:rsidR="00520290" w:rsidRPr="00520290">
        <w:rPr>
          <w:lang w:eastAsia="ja-JP"/>
        </w:rPr>
        <w:t>operationally</w:t>
      </w:r>
      <w:r w:rsidR="006B4115" w:rsidRPr="00520290">
        <w:rPr>
          <w:lang w:eastAsia="ja-JP"/>
        </w:rPr>
        <w:t xml:space="preserve"> self sufficient as at </w:t>
      </w:r>
      <w:r w:rsidR="00520290" w:rsidRPr="00520290">
        <w:rPr>
          <w:lang w:eastAsia="ja-JP"/>
        </w:rPr>
        <w:t>June 30, 2011</w:t>
      </w:r>
      <w:r w:rsidR="006B4115" w:rsidRPr="00520290">
        <w:rPr>
          <w:lang w:eastAsia="ja-JP"/>
        </w:rPr>
        <w:t>, with PAR ratios below 5%.</w:t>
      </w:r>
      <w:r w:rsidR="006B4115" w:rsidRPr="00F84101">
        <w:rPr>
          <w:lang w:eastAsia="ja-JP"/>
        </w:rPr>
        <w:t xml:space="preserve"> </w:t>
      </w:r>
    </w:p>
    <w:p w:rsidR="00FE59C8" w:rsidRDefault="00FE59C8">
      <w:pPr>
        <w:rPr>
          <w:rFonts w:eastAsia="MS Mincho"/>
          <w:color w:val="000000"/>
          <w:lang w:val="en-GB"/>
        </w:rPr>
      </w:pPr>
    </w:p>
    <w:p w:rsidR="006B25D4" w:rsidRPr="00F84101" w:rsidRDefault="006B25D4" w:rsidP="006B25D4">
      <w:pPr>
        <w:pStyle w:val="Default"/>
        <w:tabs>
          <w:tab w:val="left" w:pos="1440"/>
          <w:tab w:val="num" w:pos="1620"/>
          <w:tab w:val="left" w:pos="2160"/>
        </w:tabs>
        <w:jc w:val="both"/>
        <w:rPr>
          <w:rFonts w:ascii="Times New Roman" w:hAnsi="Times New Roman" w:cs="Times New Roman"/>
          <w:lang w:val="en-GB"/>
        </w:rPr>
      </w:pPr>
    </w:p>
    <w:p w:rsidR="006B25D4" w:rsidRPr="00F84101" w:rsidRDefault="006B25D4" w:rsidP="006B25D4">
      <w:pPr>
        <w:pStyle w:val="Default"/>
        <w:pBdr>
          <w:top w:val="single" w:sz="4" w:space="1" w:color="auto"/>
          <w:left w:val="single" w:sz="4" w:space="4" w:color="auto"/>
          <w:bottom w:val="single" w:sz="4" w:space="1" w:color="auto"/>
          <w:right w:val="single" w:sz="4" w:space="4" w:color="auto"/>
        </w:pBdr>
        <w:shd w:val="clear" w:color="auto" w:fill="CCCCCC"/>
        <w:jc w:val="both"/>
        <w:rPr>
          <w:rFonts w:ascii="Times New Roman" w:hAnsi="Times New Roman" w:cs="Times New Roman"/>
          <w:lang w:val="en-GB" w:eastAsia="ja-JP"/>
        </w:rPr>
      </w:pPr>
    </w:p>
    <w:p w:rsidR="006B25D4" w:rsidRPr="00F84101" w:rsidRDefault="006B25D4" w:rsidP="006B25D4">
      <w:pPr>
        <w:pStyle w:val="Default"/>
        <w:pBdr>
          <w:top w:val="single" w:sz="4" w:space="1" w:color="auto"/>
          <w:left w:val="single" w:sz="4" w:space="4" w:color="auto"/>
          <w:bottom w:val="single" w:sz="4" w:space="1" w:color="auto"/>
          <w:right w:val="single" w:sz="4" w:space="4" w:color="auto"/>
        </w:pBdr>
        <w:shd w:val="clear" w:color="auto" w:fill="CCCCCC"/>
        <w:jc w:val="both"/>
        <w:rPr>
          <w:rFonts w:ascii="Times New Roman" w:hAnsi="Times New Roman" w:cs="Times New Roman"/>
          <w:b/>
          <w:lang w:val="en-GB" w:eastAsia="ja-JP"/>
        </w:rPr>
      </w:pPr>
      <w:r w:rsidRPr="00F84101">
        <w:rPr>
          <w:rFonts w:ascii="Times New Roman" w:hAnsi="Times New Roman" w:cs="Times New Roman"/>
          <w:b/>
          <w:lang w:val="en-GB"/>
        </w:rPr>
        <w:t>OUTPUT 3: PROMOTING A BUSINESS SERVICES INFRASTRUCTURE</w:t>
      </w:r>
    </w:p>
    <w:p w:rsidR="006B25D4" w:rsidRPr="00F84101" w:rsidRDefault="006B25D4" w:rsidP="006B25D4">
      <w:pPr>
        <w:pStyle w:val="Default"/>
        <w:pBdr>
          <w:top w:val="single" w:sz="4" w:space="1" w:color="auto"/>
          <w:left w:val="single" w:sz="4" w:space="4" w:color="auto"/>
          <w:bottom w:val="single" w:sz="4" w:space="1" w:color="auto"/>
          <w:right w:val="single" w:sz="4" w:space="4" w:color="auto"/>
        </w:pBdr>
        <w:shd w:val="clear" w:color="auto" w:fill="CCCCCC"/>
        <w:jc w:val="both"/>
        <w:rPr>
          <w:rFonts w:ascii="Times New Roman" w:hAnsi="Times New Roman" w:cs="Times New Roman"/>
          <w:b/>
          <w:lang w:val="en-GB" w:eastAsia="ja-JP"/>
        </w:rPr>
      </w:pPr>
    </w:p>
    <w:p w:rsidR="006B25D4" w:rsidRPr="00F84101" w:rsidRDefault="006B25D4" w:rsidP="006B25D4">
      <w:pPr>
        <w:pStyle w:val="Default"/>
        <w:jc w:val="both"/>
        <w:rPr>
          <w:rFonts w:ascii="Times New Roman" w:hAnsi="Times New Roman" w:cs="Times New Roman"/>
          <w:b/>
          <w:bCs/>
          <w:color w:val="auto"/>
          <w:lang w:val="en-GB" w:eastAsia="ja-JP"/>
        </w:rPr>
      </w:pPr>
    </w:p>
    <w:p w:rsidR="006B25D4" w:rsidRPr="00F84101" w:rsidRDefault="006B25D4" w:rsidP="006B25D4">
      <w:pPr>
        <w:pBdr>
          <w:top w:val="single" w:sz="4" w:space="1" w:color="auto"/>
          <w:left w:val="single" w:sz="4" w:space="4" w:color="auto"/>
          <w:bottom w:val="single" w:sz="4" w:space="1" w:color="auto"/>
          <w:right w:val="single" w:sz="4" w:space="4" w:color="auto"/>
        </w:pBdr>
        <w:shd w:val="clear" w:color="auto" w:fill="F3F3F3"/>
        <w:jc w:val="both"/>
        <w:rPr>
          <w:b/>
          <w:i/>
          <w:lang w:eastAsia="ja-JP"/>
        </w:rPr>
      </w:pPr>
    </w:p>
    <w:p w:rsidR="006B25D4" w:rsidRPr="00F84101" w:rsidRDefault="006B25D4" w:rsidP="006B25D4">
      <w:pPr>
        <w:pBdr>
          <w:top w:val="single" w:sz="4" w:space="1" w:color="auto"/>
          <w:left w:val="single" w:sz="4" w:space="4" w:color="auto"/>
          <w:bottom w:val="single" w:sz="4" w:space="1" w:color="auto"/>
          <w:right w:val="single" w:sz="4" w:space="4" w:color="auto"/>
        </w:pBdr>
        <w:shd w:val="clear" w:color="auto" w:fill="F3F3F3"/>
        <w:jc w:val="both"/>
        <w:rPr>
          <w:b/>
          <w:i/>
          <w:lang w:eastAsia="ja-JP"/>
        </w:rPr>
      </w:pPr>
      <w:r w:rsidRPr="00F84101">
        <w:rPr>
          <w:b/>
          <w:i/>
        </w:rPr>
        <w:t xml:space="preserve">Private and public business service providers offering high-quality and market-responsive services to the financial sector are available in Timor-Leste, and a professional microfinance association (AMFITIL) is effectively representing the industry in policy dialogues*. </w:t>
      </w:r>
    </w:p>
    <w:p w:rsidR="006B25D4" w:rsidRPr="00F84101" w:rsidRDefault="006B25D4" w:rsidP="006B25D4">
      <w:pPr>
        <w:pBdr>
          <w:top w:val="single" w:sz="4" w:space="1" w:color="auto"/>
          <w:left w:val="single" w:sz="4" w:space="4" w:color="auto"/>
          <w:bottom w:val="single" w:sz="4" w:space="1" w:color="auto"/>
          <w:right w:val="single" w:sz="4" w:space="4" w:color="auto"/>
        </w:pBdr>
        <w:shd w:val="clear" w:color="auto" w:fill="F3F3F3"/>
        <w:jc w:val="both"/>
        <w:rPr>
          <w:i/>
          <w:lang w:eastAsia="ja-JP"/>
        </w:rPr>
      </w:pPr>
    </w:p>
    <w:p w:rsidR="00FB2D3A" w:rsidRDefault="00FB2D3A" w:rsidP="00FB2D3A">
      <w:pPr>
        <w:pStyle w:val="BodyText"/>
        <w:tabs>
          <w:tab w:val="left" w:pos="360"/>
        </w:tabs>
        <w:jc w:val="both"/>
        <w:rPr>
          <w:rFonts w:ascii="Times New Roman" w:hAnsi="Times New Roman" w:cs="Times New Roman"/>
          <w:snapToGrid w:val="0"/>
          <w:sz w:val="24"/>
          <w:szCs w:val="24"/>
        </w:rPr>
      </w:pPr>
    </w:p>
    <w:p w:rsidR="00FB2D3A" w:rsidRPr="00F84101" w:rsidRDefault="00FB2D3A" w:rsidP="00FB2D3A">
      <w:pPr>
        <w:pStyle w:val="Default"/>
        <w:jc w:val="both"/>
        <w:rPr>
          <w:rFonts w:ascii="Times New Roman" w:hAnsi="Times New Roman" w:cs="Times New Roman"/>
        </w:rPr>
      </w:pPr>
      <w:r w:rsidRPr="00F84101">
        <w:rPr>
          <w:rFonts w:ascii="Times New Roman" w:hAnsi="Times New Roman" w:cs="Times New Roman"/>
          <w:lang w:val="en-GB" w:eastAsia="ja-JP"/>
        </w:rPr>
        <w:t>*</w:t>
      </w:r>
      <w:r w:rsidRPr="00F84101">
        <w:rPr>
          <w:rFonts w:ascii="Times New Roman" w:hAnsi="Times New Roman" w:cs="Times New Roman"/>
          <w:snapToGrid w:val="0"/>
        </w:rPr>
        <w:t xml:space="preserve">UNCDF completed the original INFUSE </w:t>
      </w:r>
      <w:r w:rsidR="00620C25" w:rsidRPr="00F84101">
        <w:rPr>
          <w:rFonts w:ascii="Times New Roman" w:hAnsi="Times New Roman" w:cs="Times New Roman"/>
          <w:snapToGrid w:val="0"/>
        </w:rPr>
        <w:t>program</w:t>
      </w:r>
      <w:r w:rsidRPr="00F84101">
        <w:rPr>
          <w:rFonts w:ascii="Times New Roman" w:hAnsi="Times New Roman" w:cs="Times New Roman"/>
          <w:snapToGrid w:val="0"/>
        </w:rPr>
        <w:t xml:space="preserve"> design in 2005 and revised the docume</w:t>
      </w:r>
      <w:r>
        <w:rPr>
          <w:rFonts w:ascii="Times New Roman" w:hAnsi="Times New Roman" w:cs="Times New Roman"/>
          <w:snapToGrid w:val="0"/>
        </w:rPr>
        <w:t xml:space="preserve">nt after the 2006 civil unrest, which caused the cessation of many microfinance institutions. As a result, </w:t>
      </w:r>
      <w:r w:rsidRPr="00F84101">
        <w:rPr>
          <w:rFonts w:ascii="Times New Roman" w:hAnsi="Times New Roman" w:cs="Times New Roman"/>
        </w:rPr>
        <w:t>AMFITIL has been inactive since 2007 and currently the few remaining members (4) have resisted any encouragement to re-activa</w:t>
      </w:r>
      <w:r>
        <w:rPr>
          <w:rFonts w:ascii="Times New Roman" w:hAnsi="Times New Roman" w:cs="Times New Roman"/>
        </w:rPr>
        <w:t>te the association at this time.</w:t>
      </w:r>
      <w:r w:rsidR="00F53C79">
        <w:rPr>
          <w:rFonts w:ascii="Times New Roman" w:hAnsi="Times New Roman" w:cs="Times New Roman"/>
        </w:rPr>
        <w:t xml:space="preserve"> In May, 2011, it wa</w:t>
      </w:r>
      <w:r w:rsidR="00F53C79" w:rsidRPr="00F53C79">
        <w:rPr>
          <w:rFonts w:ascii="Times New Roman" w:hAnsi="Times New Roman" w:cs="Times New Roman"/>
        </w:rPr>
        <w:t xml:space="preserve">s proposed that </w:t>
      </w:r>
      <w:r w:rsidR="00F53C79">
        <w:rPr>
          <w:rFonts w:ascii="Times New Roman" w:hAnsi="Times New Roman" w:cs="Times New Roman"/>
        </w:rPr>
        <w:t xml:space="preserve">since </w:t>
      </w:r>
      <w:r w:rsidR="00F53C79" w:rsidRPr="00F53C79">
        <w:rPr>
          <w:rFonts w:ascii="Times New Roman" w:hAnsi="Times New Roman" w:cs="Times New Roman"/>
        </w:rPr>
        <w:t xml:space="preserve">these indicators have become obsolete, </w:t>
      </w:r>
      <w:r w:rsidR="00F53C79">
        <w:rPr>
          <w:rFonts w:ascii="Times New Roman" w:hAnsi="Times New Roman" w:cs="Times New Roman"/>
        </w:rPr>
        <w:t>they</w:t>
      </w:r>
      <w:r w:rsidR="00F53C79" w:rsidRPr="00F53C79">
        <w:rPr>
          <w:rFonts w:ascii="Times New Roman" w:hAnsi="Times New Roman" w:cs="Times New Roman"/>
        </w:rPr>
        <w:t xml:space="preserve"> should be replaced with targets which reflect activities focused on strengthening sector support services.</w:t>
      </w:r>
    </w:p>
    <w:p w:rsidR="00534138" w:rsidRPr="00FB2D3A" w:rsidRDefault="00534138" w:rsidP="00534138">
      <w:pPr>
        <w:pStyle w:val="Default"/>
        <w:jc w:val="both"/>
        <w:rPr>
          <w:rFonts w:ascii="Times New Roman" w:hAnsi="Times New Roman" w:cs="Times New Roman"/>
          <w:i/>
          <w:u w:val="single"/>
          <w:lang w:eastAsia="ja-JP"/>
        </w:rPr>
      </w:pPr>
    </w:p>
    <w:p w:rsidR="00534138" w:rsidRPr="00396A41" w:rsidRDefault="00534138" w:rsidP="00B45E96">
      <w:pPr>
        <w:pStyle w:val="Heading2"/>
        <w:rPr>
          <w:b/>
        </w:rPr>
      </w:pPr>
      <w:bookmarkStart w:id="38" w:name="_Toc366502974"/>
      <w:r w:rsidRPr="00396A41">
        <w:t>The following key activities implemented in s</w:t>
      </w:r>
      <w:r w:rsidR="00FE59C8">
        <w:t>upport of Output 3 from January-</w:t>
      </w:r>
      <w:r w:rsidR="00700A74">
        <w:t>June 2011</w:t>
      </w:r>
      <w:r w:rsidRPr="00396A41">
        <w:t>:</w:t>
      </w:r>
      <w:bookmarkEnd w:id="38"/>
    </w:p>
    <w:p w:rsidR="00DA2C2B" w:rsidRDefault="00DA2C2B" w:rsidP="00534138">
      <w:pPr>
        <w:pStyle w:val="Default"/>
        <w:jc w:val="both"/>
        <w:rPr>
          <w:rFonts w:ascii="Times New Roman" w:hAnsi="Times New Roman" w:cs="Times New Roman"/>
          <w:b/>
          <w:bCs/>
          <w:i/>
          <w:color w:val="auto"/>
          <w:lang w:val="en-GB" w:eastAsia="ja-JP"/>
        </w:rPr>
      </w:pPr>
    </w:p>
    <w:p w:rsidR="00DA2C2B" w:rsidRPr="002541D7" w:rsidRDefault="00DA2C2B" w:rsidP="00DA2C2B">
      <w:pPr>
        <w:pStyle w:val="Default"/>
        <w:jc w:val="both"/>
        <w:rPr>
          <w:rFonts w:ascii="Times New Roman" w:hAnsi="Times New Roman" w:cs="Times New Roman"/>
          <w:u w:val="single"/>
          <w:lang w:eastAsia="ja-JP"/>
        </w:rPr>
      </w:pPr>
      <w:r w:rsidRPr="002541D7">
        <w:rPr>
          <w:rFonts w:ascii="Times New Roman" w:hAnsi="Times New Roman" w:cs="Times New Roman"/>
          <w:u w:val="single"/>
          <w:lang w:eastAsia="ja-JP"/>
        </w:rPr>
        <w:t>MF/ Banking Certificate</w:t>
      </w:r>
      <w:r w:rsidR="00611502" w:rsidRPr="002541D7">
        <w:rPr>
          <w:rFonts w:ascii="Times New Roman" w:hAnsi="Times New Roman" w:cs="Times New Roman"/>
          <w:u w:val="single"/>
          <w:lang w:eastAsia="ja-JP"/>
        </w:rPr>
        <w:t xml:space="preserve"> for Human Resource Development </w:t>
      </w:r>
    </w:p>
    <w:p w:rsidR="00D97CA1" w:rsidRPr="00353F4A" w:rsidRDefault="00D97CA1" w:rsidP="00353F4A">
      <w:pPr>
        <w:numPr>
          <w:ilvl w:val="0"/>
          <w:numId w:val="11"/>
        </w:numPr>
        <w:tabs>
          <w:tab w:val="clear" w:pos="720"/>
          <w:tab w:val="num" w:pos="360"/>
        </w:tabs>
        <w:autoSpaceDE w:val="0"/>
        <w:autoSpaceDN w:val="0"/>
        <w:adjustRightInd w:val="0"/>
        <w:ind w:left="360"/>
        <w:jc w:val="both"/>
        <w:rPr>
          <w:lang w:eastAsia="ja-JP"/>
        </w:rPr>
      </w:pPr>
      <w:r w:rsidRPr="00353F4A">
        <w:rPr>
          <w:lang w:eastAsia="ja-JP"/>
        </w:rPr>
        <w:t xml:space="preserve">The </w:t>
      </w:r>
      <w:r w:rsidR="00993AE1" w:rsidRPr="00353F4A">
        <w:rPr>
          <w:lang w:eastAsia="ja-JP"/>
        </w:rPr>
        <w:t xml:space="preserve">report of a consultant hired to consult with the National Labor Force Development Institute (INDMO) as well as financial service providers in Timor-Leste and give recommendations </w:t>
      </w:r>
      <w:r w:rsidR="00396844" w:rsidRPr="00353F4A">
        <w:rPr>
          <w:lang w:eastAsia="ja-JP"/>
        </w:rPr>
        <w:t xml:space="preserve">for the development of certificates II and III in Microfinance and Banking was finalized. The broad goal of this activity is to address the lack of skilled human resources for the financial sector. Individual units were also finalized. The </w:t>
      </w:r>
      <w:r w:rsidRPr="00353F4A">
        <w:rPr>
          <w:lang w:eastAsia="ja-JP"/>
        </w:rPr>
        <w:t xml:space="preserve">framework of competencies will be reviewed and submitted for approval to the INDMO Sub-Commission for Administration and Finance in </w:t>
      </w:r>
      <w:r w:rsidR="00396844" w:rsidRPr="00353F4A">
        <w:rPr>
          <w:lang w:eastAsia="ja-JP"/>
        </w:rPr>
        <w:t>the 4th quarter of 2011</w:t>
      </w:r>
      <w:r w:rsidRPr="00353F4A">
        <w:rPr>
          <w:lang w:eastAsia="ja-JP"/>
        </w:rPr>
        <w:t xml:space="preserve">. </w:t>
      </w:r>
    </w:p>
    <w:p w:rsidR="00D97CA1" w:rsidRPr="00D97CA1" w:rsidRDefault="00314252" w:rsidP="00353F4A">
      <w:pPr>
        <w:numPr>
          <w:ilvl w:val="0"/>
          <w:numId w:val="11"/>
        </w:numPr>
        <w:tabs>
          <w:tab w:val="clear" w:pos="720"/>
          <w:tab w:val="num" w:pos="360"/>
        </w:tabs>
        <w:autoSpaceDE w:val="0"/>
        <w:autoSpaceDN w:val="0"/>
        <w:adjustRightInd w:val="0"/>
        <w:ind w:left="360"/>
        <w:jc w:val="both"/>
        <w:rPr>
          <w:lang w:eastAsia="ja-JP"/>
        </w:rPr>
      </w:pPr>
      <w:r w:rsidRPr="00353F4A">
        <w:rPr>
          <w:lang w:eastAsia="ja-JP"/>
        </w:rPr>
        <w:t>In the May 2011 MCIF meeting</w:t>
      </w:r>
      <w:r w:rsidR="00D97CA1" w:rsidRPr="00353F4A">
        <w:rPr>
          <w:lang w:eastAsia="ja-JP"/>
        </w:rPr>
        <w:t>,</w:t>
      </w:r>
      <w:r w:rsidRPr="00353F4A">
        <w:rPr>
          <w:lang w:eastAsia="ja-JP"/>
        </w:rPr>
        <w:t xml:space="preserve"> </w:t>
      </w:r>
      <w:r w:rsidR="00D97CA1" w:rsidRPr="00353F4A">
        <w:rPr>
          <w:lang w:eastAsia="ja-JP"/>
        </w:rPr>
        <w:t xml:space="preserve">$250,000 was earmarked to procure an expert training service provider for phase two of the multi-phase consultancy to develop learning guides and </w:t>
      </w:r>
      <w:r w:rsidR="00D97CA1" w:rsidRPr="00353F4A">
        <w:rPr>
          <w:lang w:eastAsia="ja-JP"/>
        </w:rPr>
        <w:lastRenderedPageBreak/>
        <w:t>training modules for the microfinance and banking competency certificate under the following conditions:</w:t>
      </w:r>
    </w:p>
    <w:p w:rsidR="00396844" w:rsidRDefault="00396844" w:rsidP="00D97CA1">
      <w:pPr>
        <w:numPr>
          <w:ilvl w:val="0"/>
          <w:numId w:val="26"/>
        </w:numPr>
        <w:autoSpaceDE w:val="0"/>
        <w:autoSpaceDN w:val="0"/>
        <w:adjustRightInd w:val="0"/>
        <w:jc w:val="both"/>
        <w:rPr>
          <w:lang w:eastAsia="ja-JP"/>
        </w:rPr>
      </w:pPr>
      <w:r>
        <w:rPr>
          <w:lang w:eastAsia="ja-JP"/>
        </w:rPr>
        <w:t>The ‘keeper’ of the training guides/modules is defined so as to ensure continued access to them.</w:t>
      </w:r>
    </w:p>
    <w:p w:rsidR="00396844" w:rsidRDefault="00396844" w:rsidP="00D97CA1">
      <w:pPr>
        <w:numPr>
          <w:ilvl w:val="0"/>
          <w:numId w:val="26"/>
        </w:numPr>
        <w:autoSpaceDE w:val="0"/>
        <w:autoSpaceDN w:val="0"/>
        <w:adjustRightInd w:val="0"/>
        <w:jc w:val="both"/>
        <w:rPr>
          <w:lang w:eastAsia="ja-JP"/>
        </w:rPr>
      </w:pPr>
      <w:r>
        <w:rPr>
          <w:lang w:eastAsia="ja-JP"/>
        </w:rPr>
        <w:t>The training tools will not be made proprietary to anyone, but will be available for use by any training service provider or financial service provider so that training may be conducted in-house by any financial service provider.</w:t>
      </w:r>
    </w:p>
    <w:p w:rsidR="00396844" w:rsidRDefault="00396844" w:rsidP="00396844">
      <w:pPr>
        <w:numPr>
          <w:ilvl w:val="0"/>
          <w:numId w:val="26"/>
        </w:numPr>
        <w:autoSpaceDE w:val="0"/>
        <w:autoSpaceDN w:val="0"/>
        <w:adjustRightInd w:val="0"/>
        <w:jc w:val="both"/>
        <w:rPr>
          <w:lang w:eastAsia="ja-JP"/>
        </w:rPr>
      </w:pPr>
      <w:r>
        <w:rPr>
          <w:lang w:eastAsia="ja-JP"/>
        </w:rPr>
        <w:t>The financial sector endorses the work.</w:t>
      </w:r>
    </w:p>
    <w:p w:rsidR="00396844" w:rsidRDefault="00396844" w:rsidP="00396844">
      <w:pPr>
        <w:numPr>
          <w:ilvl w:val="1"/>
          <w:numId w:val="9"/>
        </w:numPr>
        <w:tabs>
          <w:tab w:val="clear" w:pos="1440"/>
          <w:tab w:val="num" w:pos="360"/>
        </w:tabs>
        <w:autoSpaceDE w:val="0"/>
        <w:autoSpaceDN w:val="0"/>
        <w:adjustRightInd w:val="0"/>
        <w:ind w:left="360"/>
        <w:jc w:val="both"/>
        <w:rPr>
          <w:bCs/>
        </w:rPr>
      </w:pPr>
      <w:r w:rsidRPr="00396844">
        <w:rPr>
          <w:bCs/>
        </w:rPr>
        <w:t>A revised strategy to promote financial education was proposed and approved by the MCIF. INFUSE will promote financial educat</w:t>
      </w:r>
      <w:r w:rsidR="00353F4A">
        <w:rPr>
          <w:bCs/>
        </w:rPr>
        <w:t>ion through implementation of di</w:t>
      </w:r>
      <w:r w:rsidRPr="00396844">
        <w:rPr>
          <w:bCs/>
        </w:rPr>
        <w:t>screte activities, including:</w:t>
      </w:r>
    </w:p>
    <w:p w:rsidR="00353F4A" w:rsidRPr="00353F4A" w:rsidRDefault="00396844" w:rsidP="00396844">
      <w:pPr>
        <w:numPr>
          <w:ilvl w:val="0"/>
          <w:numId w:val="26"/>
        </w:numPr>
        <w:autoSpaceDE w:val="0"/>
        <w:autoSpaceDN w:val="0"/>
        <w:adjustRightInd w:val="0"/>
        <w:jc w:val="both"/>
        <w:rPr>
          <w:lang w:eastAsia="ja-JP"/>
        </w:rPr>
      </w:pPr>
      <w:r w:rsidRPr="00353F4A">
        <w:rPr>
          <w:lang w:eastAsia="ja-JP"/>
        </w:rPr>
        <w:t xml:space="preserve">Relevant research on level of financial competencies which will inform the development of financial </w:t>
      </w:r>
      <w:r w:rsidR="00AE0818" w:rsidRPr="00353F4A">
        <w:rPr>
          <w:lang w:eastAsia="ja-JP"/>
        </w:rPr>
        <w:t>competencies, which will inform the development of financial education activities, and will also be useful to advocate government, donors and other stakeholders to support/promote financial education.</w:t>
      </w:r>
    </w:p>
    <w:p w:rsidR="00353F4A" w:rsidRDefault="00353F4A" w:rsidP="00396844">
      <w:pPr>
        <w:numPr>
          <w:ilvl w:val="0"/>
          <w:numId w:val="26"/>
        </w:numPr>
        <w:autoSpaceDE w:val="0"/>
        <w:autoSpaceDN w:val="0"/>
        <w:adjustRightInd w:val="0"/>
        <w:jc w:val="both"/>
        <w:rPr>
          <w:lang w:eastAsia="ja-JP"/>
        </w:rPr>
      </w:pPr>
      <w:r>
        <w:rPr>
          <w:lang w:eastAsia="ja-JP"/>
        </w:rPr>
        <w:t>Development of social marketing tools to address priority needs through key messages (based on research findings.)</w:t>
      </w:r>
    </w:p>
    <w:p w:rsidR="00396844" w:rsidRPr="00353F4A" w:rsidRDefault="00396844" w:rsidP="00353F4A">
      <w:pPr>
        <w:autoSpaceDE w:val="0"/>
        <w:autoSpaceDN w:val="0"/>
        <w:adjustRightInd w:val="0"/>
        <w:ind w:left="1080"/>
        <w:jc w:val="both"/>
        <w:rPr>
          <w:lang w:eastAsia="ja-JP"/>
        </w:rPr>
      </w:pPr>
    </w:p>
    <w:p w:rsidR="006B25D4" w:rsidRPr="004E0D0A" w:rsidRDefault="006B25D4" w:rsidP="00BB2E12">
      <w:pPr>
        <w:pStyle w:val="Default"/>
        <w:tabs>
          <w:tab w:val="left" w:pos="1440"/>
          <w:tab w:val="num" w:pos="1620"/>
          <w:tab w:val="left" w:pos="2160"/>
        </w:tabs>
        <w:jc w:val="both"/>
        <w:rPr>
          <w:rFonts w:ascii="Times New Roman" w:hAnsi="Times New Roman" w:cs="Times New Roman"/>
        </w:rPr>
      </w:pPr>
    </w:p>
    <w:p w:rsidR="006B25D4" w:rsidRPr="00F84101" w:rsidRDefault="006B25D4" w:rsidP="00BB2E12">
      <w:pPr>
        <w:pStyle w:val="Default"/>
        <w:pBdr>
          <w:top w:val="single" w:sz="4" w:space="1" w:color="auto"/>
          <w:left w:val="single" w:sz="4" w:space="4" w:color="auto"/>
          <w:bottom w:val="single" w:sz="4" w:space="1" w:color="auto"/>
          <w:right w:val="single" w:sz="4" w:space="4" w:color="auto"/>
        </w:pBdr>
        <w:shd w:val="clear" w:color="auto" w:fill="CCCCCC"/>
        <w:jc w:val="both"/>
        <w:rPr>
          <w:rFonts w:ascii="Times New Roman" w:hAnsi="Times New Roman" w:cs="Times New Roman"/>
          <w:b/>
          <w:lang w:val="en-GB" w:eastAsia="ja-JP"/>
        </w:rPr>
      </w:pPr>
    </w:p>
    <w:p w:rsidR="006B25D4" w:rsidRPr="00F84101" w:rsidRDefault="006B25D4" w:rsidP="006B25D4">
      <w:pPr>
        <w:pStyle w:val="Default"/>
        <w:pBdr>
          <w:top w:val="single" w:sz="4" w:space="1" w:color="auto"/>
          <w:left w:val="single" w:sz="4" w:space="4" w:color="auto"/>
          <w:bottom w:val="single" w:sz="4" w:space="1" w:color="auto"/>
          <w:right w:val="single" w:sz="4" w:space="4" w:color="auto"/>
        </w:pBdr>
        <w:shd w:val="clear" w:color="auto" w:fill="CCCCCC"/>
        <w:jc w:val="both"/>
        <w:rPr>
          <w:rFonts w:ascii="Times New Roman" w:hAnsi="Times New Roman" w:cs="Times New Roman"/>
          <w:b/>
          <w:lang w:val="en-GB"/>
        </w:rPr>
      </w:pPr>
      <w:r w:rsidRPr="00F84101">
        <w:rPr>
          <w:rFonts w:ascii="Times New Roman" w:hAnsi="Times New Roman" w:cs="Times New Roman"/>
          <w:b/>
          <w:lang w:val="en-GB"/>
        </w:rPr>
        <w:t>ADDITIONAL ACTIVITIES</w:t>
      </w:r>
    </w:p>
    <w:p w:rsidR="006B25D4" w:rsidRPr="00F84101" w:rsidRDefault="006B25D4" w:rsidP="006B25D4">
      <w:pPr>
        <w:pStyle w:val="Default"/>
        <w:pBdr>
          <w:top w:val="single" w:sz="4" w:space="1" w:color="auto"/>
          <w:left w:val="single" w:sz="4" w:space="4" w:color="auto"/>
          <w:bottom w:val="single" w:sz="4" w:space="1" w:color="auto"/>
          <w:right w:val="single" w:sz="4" w:space="4" w:color="auto"/>
        </w:pBdr>
        <w:shd w:val="clear" w:color="auto" w:fill="CCCCCC"/>
        <w:jc w:val="both"/>
        <w:rPr>
          <w:rFonts w:ascii="Times New Roman" w:hAnsi="Times New Roman" w:cs="Times New Roman"/>
          <w:lang w:val="en-GB" w:eastAsia="ja-JP"/>
        </w:rPr>
      </w:pPr>
    </w:p>
    <w:p w:rsidR="004D6ECC" w:rsidRDefault="004D6ECC" w:rsidP="004D6ECC">
      <w:pPr>
        <w:pStyle w:val="BodyText"/>
        <w:widowControl w:val="0"/>
        <w:jc w:val="both"/>
        <w:rPr>
          <w:rFonts w:ascii="Times New Roman" w:hAnsi="Times New Roman" w:cs="Times New Roman"/>
          <w:sz w:val="24"/>
          <w:szCs w:val="24"/>
          <w:u w:val="single"/>
          <w:lang w:eastAsia="ja-JP"/>
        </w:rPr>
      </w:pPr>
    </w:p>
    <w:p w:rsidR="004D6ECC" w:rsidRDefault="004D6ECC" w:rsidP="004D6ECC">
      <w:pPr>
        <w:autoSpaceDE w:val="0"/>
        <w:autoSpaceDN w:val="0"/>
        <w:adjustRightInd w:val="0"/>
        <w:jc w:val="both"/>
      </w:pPr>
    </w:p>
    <w:p w:rsidR="004D6ECC" w:rsidRPr="00090ACA" w:rsidRDefault="004D6ECC" w:rsidP="004D6ECC">
      <w:pPr>
        <w:pStyle w:val="Default"/>
        <w:jc w:val="both"/>
        <w:rPr>
          <w:rFonts w:ascii="Times New Roman" w:hAnsi="Times New Roman" w:cs="Times New Roman"/>
          <w:u w:val="single"/>
          <w:lang w:eastAsia="ja-JP"/>
        </w:rPr>
      </w:pPr>
      <w:r w:rsidRPr="00090ACA">
        <w:rPr>
          <w:rFonts w:ascii="Times New Roman" w:hAnsi="Times New Roman" w:cs="Times New Roman"/>
          <w:u w:val="single"/>
          <w:lang w:eastAsia="ja-JP"/>
        </w:rPr>
        <w:t>Cash Distribution</w:t>
      </w:r>
    </w:p>
    <w:p w:rsidR="007636EB" w:rsidRDefault="007636EB" w:rsidP="00B65371">
      <w:pPr>
        <w:numPr>
          <w:ilvl w:val="1"/>
          <w:numId w:val="9"/>
        </w:numPr>
        <w:tabs>
          <w:tab w:val="clear" w:pos="1440"/>
          <w:tab w:val="num" w:pos="360"/>
        </w:tabs>
        <w:autoSpaceDE w:val="0"/>
        <w:autoSpaceDN w:val="0"/>
        <w:adjustRightInd w:val="0"/>
        <w:ind w:left="360"/>
        <w:jc w:val="both"/>
      </w:pPr>
      <w:r>
        <w:rPr>
          <w:lang w:val="en-GB" w:eastAsia="ja-JP"/>
        </w:rPr>
        <w:t xml:space="preserve">INFUSE facilitated the work of an intern to conduct an </w:t>
      </w:r>
      <w:r w:rsidRPr="00EE66AD">
        <w:t>assessment of the cash distribution mechanisms currently in use in the financial system</w:t>
      </w:r>
      <w:r>
        <w:t xml:space="preserve"> in Timor-Leste</w:t>
      </w:r>
      <w:r w:rsidRPr="00EE66AD">
        <w:t>,</w:t>
      </w:r>
      <w:r>
        <w:t xml:space="preserve"> in order to</w:t>
      </w:r>
      <w:r w:rsidRPr="00EE66AD">
        <w:t xml:space="preserve"> identify the main challenges and propose solutions to minimize the risks/costs involved and </w:t>
      </w:r>
      <w:bookmarkStart w:id="39" w:name="OLE_LINK33"/>
      <w:bookmarkStart w:id="40" w:name="OLE_LINK34"/>
      <w:r w:rsidRPr="00EE66AD">
        <w:t>extend t</w:t>
      </w:r>
      <w:r>
        <w:t>he financial services in the unders</w:t>
      </w:r>
      <w:r w:rsidRPr="00EE66AD">
        <w:t>erved rural areas</w:t>
      </w:r>
      <w:bookmarkEnd w:id="39"/>
      <w:bookmarkEnd w:id="40"/>
      <w:r w:rsidRPr="00EE66AD">
        <w:t>.</w:t>
      </w:r>
    </w:p>
    <w:p w:rsidR="00BB2E12" w:rsidRPr="008E216A" w:rsidRDefault="007636EB" w:rsidP="00BB2E12">
      <w:pPr>
        <w:numPr>
          <w:ilvl w:val="1"/>
          <w:numId w:val="9"/>
        </w:numPr>
        <w:tabs>
          <w:tab w:val="clear" w:pos="1440"/>
          <w:tab w:val="num" w:pos="360"/>
        </w:tabs>
        <w:autoSpaceDE w:val="0"/>
        <w:autoSpaceDN w:val="0"/>
        <w:adjustRightInd w:val="0"/>
        <w:ind w:left="360"/>
        <w:jc w:val="both"/>
        <w:rPr>
          <w:lang w:val="en-GB" w:eastAsia="ja-JP"/>
        </w:rPr>
      </w:pPr>
      <w:r>
        <w:rPr>
          <w:lang w:val="en-GB" w:eastAsia="ja-JP"/>
        </w:rPr>
        <w:t xml:space="preserve">Worked together with the </w:t>
      </w:r>
      <w:r w:rsidRPr="007636EB">
        <w:rPr>
          <w:lang w:val="en-GB" w:eastAsia="ja-JP"/>
        </w:rPr>
        <w:t>Ministry of Finance</w:t>
      </w:r>
      <w:r>
        <w:rPr>
          <w:lang w:val="en-GB" w:eastAsia="ja-JP"/>
        </w:rPr>
        <w:t>,</w:t>
      </w:r>
      <w:r w:rsidRPr="007636EB">
        <w:rPr>
          <w:lang w:val="en-GB" w:eastAsia="ja-JP"/>
        </w:rPr>
        <w:t xml:space="preserve"> </w:t>
      </w:r>
      <w:r>
        <w:rPr>
          <w:lang w:val="en-GB" w:eastAsia="ja-JP"/>
        </w:rPr>
        <w:t>ADB,</w:t>
      </w:r>
      <w:r w:rsidRPr="007636EB">
        <w:rPr>
          <w:lang w:val="en-GB" w:eastAsia="ja-JP"/>
        </w:rPr>
        <w:t xml:space="preserve"> and the Better Business Initiative (led by IFC) to assess whether and how government pension and social service payments could be delivered by electronic means, thereby reducing the cost of delivery while increasing speed and security. This will be a key step to expanding access to financial services for the rural Timorese who today expend considerable time and money collecting their payments.</w:t>
      </w:r>
      <w:r w:rsidR="007F584B" w:rsidRPr="00186572">
        <w:rPr>
          <w:lang w:val="en-GB" w:eastAsia="ja-JP"/>
        </w:rPr>
        <w:br/>
      </w:r>
    </w:p>
    <w:p w:rsidR="00304CE1" w:rsidRPr="00F84101" w:rsidRDefault="00304CE1" w:rsidP="00B45E96">
      <w:pPr>
        <w:pStyle w:val="Heading1"/>
        <w:numPr>
          <w:ilvl w:val="0"/>
          <w:numId w:val="29"/>
        </w:numPr>
      </w:pPr>
      <w:bookmarkStart w:id="41" w:name="_Toc288468712"/>
      <w:bookmarkStart w:id="42" w:name="_Toc366502975"/>
      <w:r>
        <w:t>Work Plan 2011</w:t>
      </w:r>
      <w:bookmarkEnd w:id="41"/>
      <w:bookmarkEnd w:id="42"/>
    </w:p>
    <w:p w:rsidR="006B25D4" w:rsidRPr="00F84101" w:rsidRDefault="006B25D4" w:rsidP="006B25D4">
      <w:pPr>
        <w:pStyle w:val="BodyText"/>
        <w:rPr>
          <w:rFonts w:ascii="Times New Roman" w:hAnsi="Times New Roman" w:cs="Times New Roman"/>
          <w:sz w:val="24"/>
          <w:szCs w:val="24"/>
          <w:lang w:eastAsia="ja-JP"/>
        </w:rPr>
      </w:pPr>
    </w:p>
    <w:p w:rsidR="006B25D4" w:rsidRPr="002541D7" w:rsidRDefault="00353F4A" w:rsidP="006B25D4">
      <w:pPr>
        <w:pStyle w:val="BodyText"/>
        <w:rPr>
          <w:rFonts w:ascii="Times New Roman" w:hAnsi="Times New Roman" w:cs="Times New Roman"/>
          <w:i/>
          <w:sz w:val="24"/>
          <w:szCs w:val="24"/>
          <w:lang w:eastAsia="ja-JP"/>
        </w:rPr>
      </w:pPr>
      <w:r>
        <w:rPr>
          <w:rFonts w:ascii="Times New Roman" w:hAnsi="Times New Roman" w:cs="Times New Roman"/>
          <w:i/>
          <w:sz w:val="24"/>
          <w:szCs w:val="24"/>
          <w:lang w:eastAsia="ja-JP"/>
        </w:rPr>
        <w:t>From July-December</w:t>
      </w:r>
      <w:r w:rsidR="00F4300F" w:rsidRPr="002541D7">
        <w:rPr>
          <w:rFonts w:ascii="Times New Roman" w:hAnsi="Times New Roman" w:cs="Times New Roman"/>
          <w:i/>
          <w:sz w:val="24"/>
          <w:szCs w:val="24"/>
          <w:lang w:eastAsia="ja-JP"/>
        </w:rPr>
        <w:t xml:space="preserve"> 2011</w:t>
      </w:r>
      <w:r w:rsidR="006B25D4" w:rsidRPr="002541D7">
        <w:rPr>
          <w:rFonts w:ascii="Times New Roman" w:hAnsi="Times New Roman" w:cs="Times New Roman"/>
          <w:i/>
          <w:sz w:val="24"/>
          <w:szCs w:val="24"/>
          <w:lang w:eastAsia="ja-JP"/>
        </w:rPr>
        <w:t>, the following activities are planned under each of the following Outputs</w:t>
      </w:r>
      <w:r w:rsidR="00872A76">
        <w:rPr>
          <w:rFonts w:ascii="Times New Roman" w:hAnsi="Times New Roman" w:cs="Times New Roman"/>
          <w:i/>
          <w:sz w:val="24"/>
          <w:szCs w:val="24"/>
          <w:lang w:eastAsia="ja-JP"/>
        </w:rPr>
        <w:t xml:space="preserve"> and will be approved by the MCIF in the next meeting</w:t>
      </w:r>
      <w:r w:rsidR="006B25D4" w:rsidRPr="002541D7">
        <w:rPr>
          <w:rFonts w:ascii="Times New Roman" w:hAnsi="Times New Roman" w:cs="Times New Roman"/>
          <w:i/>
          <w:sz w:val="24"/>
          <w:szCs w:val="24"/>
          <w:lang w:eastAsia="ja-JP"/>
        </w:rPr>
        <w:t>:</w:t>
      </w:r>
    </w:p>
    <w:p w:rsidR="006B25D4" w:rsidRPr="00F84101" w:rsidRDefault="006B25D4" w:rsidP="006B25D4">
      <w:pPr>
        <w:pStyle w:val="BodyText"/>
        <w:rPr>
          <w:rFonts w:ascii="Times New Roman" w:hAnsi="Times New Roman" w:cs="Times New Roman"/>
          <w:sz w:val="24"/>
          <w:szCs w:val="24"/>
          <w:lang w:eastAsia="ja-JP"/>
        </w:rPr>
      </w:pPr>
    </w:p>
    <w:p w:rsidR="006B25D4" w:rsidRPr="00F84101" w:rsidRDefault="006B25D4" w:rsidP="006B25D4">
      <w:pPr>
        <w:pBdr>
          <w:top w:val="single" w:sz="4" w:space="1" w:color="auto"/>
          <w:left w:val="single" w:sz="4" w:space="4" w:color="auto"/>
          <w:bottom w:val="single" w:sz="4" w:space="1" w:color="auto"/>
          <w:right w:val="single" w:sz="4" w:space="4" w:color="auto"/>
        </w:pBdr>
        <w:shd w:val="clear" w:color="auto" w:fill="CCCCCC"/>
        <w:jc w:val="both"/>
        <w:rPr>
          <w:b/>
          <w:caps/>
          <w:lang w:eastAsia="ja-JP"/>
        </w:rPr>
      </w:pPr>
      <w:r w:rsidRPr="00F84101">
        <w:rPr>
          <w:b/>
          <w:bCs/>
        </w:rPr>
        <w:t xml:space="preserve">OUTPUT 1: </w:t>
      </w:r>
      <w:r w:rsidRPr="00F84101">
        <w:rPr>
          <w:b/>
          <w:caps/>
        </w:rPr>
        <w:t>ACHIEVING A POLICY</w:t>
      </w:r>
      <w:r w:rsidRPr="00F84101">
        <w:rPr>
          <w:b/>
          <w:caps/>
          <w:lang w:eastAsia="ja-JP"/>
        </w:rPr>
        <w:t xml:space="preserve"> </w:t>
      </w:r>
      <w:r w:rsidRPr="00F84101">
        <w:rPr>
          <w:b/>
          <w:caps/>
        </w:rPr>
        <w:t>/</w:t>
      </w:r>
      <w:r w:rsidRPr="00F84101">
        <w:rPr>
          <w:b/>
          <w:caps/>
          <w:lang w:eastAsia="ja-JP"/>
        </w:rPr>
        <w:t xml:space="preserve"> </w:t>
      </w:r>
      <w:r w:rsidRPr="00F84101">
        <w:rPr>
          <w:b/>
          <w:caps/>
        </w:rPr>
        <w:t>VISION STATEMENT</w:t>
      </w:r>
      <w:r w:rsidRPr="00F84101">
        <w:rPr>
          <w:b/>
          <w:caps/>
          <w:lang w:eastAsia="ja-JP"/>
        </w:rPr>
        <w:t xml:space="preserve"> </w:t>
      </w:r>
    </w:p>
    <w:p w:rsidR="006B25D4" w:rsidRPr="00F84101" w:rsidRDefault="006B25D4" w:rsidP="006B25D4">
      <w:pPr>
        <w:pStyle w:val="BodyText"/>
        <w:rPr>
          <w:rFonts w:ascii="Times New Roman" w:hAnsi="Times New Roman" w:cs="Times New Roman"/>
          <w:sz w:val="24"/>
          <w:szCs w:val="24"/>
          <w:lang w:eastAsia="ja-JP"/>
        </w:rPr>
      </w:pPr>
    </w:p>
    <w:p w:rsidR="0023039F" w:rsidRPr="007505B1" w:rsidRDefault="007505B1" w:rsidP="00B65371">
      <w:pPr>
        <w:pStyle w:val="BodyText"/>
        <w:numPr>
          <w:ilvl w:val="0"/>
          <w:numId w:val="10"/>
        </w:numPr>
        <w:tabs>
          <w:tab w:val="clear" w:pos="720"/>
          <w:tab w:val="num" w:pos="360"/>
        </w:tabs>
        <w:ind w:left="360"/>
        <w:jc w:val="both"/>
        <w:rPr>
          <w:rFonts w:ascii="Times New Roman" w:hAnsi="Times New Roman" w:cs="Times New Roman"/>
          <w:sz w:val="24"/>
          <w:szCs w:val="24"/>
          <w:lang w:eastAsia="ja-JP"/>
        </w:rPr>
      </w:pPr>
      <w:r w:rsidRPr="007505B1">
        <w:rPr>
          <w:rFonts w:ascii="Times New Roman" w:hAnsi="Times New Roman" w:cs="Times New Roman"/>
          <w:sz w:val="24"/>
          <w:szCs w:val="24"/>
        </w:rPr>
        <w:t>INFUSE will pro</w:t>
      </w:r>
      <w:r w:rsidR="0023039F">
        <w:rPr>
          <w:rFonts w:ascii="Times New Roman" w:hAnsi="Times New Roman" w:cs="Times New Roman"/>
          <w:sz w:val="24"/>
          <w:szCs w:val="24"/>
        </w:rPr>
        <w:t xml:space="preserve">cure </w:t>
      </w:r>
      <w:r w:rsidR="00B469D1">
        <w:rPr>
          <w:rFonts w:ascii="Times New Roman" w:hAnsi="Times New Roman" w:cs="Times New Roman"/>
          <w:sz w:val="24"/>
          <w:szCs w:val="24"/>
        </w:rPr>
        <w:t>technical assistance for the BPA to develop supervision guidelines and capacity build staff to assist with the implementation of</w:t>
      </w:r>
      <w:r w:rsidR="0023039F">
        <w:rPr>
          <w:rFonts w:ascii="Times New Roman" w:hAnsi="Times New Roman" w:cs="Times New Roman"/>
          <w:sz w:val="24"/>
          <w:szCs w:val="24"/>
        </w:rPr>
        <w:t xml:space="preserve"> the </w:t>
      </w:r>
      <w:r w:rsidR="00B469D1">
        <w:rPr>
          <w:rFonts w:ascii="Times New Roman" w:hAnsi="Times New Roman" w:cs="Times New Roman"/>
          <w:sz w:val="24"/>
          <w:szCs w:val="24"/>
        </w:rPr>
        <w:t xml:space="preserve">new </w:t>
      </w:r>
      <w:r w:rsidR="0023039F">
        <w:rPr>
          <w:rFonts w:ascii="Times New Roman" w:hAnsi="Times New Roman" w:cs="Times New Roman"/>
          <w:sz w:val="24"/>
          <w:szCs w:val="24"/>
        </w:rPr>
        <w:t>OTDI</w:t>
      </w:r>
      <w:r w:rsidR="00B469D1">
        <w:rPr>
          <w:rFonts w:ascii="Times New Roman" w:hAnsi="Times New Roman" w:cs="Times New Roman"/>
          <w:sz w:val="24"/>
          <w:szCs w:val="24"/>
        </w:rPr>
        <w:t xml:space="preserve"> instruction</w:t>
      </w:r>
      <w:r w:rsidRPr="007505B1">
        <w:rPr>
          <w:rFonts w:ascii="Times New Roman" w:hAnsi="Times New Roman" w:cs="Times New Roman"/>
          <w:sz w:val="24"/>
          <w:szCs w:val="24"/>
        </w:rPr>
        <w:t>.</w:t>
      </w:r>
    </w:p>
    <w:p w:rsidR="00872A76" w:rsidRPr="007505B1" w:rsidRDefault="00872A76" w:rsidP="00B65371">
      <w:pPr>
        <w:pStyle w:val="BodyText"/>
        <w:widowControl w:val="0"/>
        <w:numPr>
          <w:ilvl w:val="0"/>
          <w:numId w:val="10"/>
        </w:numPr>
        <w:tabs>
          <w:tab w:val="clear" w:pos="720"/>
          <w:tab w:val="num" w:pos="360"/>
        </w:tabs>
        <w:ind w:left="360"/>
        <w:jc w:val="both"/>
        <w:rPr>
          <w:rFonts w:ascii="Times New Roman" w:hAnsi="Times New Roman" w:cs="Times New Roman"/>
          <w:sz w:val="24"/>
          <w:szCs w:val="24"/>
          <w:lang w:eastAsia="ja-JP"/>
        </w:rPr>
      </w:pPr>
      <w:r>
        <w:rPr>
          <w:rFonts w:ascii="Times New Roman" w:hAnsi="Times New Roman" w:cs="Times New Roman"/>
          <w:sz w:val="24"/>
          <w:szCs w:val="24"/>
          <w:lang w:eastAsia="ja-JP"/>
        </w:rPr>
        <w:t>INFUSE will coordinate with donors for the financial sector including IFC’s new Pacific Microfinance Initiative</w:t>
      </w:r>
      <w:r w:rsidR="00E207B6">
        <w:rPr>
          <w:rFonts w:ascii="Times New Roman" w:hAnsi="Times New Roman" w:cs="Times New Roman"/>
          <w:sz w:val="24"/>
          <w:szCs w:val="24"/>
          <w:lang w:eastAsia="ja-JP"/>
        </w:rPr>
        <w:t xml:space="preserve"> (PMI)</w:t>
      </w:r>
      <w:r>
        <w:rPr>
          <w:rFonts w:ascii="Times New Roman" w:hAnsi="Times New Roman" w:cs="Times New Roman"/>
          <w:sz w:val="24"/>
          <w:szCs w:val="24"/>
          <w:lang w:eastAsia="ja-JP"/>
        </w:rPr>
        <w:t>, and continue to seek additional funding to complete the INFUSE funding gap.</w:t>
      </w:r>
    </w:p>
    <w:p w:rsidR="006B25D4" w:rsidRPr="00F84101" w:rsidRDefault="006B25D4" w:rsidP="006B25D4">
      <w:pPr>
        <w:autoSpaceDE w:val="0"/>
        <w:autoSpaceDN w:val="0"/>
        <w:adjustRightInd w:val="0"/>
        <w:jc w:val="both"/>
      </w:pPr>
    </w:p>
    <w:p w:rsidR="006B25D4" w:rsidRPr="00F84101" w:rsidRDefault="006B25D4" w:rsidP="006B25D4">
      <w:pPr>
        <w:pBdr>
          <w:top w:val="single" w:sz="4" w:space="2" w:color="auto"/>
          <w:left w:val="single" w:sz="4" w:space="4" w:color="auto"/>
          <w:bottom w:val="single" w:sz="4" w:space="1" w:color="auto"/>
          <w:right w:val="single" w:sz="4" w:space="4" w:color="auto"/>
        </w:pBdr>
        <w:shd w:val="clear" w:color="auto" w:fill="CCCCCC"/>
        <w:jc w:val="both"/>
        <w:rPr>
          <w:b/>
          <w:lang w:eastAsia="ja-JP"/>
        </w:rPr>
      </w:pPr>
      <w:r w:rsidRPr="00F84101">
        <w:rPr>
          <w:b/>
          <w:lang w:eastAsia="ja-JP"/>
        </w:rPr>
        <w:t>OUTPUT 2: INCREASED OUTREACH OF SUSTAINABLE FINANCIAL SERVICES</w:t>
      </w:r>
    </w:p>
    <w:p w:rsidR="006B25D4" w:rsidRPr="00F84101" w:rsidRDefault="006B25D4" w:rsidP="006B25D4">
      <w:pPr>
        <w:autoSpaceDE w:val="0"/>
        <w:autoSpaceDN w:val="0"/>
        <w:adjustRightInd w:val="0"/>
        <w:jc w:val="both"/>
      </w:pPr>
    </w:p>
    <w:p w:rsidR="00D54750" w:rsidRPr="000566C9" w:rsidRDefault="006B25D4" w:rsidP="00B65371">
      <w:pPr>
        <w:numPr>
          <w:ilvl w:val="0"/>
          <w:numId w:val="10"/>
        </w:numPr>
        <w:tabs>
          <w:tab w:val="clear" w:pos="720"/>
          <w:tab w:val="left" w:pos="360"/>
        </w:tabs>
        <w:ind w:left="360"/>
        <w:jc w:val="both"/>
        <w:rPr>
          <w:rFonts w:ascii="Calibri" w:hAnsi="Calibri" w:cs="Arial"/>
          <w:sz w:val="22"/>
          <w:szCs w:val="22"/>
        </w:rPr>
      </w:pPr>
      <w:r w:rsidRPr="00F84101">
        <w:rPr>
          <w:lang w:eastAsia="ja-JP"/>
        </w:rPr>
        <w:t xml:space="preserve">Support to Moris Rasik and Tuba Rai Metin will continue as per the signed </w:t>
      </w:r>
      <w:r w:rsidR="003349C3">
        <w:rPr>
          <w:lang w:eastAsia="ja-JP"/>
        </w:rPr>
        <w:t xml:space="preserve">PBAs </w:t>
      </w:r>
      <w:r w:rsidR="00D54750">
        <w:rPr>
          <w:lang w:eastAsia="ja-JP"/>
        </w:rPr>
        <w:t xml:space="preserve">and may be expanded due to </w:t>
      </w:r>
      <w:r w:rsidR="000566C9">
        <w:rPr>
          <w:lang w:eastAsia="ja-JP"/>
        </w:rPr>
        <w:t xml:space="preserve">an increase in scope of </w:t>
      </w:r>
      <w:r w:rsidR="00D54750">
        <w:rPr>
          <w:lang w:eastAsia="ja-JP"/>
        </w:rPr>
        <w:t xml:space="preserve">capacity building needs stemming from </w:t>
      </w:r>
      <w:r w:rsidR="003349C3">
        <w:rPr>
          <w:lang w:eastAsia="ja-JP"/>
        </w:rPr>
        <w:t>their intentions to apply for an</w:t>
      </w:r>
      <w:r w:rsidR="000566C9">
        <w:rPr>
          <w:lang w:eastAsia="ja-JP"/>
        </w:rPr>
        <w:t xml:space="preserve"> </w:t>
      </w:r>
      <w:r w:rsidR="00D54750">
        <w:rPr>
          <w:lang w:eastAsia="ja-JP"/>
        </w:rPr>
        <w:t>OTDI</w:t>
      </w:r>
      <w:r w:rsidR="003349C3">
        <w:rPr>
          <w:lang w:eastAsia="ja-JP"/>
        </w:rPr>
        <w:t xml:space="preserve"> license</w:t>
      </w:r>
      <w:r w:rsidR="00D54750">
        <w:rPr>
          <w:lang w:eastAsia="ja-JP"/>
        </w:rPr>
        <w:t xml:space="preserve">. </w:t>
      </w:r>
    </w:p>
    <w:p w:rsidR="008E216A" w:rsidRDefault="008C1E28" w:rsidP="00B65371">
      <w:pPr>
        <w:pStyle w:val="BodyText"/>
        <w:widowControl w:val="0"/>
        <w:numPr>
          <w:ilvl w:val="0"/>
          <w:numId w:val="10"/>
        </w:numPr>
        <w:tabs>
          <w:tab w:val="clear" w:pos="720"/>
          <w:tab w:val="num" w:pos="360"/>
        </w:tabs>
        <w:ind w:left="360"/>
        <w:jc w:val="both"/>
        <w:rPr>
          <w:rFonts w:ascii="Times New Roman" w:hAnsi="Times New Roman" w:cs="Times New Roman"/>
          <w:sz w:val="24"/>
          <w:szCs w:val="24"/>
          <w:lang w:eastAsia="ja-JP"/>
        </w:rPr>
      </w:pPr>
      <w:r>
        <w:rPr>
          <w:rFonts w:ascii="Times New Roman" w:hAnsi="Times New Roman" w:cs="Times New Roman"/>
          <w:sz w:val="24"/>
          <w:szCs w:val="24"/>
          <w:lang w:eastAsia="ja-JP"/>
        </w:rPr>
        <w:t>Support to Mercy Corps fo</w:t>
      </w:r>
      <w:r w:rsidR="000566C9">
        <w:rPr>
          <w:rFonts w:ascii="Times New Roman" w:hAnsi="Times New Roman" w:cs="Times New Roman"/>
          <w:sz w:val="24"/>
          <w:szCs w:val="24"/>
          <w:lang w:eastAsia="ja-JP"/>
        </w:rPr>
        <w:t>r development of the PPI tool will be</w:t>
      </w:r>
      <w:r>
        <w:rPr>
          <w:rFonts w:ascii="Times New Roman" w:hAnsi="Times New Roman" w:cs="Times New Roman"/>
          <w:sz w:val="24"/>
          <w:szCs w:val="24"/>
          <w:lang w:eastAsia="ja-JP"/>
        </w:rPr>
        <w:t xml:space="preserve"> ongoing</w:t>
      </w:r>
      <w:r w:rsidR="000566C9">
        <w:rPr>
          <w:rFonts w:ascii="Times New Roman" w:hAnsi="Times New Roman" w:cs="Times New Roman"/>
          <w:sz w:val="24"/>
          <w:szCs w:val="24"/>
          <w:lang w:eastAsia="ja-JP"/>
        </w:rPr>
        <w:t xml:space="preserve"> through 2011</w:t>
      </w:r>
      <w:r>
        <w:rPr>
          <w:rFonts w:ascii="Times New Roman" w:hAnsi="Times New Roman" w:cs="Times New Roman"/>
          <w:sz w:val="24"/>
          <w:szCs w:val="24"/>
          <w:lang w:eastAsia="ja-JP"/>
        </w:rPr>
        <w:t xml:space="preserve">. </w:t>
      </w:r>
    </w:p>
    <w:p w:rsidR="008C1E28" w:rsidRDefault="00654020" w:rsidP="00B65371">
      <w:pPr>
        <w:pStyle w:val="BodyText"/>
        <w:widowControl w:val="0"/>
        <w:numPr>
          <w:ilvl w:val="0"/>
          <w:numId w:val="10"/>
        </w:numPr>
        <w:tabs>
          <w:tab w:val="clear" w:pos="720"/>
          <w:tab w:val="num" w:pos="360"/>
        </w:tabs>
        <w:ind w:left="360"/>
        <w:jc w:val="both"/>
        <w:rPr>
          <w:rFonts w:ascii="Times New Roman" w:hAnsi="Times New Roman" w:cs="Times New Roman"/>
          <w:sz w:val="24"/>
          <w:szCs w:val="24"/>
          <w:lang w:eastAsia="ja-JP"/>
        </w:rPr>
      </w:pPr>
      <w:r>
        <w:rPr>
          <w:rFonts w:ascii="Times New Roman" w:hAnsi="Times New Roman" w:cs="Times New Roman"/>
          <w:sz w:val="24"/>
          <w:szCs w:val="24"/>
          <w:lang w:eastAsia="ja-JP"/>
        </w:rPr>
        <w:t>INFUSE will h</w:t>
      </w:r>
      <w:r w:rsidR="008E216A">
        <w:rPr>
          <w:rFonts w:ascii="Times New Roman" w:hAnsi="Times New Roman" w:cs="Times New Roman"/>
          <w:sz w:val="24"/>
          <w:szCs w:val="24"/>
          <w:lang w:eastAsia="ja-JP"/>
        </w:rPr>
        <w:t>ost (in partnership with NITL) a</w:t>
      </w:r>
      <w:r w:rsidR="000A1430">
        <w:rPr>
          <w:rFonts w:ascii="Times New Roman" w:hAnsi="Times New Roman" w:cs="Times New Roman"/>
          <w:sz w:val="24"/>
          <w:szCs w:val="24"/>
          <w:lang w:eastAsia="ja-JP"/>
        </w:rPr>
        <w:t>n</w:t>
      </w:r>
      <w:r w:rsidR="008E216A">
        <w:rPr>
          <w:rFonts w:ascii="Times New Roman" w:hAnsi="Times New Roman" w:cs="Times New Roman"/>
          <w:sz w:val="24"/>
          <w:szCs w:val="24"/>
          <w:lang w:eastAsia="ja-JP"/>
        </w:rPr>
        <w:t xml:space="preserve"> ILO/IIE fellow to work with MFIs to develop microinsurance products for Timor-Leste, as well as the appropriate staff and systems through which to sell them.</w:t>
      </w:r>
    </w:p>
    <w:p w:rsidR="006B25D4" w:rsidRPr="00F84101" w:rsidRDefault="006B25D4" w:rsidP="006B25D4">
      <w:pPr>
        <w:pStyle w:val="BodyText"/>
        <w:ind w:left="1440"/>
        <w:rPr>
          <w:rFonts w:ascii="Times New Roman" w:hAnsi="Times New Roman" w:cs="Times New Roman"/>
          <w:b/>
          <w:sz w:val="24"/>
          <w:szCs w:val="24"/>
          <w:lang w:eastAsia="ja-JP"/>
        </w:rPr>
      </w:pPr>
    </w:p>
    <w:p w:rsidR="006B25D4" w:rsidRPr="00F84101" w:rsidRDefault="006B25D4" w:rsidP="006B25D4">
      <w:pPr>
        <w:pStyle w:val="Default"/>
        <w:pBdr>
          <w:top w:val="single" w:sz="4" w:space="1" w:color="auto"/>
          <w:left w:val="single" w:sz="4" w:space="4" w:color="auto"/>
          <w:bottom w:val="single" w:sz="4" w:space="1" w:color="auto"/>
          <w:right w:val="single" w:sz="4" w:space="4" w:color="auto"/>
        </w:pBdr>
        <w:shd w:val="clear" w:color="auto" w:fill="CCCCCC"/>
        <w:jc w:val="both"/>
        <w:rPr>
          <w:rFonts w:ascii="Times New Roman" w:hAnsi="Times New Roman" w:cs="Times New Roman"/>
          <w:b/>
          <w:lang w:val="en-GB" w:eastAsia="ja-JP"/>
        </w:rPr>
      </w:pPr>
      <w:r w:rsidRPr="00F84101">
        <w:rPr>
          <w:rFonts w:ascii="Times New Roman" w:hAnsi="Times New Roman" w:cs="Times New Roman"/>
          <w:b/>
          <w:lang w:val="en-GB"/>
        </w:rPr>
        <w:t>OUTPUT 3: PROMOTING A BUSINESS SERVICES INFRASTRUCTURE</w:t>
      </w:r>
    </w:p>
    <w:p w:rsidR="006B25D4" w:rsidRPr="00F84101" w:rsidRDefault="006B25D4" w:rsidP="006B25D4">
      <w:pPr>
        <w:pStyle w:val="BodyText"/>
        <w:rPr>
          <w:rFonts w:ascii="Times New Roman" w:hAnsi="Times New Roman" w:cs="Times New Roman"/>
          <w:sz w:val="24"/>
          <w:szCs w:val="24"/>
          <w:lang w:eastAsia="ja-JP"/>
        </w:rPr>
      </w:pPr>
    </w:p>
    <w:p w:rsidR="006B25D4" w:rsidRPr="00F84101" w:rsidRDefault="008E216A" w:rsidP="00B65371">
      <w:pPr>
        <w:pStyle w:val="BodyText"/>
        <w:numPr>
          <w:ilvl w:val="2"/>
          <w:numId w:val="10"/>
        </w:numPr>
        <w:tabs>
          <w:tab w:val="clear" w:pos="2160"/>
          <w:tab w:val="num" w:pos="360"/>
        </w:tabs>
        <w:ind w:left="360"/>
        <w:jc w:val="both"/>
        <w:rPr>
          <w:rFonts w:ascii="Times New Roman" w:hAnsi="Times New Roman" w:cs="Times New Roman"/>
          <w:sz w:val="24"/>
          <w:szCs w:val="24"/>
          <w:lang w:eastAsia="ja-JP"/>
        </w:rPr>
      </w:pPr>
      <w:r>
        <w:rPr>
          <w:rFonts w:ascii="Times New Roman" w:hAnsi="Times New Roman" w:cs="Times New Roman"/>
          <w:sz w:val="24"/>
          <w:szCs w:val="24"/>
          <w:lang w:eastAsia="ja-JP"/>
        </w:rPr>
        <w:t>Support staff from the PFIP to conduct a scoping exercise to determine feasibility/interest in executing a base-line survey on financial competencies in order to inform future initiatives.</w:t>
      </w:r>
    </w:p>
    <w:p w:rsidR="006B25D4" w:rsidRPr="00031D3B" w:rsidRDefault="008E216A" w:rsidP="00B65371">
      <w:pPr>
        <w:pStyle w:val="BodyText"/>
        <w:widowControl w:val="0"/>
        <w:numPr>
          <w:ilvl w:val="2"/>
          <w:numId w:val="10"/>
        </w:numPr>
        <w:tabs>
          <w:tab w:val="clear" w:pos="2160"/>
          <w:tab w:val="num" w:pos="360"/>
        </w:tabs>
        <w:ind w:left="360"/>
        <w:jc w:val="both"/>
        <w:rPr>
          <w:rFonts w:ascii="Times New Roman" w:hAnsi="Times New Roman" w:cs="Times New Roman"/>
          <w:sz w:val="24"/>
          <w:szCs w:val="24"/>
          <w:lang w:eastAsia="ja-JP"/>
        </w:rPr>
      </w:pPr>
      <w:r>
        <w:rPr>
          <w:rFonts w:ascii="Times New Roman" w:hAnsi="Times New Roman" w:cs="Times New Roman"/>
          <w:sz w:val="24"/>
          <w:szCs w:val="24"/>
          <w:lang w:eastAsia="ja-JP"/>
        </w:rPr>
        <w:t>Translate the framework for the</w:t>
      </w:r>
      <w:r w:rsidR="006B25D4" w:rsidRPr="00F84101">
        <w:rPr>
          <w:rFonts w:ascii="Times New Roman" w:hAnsi="Times New Roman" w:cs="Times New Roman"/>
          <w:sz w:val="24"/>
          <w:szCs w:val="24"/>
          <w:lang w:eastAsia="ja-JP"/>
        </w:rPr>
        <w:t xml:space="preserve"> </w:t>
      </w:r>
      <w:r w:rsidR="003349C3">
        <w:rPr>
          <w:rFonts w:ascii="Times New Roman" w:hAnsi="Times New Roman" w:cs="Times New Roman"/>
          <w:sz w:val="24"/>
          <w:szCs w:val="24"/>
          <w:lang w:eastAsia="ja-JP"/>
        </w:rPr>
        <w:t>MF/banking</w:t>
      </w:r>
      <w:r w:rsidR="006B25D4" w:rsidRPr="00F84101">
        <w:rPr>
          <w:rFonts w:ascii="Times New Roman" w:hAnsi="Times New Roman" w:cs="Times New Roman"/>
          <w:sz w:val="24"/>
          <w:szCs w:val="24"/>
          <w:lang w:eastAsia="ja-JP"/>
        </w:rPr>
        <w:t xml:space="preserve"> training certificate program </w:t>
      </w:r>
      <w:r>
        <w:rPr>
          <w:rFonts w:ascii="Times New Roman" w:hAnsi="Times New Roman" w:cs="Times New Roman"/>
          <w:sz w:val="24"/>
          <w:szCs w:val="24"/>
          <w:lang w:eastAsia="ja-JP"/>
        </w:rPr>
        <w:t xml:space="preserve">into </w:t>
      </w:r>
      <w:proofErr w:type="spellStart"/>
      <w:r>
        <w:rPr>
          <w:rFonts w:ascii="Times New Roman" w:hAnsi="Times New Roman" w:cs="Times New Roman"/>
          <w:sz w:val="24"/>
          <w:szCs w:val="24"/>
          <w:lang w:eastAsia="ja-JP"/>
        </w:rPr>
        <w:t>Tetun</w:t>
      </w:r>
      <w:proofErr w:type="spellEnd"/>
      <w:r>
        <w:rPr>
          <w:rFonts w:ascii="Times New Roman" w:hAnsi="Times New Roman" w:cs="Times New Roman"/>
          <w:sz w:val="24"/>
          <w:szCs w:val="24"/>
          <w:lang w:eastAsia="ja-JP"/>
        </w:rPr>
        <w:t>. Work with</w:t>
      </w:r>
      <w:r w:rsidR="006B25D4" w:rsidRPr="00F84101">
        <w:rPr>
          <w:rFonts w:ascii="Times New Roman" w:hAnsi="Times New Roman" w:cs="Times New Roman"/>
          <w:sz w:val="24"/>
          <w:szCs w:val="24"/>
          <w:lang w:eastAsia="ja-JP"/>
        </w:rPr>
        <w:t xml:space="preserve"> </w:t>
      </w:r>
      <w:r w:rsidR="003349C3">
        <w:rPr>
          <w:rFonts w:ascii="Times New Roman" w:hAnsi="Times New Roman" w:cs="Times New Roman"/>
          <w:sz w:val="24"/>
          <w:szCs w:val="24"/>
          <w:lang w:eastAsia="ja-JP"/>
        </w:rPr>
        <w:t>INDMO</w:t>
      </w:r>
      <w:r w:rsidR="006B25D4" w:rsidRPr="00F84101">
        <w:rPr>
          <w:rFonts w:ascii="Times New Roman" w:hAnsi="Times New Roman" w:cs="Times New Roman"/>
          <w:sz w:val="24"/>
          <w:szCs w:val="24"/>
          <w:lang w:eastAsia="ja-JP"/>
        </w:rPr>
        <w:t xml:space="preserve"> </w:t>
      </w:r>
      <w:r>
        <w:rPr>
          <w:rFonts w:ascii="Times New Roman" w:hAnsi="Times New Roman" w:cs="Times New Roman"/>
          <w:sz w:val="24"/>
          <w:szCs w:val="24"/>
          <w:lang w:eastAsia="ja-JP"/>
        </w:rPr>
        <w:t>to receive approval for the framework</w:t>
      </w:r>
      <w:r w:rsidR="000A1430">
        <w:rPr>
          <w:rFonts w:ascii="Times New Roman" w:hAnsi="Times New Roman" w:cs="Times New Roman"/>
          <w:sz w:val="24"/>
          <w:szCs w:val="24"/>
          <w:lang w:eastAsia="ja-JP"/>
        </w:rPr>
        <w:t xml:space="preserve"> from the Steering Committee</w:t>
      </w:r>
      <w:r w:rsidR="00031D3B" w:rsidRPr="00031D3B">
        <w:rPr>
          <w:rFonts w:ascii="Times New Roman" w:hAnsi="Times New Roman" w:cs="Times New Roman"/>
          <w:sz w:val="24"/>
          <w:szCs w:val="24"/>
        </w:rPr>
        <w:t>.</w:t>
      </w:r>
    </w:p>
    <w:p w:rsidR="000A1430" w:rsidRDefault="00031D3B" w:rsidP="00B65371">
      <w:pPr>
        <w:pStyle w:val="BodyText"/>
        <w:widowControl w:val="0"/>
        <w:numPr>
          <w:ilvl w:val="2"/>
          <w:numId w:val="10"/>
        </w:numPr>
        <w:tabs>
          <w:tab w:val="clear" w:pos="2160"/>
          <w:tab w:val="num" w:pos="360"/>
        </w:tabs>
        <w:ind w:left="360"/>
        <w:jc w:val="both"/>
        <w:rPr>
          <w:rFonts w:ascii="Times New Roman" w:hAnsi="Times New Roman" w:cs="Times New Roman"/>
          <w:sz w:val="24"/>
          <w:szCs w:val="24"/>
        </w:rPr>
      </w:pPr>
      <w:r w:rsidRPr="001B0723">
        <w:rPr>
          <w:rFonts w:ascii="Times New Roman" w:hAnsi="Times New Roman" w:cs="Times New Roman"/>
          <w:sz w:val="24"/>
          <w:szCs w:val="24"/>
          <w:lang w:eastAsia="ja-JP"/>
        </w:rPr>
        <w:t xml:space="preserve">INFUSE will continue to explore ways to collaborate </w:t>
      </w:r>
      <w:r w:rsidR="007C5772">
        <w:rPr>
          <w:rFonts w:ascii="Times New Roman" w:hAnsi="Times New Roman" w:cs="Times New Roman"/>
          <w:sz w:val="24"/>
          <w:szCs w:val="24"/>
          <w:lang w:eastAsia="ja-JP"/>
        </w:rPr>
        <w:t>with stakeholder</w:t>
      </w:r>
      <w:r w:rsidR="00156FF2">
        <w:rPr>
          <w:rFonts w:ascii="Times New Roman" w:hAnsi="Times New Roman" w:cs="Times New Roman"/>
          <w:sz w:val="24"/>
          <w:szCs w:val="24"/>
          <w:lang w:eastAsia="ja-JP"/>
        </w:rPr>
        <w:t>s</w:t>
      </w:r>
      <w:r w:rsidR="007C5772">
        <w:rPr>
          <w:rFonts w:ascii="Times New Roman" w:hAnsi="Times New Roman" w:cs="Times New Roman"/>
          <w:sz w:val="24"/>
          <w:szCs w:val="24"/>
          <w:lang w:eastAsia="ja-JP"/>
        </w:rPr>
        <w:t xml:space="preserve"> </w:t>
      </w:r>
      <w:r w:rsidRPr="001B0723">
        <w:rPr>
          <w:rFonts w:ascii="Times New Roman" w:hAnsi="Times New Roman" w:cs="Times New Roman"/>
          <w:sz w:val="24"/>
          <w:szCs w:val="24"/>
          <w:lang w:eastAsia="ja-JP"/>
        </w:rPr>
        <w:t xml:space="preserve">in support of development of mobile </w:t>
      </w:r>
      <w:r w:rsidR="007C5772">
        <w:rPr>
          <w:rFonts w:ascii="Times New Roman" w:hAnsi="Times New Roman" w:cs="Times New Roman"/>
          <w:sz w:val="24"/>
          <w:szCs w:val="24"/>
          <w:lang w:eastAsia="ja-JP"/>
        </w:rPr>
        <w:t xml:space="preserve">branchless </w:t>
      </w:r>
      <w:r w:rsidRPr="001B0723">
        <w:rPr>
          <w:rFonts w:ascii="Times New Roman" w:hAnsi="Times New Roman" w:cs="Times New Roman"/>
          <w:sz w:val="24"/>
          <w:szCs w:val="24"/>
          <w:lang w:eastAsia="ja-JP"/>
        </w:rPr>
        <w:t>banking</w:t>
      </w:r>
      <w:r w:rsidR="007C5772">
        <w:rPr>
          <w:rFonts w:ascii="Times New Roman" w:hAnsi="Times New Roman" w:cs="Times New Roman"/>
          <w:sz w:val="24"/>
          <w:szCs w:val="24"/>
          <w:lang w:eastAsia="ja-JP"/>
        </w:rPr>
        <w:t xml:space="preserve"> innovations</w:t>
      </w:r>
      <w:r w:rsidR="001B0723" w:rsidRPr="001B0723">
        <w:rPr>
          <w:rFonts w:ascii="Times New Roman" w:hAnsi="Times New Roman" w:cs="Times New Roman"/>
          <w:sz w:val="24"/>
          <w:szCs w:val="24"/>
          <w:lang w:eastAsia="ja-JP"/>
        </w:rPr>
        <w:t xml:space="preserve">. </w:t>
      </w:r>
      <w:r w:rsidR="000A1430">
        <w:rPr>
          <w:rFonts w:ascii="Times New Roman" w:hAnsi="Times New Roman" w:cs="Times New Roman"/>
          <w:sz w:val="24"/>
          <w:szCs w:val="24"/>
          <w:lang w:eastAsia="ja-JP"/>
        </w:rPr>
        <w:t xml:space="preserve"> In particular:</w:t>
      </w:r>
    </w:p>
    <w:p w:rsidR="000277A0" w:rsidRDefault="000A1430" w:rsidP="000A1430">
      <w:pPr>
        <w:numPr>
          <w:ilvl w:val="0"/>
          <w:numId w:val="26"/>
        </w:numPr>
        <w:autoSpaceDE w:val="0"/>
        <w:autoSpaceDN w:val="0"/>
        <w:adjustRightInd w:val="0"/>
        <w:jc w:val="both"/>
        <w:rPr>
          <w:lang w:eastAsia="ja-JP"/>
        </w:rPr>
      </w:pPr>
      <w:r>
        <w:rPr>
          <w:lang w:eastAsia="ja-JP"/>
        </w:rPr>
        <w:t xml:space="preserve">INFUSE will support a consultancy funded by the ADB to develop a business case and model for the development of a third party payments and cash management provider tin the Timor-Leste </w:t>
      </w:r>
    </w:p>
    <w:p w:rsidR="000277A0" w:rsidRDefault="00654020" w:rsidP="000A1430">
      <w:pPr>
        <w:numPr>
          <w:ilvl w:val="0"/>
          <w:numId w:val="26"/>
        </w:numPr>
        <w:autoSpaceDE w:val="0"/>
        <w:autoSpaceDN w:val="0"/>
        <w:adjustRightInd w:val="0"/>
        <w:jc w:val="both"/>
        <w:rPr>
          <w:lang w:eastAsia="ja-JP"/>
        </w:rPr>
      </w:pPr>
      <w:r>
        <w:rPr>
          <w:lang w:eastAsia="ja-JP"/>
        </w:rPr>
        <w:t xml:space="preserve">To build on the ADB’s work and propose business models, INFUSE will support PFIP staff to conduct market research to inform and accelerate mobile money. Branchless banking deployments. </w:t>
      </w:r>
    </w:p>
    <w:p w:rsidR="00654020" w:rsidRDefault="00654020" w:rsidP="007C5772">
      <w:pPr>
        <w:pStyle w:val="BodyText"/>
        <w:widowControl w:val="0"/>
        <w:jc w:val="both"/>
        <w:rPr>
          <w:rFonts w:ascii="Times New Roman" w:hAnsi="Times New Roman" w:cs="Times New Roman"/>
          <w:b/>
          <w:sz w:val="24"/>
          <w:szCs w:val="24"/>
          <w:lang w:eastAsia="ja-JP"/>
        </w:rPr>
      </w:pPr>
    </w:p>
    <w:p w:rsidR="007C5772" w:rsidRPr="00F84101" w:rsidRDefault="00E379BB" w:rsidP="007C5772">
      <w:pPr>
        <w:pStyle w:val="BodyText"/>
        <w:widowControl w:val="0"/>
        <w:jc w:val="both"/>
        <w:rPr>
          <w:rFonts w:ascii="Times New Roman" w:hAnsi="Times New Roman" w:cs="Times New Roman"/>
          <w:sz w:val="24"/>
          <w:szCs w:val="24"/>
        </w:rPr>
      </w:pPr>
      <w:r>
        <w:rPr>
          <w:rFonts w:ascii="Times New Roman" w:hAnsi="Times New Roman" w:cs="Times New Roman"/>
          <w:b/>
          <w:sz w:val="24"/>
          <w:szCs w:val="24"/>
          <w:lang w:eastAsia="ja-JP"/>
        </w:rPr>
        <w:t>NOTE:</w:t>
      </w:r>
      <w:r w:rsidR="000277A0" w:rsidRPr="00795EAD">
        <w:rPr>
          <w:rFonts w:ascii="Times New Roman" w:hAnsi="Times New Roman" w:cs="Times New Roman"/>
          <w:b/>
          <w:sz w:val="24"/>
          <w:szCs w:val="24"/>
          <w:lang w:eastAsia="ja-JP"/>
        </w:rPr>
        <w:t xml:space="preserve"> based on the final mid-term evaluation, </w:t>
      </w:r>
      <w:r>
        <w:rPr>
          <w:rFonts w:ascii="Times New Roman" w:hAnsi="Times New Roman" w:cs="Times New Roman"/>
          <w:b/>
          <w:sz w:val="24"/>
          <w:szCs w:val="24"/>
          <w:lang w:eastAsia="ja-JP"/>
        </w:rPr>
        <w:t xml:space="preserve">revisions to </w:t>
      </w:r>
      <w:r w:rsidR="000277A0" w:rsidRPr="00795EAD">
        <w:rPr>
          <w:rFonts w:ascii="Times New Roman" w:hAnsi="Times New Roman" w:cs="Times New Roman"/>
          <w:b/>
          <w:sz w:val="24"/>
          <w:szCs w:val="24"/>
          <w:lang w:eastAsia="ja-JP"/>
        </w:rPr>
        <w:t>some</w:t>
      </w:r>
      <w:r>
        <w:rPr>
          <w:rFonts w:ascii="Times New Roman" w:hAnsi="Times New Roman" w:cs="Times New Roman"/>
          <w:b/>
          <w:sz w:val="24"/>
          <w:szCs w:val="24"/>
          <w:lang w:eastAsia="ja-JP"/>
        </w:rPr>
        <w:t xml:space="preserve"> INFUSE program</w:t>
      </w:r>
      <w:r w:rsidR="000277A0" w:rsidRPr="00795EAD">
        <w:rPr>
          <w:rFonts w:ascii="Times New Roman" w:hAnsi="Times New Roman" w:cs="Times New Roman"/>
          <w:b/>
          <w:sz w:val="24"/>
          <w:szCs w:val="24"/>
          <w:lang w:eastAsia="ja-JP"/>
        </w:rPr>
        <w:t xml:space="preserve"> </w:t>
      </w:r>
      <w:r w:rsidR="00872A76">
        <w:rPr>
          <w:rFonts w:ascii="Times New Roman" w:hAnsi="Times New Roman" w:cs="Times New Roman"/>
          <w:b/>
          <w:sz w:val="24"/>
          <w:szCs w:val="24"/>
          <w:lang w:eastAsia="ja-JP"/>
        </w:rPr>
        <w:t xml:space="preserve">indicators, </w:t>
      </w:r>
      <w:r w:rsidR="000277A0" w:rsidRPr="00795EAD">
        <w:rPr>
          <w:rFonts w:ascii="Times New Roman" w:hAnsi="Times New Roman" w:cs="Times New Roman"/>
          <w:b/>
          <w:sz w:val="24"/>
          <w:szCs w:val="24"/>
          <w:lang w:eastAsia="ja-JP"/>
        </w:rPr>
        <w:t>targets and a</w:t>
      </w:r>
      <w:r>
        <w:rPr>
          <w:rFonts w:ascii="Times New Roman" w:hAnsi="Times New Roman" w:cs="Times New Roman"/>
          <w:b/>
          <w:sz w:val="24"/>
          <w:szCs w:val="24"/>
          <w:lang w:eastAsia="ja-JP"/>
        </w:rPr>
        <w:t>ctivities were suggested at the May MCIF meeting</w:t>
      </w:r>
      <w:r w:rsidR="00872A76">
        <w:rPr>
          <w:rFonts w:ascii="Times New Roman" w:hAnsi="Times New Roman" w:cs="Times New Roman"/>
          <w:b/>
          <w:sz w:val="24"/>
          <w:szCs w:val="24"/>
          <w:lang w:eastAsia="ja-JP"/>
        </w:rPr>
        <w:t xml:space="preserve">.  </w:t>
      </w:r>
      <w:r>
        <w:rPr>
          <w:rFonts w:ascii="Times New Roman" w:hAnsi="Times New Roman" w:cs="Times New Roman"/>
          <w:b/>
          <w:sz w:val="24"/>
          <w:szCs w:val="24"/>
          <w:lang w:eastAsia="ja-JP"/>
        </w:rPr>
        <w:t>The proposed indicators are presented below</w:t>
      </w:r>
      <w:r w:rsidRPr="00E379BB">
        <w:rPr>
          <w:rFonts w:ascii="Times New Roman" w:hAnsi="Times New Roman" w:cs="Times New Roman"/>
          <w:b/>
          <w:sz w:val="24"/>
          <w:szCs w:val="24"/>
          <w:lang w:eastAsia="ja-JP"/>
        </w:rPr>
        <w:t>, indicating the revisions.</w:t>
      </w:r>
      <w:r>
        <w:rPr>
          <w:rFonts w:ascii="Times New Roman" w:hAnsi="Times New Roman" w:cs="Times New Roman"/>
          <w:b/>
          <w:sz w:val="24"/>
          <w:szCs w:val="24"/>
          <w:lang w:eastAsia="ja-JP"/>
        </w:rPr>
        <w:t xml:space="preserve"> A final vote to accept or revise the indicators will be made at the next MCIF meeting, in September 2011.</w:t>
      </w:r>
      <w:r>
        <w:rPr>
          <w:rFonts w:ascii="Times New Roman" w:hAnsi="Times New Roman" w:cs="Times New Roman"/>
          <w:sz w:val="24"/>
          <w:szCs w:val="24"/>
          <w:lang w:eastAsia="ja-JP"/>
        </w:rPr>
        <w:t xml:space="preserve">  </w:t>
      </w:r>
    </w:p>
    <w:p w:rsidR="00C743EB" w:rsidRDefault="00C743EB" w:rsidP="00872A76">
      <w:pPr>
        <w:pStyle w:val="BodyText"/>
        <w:tabs>
          <w:tab w:val="left" w:pos="360"/>
        </w:tabs>
        <w:jc w:val="both"/>
        <w:rPr>
          <w:rFonts w:ascii="Times New Roman" w:hAnsi="Times New Roman" w:cs="Times New Roman"/>
          <w:bCs/>
          <w:sz w:val="24"/>
          <w:szCs w:val="24"/>
        </w:rPr>
        <w:sectPr w:rsidR="00C743EB">
          <w:footerReference w:type="first" r:id="rId19"/>
          <w:pgSz w:w="12240" w:h="15840" w:code="1"/>
          <w:pgMar w:top="1152" w:right="1440" w:bottom="1152" w:left="1440" w:header="720" w:footer="720" w:gutter="0"/>
          <w:pgNumType w:start="1"/>
          <w:cols w:space="720"/>
          <w:titlePg/>
          <w:docGrid w:linePitch="360"/>
        </w:sectPr>
      </w:pPr>
    </w:p>
    <w:p w:rsidR="00C416C0" w:rsidRPr="00F84101" w:rsidRDefault="00C416C0" w:rsidP="00C416C0">
      <w:pPr>
        <w:pStyle w:val="BodyText"/>
        <w:tabs>
          <w:tab w:val="left" w:pos="360"/>
        </w:tabs>
        <w:ind w:left="720"/>
        <w:jc w:val="both"/>
        <w:rPr>
          <w:rFonts w:ascii="Times New Roman" w:hAnsi="Times New Roman" w:cs="Times New Roman"/>
          <w:bCs/>
          <w:sz w:val="24"/>
          <w:szCs w:val="24"/>
        </w:rPr>
      </w:pPr>
    </w:p>
    <w:p w:rsidR="00D10850" w:rsidRPr="00F84101" w:rsidRDefault="002B0D14" w:rsidP="00D10850">
      <w:pPr>
        <w:pStyle w:val="BodyText"/>
        <w:tabs>
          <w:tab w:val="left" w:pos="360"/>
        </w:tabs>
        <w:jc w:val="both"/>
        <w:rPr>
          <w:rFonts w:ascii="Times New Roman" w:hAnsi="Times New Roman" w:cs="Times New Roman"/>
          <w:sz w:val="24"/>
          <w:szCs w:val="24"/>
        </w:rPr>
      </w:pPr>
      <w:r>
        <w:rPr>
          <w:rFonts w:ascii="Times New Roman" w:hAnsi="Times New Roman" w:cs="Times New Roman"/>
          <w:noProof/>
          <w:sz w:val="24"/>
          <w:szCs w:val="24"/>
          <w:lang w:val="en-AU" w:eastAsia="en-AU"/>
        </w:rPr>
        <mc:AlternateContent>
          <mc:Choice Requires="wps">
            <w:drawing>
              <wp:anchor distT="0" distB="0" distL="114300" distR="114300" simplePos="0" relativeHeight="251656192" behindDoc="0" locked="0" layoutInCell="1" allowOverlap="1" wp14:anchorId="524F557B" wp14:editId="488F233A">
                <wp:simplePos x="0" y="0"/>
                <wp:positionH relativeFrom="column">
                  <wp:posOffset>-685800</wp:posOffset>
                </wp:positionH>
                <wp:positionV relativeFrom="paragraph">
                  <wp:posOffset>167640</wp:posOffset>
                </wp:positionV>
                <wp:extent cx="9504045" cy="291465"/>
                <wp:effectExtent l="0" t="0" r="20955" b="1333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04045" cy="291465"/>
                        </a:xfrm>
                        <a:prstGeom prst="rect">
                          <a:avLst/>
                        </a:prstGeom>
                        <a:solidFill>
                          <a:srgbClr val="F2F2F2"/>
                        </a:solidFill>
                        <a:ln w="9525">
                          <a:solidFill>
                            <a:srgbClr val="D8D8D8"/>
                          </a:solidFill>
                          <a:miter lim="800000"/>
                          <a:headEnd/>
                          <a:tailEnd/>
                        </a:ln>
                      </wps:spPr>
                      <wps:txbx>
                        <w:txbxContent>
                          <w:p w:rsidR="008C3FEA" w:rsidRPr="000401C7" w:rsidRDefault="008C3FEA" w:rsidP="000401C7">
                            <w:pPr>
                              <w:jc w:val="center"/>
                              <w:rPr>
                                <w:b/>
                                <w:sz w:val="30"/>
                                <w:szCs w:val="30"/>
                              </w:rPr>
                            </w:pPr>
                            <w:r w:rsidRPr="000401C7">
                              <w:rPr>
                                <w:b/>
                                <w:sz w:val="30"/>
                                <w:szCs w:val="30"/>
                              </w:rPr>
                              <w:t>VIII. INDICATOR BASED PERFORMANCE ASSES</w:t>
                            </w:r>
                            <w:bookmarkStart w:id="43" w:name="_GoBack"/>
                            <w:bookmarkEnd w:id="43"/>
                            <w:r w:rsidRPr="000401C7">
                              <w:rPr>
                                <w:b/>
                                <w:sz w:val="30"/>
                                <w:szCs w:val="30"/>
                              </w:rPr>
                              <w:t>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54pt;margin-top:13.2pt;width:748.35pt;height:2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" fillcolor="#f2f2f2" strokecolor="#d8d8d8">
                <v:textbox>
                  <w:txbxContent>
                    <w:p w:rsidR="008C3FEA" w:rsidRPr="000401C7" w:rsidRDefault="008C3FEA" w:rsidP="000401C7">
                      <w:pPr>
                        <w:jc w:val="center"/>
                        <w:rPr>
                          <w:b/>
                          <w:sz w:val="30"/>
                          <w:szCs w:val="30"/>
                        </w:rPr>
                      </w:pPr>
                      <w:r w:rsidRPr="000401C7">
                        <w:rPr>
                          <w:b/>
                          <w:sz w:val="30"/>
                          <w:szCs w:val="30"/>
                        </w:rPr>
                        <w:t>VIII. INDICATOR BASED PERFORMANCE ASSES</w:t>
                      </w:r>
                      <w:bookmarkStart w:id="44" w:name="_GoBack"/>
                      <w:bookmarkEnd w:id="44"/>
                      <w:r w:rsidRPr="000401C7">
                        <w:rPr>
                          <w:b/>
                          <w:sz w:val="30"/>
                          <w:szCs w:val="30"/>
                        </w:rPr>
                        <w:t>SMENT</w:t>
                      </w:r>
                    </w:p>
                  </w:txbxContent>
                </v:textbox>
              </v:shape>
            </w:pict>
          </mc:Fallback>
        </mc:AlternateContent>
      </w:r>
    </w:p>
    <w:p w:rsidR="00CA38FE" w:rsidRPr="00F84101" w:rsidRDefault="00CA38FE" w:rsidP="00CA38FE">
      <w:pPr>
        <w:pStyle w:val="BodyText"/>
        <w:tabs>
          <w:tab w:val="left" w:pos="360"/>
        </w:tabs>
        <w:ind w:left="720"/>
        <w:jc w:val="both"/>
        <w:rPr>
          <w:rFonts w:ascii="Times New Roman" w:hAnsi="Times New Roman" w:cs="Times New Roman"/>
          <w:sz w:val="24"/>
          <w:szCs w:val="24"/>
        </w:rPr>
      </w:pPr>
    </w:p>
    <w:p w:rsidR="00AC7FD3" w:rsidRPr="00F84101" w:rsidRDefault="00AC7FD3" w:rsidP="00CA38FE">
      <w:pPr>
        <w:pStyle w:val="BodyText"/>
        <w:tabs>
          <w:tab w:val="left" w:pos="360"/>
        </w:tabs>
        <w:ind w:left="720"/>
        <w:jc w:val="both"/>
        <w:rPr>
          <w:rFonts w:ascii="Times New Roman" w:hAnsi="Times New Roman" w:cs="Times New Roman"/>
          <w:sz w:val="24"/>
          <w:szCs w:val="24"/>
        </w:rPr>
      </w:pPr>
    </w:p>
    <w:p w:rsidR="00C520B2" w:rsidRPr="00F84101" w:rsidRDefault="00C520B2" w:rsidP="00C520B2">
      <w:pPr>
        <w:pStyle w:val="BodyText"/>
        <w:tabs>
          <w:tab w:val="left" w:pos="360"/>
        </w:tabs>
        <w:jc w:val="both"/>
        <w:rPr>
          <w:rFonts w:ascii="Times New Roman" w:hAnsi="Times New Roman" w:cs="Times New Roman"/>
          <w:sz w:val="24"/>
          <w:szCs w:val="24"/>
        </w:rPr>
      </w:pPr>
    </w:p>
    <w:tbl>
      <w:tblPr>
        <w:tblW w:w="15360" w:type="dxa"/>
        <w:tblInd w:w="-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0"/>
        <w:gridCol w:w="840"/>
        <w:gridCol w:w="2280"/>
        <w:gridCol w:w="1680"/>
        <w:gridCol w:w="4320"/>
        <w:gridCol w:w="2880"/>
        <w:gridCol w:w="1200"/>
      </w:tblGrid>
      <w:tr w:rsidR="00C416A5" w:rsidRPr="00280A10">
        <w:trPr>
          <w:trHeight w:val="548"/>
        </w:trPr>
        <w:tc>
          <w:tcPr>
            <w:tcW w:w="2160" w:type="dxa"/>
            <w:vAlign w:val="center"/>
          </w:tcPr>
          <w:p w:rsidR="00C416A5" w:rsidRPr="00280A10" w:rsidRDefault="00C416A5" w:rsidP="00C416A5">
            <w:pPr>
              <w:rPr>
                <w:b/>
                <w:sz w:val="20"/>
                <w:szCs w:val="20"/>
              </w:rPr>
            </w:pPr>
            <w:r w:rsidRPr="00280A10">
              <w:rPr>
                <w:b/>
                <w:bCs/>
                <w:sz w:val="20"/>
                <w:szCs w:val="20"/>
              </w:rPr>
              <w:t>Expected Outcome</w:t>
            </w:r>
          </w:p>
        </w:tc>
        <w:tc>
          <w:tcPr>
            <w:tcW w:w="13200" w:type="dxa"/>
            <w:gridSpan w:val="6"/>
            <w:vAlign w:val="center"/>
          </w:tcPr>
          <w:p w:rsidR="00C416A5" w:rsidRPr="00280A10" w:rsidRDefault="00C416A5" w:rsidP="00C416A5">
            <w:pPr>
              <w:snapToGrid w:val="0"/>
              <w:rPr>
                <w:b/>
                <w:bCs/>
                <w:sz w:val="20"/>
                <w:szCs w:val="20"/>
              </w:rPr>
            </w:pPr>
            <w:r w:rsidRPr="00280A10">
              <w:rPr>
                <w:b/>
                <w:sz w:val="20"/>
                <w:szCs w:val="20"/>
                <w:lang w:val="en-GB"/>
              </w:rPr>
              <w:t>Vulnerable groups will have improved access to sustainable financial services.</w:t>
            </w:r>
          </w:p>
        </w:tc>
      </w:tr>
      <w:tr w:rsidR="00C416A5" w:rsidRPr="00280A10">
        <w:trPr>
          <w:trHeight w:val="548"/>
        </w:trPr>
        <w:tc>
          <w:tcPr>
            <w:tcW w:w="2160" w:type="dxa"/>
          </w:tcPr>
          <w:p w:rsidR="00C416A5" w:rsidRPr="00280A10" w:rsidRDefault="00C416A5" w:rsidP="00C416A5">
            <w:pPr>
              <w:rPr>
                <w:b/>
                <w:sz w:val="20"/>
                <w:szCs w:val="20"/>
              </w:rPr>
            </w:pPr>
          </w:p>
        </w:tc>
        <w:tc>
          <w:tcPr>
            <w:tcW w:w="840" w:type="dxa"/>
          </w:tcPr>
          <w:p w:rsidR="00C416A5" w:rsidRPr="00280A10" w:rsidRDefault="00C416A5" w:rsidP="00C416A5">
            <w:pPr>
              <w:jc w:val="center"/>
              <w:rPr>
                <w:b/>
                <w:sz w:val="20"/>
                <w:szCs w:val="20"/>
              </w:rPr>
            </w:pPr>
            <w:proofErr w:type="spellStart"/>
            <w:r w:rsidRPr="00280A10">
              <w:rPr>
                <w:b/>
                <w:sz w:val="20"/>
                <w:szCs w:val="20"/>
              </w:rPr>
              <w:t>Perfor</w:t>
            </w:r>
            <w:r>
              <w:rPr>
                <w:b/>
                <w:sz w:val="20"/>
                <w:szCs w:val="20"/>
              </w:rPr>
              <w:t>-</w:t>
            </w:r>
            <w:r w:rsidRPr="00280A10">
              <w:rPr>
                <w:b/>
                <w:sz w:val="20"/>
                <w:szCs w:val="20"/>
              </w:rPr>
              <w:t>mance</w:t>
            </w:r>
            <w:proofErr w:type="spellEnd"/>
          </w:p>
          <w:p w:rsidR="00C416A5" w:rsidRPr="00280A10" w:rsidRDefault="00C416A5" w:rsidP="00C416A5">
            <w:pPr>
              <w:jc w:val="center"/>
              <w:rPr>
                <w:sz w:val="20"/>
                <w:szCs w:val="20"/>
              </w:rPr>
            </w:pPr>
            <w:r w:rsidRPr="00280A10">
              <w:rPr>
                <w:b/>
                <w:sz w:val="20"/>
                <w:szCs w:val="20"/>
              </w:rPr>
              <w:t>Indi</w:t>
            </w:r>
            <w:r>
              <w:rPr>
                <w:b/>
                <w:sz w:val="20"/>
                <w:szCs w:val="20"/>
              </w:rPr>
              <w:t>-</w:t>
            </w:r>
            <w:proofErr w:type="spellStart"/>
            <w:r w:rsidRPr="00280A10">
              <w:rPr>
                <w:b/>
                <w:sz w:val="20"/>
                <w:szCs w:val="20"/>
              </w:rPr>
              <w:t>cators</w:t>
            </w:r>
            <w:proofErr w:type="spellEnd"/>
          </w:p>
        </w:tc>
        <w:tc>
          <w:tcPr>
            <w:tcW w:w="2280" w:type="dxa"/>
          </w:tcPr>
          <w:p w:rsidR="00C416A5" w:rsidRPr="00280A10" w:rsidRDefault="00C416A5" w:rsidP="00C416A5">
            <w:pPr>
              <w:jc w:val="center"/>
              <w:rPr>
                <w:sz w:val="20"/>
                <w:szCs w:val="20"/>
              </w:rPr>
            </w:pPr>
            <w:r w:rsidRPr="00280A10">
              <w:rPr>
                <w:b/>
                <w:sz w:val="20"/>
                <w:szCs w:val="20"/>
              </w:rPr>
              <w:t>Planned Indicator Targets</w:t>
            </w:r>
          </w:p>
        </w:tc>
        <w:tc>
          <w:tcPr>
            <w:tcW w:w="1680" w:type="dxa"/>
          </w:tcPr>
          <w:p w:rsidR="00C416A5" w:rsidRPr="00280A10" w:rsidRDefault="00C416A5" w:rsidP="00C416A5">
            <w:pPr>
              <w:pStyle w:val="Bulletlevel1"/>
              <w:numPr>
                <w:ilvl w:val="0"/>
                <w:numId w:val="0"/>
              </w:numPr>
              <w:ind w:left="-39"/>
              <w:jc w:val="center"/>
              <w:rPr>
                <w:rFonts w:ascii="Times New Roman" w:hAnsi="Times New Roman"/>
                <w:sz w:val="20"/>
                <w:szCs w:val="20"/>
              </w:rPr>
            </w:pPr>
            <w:r w:rsidRPr="00280A10">
              <w:rPr>
                <w:rFonts w:ascii="Times New Roman" w:hAnsi="Times New Roman"/>
                <w:b/>
                <w:sz w:val="20"/>
                <w:szCs w:val="20"/>
              </w:rPr>
              <w:t>Achieved Indicator Targets</w:t>
            </w:r>
          </w:p>
          <w:p w:rsidR="00C416A5" w:rsidRPr="00280A10" w:rsidRDefault="00C416A5" w:rsidP="00C416A5">
            <w:pPr>
              <w:pStyle w:val="Bulletlevel1"/>
              <w:numPr>
                <w:ilvl w:val="0"/>
                <w:numId w:val="0"/>
              </w:numPr>
              <w:ind w:left="360" w:hanging="360"/>
              <w:rPr>
                <w:rFonts w:ascii="Times New Roman" w:hAnsi="Times New Roman"/>
                <w:sz w:val="20"/>
                <w:szCs w:val="20"/>
              </w:rPr>
            </w:pPr>
          </w:p>
        </w:tc>
        <w:tc>
          <w:tcPr>
            <w:tcW w:w="4320" w:type="dxa"/>
          </w:tcPr>
          <w:p w:rsidR="00C416A5" w:rsidRPr="00280A10" w:rsidRDefault="00C416A5" w:rsidP="00C416A5">
            <w:pPr>
              <w:jc w:val="center"/>
              <w:rPr>
                <w:sz w:val="20"/>
                <w:szCs w:val="20"/>
              </w:rPr>
            </w:pPr>
            <w:r w:rsidRPr="00280A10">
              <w:rPr>
                <w:b/>
                <w:sz w:val="20"/>
                <w:szCs w:val="20"/>
              </w:rPr>
              <w:t>Progress to date</w:t>
            </w:r>
          </w:p>
        </w:tc>
        <w:tc>
          <w:tcPr>
            <w:tcW w:w="2880" w:type="dxa"/>
          </w:tcPr>
          <w:p w:rsidR="00C416A5" w:rsidRPr="00280A10" w:rsidRDefault="00C416A5" w:rsidP="00C416A5">
            <w:pPr>
              <w:jc w:val="center"/>
              <w:rPr>
                <w:b/>
                <w:sz w:val="20"/>
                <w:szCs w:val="20"/>
              </w:rPr>
            </w:pPr>
            <w:r w:rsidRPr="00280A10">
              <w:rPr>
                <w:b/>
                <w:sz w:val="20"/>
                <w:szCs w:val="20"/>
              </w:rPr>
              <w:t>Reasons for Variance</w:t>
            </w:r>
          </w:p>
          <w:p w:rsidR="00C416A5" w:rsidRPr="00280A10" w:rsidRDefault="00C416A5" w:rsidP="00C416A5">
            <w:pPr>
              <w:jc w:val="center"/>
              <w:rPr>
                <w:sz w:val="20"/>
                <w:szCs w:val="20"/>
              </w:rPr>
            </w:pPr>
            <w:r w:rsidRPr="00280A10">
              <w:rPr>
                <w:b/>
                <w:sz w:val="20"/>
                <w:szCs w:val="20"/>
              </w:rPr>
              <w:t>(if any)</w:t>
            </w:r>
          </w:p>
        </w:tc>
        <w:tc>
          <w:tcPr>
            <w:tcW w:w="1200" w:type="dxa"/>
          </w:tcPr>
          <w:p w:rsidR="00C416A5" w:rsidRPr="0018759E" w:rsidRDefault="00C416A5" w:rsidP="00C416A5">
            <w:pPr>
              <w:rPr>
                <w:b/>
                <w:sz w:val="20"/>
                <w:szCs w:val="20"/>
                <w:u w:val="single"/>
              </w:rPr>
            </w:pPr>
            <w:r w:rsidRPr="0018759E">
              <w:rPr>
                <w:b/>
                <w:sz w:val="20"/>
                <w:szCs w:val="20"/>
                <w:u w:val="single"/>
              </w:rPr>
              <w:t xml:space="preserve">Proposed Revisions </w:t>
            </w:r>
          </w:p>
          <w:p w:rsidR="00C416A5" w:rsidRPr="00280A10" w:rsidRDefault="00C416A5" w:rsidP="00C416A5">
            <w:pPr>
              <w:rPr>
                <w:b/>
                <w:sz w:val="20"/>
                <w:szCs w:val="20"/>
              </w:rPr>
            </w:pPr>
          </w:p>
        </w:tc>
      </w:tr>
      <w:tr w:rsidR="00C416A5" w:rsidRPr="00860693">
        <w:trPr>
          <w:trHeight w:val="548"/>
        </w:trPr>
        <w:tc>
          <w:tcPr>
            <w:tcW w:w="2160" w:type="dxa"/>
            <w:vMerge w:val="restart"/>
          </w:tcPr>
          <w:p w:rsidR="00C416A5" w:rsidRPr="00280A10" w:rsidRDefault="00C416A5" w:rsidP="00C416A5">
            <w:pPr>
              <w:rPr>
                <w:b/>
                <w:sz w:val="20"/>
                <w:szCs w:val="20"/>
              </w:rPr>
            </w:pPr>
            <w:r w:rsidRPr="00280A10">
              <w:rPr>
                <w:b/>
                <w:sz w:val="20"/>
                <w:szCs w:val="20"/>
              </w:rPr>
              <w:t>Output 1</w:t>
            </w:r>
          </w:p>
          <w:p w:rsidR="00C416A5" w:rsidRPr="00280A10" w:rsidRDefault="00C416A5" w:rsidP="00C416A5">
            <w:pPr>
              <w:pStyle w:val="BodyText3"/>
              <w:spacing w:before="120"/>
              <w:rPr>
                <w:b/>
                <w:bCs/>
                <w:sz w:val="20"/>
                <w:szCs w:val="20"/>
              </w:rPr>
            </w:pPr>
            <w:r w:rsidRPr="00280A10">
              <w:rPr>
                <w:b/>
                <w:bCs/>
                <w:sz w:val="20"/>
                <w:szCs w:val="20"/>
              </w:rPr>
              <w:t>A coherent GoTL policy framework for Inclusive Finance</w:t>
            </w:r>
          </w:p>
          <w:p w:rsidR="00C416A5" w:rsidRPr="00280A10" w:rsidRDefault="00C416A5" w:rsidP="00C416A5">
            <w:pPr>
              <w:rPr>
                <w:sz w:val="20"/>
                <w:szCs w:val="20"/>
                <w:lang w:val="en-GB"/>
              </w:rPr>
            </w:pPr>
            <w:r w:rsidRPr="00280A10">
              <w:rPr>
                <w:sz w:val="20"/>
                <w:szCs w:val="20"/>
              </w:rPr>
              <w:t>A national policy statement for inclusive finance is developed, consulted and adopted by GoTL, and enabling legislation is in place to support the expansion and consolidation of the financial sector. Coherent, effective and synergetic donor funding based on the national policy framework has been provided.</w:t>
            </w:r>
          </w:p>
          <w:p w:rsidR="00C416A5" w:rsidRPr="00280A10" w:rsidRDefault="00C416A5" w:rsidP="00C416A5">
            <w:pPr>
              <w:rPr>
                <w:sz w:val="20"/>
                <w:szCs w:val="20"/>
                <w:lang w:val="en-GB"/>
              </w:rPr>
            </w:pPr>
          </w:p>
        </w:tc>
        <w:tc>
          <w:tcPr>
            <w:tcW w:w="840" w:type="dxa"/>
          </w:tcPr>
          <w:p w:rsidR="00C416A5" w:rsidRPr="00280A10" w:rsidRDefault="00C416A5" w:rsidP="00C416A5">
            <w:pPr>
              <w:jc w:val="both"/>
              <w:rPr>
                <w:sz w:val="20"/>
                <w:szCs w:val="20"/>
              </w:rPr>
            </w:pPr>
            <w:r w:rsidRPr="00280A10">
              <w:rPr>
                <w:sz w:val="20"/>
                <w:szCs w:val="20"/>
              </w:rPr>
              <w:t>Indicator  1</w:t>
            </w:r>
          </w:p>
        </w:tc>
        <w:tc>
          <w:tcPr>
            <w:tcW w:w="2280" w:type="dxa"/>
          </w:tcPr>
          <w:p w:rsidR="00C416A5" w:rsidRPr="00280A10" w:rsidRDefault="00C416A5" w:rsidP="00C416A5">
            <w:pPr>
              <w:rPr>
                <w:sz w:val="20"/>
                <w:szCs w:val="20"/>
              </w:rPr>
            </w:pPr>
            <w:r w:rsidRPr="00280A10">
              <w:rPr>
                <w:sz w:val="20"/>
                <w:szCs w:val="20"/>
              </w:rPr>
              <w:t>A Policy Statement on goals, strategies and priorities for Financial sub-sector development is adopted by GoTL (Y1)</w:t>
            </w:r>
          </w:p>
        </w:tc>
        <w:tc>
          <w:tcPr>
            <w:tcW w:w="1680" w:type="dxa"/>
          </w:tcPr>
          <w:p w:rsidR="00C416A5" w:rsidRDefault="00C416A5" w:rsidP="00C416A5">
            <w:pPr>
              <w:pStyle w:val="Bulletlevel1"/>
              <w:tabs>
                <w:tab w:val="clear" w:pos="360"/>
                <w:tab w:val="num" w:pos="145"/>
              </w:tabs>
              <w:ind w:left="145" w:hanging="184"/>
              <w:rPr>
                <w:rFonts w:ascii="Times New Roman" w:hAnsi="Times New Roman"/>
                <w:sz w:val="20"/>
                <w:szCs w:val="20"/>
              </w:rPr>
            </w:pPr>
            <w:r>
              <w:rPr>
                <w:rFonts w:ascii="Times New Roman" w:hAnsi="Times New Roman"/>
                <w:sz w:val="20"/>
                <w:szCs w:val="20"/>
              </w:rPr>
              <w:t>Partial</w:t>
            </w:r>
          </w:p>
          <w:p w:rsidR="00C416A5" w:rsidRDefault="00C416A5" w:rsidP="00C416A5">
            <w:pPr>
              <w:pStyle w:val="Bulletlevel1"/>
              <w:numPr>
                <w:ilvl w:val="0"/>
                <w:numId w:val="0"/>
              </w:numPr>
              <w:ind w:left="-39"/>
              <w:rPr>
                <w:rFonts w:ascii="Times New Roman" w:hAnsi="Times New Roman"/>
                <w:sz w:val="20"/>
                <w:szCs w:val="20"/>
              </w:rPr>
            </w:pPr>
          </w:p>
          <w:p w:rsidR="00C416A5" w:rsidRPr="00280A10" w:rsidRDefault="00C416A5" w:rsidP="00C416A5">
            <w:pPr>
              <w:pStyle w:val="Bulletlevel1"/>
              <w:tabs>
                <w:tab w:val="clear" w:pos="360"/>
                <w:tab w:val="num" w:pos="145"/>
              </w:tabs>
              <w:ind w:left="145" w:hanging="184"/>
              <w:rPr>
                <w:rFonts w:ascii="Times New Roman" w:hAnsi="Times New Roman"/>
                <w:sz w:val="20"/>
                <w:szCs w:val="20"/>
              </w:rPr>
            </w:pPr>
            <w:r w:rsidRPr="00280A10">
              <w:rPr>
                <w:rFonts w:ascii="Times New Roman" w:hAnsi="Times New Roman"/>
                <w:sz w:val="20"/>
                <w:szCs w:val="20"/>
              </w:rPr>
              <w:t xml:space="preserve">Enabling regulation for microfinance activities, developed with support from technical consultant procured by INFUSE, was approved in December 2010. </w:t>
            </w:r>
          </w:p>
          <w:p w:rsidR="00C416A5" w:rsidRPr="00280A10" w:rsidRDefault="00C416A5" w:rsidP="00C416A5">
            <w:pPr>
              <w:pStyle w:val="Bulletlevel1"/>
              <w:numPr>
                <w:ilvl w:val="0"/>
                <w:numId w:val="0"/>
              </w:numPr>
              <w:ind w:left="360" w:hanging="360"/>
              <w:rPr>
                <w:rFonts w:ascii="Times New Roman" w:hAnsi="Times New Roman"/>
                <w:sz w:val="20"/>
                <w:szCs w:val="20"/>
              </w:rPr>
            </w:pPr>
          </w:p>
        </w:tc>
        <w:tc>
          <w:tcPr>
            <w:tcW w:w="4320" w:type="dxa"/>
            <w:shd w:val="clear" w:color="auto" w:fill="auto"/>
          </w:tcPr>
          <w:p w:rsidR="00C416A5" w:rsidRDefault="00C416A5" w:rsidP="00C416A5">
            <w:pPr>
              <w:pStyle w:val="Bulletlevel1"/>
              <w:tabs>
                <w:tab w:val="clear" w:pos="360"/>
                <w:tab w:val="num" w:pos="145"/>
              </w:tabs>
              <w:ind w:left="145" w:hanging="184"/>
              <w:rPr>
                <w:rFonts w:ascii="Times New Roman" w:hAnsi="Times New Roman"/>
                <w:sz w:val="20"/>
                <w:szCs w:val="20"/>
              </w:rPr>
            </w:pPr>
            <w:r w:rsidRPr="00280A10">
              <w:rPr>
                <w:rFonts w:ascii="Times New Roman" w:hAnsi="Times New Roman"/>
                <w:sz w:val="20"/>
                <w:szCs w:val="20"/>
              </w:rPr>
              <w:t xml:space="preserve">As yet, the national vision statement on inclusive finance has not been developed. </w:t>
            </w:r>
          </w:p>
          <w:p w:rsidR="00C416A5" w:rsidRPr="00280A10" w:rsidRDefault="00C416A5" w:rsidP="00C416A5">
            <w:pPr>
              <w:pStyle w:val="Bulletlevel1"/>
              <w:tabs>
                <w:tab w:val="clear" w:pos="360"/>
                <w:tab w:val="num" w:pos="145"/>
              </w:tabs>
              <w:ind w:left="145" w:hanging="184"/>
              <w:rPr>
                <w:rFonts w:ascii="Times New Roman" w:hAnsi="Times New Roman"/>
                <w:sz w:val="20"/>
                <w:szCs w:val="20"/>
              </w:rPr>
            </w:pPr>
            <w:r w:rsidRPr="00280A10">
              <w:rPr>
                <w:rFonts w:ascii="Times New Roman" w:hAnsi="Times New Roman"/>
                <w:sz w:val="20"/>
                <w:szCs w:val="20"/>
              </w:rPr>
              <w:t>INFUSE advocacy has focused on establishing participation of relevant gov</w:t>
            </w:r>
            <w:r>
              <w:rPr>
                <w:rFonts w:ascii="Times New Roman" w:hAnsi="Times New Roman"/>
                <w:sz w:val="20"/>
                <w:szCs w:val="20"/>
              </w:rPr>
              <w:t>ernment ministries and agencies,</w:t>
            </w:r>
            <w:r w:rsidRPr="00280A10">
              <w:rPr>
                <w:rFonts w:ascii="Times New Roman" w:hAnsi="Times New Roman"/>
                <w:sz w:val="20"/>
                <w:szCs w:val="20"/>
              </w:rPr>
              <w:t xml:space="preserve"> through collaboration with the MoED, the BPA and stakeholders in the GoTL, as follows. </w:t>
            </w:r>
          </w:p>
          <w:p w:rsidR="00C416A5" w:rsidRPr="00280A10" w:rsidRDefault="00C416A5" w:rsidP="00C416A5">
            <w:pPr>
              <w:pStyle w:val="Bulletlevel1"/>
              <w:rPr>
                <w:rFonts w:ascii="Times New Roman" w:hAnsi="Times New Roman"/>
                <w:sz w:val="20"/>
                <w:szCs w:val="20"/>
              </w:rPr>
            </w:pPr>
            <w:r w:rsidRPr="00280A10">
              <w:rPr>
                <w:rFonts w:ascii="Times New Roman" w:hAnsi="Times New Roman"/>
                <w:sz w:val="20"/>
                <w:szCs w:val="20"/>
              </w:rPr>
              <w:t xml:space="preserve">The Minister of Economy and Development (MoED) is the Chair of and participates in the MCIF meetings </w:t>
            </w:r>
            <w:r>
              <w:rPr>
                <w:rFonts w:ascii="Times New Roman" w:hAnsi="Times New Roman"/>
                <w:sz w:val="20"/>
                <w:szCs w:val="20"/>
              </w:rPr>
              <w:t>The</w:t>
            </w:r>
            <w:r w:rsidRPr="00280A10">
              <w:rPr>
                <w:rFonts w:ascii="Times New Roman" w:hAnsi="Times New Roman"/>
                <w:sz w:val="20"/>
                <w:szCs w:val="20"/>
              </w:rPr>
              <w:t xml:space="preserve"> BPA also participates as an observer</w:t>
            </w:r>
            <w:r>
              <w:rPr>
                <w:rFonts w:ascii="Times New Roman" w:hAnsi="Times New Roman"/>
                <w:sz w:val="20"/>
                <w:szCs w:val="20"/>
              </w:rPr>
              <w:t xml:space="preserve"> in the MCIF </w:t>
            </w:r>
          </w:p>
          <w:p w:rsidR="00C416A5" w:rsidRPr="00280A10" w:rsidRDefault="00C416A5" w:rsidP="00C416A5">
            <w:pPr>
              <w:pStyle w:val="Bulletlevel1"/>
              <w:rPr>
                <w:rFonts w:ascii="Times New Roman" w:hAnsi="Times New Roman"/>
                <w:sz w:val="20"/>
                <w:szCs w:val="20"/>
              </w:rPr>
            </w:pPr>
            <w:r w:rsidRPr="00280A10">
              <w:rPr>
                <w:rFonts w:ascii="Times New Roman" w:hAnsi="Times New Roman"/>
                <w:sz w:val="20"/>
                <w:szCs w:val="20"/>
              </w:rPr>
              <w:t xml:space="preserve">Targets pertaining to </w:t>
            </w:r>
            <w:r>
              <w:rPr>
                <w:rFonts w:ascii="Times New Roman" w:hAnsi="Times New Roman"/>
                <w:sz w:val="20"/>
                <w:szCs w:val="20"/>
              </w:rPr>
              <w:t>access to MF</w:t>
            </w:r>
            <w:r w:rsidRPr="00280A10">
              <w:rPr>
                <w:rFonts w:ascii="Times New Roman" w:hAnsi="Times New Roman"/>
                <w:sz w:val="20"/>
                <w:szCs w:val="20"/>
              </w:rPr>
              <w:t xml:space="preserve"> included in the </w:t>
            </w:r>
            <w:proofErr w:type="spellStart"/>
            <w:r w:rsidRPr="00280A10">
              <w:rPr>
                <w:rFonts w:ascii="Times New Roman" w:hAnsi="Times New Roman"/>
                <w:sz w:val="20"/>
                <w:szCs w:val="20"/>
              </w:rPr>
              <w:t>GoT</w:t>
            </w:r>
            <w:r>
              <w:rPr>
                <w:rFonts w:ascii="Times New Roman" w:hAnsi="Times New Roman"/>
                <w:sz w:val="20"/>
                <w:szCs w:val="20"/>
              </w:rPr>
              <w:t>L’s</w:t>
            </w:r>
            <w:proofErr w:type="spellEnd"/>
            <w:r>
              <w:rPr>
                <w:rFonts w:ascii="Times New Roman" w:hAnsi="Times New Roman"/>
                <w:sz w:val="20"/>
                <w:szCs w:val="20"/>
              </w:rPr>
              <w:t xml:space="preserve"> annual National Priority Working Groups</w:t>
            </w:r>
          </w:p>
          <w:p w:rsidR="00C416A5" w:rsidRDefault="00C416A5" w:rsidP="00C416A5">
            <w:pPr>
              <w:pStyle w:val="Bulletlevel1"/>
              <w:rPr>
                <w:rFonts w:ascii="Times New Roman" w:hAnsi="Times New Roman"/>
                <w:sz w:val="20"/>
                <w:szCs w:val="20"/>
              </w:rPr>
            </w:pPr>
            <w:r w:rsidRPr="00280A10">
              <w:rPr>
                <w:rFonts w:ascii="Times New Roman" w:hAnsi="Times New Roman"/>
                <w:sz w:val="20"/>
                <w:szCs w:val="20"/>
              </w:rPr>
              <w:t>Provision of technical support to BPA</w:t>
            </w:r>
            <w:r>
              <w:rPr>
                <w:rFonts w:ascii="Times New Roman" w:hAnsi="Times New Roman"/>
                <w:sz w:val="20"/>
                <w:szCs w:val="20"/>
              </w:rPr>
              <w:t xml:space="preserve"> for legal framework of MFIs</w:t>
            </w:r>
            <w:r w:rsidRPr="00280A10">
              <w:rPr>
                <w:rFonts w:ascii="Times New Roman" w:hAnsi="Times New Roman"/>
                <w:sz w:val="20"/>
                <w:szCs w:val="20"/>
              </w:rPr>
              <w:t xml:space="preserve">, and </w:t>
            </w:r>
            <w:r>
              <w:rPr>
                <w:rFonts w:ascii="Times New Roman" w:hAnsi="Times New Roman"/>
                <w:sz w:val="20"/>
                <w:szCs w:val="20"/>
              </w:rPr>
              <w:t>membership/participation in the AFI</w:t>
            </w:r>
            <w:r w:rsidRPr="00280A10">
              <w:rPr>
                <w:rFonts w:ascii="Times New Roman" w:hAnsi="Times New Roman"/>
                <w:sz w:val="20"/>
                <w:szCs w:val="20"/>
              </w:rPr>
              <w:t xml:space="preserve"> </w:t>
            </w:r>
          </w:p>
          <w:p w:rsidR="00C416A5" w:rsidRPr="00280A10" w:rsidRDefault="00C416A5" w:rsidP="00C416A5">
            <w:pPr>
              <w:pStyle w:val="Bulletlevel1"/>
              <w:tabs>
                <w:tab w:val="clear" w:pos="360"/>
                <w:tab w:val="num" w:pos="145"/>
              </w:tabs>
              <w:ind w:left="145" w:hanging="184"/>
            </w:pPr>
            <w:r w:rsidRPr="00331118">
              <w:rPr>
                <w:rFonts w:ascii="Times New Roman" w:hAnsi="Times New Roman"/>
                <w:sz w:val="20"/>
                <w:szCs w:val="20"/>
              </w:rPr>
              <w:t>Inputs provided by INFUSE to national strategy on rural development.</w:t>
            </w:r>
          </w:p>
        </w:tc>
        <w:tc>
          <w:tcPr>
            <w:tcW w:w="2880" w:type="dxa"/>
            <w:shd w:val="clear" w:color="auto" w:fill="auto"/>
          </w:tcPr>
          <w:p w:rsidR="00C416A5" w:rsidRDefault="00C416A5" w:rsidP="00C416A5">
            <w:pPr>
              <w:pStyle w:val="Bulletlevel1"/>
              <w:tabs>
                <w:tab w:val="clear" w:pos="360"/>
                <w:tab w:val="num" w:pos="145"/>
              </w:tabs>
              <w:ind w:left="145" w:hanging="184"/>
              <w:rPr>
                <w:rFonts w:ascii="Times New Roman" w:hAnsi="Times New Roman"/>
                <w:sz w:val="20"/>
                <w:szCs w:val="20"/>
              </w:rPr>
            </w:pPr>
            <w:r w:rsidRPr="00860693">
              <w:rPr>
                <w:rFonts w:ascii="Times New Roman" w:hAnsi="Times New Roman"/>
                <w:sz w:val="20"/>
                <w:szCs w:val="20"/>
              </w:rPr>
              <w:t>The process of developing the GoTL National Strategic Development Plan (NSDP</w:t>
            </w:r>
            <w:r>
              <w:rPr>
                <w:rFonts w:ascii="Times New Roman" w:hAnsi="Times New Roman"/>
                <w:sz w:val="20"/>
                <w:szCs w:val="20"/>
              </w:rPr>
              <w:t xml:space="preserve"> 2011-2030</w:t>
            </w:r>
            <w:r w:rsidRPr="00860693">
              <w:rPr>
                <w:rFonts w:ascii="Times New Roman" w:hAnsi="Times New Roman"/>
                <w:sz w:val="20"/>
                <w:szCs w:val="20"/>
              </w:rPr>
              <w:t xml:space="preserve">), to be finalized in 2011, </w:t>
            </w:r>
            <w:r>
              <w:rPr>
                <w:rFonts w:ascii="Times New Roman" w:hAnsi="Times New Roman"/>
                <w:sz w:val="20"/>
                <w:szCs w:val="20"/>
              </w:rPr>
              <w:t>has been prepared</w:t>
            </w:r>
            <w:r w:rsidRPr="00860693">
              <w:rPr>
                <w:rFonts w:ascii="Times New Roman" w:hAnsi="Times New Roman"/>
                <w:sz w:val="20"/>
                <w:szCs w:val="20"/>
              </w:rPr>
              <w:t xml:space="preserve"> by </w:t>
            </w:r>
            <w:r>
              <w:rPr>
                <w:rFonts w:ascii="Times New Roman" w:hAnsi="Times New Roman"/>
                <w:sz w:val="20"/>
                <w:szCs w:val="20"/>
              </w:rPr>
              <w:t>the Prime Minister’s Office</w:t>
            </w:r>
            <w:r w:rsidRPr="00860693">
              <w:rPr>
                <w:rFonts w:ascii="Times New Roman" w:hAnsi="Times New Roman"/>
                <w:sz w:val="20"/>
                <w:szCs w:val="20"/>
              </w:rPr>
              <w:t xml:space="preserve"> </w:t>
            </w:r>
            <w:r>
              <w:rPr>
                <w:rFonts w:ascii="Times New Roman" w:hAnsi="Times New Roman"/>
                <w:sz w:val="20"/>
                <w:szCs w:val="20"/>
              </w:rPr>
              <w:t>with little or no</w:t>
            </w:r>
            <w:r w:rsidRPr="00860693">
              <w:rPr>
                <w:rFonts w:ascii="Times New Roman" w:hAnsi="Times New Roman"/>
                <w:sz w:val="20"/>
                <w:szCs w:val="20"/>
              </w:rPr>
              <w:t xml:space="preserve"> consultation</w:t>
            </w:r>
            <w:r>
              <w:rPr>
                <w:rFonts w:ascii="Times New Roman" w:hAnsi="Times New Roman"/>
                <w:sz w:val="20"/>
                <w:szCs w:val="20"/>
              </w:rPr>
              <w:t xml:space="preserve"> from stakeholders (donors or development partners)</w:t>
            </w:r>
            <w:r w:rsidRPr="00860693">
              <w:rPr>
                <w:rFonts w:ascii="Times New Roman" w:hAnsi="Times New Roman"/>
                <w:sz w:val="20"/>
                <w:szCs w:val="20"/>
              </w:rPr>
              <w:t>.</w:t>
            </w:r>
          </w:p>
          <w:p w:rsidR="00C416A5" w:rsidRDefault="00C416A5" w:rsidP="00C416A5">
            <w:pPr>
              <w:pStyle w:val="Bulletlevel1"/>
              <w:numPr>
                <w:ilvl w:val="0"/>
                <w:numId w:val="0"/>
              </w:numPr>
              <w:ind w:left="-39"/>
              <w:rPr>
                <w:rFonts w:ascii="Times New Roman" w:hAnsi="Times New Roman"/>
                <w:sz w:val="20"/>
                <w:szCs w:val="20"/>
              </w:rPr>
            </w:pPr>
          </w:p>
          <w:p w:rsidR="00C416A5" w:rsidRPr="00860693" w:rsidRDefault="00C416A5" w:rsidP="00C416A5">
            <w:pPr>
              <w:pStyle w:val="Bulletlevel1"/>
              <w:tabs>
                <w:tab w:val="clear" w:pos="360"/>
                <w:tab w:val="num" w:pos="145"/>
              </w:tabs>
              <w:ind w:left="145" w:hanging="184"/>
              <w:rPr>
                <w:rFonts w:ascii="Times New Roman" w:hAnsi="Times New Roman"/>
                <w:sz w:val="20"/>
                <w:szCs w:val="20"/>
              </w:rPr>
            </w:pPr>
            <w:r>
              <w:rPr>
                <w:rFonts w:ascii="Times New Roman" w:hAnsi="Times New Roman"/>
                <w:sz w:val="20"/>
                <w:szCs w:val="20"/>
              </w:rPr>
              <w:t>Insufficient HR of PIU</w:t>
            </w:r>
            <w:r w:rsidRPr="00860693">
              <w:rPr>
                <w:rFonts w:ascii="Times New Roman" w:hAnsi="Times New Roman"/>
                <w:sz w:val="20"/>
                <w:szCs w:val="20"/>
              </w:rPr>
              <w:t xml:space="preserve"> </w:t>
            </w:r>
            <w:r>
              <w:rPr>
                <w:rFonts w:ascii="Times New Roman" w:hAnsi="Times New Roman"/>
                <w:sz w:val="20"/>
                <w:szCs w:val="20"/>
              </w:rPr>
              <w:t>to achieve all outputs thus far</w:t>
            </w:r>
          </w:p>
          <w:p w:rsidR="00C416A5" w:rsidRPr="00860693" w:rsidRDefault="00C416A5" w:rsidP="00C416A5">
            <w:pPr>
              <w:pStyle w:val="Bulletlevel1"/>
              <w:numPr>
                <w:ilvl w:val="0"/>
                <w:numId w:val="0"/>
              </w:numPr>
              <w:ind w:left="360" w:hanging="360"/>
              <w:rPr>
                <w:rFonts w:ascii="Times New Roman" w:hAnsi="Times New Roman"/>
                <w:sz w:val="20"/>
                <w:szCs w:val="20"/>
              </w:rPr>
            </w:pPr>
          </w:p>
          <w:p w:rsidR="00C416A5" w:rsidRPr="00280A10" w:rsidRDefault="00C416A5" w:rsidP="00C416A5">
            <w:pPr>
              <w:rPr>
                <w:sz w:val="20"/>
                <w:szCs w:val="20"/>
              </w:rPr>
            </w:pPr>
          </w:p>
        </w:tc>
        <w:tc>
          <w:tcPr>
            <w:tcW w:w="1200" w:type="dxa"/>
          </w:tcPr>
          <w:p w:rsidR="00C416A5" w:rsidRDefault="00C416A5" w:rsidP="00C416A5">
            <w:pPr>
              <w:pStyle w:val="Bulletlevel1"/>
              <w:numPr>
                <w:ilvl w:val="0"/>
                <w:numId w:val="0"/>
              </w:numPr>
              <w:rPr>
                <w:rFonts w:ascii="Times New Roman" w:hAnsi="Times New Roman"/>
                <w:sz w:val="20"/>
                <w:szCs w:val="20"/>
              </w:rPr>
            </w:pPr>
            <w:r>
              <w:rPr>
                <w:rFonts w:ascii="Times New Roman" w:hAnsi="Times New Roman"/>
                <w:sz w:val="20"/>
                <w:szCs w:val="20"/>
              </w:rPr>
              <w:t xml:space="preserve">None.  </w:t>
            </w:r>
          </w:p>
          <w:p w:rsidR="00C416A5" w:rsidRPr="00860693" w:rsidRDefault="00C416A5" w:rsidP="00C416A5">
            <w:pPr>
              <w:pStyle w:val="Bulletlevel1"/>
              <w:numPr>
                <w:ilvl w:val="0"/>
                <w:numId w:val="0"/>
              </w:numPr>
              <w:rPr>
                <w:rFonts w:ascii="Times New Roman" w:hAnsi="Times New Roman"/>
                <w:sz w:val="20"/>
                <w:szCs w:val="20"/>
              </w:rPr>
            </w:pPr>
          </w:p>
        </w:tc>
      </w:tr>
      <w:tr w:rsidR="00C416A5" w:rsidRPr="00280A10">
        <w:trPr>
          <w:trHeight w:val="548"/>
        </w:trPr>
        <w:tc>
          <w:tcPr>
            <w:tcW w:w="2160" w:type="dxa"/>
            <w:vMerge/>
          </w:tcPr>
          <w:p w:rsidR="00C416A5" w:rsidRPr="00280A10" w:rsidRDefault="00C416A5" w:rsidP="00C416A5">
            <w:pPr>
              <w:rPr>
                <w:sz w:val="20"/>
                <w:szCs w:val="20"/>
              </w:rPr>
            </w:pPr>
          </w:p>
        </w:tc>
        <w:tc>
          <w:tcPr>
            <w:tcW w:w="840" w:type="dxa"/>
          </w:tcPr>
          <w:p w:rsidR="00C416A5" w:rsidRPr="00280A10" w:rsidRDefault="00C416A5" w:rsidP="00C416A5">
            <w:pPr>
              <w:jc w:val="both"/>
              <w:rPr>
                <w:sz w:val="20"/>
                <w:szCs w:val="20"/>
              </w:rPr>
            </w:pPr>
            <w:r w:rsidRPr="00280A10">
              <w:rPr>
                <w:sz w:val="20"/>
                <w:szCs w:val="20"/>
              </w:rPr>
              <w:t>Indicator 1.2</w:t>
            </w:r>
          </w:p>
        </w:tc>
        <w:tc>
          <w:tcPr>
            <w:tcW w:w="2280" w:type="dxa"/>
          </w:tcPr>
          <w:p w:rsidR="00C416A5" w:rsidRPr="00280A10" w:rsidRDefault="00C416A5" w:rsidP="00C416A5">
            <w:pPr>
              <w:rPr>
                <w:sz w:val="20"/>
                <w:szCs w:val="20"/>
              </w:rPr>
            </w:pPr>
            <w:r w:rsidRPr="001874AE">
              <w:rPr>
                <w:sz w:val="20"/>
                <w:szCs w:val="20"/>
              </w:rPr>
              <w:t>A consolidated Financial Sub-sector Activity Plan for 2007-2012 is developed as part of the NDP 2007</w:t>
            </w:r>
            <w:r w:rsidRPr="00280A10">
              <w:t>-12 (Y2)</w:t>
            </w:r>
          </w:p>
        </w:tc>
        <w:tc>
          <w:tcPr>
            <w:tcW w:w="1680" w:type="dxa"/>
          </w:tcPr>
          <w:p w:rsidR="00C416A5" w:rsidRDefault="00C416A5" w:rsidP="00C416A5">
            <w:pPr>
              <w:rPr>
                <w:sz w:val="20"/>
                <w:szCs w:val="20"/>
              </w:rPr>
            </w:pPr>
            <w:r w:rsidRPr="00CC7DFD">
              <w:rPr>
                <w:sz w:val="20"/>
                <w:szCs w:val="20"/>
              </w:rPr>
              <w:t>Partial</w:t>
            </w:r>
          </w:p>
          <w:p w:rsidR="00C416A5" w:rsidRPr="00CC7DFD" w:rsidRDefault="00C416A5" w:rsidP="00C416A5">
            <w:pPr>
              <w:rPr>
                <w:sz w:val="20"/>
                <w:szCs w:val="20"/>
              </w:rPr>
            </w:pPr>
            <w:r>
              <w:rPr>
                <w:sz w:val="20"/>
                <w:szCs w:val="20"/>
              </w:rPr>
              <w:t>-Annual participation in National Priority Working Groups</w:t>
            </w:r>
          </w:p>
        </w:tc>
        <w:tc>
          <w:tcPr>
            <w:tcW w:w="4320" w:type="dxa"/>
            <w:shd w:val="clear" w:color="auto" w:fill="auto"/>
          </w:tcPr>
          <w:p w:rsidR="00C416A5" w:rsidRPr="00280A10" w:rsidRDefault="00C416A5" w:rsidP="00C416A5">
            <w:pPr>
              <w:rPr>
                <w:sz w:val="20"/>
                <w:szCs w:val="20"/>
              </w:rPr>
            </w:pPr>
            <w:r>
              <w:rPr>
                <w:sz w:val="20"/>
                <w:szCs w:val="20"/>
              </w:rPr>
              <w:t xml:space="preserve">- INFUSE participated in Annual National Priority Working Groups 2009, 2010, 2011 </w:t>
            </w:r>
          </w:p>
        </w:tc>
        <w:tc>
          <w:tcPr>
            <w:tcW w:w="2880" w:type="dxa"/>
            <w:shd w:val="clear" w:color="auto" w:fill="auto"/>
          </w:tcPr>
          <w:p w:rsidR="00C416A5" w:rsidRDefault="00C416A5" w:rsidP="00C416A5">
            <w:pPr>
              <w:rPr>
                <w:sz w:val="20"/>
                <w:szCs w:val="20"/>
              </w:rPr>
            </w:pPr>
            <w:r>
              <w:rPr>
                <w:sz w:val="20"/>
                <w:szCs w:val="20"/>
              </w:rPr>
              <w:t xml:space="preserve">Same as above </w:t>
            </w:r>
            <w:bookmarkStart w:id="45" w:name="OLE_LINK5"/>
            <w:bookmarkStart w:id="46" w:name="OLE_LINK6"/>
          </w:p>
          <w:bookmarkEnd w:id="45"/>
          <w:bookmarkEnd w:id="46"/>
          <w:p w:rsidR="00C416A5" w:rsidRPr="00280A10" w:rsidRDefault="00C416A5" w:rsidP="00C416A5">
            <w:pPr>
              <w:rPr>
                <w:sz w:val="20"/>
                <w:szCs w:val="20"/>
              </w:rPr>
            </w:pPr>
          </w:p>
        </w:tc>
        <w:tc>
          <w:tcPr>
            <w:tcW w:w="1200" w:type="dxa"/>
          </w:tcPr>
          <w:p w:rsidR="00C416A5" w:rsidRDefault="00C416A5" w:rsidP="00C416A5">
            <w:pPr>
              <w:rPr>
                <w:sz w:val="20"/>
                <w:szCs w:val="20"/>
              </w:rPr>
            </w:pPr>
            <w:r>
              <w:rPr>
                <w:sz w:val="20"/>
                <w:szCs w:val="20"/>
              </w:rPr>
              <w:t xml:space="preserve">None. </w:t>
            </w:r>
          </w:p>
          <w:p w:rsidR="00C416A5" w:rsidRDefault="00C416A5" w:rsidP="00C416A5">
            <w:pPr>
              <w:rPr>
                <w:sz w:val="20"/>
                <w:szCs w:val="20"/>
              </w:rPr>
            </w:pPr>
          </w:p>
          <w:p w:rsidR="00C416A5" w:rsidRPr="00280A10" w:rsidRDefault="00C416A5" w:rsidP="00C416A5">
            <w:pPr>
              <w:rPr>
                <w:sz w:val="20"/>
                <w:szCs w:val="20"/>
              </w:rPr>
            </w:pPr>
          </w:p>
        </w:tc>
      </w:tr>
      <w:tr w:rsidR="00C416A5" w:rsidRPr="00280A10">
        <w:trPr>
          <w:trHeight w:val="350"/>
        </w:trPr>
        <w:tc>
          <w:tcPr>
            <w:tcW w:w="2160" w:type="dxa"/>
            <w:vMerge/>
          </w:tcPr>
          <w:p w:rsidR="00C416A5" w:rsidRPr="00280A10" w:rsidRDefault="00C416A5" w:rsidP="00C416A5">
            <w:pPr>
              <w:rPr>
                <w:sz w:val="20"/>
                <w:szCs w:val="20"/>
              </w:rPr>
            </w:pPr>
          </w:p>
        </w:tc>
        <w:tc>
          <w:tcPr>
            <w:tcW w:w="840" w:type="dxa"/>
          </w:tcPr>
          <w:p w:rsidR="00C416A5" w:rsidRPr="00280A10" w:rsidRDefault="00C416A5" w:rsidP="00C416A5">
            <w:pPr>
              <w:jc w:val="both"/>
              <w:rPr>
                <w:sz w:val="20"/>
                <w:szCs w:val="20"/>
              </w:rPr>
            </w:pPr>
            <w:r w:rsidRPr="00280A10">
              <w:rPr>
                <w:sz w:val="20"/>
                <w:szCs w:val="20"/>
              </w:rPr>
              <w:t>Indicator 1.3</w:t>
            </w:r>
          </w:p>
        </w:tc>
        <w:tc>
          <w:tcPr>
            <w:tcW w:w="2280" w:type="dxa"/>
          </w:tcPr>
          <w:p w:rsidR="00C416A5" w:rsidRPr="00280A10" w:rsidRDefault="00C416A5" w:rsidP="00C416A5">
            <w:pPr>
              <w:rPr>
                <w:sz w:val="20"/>
                <w:szCs w:val="20"/>
              </w:rPr>
            </w:pPr>
            <w:r w:rsidRPr="00432BD8">
              <w:rPr>
                <w:sz w:val="20"/>
                <w:szCs w:val="20"/>
              </w:rPr>
              <w:t>Principles for Support to the Financial Sub-Sector have been adopted by key donors (Y2)</w:t>
            </w:r>
          </w:p>
        </w:tc>
        <w:tc>
          <w:tcPr>
            <w:tcW w:w="1680" w:type="dxa"/>
          </w:tcPr>
          <w:p w:rsidR="00C416A5" w:rsidRPr="00280A10" w:rsidRDefault="00C416A5" w:rsidP="00C416A5">
            <w:pPr>
              <w:rPr>
                <w:sz w:val="20"/>
                <w:szCs w:val="20"/>
              </w:rPr>
            </w:pPr>
            <w:r>
              <w:rPr>
                <w:sz w:val="20"/>
                <w:szCs w:val="20"/>
              </w:rPr>
              <w:t xml:space="preserve">No </w:t>
            </w:r>
          </w:p>
        </w:tc>
        <w:tc>
          <w:tcPr>
            <w:tcW w:w="4320" w:type="dxa"/>
          </w:tcPr>
          <w:p w:rsidR="00C416A5" w:rsidRDefault="00C416A5" w:rsidP="00B65371">
            <w:pPr>
              <w:numPr>
                <w:ilvl w:val="0"/>
                <w:numId w:val="15"/>
              </w:numPr>
              <w:tabs>
                <w:tab w:val="clear" w:pos="720"/>
                <w:tab w:val="num" w:pos="144"/>
              </w:tabs>
              <w:ind w:left="144" w:hanging="144"/>
              <w:rPr>
                <w:sz w:val="20"/>
                <w:szCs w:val="20"/>
              </w:rPr>
            </w:pPr>
            <w:r w:rsidRPr="00280A10">
              <w:rPr>
                <w:sz w:val="20"/>
                <w:szCs w:val="20"/>
              </w:rPr>
              <w:t>Donor</w:t>
            </w:r>
            <w:r>
              <w:rPr>
                <w:sz w:val="20"/>
                <w:szCs w:val="20"/>
              </w:rPr>
              <w:t>s</w:t>
            </w:r>
            <w:r w:rsidRPr="00280A10">
              <w:rPr>
                <w:sz w:val="20"/>
                <w:szCs w:val="20"/>
              </w:rPr>
              <w:t xml:space="preserve"> and stakeholders </w:t>
            </w:r>
            <w:r>
              <w:rPr>
                <w:sz w:val="20"/>
                <w:szCs w:val="20"/>
              </w:rPr>
              <w:t>have been</w:t>
            </w:r>
            <w:r w:rsidRPr="00280A10">
              <w:rPr>
                <w:sz w:val="20"/>
                <w:szCs w:val="20"/>
              </w:rPr>
              <w:t xml:space="preserve"> coordinated through INFUSE participation in national priority working groups, private sector development working group, INFUSE advisory group for inclusive finance</w:t>
            </w:r>
            <w:r>
              <w:rPr>
                <w:sz w:val="20"/>
                <w:szCs w:val="20"/>
              </w:rPr>
              <w:t>, and bi-annual MCIF.</w:t>
            </w:r>
          </w:p>
          <w:p w:rsidR="00C416A5" w:rsidRPr="00280A10" w:rsidRDefault="00C416A5" w:rsidP="00B65371">
            <w:pPr>
              <w:numPr>
                <w:ilvl w:val="0"/>
                <w:numId w:val="15"/>
              </w:numPr>
              <w:tabs>
                <w:tab w:val="clear" w:pos="720"/>
                <w:tab w:val="num" w:pos="144"/>
              </w:tabs>
              <w:ind w:left="144" w:hanging="144"/>
              <w:rPr>
                <w:sz w:val="20"/>
                <w:szCs w:val="20"/>
              </w:rPr>
            </w:pPr>
            <w:r>
              <w:rPr>
                <w:sz w:val="20"/>
                <w:szCs w:val="20"/>
              </w:rPr>
              <w:t>Some donors have participated in the CGAP Donors for inclusive finance training</w:t>
            </w:r>
          </w:p>
        </w:tc>
        <w:tc>
          <w:tcPr>
            <w:tcW w:w="2880" w:type="dxa"/>
          </w:tcPr>
          <w:p w:rsidR="00C416A5" w:rsidRPr="00280A10" w:rsidRDefault="00C416A5" w:rsidP="00C416A5">
            <w:pPr>
              <w:rPr>
                <w:sz w:val="20"/>
                <w:szCs w:val="20"/>
              </w:rPr>
            </w:pPr>
            <w:r>
              <w:rPr>
                <w:sz w:val="20"/>
                <w:szCs w:val="20"/>
              </w:rPr>
              <w:t xml:space="preserve">Multiple competing priorities of INFUSE </w:t>
            </w:r>
          </w:p>
        </w:tc>
        <w:tc>
          <w:tcPr>
            <w:tcW w:w="1200" w:type="dxa"/>
          </w:tcPr>
          <w:p w:rsidR="00C416A5" w:rsidRDefault="00C416A5" w:rsidP="00C416A5">
            <w:pPr>
              <w:rPr>
                <w:sz w:val="20"/>
                <w:szCs w:val="20"/>
              </w:rPr>
            </w:pPr>
            <w:r>
              <w:rPr>
                <w:sz w:val="20"/>
                <w:szCs w:val="20"/>
              </w:rPr>
              <w:t xml:space="preserve"> None.  </w:t>
            </w:r>
          </w:p>
          <w:p w:rsidR="00C416A5" w:rsidRPr="00280A10" w:rsidRDefault="00C416A5" w:rsidP="00C416A5">
            <w:pPr>
              <w:rPr>
                <w:sz w:val="20"/>
                <w:szCs w:val="20"/>
              </w:rPr>
            </w:pPr>
          </w:p>
        </w:tc>
      </w:tr>
      <w:tr w:rsidR="00C416A5">
        <w:trPr>
          <w:trHeight w:val="548"/>
        </w:trPr>
        <w:tc>
          <w:tcPr>
            <w:tcW w:w="2160" w:type="dxa"/>
            <w:vMerge/>
          </w:tcPr>
          <w:p w:rsidR="00C416A5" w:rsidRPr="00280A10" w:rsidRDefault="00C416A5" w:rsidP="00C416A5">
            <w:pPr>
              <w:rPr>
                <w:sz w:val="20"/>
                <w:szCs w:val="20"/>
              </w:rPr>
            </w:pPr>
          </w:p>
        </w:tc>
        <w:tc>
          <w:tcPr>
            <w:tcW w:w="840" w:type="dxa"/>
          </w:tcPr>
          <w:p w:rsidR="00C416A5" w:rsidRPr="00280A10" w:rsidRDefault="00C416A5" w:rsidP="00C416A5">
            <w:pPr>
              <w:jc w:val="both"/>
              <w:rPr>
                <w:sz w:val="20"/>
                <w:szCs w:val="20"/>
              </w:rPr>
            </w:pPr>
            <w:r w:rsidRPr="00280A10">
              <w:rPr>
                <w:sz w:val="20"/>
                <w:szCs w:val="20"/>
              </w:rPr>
              <w:t>Indicator 1.4</w:t>
            </w:r>
          </w:p>
        </w:tc>
        <w:tc>
          <w:tcPr>
            <w:tcW w:w="2280" w:type="dxa"/>
          </w:tcPr>
          <w:p w:rsidR="00C416A5" w:rsidRPr="00280A10" w:rsidRDefault="00C416A5" w:rsidP="00C416A5">
            <w:pPr>
              <w:pStyle w:val="TableText"/>
              <w:spacing w:before="0"/>
              <w:rPr>
                <w:rFonts w:ascii="Times New Roman" w:hAnsi="Times New Roman" w:cs="Times New Roman"/>
              </w:rPr>
            </w:pPr>
            <w:r w:rsidRPr="00280A10">
              <w:rPr>
                <w:rFonts w:ascii="Times New Roman" w:hAnsi="Times New Roman" w:cs="Times New Roman"/>
              </w:rPr>
              <w:t>UNDAF aligned with policy (Y2)</w:t>
            </w:r>
          </w:p>
          <w:p w:rsidR="00C416A5" w:rsidRPr="00280A10" w:rsidRDefault="00C416A5" w:rsidP="00C416A5">
            <w:pPr>
              <w:pStyle w:val="TableText"/>
              <w:spacing w:before="0"/>
              <w:rPr>
                <w:rFonts w:ascii="Times New Roman" w:hAnsi="Times New Roman" w:cs="Times New Roman"/>
              </w:rPr>
            </w:pPr>
          </w:p>
        </w:tc>
        <w:tc>
          <w:tcPr>
            <w:tcW w:w="1680" w:type="dxa"/>
          </w:tcPr>
          <w:p w:rsidR="00C416A5" w:rsidRPr="00280A10" w:rsidRDefault="00C416A5" w:rsidP="00C416A5">
            <w:pPr>
              <w:pStyle w:val="Bulletlevel1"/>
              <w:numPr>
                <w:ilvl w:val="0"/>
                <w:numId w:val="0"/>
              </w:numPr>
              <w:ind w:left="360" w:hanging="360"/>
              <w:rPr>
                <w:rFonts w:ascii="Times New Roman" w:hAnsi="Times New Roman"/>
                <w:sz w:val="20"/>
                <w:szCs w:val="20"/>
              </w:rPr>
            </w:pPr>
            <w:r>
              <w:rPr>
                <w:rFonts w:ascii="Times New Roman" w:hAnsi="Times New Roman"/>
                <w:sz w:val="20"/>
                <w:szCs w:val="20"/>
              </w:rPr>
              <w:t>Yes</w:t>
            </w:r>
          </w:p>
        </w:tc>
        <w:tc>
          <w:tcPr>
            <w:tcW w:w="4320" w:type="dxa"/>
          </w:tcPr>
          <w:p w:rsidR="00C416A5" w:rsidRDefault="00C416A5" w:rsidP="00C416A5">
            <w:pPr>
              <w:pStyle w:val="Bulletlevel1"/>
              <w:tabs>
                <w:tab w:val="clear" w:pos="360"/>
                <w:tab w:val="num" w:pos="145"/>
              </w:tabs>
              <w:ind w:left="145" w:hanging="184"/>
              <w:rPr>
                <w:rFonts w:ascii="Times New Roman" w:hAnsi="Times New Roman"/>
                <w:sz w:val="20"/>
                <w:szCs w:val="20"/>
              </w:rPr>
            </w:pPr>
            <w:r w:rsidRPr="00280A10">
              <w:rPr>
                <w:rFonts w:ascii="Times New Roman" w:hAnsi="Times New Roman"/>
                <w:sz w:val="20"/>
                <w:szCs w:val="20"/>
              </w:rPr>
              <w:t>INFUSE targets incorporated in UNDAF.</w:t>
            </w:r>
          </w:p>
          <w:p w:rsidR="00C416A5" w:rsidRPr="00280A10" w:rsidRDefault="00C416A5" w:rsidP="00C416A5">
            <w:pPr>
              <w:pStyle w:val="Bulletlevel1"/>
              <w:tabs>
                <w:tab w:val="clear" w:pos="360"/>
                <w:tab w:val="num" w:pos="145"/>
              </w:tabs>
              <w:ind w:left="145" w:hanging="184"/>
              <w:rPr>
                <w:rFonts w:ascii="Times New Roman" w:hAnsi="Times New Roman"/>
                <w:sz w:val="20"/>
                <w:szCs w:val="20"/>
              </w:rPr>
            </w:pPr>
            <w:r>
              <w:rPr>
                <w:rFonts w:ascii="Times New Roman" w:hAnsi="Times New Roman"/>
                <w:sz w:val="20"/>
                <w:szCs w:val="20"/>
              </w:rPr>
              <w:t xml:space="preserve">Annual reporting on indicators takes place </w:t>
            </w:r>
          </w:p>
        </w:tc>
        <w:tc>
          <w:tcPr>
            <w:tcW w:w="2880" w:type="dxa"/>
          </w:tcPr>
          <w:p w:rsidR="00C416A5" w:rsidRPr="00280A10" w:rsidRDefault="00C416A5" w:rsidP="00C416A5">
            <w:pPr>
              <w:rPr>
                <w:sz w:val="20"/>
                <w:szCs w:val="20"/>
              </w:rPr>
            </w:pPr>
            <w:r>
              <w:rPr>
                <w:sz w:val="20"/>
                <w:szCs w:val="20"/>
              </w:rPr>
              <w:t>n/a</w:t>
            </w:r>
          </w:p>
        </w:tc>
        <w:tc>
          <w:tcPr>
            <w:tcW w:w="1200" w:type="dxa"/>
          </w:tcPr>
          <w:p w:rsidR="00C416A5" w:rsidRDefault="00C416A5" w:rsidP="00C416A5">
            <w:pPr>
              <w:rPr>
                <w:sz w:val="20"/>
                <w:szCs w:val="20"/>
              </w:rPr>
            </w:pPr>
            <w:r>
              <w:rPr>
                <w:sz w:val="20"/>
                <w:szCs w:val="20"/>
              </w:rPr>
              <w:t>None</w:t>
            </w:r>
          </w:p>
        </w:tc>
      </w:tr>
      <w:tr w:rsidR="00C416A5">
        <w:trPr>
          <w:trHeight w:val="548"/>
        </w:trPr>
        <w:tc>
          <w:tcPr>
            <w:tcW w:w="2160" w:type="dxa"/>
            <w:vMerge/>
          </w:tcPr>
          <w:p w:rsidR="00C416A5" w:rsidRPr="00280A10" w:rsidRDefault="00C416A5" w:rsidP="00C416A5">
            <w:pPr>
              <w:rPr>
                <w:sz w:val="20"/>
                <w:szCs w:val="20"/>
              </w:rPr>
            </w:pPr>
          </w:p>
        </w:tc>
        <w:tc>
          <w:tcPr>
            <w:tcW w:w="840" w:type="dxa"/>
          </w:tcPr>
          <w:p w:rsidR="00C416A5" w:rsidRPr="00280A10" w:rsidRDefault="00C416A5" w:rsidP="00C416A5">
            <w:pPr>
              <w:jc w:val="both"/>
              <w:rPr>
                <w:sz w:val="20"/>
                <w:szCs w:val="20"/>
              </w:rPr>
            </w:pPr>
            <w:r w:rsidRPr="00280A10">
              <w:rPr>
                <w:sz w:val="20"/>
                <w:szCs w:val="20"/>
              </w:rPr>
              <w:t>Indicator 1.5</w:t>
            </w:r>
          </w:p>
        </w:tc>
        <w:tc>
          <w:tcPr>
            <w:tcW w:w="2280" w:type="dxa"/>
          </w:tcPr>
          <w:p w:rsidR="00C416A5" w:rsidRPr="00280A10" w:rsidRDefault="00C416A5" w:rsidP="00C416A5">
            <w:pPr>
              <w:pStyle w:val="TableText"/>
              <w:spacing w:before="0"/>
              <w:rPr>
                <w:rFonts w:ascii="Times New Roman" w:hAnsi="Times New Roman" w:cs="Times New Roman"/>
              </w:rPr>
            </w:pPr>
            <w:r w:rsidRPr="00280A10">
              <w:rPr>
                <w:rFonts w:ascii="Times New Roman" w:hAnsi="Times New Roman" w:cs="Times New Roman"/>
              </w:rPr>
              <w:t>Current and future investments in the sub-sector are reviewed for compliance with national policy framework (Y3-5)</w:t>
            </w:r>
          </w:p>
        </w:tc>
        <w:tc>
          <w:tcPr>
            <w:tcW w:w="1680" w:type="dxa"/>
          </w:tcPr>
          <w:p w:rsidR="00C416A5" w:rsidRPr="00280A10" w:rsidRDefault="00C416A5" w:rsidP="00C416A5">
            <w:pPr>
              <w:pStyle w:val="Bulletlevel1"/>
              <w:numPr>
                <w:ilvl w:val="0"/>
                <w:numId w:val="0"/>
              </w:numPr>
              <w:ind w:left="360" w:hanging="360"/>
              <w:rPr>
                <w:rFonts w:ascii="Times New Roman" w:hAnsi="Times New Roman"/>
                <w:sz w:val="20"/>
                <w:szCs w:val="20"/>
              </w:rPr>
            </w:pPr>
            <w:r>
              <w:rPr>
                <w:rFonts w:ascii="Times New Roman" w:hAnsi="Times New Roman"/>
                <w:sz w:val="20"/>
                <w:szCs w:val="20"/>
              </w:rPr>
              <w:t xml:space="preserve">No </w:t>
            </w:r>
          </w:p>
        </w:tc>
        <w:tc>
          <w:tcPr>
            <w:tcW w:w="4320" w:type="dxa"/>
          </w:tcPr>
          <w:p w:rsidR="00C416A5" w:rsidRDefault="00C416A5" w:rsidP="00B65371">
            <w:pPr>
              <w:numPr>
                <w:ilvl w:val="0"/>
                <w:numId w:val="15"/>
              </w:numPr>
              <w:tabs>
                <w:tab w:val="clear" w:pos="720"/>
                <w:tab w:val="num" w:pos="140"/>
              </w:tabs>
              <w:ind w:left="140" w:hanging="140"/>
              <w:rPr>
                <w:sz w:val="20"/>
                <w:szCs w:val="20"/>
              </w:rPr>
            </w:pPr>
            <w:r>
              <w:rPr>
                <w:sz w:val="20"/>
                <w:szCs w:val="20"/>
              </w:rPr>
              <w:t>D</w:t>
            </w:r>
            <w:r w:rsidRPr="00280A10">
              <w:rPr>
                <w:sz w:val="20"/>
                <w:szCs w:val="20"/>
              </w:rPr>
              <w:t xml:space="preserve">onors </w:t>
            </w:r>
            <w:r>
              <w:rPr>
                <w:sz w:val="20"/>
                <w:szCs w:val="20"/>
              </w:rPr>
              <w:t xml:space="preserve">are coordinated resulting in contributions </w:t>
            </w:r>
            <w:r w:rsidRPr="00280A10">
              <w:rPr>
                <w:sz w:val="20"/>
                <w:szCs w:val="20"/>
              </w:rPr>
              <w:t xml:space="preserve">to INFUSE </w:t>
            </w:r>
            <w:r>
              <w:rPr>
                <w:sz w:val="20"/>
                <w:szCs w:val="20"/>
              </w:rPr>
              <w:t>of</w:t>
            </w:r>
            <w:r w:rsidRPr="00280A10">
              <w:rPr>
                <w:sz w:val="20"/>
                <w:szCs w:val="20"/>
              </w:rPr>
              <w:t xml:space="preserve"> app. US$3 million mobilized for INFUSE program, US$1million mobilized from </w:t>
            </w:r>
            <w:proofErr w:type="spellStart"/>
            <w:r w:rsidRPr="00280A10">
              <w:rPr>
                <w:sz w:val="20"/>
                <w:szCs w:val="20"/>
              </w:rPr>
              <w:t>MicroLead</w:t>
            </w:r>
            <w:proofErr w:type="spellEnd"/>
            <w:r w:rsidRPr="00280A10">
              <w:rPr>
                <w:sz w:val="20"/>
                <w:szCs w:val="20"/>
              </w:rPr>
              <w:t xml:space="preserve"> for one MFI, and funding for another MFI committed fro</w:t>
            </w:r>
            <w:r>
              <w:rPr>
                <w:sz w:val="20"/>
                <w:szCs w:val="20"/>
              </w:rPr>
              <w:t xml:space="preserve">m MAS and Credit </w:t>
            </w:r>
            <w:proofErr w:type="spellStart"/>
            <w:r>
              <w:rPr>
                <w:sz w:val="20"/>
                <w:szCs w:val="20"/>
              </w:rPr>
              <w:t>Agricole</w:t>
            </w:r>
            <w:proofErr w:type="spellEnd"/>
          </w:p>
          <w:p w:rsidR="00C416A5" w:rsidRDefault="00C416A5" w:rsidP="00C416A5">
            <w:pPr>
              <w:rPr>
                <w:sz w:val="20"/>
                <w:szCs w:val="20"/>
              </w:rPr>
            </w:pPr>
          </w:p>
          <w:p w:rsidR="00C416A5" w:rsidRPr="00280A10" w:rsidRDefault="00C416A5" w:rsidP="00C416A5">
            <w:pPr>
              <w:rPr>
                <w:sz w:val="20"/>
                <w:szCs w:val="20"/>
              </w:rPr>
            </w:pPr>
            <w:r>
              <w:rPr>
                <w:sz w:val="20"/>
                <w:szCs w:val="20"/>
              </w:rPr>
              <w:t xml:space="preserve">- MCIF bi-annual meetings in place as mechanism to approve investments </w:t>
            </w:r>
          </w:p>
        </w:tc>
        <w:tc>
          <w:tcPr>
            <w:tcW w:w="2880" w:type="dxa"/>
          </w:tcPr>
          <w:p w:rsidR="00C416A5" w:rsidRPr="00280A10" w:rsidRDefault="00C416A5" w:rsidP="00C416A5">
            <w:pPr>
              <w:rPr>
                <w:sz w:val="20"/>
                <w:szCs w:val="20"/>
              </w:rPr>
            </w:pPr>
            <w:r>
              <w:rPr>
                <w:sz w:val="20"/>
                <w:szCs w:val="20"/>
              </w:rPr>
              <w:t>No national policy statement for inclusive finance developed as yet</w:t>
            </w:r>
          </w:p>
        </w:tc>
        <w:tc>
          <w:tcPr>
            <w:tcW w:w="1200" w:type="dxa"/>
          </w:tcPr>
          <w:p w:rsidR="00C416A5" w:rsidRDefault="00C416A5" w:rsidP="00C416A5">
            <w:pPr>
              <w:rPr>
                <w:sz w:val="20"/>
                <w:szCs w:val="20"/>
              </w:rPr>
            </w:pPr>
            <w:r>
              <w:rPr>
                <w:sz w:val="20"/>
                <w:szCs w:val="20"/>
              </w:rPr>
              <w:t>None</w:t>
            </w:r>
          </w:p>
          <w:p w:rsidR="00C416A5" w:rsidRDefault="00C416A5" w:rsidP="00C416A5">
            <w:pPr>
              <w:rPr>
                <w:sz w:val="20"/>
                <w:szCs w:val="20"/>
              </w:rPr>
            </w:pPr>
          </w:p>
        </w:tc>
      </w:tr>
      <w:tr w:rsidR="00C416A5" w:rsidRPr="00280A10">
        <w:trPr>
          <w:trHeight w:val="548"/>
        </w:trPr>
        <w:tc>
          <w:tcPr>
            <w:tcW w:w="2160" w:type="dxa"/>
            <w:vMerge w:val="restart"/>
          </w:tcPr>
          <w:p w:rsidR="00C416A5" w:rsidRPr="00280A10" w:rsidRDefault="00C416A5" w:rsidP="00C416A5">
            <w:pPr>
              <w:rPr>
                <w:b/>
                <w:sz w:val="20"/>
                <w:szCs w:val="20"/>
              </w:rPr>
            </w:pPr>
            <w:r w:rsidRPr="00280A10">
              <w:rPr>
                <w:b/>
                <w:sz w:val="20"/>
                <w:szCs w:val="20"/>
              </w:rPr>
              <w:t>Output 2</w:t>
            </w:r>
          </w:p>
          <w:p w:rsidR="00C416A5" w:rsidRPr="00280A10" w:rsidRDefault="00C416A5" w:rsidP="00C416A5">
            <w:pPr>
              <w:pStyle w:val="BodyText"/>
              <w:spacing w:before="120"/>
              <w:rPr>
                <w:rFonts w:ascii="Times New Roman" w:hAnsi="Times New Roman" w:cs="Times New Roman"/>
                <w:b/>
                <w:bCs/>
              </w:rPr>
            </w:pPr>
            <w:r w:rsidRPr="00280A10">
              <w:rPr>
                <w:rFonts w:ascii="Times New Roman" w:hAnsi="Times New Roman" w:cs="Times New Roman"/>
                <w:b/>
                <w:bCs/>
              </w:rPr>
              <w:t>Increased Outreach of financial services by sustainable FSPs</w:t>
            </w:r>
          </w:p>
          <w:p w:rsidR="00C416A5" w:rsidRPr="00280A10" w:rsidRDefault="00C416A5" w:rsidP="00C416A5">
            <w:pPr>
              <w:pStyle w:val="BodyText"/>
              <w:spacing w:before="120"/>
              <w:rPr>
                <w:rFonts w:ascii="Times New Roman" w:hAnsi="Times New Roman" w:cs="Times New Roman"/>
                <w:b/>
                <w:bCs/>
              </w:rPr>
            </w:pPr>
          </w:p>
          <w:p w:rsidR="00C416A5" w:rsidRPr="00280A10" w:rsidRDefault="00C416A5" w:rsidP="00C416A5">
            <w:pPr>
              <w:rPr>
                <w:sz w:val="20"/>
                <w:szCs w:val="20"/>
                <w:lang w:val="en-GB"/>
              </w:rPr>
            </w:pPr>
            <w:r w:rsidRPr="00280A10">
              <w:rPr>
                <w:sz w:val="20"/>
                <w:szCs w:val="20"/>
              </w:rPr>
              <w:t>Good practice-based Financial Services Providers (FSPs) serving primarily the poor and low-income market make progress towards sustainability and increase their outreach, while maintaining a high portfolio quality</w:t>
            </w:r>
          </w:p>
          <w:p w:rsidR="00C416A5" w:rsidRPr="00280A10" w:rsidRDefault="00C416A5" w:rsidP="00C416A5">
            <w:pPr>
              <w:rPr>
                <w:sz w:val="20"/>
                <w:szCs w:val="20"/>
                <w:lang w:val="en-GB"/>
              </w:rPr>
            </w:pPr>
          </w:p>
        </w:tc>
        <w:tc>
          <w:tcPr>
            <w:tcW w:w="840" w:type="dxa"/>
          </w:tcPr>
          <w:p w:rsidR="00C416A5" w:rsidRDefault="00C416A5" w:rsidP="00C416A5">
            <w:pPr>
              <w:pStyle w:val="Bulletlevel1"/>
              <w:numPr>
                <w:ilvl w:val="0"/>
                <w:numId w:val="0"/>
              </w:numPr>
              <w:ind w:left="-39"/>
              <w:rPr>
                <w:sz w:val="20"/>
                <w:szCs w:val="20"/>
              </w:rPr>
            </w:pPr>
            <w:r w:rsidRPr="00280A10">
              <w:rPr>
                <w:sz w:val="20"/>
                <w:szCs w:val="20"/>
              </w:rPr>
              <w:t>Indicator  2.1</w:t>
            </w:r>
          </w:p>
          <w:p w:rsidR="00C416A5" w:rsidRDefault="00C416A5" w:rsidP="00C416A5">
            <w:pPr>
              <w:pStyle w:val="Bulletlevel1"/>
              <w:numPr>
                <w:ilvl w:val="0"/>
                <w:numId w:val="0"/>
              </w:numPr>
              <w:ind w:left="-39"/>
              <w:rPr>
                <w:sz w:val="20"/>
                <w:szCs w:val="20"/>
              </w:rPr>
            </w:pPr>
          </w:p>
          <w:p w:rsidR="00C416A5" w:rsidRPr="00280A10" w:rsidRDefault="00C416A5" w:rsidP="00C416A5">
            <w:pPr>
              <w:pStyle w:val="Bulletlevel1"/>
              <w:numPr>
                <w:ilvl w:val="0"/>
                <w:numId w:val="0"/>
              </w:numPr>
              <w:ind w:left="-39"/>
              <w:rPr>
                <w:rFonts w:ascii="Times New Roman" w:hAnsi="Times New Roman"/>
                <w:b/>
                <w:bCs/>
                <w:sz w:val="20"/>
                <w:szCs w:val="20"/>
              </w:rPr>
            </w:pPr>
            <w:r w:rsidRPr="00280A10">
              <w:rPr>
                <w:rFonts w:ascii="Times New Roman" w:hAnsi="Times New Roman"/>
                <w:sz w:val="20"/>
                <w:szCs w:val="20"/>
              </w:rPr>
              <w:t xml:space="preserve">Baseline as at Dec 2008 is </w:t>
            </w:r>
            <w:r w:rsidRPr="00280A10">
              <w:rPr>
                <w:rFonts w:ascii="Times New Roman" w:hAnsi="Times New Roman"/>
                <w:b/>
                <w:bCs/>
                <w:sz w:val="20"/>
                <w:szCs w:val="20"/>
              </w:rPr>
              <w:t xml:space="preserve">           </w:t>
            </w:r>
            <w:r w:rsidRPr="00AC0EBA">
              <w:rPr>
                <w:rFonts w:ascii="Times New Roman" w:hAnsi="Times New Roman"/>
                <w:bCs/>
                <w:sz w:val="20"/>
                <w:szCs w:val="20"/>
              </w:rPr>
              <w:t>35,369</w:t>
            </w:r>
            <w:r w:rsidRPr="00280A10">
              <w:rPr>
                <w:rFonts w:ascii="Times New Roman" w:hAnsi="Times New Roman"/>
                <w:b/>
                <w:bCs/>
                <w:sz w:val="20"/>
                <w:szCs w:val="20"/>
              </w:rPr>
              <w:t xml:space="preserve"> </w:t>
            </w:r>
          </w:p>
          <w:p w:rsidR="00C416A5" w:rsidRPr="00280A10" w:rsidRDefault="00C416A5" w:rsidP="00C416A5">
            <w:pPr>
              <w:jc w:val="both"/>
              <w:rPr>
                <w:sz w:val="20"/>
                <w:szCs w:val="20"/>
              </w:rPr>
            </w:pPr>
          </w:p>
        </w:tc>
        <w:tc>
          <w:tcPr>
            <w:tcW w:w="2280" w:type="dxa"/>
          </w:tcPr>
          <w:p w:rsidR="00C416A5" w:rsidRDefault="00C416A5" w:rsidP="00C416A5">
            <w:pPr>
              <w:rPr>
                <w:sz w:val="20"/>
                <w:szCs w:val="20"/>
              </w:rPr>
            </w:pPr>
            <w:r w:rsidRPr="00280A10">
              <w:rPr>
                <w:sz w:val="20"/>
                <w:szCs w:val="20"/>
              </w:rPr>
              <w:t xml:space="preserve">Increase in the number of active clients (at least 50% women) of selected Financial Service Providers (excluding commercial banks) from baseline established as at end of 2008 by 20% percent p.a. (compounded), totaling </w:t>
            </w:r>
            <w:r w:rsidRPr="00AC0EBA">
              <w:rPr>
                <w:bCs/>
                <w:sz w:val="20"/>
                <w:szCs w:val="20"/>
              </w:rPr>
              <w:t>73,341 active clients</w:t>
            </w:r>
            <w:r w:rsidRPr="00280A10">
              <w:rPr>
                <w:sz w:val="20"/>
                <w:szCs w:val="20"/>
              </w:rPr>
              <w:t xml:space="preserve"> by project end.  </w:t>
            </w:r>
          </w:p>
          <w:p w:rsidR="00C416A5" w:rsidRDefault="00C416A5" w:rsidP="00C416A5">
            <w:pPr>
              <w:rPr>
                <w:sz w:val="20"/>
                <w:szCs w:val="20"/>
              </w:rPr>
            </w:pPr>
          </w:p>
          <w:p w:rsidR="00C416A5" w:rsidRPr="00AC0EBA" w:rsidRDefault="00C416A5" w:rsidP="00C416A5">
            <w:pPr>
              <w:rPr>
                <w:b/>
                <w:sz w:val="20"/>
                <w:szCs w:val="20"/>
              </w:rPr>
            </w:pPr>
            <w:r w:rsidRPr="00AC0EBA">
              <w:rPr>
                <w:b/>
                <w:sz w:val="20"/>
                <w:szCs w:val="20"/>
              </w:rPr>
              <w:t>Target</w:t>
            </w:r>
            <w:r>
              <w:rPr>
                <w:b/>
                <w:sz w:val="20"/>
                <w:szCs w:val="20"/>
              </w:rPr>
              <w:t>s to be tracked</w:t>
            </w:r>
            <w:r w:rsidRPr="00AC0EBA">
              <w:rPr>
                <w:b/>
                <w:sz w:val="20"/>
                <w:szCs w:val="20"/>
              </w:rPr>
              <w:t>:</w:t>
            </w:r>
          </w:p>
          <w:p w:rsidR="00C416A5" w:rsidRPr="00AC0EBA" w:rsidRDefault="00C416A5" w:rsidP="00C416A5">
            <w:pPr>
              <w:numPr>
                <w:ilvl w:val="0"/>
                <w:numId w:val="24"/>
              </w:numPr>
              <w:rPr>
                <w:b/>
                <w:sz w:val="20"/>
                <w:szCs w:val="20"/>
              </w:rPr>
            </w:pPr>
            <w:r w:rsidRPr="00AC0EBA">
              <w:rPr>
                <w:b/>
                <w:sz w:val="20"/>
                <w:szCs w:val="20"/>
              </w:rPr>
              <w:t>All providers of MF services</w:t>
            </w:r>
          </w:p>
          <w:p w:rsidR="00C416A5" w:rsidRPr="00AC0EBA" w:rsidRDefault="00C416A5" w:rsidP="00C416A5">
            <w:pPr>
              <w:numPr>
                <w:ilvl w:val="0"/>
                <w:numId w:val="24"/>
              </w:numPr>
              <w:rPr>
                <w:b/>
                <w:sz w:val="20"/>
                <w:szCs w:val="20"/>
              </w:rPr>
            </w:pPr>
            <w:r w:rsidRPr="00AC0EBA">
              <w:rPr>
                <w:b/>
                <w:sz w:val="20"/>
                <w:szCs w:val="20"/>
              </w:rPr>
              <w:t>INFUSE supported providers of MF services</w:t>
            </w:r>
          </w:p>
          <w:p w:rsidR="00C416A5" w:rsidRPr="00280A10" w:rsidRDefault="00C416A5" w:rsidP="00C416A5">
            <w:pPr>
              <w:numPr>
                <w:ilvl w:val="0"/>
                <w:numId w:val="24"/>
              </w:numPr>
              <w:rPr>
                <w:sz w:val="20"/>
                <w:szCs w:val="20"/>
              </w:rPr>
            </w:pPr>
            <w:r w:rsidRPr="00AC0EBA">
              <w:rPr>
                <w:b/>
                <w:sz w:val="20"/>
                <w:szCs w:val="20"/>
              </w:rPr>
              <w:t>Increase in access to new products and services</w:t>
            </w:r>
          </w:p>
        </w:tc>
        <w:tc>
          <w:tcPr>
            <w:tcW w:w="1680" w:type="dxa"/>
          </w:tcPr>
          <w:p w:rsidR="00C416A5" w:rsidRPr="00280A10" w:rsidRDefault="00C416A5" w:rsidP="00C416A5">
            <w:pPr>
              <w:pStyle w:val="Bulletlevel1"/>
              <w:numPr>
                <w:ilvl w:val="0"/>
                <w:numId w:val="0"/>
              </w:numPr>
              <w:ind w:left="-39"/>
              <w:rPr>
                <w:rFonts w:ascii="Times New Roman" w:hAnsi="Times New Roman"/>
                <w:sz w:val="20"/>
                <w:szCs w:val="20"/>
              </w:rPr>
            </w:pPr>
            <w:bookmarkStart w:id="47" w:name="OLE_LINK3"/>
            <w:bookmarkStart w:id="48" w:name="OLE_LINK4"/>
            <w:r>
              <w:rPr>
                <w:rFonts w:ascii="Times New Roman" w:hAnsi="Times New Roman"/>
                <w:sz w:val="20"/>
                <w:szCs w:val="20"/>
              </w:rPr>
              <w:t>Partial</w:t>
            </w:r>
          </w:p>
          <w:bookmarkEnd w:id="47"/>
          <w:bookmarkEnd w:id="48"/>
          <w:p w:rsidR="00C416A5" w:rsidRPr="00280A10" w:rsidRDefault="00C416A5" w:rsidP="00C416A5">
            <w:pPr>
              <w:pStyle w:val="Bulletlevel1"/>
              <w:numPr>
                <w:ilvl w:val="0"/>
                <w:numId w:val="0"/>
              </w:numPr>
              <w:ind w:left="360" w:hanging="360"/>
              <w:rPr>
                <w:rFonts w:ascii="Times New Roman" w:hAnsi="Times New Roman"/>
                <w:sz w:val="20"/>
                <w:szCs w:val="20"/>
              </w:rPr>
            </w:pPr>
          </w:p>
        </w:tc>
        <w:tc>
          <w:tcPr>
            <w:tcW w:w="4320" w:type="dxa"/>
          </w:tcPr>
          <w:p w:rsidR="00C416A5" w:rsidRDefault="00C416A5" w:rsidP="00B65371">
            <w:pPr>
              <w:numPr>
                <w:ilvl w:val="0"/>
                <w:numId w:val="15"/>
              </w:numPr>
              <w:tabs>
                <w:tab w:val="clear" w:pos="720"/>
                <w:tab w:val="num" w:pos="140"/>
              </w:tabs>
              <w:ind w:left="140" w:hanging="140"/>
              <w:rPr>
                <w:sz w:val="20"/>
                <w:szCs w:val="20"/>
              </w:rPr>
            </w:pPr>
            <w:r w:rsidRPr="00280A10">
              <w:rPr>
                <w:sz w:val="20"/>
                <w:szCs w:val="20"/>
              </w:rPr>
              <w:t xml:space="preserve">34,733 clients of FSPs involved in provision of microfinance services (3 MFIs and credit unions) as of Dec 2008 increased to </w:t>
            </w:r>
            <w:r w:rsidRPr="00FA7F60">
              <w:rPr>
                <w:sz w:val="20"/>
                <w:szCs w:val="20"/>
              </w:rPr>
              <w:t xml:space="preserve">55,851 </w:t>
            </w:r>
            <w:r w:rsidRPr="00280A10">
              <w:rPr>
                <w:sz w:val="20"/>
                <w:szCs w:val="20"/>
              </w:rPr>
              <w:t>as of December 2010, representing 27% p.a. growth (compounded).</w:t>
            </w:r>
            <w:r>
              <w:rPr>
                <w:sz w:val="20"/>
                <w:szCs w:val="20"/>
              </w:rPr>
              <w:t xml:space="preserve">  Of this total, 14,734 are clients of INFUSE-supported MFIs.</w:t>
            </w:r>
          </w:p>
          <w:p w:rsidR="00C416A5" w:rsidRDefault="00C416A5" w:rsidP="00C416A5">
            <w:pPr>
              <w:rPr>
                <w:sz w:val="20"/>
                <w:szCs w:val="20"/>
              </w:rPr>
            </w:pPr>
          </w:p>
          <w:p w:rsidR="00C416A5" w:rsidRDefault="00C416A5" w:rsidP="00B65371">
            <w:pPr>
              <w:numPr>
                <w:ilvl w:val="0"/>
                <w:numId w:val="15"/>
              </w:numPr>
              <w:tabs>
                <w:tab w:val="clear" w:pos="720"/>
                <w:tab w:val="num" w:pos="140"/>
              </w:tabs>
              <w:ind w:left="140" w:hanging="140"/>
              <w:rPr>
                <w:sz w:val="20"/>
                <w:szCs w:val="20"/>
              </w:rPr>
            </w:pPr>
            <w:r>
              <w:rPr>
                <w:sz w:val="20"/>
                <w:szCs w:val="20"/>
              </w:rPr>
              <w:t>The two supported MFIs are meeting targets on portfolio quality and sustainability</w:t>
            </w:r>
          </w:p>
          <w:p w:rsidR="00C416A5" w:rsidRDefault="00C416A5" w:rsidP="00C416A5">
            <w:pPr>
              <w:rPr>
                <w:sz w:val="20"/>
                <w:szCs w:val="20"/>
              </w:rPr>
            </w:pPr>
          </w:p>
          <w:p w:rsidR="00C416A5" w:rsidRPr="007D555F" w:rsidRDefault="00C416A5" w:rsidP="00C416A5">
            <w:pPr>
              <w:jc w:val="center"/>
              <w:rPr>
                <w:sz w:val="20"/>
                <w:szCs w:val="20"/>
              </w:rPr>
            </w:pPr>
          </w:p>
        </w:tc>
        <w:tc>
          <w:tcPr>
            <w:tcW w:w="2880" w:type="dxa"/>
          </w:tcPr>
          <w:p w:rsidR="00C416A5" w:rsidRDefault="00C416A5" w:rsidP="00C416A5">
            <w:pPr>
              <w:rPr>
                <w:sz w:val="20"/>
                <w:szCs w:val="20"/>
              </w:rPr>
            </w:pPr>
            <w:r>
              <w:rPr>
                <w:sz w:val="20"/>
                <w:szCs w:val="20"/>
              </w:rPr>
              <w:t xml:space="preserve">Note: when setting targets, all MF service providers were included in baseline and projections on the assumption that INFUSE may provide direct support, and would also provide general sector support that would affect their performance. </w:t>
            </w:r>
          </w:p>
          <w:p w:rsidR="00C416A5" w:rsidRDefault="00C416A5" w:rsidP="00C416A5">
            <w:pPr>
              <w:rPr>
                <w:sz w:val="20"/>
                <w:szCs w:val="20"/>
              </w:rPr>
            </w:pPr>
          </w:p>
          <w:p w:rsidR="00C416A5" w:rsidRDefault="00C416A5" w:rsidP="00C416A5">
            <w:pPr>
              <w:rPr>
                <w:sz w:val="20"/>
                <w:szCs w:val="20"/>
              </w:rPr>
            </w:pPr>
            <w:r>
              <w:rPr>
                <w:sz w:val="20"/>
                <w:szCs w:val="20"/>
              </w:rPr>
              <w:t>Growth in outreach is slower than anticipated with one MFI supported by INFUSE with the key reason cited being HR</w:t>
            </w:r>
          </w:p>
          <w:p w:rsidR="00C416A5" w:rsidRDefault="00C416A5" w:rsidP="00C416A5">
            <w:pPr>
              <w:rPr>
                <w:sz w:val="20"/>
                <w:szCs w:val="20"/>
              </w:rPr>
            </w:pPr>
          </w:p>
          <w:p w:rsidR="00C416A5" w:rsidRDefault="00C416A5" w:rsidP="00C416A5">
            <w:pPr>
              <w:rPr>
                <w:sz w:val="20"/>
                <w:szCs w:val="20"/>
              </w:rPr>
            </w:pPr>
            <w:r>
              <w:rPr>
                <w:sz w:val="20"/>
                <w:szCs w:val="20"/>
              </w:rPr>
              <w:t xml:space="preserve">No results to INFUSE’s attempts to support CUs with sustainable approach.  </w:t>
            </w:r>
          </w:p>
          <w:p w:rsidR="00C416A5" w:rsidRDefault="00C416A5" w:rsidP="00C416A5">
            <w:pPr>
              <w:rPr>
                <w:sz w:val="20"/>
                <w:szCs w:val="20"/>
              </w:rPr>
            </w:pPr>
          </w:p>
          <w:p w:rsidR="00C416A5" w:rsidRPr="00280A10" w:rsidRDefault="00C416A5" w:rsidP="00C416A5">
            <w:pPr>
              <w:rPr>
                <w:sz w:val="20"/>
                <w:szCs w:val="20"/>
              </w:rPr>
            </w:pPr>
            <w:r>
              <w:rPr>
                <w:sz w:val="20"/>
                <w:szCs w:val="20"/>
              </w:rPr>
              <w:t xml:space="preserve">Support to </w:t>
            </w:r>
            <w:proofErr w:type="spellStart"/>
            <w:r>
              <w:rPr>
                <w:sz w:val="20"/>
                <w:szCs w:val="20"/>
              </w:rPr>
              <w:t>IMfTL</w:t>
            </w:r>
            <w:proofErr w:type="spellEnd"/>
            <w:r>
              <w:rPr>
                <w:sz w:val="20"/>
                <w:szCs w:val="20"/>
              </w:rPr>
              <w:t xml:space="preserve"> has not been desired as they receive significant support from ADB and the GoTL.</w:t>
            </w:r>
          </w:p>
        </w:tc>
        <w:tc>
          <w:tcPr>
            <w:tcW w:w="1200" w:type="dxa"/>
          </w:tcPr>
          <w:p w:rsidR="00C416A5" w:rsidRDefault="00C416A5" w:rsidP="00C416A5">
            <w:pPr>
              <w:rPr>
                <w:sz w:val="20"/>
                <w:szCs w:val="20"/>
              </w:rPr>
            </w:pPr>
            <w:r>
              <w:rPr>
                <w:sz w:val="20"/>
                <w:szCs w:val="20"/>
              </w:rPr>
              <w:t>Revised.</w:t>
            </w:r>
          </w:p>
          <w:p w:rsidR="00C416A5" w:rsidRDefault="00C416A5" w:rsidP="00C416A5">
            <w:pPr>
              <w:rPr>
                <w:sz w:val="20"/>
                <w:szCs w:val="20"/>
              </w:rPr>
            </w:pPr>
          </w:p>
          <w:p w:rsidR="00C416A5" w:rsidRPr="00280A10" w:rsidRDefault="00C416A5" w:rsidP="00C416A5">
            <w:pPr>
              <w:rPr>
                <w:sz w:val="20"/>
                <w:szCs w:val="20"/>
              </w:rPr>
            </w:pPr>
          </w:p>
        </w:tc>
      </w:tr>
      <w:tr w:rsidR="00C416A5">
        <w:trPr>
          <w:trHeight w:val="548"/>
        </w:trPr>
        <w:tc>
          <w:tcPr>
            <w:tcW w:w="2160" w:type="dxa"/>
            <w:vMerge/>
          </w:tcPr>
          <w:p w:rsidR="00C416A5" w:rsidRPr="00280A10" w:rsidRDefault="00C416A5" w:rsidP="00C416A5">
            <w:pPr>
              <w:rPr>
                <w:sz w:val="20"/>
                <w:szCs w:val="20"/>
              </w:rPr>
            </w:pPr>
          </w:p>
        </w:tc>
        <w:tc>
          <w:tcPr>
            <w:tcW w:w="840" w:type="dxa"/>
          </w:tcPr>
          <w:p w:rsidR="00C416A5" w:rsidRPr="00280A10" w:rsidRDefault="00C416A5" w:rsidP="00C416A5">
            <w:pPr>
              <w:jc w:val="both"/>
              <w:rPr>
                <w:sz w:val="20"/>
                <w:szCs w:val="20"/>
              </w:rPr>
            </w:pPr>
            <w:r w:rsidRPr="00280A10">
              <w:rPr>
                <w:sz w:val="20"/>
                <w:szCs w:val="20"/>
              </w:rPr>
              <w:t>Indicator 2.2</w:t>
            </w:r>
          </w:p>
        </w:tc>
        <w:tc>
          <w:tcPr>
            <w:tcW w:w="2280" w:type="dxa"/>
          </w:tcPr>
          <w:p w:rsidR="00C416A5" w:rsidRPr="002425AE" w:rsidRDefault="00C416A5" w:rsidP="00C416A5">
            <w:pPr>
              <w:pStyle w:val="Bulletlevel1"/>
              <w:numPr>
                <w:ilvl w:val="0"/>
                <w:numId w:val="0"/>
              </w:numPr>
              <w:rPr>
                <w:rFonts w:ascii="Times New Roman" w:hAnsi="Times New Roman"/>
                <w:sz w:val="20"/>
                <w:szCs w:val="20"/>
              </w:rPr>
            </w:pPr>
            <w:r w:rsidRPr="00432BD8">
              <w:rPr>
                <w:rFonts w:ascii="Times New Roman" w:hAnsi="Times New Roman"/>
                <w:sz w:val="20"/>
                <w:szCs w:val="20"/>
              </w:rPr>
              <w:t>Introduction of pro-poor financial products by commercial bank and/or mobile network operators (MNOs), resulting in an additional 40,000 clients obtaining access to a secure savings account.</w:t>
            </w:r>
            <w:r w:rsidRPr="00280A10">
              <w:t xml:space="preserve"> </w:t>
            </w:r>
          </w:p>
        </w:tc>
        <w:tc>
          <w:tcPr>
            <w:tcW w:w="1680" w:type="dxa"/>
          </w:tcPr>
          <w:p w:rsidR="00C416A5" w:rsidRPr="00280A10" w:rsidRDefault="00C416A5" w:rsidP="00C416A5">
            <w:pPr>
              <w:pStyle w:val="Bulletlevel1"/>
              <w:numPr>
                <w:ilvl w:val="0"/>
                <w:numId w:val="0"/>
              </w:numPr>
              <w:ind w:left="360" w:hanging="360"/>
              <w:rPr>
                <w:rFonts w:ascii="Times New Roman" w:hAnsi="Times New Roman"/>
                <w:sz w:val="20"/>
                <w:szCs w:val="20"/>
              </w:rPr>
            </w:pPr>
            <w:r>
              <w:rPr>
                <w:rFonts w:ascii="Times New Roman" w:hAnsi="Times New Roman"/>
                <w:sz w:val="20"/>
                <w:szCs w:val="20"/>
              </w:rPr>
              <w:t>No</w:t>
            </w:r>
          </w:p>
        </w:tc>
        <w:tc>
          <w:tcPr>
            <w:tcW w:w="4320" w:type="dxa"/>
          </w:tcPr>
          <w:p w:rsidR="00C416A5" w:rsidRPr="00280A10" w:rsidRDefault="00C416A5" w:rsidP="00C416A5">
            <w:pPr>
              <w:pStyle w:val="Bulletlevel1"/>
              <w:tabs>
                <w:tab w:val="clear" w:pos="360"/>
                <w:tab w:val="num" w:pos="145"/>
              </w:tabs>
              <w:ind w:left="145" w:hanging="184"/>
              <w:rPr>
                <w:rFonts w:ascii="Times New Roman" w:hAnsi="Times New Roman"/>
                <w:sz w:val="20"/>
                <w:szCs w:val="20"/>
              </w:rPr>
            </w:pPr>
            <w:r w:rsidRPr="00280A10">
              <w:rPr>
                <w:rFonts w:ascii="Times New Roman" w:hAnsi="Times New Roman"/>
                <w:sz w:val="20"/>
                <w:szCs w:val="20"/>
              </w:rPr>
              <w:t xml:space="preserve">INFUSE </w:t>
            </w:r>
            <w:r>
              <w:rPr>
                <w:rFonts w:ascii="Times New Roman" w:hAnsi="Times New Roman"/>
                <w:sz w:val="20"/>
                <w:szCs w:val="20"/>
              </w:rPr>
              <w:t>lent in-country support to</w:t>
            </w:r>
            <w:r w:rsidRPr="00280A10">
              <w:rPr>
                <w:rFonts w:ascii="Times New Roman" w:hAnsi="Times New Roman"/>
                <w:sz w:val="20"/>
                <w:szCs w:val="20"/>
              </w:rPr>
              <w:t xml:space="preserve"> ADB</w:t>
            </w:r>
            <w:r>
              <w:rPr>
                <w:rFonts w:ascii="Times New Roman" w:hAnsi="Times New Roman"/>
                <w:sz w:val="20"/>
                <w:szCs w:val="20"/>
              </w:rPr>
              <w:t>/Bankable Frontiers Associate’s</w:t>
            </w:r>
            <w:r w:rsidRPr="00280A10">
              <w:rPr>
                <w:rFonts w:ascii="Times New Roman" w:hAnsi="Times New Roman"/>
                <w:sz w:val="20"/>
                <w:szCs w:val="20"/>
              </w:rPr>
              <w:t xml:space="preserve"> assessment for potential of branchless banking in July 2010.</w:t>
            </w:r>
          </w:p>
          <w:p w:rsidR="00C416A5" w:rsidRPr="00280A10" w:rsidRDefault="00C416A5" w:rsidP="00C416A5">
            <w:pPr>
              <w:pStyle w:val="Bulletlevel1"/>
              <w:numPr>
                <w:ilvl w:val="0"/>
                <w:numId w:val="0"/>
              </w:numPr>
              <w:ind w:left="360" w:hanging="360"/>
              <w:rPr>
                <w:rFonts w:ascii="Times New Roman" w:hAnsi="Times New Roman"/>
                <w:sz w:val="20"/>
                <w:szCs w:val="20"/>
              </w:rPr>
            </w:pPr>
          </w:p>
        </w:tc>
        <w:tc>
          <w:tcPr>
            <w:tcW w:w="2880" w:type="dxa"/>
          </w:tcPr>
          <w:p w:rsidR="00C416A5" w:rsidRPr="00280A10" w:rsidRDefault="00C416A5" w:rsidP="00C416A5">
            <w:pPr>
              <w:rPr>
                <w:sz w:val="20"/>
                <w:szCs w:val="20"/>
              </w:rPr>
            </w:pPr>
            <w:r>
              <w:rPr>
                <w:sz w:val="20"/>
                <w:szCs w:val="20"/>
              </w:rPr>
              <w:t xml:space="preserve">Though commercial banks and the single telecommunications service provider (monopoly through 2017) have not yet engaged in developing new products and/or going down-market, efforts to partner will continue.  </w:t>
            </w:r>
          </w:p>
        </w:tc>
        <w:tc>
          <w:tcPr>
            <w:tcW w:w="1200" w:type="dxa"/>
          </w:tcPr>
          <w:p w:rsidR="00C416A5" w:rsidRDefault="00C416A5" w:rsidP="00C416A5">
            <w:pPr>
              <w:rPr>
                <w:sz w:val="20"/>
                <w:szCs w:val="20"/>
              </w:rPr>
            </w:pPr>
            <w:r>
              <w:rPr>
                <w:sz w:val="20"/>
                <w:szCs w:val="20"/>
              </w:rPr>
              <w:t xml:space="preserve">None. </w:t>
            </w:r>
          </w:p>
          <w:p w:rsidR="00C416A5" w:rsidRDefault="00C416A5" w:rsidP="00C416A5">
            <w:pPr>
              <w:rPr>
                <w:sz w:val="20"/>
                <w:szCs w:val="20"/>
              </w:rPr>
            </w:pPr>
          </w:p>
          <w:p w:rsidR="00C416A5" w:rsidRDefault="00C416A5" w:rsidP="00C416A5">
            <w:pPr>
              <w:rPr>
                <w:sz w:val="20"/>
                <w:szCs w:val="20"/>
              </w:rPr>
            </w:pPr>
          </w:p>
        </w:tc>
      </w:tr>
      <w:tr w:rsidR="00C416A5">
        <w:trPr>
          <w:trHeight w:val="548"/>
        </w:trPr>
        <w:tc>
          <w:tcPr>
            <w:tcW w:w="2160" w:type="dxa"/>
            <w:vMerge/>
          </w:tcPr>
          <w:p w:rsidR="00C416A5" w:rsidRPr="00280A10" w:rsidRDefault="00C416A5" w:rsidP="00C416A5">
            <w:pPr>
              <w:rPr>
                <w:sz w:val="20"/>
                <w:szCs w:val="20"/>
              </w:rPr>
            </w:pPr>
          </w:p>
        </w:tc>
        <w:tc>
          <w:tcPr>
            <w:tcW w:w="840" w:type="dxa"/>
          </w:tcPr>
          <w:p w:rsidR="00C416A5" w:rsidRPr="00280A10" w:rsidRDefault="00C416A5" w:rsidP="00C416A5">
            <w:pPr>
              <w:jc w:val="both"/>
              <w:rPr>
                <w:sz w:val="20"/>
                <w:szCs w:val="20"/>
              </w:rPr>
            </w:pPr>
            <w:r w:rsidRPr="00280A10">
              <w:rPr>
                <w:sz w:val="20"/>
                <w:szCs w:val="20"/>
              </w:rPr>
              <w:t>Indicator 2.3</w:t>
            </w:r>
          </w:p>
        </w:tc>
        <w:tc>
          <w:tcPr>
            <w:tcW w:w="2280" w:type="dxa"/>
          </w:tcPr>
          <w:p w:rsidR="00C416A5" w:rsidRPr="00280A10" w:rsidRDefault="00C416A5" w:rsidP="00C416A5">
            <w:pPr>
              <w:rPr>
                <w:sz w:val="20"/>
                <w:szCs w:val="20"/>
              </w:rPr>
            </w:pPr>
            <w:r w:rsidRPr="00AC0EBA">
              <w:rPr>
                <w:b/>
                <w:strike/>
                <w:sz w:val="20"/>
                <w:szCs w:val="20"/>
              </w:rPr>
              <w:t>At least 3</w:t>
            </w:r>
            <w:r w:rsidRPr="00AC0EBA">
              <w:rPr>
                <w:b/>
                <w:sz w:val="20"/>
                <w:szCs w:val="20"/>
              </w:rPr>
              <w:t xml:space="preserve"> INFUSE-supported</w:t>
            </w:r>
            <w:r>
              <w:rPr>
                <w:sz w:val="20"/>
                <w:szCs w:val="20"/>
              </w:rPr>
              <w:t xml:space="preserve"> </w:t>
            </w:r>
            <w:r w:rsidRPr="00280A10">
              <w:rPr>
                <w:sz w:val="20"/>
                <w:szCs w:val="20"/>
              </w:rPr>
              <w:t xml:space="preserve">MFIs have achieved financial break-even (Financial Self </w:t>
            </w:r>
            <w:r w:rsidRPr="00280A10">
              <w:rPr>
                <w:sz w:val="20"/>
                <w:szCs w:val="20"/>
              </w:rPr>
              <w:lastRenderedPageBreak/>
              <w:t>Sufficiency (FSS) &gt;= 100%) by project end</w:t>
            </w:r>
          </w:p>
        </w:tc>
        <w:tc>
          <w:tcPr>
            <w:tcW w:w="1680" w:type="dxa"/>
          </w:tcPr>
          <w:p w:rsidR="00C416A5" w:rsidRPr="00280A10" w:rsidRDefault="00C416A5" w:rsidP="00C416A5">
            <w:pPr>
              <w:rPr>
                <w:sz w:val="20"/>
                <w:szCs w:val="20"/>
              </w:rPr>
            </w:pPr>
            <w:r w:rsidRPr="00280A10">
              <w:rPr>
                <w:sz w:val="20"/>
                <w:szCs w:val="20"/>
              </w:rPr>
              <w:lastRenderedPageBreak/>
              <w:t>2 MFIs have achieved FSS</w:t>
            </w:r>
          </w:p>
          <w:p w:rsidR="00C416A5" w:rsidRPr="00280A10" w:rsidRDefault="00C416A5" w:rsidP="00C416A5">
            <w:pPr>
              <w:rPr>
                <w:sz w:val="20"/>
                <w:szCs w:val="20"/>
              </w:rPr>
            </w:pPr>
          </w:p>
        </w:tc>
        <w:tc>
          <w:tcPr>
            <w:tcW w:w="4320" w:type="dxa"/>
          </w:tcPr>
          <w:p w:rsidR="00C416A5" w:rsidRPr="00280A10" w:rsidRDefault="00C416A5" w:rsidP="00C416A5">
            <w:pPr>
              <w:pStyle w:val="Bulletlevel1"/>
              <w:tabs>
                <w:tab w:val="clear" w:pos="360"/>
                <w:tab w:val="num" w:pos="145"/>
              </w:tabs>
              <w:ind w:left="145" w:hanging="184"/>
              <w:rPr>
                <w:rFonts w:ascii="Times New Roman" w:hAnsi="Times New Roman"/>
                <w:sz w:val="20"/>
                <w:szCs w:val="20"/>
              </w:rPr>
            </w:pPr>
            <w:r w:rsidRPr="00280A10">
              <w:rPr>
                <w:rFonts w:ascii="Times New Roman" w:hAnsi="Times New Roman"/>
                <w:sz w:val="20"/>
                <w:szCs w:val="20"/>
              </w:rPr>
              <w:t xml:space="preserve">Moris Rasik </w:t>
            </w:r>
            <w:r>
              <w:rPr>
                <w:rFonts w:ascii="Times New Roman" w:hAnsi="Times New Roman"/>
                <w:sz w:val="20"/>
                <w:szCs w:val="20"/>
              </w:rPr>
              <w:t>FSS</w:t>
            </w:r>
            <w:r w:rsidRPr="00280A10">
              <w:rPr>
                <w:rFonts w:ascii="Times New Roman" w:hAnsi="Times New Roman"/>
                <w:sz w:val="20"/>
                <w:szCs w:val="20"/>
              </w:rPr>
              <w:t xml:space="preserve"> from Dec 2008 to Dec 20</w:t>
            </w:r>
            <w:r>
              <w:rPr>
                <w:rFonts w:ascii="Times New Roman" w:hAnsi="Times New Roman"/>
                <w:sz w:val="20"/>
                <w:szCs w:val="20"/>
              </w:rPr>
              <w:t>10</w:t>
            </w:r>
            <w:r w:rsidRPr="00280A10">
              <w:rPr>
                <w:rFonts w:ascii="Times New Roman" w:hAnsi="Times New Roman"/>
                <w:sz w:val="20"/>
                <w:szCs w:val="20"/>
              </w:rPr>
              <w:t>: increased from 100.7%  to 10</w:t>
            </w:r>
            <w:r>
              <w:rPr>
                <w:rFonts w:ascii="Times New Roman" w:hAnsi="Times New Roman"/>
                <w:sz w:val="20"/>
                <w:szCs w:val="20"/>
              </w:rPr>
              <w:t>4</w:t>
            </w:r>
            <w:r w:rsidRPr="00280A10">
              <w:rPr>
                <w:rFonts w:ascii="Times New Roman" w:hAnsi="Times New Roman"/>
                <w:sz w:val="20"/>
                <w:szCs w:val="20"/>
              </w:rPr>
              <w:t xml:space="preserve">.8% </w:t>
            </w:r>
          </w:p>
          <w:p w:rsidR="00C416A5" w:rsidRPr="00280A10" w:rsidRDefault="00C416A5" w:rsidP="00C416A5">
            <w:pPr>
              <w:pStyle w:val="Bulletlevel1"/>
              <w:numPr>
                <w:ilvl w:val="0"/>
                <w:numId w:val="0"/>
              </w:numPr>
              <w:ind w:left="144" w:hanging="144"/>
              <w:rPr>
                <w:rFonts w:ascii="Times New Roman" w:hAnsi="Times New Roman"/>
                <w:sz w:val="20"/>
                <w:szCs w:val="20"/>
              </w:rPr>
            </w:pPr>
            <w:r>
              <w:rPr>
                <w:rFonts w:ascii="Times New Roman" w:hAnsi="Times New Roman"/>
                <w:sz w:val="20"/>
                <w:szCs w:val="20"/>
              </w:rPr>
              <w:t>- TRM FSS: from Dec 2008 to Dec 2010: increased  89.8% to 112.7</w:t>
            </w:r>
            <w:r w:rsidRPr="00280A10">
              <w:rPr>
                <w:rFonts w:ascii="Times New Roman" w:hAnsi="Times New Roman"/>
                <w:sz w:val="20"/>
                <w:szCs w:val="20"/>
              </w:rPr>
              <w:t xml:space="preserve"> </w:t>
            </w:r>
          </w:p>
        </w:tc>
        <w:tc>
          <w:tcPr>
            <w:tcW w:w="2880" w:type="dxa"/>
            <w:shd w:val="clear" w:color="auto" w:fill="auto"/>
          </w:tcPr>
          <w:p w:rsidR="00C416A5" w:rsidRPr="00280A10" w:rsidRDefault="00C416A5" w:rsidP="00C416A5">
            <w:pPr>
              <w:rPr>
                <w:sz w:val="20"/>
                <w:szCs w:val="20"/>
              </w:rPr>
            </w:pPr>
            <w:r>
              <w:rPr>
                <w:sz w:val="20"/>
                <w:szCs w:val="20"/>
              </w:rPr>
              <w:t xml:space="preserve">Only INFUSE supported MFIs should be included </w:t>
            </w:r>
          </w:p>
        </w:tc>
        <w:tc>
          <w:tcPr>
            <w:tcW w:w="1200" w:type="dxa"/>
          </w:tcPr>
          <w:p w:rsidR="00C416A5" w:rsidRDefault="00C416A5" w:rsidP="00C416A5">
            <w:pPr>
              <w:rPr>
                <w:sz w:val="20"/>
                <w:szCs w:val="20"/>
              </w:rPr>
            </w:pPr>
            <w:r>
              <w:rPr>
                <w:sz w:val="20"/>
                <w:szCs w:val="20"/>
              </w:rPr>
              <w:t>Revised.</w:t>
            </w:r>
          </w:p>
          <w:p w:rsidR="00C416A5" w:rsidRDefault="00C416A5" w:rsidP="00C416A5">
            <w:pPr>
              <w:rPr>
                <w:sz w:val="20"/>
                <w:szCs w:val="20"/>
              </w:rPr>
            </w:pPr>
            <w:r>
              <w:rPr>
                <w:sz w:val="20"/>
                <w:szCs w:val="20"/>
              </w:rPr>
              <w:t xml:space="preserve"> </w:t>
            </w:r>
          </w:p>
        </w:tc>
      </w:tr>
      <w:tr w:rsidR="00C416A5">
        <w:trPr>
          <w:trHeight w:val="548"/>
        </w:trPr>
        <w:tc>
          <w:tcPr>
            <w:tcW w:w="2160" w:type="dxa"/>
            <w:vMerge/>
          </w:tcPr>
          <w:p w:rsidR="00C416A5" w:rsidRPr="00280A10" w:rsidRDefault="00C416A5" w:rsidP="00C416A5">
            <w:pPr>
              <w:rPr>
                <w:sz w:val="20"/>
                <w:szCs w:val="20"/>
              </w:rPr>
            </w:pPr>
          </w:p>
        </w:tc>
        <w:tc>
          <w:tcPr>
            <w:tcW w:w="840" w:type="dxa"/>
          </w:tcPr>
          <w:p w:rsidR="00C416A5" w:rsidRPr="00280A10" w:rsidRDefault="00C416A5" w:rsidP="00C416A5">
            <w:pPr>
              <w:jc w:val="both"/>
              <w:rPr>
                <w:sz w:val="20"/>
                <w:szCs w:val="20"/>
              </w:rPr>
            </w:pPr>
            <w:r w:rsidRPr="00280A10">
              <w:rPr>
                <w:sz w:val="20"/>
                <w:szCs w:val="20"/>
              </w:rPr>
              <w:t>Indicator 2.4</w:t>
            </w:r>
          </w:p>
        </w:tc>
        <w:tc>
          <w:tcPr>
            <w:tcW w:w="2280" w:type="dxa"/>
          </w:tcPr>
          <w:p w:rsidR="00C416A5" w:rsidRPr="00280A10" w:rsidRDefault="00C416A5" w:rsidP="00C416A5">
            <w:pPr>
              <w:pStyle w:val="TableText"/>
              <w:spacing w:before="0"/>
              <w:rPr>
                <w:rFonts w:ascii="Times New Roman" w:hAnsi="Times New Roman" w:cs="Times New Roman"/>
              </w:rPr>
            </w:pPr>
            <w:r w:rsidRPr="00AC0EBA">
              <w:rPr>
                <w:rFonts w:ascii="Times New Roman" w:hAnsi="Times New Roman"/>
                <w:b/>
                <w:strike/>
              </w:rPr>
              <w:t>The 3</w:t>
            </w:r>
            <w:r w:rsidRPr="00AC0EBA">
              <w:rPr>
                <w:rFonts w:ascii="Times New Roman" w:hAnsi="Times New Roman"/>
                <w:b/>
              </w:rPr>
              <w:t xml:space="preserve"> INFUSE-supported</w:t>
            </w:r>
            <w:r>
              <w:rPr>
                <w:rFonts w:ascii="Times New Roman" w:hAnsi="Times New Roman"/>
              </w:rPr>
              <w:t xml:space="preserve"> f</w:t>
            </w:r>
            <w:r w:rsidRPr="00280A10">
              <w:rPr>
                <w:rFonts w:ascii="Times New Roman" w:hAnsi="Times New Roman"/>
              </w:rPr>
              <w:t xml:space="preserve">inancially self-sufficient MFIs maintain an average </w:t>
            </w:r>
            <w:proofErr w:type="spellStart"/>
            <w:r w:rsidRPr="00280A10">
              <w:rPr>
                <w:rFonts w:ascii="Times New Roman" w:hAnsi="Times New Roman"/>
              </w:rPr>
              <w:t>PaR</w:t>
            </w:r>
            <w:proofErr w:type="spellEnd"/>
            <w:r w:rsidRPr="00280A10">
              <w:rPr>
                <w:rFonts w:ascii="Times New Roman" w:hAnsi="Times New Roman"/>
              </w:rPr>
              <w:t xml:space="preserve"> (30 days) of no more than 5%.</w:t>
            </w:r>
          </w:p>
        </w:tc>
        <w:tc>
          <w:tcPr>
            <w:tcW w:w="1680" w:type="dxa"/>
          </w:tcPr>
          <w:p w:rsidR="00C416A5" w:rsidRPr="00280A10" w:rsidRDefault="00C416A5" w:rsidP="00C416A5">
            <w:pPr>
              <w:pStyle w:val="Bulletlevel1"/>
              <w:numPr>
                <w:ilvl w:val="0"/>
                <w:numId w:val="0"/>
              </w:numPr>
              <w:ind w:left="-39"/>
              <w:rPr>
                <w:rFonts w:ascii="Times New Roman" w:hAnsi="Times New Roman"/>
                <w:sz w:val="20"/>
                <w:szCs w:val="20"/>
              </w:rPr>
            </w:pPr>
            <w:r w:rsidRPr="00280A10">
              <w:rPr>
                <w:rFonts w:ascii="Times New Roman" w:hAnsi="Times New Roman"/>
                <w:sz w:val="20"/>
                <w:szCs w:val="20"/>
              </w:rPr>
              <w:t>2 MFIs have PAR below 5%</w:t>
            </w:r>
          </w:p>
        </w:tc>
        <w:tc>
          <w:tcPr>
            <w:tcW w:w="4320" w:type="dxa"/>
          </w:tcPr>
          <w:p w:rsidR="00C416A5" w:rsidRDefault="00C416A5" w:rsidP="00C416A5">
            <w:pPr>
              <w:rPr>
                <w:sz w:val="20"/>
                <w:szCs w:val="20"/>
              </w:rPr>
            </w:pPr>
            <w:r>
              <w:rPr>
                <w:sz w:val="20"/>
                <w:szCs w:val="20"/>
              </w:rPr>
              <w:t xml:space="preserve">- TRM PAR from </w:t>
            </w:r>
            <w:r w:rsidRPr="00280A10">
              <w:rPr>
                <w:sz w:val="20"/>
                <w:szCs w:val="20"/>
              </w:rPr>
              <w:t>Dec 2008 to Dec 20</w:t>
            </w:r>
            <w:r>
              <w:rPr>
                <w:sz w:val="20"/>
                <w:szCs w:val="20"/>
              </w:rPr>
              <w:t>10</w:t>
            </w:r>
            <w:r w:rsidRPr="00280A10">
              <w:rPr>
                <w:sz w:val="20"/>
                <w:szCs w:val="20"/>
              </w:rPr>
              <w:t xml:space="preserve">: </w:t>
            </w:r>
            <w:r>
              <w:rPr>
                <w:sz w:val="20"/>
                <w:szCs w:val="20"/>
              </w:rPr>
              <w:t>decreased</w:t>
            </w:r>
            <w:r w:rsidRPr="00280A10">
              <w:rPr>
                <w:sz w:val="20"/>
                <w:szCs w:val="20"/>
              </w:rPr>
              <w:t xml:space="preserve"> 9.2%</w:t>
            </w:r>
            <w:r>
              <w:rPr>
                <w:sz w:val="20"/>
                <w:szCs w:val="20"/>
              </w:rPr>
              <w:t xml:space="preserve"> to    </w:t>
            </w:r>
          </w:p>
          <w:p w:rsidR="00C416A5" w:rsidRDefault="00C416A5" w:rsidP="00C416A5">
            <w:pPr>
              <w:rPr>
                <w:sz w:val="20"/>
                <w:szCs w:val="20"/>
              </w:rPr>
            </w:pPr>
            <w:r>
              <w:rPr>
                <w:sz w:val="20"/>
                <w:szCs w:val="20"/>
              </w:rPr>
              <w:t xml:space="preserve">   3.7%</w:t>
            </w:r>
          </w:p>
          <w:p w:rsidR="00C416A5" w:rsidRPr="00280A10" w:rsidRDefault="00C416A5" w:rsidP="00C416A5">
            <w:pPr>
              <w:rPr>
                <w:sz w:val="20"/>
                <w:szCs w:val="20"/>
              </w:rPr>
            </w:pPr>
            <w:r>
              <w:rPr>
                <w:sz w:val="20"/>
                <w:szCs w:val="20"/>
              </w:rPr>
              <w:t xml:space="preserve">- Moris Rasik </w:t>
            </w:r>
            <w:r w:rsidRPr="00280A10">
              <w:rPr>
                <w:sz w:val="20"/>
                <w:szCs w:val="20"/>
              </w:rPr>
              <w:t xml:space="preserve">PAR from .88% to </w:t>
            </w:r>
            <w:r>
              <w:rPr>
                <w:sz w:val="20"/>
                <w:szCs w:val="20"/>
              </w:rPr>
              <w:t>2.5</w:t>
            </w:r>
            <w:r w:rsidRPr="00280A10">
              <w:rPr>
                <w:sz w:val="20"/>
                <w:szCs w:val="20"/>
              </w:rPr>
              <w:t>%</w:t>
            </w:r>
          </w:p>
        </w:tc>
        <w:tc>
          <w:tcPr>
            <w:tcW w:w="2880" w:type="dxa"/>
            <w:shd w:val="clear" w:color="auto" w:fill="auto"/>
          </w:tcPr>
          <w:p w:rsidR="00C416A5" w:rsidRPr="00280A10" w:rsidRDefault="00C416A5" w:rsidP="00C416A5">
            <w:pPr>
              <w:rPr>
                <w:sz w:val="20"/>
                <w:szCs w:val="20"/>
              </w:rPr>
            </w:pPr>
            <w:r>
              <w:rPr>
                <w:sz w:val="20"/>
                <w:szCs w:val="20"/>
              </w:rPr>
              <w:t>Only INFUSE supported MFIs should be included</w:t>
            </w:r>
          </w:p>
        </w:tc>
        <w:tc>
          <w:tcPr>
            <w:tcW w:w="1200" w:type="dxa"/>
          </w:tcPr>
          <w:p w:rsidR="00C416A5" w:rsidRDefault="00C416A5" w:rsidP="00C416A5">
            <w:pPr>
              <w:rPr>
                <w:sz w:val="20"/>
                <w:szCs w:val="20"/>
              </w:rPr>
            </w:pPr>
            <w:r>
              <w:rPr>
                <w:sz w:val="20"/>
                <w:szCs w:val="20"/>
              </w:rPr>
              <w:t xml:space="preserve">Revised    </w:t>
            </w:r>
          </w:p>
        </w:tc>
      </w:tr>
      <w:tr w:rsidR="00C416A5" w:rsidRPr="00280A10">
        <w:trPr>
          <w:trHeight w:val="548"/>
        </w:trPr>
        <w:tc>
          <w:tcPr>
            <w:tcW w:w="2160" w:type="dxa"/>
            <w:vMerge/>
          </w:tcPr>
          <w:p w:rsidR="00C416A5" w:rsidRPr="00280A10" w:rsidRDefault="00C416A5" w:rsidP="00C416A5">
            <w:pPr>
              <w:rPr>
                <w:sz w:val="20"/>
                <w:szCs w:val="20"/>
              </w:rPr>
            </w:pPr>
          </w:p>
        </w:tc>
        <w:tc>
          <w:tcPr>
            <w:tcW w:w="840" w:type="dxa"/>
          </w:tcPr>
          <w:p w:rsidR="00C416A5" w:rsidRPr="00280A10" w:rsidRDefault="00C416A5" w:rsidP="00C416A5">
            <w:pPr>
              <w:jc w:val="both"/>
              <w:rPr>
                <w:sz w:val="20"/>
                <w:szCs w:val="20"/>
              </w:rPr>
            </w:pPr>
            <w:r w:rsidRPr="00280A10">
              <w:rPr>
                <w:sz w:val="20"/>
                <w:szCs w:val="20"/>
              </w:rPr>
              <w:t>Indicator 2.5</w:t>
            </w:r>
          </w:p>
        </w:tc>
        <w:tc>
          <w:tcPr>
            <w:tcW w:w="2280" w:type="dxa"/>
          </w:tcPr>
          <w:p w:rsidR="00C416A5" w:rsidRPr="00280A10" w:rsidRDefault="00C416A5" w:rsidP="00C416A5">
            <w:pPr>
              <w:pStyle w:val="TableText"/>
              <w:spacing w:before="0"/>
              <w:rPr>
                <w:rFonts w:ascii="Times New Roman" w:hAnsi="Times New Roman" w:cs="Times New Roman"/>
              </w:rPr>
            </w:pPr>
            <w:r w:rsidRPr="00280A10">
              <w:rPr>
                <w:rFonts w:ascii="Times New Roman" w:hAnsi="Times New Roman" w:cs="Times New Roman"/>
              </w:rPr>
              <w:t>Increase in the number of access points of all Financial Service Providers (FSPs) from baseline to be established at end 2009</w:t>
            </w:r>
          </w:p>
        </w:tc>
        <w:tc>
          <w:tcPr>
            <w:tcW w:w="1680" w:type="dxa"/>
          </w:tcPr>
          <w:p w:rsidR="00C416A5" w:rsidRPr="002425AE" w:rsidRDefault="00C416A5" w:rsidP="00C416A5">
            <w:pPr>
              <w:pStyle w:val="Bulletlevel1"/>
              <w:numPr>
                <w:ilvl w:val="0"/>
                <w:numId w:val="0"/>
              </w:numPr>
              <w:ind w:left="-39"/>
              <w:rPr>
                <w:rFonts w:ascii="Times New Roman" w:hAnsi="Times New Roman"/>
                <w:sz w:val="20"/>
                <w:szCs w:val="20"/>
              </w:rPr>
            </w:pPr>
            <w:r w:rsidRPr="002425AE">
              <w:rPr>
                <w:rFonts w:ascii="Times New Roman" w:hAnsi="Times New Roman"/>
                <w:sz w:val="20"/>
                <w:szCs w:val="20"/>
              </w:rPr>
              <w:t>MFI Branch</w:t>
            </w:r>
          </w:p>
          <w:p w:rsidR="00C416A5" w:rsidRPr="00280A10" w:rsidRDefault="00C416A5" w:rsidP="00C416A5">
            <w:pPr>
              <w:pStyle w:val="Bulletlevel1"/>
              <w:numPr>
                <w:ilvl w:val="0"/>
                <w:numId w:val="0"/>
              </w:numPr>
              <w:ind w:left="-39"/>
              <w:rPr>
                <w:rFonts w:ascii="Times New Roman" w:hAnsi="Times New Roman"/>
                <w:sz w:val="20"/>
                <w:szCs w:val="20"/>
              </w:rPr>
            </w:pPr>
            <w:r w:rsidRPr="002425AE">
              <w:rPr>
                <w:rFonts w:ascii="Times New Roman" w:hAnsi="Times New Roman"/>
                <w:sz w:val="20"/>
                <w:szCs w:val="20"/>
              </w:rPr>
              <w:t>Offices from Dec 2008 to Dec 2010 increased from 17 to 21 and INFUSE supported MFIs are operating in all 13 districts</w:t>
            </w:r>
          </w:p>
        </w:tc>
        <w:tc>
          <w:tcPr>
            <w:tcW w:w="4320" w:type="dxa"/>
          </w:tcPr>
          <w:p w:rsidR="00C416A5" w:rsidRPr="00AC637C" w:rsidRDefault="00C416A5" w:rsidP="00B65371">
            <w:pPr>
              <w:pStyle w:val="Bulletlevel1"/>
              <w:numPr>
                <w:ilvl w:val="0"/>
                <w:numId w:val="15"/>
              </w:numPr>
              <w:tabs>
                <w:tab w:val="clear" w:pos="720"/>
                <w:tab w:val="num" w:pos="144"/>
              </w:tabs>
              <w:ind w:left="144" w:hanging="144"/>
              <w:rPr>
                <w:rFonts w:ascii="Times New Roman" w:hAnsi="Times New Roman"/>
                <w:sz w:val="20"/>
                <w:szCs w:val="20"/>
              </w:rPr>
            </w:pPr>
            <w:r>
              <w:rPr>
                <w:rFonts w:ascii="Times New Roman" w:hAnsi="Times New Roman"/>
                <w:sz w:val="20"/>
                <w:szCs w:val="20"/>
              </w:rPr>
              <w:t xml:space="preserve">INFUSE is in the process of collecting detailed data for access points of all FSPs as at 31 Dec  2010 to compare to baseline established at 31 Dec 2009. </w:t>
            </w:r>
          </w:p>
        </w:tc>
        <w:tc>
          <w:tcPr>
            <w:tcW w:w="2880" w:type="dxa"/>
          </w:tcPr>
          <w:p w:rsidR="00C416A5" w:rsidRPr="00280A10" w:rsidRDefault="00C416A5" w:rsidP="00C416A5">
            <w:pPr>
              <w:rPr>
                <w:sz w:val="20"/>
                <w:szCs w:val="20"/>
              </w:rPr>
            </w:pPr>
            <w:r>
              <w:rPr>
                <w:sz w:val="20"/>
                <w:szCs w:val="20"/>
              </w:rPr>
              <w:t>n/a</w:t>
            </w:r>
          </w:p>
        </w:tc>
        <w:tc>
          <w:tcPr>
            <w:tcW w:w="1200" w:type="dxa"/>
          </w:tcPr>
          <w:p w:rsidR="00C416A5" w:rsidRDefault="00C416A5" w:rsidP="00C416A5">
            <w:pPr>
              <w:rPr>
                <w:sz w:val="20"/>
                <w:szCs w:val="20"/>
              </w:rPr>
            </w:pPr>
            <w:r>
              <w:rPr>
                <w:sz w:val="20"/>
                <w:szCs w:val="20"/>
              </w:rPr>
              <w:t>None</w:t>
            </w:r>
          </w:p>
          <w:p w:rsidR="00C416A5" w:rsidRPr="00280A10" w:rsidRDefault="00C416A5" w:rsidP="00C416A5">
            <w:pPr>
              <w:rPr>
                <w:sz w:val="20"/>
                <w:szCs w:val="20"/>
              </w:rPr>
            </w:pPr>
          </w:p>
        </w:tc>
      </w:tr>
      <w:tr w:rsidR="00C416A5" w:rsidRPr="00280A10">
        <w:trPr>
          <w:trHeight w:val="548"/>
        </w:trPr>
        <w:tc>
          <w:tcPr>
            <w:tcW w:w="2160" w:type="dxa"/>
            <w:vMerge w:val="restart"/>
          </w:tcPr>
          <w:p w:rsidR="00C416A5" w:rsidRPr="00280A10" w:rsidRDefault="00C416A5" w:rsidP="00C416A5">
            <w:pPr>
              <w:rPr>
                <w:b/>
                <w:sz w:val="20"/>
                <w:szCs w:val="20"/>
              </w:rPr>
            </w:pPr>
            <w:r w:rsidRPr="00280A10">
              <w:rPr>
                <w:b/>
                <w:sz w:val="20"/>
                <w:szCs w:val="20"/>
              </w:rPr>
              <w:t>Output 3</w:t>
            </w:r>
          </w:p>
          <w:p w:rsidR="00C416A5" w:rsidRPr="00280A10" w:rsidRDefault="00C416A5" w:rsidP="00C416A5">
            <w:pPr>
              <w:pStyle w:val="Header"/>
              <w:spacing w:before="120" w:after="120"/>
              <w:rPr>
                <w:b/>
                <w:bCs/>
                <w:sz w:val="20"/>
                <w:szCs w:val="20"/>
              </w:rPr>
            </w:pPr>
            <w:r w:rsidRPr="00280A10">
              <w:rPr>
                <w:b/>
                <w:bCs/>
                <w:sz w:val="20"/>
                <w:szCs w:val="20"/>
              </w:rPr>
              <w:t>Enhanced business service infrastructures for the financial sector</w:t>
            </w:r>
          </w:p>
          <w:p w:rsidR="00C416A5" w:rsidRPr="00280A10" w:rsidRDefault="00C416A5" w:rsidP="00C416A5">
            <w:pPr>
              <w:rPr>
                <w:sz w:val="20"/>
                <w:szCs w:val="20"/>
              </w:rPr>
            </w:pPr>
            <w:r w:rsidRPr="00280A10">
              <w:rPr>
                <w:sz w:val="20"/>
                <w:szCs w:val="20"/>
              </w:rPr>
              <w:t>Private and public business service providers offering high-quality and market-responsive services to the financial sector are available in Timor-Leste, and a professional microfinance association (AMFITIL) is effectively representing the industry in policy dialogues, serving as an information hub for members and the public.</w:t>
            </w:r>
          </w:p>
        </w:tc>
        <w:tc>
          <w:tcPr>
            <w:tcW w:w="840" w:type="dxa"/>
          </w:tcPr>
          <w:p w:rsidR="00C416A5" w:rsidRPr="00280A10" w:rsidRDefault="00C416A5" w:rsidP="00C416A5">
            <w:pPr>
              <w:jc w:val="both"/>
              <w:rPr>
                <w:sz w:val="20"/>
                <w:szCs w:val="20"/>
              </w:rPr>
            </w:pPr>
            <w:r w:rsidRPr="00280A10">
              <w:rPr>
                <w:sz w:val="20"/>
                <w:szCs w:val="20"/>
              </w:rPr>
              <w:t>Indicator  3.1</w:t>
            </w:r>
          </w:p>
        </w:tc>
        <w:tc>
          <w:tcPr>
            <w:tcW w:w="2280" w:type="dxa"/>
          </w:tcPr>
          <w:p w:rsidR="00C416A5" w:rsidRPr="008D5115" w:rsidRDefault="00C416A5" w:rsidP="00C416A5">
            <w:pPr>
              <w:pStyle w:val="BodyText2"/>
              <w:spacing w:before="120"/>
              <w:rPr>
                <w:rFonts w:ascii="Times New Roman" w:hAnsi="Times New Roman" w:cs="Times New Roman"/>
                <w:b/>
                <w:strike/>
              </w:rPr>
            </w:pPr>
            <w:r w:rsidRPr="008D5115">
              <w:rPr>
                <w:rFonts w:ascii="Times New Roman" w:hAnsi="Times New Roman" w:cs="Times New Roman"/>
                <w:b/>
                <w:strike/>
              </w:rPr>
              <w:t>AMFITIL membership has increased, and members meet minimum standards of portfolio quality and sustainability (Y3)</w:t>
            </w:r>
          </w:p>
          <w:p w:rsidR="00C416A5" w:rsidRPr="00280A10" w:rsidRDefault="00C416A5" w:rsidP="00C416A5">
            <w:pPr>
              <w:rPr>
                <w:sz w:val="20"/>
                <w:szCs w:val="20"/>
              </w:rPr>
            </w:pPr>
          </w:p>
        </w:tc>
        <w:tc>
          <w:tcPr>
            <w:tcW w:w="1680" w:type="dxa"/>
          </w:tcPr>
          <w:p w:rsidR="00C416A5" w:rsidRPr="00280A10" w:rsidRDefault="00C416A5" w:rsidP="00C416A5">
            <w:pPr>
              <w:pStyle w:val="Bulletlevel1"/>
              <w:numPr>
                <w:ilvl w:val="0"/>
                <w:numId w:val="0"/>
              </w:numPr>
              <w:ind w:left="360" w:hanging="360"/>
              <w:rPr>
                <w:rFonts w:ascii="Times New Roman" w:hAnsi="Times New Roman"/>
                <w:sz w:val="20"/>
                <w:szCs w:val="20"/>
              </w:rPr>
            </w:pPr>
            <w:r>
              <w:rPr>
                <w:rFonts w:ascii="Times New Roman" w:hAnsi="Times New Roman"/>
                <w:sz w:val="20"/>
                <w:szCs w:val="20"/>
              </w:rPr>
              <w:t>No</w:t>
            </w:r>
          </w:p>
        </w:tc>
        <w:tc>
          <w:tcPr>
            <w:tcW w:w="4320" w:type="dxa"/>
            <w:shd w:val="clear" w:color="auto" w:fill="auto"/>
          </w:tcPr>
          <w:p w:rsidR="00C416A5" w:rsidRPr="00280A10" w:rsidRDefault="00C416A5" w:rsidP="00C416A5">
            <w:pPr>
              <w:rPr>
                <w:sz w:val="20"/>
                <w:szCs w:val="20"/>
              </w:rPr>
            </w:pPr>
          </w:p>
        </w:tc>
        <w:tc>
          <w:tcPr>
            <w:tcW w:w="2880" w:type="dxa"/>
            <w:shd w:val="clear" w:color="auto" w:fill="auto"/>
          </w:tcPr>
          <w:p w:rsidR="00C416A5" w:rsidRPr="00D20D6C" w:rsidRDefault="00C416A5" w:rsidP="00C416A5">
            <w:pPr>
              <w:pStyle w:val="Default"/>
              <w:jc w:val="both"/>
              <w:rPr>
                <w:rFonts w:ascii="Times New Roman" w:eastAsia="Times New Roman" w:hAnsi="Times New Roman" w:cs="Times New Roman"/>
                <w:color w:val="auto"/>
                <w:sz w:val="20"/>
                <w:szCs w:val="20"/>
              </w:rPr>
            </w:pPr>
            <w:r w:rsidRPr="00D20D6C">
              <w:rPr>
                <w:rFonts w:ascii="Times New Roman" w:eastAsia="Times New Roman" w:hAnsi="Times New Roman" w:cs="Times New Roman"/>
                <w:color w:val="auto"/>
                <w:sz w:val="20"/>
                <w:szCs w:val="20"/>
              </w:rPr>
              <w:t xml:space="preserve">UNCDF completed the original INFUSE program design in 2005 and revised the document </w:t>
            </w:r>
            <w:r>
              <w:rPr>
                <w:rFonts w:ascii="Times New Roman" w:eastAsia="Times New Roman" w:hAnsi="Times New Roman" w:cs="Times New Roman"/>
                <w:color w:val="auto"/>
                <w:sz w:val="20"/>
                <w:szCs w:val="20"/>
              </w:rPr>
              <w:t xml:space="preserve">in 2007, but overlooked the </w:t>
            </w:r>
            <w:r w:rsidRPr="00D20D6C">
              <w:rPr>
                <w:rFonts w:ascii="Times New Roman" w:eastAsia="Times New Roman" w:hAnsi="Times New Roman" w:cs="Times New Roman"/>
                <w:color w:val="auto"/>
                <w:sz w:val="20"/>
                <w:szCs w:val="20"/>
              </w:rPr>
              <w:t>cessation of many microfinance institutions</w:t>
            </w:r>
            <w:r>
              <w:rPr>
                <w:rFonts w:ascii="Times New Roman" w:eastAsia="Times New Roman" w:hAnsi="Times New Roman" w:cs="Times New Roman"/>
                <w:color w:val="auto"/>
                <w:sz w:val="20"/>
                <w:szCs w:val="20"/>
              </w:rPr>
              <w:t xml:space="preserve"> since 2006</w:t>
            </w:r>
            <w:r w:rsidRPr="00D20D6C">
              <w:rPr>
                <w:rFonts w:ascii="Times New Roman" w:eastAsia="Times New Roman" w:hAnsi="Times New Roman" w:cs="Times New Roman"/>
                <w:color w:val="auto"/>
                <w:sz w:val="20"/>
                <w:szCs w:val="20"/>
              </w:rPr>
              <w:t>. As a result, AMFITIL has been inactive since 2007 and currently the few remaining members (4) have resisted any encouragement t</w:t>
            </w:r>
            <w:r>
              <w:rPr>
                <w:rFonts w:ascii="Times New Roman" w:eastAsia="Times New Roman" w:hAnsi="Times New Roman" w:cs="Times New Roman"/>
                <w:color w:val="auto"/>
                <w:sz w:val="20"/>
                <w:szCs w:val="20"/>
              </w:rPr>
              <w:t>o re-activate the association</w:t>
            </w:r>
            <w:r w:rsidRPr="00D20D6C">
              <w:rPr>
                <w:rFonts w:ascii="Times New Roman" w:eastAsia="Times New Roman" w:hAnsi="Times New Roman" w:cs="Times New Roman"/>
                <w:color w:val="auto"/>
                <w:sz w:val="20"/>
                <w:szCs w:val="20"/>
              </w:rPr>
              <w:t>.</w:t>
            </w:r>
          </w:p>
        </w:tc>
        <w:tc>
          <w:tcPr>
            <w:tcW w:w="1200" w:type="dxa"/>
          </w:tcPr>
          <w:p w:rsidR="00C416A5" w:rsidRPr="00280A10" w:rsidRDefault="00C416A5" w:rsidP="00C416A5">
            <w:pPr>
              <w:rPr>
                <w:sz w:val="20"/>
                <w:szCs w:val="20"/>
              </w:rPr>
            </w:pPr>
            <w:r>
              <w:rPr>
                <w:sz w:val="20"/>
                <w:szCs w:val="20"/>
              </w:rPr>
              <w:t xml:space="preserve">Removed    </w:t>
            </w:r>
          </w:p>
        </w:tc>
      </w:tr>
      <w:tr w:rsidR="00C416A5" w:rsidRPr="00280A10">
        <w:trPr>
          <w:trHeight w:val="512"/>
        </w:trPr>
        <w:tc>
          <w:tcPr>
            <w:tcW w:w="2160" w:type="dxa"/>
            <w:vMerge/>
          </w:tcPr>
          <w:p w:rsidR="00C416A5" w:rsidRPr="00280A10" w:rsidRDefault="00C416A5" w:rsidP="00C416A5">
            <w:pPr>
              <w:rPr>
                <w:sz w:val="20"/>
                <w:szCs w:val="20"/>
              </w:rPr>
            </w:pPr>
          </w:p>
        </w:tc>
        <w:tc>
          <w:tcPr>
            <w:tcW w:w="840" w:type="dxa"/>
          </w:tcPr>
          <w:p w:rsidR="00C416A5" w:rsidRPr="00280A10" w:rsidRDefault="00C416A5" w:rsidP="00C416A5">
            <w:pPr>
              <w:jc w:val="both"/>
              <w:rPr>
                <w:sz w:val="20"/>
                <w:szCs w:val="20"/>
              </w:rPr>
            </w:pPr>
            <w:r w:rsidRPr="00280A10">
              <w:rPr>
                <w:sz w:val="20"/>
                <w:szCs w:val="20"/>
              </w:rPr>
              <w:t>Indicator 3.2</w:t>
            </w:r>
          </w:p>
        </w:tc>
        <w:tc>
          <w:tcPr>
            <w:tcW w:w="2280" w:type="dxa"/>
          </w:tcPr>
          <w:p w:rsidR="00C416A5" w:rsidRPr="00280A10" w:rsidRDefault="00C416A5" w:rsidP="00C416A5">
            <w:pPr>
              <w:pStyle w:val="BodyText2"/>
              <w:spacing w:before="120"/>
            </w:pPr>
            <w:r w:rsidRPr="008D5115">
              <w:rPr>
                <w:rFonts w:ascii="Times New Roman" w:hAnsi="Times New Roman" w:cs="Times New Roman"/>
                <w:b/>
                <w:strike/>
              </w:rPr>
              <w:t>AMFITIL is formalized as a professional association (Y1)</w:t>
            </w:r>
          </w:p>
        </w:tc>
        <w:tc>
          <w:tcPr>
            <w:tcW w:w="1680" w:type="dxa"/>
          </w:tcPr>
          <w:p w:rsidR="00C416A5" w:rsidRPr="00280A10" w:rsidRDefault="00C416A5" w:rsidP="00C416A5">
            <w:pPr>
              <w:pStyle w:val="BodyText2"/>
              <w:rPr>
                <w:rFonts w:ascii="Times New Roman" w:hAnsi="Times New Roman" w:cs="Times New Roman"/>
              </w:rPr>
            </w:pPr>
            <w:r>
              <w:rPr>
                <w:rFonts w:ascii="Times New Roman" w:hAnsi="Times New Roman"/>
              </w:rPr>
              <w:t>No</w:t>
            </w:r>
          </w:p>
        </w:tc>
        <w:tc>
          <w:tcPr>
            <w:tcW w:w="4320" w:type="dxa"/>
            <w:shd w:val="clear" w:color="auto" w:fill="auto"/>
          </w:tcPr>
          <w:p w:rsidR="00C416A5" w:rsidRPr="00280A10" w:rsidRDefault="00C416A5" w:rsidP="00C416A5">
            <w:pPr>
              <w:rPr>
                <w:sz w:val="20"/>
                <w:szCs w:val="20"/>
              </w:rPr>
            </w:pPr>
          </w:p>
        </w:tc>
        <w:tc>
          <w:tcPr>
            <w:tcW w:w="2880" w:type="dxa"/>
            <w:shd w:val="clear" w:color="auto" w:fill="auto"/>
          </w:tcPr>
          <w:p w:rsidR="00C416A5" w:rsidRPr="00280A10" w:rsidRDefault="00C416A5" w:rsidP="00C416A5">
            <w:pPr>
              <w:rPr>
                <w:sz w:val="20"/>
                <w:szCs w:val="20"/>
              </w:rPr>
            </w:pPr>
          </w:p>
        </w:tc>
        <w:tc>
          <w:tcPr>
            <w:tcW w:w="1200" w:type="dxa"/>
          </w:tcPr>
          <w:p w:rsidR="00C416A5" w:rsidRDefault="00C416A5" w:rsidP="00C416A5">
            <w:pPr>
              <w:rPr>
                <w:sz w:val="20"/>
                <w:szCs w:val="20"/>
              </w:rPr>
            </w:pPr>
            <w:r>
              <w:rPr>
                <w:sz w:val="20"/>
                <w:szCs w:val="20"/>
              </w:rPr>
              <w:t>Removed</w:t>
            </w:r>
          </w:p>
          <w:p w:rsidR="00C416A5" w:rsidRPr="00280A10" w:rsidRDefault="00C416A5" w:rsidP="00C416A5">
            <w:pPr>
              <w:rPr>
                <w:sz w:val="20"/>
                <w:szCs w:val="20"/>
              </w:rPr>
            </w:pPr>
          </w:p>
        </w:tc>
      </w:tr>
      <w:tr w:rsidR="00C416A5" w:rsidRPr="00280A10">
        <w:trPr>
          <w:trHeight w:val="512"/>
        </w:trPr>
        <w:tc>
          <w:tcPr>
            <w:tcW w:w="2160" w:type="dxa"/>
            <w:vMerge/>
          </w:tcPr>
          <w:p w:rsidR="00C416A5" w:rsidRPr="00280A10" w:rsidRDefault="00C416A5" w:rsidP="00C416A5">
            <w:pPr>
              <w:rPr>
                <w:sz w:val="20"/>
                <w:szCs w:val="20"/>
              </w:rPr>
            </w:pPr>
          </w:p>
        </w:tc>
        <w:tc>
          <w:tcPr>
            <w:tcW w:w="840" w:type="dxa"/>
          </w:tcPr>
          <w:p w:rsidR="00C416A5" w:rsidRPr="00280A10" w:rsidRDefault="00C416A5" w:rsidP="00C416A5">
            <w:pPr>
              <w:jc w:val="both"/>
              <w:rPr>
                <w:sz w:val="20"/>
                <w:szCs w:val="20"/>
              </w:rPr>
            </w:pPr>
            <w:r w:rsidRPr="00280A10">
              <w:rPr>
                <w:sz w:val="20"/>
                <w:szCs w:val="20"/>
              </w:rPr>
              <w:t>Indicator 3.3</w:t>
            </w:r>
          </w:p>
        </w:tc>
        <w:tc>
          <w:tcPr>
            <w:tcW w:w="2280" w:type="dxa"/>
          </w:tcPr>
          <w:p w:rsidR="00C416A5" w:rsidRPr="008D5115" w:rsidRDefault="00C416A5" w:rsidP="00C416A5">
            <w:pPr>
              <w:pStyle w:val="BodyText2"/>
              <w:spacing w:before="120"/>
              <w:rPr>
                <w:rFonts w:ascii="Times New Roman" w:hAnsi="Times New Roman" w:cs="Times New Roman"/>
                <w:b/>
                <w:strike/>
              </w:rPr>
            </w:pPr>
            <w:r w:rsidRPr="008D5115">
              <w:rPr>
                <w:rFonts w:ascii="Times New Roman" w:hAnsi="Times New Roman" w:cs="Times New Roman"/>
                <w:b/>
                <w:strike/>
              </w:rPr>
              <w:t>AMFITIL functions as advocate for the NGO-MFIs serving poor and low-income customers (Y2)</w:t>
            </w:r>
          </w:p>
          <w:p w:rsidR="00C416A5" w:rsidRPr="00280A10" w:rsidRDefault="00C416A5" w:rsidP="00C416A5">
            <w:pPr>
              <w:rPr>
                <w:sz w:val="20"/>
                <w:szCs w:val="20"/>
              </w:rPr>
            </w:pPr>
          </w:p>
        </w:tc>
        <w:tc>
          <w:tcPr>
            <w:tcW w:w="1680" w:type="dxa"/>
          </w:tcPr>
          <w:p w:rsidR="00C416A5" w:rsidRPr="00280A10" w:rsidRDefault="00C416A5" w:rsidP="00C416A5">
            <w:pPr>
              <w:rPr>
                <w:sz w:val="20"/>
                <w:szCs w:val="20"/>
              </w:rPr>
            </w:pPr>
            <w:r>
              <w:rPr>
                <w:sz w:val="20"/>
                <w:szCs w:val="20"/>
              </w:rPr>
              <w:t>No</w:t>
            </w:r>
          </w:p>
        </w:tc>
        <w:tc>
          <w:tcPr>
            <w:tcW w:w="4320" w:type="dxa"/>
            <w:shd w:val="clear" w:color="auto" w:fill="auto"/>
          </w:tcPr>
          <w:p w:rsidR="00C416A5" w:rsidRPr="00280A10" w:rsidRDefault="00C416A5" w:rsidP="00B65371">
            <w:pPr>
              <w:numPr>
                <w:ilvl w:val="0"/>
                <w:numId w:val="15"/>
              </w:numPr>
              <w:tabs>
                <w:tab w:val="clear" w:pos="720"/>
                <w:tab w:val="num" w:pos="140"/>
              </w:tabs>
              <w:ind w:left="140" w:hanging="140"/>
              <w:rPr>
                <w:sz w:val="20"/>
                <w:szCs w:val="20"/>
              </w:rPr>
            </w:pPr>
          </w:p>
        </w:tc>
        <w:tc>
          <w:tcPr>
            <w:tcW w:w="2880" w:type="dxa"/>
            <w:shd w:val="clear" w:color="auto" w:fill="auto"/>
          </w:tcPr>
          <w:p w:rsidR="00C416A5" w:rsidRPr="00280A10" w:rsidRDefault="00C416A5" w:rsidP="00C416A5">
            <w:pPr>
              <w:rPr>
                <w:sz w:val="20"/>
                <w:szCs w:val="20"/>
              </w:rPr>
            </w:pPr>
          </w:p>
        </w:tc>
        <w:tc>
          <w:tcPr>
            <w:tcW w:w="1200" w:type="dxa"/>
          </w:tcPr>
          <w:p w:rsidR="00C416A5" w:rsidRDefault="00C416A5" w:rsidP="00C416A5">
            <w:pPr>
              <w:rPr>
                <w:sz w:val="20"/>
                <w:szCs w:val="20"/>
              </w:rPr>
            </w:pPr>
            <w:r>
              <w:rPr>
                <w:sz w:val="20"/>
                <w:szCs w:val="20"/>
              </w:rPr>
              <w:t>Removed</w:t>
            </w:r>
          </w:p>
          <w:p w:rsidR="00C416A5" w:rsidRPr="00280A10" w:rsidRDefault="00C416A5" w:rsidP="00C416A5">
            <w:pPr>
              <w:rPr>
                <w:sz w:val="20"/>
                <w:szCs w:val="20"/>
              </w:rPr>
            </w:pPr>
          </w:p>
        </w:tc>
      </w:tr>
      <w:tr w:rsidR="00C416A5">
        <w:trPr>
          <w:trHeight w:val="512"/>
        </w:trPr>
        <w:tc>
          <w:tcPr>
            <w:tcW w:w="2160" w:type="dxa"/>
          </w:tcPr>
          <w:p w:rsidR="00C416A5" w:rsidRPr="00280A10" w:rsidRDefault="00C416A5" w:rsidP="00C416A5">
            <w:pPr>
              <w:rPr>
                <w:sz w:val="20"/>
                <w:szCs w:val="20"/>
              </w:rPr>
            </w:pPr>
          </w:p>
        </w:tc>
        <w:tc>
          <w:tcPr>
            <w:tcW w:w="840" w:type="dxa"/>
          </w:tcPr>
          <w:p w:rsidR="00C416A5" w:rsidRPr="00280A10" w:rsidRDefault="00C416A5" w:rsidP="00C416A5">
            <w:pPr>
              <w:jc w:val="both"/>
              <w:rPr>
                <w:sz w:val="20"/>
                <w:szCs w:val="20"/>
              </w:rPr>
            </w:pPr>
            <w:r w:rsidRPr="00280A10">
              <w:rPr>
                <w:sz w:val="20"/>
                <w:szCs w:val="20"/>
              </w:rPr>
              <w:t>Indicator  3.1</w:t>
            </w:r>
          </w:p>
        </w:tc>
        <w:tc>
          <w:tcPr>
            <w:tcW w:w="2280" w:type="dxa"/>
          </w:tcPr>
          <w:p w:rsidR="00C416A5" w:rsidRPr="00BA0834" w:rsidRDefault="00C416A5" w:rsidP="00C416A5">
            <w:pPr>
              <w:rPr>
                <w:rFonts w:ascii="Garamond" w:hAnsi="Garamond"/>
                <w:sz w:val="22"/>
                <w:szCs w:val="22"/>
              </w:rPr>
            </w:pPr>
            <w:r w:rsidRPr="00F43847">
              <w:rPr>
                <w:sz w:val="20"/>
                <w:szCs w:val="20"/>
              </w:rPr>
              <w:t xml:space="preserve">Competency framework and corresponding learning guides available for use by local training service providers to be able to deliver technical </w:t>
            </w:r>
            <w:r w:rsidRPr="00F43847">
              <w:rPr>
                <w:sz w:val="20"/>
                <w:szCs w:val="20"/>
              </w:rPr>
              <w:lastRenderedPageBreak/>
              <w:t xml:space="preserve">training for microfinance and banking to the financial sector </w:t>
            </w:r>
          </w:p>
        </w:tc>
        <w:tc>
          <w:tcPr>
            <w:tcW w:w="1680" w:type="dxa"/>
          </w:tcPr>
          <w:p w:rsidR="00C416A5" w:rsidRPr="00280A10" w:rsidRDefault="00C416A5" w:rsidP="00C416A5">
            <w:pPr>
              <w:pStyle w:val="CommentSubject"/>
              <w:tabs>
                <w:tab w:val="num" w:pos="145"/>
              </w:tabs>
              <w:ind w:left="145" w:hanging="184"/>
            </w:pPr>
          </w:p>
        </w:tc>
        <w:tc>
          <w:tcPr>
            <w:tcW w:w="4320" w:type="dxa"/>
          </w:tcPr>
          <w:p w:rsidR="00C416A5" w:rsidRPr="00280A10" w:rsidRDefault="00C416A5" w:rsidP="00C416A5">
            <w:pPr>
              <w:pStyle w:val="Bulletlevel1"/>
              <w:tabs>
                <w:tab w:val="clear" w:pos="360"/>
                <w:tab w:val="num" w:pos="145"/>
              </w:tabs>
              <w:ind w:left="145" w:hanging="184"/>
              <w:rPr>
                <w:rFonts w:ascii="Times New Roman" w:hAnsi="Times New Roman"/>
                <w:sz w:val="20"/>
                <w:szCs w:val="20"/>
              </w:rPr>
            </w:pPr>
            <w:r w:rsidRPr="00280A10">
              <w:rPr>
                <w:rFonts w:ascii="Times New Roman" w:hAnsi="Times New Roman"/>
                <w:sz w:val="20"/>
                <w:szCs w:val="20"/>
              </w:rPr>
              <w:t xml:space="preserve">INFUSE to collaborate with National Labor Development Institute on MF and banking certificate qualifications. </w:t>
            </w:r>
          </w:p>
          <w:p w:rsidR="00C416A5" w:rsidRPr="00280A10" w:rsidRDefault="00C416A5" w:rsidP="00C416A5">
            <w:pPr>
              <w:pStyle w:val="CommentSubject"/>
              <w:tabs>
                <w:tab w:val="num" w:pos="145"/>
              </w:tabs>
              <w:ind w:left="145" w:hanging="184"/>
            </w:pPr>
          </w:p>
        </w:tc>
        <w:tc>
          <w:tcPr>
            <w:tcW w:w="2880" w:type="dxa"/>
          </w:tcPr>
          <w:p w:rsidR="00C416A5" w:rsidRDefault="00C416A5" w:rsidP="00C416A5">
            <w:pPr>
              <w:rPr>
                <w:sz w:val="20"/>
                <w:szCs w:val="20"/>
              </w:rPr>
            </w:pPr>
          </w:p>
        </w:tc>
        <w:tc>
          <w:tcPr>
            <w:tcW w:w="1200" w:type="dxa"/>
          </w:tcPr>
          <w:p w:rsidR="00C416A5" w:rsidRDefault="00C416A5" w:rsidP="00C416A5">
            <w:pPr>
              <w:rPr>
                <w:sz w:val="20"/>
                <w:szCs w:val="20"/>
              </w:rPr>
            </w:pPr>
            <w:r>
              <w:rPr>
                <w:sz w:val="20"/>
                <w:szCs w:val="20"/>
              </w:rPr>
              <w:t>New</w:t>
            </w:r>
          </w:p>
        </w:tc>
      </w:tr>
      <w:tr w:rsidR="00C416A5">
        <w:trPr>
          <w:trHeight w:val="512"/>
        </w:trPr>
        <w:tc>
          <w:tcPr>
            <w:tcW w:w="2160" w:type="dxa"/>
          </w:tcPr>
          <w:p w:rsidR="00C416A5" w:rsidRPr="00280A10" w:rsidRDefault="00C416A5" w:rsidP="00C416A5">
            <w:pPr>
              <w:rPr>
                <w:sz w:val="20"/>
                <w:szCs w:val="20"/>
              </w:rPr>
            </w:pPr>
          </w:p>
        </w:tc>
        <w:tc>
          <w:tcPr>
            <w:tcW w:w="840" w:type="dxa"/>
          </w:tcPr>
          <w:p w:rsidR="00C416A5" w:rsidRPr="00280A10" w:rsidRDefault="00C416A5" w:rsidP="00C416A5">
            <w:pPr>
              <w:jc w:val="both"/>
              <w:rPr>
                <w:sz w:val="20"/>
                <w:szCs w:val="20"/>
              </w:rPr>
            </w:pPr>
            <w:r w:rsidRPr="00280A10">
              <w:rPr>
                <w:sz w:val="20"/>
                <w:szCs w:val="20"/>
              </w:rPr>
              <w:t>Indicator 3.2</w:t>
            </w:r>
          </w:p>
        </w:tc>
        <w:tc>
          <w:tcPr>
            <w:tcW w:w="2280" w:type="dxa"/>
          </w:tcPr>
          <w:p w:rsidR="00C416A5" w:rsidRPr="00BA0834" w:rsidRDefault="00C416A5" w:rsidP="00C416A5">
            <w:pPr>
              <w:rPr>
                <w:rFonts w:ascii="Garamond" w:hAnsi="Garamond"/>
                <w:sz w:val="22"/>
                <w:szCs w:val="22"/>
              </w:rPr>
            </w:pPr>
            <w:r w:rsidRPr="00F43847">
              <w:rPr>
                <w:sz w:val="20"/>
                <w:szCs w:val="20"/>
              </w:rPr>
              <w:t>Financial education is promoted through research, social marketing tools and/or activities of local service providers</w:t>
            </w:r>
          </w:p>
        </w:tc>
        <w:tc>
          <w:tcPr>
            <w:tcW w:w="1680" w:type="dxa"/>
          </w:tcPr>
          <w:p w:rsidR="00C416A5" w:rsidRPr="00280A10" w:rsidRDefault="00C416A5" w:rsidP="00C416A5">
            <w:pPr>
              <w:pStyle w:val="CommentSubject"/>
              <w:tabs>
                <w:tab w:val="num" w:pos="145"/>
              </w:tabs>
              <w:ind w:left="145" w:hanging="184"/>
            </w:pPr>
          </w:p>
        </w:tc>
        <w:tc>
          <w:tcPr>
            <w:tcW w:w="4320" w:type="dxa"/>
          </w:tcPr>
          <w:p w:rsidR="00C416A5" w:rsidRPr="00280A10" w:rsidRDefault="00C416A5" w:rsidP="00C416A5">
            <w:pPr>
              <w:pStyle w:val="Bulletlevel1"/>
              <w:tabs>
                <w:tab w:val="clear" w:pos="360"/>
                <w:tab w:val="num" w:pos="145"/>
              </w:tabs>
              <w:ind w:left="145" w:hanging="184"/>
              <w:rPr>
                <w:rFonts w:ascii="Times New Roman" w:hAnsi="Times New Roman"/>
                <w:sz w:val="20"/>
                <w:szCs w:val="20"/>
              </w:rPr>
            </w:pPr>
            <w:r w:rsidRPr="00280A10">
              <w:rPr>
                <w:rFonts w:ascii="Times New Roman" w:hAnsi="Times New Roman"/>
                <w:sz w:val="20"/>
                <w:szCs w:val="20"/>
              </w:rPr>
              <w:t>INFUSE consultant conduct</w:t>
            </w:r>
            <w:r>
              <w:rPr>
                <w:rFonts w:ascii="Times New Roman" w:hAnsi="Times New Roman"/>
                <w:sz w:val="20"/>
                <w:szCs w:val="20"/>
              </w:rPr>
              <w:t>ed</w:t>
            </w:r>
            <w:r w:rsidRPr="00280A10">
              <w:rPr>
                <w:rFonts w:ascii="Times New Roman" w:hAnsi="Times New Roman"/>
                <w:sz w:val="20"/>
                <w:szCs w:val="20"/>
              </w:rPr>
              <w:t xml:space="preserve"> financial </w:t>
            </w:r>
            <w:r>
              <w:rPr>
                <w:rFonts w:ascii="Times New Roman" w:hAnsi="Times New Roman"/>
                <w:sz w:val="20"/>
                <w:szCs w:val="20"/>
              </w:rPr>
              <w:t>education</w:t>
            </w:r>
            <w:r w:rsidRPr="00280A10">
              <w:rPr>
                <w:rFonts w:ascii="Times New Roman" w:hAnsi="Times New Roman"/>
                <w:sz w:val="20"/>
                <w:szCs w:val="20"/>
              </w:rPr>
              <w:t xml:space="preserve"> scoping assessment in August 2010</w:t>
            </w:r>
            <w:r>
              <w:rPr>
                <w:rFonts w:ascii="Times New Roman" w:hAnsi="Times New Roman"/>
                <w:sz w:val="20"/>
                <w:szCs w:val="20"/>
              </w:rPr>
              <w:t xml:space="preserve">, as first step to developing a wider program. </w:t>
            </w:r>
          </w:p>
          <w:p w:rsidR="00C416A5" w:rsidRPr="00280A10" w:rsidRDefault="00C416A5" w:rsidP="00C416A5">
            <w:pPr>
              <w:pStyle w:val="CommentSubject"/>
              <w:tabs>
                <w:tab w:val="num" w:pos="145"/>
              </w:tabs>
              <w:ind w:left="145" w:hanging="184"/>
            </w:pPr>
          </w:p>
        </w:tc>
        <w:tc>
          <w:tcPr>
            <w:tcW w:w="2880" w:type="dxa"/>
          </w:tcPr>
          <w:p w:rsidR="00C416A5" w:rsidRDefault="00C416A5" w:rsidP="00C416A5">
            <w:pPr>
              <w:rPr>
                <w:sz w:val="20"/>
                <w:szCs w:val="20"/>
              </w:rPr>
            </w:pPr>
          </w:p>
        </w:tc>
        <w:tc>
          <w:tcPr>
            <w:tcW w:w="1200" w:type="dxa"/>
          </w:tcPr>
          <w:p w:rsidR="00C416A5" w:rsidRDefault="00C416A5" w:rsidP="00C416A5">
            <w:pPr>
              <w:rPr>
                <w:sz w:val="20"/>
                <w:szCs w:val="20"/>
              </w:rPr>
            </w:pPr>
            <w:r>
              <w:rPr>
                <w:sz w:val="20"/>
                <w:szCs w:val="20"/>
              </w:rPr>
              <w:t>New</w:t>
            </w:r>
          </w:p>
        </w:tc>
      </w:tr>
      <w:tr w:rsidR="00C416A5">
        <w:trPr>
          <w:trHeight w:val="512"/>
        </w:trPr>
        <w:tc>
          <w:tcPr>
            <w:tcW w:w="2160" w:type="dxa"/>
          </w:tcPr>
          <w:p w:rsidR="00C416A5" w:rsidRPr="00280A10" w:rsidRDefault="00C416A5" w:rsidP="00C416A5">
            <w:pPr>
              <w:rPr>
                <w:sz w:val="20"/>
                <w:szCs w:val="20"/>
              </w:rPr>
            </w:pPr>
          </w:p>
        </w:tc>
        <w:tc>
          <w:tcPr>
            <w:tcW w:w="840" w:type="dxa"/>
          </w:tcPr>
          <w:p w:rsidR="00C416A5" w:rsidRPr="00280A10" w:rsidRDefault="00C416A5" w:rsidP="00C416A5">
            <w:pPr>
              <w:jc w:val="both"/>
              <w:rPr>
                <w:sz w:val="20"/>
                <w:szCs w:val="20"/>
              </w:rPr>
            </w:pPr>
            <w:r w:rsidRPr="00280A10">
              <w:rPr>
                <w:sz w:val="20"/>
                <w:szCs w:val="20"/>
              </w:rPr>
              <w:t>Indicator 3.3</w:t>
            </w:r>
          </w:p>
        </w:tc>
        <w:tc>
          <w:tcPr>
            <w:tcW w:w="2280" w:type="dxa"/>
          </w:tcPr>
          <w:p w:rsidR="00C416A5" w:rsidRPr="00BA0834" w:rsidRDefault="00C416A5" w:rsidP="00C416A5">
            <w:pPr>
              <w:rPr>
                <w:rFonts w:ascii="Garamond" w:hAnsi="Garamond"/>
                <w:sz w:val="22"/>
                <w:szCs w:val="22"/>
              </w:rPr>
            </w:pPr>
            <w:r w:rsidRPr="00F43847">
              <w:rPr>
                <w:sz w:val="20"/>
                <w:szCs w:val="20"/>
              </w:rPr>
              <w:t>Private sector entity makes Microinsurance products available  for sale to MFI clients</w:t>
            </w:r>
          </w:p>
        </w:tc>
        <w:tc>
          <w:tcPr>
            <w:tcW w:w="1680" w:type="dxa"/>
          </w:tcPr>
          <w:p w:rsidR="00C416A5" w:rsidRPr="00280A10" w:rsidRDefault="00C416A5" w:rsidP="00C416A5">
            <w:pPr>
              <w:pStyle w:val="Bulletlevel1"/>
              <w:tabs>
                <w:tab w:val="clear" w:pos="360"/>
                <w:tab w:val="num" w:pos="145"/>
              </w:tabs>
              <w:ind w:left="145" w:hanging="184"/>
              <w:rPr>
                <w:rFonts w:ascii="Times New Roman" w:hAnsi="Times New Roman"/>
                <w:sz w:val="20"/>
                <w:szCs w:val="20"/>
              </w:rPr>
            </w:pPr>
          </w:p>
        </w:tc>
        <w:tc>
          <w:tcPr>
            <w:tcW w:w="4320" w:type="dxa"/>
          </w:tcPr>
          <w:p w:rsidR="00C416A5" w:rsidRPr="00280A10" w:rsidRDefault="00C416A5" w:rsidP="00C416A5">
            <w:pPr>
              <w:pStyle w:val="Bulletlevel1"/>
              <w:tabs>
                <w:tab w:val="clear" w:pos="360"/>
                <w:tab w:val="num" w:pos="145"/>
              </w:tabs>
              <w:ind w:left="145" w:hanging="184"/>
              <w:rPr>
                <w:rFonts w:ascii="Times New Roman" w:hAnsi="Times New Roman"/>
                <w:sz w:val="20"/>
                <w:szCs w:val="20"/>
              </w:rPr>
            </w:pPr>
          </w:p>
        </w:tc>
        <w:tc>
          <w:tcPr>
            <w:tcW w:w="2880" w:type="dxa"/>
          </w:tcPr>
          <w:p w:rsidR="00C416A5" w:rsidRDefault="00C416A5" w:rsidP="00C416A5">
            <w:pPr>
              <w:rPr>
                <w:sz w:val="20"/>
                <w:szCs w:val="20"/>
              </w:rPr>
            </w:pPr>
          </w:p>
        </w:tc>
        <w:tc>
          <w:tcPr>
            <w:tcW w:w="1200" w:type="dxa"/>
          </w:tcPr>
          <w:p w:rsidR="00C416A5" w:rsidRDefault="00C416A5" w:rsidP="00C416A5">
            <w:pPr>
              <w:rPr>
                <w:sz w:val="20"/>
                <w:szCs w:val="20"/>
              </w:rPr>
            </w:pPr>
            <w:r>
              <w:rPr>
                <w:sz w:val="20"/>
                <w:szCs w:val="20"/>
              </w:rPr>
              <w:t>New</w:t>
            </w:r>
          </w:p>
        </w:tc>
      </w:tr>
      <w:tr w:rsidR="00C416A5">
        <w:trPr>
          <w:trHeight w:val="512"/>
        </w:trPr>
        <w:tc>
          <w:tcPr>
            <w:tcW w:w="2160" w:type="dxa"/>
          </w:tcPr>
          <w:p w:rsidR="00C416A5" w:rsidRPr="00280A10" w:rsidRDefault="00C416A5" w:rsidP="00C416A5">
            <w:pPr>
              <w:rPr>
                <w:sz w:val="20"/>
                <w:szCs w:val="20"/>
              </w:rPr>
            </w:pPr>
          </w:p>
        </w:tc>
        <w:tc>
          <w:tcPr>
            <w:tcW w:w="840" w:type="dxa"/>
          </w:tcPr>
          <w:p w:rsidR="00C416A5" w:rsidRPr="00280A10" w:rsidRDefault="00C416A5" w:rsidP="00C416A5">
            <w:pPr>
              <w:jc w:val="both"/>
              <w:rPr>
                <w:sz w:val="20"/>
                <w:szCs w:val="20"/>
              </w:rPr>
            </w:pPr>
            <w:r w:rsidRPr="00280A10">
              <w:rPr>
                <w:sz w:val="20"/>
                <w:szCs w:val="20"/>
              </w:rPr>
              <w:t>Indicator 3.4</w:t>
            </w:r>
          </w:p>
        </w:tc>
        <w:tc>
          <w:tcPr>
            <w:tcW w:w="2280" w:type="dxa"/>
          </w:tcPr>
          <w:p w:rsidR="00C416A5" w:rsidRDefault="00C416A5" w:rsidP="00C416A5">
            <w:pPr>
              <w:pStyle w:val="TableText"/>
              <w:spacing w:before="0"/>
              <w:rPr>
                <w:rFonts w:ascii="Times New Roman" w:hAnsi="Times New Roman" w:cs="Times New Roman"/>
                <w:bCs/>
              </w:rPr>
            </w:pPr>
            <w:r>
              <w:rPr>
                <w:rFonts w:ascii="Times New Roman" w:hAnsi="Times New Roman" w:cs="Times New Roman"/>
                <w:bCs/>
              </w:rPr>
              <w:t xml:space="preserve">Credit registry available to FSPs in the market </w:t>
            </w:r>
          </w:p>
          <w:p w:rsidR="00C416A5" w:rsidRDefault="00C416A5" w:rsidP="00C416A5">
            <w:pPr>
              <w:pStyle w:val="TableText"/>
              <w:spacing w:before="0"/>
              <w:rPr>
                <w:rFonts w:ascii="Times New Roman" w:hAnsi="Times New Roman" w:cs="Times New Roman"/>
                <w:bCs/>
              </w:rPr>
            </w:pPr>
            <w:r w:rsidRPr="00280A10">
              <w:rPr>
                <w:rFonts w:ascii="Times New Roman" w:hAnsi="Times New Roman" w:cs="Times New Roman"/>
                <w:bCs/>
              </w:rPr>
              <w:t>and exploring potential for m-banking (cell phone transactions</w:t>
            </w:r>
          </w:p>
          <w:p w:rsidR="00C416A5" w:rsidRPr="00280A10" w:rsidRDefault="00C416A5" w:rsidP="00C416A5">
            <w:pPr>
              <w:pStyle w:val="BodyText2"/>
              <w:spacing w:before="120"/>
              <w:rPr>
                <w:rFonts w:ascii="Times New Roman" w:hAnsi="Times New Roman" w:cs="Times New Roman"/>
              </w:rPr>
            </w:pPr>
            <w:r w:rsidRPr="008D5115">
              <w:rPr>
                <w:rFonts w:ascii="Times New Roman" w:hAnsi="Times New Roman" w:cs="Times New Roman"/>
                <w:b/>
                <w:strike/>
              </w:rPr>
              <w:t>At least 3 private or public sector providers of high-quality business services to FSPs have established outlets in Timor-Leste (Y5).  Priorities include Financial Literacy, credit reference, audit, and exploring potential for m-banking (cell phone transactions</w:t>
            </w:r>
          </w:p>
        </w:tc>
        <w:tc>
          <w:tcPr>
            <w:tcW w:w="1680" w:type="dxa"/>
          </w:tcPr>
          <w:p w:rsidR="00C416A5" w:rsidRPr="00280A10" w:rsidRDefault="00C416A5" w:rsidP="00C416A5">
            <w:pPr>
              <w:pStyle w:val="Bulletlevel1"/>
              <w:tabs>
                <w:tab w:val="clear" w:pos="360"/>
                <w:tab w:val="num" w:pos="145"/>
              </w:tabs>
              <w:ind w:left="145" w:hanging="184"/>
              <w:rPr>
                <w:rFonts w:ascii="Times New Roman" w:hAnsi="Times New Roman"/>
                <w:sz w:val="20"/>
                <w:szCs w:val="20"/>
              </w:rPr>
            </w:pPr>
            <w:r w:rsidRPr="00280A10">
              <w:rPr>
                <w:rFonts w:ascii="Times New Roman" w:hAnsi="Times New Roman"/>
                <w:sz w:val="20"/>
                <w:szCs w:val="20"/>
              </w:rPr>
              <w:t>Credit Bureau was established in 2009</w:t>
            </w:r>
          </w:p>
        </w:tc>
        <w:tc>
          <w:tcPr>
            <w:tcW w:w="4320" w:type="dxa"/>
          </w:tcPr>
          <w:p w:rsidR="00C416A5" w:rsidRPr="00280A10" w:rsidRDefault="00C416A5" w:rsidP="00C416A5">
            <w:pPr>
              <w:pStyle w:val="Bulletlevel1"/>
              <w:tabs>
                <w:tab w:val="clear" w:pos="360"/>
                <w:tab w:val="num" w:pos="145"/>
              </w:tabs>
              <w:ind w:left="145" w:hanging="184"/>
              <w:rPr>
                <w:rFonts w:ascii="Times New Roman" w:hAnsi="Times New Roman"/>
                <w:sz w:val="20"/>
                <w:szCs w:val="20"/>
              </w:rPr>
            </w:pPr>
            <w:r w:rsidRPr="00280A10">
              <w:rPr>
                <w:rFonts w:ascii="Times New Roman" w:hAnsi="Times New Roman"/>
                <w:sz w:val="20"/>
                <w:szCs w:val="20"/>
              </w:rPr>
              <w:t xml:space="preserve">INFUSE </w:t>
            </w:r>
            <w:r>
              <w:rPr>
                <w:rFonts w:ascii="Times New Roman" w:hAnsi="Times New Roman"/>
                <w:sz w:val="20"/>
                <w:szCs w:val="20"/>
              </w:rPr>
              <w:t>lent support to</w:t>
            </w:r>
            <w:r w:rsidRPr="00280A10">
              <w:rPr>
                <w:rFonts w:ascii="Times New Roman" w:hAnsi="Times New Roman"/>
                <w:sz w:val="20"/>
                <w:szCs w:val="20"/>
              </w:rPr>
              <w:t xml:space="preserve"> ADB</w:t>
            </w:r>
            <w:r>
              <w:rPr>
                <w:rFonts w:ascii="Times New Roman" w:hAnsi="Times New Roman"/>
                <w:sz w:val="20"/>
                <w:szCs w:val="20"/>
              </w:rPr>
              <w:t>/Bankable Frontiers Associate’s</w:t>
            </w:r>
            <w:r w:rsidRPr="00280A10">
              <w:rPr>
                <w:rFonts w:ascii="Times New Roman" w:hAnsi="Times New Roman"/>
                <w:sz w:val="20"/>
                <w:szCs w:val="20"/>
              </w:rPr>
              <w:t xml:space="preserve"> assessment for potential of branchless banking in July 2010.</w:t>
            </w:r>
          </w:p>
          <w:p w:rsidR="00C416A5" w:rsidRPr="00280A10" w:rsidRDefault="00C416A5" w:rsidP="00C416A5">
            <w:pPr>
              <w:tabs>
                <w:tab w:val="left" w:pos="426"/>
              </w:tabs>
              <w:jc w:val="both"/>
              <w:rPr>
                <w:sz w:val="20"/>
                <w:szCs w:val="20"/>
              </w:rPr>
            </w:pPr>
          </w:p>
          <w:p w:rsidR="00C416A5" w:rsidRDefault="00C416A5" w:rsidP="00C416A5">
            <w:pPr>
              <w:rPr>
                <w:sz w:val="20"/>
                <w:szCs w:val="20"/>
              </w:rPr>
            </w:pPr>
          </w:p>
          <w:p w:rsidR="00C416A5" w:rsidRPr="00215CC4" w:rsidRDefault="00C416A5" w:rsidP="00C416A5">
            <w:pPr>
              <w:rPr>
                <w:sz w:val="20"/>
                <w:szCs w:val="20"/>
              </w:rPr>
            </w:pPr>
          </w:p>
          <w:p w:rsidR="00C416A5" w:rsidRDefault="00C416A5" w:rsidP="00C416A5">
            <w:pPr>
              <w:rPr>
                <w:sz w:val="20"/>
                <w:szCs w:val="20"/>
              </w:rPr>
            </w:pPr>
          </w:p>
          <w:p w:rsidR="00C416A5" w:rsidRPr="00215CC4" w:rsidRDefault="00C416A5" w:rsidP="00C416A5">
            <w:pPr>
              <w:tabs>
                <w:tab w:val="left" w:pos="1240"/>
              </w:tabs>
              <w:rPr>
                <w:sz w:val="20"/>
                <w:szCs w:val="20"/>
              </w:rPr>
            </w:pPr>
            <w:r>
              <w:rPr>
                <w:sz w:val="20"/>
                <w:szCs w:val="20"/>
              </w:rPr>
              <w:tab/>
            </w:r>
          </w:p>
        </w:tc>
        <w:tc>
          <w:tcPr>
            <w:tcW w:w="2880" w:type="dxa"/>
          </w:tcPr>
          <w:p w:rsidR="00C416A5" w:rsidRDefault="00C416A5" w:rsidP="00C416A5">
            <w:pPr>
              <w:rPr>
                <w:rFonts w:ascii="Garamond" w:hAnsi="Garamond"/>
                <w:sz w:val="22"/>
                <w:szCs w:val="22"/>
              </w:rPr>
            </w:pPr>
            <w:r>
              <w:rPr>
                <w:rFonts w:ascii="Garamond" w:hAnsi="Garamond"/>
                <w:sz w:val="22"/>
                <w:szCs w:val="22"/>
              </w:rPr>
              <w:t>Actual context is that there are very few business service providers to partner with and bringing them from other countries to establish outlets in TL would require more time and resources than is realistic given the scope of INFUSE</w:t>
            </w:r>
          </w:p>
          <w:p w:rsidR="00C416A5" w:rsidRDefault="00C416A5" w:rsidP="00C416A5">
            <w:pPr>
              <w:rPr>
                <w:rFonts w:ascii="Garamond" w:hAnsi="Garamond"/>
                <w:sz w:val="22"/>
                <w:szCs w:val="22"/>
              </w:rPr>
            </w:pPr>
          </w:p>
          <w:p w:rsidR="00C416A5" w:rsidRDefault="00C416A5" w:rsidP="00C416A5">
            <w:pPr>
              <w:rPr>
                <w:sz w:val="20"/>
                <w:szCs w:val="20"/>
              </w:rPr>
            </w:pPr>
            <w:r>
              <w:rPr>
                <w:sz w:val="20"/>
                <w:szCs w:val="20"/>
              </w:rPr>
              <w:t>Credit registry is managed by the BPA, and as of yet the MFIs do not participate, but INFUSE should support ODTIs to do so.</w:t>
            </w:r>
          </w:p>
          <w:p w:rsidR="00C416A5" w:rsidRDefault="00C416A5" w:rsidP="00C416A5">
            <w:pPr>
              <w:rPr>
                <w:sz w:val="20"/>
                <w:szCs w:val="20"/>
              </w:rPr>
            </w:pPr>
          </w:p>
          <w:p w:rsidR="00C416A5" w:rsidRPr="00280A10" w:rsidRDefault="00C416A5" w:rsidP="00C416A5">
            <w:pPr>
              <w:rPr>
                <w:sz w:val="20"/>
                <w:szCs w:val="20"/>
              </w:rPr>
            </w:pPr>
          </w:p>
        </w:tc>
        <w:tc>
          <w:tcPr>
            <w:tcW w:w="1200" w:type="dxa"/>
          </w:tcPr>
          <w:p w:rsidR="00C416A5" w:rsidRDefault="00C416A5" w:rsidP="00C416A5">
            <w:pPr>
              <w:rPr>
                <w:sz w:val="20"/>
                <w:szCs w:val="20"/>
              </w:rPr>
            </w:pPr>
            <w:r>
              <w:rPr>
                <w:sz w:val="20"/>
                <w:szCs w:val="20"/>
              </w:rPr>
              <w:t xml:space="preserve">Revised  </w:t>
            </w:r>
          </w:p>
        </w:tc>
      </w:tr>
    </w:tbl>
    <w:p w:rsidR="00C520B2" w:rsidRDefault="00C520B2" w:rsidP="00C520B2">
      <w:pPr>
        <w:pStyle w:val="BodyText"/>
      </w:pPr>
    </w:p>
    <w:p w:rsidR="00C520B2" w:rsidRDefault="00C520B2" w:rsidP="00C743EB">
      <w:pPr>
        <w:pStyle w:val="BodyText"/>
        <w:jc w:val="center"/>
        <w:rPr>
          <w:rFonts w:ascii="Times New Roman" w:hAnsi="Times New Roman" w:cs="Times New Roman"/>
          <w:b/>
          <w:sz w:val="24"/>
          <w:szCs w:val="24"/>
        </w:rPr>
      </w:pPr>
    </w:p>
    <w:p w:rsidR="00C520B2" w:rsidRDefault="00C520B2" w:rsidP="00C743EB">
      <w:pPr>
        <w:pStyle w:val="BodyText"/>
        <w:jc w:val="center"/>
        <w:rPr>
          <w:rFonts w:ascii="Times New Roman" w:hAnsi="Times New Roman" w:cs="Times New Roman"/>
          <w:b/>
          <w:sz w:val="24"/>
          <w:szCs w:val="24"/>
        </w:rPr>
      </w:pPr>
    </w:p>
    <w:p w:rsidR="00C520B2" w:rsidRDefault="00C520B2" w:rsidP="00C743EB">
      <w:pPr>
        <w:pStyle w:val="BodyText"/>
        <w:jc w:val="center"/>
        <w:rPr>
          <w:rFonts w:ascii="Times New Roman" w:hAnsi="Times New Roman" w:cs="Times New Roman"/>
          <w:b/>
          <w:sz w:val="24"/>
          <w:szCs w:val="24"/>
        </w:rPr>
      </w:pPr>
    </w:p>
    <w:p w:rsidR="00C520B2" w:rsidRDefault="00C520B2" w:rsidP="00C743EB">
      <w:pPr>
        <w:pStyle w:val="BodyText"/>
        <w:jc w:val="center"/>
        <w:rPr>
          <w:rFonts w:ascii="Times New Roman" w:hAnsi="Times New Roman" w:cs="Times New Roman"/>
          <w:b/>
          <w:sz w:val="24"/>
          <w:szCs w:val="24"/>
        </w:rPr>
      </w:pPr>
    </w:p>
    <w:p w:rsidR="00C520B2" w:rsidRDefault="00C520B2" w:rsidP="00C743EB">
      <w:pPr>
        <w:pStyle w:val="BodyText"/>
        <w:jc w:val="center"/>
        <w:rPr>
          <w:rFonts w:ascii="Times New Roman" w:hAnsi="Times New Roman" w:cs="Times New Roman"/>
          <w:b/>
          <w:sz w:val="24"/>
          <w:szCs w:val="24"/>
        </w:rPr>
      </w:pPr>
    </w:p>
    <w:p w:rsidR="00C520B2" w:rsidRDefault="00C520B2" w:rsidP="00C743EB">
      <w:pPr>
        <w:pStyle w:val="BodyText"/>
        <w:jc w:val="center"/>
        <w:rPr>
          <w:rFonts w:ascii="Times New Roman" w:hAnsi="Times New Roman" w:cs="Times New Roman"/>
          <w:b/>
          <w:sz w:val="24"/>
          <w:szCs w:val="24"/>
        </w:rPr>
      </w:pPr>
    </w:p>
    <w:p w:rsidR="00D454F2" w:rsidRDefault="00D454F2" w:rsidP="00C743EB">
      <w:pPr>
        <w:pStyle w:val="BodyText"/>
        <w:jc w:val="center"/>
        <w:rPr>
          <w:rFonts w:ascii="Times New Roman" w:hAnsi="Times New Roman" w:cs="Times New Roman"/>
          <w:b/>
          <w:sz w:val="24"/>
          <w:szCs w:val="24"/>
        </w:rPr>
      </w:pPr>
    </w:p>
    <w:p w:rsidR="00D454F2" w:rsidRDefault="00D454F2" w:rsidP="00413A46">
      <w:pPr>
        <w:pStyle w:val="BodyText"/>
        <w:rPr>
          <w:rFonts w:ascii="Times New Roman" w:hAnsi="Times New Roman" w:cs="Times New Roman"/>
          <w:b/>
          <w:sz w:val="24"/>
          <w:szCs w:val="24"/>
        </w:rPr>
      </w:pPr>
    </w:p>
    <w:p w:rsidR="00EE1EEF" w:rsidRDefault="00EE1EEF" w:rsidP="00413A46">
      <w:pPr>
        <w:pStyle w:val="BodyText"/>
        <w:rPr>
          <w:rFonts w:ascii="Times New Roman" w:hAnsi="Times New Roman" w:cs="Times New Roman"/>
          <w:b/>
          <w:sz w:val="24"/>
          <w:szCs w:val="24"/>
        </w:rPr>
      </w:pPr>
    </w:p>
    <w:p w:rsidR="00EE1EEF" w:rsidRDefault="00EE1EEF" w:rsidP="00413A46">
      <w:pPr>
        <w:pStyle w:val="BodyText"/>
        <w:rPr>
          <w:rFonts w:ascii="Times New Roman" w:hAnsi="Times New Roman" w:cs="Times New Roman"/>
          <w:b/>
          <w:sz w:val="24"/>
          <w:szCs w:val="24"/>
        </w:rPr>
      </w:pPr>
    </w:p>
    <w:p w:rsidR="00EE1EEF" w:rsidRDefault="00EE1EEF" w:rsidP="00413A46">
      <w:pPr>
        <w:pStyle w:val="BodyText"/>
        <w:rPr>
          <w:rFonts w:ascii="Times New Roman" w:hAnsi="Times New Roman" w:cs="Times New Roman"/>
          <w:b/>
          <w:sz w:val="24"/>
          <w:szCs w:val="24"/>
        </w:rPr>
      </w:pPr>
    </w:p>
    <w:p w:rsidR="00EE1EEF" w:rsidRDefault="00EE1EEF" w:rsidP="00413A46">
      <w:pPr>
        <w:pStyle w:val="BodyText"/>
        <w:rPr>
          <w:rFonts w:ascii="Times New Roman" w:hAnsi="Times New Roman" w:cs="Times New Roman"/>
          <w:b/>
          <w:sz w:val="24"/>
          <w:szCs w:val="24"/>
        </w:rPr>
      </w:pPr>
    </w:p>
    <w:p w:rsidR="0024297B" w:rsidRDefault="0024297B" w:rsidP="00B45E96">
      <w:pPr>
        <w:pStyle w:val="Heading1"/>
        <w:sectPr w:rsidR="0024297B">
          <w:pgSz w:w="15840" w:h="12240" w:orient="landscape" w:code="1"/>
          <w:pgMar w:top="806" w:right="806" w:bottom="806" w:left="1354" w:header="720" w:footer="418" w:gutter="0"/>
          <w:cols w:space="720"/>
          <w:docGrid w:linePitch="360"/>
        </w:sectPr>
      </w:pPr>
      <w:bookmarkStart w:id="49" w:name="_Toc288468713"/>
      <w:bookmarkStart w:id="50" w:name="_Toc288469190"/>
      <w:bookmarkStart w:id="51" w:name="_Toc288470244"/>
    </w:p>
    <w:p w:rsidR="00863152" w:rsidRPr="00304CE1" w:rsidRDefault="00C743EB" w:rsidP="00B45E96">
      <w:pPr>
        <w:pStyle w:val="Heading1"/>
        <w:numPr>
          <w:ilvl w:val="0"/>
          <w:numId w:val="29"/>
        </w:numPr>
      </w:pPr>
      <w:bookmarkStart w:id="52" w:name="_Toc288486055"/>
      <w:bookmarkStart w:id="53" w:name="_Toc366502976"/>
      <w:r w:rsidRPr="00304CE1">
        <w:lastRenderedPageBreak/>
        <w:t>ANNEX</w:t>
      </w:r>
      <w:r w:rsidR="00BE458F" w:rsidRPr="00304CE1">
        <w:t xml:space="preserve"> 1</w:t>
      </w:r>
      <w:r w:rsidR="00A93153">
        <w:t>: January 1– June 20</w:t>
      </w:r>
      <w:r w:rsidR="001F7396" w:rsidRPr="00304CE1">
        <w:t>,</w:t>
      </w:r>
      <w:r w:rsidR="00A93153">
        <w:t xml:space="preserve"> 2011</w:t>
      </w:r>
      <w:r w:rsidRPr="00304CE1">
        <w:t xml:space="preserve"> Funding Disbursements</w:t>
      </w:r>
      <w:bookmarkEnd w:id="49"/>
      <w:bookmarkEnd w:id="50"/>
      <w:bookmarkEnd w:id="51"/>
      <w:bookmarkEnd w:id="52"/>
      <w:bookmarkEnd w:id="53"/>
    </w:p>
    <w:p w:rsidR="00C743EB" w:rsidRDefault="00C743EB" w:rsidP="00C743EB">
      <w:pPr>
        <w:pStyle w:val="BodyText"/>
        <w:jc w:val="center"/>
        <w:rPr>
          <w:rFonts w:ascii="Times New Roman" w:hAnsi="Times New Roman" w:cs="Times New Roman"/>
          <w:b/>
          <w:sz w:val="24"/>
          <w:szCs w:val="24"/>
        </w:rPr>
      </w:pPr>
    </w:p>
    <w:tbl>
      <w:tblPr>
        <w:tblW w:w="12874" w:type="dxa"/>
        <w:tblInd w:w="611" w:type="dxa"/>
        <w:tblLook w:val="04A0" w:firstRow="1" w:lastRow="0" w:firstColumn="1" w:lastColumn="0" w:noHBand="0" w:noVBand="1"/>
      </w:tblPr>
      <w:tblGrid>
        <w:gridCol w:w="3382"/>
        <w:gridCol w:w="4642"/>
        <w:gridCol w:w="1492"/>
        <w:gridCol w:w="1187"/>
        <w:gridCol w:w="2171"/>
      </w:tblGrid>
      <w:tr w:rsidR="00BA48FA" w:rsidRPr="00BA48FA" w:rsidTr="00BA48FA">
        <w:trPr>
          <w:trHeight w:val="539"/>
        </w:trPr>
        <w:tc>
          <w:tcPr>
            <w:tcW w:w="33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A48FA" w:rsidRPr="00BA48FA" w:rsidRDefault="00BA48FA">
            <w:pPr>
              <w:rPr>
                <w:b/>
                <w:bCs/>
                <w:color w:val="000000"/>
              </w:rPr>
            </w:pPr>
            <w:r w:rsidRPr="00BA48FA">
              <w:rPr>
                <w:b/>
                <w:bCs/>
                <w:color w:val="000000"/>
              </w:rPr>
              <w:t>Description of Activity</w:t>
            </w:r>
          </w:p>
        </w:tc>
        <w:tc>
          <w:tcPr>
            <w:tcW w:w="4642" w:type="dxa"/>
            <w:tcBorders>
              <w:top w:val="single" w:sz="8" w:space="0" w:color="auto"/>
              <w:left w:val="nil"/>
              <w:bottom w:val="single" w:sz="8" w:space="0" w:color="auto"/>
              <w:right w:val="single" w:sz="8" w:space="0" w:color="auto"/>
            </w:tcBorders>
            <w:shd w:val="clear" w:color="auto" w:fill="auto"/>
            <w:vAlign w:val="center"/>
            <w:hideMark/>
          </w:tcPr>
          <w:p w:rsidR="00BA48FA" w:rsidRPr="00BA48FA" w:rsidRDefault="00BA48FA">
            <w:pPr>
              <w:jc w:val="center"/>
              <w:rPr>
                <w:b/>
                <w:bCs/>
                <w:color w:val="000000"/>
              </w:rPr>
            </w:pPr>
            <w:r w:rsidRPr="00BA48FA">
              <w:rPr>
                <w:b/>
                <w:bCs/>
                <w:color w:val="000000"/>
              </w:rPr>
              <w:t>Recipient</w:t>
            </w:r>
          </w:p>
        </w:tc>
        <w:tc>
          <w:tcPr>
            <w:tcW w:w="1492" w:type="dxa"/>
            <w:tcBorders>
              <w:top w:val="single" w:sz="8" w:space="0" w:color="auto"/>
              <w:left w:val="nil"/>
              <w:bottom w:val="single" w:sz="8" w:space="0" w:color="auto"/>
              <w:right w:val="single" w:sz="8" w:space="0" w:color="auto"/>
            </w:tcBorders>
            <w:shd w:val="clear" w:color="auto" w:fill="auto"/>
            <w:vAlign w:val="center"/>
            <w:hideMark/>
          </w:tcPr>
          <w:p w:rsidR="00BA48FA" w:rsidRPr="00BA48FA" w:rsidRDefault="00BA48FA">
            <w:pPr>
              <w:jc w:val="center"/>
              <w:rPr>
                <w:b/>
                <w:bCs/>
                <w:color w:val="000000"/>
              </w:rPr>
            </w:pPr>
            <w:r w:rsidRPr="00BA48FA">
              <w:rPr>
                <w:b/>
                <w:bCs/>
                <w:color w:val="000000"/>
              </w:rPr>
              <w:t>Delivery Mechanism</w:t>
            </w:r>
          </w:p>
        </w:tc>
        <w:tc>
          <w:tcPr>
            <w:tcW w:w="1187" w:type="dxa"/>
            <w:tcBorders>
              <w:top w:val="single" w:sz="8" w:space="0" w:color="auto"/>
              <w:left w:val="nil"/>
              <w:bottom w:val="single" w:sz="8" w:space="0" w:color="auto"/>
              <w:right w:val="nil"/>
            </w:tcBorders>
            <w:shd w:val="clear" w:color="auto" w:fill="auto"/>
            <w:vAlign w:val="center"/>
            <w:hideMark/>
          </w:tcPr>
          <w:p w:rsidR="00BA48FA" w:rsidRPr="00BA48FA" w:rsidRDefault="00BA48FA">
            <w:pPr>
              <w:jc w:val="center"/>
              <w:rPr>
                <w:b/>
                <w:bCs/>
                <w:color w:val="000000"/>
              </w:rPr>
            </w:pPr>
            <w:r w:rsidRPr="00BA48FA">
              <w:rPr>
                <w:b/>
                <w:bCs/>
                <w:color w:val="000000"/>
              </w:rPr>
              <w:t>Amount</w:t>
            </w:r>
          </w:p>
        </w:tc>
        <w:tc>
          <w:tcPr>
            <w:tcW w:w="217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A48FA" w:rsidRPr="00BA48FA" w:rsidRDefault="00BA48FA">
            <w:pPr>
              <w:jc w:val="center"/>
              <w:rPr>
                <w:b/>
                <w:bCs/>
                <w:color w:val="000000"/>
              </w:rPr>
            </w:pPr>
            <w:r w:rsidRPr="00BA48FA">
              <w:rPr>
                <w:b/>
                <w:bCs/>
                <w:color w:val="000000"/>
              </w:rPr>
              <w:t>Disbursement Status</w:t>
            </w:r>
          </w:p>
        </w:tc>
      </w:tr>
      <w:tr w:rsidR="00BA48FA" w:rsidRPr="00BA48FA" w:rsidTr="00BA48FA">
        <w:trPr>
          <w:trHeight w:val="695"/>
        </w:trPr>
        <w:tc>
          <w:tcPr>
            <w:tcW w:w="3382" w:type="dxa"/>
            <w:tcBorders>
              <w:top w:val="nil"/>
              <w:left w:val="single" w:sz="8" w:space="0" w:color="auto"/>
              <w:bottom w:val="single" w:sz="8" w:space="0" w:color="auto"/>
              <w:right w:val="single" w:sz="8" w:space="0" w:color="auto"/>
            </w:tcBorders>
            <w:shd w:val="clear" w:color="auto" w:fill="auto"/>
            <w:vAlign w:val="center"/>
            <w:hideMark/>
          </w:tcPr>
          <w:p w:rsidR="00BA48FA" w:rsidRPr="00BA48FA" w:rsidRDefault="00BA48FA">
            <w:pPr>
              <w:jc w:val="both"/>
              <w:rPr>
                <w:color w:val="000000"/>
              </w:rPr>
            </w:pPr>
            <w:r w:rsidRPr="00BA48FA">
              <w:rPr>
                <w:color w:val="000000"/>
              </w:rPr>
              <w:t>Support to BPA for Development of Supervision Guidelines for ODTIs</w:t>
            </w:r>
          </w:p>
        </w:tc>
        <w:tc>
          <w:tcPr>
            <w:tcW w:w="4642" w:type="dxa"/>
            <w:tcBorders>
              <w:top w:val="nil"/>
              <w:left w:val="nil"/>
              <w:bottom w:val="single" w:sz="8" w:space="0" w:color="auto"/>
              <w:right w:val="single" w:sz="8" w:space="0" w:color="auto"/>
            </w:tcBorders>
            <w:shd w:val="clear" w:color="auto" w:fill="auto"/>
            <w:noWrap/>
            <w:vAlign w:val="center"/>
            <w:hideMark/>
          </w:tcPr>
          <w:p w:rsidR="00BA48FA" w:rsidRPr="00BA48FA" w:rsidRDefault="00BA48FA">
            <w:pPr>
              <w:jc w:val="both"/>
              <w:rPr>
                <w:color w:val="000000"/>
              </w:rPr>
            </w:pPr>
            <w:r w:rsidRPr="00BA48FA">
              <w:rPr>
                <w:color w:val="000000"/>
              </w:rPr>
              <w:t>Firm:  Frontier Ventures LLC</w:t>
            </w:r>
          </w:p>
        </w:tc>
        <w:tc>
          <w:tcPr>
            <w:tcW w:w="1492" w:type="dxa"/>
            <w:tcBorders>
              <w:top w:val="nil"/>
              <w:left w:val="nil"/>
              <w:bottom w:val="single" w:sz="8" w:space="0" w:color="auto"/>
              <w:right w:val="single" w:sz="8" w:space="0" w:color="auto"/>
            </w:tcBorders>
            <w:shd w:val="clear" w:color="auto" w:fill="auto"/>
            <w:vAlign w:val="center"/>
            <w:hideMark/>
          </w:tcPr>
          <w:p w:rsidR="00BA48FA" w:rsidRPr="00BA48FA" w:rsidRDefault="00BA48FA">
            <w:pPr>
              <w:jc w:val="center"/>
              <w:rPr>
                <w:color w:val="000000"/>
              </w:rPr>
            </w:pPr>
            <w:r w:rsidRPr="00BA48FA">
              <w:rPr>
                <w:color w:val="000000"/>
              </w:rPr>
              <w:t xml:space="preserve">Grant </w:t>
            </w:r>
          </w:p>
        </w:tc>
        <w:tc>
          <w:tcPr>
            <w:tcW w:w="1187" w:type="dxa"/>
            <w:tcBorders>
              <w:top w:val="nil"/>
              <w:left w:val="nil"/>
              <w:bottom w:val="single" w:sz="8" w:space="0" w:color="auto"/>
              <w:right w:val="single" w:sz="8" w:space="0" w:color="auto"/>
            </w:tcBorders>
            <w:shd w:val="clear" w:color="auto" w:fill="auto"/>
            <w:vAlign w:val="center"/>
            <w:hideMark/>
          </w:tcPr>
          <w:p w:rsidR="00BA48FA" w:rsidRPr="00BA48FA" w:rsidRDefault="00BA48FA">
            <w:pPr>
              <w:jc w:val="center"/>
              <w:rPr>
                <w:color w:val="000000"/>
              </w:rPr>
            </w:pPr>
            <w:r w:rsidRPr="00BA48FA">
              <w:rPr>
                <w:color w:val="000000"/>
              </w:rPr>
              <w:t xml:space="preserve">$170,000 </w:t>
            </w:r>
          </w:p>
        </w:tc>
        <w:tc>
          <w:tcPr>
            <w:tcW w:w="2171" w:type="dxa"/>
            <w:tcBorders>
              <w:top w:val="nil"/>
              <w:left w:val="nil"/>
              <w:bottom w:val="single" w:sz="8" w:space="0" w:color="auto"/>
              <w:right w:val="single" w:sz="8" w:space="0" w:color="auto"/>
            </w:tcBorders>
            <w:shd w:val="clear" w:color="auto" w:fill="auto"/>
            <w:vAlign w:val="center"/>
            <w:hideMark/>
          </w:tcPr>
          <w:p w:rsidR="00BA48FA" w:rsidRPr="00BA48FA" w:rsidRDefault="00BA48FA">
            <w:pPr>
              <w:rPr>
                <w:color w:val="000000"/>
              </w:rPr>
            </w:pPr>
            <w:r w:rsidRPr="00BA48FA">
              <w:rPr>
                <w:color w:val="000000"/>
              </w:rPr>
              <w:t>$102,000 disbursed; final payment remaining</w:t>
            </w:r>
          </w:p>
        </w:tc>
      </w:tr>
      <w:tr w:rsidR="00BA48FA" w:rsidRPr="00BA48FA" w:rsidTr="00BA48FA">
        <w:trPr>
          <w:trHeight w:val="695"/>
        </w:trPr>
        <w:tc>
          <w:tcPr>
            <w:tcW w:w="3382" w:type="dxa"/>
            <w:tcBorders>
              <w:top w:val="nil"/>
              <w:left w:val="single" w:sz="8" w:space="0" w:color="auto"/>
              <w:bottom w:val="single" w:sz="8" w:space="0" w:color="auto"/>
              <w:right w:val="single" w:sz="8" w:space="0" w:color="auto"/>
            </w:tcBorders>
            <w:shd w:val="clear" w:color="auto" w:fill="auto"/>
            <w:vAlign w:val="center"/>
            <w:hideMark/>
          </w:tcPr>
          <w:p w:rsidR="00BA48FA" w:rsidRPr="00BA48FA" w:rsidRDefault="00BA48FA">
            <w:pPr>
              <w:jc w:val="both"/>
              <w:rPr>
                <w:color w:val="000000"/>
              </w:rPr>
            </w:pPr>
            <w:r w:rsidRPr="00BA48FA">
              <w:rPr>
                <w:color w:val="000000"/>
              </w:rPr>
              <w:t>Capacity Building for Moris Rasik</w:t>
            </w:r>
          </w:p>
        </w:tc>
        <w:tc>
          <w:tcPr>
            <w:tcW w:w="4642" w:type="dxa"/>
            <w:tcBorders>
              <w:top w:val="nil"/>
              <w:left w:val="nil"/>
              <w:bottom w:val="single" w:sz="8" w:space="0" w:color="auto"/>
              <w:right w:val="single" w:sz="8" w:space="0" w:color="auto"/>
            </w:tcBorders>
            <w:shd w:val="clear" w:color="auto" w:fill="auto"/>
            <w:noWrap/>
            <w:vAlign w:val="center"/>
            <w:hideMark/>
          </w:tcPr>
          <w:p w:rsidR="00BA48FA" w:rsidRPr="00BA48FA" w:rsidRDefault="00BA48FA">
            <w:pPr>
              <w:jc w:val="both"/>
              <w:rPr>
                <w:color w:val="000000"/>
              </w:rPr>
            </w:pPr>
            <w:r w:rsidRPr="00BA48FA">
              <w:rPr>
                <w:color w:val="000000"/>
              </w:rPr>
              <w:t>Firm:  World Education Australia Ltd (WEAL)</w:t>
            </w:r>
          </w:p>
        </w:tc>
        <w:tc>
          <w:tcPr>
            <w:tcW w:w="1492" w:type="dxa"/>
            <w:tcBorders>
              <w:top w:val="nil"/>
              <w:left w:val="nil"/>
              <w:bottom w:val="single" w:sz="8" w:space="0" w:color="auto"/>
              <w:right w:val="single" w:sz="8" w:space="0" w:color="auto"/>
            </w:tcBorders>
            <w:shd w:val="clear" w:color="auto" w:fill="auto"/>
            <w:vAlign w:val="center"/>
            <w:hideMark/>
          </w:tcPr>
          <w:p w:rsidR="00BA48FA" w:rsidRPr="00BA48FA" w:rsidRDefault="00BA48FA">
            <w:pPr>
              <w:jc w:val="center"/>
              <w:rPr>
                <w:color w:val="000000"/>
              </w:rPr>
            </w:pPr>
            <w:r w:rsidRPr="00BA48FA">
              <w:rPr>
                <w:color w:val="000000"/>
              </w:rPr>
              <w:t xml:space="preserve">Grant </w:t>
            </w:r>
          </w:p>
        </w:tc>
        <w:tc>
          <w:tcPr>
            <w:tcW w:w="1187" w:type="dxa"/>
            <w:tcBorders>
              <w:top w:val="nil"/>
              <w:left w:val="nil"/>
              <w:bottom w:val="single" w:sz="8" w:space="0" w:color="auto"/>
              <w:right w:val="single" w:sz="8" w:space="0" w:color="auto"/>
            </w:tcBorders>
            <w:shd w:val="clear" w:color="auto" w:fill="auto"/>
            <w:vAlign w:val="center"/>
            <w:hideMark/>
          </w:tcPr>
          <w:p w:rsidR="00BA48FA" w:rsidRPr="00BA48FA" w:rsidRDefault="00BA48FA">
            <w:pPr>
              <w:jc w:val="center"/>
              <w:rPr>
                <w:color w:val="000000"/>
              </w:rPr>
            </w:pPr>
            <w:r w:rsidRPr="00BA48FA">
              <w:rPr>
                <w:color w:val="000000"/>
              </w:rPr>
              <w:t xml:space="preserve">$223,920 </w:t>
            </w:r>
          </w:p>
        </w:tc>
        <w:tc>
          <w:tcPr>
            <w:tcW w:w="2171" w:type="dxa"/>
            <w:tcBorders>
              <w:top w:val="nil"/>
              <w:left w:val="nil"/>
              <w:bottom w:val="single" w:sz="8" w:space="0" w:color="auto"/>
              <w:right w:val="single" w:sz="8" w:space="0" w:color="auto"/>
            </w:tcBorders>
            <w:shd w:val="clear" w:color="auto" w:fill="auto"/>
            <w:vAlign w:val="center"/>
            <w:hideMark/>
          </w:tcPr>
          <w:p w:rsidR="00BA48FA" w:rsidRPr="00BA48FA" w:rsidRDefault="00BA48FA">
            <w:pPr>
              <w:rPr>
                <w:color w:val="000000"/>
              </w:rPr>
            </w:pPr>
            <w:r w:rsidRPr="00BA48FA">
              <w:rPr>
                <w:color w:val="000000"/>
              </w:rPr>
              <w:t>Disbursed</w:t>
            </w:r>
          </w:p>
        </w:tc>
      </w:tr>
      <w:tr w:rsidR="00BA48FA" w:rsidRPr="00BA48FA" w:rsidTr="00BA48FA">
        <w:trPr>
          <w:trHeight w:val="695"/>
        </w:trPr>
        <w:tc>
          <w:tcPr>
            <w:tcW w:w="3382" w:type="dxa"/>
            <w:tcBorders>
              <w:top w:val="nil"/>
              <w:left w:val="single" w:sz="8" w:space="0" w:color="auto"/>
              <w:bottom w:val="single" w:sz="8" w:space="0" w:color="auto"/>
              <w:right w:val="single" w:sz="8" w:space="0" w:color="auto"/>
            </w:tcBorders>
            <w:shd w:val="clear" w:color="auto" w:fill="auto"/>
            <w:vAlign w:val="center"/>
            <w:hideMark/>
          </w:tcPr>
          <w:p w:rsidR="00BA48FA" w:rsidRPr="00BA48FA" w:rsidRDefault="00BA48FA">
            <w:pPr>
              <w:jc w:val="both"/>
              <w:rPr>
                <w:color w:val="000000"/>
              </w:rPr>
            </w:pPr>
            <w:r w:rsidRPr="00BA48FA">
              <w:rPr>
                <w:color w:val="000000"/>
              </w:rPr>
              <w:t>Transformation support to Moris Rasik</w:t>
            </w:r>
          </w:p>
        </w:tc>
        <w:tc>
          <w:tcPr>
            <w:tcW w:w="4642" w:type="dxa"/>
            <w:tcBorders>
              <w:top w:val="nil"/>
              <w:left w:val="nil"/>
              <w:bottom w:val="single" w:sz="8" w:space="0" w:color="auto"/>
              <w:right w:val="single" w:sz="8" w:space="0" w:color="auto"/>
            </w:tcBorders>
            <w:shd w:val="clear" w:color="auto" w:fill="auto"/>
            <w:noWrap/>
            <w:vAlign w:val="center"/>
            <w:hideMark/>
          </w:tcPr>
          <w:p w:rsidR="00BA48FA" w:rsidRPr="00BA48FA" w:rsidRDefault="00BA48FA">
            <w:pPr>
              <w:jc w:val="both"/>
              <w:rPr>
                <w:color w:val="000000"/>
              </w:rPr>
            </w:pPr>
            <w:r w:rsidRPr="00BA48FA">
              <w:rPr>
                <w:color w:val="000000"/>
              </w:rPr>
              <w:t>Firm:  World Education Australia Ltd (WEAL)</w:t>
            </w:r>
          </w:p>
        </w:tc>
        <w:tc>
          <w:tcPr>
            <w:tcW w:w="1492" w:type="dxa"/>
            <w:tcBorders>
              <w:top w:val="nil"/>
              <w:left w:val="nil"/>
              <w:bottom w:val="single" w:sz="8" w:space="0" w:color="auto"/>
              <w:right w:val="single" w:sz="8" w:space="0" w:color="auto"/>
            </w:tcBorders>
            <w:shd w:val="clear" w:color="auto" w:fill="auto"/>
            <w:vAlign w:val="center"/>
            <w:hideMark/>
          </w:tcPr>
          <w:p w:rsidR="00BA48FA" w:rsidRPr="00BA48FA" w:rsidRDefault="00BA48FA">
            <w:pPr>
              <w:jc w:val="center"/>
              <w:rPr>
                <w:color w:val="000000"/>
              </w:rPr>
            </w:pPr>
            <w:r w:rsidRPr="00BA48FA">
              <w:rPr>
                <w:color w:val="000000"/>
              </w:rPr>
              <w:t xml:space="preserve">Grant </w:t>
            </w:r>
          </w:p>
        </w:tc>
        <w:tc>
          <w:tcPr>
            <w:tcW w:w="1187" w:type="dxa"/>
            <w:tcBorders>
              <w:top w:val="nil"/>
              <w:left w:val="nil"/>
              <w:bottom w:val="single" w:sz="8" w:space="0" w:color="auto"/>
              <w:right w:val="single" w:sz="8" w:space="0" w:color="auto"/>
            </w:tcBorders>
            <w:shd w:val="clear" w:color="auto" w:fill="auto"/>
            <w:vAlign w:val="center"/>
            <w:hideMark/>
          </w:tcPr>
          <w:p w:rsidR="00BA48FA" w:rsidRPr="00BA48FA" w:rsidRDefault="00BA48FA">
            <w:pPr>
              <w:jc w:val="center"/>
              <w:rPr>
                <w:color w:val="000000"/>
              </w:rPr>
            </w:pPr>
            <w:r w:rsidRPr="00BA48FA">
              <w:rPr>
                <w:color w:val="000000"/>
              </w:rPr>
              <w:t xml:space="preserve">$84,000 </w:t>
            </w:r>
          </w:p>
        </w:tc>
        <w:tc>
          <w:tcPr>
            <w:tcW w:w="2171" w:type="dxa"/>
            <w:tcBorders>
              <w:top w:val="nil"/>
              <w:left w:val="nil"/>
              <w:bottom w:val="single" w:sz="8" w:space="0" w:color="auto"/>
              <w:right w:val="single" w:sz="8" w:space="0" w:color="auto"/>
            </w:tcBorders>
            <w:shd w:val="clear" w:color="auto" w:fill="auto"/>
            <w:vAlign w:val="center"/>
            <w:hideMark/>
          </w:tcPr>
          <w:p w:rsidR="00BA48FA" w:rsidRPr="00BA48FA" w:rsidRDefault="00BA48FA">
            <w:pPr>
              <w:rPr>
                <w:color w:val="000000"/>
              </w:rPr>
            </w:pPr>
            <w:r w:rsidRPr="00BA48FA">
              <w:rPr>
                <w:color w:val="000000"/>
              </w:rPr>
              <w:t>Disbursed</w:t>
            </w:r>
          </w:p>
        </w:tc>
      </w:tr>
      <w:tr w:rsidR="00BA48FA" w:rsidRPr="00BA48FA" w:rsidTr="00BA48FA">
        <w:trPr>
          <w:trHeight w:val="456"/>
        </w:trPr>
        <w:tc>
          <w:tcPr>
            <w:tcW w:w="3382" w:type="dxa"/>
            <w:tcBorders>
              <w:top w:val="nil"/>
              <w:left w:val="single" w:sz="8" w:space="0" w:color="auto"/>
              <w:bottom w:val="single" w:sz="8" w:space="0" w:color="auto"/>
              <w:right w:val="single" w:sz="8" w:space="0" w:color="auto"/>
            </w:tcBorders>
            <w:shd w:val="clear" w:color="auto" w:fill="auto"/>
            <w:vAlign w:val="center"/>
            <w:hideMark/>
          </w:tcPr>
          <w:p w:rsidR="00BA48FA" w:rsidRPr="00BA48FA" w:rsidRDefault="00BA48FA">
            <w:pPr>
              <w:rPr>
                <w:color w:val="000000"/>
              </w:rPr>
            </w:pPr>
            <w:r w:rsidRPr="00BA48FA">
              <w:rPr>
                <w:color w:val="000000"/>
              </w:rPr>
              <w:t>Grant for development of PPI</w:t>
            </w:r>
          </w:p>
        </w:tc>
        <w:tc>
          <w:tcPr>
            <w:tcW w:w="4642" w:type="dxa"/>
            <w:tcBorders>
              <w:top w:val="nil"/>
              <w:left w:val="nil"/>
              <w:bottom w:val="single" w:sz="8" w:space="0" w:color="auto"/>
              <w:right w:val="single" w:sz="8" w:space="0" w:color="auto"/>
            </w:tcBorders>
            <w:shd w:val="clear" w:color="auto" w:fill="auto"/>
            <w:noWrap/>
            <w:vAlign w:val="center"/>
            <w:hideMark/>
          </w:tcPr>
          <w:p w:rsidR="00BA48FA" w:rsidRPr="00BA48FA" w:rsidRDefault="00BA48FA">
            <w:pPr>
              <w:jc w:val="both"/>
              <w:rPr>
                <w:color w:val="000000"/>
              </w:rPr>
            </w:pPr>
            <w:r w:rsidRPr="00BA48FA">
              <w:rPr>
                <w:color w:val="000000"/>
              </w:rPr>
              <w:t>Firm:  Mercy Corps</w:t>
            </w:r>
          </w:p>
        </w:tc>
        <w:tc>
          <w:tcPr>
            <w:tcW w:w="1492" w:type="dxa"/>
            <w:tcBorders>
              <w:top w:val="nil"/>
              <w:left w:val="nil"/>
              <w:bottom w:val="single" w:sz="8" w:space="0" w:color="auto"/>
              <w:right w:val="single" w:sz="8" w:space="0" w:color="auto"/>
            </w:tcBorders>
            <w:shd w:val="clear" w:color="auto" w:fill="auto"/>
            <w:vAlign w:val="center"/>
            <w:hideMark/>
          </w:tcPr>
          <w:p w:rsidR="00BA48FA" w:rsidRPr="00BA48FA" w:rsidRDefault="00BA48FA">
            <w:pPr>
              <w:jc w:val="center"/>
              <w:rPr>
                <w:color w:val="000000"/>
              </w:rPr>
            </w:pPr>
            <w:r w:rsidRPr="00BA48FA">
              <w:rPr>
                <w:color w:val="000000"/>
              </w:rPr>
              <w:t xml:space="preserve">Grant </w:t>
            </w:r>
          </w:p>
        </w:tc>
        <w:tc>
          <w:tcPr>
            <w:tcW w:w="1187" w:type="dxa"/>
            <w:tcBorders>
              <w:top w:val="nil"/>
              <w:left w:val="nil"/>
              <w:bottom w:val="single" w:sz="8" w:space="0" w:color="auto"/>
              <w:right w:val="single" w:sz="8" w:space="0" w:color="auto"/>
            </w:tcBorders>
            <w:shd w:val="clear" w:color="auto" w:fill="auto"/>
            <w:vAlign w:val="center"/>
            <w:hideMark/>
          </w:tcPr>
          <w:p w:rsidR="00BA48FA" w:rsidRPr="00BA48FA" w:rsidRDefault="00BA48FA">
            <w:pPr>
              <w:jc w:val="center"/>
              <w:rPr>
                <w:color w:val="000000"/>
              </w:rPr>
            </w:pPr>
            <w:r w:rsidRPr="00BA48FA">
              <w:rPr>
                <w:color w:val="000000"/>
              </w:rPr>
              <w:t xml:space="preserve">$50,000 </w:t>
            </w:r>
          </w:p>
        </w:tc>
        <w:tc>
          <w:tcPr>
            <w:tcW w:w="2171" w:type="dxa"/>
            <w:tcBorders>
              <w:top w:val="nil"/>
              <w:left w:val="nil"/>
              <w:bottom w:val="single" w:sz="8" w:space="0" w:color="auto"/>
              <w:right w:val="single" w:sz="8" w:space="0" w:color="auto"/>
            </w:tcBorders>
            <w:shd w:val="clear" w:color="auto" w:fill="auto"/>
            <w:vAlign w:val="center"/>
            <w:hideMark/>
          </w:tcPr>
          <w:p w:rsidR="00BA48FA" w:rsidRPr="00BA48FA" w:rsidRDefault="00BA48FA">
            <w:pPr>
              <w:rPr>
                <w:color w:val="000000"/>
              </w:rPr>
            </w:pPr>
            <w:r w:rsidRPr="00BA48FA">
              <w:rPr>
                <w:color w:val="000000"/>
              </w:rPr>
              <w:t>Disbursed</w:t>
            </w:r>
          </w:p>
        </w:tc>
      </w:tr>
      <w:tr w:rsidR="00BA48FA" w:rsidRPr="00BA48FA" w:rsidTr="00BA48FA">
        <w:trPr>
          <w:trHeight w:val="456"/>
        </w:trPr>
        <w:tc>
          <w:tcPr>
            <w:tcW w:w="3382" w:type="dxa"/>
            <w:tcBorders>
              <w:top w:val="nil"/>
              <w:left w:val="single" w:sz="8" w:space="0" w:color="auto"/>
              <w:bottom w:val="single" w:sz="8" w:space="0" w:color="auto"/>
              <w:right w:val="single" w:sz="8" w:space="0" w:color="auto"/>
            </w:tcBorders>
            <w:shd w:val="clear" w:color="auto" w:fill="auto"/>
            <w:vAlign w:val="center"/>
            <w:hideMark/>
          </w:tcPr>
          <w:p w:rsidR="00BA48FA" w:rsidRPr="00BA48FA" w:rsidRDefault="00BA48FA">
            <w:pPr>
              <w:rPr>
                <w:color w:val="000000"/>
              </w:rPr>
            </w:pPr>
            <w:r w:rsidRPr="00BA48FA">
              <w:rPr>
                <w:color w:val="000000"/>
              </w:rPr>
              <w:t>Loan for Capital</w:t>
            </w:r>
          </w:p>
        </w:tc>
        <w:tc>
          <w:tcPr>
            <w:tcW w:w="4642" w:type="dxa"/>
            <w:tcBorders>
              <w:top w:val="nil"/>
              <w:left w:val="nil"/>
              <w:bottom w:val="single" w:sz="8" w:space="0" w:color="auto"/>
              <w:right w:val="single" w:sz="8" w:space="0" w:color="auto"/>
            </w:tcBorders>
            <w:shd w:val="clear" w:color="auto" w:fill="auto"/>
            <w:noWrap/>
            <w:vAlign w:val="center"/>
            <w:hideMark/>
          </w:tcPr>
          <w:p w:rsidR="00BA48FA" w:rsidRPr="00BA48FA" w:rsidRDefault="00BA48FA">
            <w:pPr>
              <w:jc w:val="both"/>
              <w:rPr>
                <w:color w:val="000000"/>
              </w:rPr>
            </w:pPr>
            <w:r w:rsidRPr="00BA48FA">
              <w:rPr>
                <w:color w:val="000000"/>
              </w:rPr>
              <w:t xml:space="preserve">MFI: Tuba </w:t>
            </w:r>
            <w:proofErr w:type="spellStart"/>
            <w:r w:rsidRPr="00BA48FA">
              <w:rPr>
                <w:color w:val="000000"/>
              </w:rPr>
              <w:t>Rai</w:t>
            </w:r>
            <w:proofErr w:type="spellEnd"/>
            <w:r w:rsidRPr="00BA48FA">
              <w:rPr>
                <w:color w:val="000000"/>
              </w:rPr>
              <w:t xml:space="preserve"> </w:t>
            </w:r>
            <w:proofErr w:type="spellStart"/>
            <w:r w:rsidRPr="00BA48FA">
              <w:rPr>
                <w:color w:val="000000"/>
              </w:rPr>
              <w:t>Metin</w:t>
            </w:r>
            <w:proofErr w:type="spellEnd"/>
          </w:p>
        </w:tc>
        <w:tc>
          <w:tcPr>
            <w:tcW w:w="1492" w:type="dxa"/>
            <w:tcBorders>
              <w:top w:val="nil"/>
              <w:left w:val="nil"/>
              <w:bottom w:val="single" w:sz="8" w:space="0" w:color="auto"/>
              <w:right w:val="single" w:sz="8" w:space="0" w:color="auto"/>
            </w:tcBorders>
            <w:shd w:val="clear" w:color="auto" w:fill="auto"/>
            <w:vAlign w:val="center"/>
            <w:hideMark/>
          </w:tcPr>
          <w:p w:rsidR="00BA48FA" w:rsidRPr="00BA48FA" w:rsidRDefault="00BA48FA">
            <w:pPr>
              <w:jc w:val="center"/>
              <w:rPr>
                <w:color w:val="000000"/>
              </w:rPr>
            </w:pPr>
            <w:r w:rsidRPr="00BA48FA">
              <w:rPr>
                <w:color w:val="000000"/>
              </w:rPr>
              <w:t>Loan</w:t>
            </w:r>
          </w:p>
        </w:tc>
        <w:tc>
          <w:tcPr>
            <w:tcW w:w="1187" w:type="dxa"/>
            <w:tcBorders>
              <w:top w:val="nil"/>
              <w:left w:val="nil"/>
              <w:bottom w:val="single" w:sz="8" w:space="0" w:color="auto"/>
              <w:right w:val="single" w:sz="8" w:space="0" w:color="auto"/>
            </w:tcBorders>
            <w:shd w:val="clear" w:color="auto" w:fill="auto"/>
            <w:vAlign w:val="center"/>
            <w:hideMark/>
          </w:tcPr>
          <w:p w:rsidR="00BA48FA" w:rsidRPr="00BA48FA" w:rsidRDefault="00BA48FA">
            <w:pPr>
              <w:jc w:val="center"/>
              <w:rPr>
                <w:color w:val="000000"/>
              </w:rPr>
            </w:pPr>
            <w:r w:rsidRPr="00BA48FA">
              <w:rPr>
                <w:color w:val="000000"/>
              </w:rPr>
              <w:t xml:space="preserve">$150,000 </w:t>
            </w:r>
          </w:p>
        </w:tc>
        <w:tc>
          <w:tcPr>
            <w:tcW w:w="2171" w:type="dxa"/>
            <w:tcBorders>
              <w:top w:val="nil"/>
              <w:left w:val="nil"/>
              <w:bottom w:val="single" w:sz="8" w:space="0" w:color="auto"/>
              <w:right w:val="single" w:sz="8" w:space="0" w:color="auto"/>
            </w:tcBorders>
            <w:shd w:val="clear" w:color="auto" w:fill="auto"/>
            <w:vAlign w:val="center"/>
            <w:hideMark/>
          </w:tcPr>
          <w:p w:rsidR="00BA48FA" w:rsidRPr="00BA48FA" w:rsidRDefault="00BA48FA">
            <w:pPr>
              <w:rPr>
                <w:color w:val="000000"/>
              </w:rPr>
            </w:pPr>
            <w:r w:rsidRPr="00BA48FA">
              <w:rPr>
                <w:color w:val="000000"/>
              </w:rPr>
              <w:t>Disbursed</w:t>
            </w:r>
          </w:p>
        </w:tc>
      </w:tr>
    </w:tbl>
    <w:p w:rsidR="00863152" w:rsidRDefault="00863152" w:rsidP="00C743EB">
      <w:pPr>
        <w:pStyle w:val="BodyText"/>
        <w:jc w:val="center"/>
        <w:rPr>
          <w:rFonts w:ascii="Times New Roman" w:hAnsi="Times New Roman" w:cs="Times New Roman"/>
          <w:b/>
          <w:sz w:val="24"/>
          <w:szCs w:val="24"/>
        </w:rPr>
      </w:pPr>
    </w:p>
    <w:sectPr w:rsidR="00863152" w:rsidSect="00912382">
      <w:pgSz w:w="15840" w:h="12240" w:orient="landscape" w:code="1"/>
      <w:pgMar w:top="806" w:right="806" w:bottom="806" w:left="1354" w:header="720" w:footer="41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E41" w:rsidRDefault="00211E41">
      <w:r>
        <w:separator/>
      </w:r>
    </w:p>
  </w:endnote>
  <w:endnote w:type="continuationSeparator" w:id="0">
    <w:p w:rsidR="00211E41" w:rsidRDefault="00211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FEA" w:rsidRDefault="00AE1324" w:rsidP="00EE1708">
    <w:pPr>
      <w:pStyle w:val="Footer"/>
      <w:framePr w:wrap="around" w:vAnchor="text" w:hAnchor="margin" w:xAlign="center" w:y="1"/>
      <w:rPr>
        <w:rStyle w:val="PageNumber"/>
      </w:rPr>
    </w:pPr>
    <w:r>
      <w:rPr>
        <w:rStyle w:val="PageNumber"/>
      </w:rPr>
      <w:fldChar w:fldCharType="begin"/>
    </w:r>
    <w:r w:rsidR="008C3FEA">
      <w:rPr>
        <w:rStyle w:val="PageNumber"/>
      </w:rPr>
      <w:instrText xml:space="preserve">PAGE  </w:instrText>
    </w:r>
    <w:r>
      <w:rPr>
        <w:rStyle w:val="PageNumber"/>
      </w:rPr>
      <w:fldChar w:fldCharType="separate"/>
    </w:r>
    <w:r w:rsidR="002E4196">
      <w:rPr>
        <w:rStyle w:val="PageNumber"/>
        <w:noProof/>
      </w:rPr>
      <w:t>14</w:t>
    </w:r>
    <w:r>
      <w:rPr>
        <w:rStyle w:val="PageNumber"/>
      </w:rPr>
      <w:fldChar w:fldCharType="end"/>
    </w:r>
  </w:p>
  <w:p w:rsidR="008C3FEA" w:rsidRDefault="008C3F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FEA" w:rsidRPr="00C04B8F" w:rsidRDefault="008C3FEA" w:rsidP="001305B2">
    <w:pPr>
      <w:pStyle w:val="Footer"/>
      <w:pBdr>
        <w:top w:val="single" w:sz="4" w:space="1" w:color="auto"/>
      </w:pBdr>
      <w:tabs>
        <w:tab w:val="clear" w:pos="4320"/>
        <w:tab w:val="clear" w:pos="8640"/>
        <w:tab w:val="center" w:pos="4500"/>
        <w:tab w:val="right" w:pos="9000"/>
      </w:tabs>
      <w:rPr>
        <w:sz w:val="18"/>
        <w:szCs w:val="18"/>
      </w:rPr>
    </w:pPr>
    <w:r>
      <w:rPr>
        <w:sz w:val="18"/>
        <w:szCs w:val="18"/>
      </w:rPr>
      <w:t>Mid-Year</w:t>
    </w:r>
    <w:r w:rsidRPr="00C04B8F">
      <w:rPr>
        <w:sz w:val="18"/>
        <w:szCs w:val="18"/>
      </w:rPr>
      <w:t xml:space="preserve"> Progress Report</w:t>
    </w:r>
    <w:r w:rsidRPr="00C04B8F">
      <w:rPr>
        <w:sz w:val="18"/>
        <w:szCs w:val="18"/>
      </w:rPr>
      <w:tab/>
      <w:t xml:space="preserve">1 January – </w:t>
    </w:r>
    <w:r>
      <w:rPr>
        <w:sz w:val="18"/>
        <w:szCs w:val="18"/>
      </w:rPr>
      <w:t>30 June 2011</w:t>
    </w:r>
    <w:r w:rsidRPr="00C04B8F">
      <w:rPr>
        <w:sz w:val="18"/>
        <w:szCs w:val="18"/>
      </w:rPr>
      <w:tab/>
      <w:t xml:space="preserve">Page </w:t>
    </w:r>
    <w:r w:rsidR="00AE1324">
      <w:fldChar w:fldCharType="begin"/>
    </w:r>
    <w:r>
      <w:instrText xml:space="preserve"> PAGE   \* MERGEFORMAT </w:instrText>
    </w:r>
    <w:r w:rsidR="00AE1324">
      <w:fldChar w:fldCharType="separate"/>
    </w:r>
    <w:r w:rsidR="00D07CC6" w:rsidRPr="00D07CC6">
      <w:rPr>
        <w:noProof/>
        <w:sz w:val="20"/>
        <w:szCs w:val="20"/>
      </w:rPr>
      <w:t>1</w:t>
    </w:r>
    <w:r w:rsidR="00AE1324">
      <w:rPr>
        <w:noProof/>
        <w:sz w:val="20"/>
        <w:szCs w:val="20"/>
      </w:rPr>
      <w:fldChar w:fldCharType="end"/>
    </w:r>
    <w:r w:rsidRPr="00C84F98">
      <w:rPr>
        <w:sz w:val="20"/>
        <w:szCs w:val="20"/>
      </w:rPr>
      <w:t xml:space="preserve"> of 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FEA" w:rsidRPr="00C04B8F" w:rsidRDefault="008C3FEA">
    <w:pPr>
      <w:pStyle w:val="Footer"/>
      <w:pBdr>
        <w:top w:val="single" w:sz="4" w:space="1" w:color="auto"/>
      </w:pBdr>
      <w:tabs>
        <w:tab w:val="clear" w:pos="4320"/>
        <w:tab w:val="clear" w:pos="8640"/>
        <w:tab w:val="center" w:pos="4500"/>
        <w:tab w:val="right" w:pos="9000"/>
      </w:tabs>
      <w:rPr>
        <w:sz w:val="18"/>
        <w:szCs w:val="18"/>
      </w:rPr>
    </w:pPr>
    <w:r w:rsidRPr="00C04B8F">
      <w:rPr>
        <w:sz w:val="18"/>
        <w:szCs w:val="18"/>
      </w:rPr>
      <w:t>Annual Progress Report</w:t>
    </w:r>
    <w:r w:rsidRPr="00C04B8F">
      <w:rPr>
        <w:sz w:val="18"/>
        <w:szCs w:val="18"/>
      </w:rPr>
      <w:tab/>
      <w:t>1 January – 30 December 2010</w:t>
    </w:r>
    <w:r w:rsidRPr="00C04B8F">
      <w:rPr>
        <w:sz w:val="18"/>
        <w:szCs w:val="18"/>
      </w:rPr>
      <w:tab/>
      <w:t xml:space="preserve">Page </w:t>
    </w:r>
    <w:r w:rsidR="00AE1324">
      <w:fldChar w:fldCharType="begin"/>
    </w:r>
    <w:r>
      <w:instrText xml:space="preserve"> PAGE   \* MERGEFORMAT </w:instrText>
    </w:r>
    <w:r w:rsidR="00AE1324">
      <w:fldChar w:fldCharType="separate"/>
    </w:r>
    <w:r w:rsidR="002E4196" w:rsidRPr="002E4196">
      <w:rPr>
        <w:noProof/>
        <w:sz w:val="20"/>
        <w:szCs w:val="20"/>
      </w:rPr>
      <w:t>14</w:t>
    </w:r>
    <w:r w:rsidR="00AE1324">
      <w:rPr>
        <w:noProof/>
        <w:sz w:val="20"/>
        <w:szCs w:val="20"/>
      </w:rPr>
      <w:fldChar w:fldCharType="end"/>
    </w:r>
    <w:r w:rsidRPr="00C84F98">
      <w:rPr>
        <w:sz w:val="20"/>
        <w:szCs w:val="20"/>
      </w:rPr>
      <w:t xml:space="preserve"> of 17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FEA" w:rsidRDefault="00AE1324" w:rsidP="00EE1708">
    <w:pPr>
      <w:pStyle w:val="Footer"/>
      <w:framePr w:wrap="around" w:vAnchor="text" w:hAnchor="margin" w:xAlign="center" w:y="1"/>
      <w:rPr>
        <w:rStyle w:val="PageNumber"/>
      </w:rPr>
    </w:pPr>
    <w:r>
      <w:rPr>
        <w:rStyle w:val="PageNumber"/>
      </w:rPr>
      <w:fldChar w:fldCharType="begin"/>
    </w:r>
    <w:r w:rsidR="008C3FEA">
      <w:rPr>
        <w:rStyle w:val="PageNumber"/>
      </w:rPr>
      <w:instrText xml:space="preserve">PAGE  </w:instrText>
    </w:r>
    <w:r>
      <w:rPr>
        <w:rStyle w:val="PageNumber"/>
      </w:rPr>
      <w:fldChar w:fldCharType="separate"/>
    </w:r>
    <w:r w:rsidR="002E4196">
      <w:rPr>
        <w:rStyle w:val="PageNumber"/>
        <w:noProof/>
      </w:rPr>
      <w:t>14</w:t>
    </w:r>
    <w:r>
      <w:rPr>
        <w:rStyle w:val="PageNumber"/>
      </w:rPr>
      <w:fldChar w:fldCharType="end"/>
    </w:r>
  </w:p>
  <w:p w:rsidR="008C3FEA" w:rsidRDefault="008C3FE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FEA" w:rsidRPr="00C04B8F" w:rsidRDefault="008C3FEA" w:rsidP="001305B2">
    <w:pPr>
      <w:pStyle w:val="Footer"/>
      <w:pBdr>
        <w:top w:val="single" w:sz="4" w:space="1" w:color="auto"/>
      </w:pBdr>
      <w:tabs>
        <w:tab w:val="clear" w:pos="4320"/>
        <w:tab w:val="clear" w:pos="8640"/>
        <w:tab w:val="center" w:pos="4500"/>
        <w:tab w:val="right" w:pos="9000"/>
      </w:tabs>
      <w:rPr>
        <w:sz w:val="18"/>
        <w:szCs w:val="18"/>
      </w:rPr>
    </w:pPr>
    <w:r>
      <w:rPr>
        <w:sz w:val="18"/>
        <w:szCs w:val="18"/>
      </w:rPr>
      <w:t>Mid-Year</w:t>
    </w:r>
    <w:r w:rsidRPr="00C04B8F">
      <w:rPr>
        <w:sz w:val="18"/>
        <w:szCs w:val="18"/>
      </w:rPr>
      <w:t xml:space="preserve"> Progress Report</w:t>
    </w:r>
    <w:r w:rsidRPr="00C04B8F">
      <w:rPr>
        <w:sz w:val="18"/>
        <w:szCs w:val="18"/>
      </w:rPr>
      <w:tab/>
      <w:t xml:space="preserve">1 January – </w:t>
    </w:r>
    <w:r>
      <w:rPr>
        <w:sz w:val="18"/>
        <w:szCs w:val="18"/>
      </w:rPr>
      <w:t>30 June 2011</w:t>
    </w:r>
    <w:r w:rsidRPr="00C04B8F">
      <w:rPr>
        <w:sz w:val="18"/>
        <w:szCs w:val="18"/>
      </w:rPr>
      <w:tab/>
      <w:t xml:space="preserve">Page </w:t>
    </w:r>
    <w:r w:rsidR="00AE1324">
      <w:fldChar w:fldCharType="begin"/>
    </w:r>
    <w:r>
      <w:instrText xml:space="preserve"> PAGE   \* MERGEFORMAT </w:instrText>
    </w:r>
    <w:r w:rsidR="00AE1324">
      <w:fldChar w:fldCharType="separate"/>
    </w:r>
    <w:r w:rsidR="00D07CC6" w:rsidRPr="00D07CC6">
      <w:rPr>
        <w:noProof/>
        <w:sz w:val="20"/>
        <w:szCs w:val="20"/>
      </w:rPr>
      <w:t>2</w:t>
    </w:r>
    <w:r w:rsidR="00AE1324">
      <w:rPr>
        <w:noProof/>
        <w:sz w:val="20"/>
        <w:szCs w:val="20"/>
      </w:rPr>
      <w:fldChar w:fldCharType="end"/>
    </w:r>
    <w:r w:rsidRPr="00C84F98">
      <w:rPr>
        <w:sz w:val="20"/>
        <w:szCs w:val="20"/>
      </w:rPr>
      <w:t xml:space="preserve"> of 17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FEA" w:rsidRPr="00C04B8F" w:rsidRDefault="008C3FEA">
    <w:pPr>
      <w:pStyle w:val="Footer"/>
      <w:pBdr>
        <w:top w:val="single" w:sz="4" w:space="1" w:color="auto"/>
      </w:pBdr>
      <w:tabs>
        <w:tab w:val="clear" w:pos="4320"/>
        <w:tab w:val="clear" w:pos="8640"/>
        <w:tab w:val="center" w:pos="4500"/>
        <w:tab w:val="right" w:pos="9000"/>
      </w:tabs>
      <w:rPr>
        <w:sz w:val="18"/>
        <w:szCs w:val="18"/>
      </w:rPr>
    </w:pPr>
    <w:r w:rsidRPr="00C04B8F">
      <w:rPr>
        <w:sz w:val="18"/>
        <w:szCs w:val="18"/>
      </w:rPr>
      <w:t>Annual Progress Report</w:t>
    </w:r>
    <w:r w:rsidRPr="00C04B8F">
      <w:rPr>
        <w:sz w:val="18"/>
        <w:szCs w:val="18"/>
      </w:rPr>
      <w:tab/>
      <w:t>1 January – 30 December 2010</w:t>
    </w:r>
    <w:r w:rsidRPr="00C04B8F">
      <w:rPr>
        <w:sz w:val="18"/>
        <w:szCs w:val="18"/>
      </w:rPr>
      <w:tab/>
      <w:t xml:space="preserve">Page </w:t>
    </w:r>
    <w:r w:rsidR="00AE1324">
      <w:fldChar w:fldCharType="begin"/>
    </w:r>
    <w:r>
      <w:instrText xml:space="preserve"> PAGE   \* MERGEFORMAT </w:instrText>
    </w:r>
    <w:r w:rsidR="00AE1324">
      <w:fldChar w:fldCharType="separate"/>
    </w:r>
    <w:r w:rsidR="002E4196" w:rsidRPr="002E4196">
      <w:rPr>
        <w:noProof/>
        <w:sz w:val="20"/>
        <w:szCs w:val="20"/>
      </w:rPr>
      <w:t>14</w:t>
    </w:r>
    <w:r w:rsidR="00AE1324">
      <w:rPr>
        <w:noProof/>
        <w:sz w:val="20"/>
        <w:szCs w:val="20"/>
      </w:rPr>
      <w:fldChar w:fldCharType="end"/>
    </w:r>
    <w:r w:rsidRPr="00C84F98">
      <w:rPr>
        <w:sz w:val="20"/>
        <w:szCs w:val="20"/>
      </w:rPr>
      <w:t xml:space="preserve"> of 17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FEA" w:rsidRPr="00C04B8F" w:rsidRDefault="008C3FEA">
    <w:pPr>
      <w:pStyle w:val="Footer"/>
      <w:pBdr>
        <w:top w:val="single" w:sz="4" w:space="1" w:color="auto"/>
      </w:pBdr>
      <w:tabs>
        <w:tab w:val="clear" w:pos="4320"/>
        <w:tab w:val="clear" w:pos="8640"/>
        <w:tab w:val="center" w:pos="4500"/>
        <w:tab w:val="right" w:pos="9000"/>
      </w:tabs>
      <w:rPr>
        <w:sz w:val="18"/>
        <w:szCs w:val="18"/>
      </w:rPr>
    </w:pPr>
    <w:r w:rsidRPr="00C04B8F">
      <w:rPr>
        <w:sz w:val="18"/>
        <w:szCs w:val="18"/>
      </w:rPr>
      <w:t>Annual Progress Report</w:t>
    </w:r>
    <w:r w:rsidRPr="00C04B8F">
      <w:rPr>
        <w:sz w:val="18"/>
        <w:szCs w:val="18"/>
      </w:rPr>
      <w:tab/>
      <w:t>1 January – 30 December 2010</w:t>
    </w:r>
    <w:r w:rsidRPr="00C04B8F">
      <w:rPr>
        <w:sz w:val="18"/>
        <w:szCs w:val="18"/>
      </w:rPr>
      <w:tab/>
      <w:t xml:space="preserve">Page </w:t>
    </w:r>
    <w:r w:rsidR="00AE1324">
      <w:fldChar w:fldCharType="begin"/>
    </w:r>
    <w:r>
      <w:instrText xml:space="preserve"> PAGE   \* MERGEFORMAT </w:instrText>
    </w:r>
    <w:r w:rsidR="00AE1324">
      <w:fldChar w:fldCharType="separate"/>
    </w:r>
    <w:r w:rsidR="00D07CC6" w:rsidRPr="00D07CC6">
      <w:rPr>
        <w:noProof/>
        <w:sz w:val="20"/>
        <w:szCs w:val="20"/>
      </w:rPr>
      <w:t>1</w:t>
    </w:r>
    <w:r w:rsidR="00AE1324">
      <w:rPr>
        <w:noProof/>
        <w:sz w:val="20"/>
        <w:szCs w:val="20"/>
      </w:rPr>
      <w:fldChar w:fldCharType="end"/>
    </w:r>
    <w:r w:rsidRPr="00C84F98">
      <w:rPr>
        <w:sz w:val="20"/>
        <w:szCs w:val="20"/>
      </w:rPr>
      <w:t xml:space="preserve"> of 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E41" w:rsidRDefault="00211E41">
      <w:r>
        <w:separator/>
      </w:r>
    </w:p>
  </w:footnote>
  <w:footnote w:type="continuationSeparator" w:id="0">
    <w:p w:rsidR="00211E41" w:rsidRDefault="00211E41">
      <w:r>
        <w:continuationSeparator/>
      </w:r>
    </w:p>
  </w:footnote>
  <w:footnote w:id="1">
    <w:p w:rsidR="008C3FEA" w:rsidRDefault="008C3FEA">
      <w:pPr>
        <w:pStyle w:val="FootnoteText"/>
      </w:pPr>
      <w:r>
        <w:rPr>
          <w:rStyle w:val="FootnoteReference"/>
        </w:rPr>
        <w:footnoteRef/>
      </w:r>
      <w:r>
        <w:t xml:space="preserve"> Priority Area for the Peacebuilding Fund; Sector for the UNDG ITF.</w:t>
      </w:r>
    </w:p>
  </w:footnote>
  <w:footnote w:id="2">
    <w:p w:rsidR="008C3FEA" w:rsidRDefault="008C3FEA" w:rsidP="000134CC">
      <w:pPr>
        <w:pStyle w:val="FootnoteText"/>
      </w:pPr>
      <w:r>
        <w:rPr>
          <w:rStyle w:val="FootnoteReference"/>
        </w:rPr>
        <w:footnoteRef/>
      </w:r>
      <w:r>
        <w:t xml:space="preserve"> The start date is the date of the first transfer of the funds from the MDTF Office as Administrative Agent. Transfer date is available on the </w:t>
      </w:r>
      <w:hyperlink r:id="rId1" w:history="1">
        <w:r w:rsidRPr="0014549D">
          <w:rPr>
            <w:rStyle w:val="Hyperlink"/>
          </w:rPr>
          <w:t>MDTF Office GATEWAY</w:t>
        </w:r>
      </w:hyperlink>
      <w:r>
        <w:t xml:space="preserve"> (http://mdtf.undp.org).</w:t>
      </w:r>
    </w:p>
  </w:footnote>
  <w:footnote w:id="3">
    <w:p w:rsidR="00614FFD" w:rsidRDefault="00614FFD" w:rsidP="00614FFD">
      <w:pPr>
        <w:pStyle w:val="FootnoteText"/>
      </w:pPr>
      <w:r w:rsidRPr="00614FFD">
        <w:rPr>
          <w:rStyle w:val="FootnoteReference"/>
        </w:rPr>
        <w:footnoteRef/>
      </w:r>
      <w:r w:rsidRPr="00614FFD">
        <w:t xml:space="preserve"> AusAID has contributed USD2,315,174 with remaining $134,826 to be mobilized in 2011 and 2012 by INFUSE</w:t>
      </w:r>
    </w:p>
  </w:footnote>
  <w:footnote w:id="4">
    <w:p w:rsidR="008C3FEA" w:rsidRDefault="008C3FEA" w:rsidP="000134CC">
      <w:pPr>
        <w:pStyle w:val="FootnoteText"/>
      </w:pPr>
      <w:r>
        <w:rPr>
          <w:rStyle w:val="FootnoteReference"/>
        </w:rPr>
        <w:footnoteRef/>
      </w:r>
      <w:r>
        <w:t xml:space="preserve"> All activities for which a Participating Organization is responsible under an approved MDTF program have been completed. </w:t>
      </w:r>
      <w:proofErr w:type="gramStart"/>
      <w:r>
        <w:t>Agencies to advise the MDTF Office.</w:t>
      </w:r>
      <w:proofErr w:type="gramEnd"/>
      <w:r>
        <w:t xml:space="preserve"> </w:t>
      </w:r>
    </w:p>
  </w:footnote>
  <w:footnote w:id="5">
    <w:p w:rsidR="008C3FEA" w:rsidRDefault="008C3FEA">
      <w:pPr>
        <w:pStyle w:val="FootnoteText"/>
      </w:pPr>
      <w:r>
        <w:rPr>
          <w:rStyle w:val="FootnoteReference"/>
        </w:rPr>
        <w:footnoteRef/>
      </w:r>
      <w:r>
        <w:t xml:space="preserve"> Primary membership is restricted to those with investments of and above US$ 250,000. </w:t>
      </w:r>
    </w:p>
  </w:footnote>
  <w:footnote w:id="6">
    <w:p w:rsidR="008C3FEA" w:rsidRDefault="008C3FEA">
      <w:pPr>
        <w:pStyle w:val="FootnoteText"/>
      </w:pPr>
      <w:r>
        <w:rPr>
          <w:rStyle w:val="FootnoteReference"/>
        </w:rPr>
        <w:footnoteRef/>
      </w:r>
      <w:r>
        <w:t xml:space="preserve"> INFUSE formerly reported on the outreach indicators for BCTL (Formerly </w:t>
      </w:r>
      <w:proofErr w:type="spellStart"/>
      <w:r>
        <w:t>INfTL</w:t>
      </w:r>
      <w:proofErr w:type="spellEnd"/>
      <w:r>
        <w:t xml:space="preserve">) and the CUs.  However, since INFUSE does not directly offer TA to either BCTL or the CUs, nor does it receive outreach indicators from the institutions, only the numbers from partner FSPs are reported here.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0FA9"/>
    <w:multiLevelType w:val="hybridMultilevel"/>
    <w:tmpl w:val="42A872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55D7756"/>
    <w:multiLevelType w:val="hybridMultilevel"/>
    <w:tmpl w:val="F530E87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F04A5E"/>
    <w:multiLevelType w:val="hybridMultilevel"/>
    <w:tmpl w:val="E1D41C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EB5570"/>
    <w:multiLevelType w:val="hybridMultilevel"/>
    <w:tmpl w:val="012092BC"/>
    <w:lvl w:ilvl="0" w:tplc="A0624842">
      <w:start w:val="1"/>
      <w:numFmt w:val="upperRoman"/>
      <w:lvlText w:val="%1."/>
      <w:lvlJc w:val="left"/>
      <w:pPr>
        <w:tabs>
          <w:tab w:val="num" w:pos="1080"/>
        </w:tabs>
        <w:ind w:left="1080" w:hanging="720"/>
      </w:pPr>
      <w:rPr>
        <w:rFonts w:hint="default"/>
      </w:rPr>
    </w:lvl>
    <w:lvl w:ilvl="1" w:tplc="862A952A">
      <w:numFmt w:val="none"/>
      <w:lvlText w:val=""/>
      <w:lvlJc w:val="left"/>
      <w:pPr>
        <w:tabs>
          <w:tab w:val="num" w:pos="360"/>
        </w:tabs>
      </w:pPr>
    </w:lvl>
    <w:lvl w:ilvl="2" w:tplc="E7485428">
      <w:numFmt w:val="none"/>
      <w:lvlText w:val=""/>
      <w:lvlJc w:val="left"/>
      <w:pPr>
        <w:tabs>
          <w:tab w:val="num" w:pos="360"/>
        </w:tabs>
      </w:pPr>
    </w:lvl>
    <w:lvl w:ilvl="3" w:tplc="FD789764">
      <w:numFmt w:val="none"/>
      <w:lvlText w:val=""/>
      <w:lvlJc w:val="left"/>
      <w:pPr>
        <w:tabs>
          <w:tab w:val="num" w:pos="360"/>
        </w:tabs>
      </w:pPr>
    </w:lvl>
    <w:lvl w:ilvl="4" w:tplc="5EFA0FBC">
      <w:numFmt w:val="none"/>
      <w:lvlText w:val=""/>
      <w:lvlJc w:val="left"/>
      <w:pPr>
        <w:tabs>
          <w:tab w:val="num" w:pos="360"/>
        </w:tabs>
      </w:pPr>
    </w:lvl>
    <w:lvl w:ilvl="5" w:tplc="1336440C">
      <w:numFmt w:val="none"/>
      <w:lvlText w:val=""/>
      <w:lvlJc w:val="left"/>
      <w:pPr>
        <w:tabs>
          <w:tab w:val="num" w:pos="360"/>
        </w:tabs>
      </w:pPr>
    </w:lvl>
    <w:lvl w:ilvl="6" w:tplc="D87228D2">
      <w:numFmt w:val="none"/>
      <w:lvlText w:val=""/>
      <w:lvlJc w:val="left"/>
      <w:pPr>
        <w:tabs>
          <w:tab w:val="num" w:pos="360"/>
        </w:tabs>
      </w:pPr>
    </w:lvl>
    <w:lvl w:ilvl="7" w:tplc="49E6716E">
      <w:numFmt w:val="none"/>
      <w:lvlText w:val=""/>
      <w:lvlJc w:val="left"/>
      <w:pPr>
        <w:tabs>
          <w:tab w:val="num" w:pos="360"/>
        </w:tabs>
      </w:pPr>
    </w:lvl>
    <w:lvl w:ilvl="8" w:tplc="035EA2D6">
      <w:numFmt w:val="none"/>
      <w:lvlText w:val=""/>
      <w:lvlJc w:val="left"/>
      <w:pPr>
        <w:tabs>
          <w:tab w:val="num" w:pos="360"/>
        </w:tabs>
      </w:pPr>
    </w:lvl>
  </w:abstractNum>
  <w:abstractNum w:abstractNumId="4">
    <w:nsid w:val="14537996"/>
    <w:multiLevelType w:val="hybridMultilevel"/>
    <w:tmpl w:val="2CAC0F8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0D2179"/>
    <w:multiLevelType w:val="hybridMultilevel"/>
    <w:tmpl w:val="A27028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07F47F3"/>
    <w:multiLevelType w:val="hybridMultilevel"/>
    <w:tmpl w:val="FA985388"/>
    <w:lvl w:ilvl="0" w:tplc="0C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2D9E633A">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E54FA4"/>
    <w:multiLevelType w:val="hybridMultilevel"/>
    <w:tmpl w:val="C2D86F32"/>
    <w:lvl w:ilvl="0" w:tplc="9612A9EE">
      <w:start w:val="4"/>
      <w:numFmt w:val="bullet"/>
      <w:lvlText w:val="-"/>
      <w:lvlJc w:val="left"/>
      <w:pPr>
        <w:tabs>
          <w:tab w:val="num" w:pos="720"/>
        </w:tabs>
        <w:ind w:left="720" w:hanging="360"/>
      </w:pPr>
      <w:rPr>
        <w:rFonts w:ascii="Calibri" w:eastAsia="Times New Roman" w:hAnsi="Calibri" w:cs="Times New Roman" w:hint="default"/>
      </w:rPr>
    </w:lvl>
    <w:lvl w:ilvl="1" w:tplc="C95094E8">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E6C7E88"/>
    <w:multiLevelType w:val="hybridMultilevel"/>
    <w:tmpl w:val="BD56447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05">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nsid w:val="3E7F47A2"/>
    <w:multiLevelType w:val="hybridMultilevel"/>
    <w:tmpl w:val="DEEC805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EFF0881"/>
    <w:multiLevelType w:val="hybridMultilevel"/>
    <w:tmpl w:val="FA4A7912"/>
    <w:lvl w:ilvl="0" w:tplc="A7642FFA">
      <w:start w:val="1"/>
      <w:numFmt w:val="bullet"/>
      <w:pStyle w:val="Bulletlevel1"/>
      <w:lvlText w:val="­"/>
      <w:lvlJc w:val="left"/>
      <w:pPr>
        <w:tabs>
          <w:tab w:val="num" w:pos="360"/>
        </w:tabs>
        <w:ind w:left="360" w:hanging="360"/>
      </w:pPr>
      <w:rPr>
        <w:rFonts w:ascii="Cambria" w:hAnsi="Cambria"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44122A11"/>
    <w:multiLevelType w:val="hybridMultilevel"/>
    <w:tmpl w:val="007CE338"/>
    <w:lvl w:ilvl="0" w:tplc="04090001">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E25FF2"/>
    <w:multiLevelType w:val="multilevel"/>
    <w:tmpl w:val="FA985388"/>
    <w:lvl w:ilvl="0">
      <w:start w:val="1"/>
      <w:numFmt w:val="bullet"/>
      <w:lvlText w:val=""/>
      <w:lvlJc w:val="left"/>
      <w:pPr>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16">
    <w:nsid w:val="47DA4409"/>
    <w:multiLevelType w:val="multilevel"/>
    <w:tmpl w:val="FA985388"/>
    <w:lvl w:ilvl="0">
      <w:start w:val="1"/>
      <w:numFmt w:val="bullet"/>
      <w:lvlText w:val=""/>
      <w:lvlJc w:val="left"/>
      <w:pPr>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17">
    <w:nsid w:val="55211FFB"/>
    <w:multiLevelType w:val="hybridMultilevel"/>
    <w:tmpl w:val="43BE41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7E940B6"/>
    <w:multiLevelType w:val="hybridMultilevel"/>
    <w:tmpl w:val="7CCACDB2"/>
    <w:lvl w:ilvl="0" w:tplc="B9CC7D88">
      <w:start w:val="1"/>
      <w:numFmt w:val="bullet"/>
      <w:lvlText w:val=""/>
      <w:lvlJc w:val="left"/>
      <w:pPr>
        <w:tabs>
          <w:tab w:val="num" w:pos="720"/>
        </w:tabs>
        <w:ind w:left="720" w:hanging="360"/>
      </w:pPr>
      <w:rPr>
        <w:rFonts w:ascii="Wingdings" w:hAnsi="Wingdings"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5F8F4039"/>
    <w:multiLevelType w:val="hybridMultilevel"/>
    <w:tmpl w:val="0240CE52"/>
    <w:lvl w:ilvl="0" w:tplc="CFA6A42A">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C1270B"/>
    <w:multiLevelType w:val="hybridMultilevel"/>
    <w:tmpl w:val="19B4536C"/>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5FCC5D2C"/>
    <w:multiLevelType w:val="hybridMultilevel"/>
    <w:tmpl w:val="10D2A41C"/>
    <w:lvl w:ilvl="0" w:tplc="F59E6714">
      <w:numFmt w:val="bullet"/>
      <w:lvlText w:val="-"/>
      <w:lvlJc w:val="left"/>
      <w:pPr>
        <w:ind w:left="360" w:hanging="360"/>
      </w:pPr>
      <w:rPr>
        <w:rFonts w:ascii="Calibri" w:eastAsia="Times New Roman" w:hAnsi="Calibri" w:hint="default"/>
      </w:rPr>
    </w:lvl>
    <w:lvl w:ilvl="1" w:tplc="3A9E07C8">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0B9731D"/>
    <w:multiLevelType w:val="hybridMultilevel"/>
    <w:tmpl w:val="01AC69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6AB5776F"/>
    <w:multiLevelType w:val="hybridMultilevel"/>
    <w:tmpl w:val="76065C2C"/>
    <w:lvl w:ilvl="0" w:tplc="CFA6A42A">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F8778C"/>
    <w:multiLevelType w:val="hybridMultilevel"/>
    <w:tmpl w:val="2334D5AE"/>
    <w:lvl w:ilvl="0" w:tplc="B9CC7D88">
      <w:start w:val="1"/>
      <w:numFmt w:val="bullet"/>
      <w:lvlText w:val=""/>
      <w:lvlJc w:val="left"/>
      <w:pPr>
        <w:tabs>
          <w:tab w:val="num" w:pos="360"/>
        </w:tabs>
        <w:ind w:left="360" w:hanging="360"/>
      </w:pPr>
      <w:rPr>
        <w:rFonts w:ascii="Wingdings" w:hAnsi="Wingdings" w:hint="default"/>
      </w:rPr>
    </w:lvl>
    <w:lvl w:ilvl="1" w:tplc="28AE13A4">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6002C56"/>
    <w:multiLevelType w:val="hybridMultilevel"/>
    <w:tmpl w:val="F716AE2E"/>
    <w:lvl w:ilvl="0" w:tplc="04090001">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79D23F82"/>
    <w:multiLevelType w:val="hybridMultilevel"/>
    <w:tmpl w:val="B49EA156"/>
    <w:lvl w:ilvl="0" w:tplc="04090003">
      <w:start w:val="1"/>
      <w:numFmt w:val="bullet"/>
      <w:lvlText w:val="o"/>
      <w:lvlJc w:val="left"/>
      <w:pPr>
        <w:ind w:left="720" w:hanging="360"/>
      </w:pPr>
      <w:rPr>
        <w:rFonts w:ascii="Courier New" w:hAnsi="Courier New" w:cs="Aria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253881"/>
    <w:multiLevelType w:val="hybridMultilevel"/>
    <w:tmpl w:val="B8DC766E"/>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7DD77CDA"/>
    <w:multiLevelType w:val="hybridMultilevel"/>
    <w:tmpl w:val="257C54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4"/>
  </w:num>
  <w:num w:numId="3">
    <w:abstractNumId w:val="5"/>
  </w:num>
  <w:num w:numId="4">
    <w:abstractNumId w:val="8"/>
  </w:num>
  <w:num w:numId="5">
    <w:abstractNumId w:val="26"/>
  </w:num>
  <w:num w:numId="6">
    <w:abstractNumId w:val="24"/>
  </w:num>
  <w:num w:numId="7">
    <w:abstractNumId w:val="18"/>
  </w:num>
  <w:num w:numId="8">
    <w:abstractNumId w:val="27"/>
  </w:num>
  <w:num w:numId="9">
    <w:abstractNumId w:val="7"/>
  </w:num>
  <w:num w:numId="10">
    <w:abstractNumId w:val="2"/>
  </w:num>
  <w:num w:numId="11">
    <w:abstractNumId w:val="17"/>
  </w:num>
  <w:num w:numId="12">
    <w:abstractNumId w:val="0"/>
  </w:num>
  <w:num w:numId="13">
    <w:abstractNumId w:val="25"/>
  </w:num>
  <w:num w:numId="14">
    <w:abstractNumId w:val="12"/>
  </w:num>
  <w:num w:numId="15">
    <w:abstractNumId w:val="9"/>
  </w:num>
  <w:num w:numId="16">
    <w:abstractNumId w:val="21"/>
  </w:num>
  <w:num w:numId="17">
    <w:abstractNumId w:val="22"/>
  </w:num>
  <w:num w:numId="18">
    <w:abstractNumId w:val="6"/>
  </w:num>
  <w:num w:numId="19">
    <w:abstractNumId w:val="13"/>
  </w:num>
  <w:num w:numId="20">
    <w:abstractNumId w:val="23"/>
  </w:num>
  <w:num w:numId="21">
    <w:abstractNumId w:val="11"/>
  </w:num>
  <w:num w:numId="22">
    <w:abstractNumId w:val="1"/>
  </w:num>
  <w:num w:numId="23">
    <w:abstractNumId w:val="10"/>
  </w:num>
  <w:num w:numId="24">
    <w:abstractNumId w:val="20"/>
  </w:num>
  <w:num w:numId="25">
    <w:abstractNumId w:val="15"/>
  </w:num>
  <w:num w:numId="26">
    <w:abstractNumId w:val="4"/>
  </w:num>
  <w:num w:numId="27">
    <w:abstractNumId w:val="16"/>
  </w:num>
  <w:num w:numId="28">
    <w:abstractNumId w:val="19"/>
  </w:num>
  <w:num w:numId="29">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embedSystemFonts/>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fr-FR" w:vendorID="64" w:dllVersion="131078" w:nlCheck="1" w:checkStyle="1"/>
  <w:proofState w:spelling="clean" w:grammar="clean"/>
  <w:defaultTabStop w:val="720"/>
  <w:drawingGridHorizontalSpacing w:val="120"/>
  <w:displayHorizont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AC2"/>
    <w:rsid w:val="00003AEB"/>
    <w:rsid w:val="000040FC"/>
    <w:rsid w:val="000050A5"/>
    <w:rsid w:val="000078BC"/>
    <w:rsid w:val="00007ECE"/>
    <w:rsid w:val="000109C2"/>
    <w:rsid w:val="00011CBF"/>
    <w:rsid w:val="000121B0"/>
    <w:rsid w:val="000134CC"/>
    <w:rsid w:val="00013D73"/>
    <w:rsid w:val="00016080"/>
    <w:rsid w:val="00016418"/>
    <w:rsid w:val="0001780A"/>
    <w:rsid w:val="00017AFD"/>
    <w:rsid w:val="00020C13"/>
    <w:rsid w:val="00023FF0"/>
    <w:rsid w:val="000246EC"/>
    <w:rsid w:val="00024F9B"/>
    <w:rsid w:val="000252EE"/>
    <w:rsid w:val="000277A0"/>
    <w:rsid w:val="000308D4"/>
    <w:rsid w:val="00031D3B"/>
    <w:rsid w:val="00031DC9"/>
    <w:rsid w:val="000401C7"/>
    <w:rsid w:val="00041F93"/>
    <w:rsid w:val="00043245"/>
    <w:rsid w:val="0004408C"/>
    <w:rsid w:val="00044724"/>
    <w:rsid w:val="00045672"/>
    <w:rsid w:val="00052FF4"/>
    <w:rsid w:val="0005346B"/>
    <w:rsid w:val="0005357A"/>
    <w:rsid w:val="00054FBD"/>
    <w:rsid w:val="000566C9"/>
    <w:rsid w:val="00060302"/>
    <w:rsid w:val="0006194A"/>
    <w:rsid w:val="00064352"/>
    <w:rsid w:val="00066967"/>
    <w:rsid w:val="00066978"/>
    <w:rsid w:val="00066E5F"/>
    <w:rsid w:val="000678F5"/>
    <w:rsid w:val="000800A5"/>
    <w:rsid w:val="000817E7"/>
    <w:rsid w:val="0008689F"/>
    <w:rsid w:val="000876A6"/>
    <w:rsid w:val="00090ACA"/>
    <w:rsid w:val="00090D90"/>
    <w:rsid w:val="000918BE"/>
    <w:rsid w:val="00092501"/>
    <w:rsid w:val="00094B2F"/>
    <w:rsid w:val="000962C8"/>
    <w:rsid w:val="00096711"/>
    <w:rsid w:val="000968C1"/>
    <w:rsid w:val="00096E50"/>
    <w:rsid w:val="000A126F"/>
    <w:rsid w:val="000A1430"/>
    <w:rsid w:val="000A146E"/>
    <w:rsid w:val="000A260E"/>
    <w:rsid w:val="000A37CA"/>
    <w:rsid w:val="000A4C57"/>
    <w:rsid w:val="000A5536"/>
    <w:rsid w:val="000A5875"/>
    <w:rsid w:val="000B002C"/>
    <w:rsid w:val="000B5051"/>
    <w:rsid w:val="000B599B"/>
    <w:rsid w:val="000B62E5"/>
    <w:rsid w:val="000B679B"/>
    <w:rsid w:val="000B7D96"/>
    <w:rsid w:val="000C0119"/>
    <w:rsid w:val="000C03EE"/>
    <w:rsid w:val="000C0B78"/>
    <w:rsid w:val="000C2A11"/>
    <w:rsid w:val="000C35B0"/>
    <w:rsid w:val="000C4817"/>
    <w:rsid w:val="000C656D"/>
    <w:rsid w:val="000C6EE2"/>
    <w:rsid w:val="000C6EE9"/>
    <w:rsid w:val="000C71FC"/>
    <w:rsid w:val="000D3FBF"/>
    <w:rsid w:val="000D6D9C"/>
    <w:rsid w:val="000D79AB"/>
    <w:rsid w:val="000E3661"/>
    <w:rsid w:val="000E3FB6"/>
    <w:rsid w:val="000E51E7"/>
    <w:rsid w:val="000E7B3C"/>
    <w:rsid w:val="000F1467"/>
    <w:rsid w:val="000F1E18"/>
    <w:rsid w:val="000F23F3"/>
    <w:rsid w:val="00103172"/>
    <w:rsid w:val="00105372"/>
    <w:rsid w:val="001054B9"/>
    <w:rsid w:val="00106A96"/>
    <w:rsid w:val="00107760"/>
    <w:rsid w:val="001077D5"/>
    <w:rsid w:val="00110E5F"/>
    <w:rsid w:val="00114412"/>
    <w:rsid w:val="00114C7D"/>
    <w:rsid w:val="00116554"/>
    <w:rsid w:val="0011699C"/>
    <w:rsid w:val="0011782E"/>
    <w:rsid w:val="001179EA"/>
    <w:rsid w:val="00117ADB"/>
    <w:rsid w:val="00117F47"/>
    <w:rsid w:val="00122622"/>
    <w:rsid w:val="00122D91"/>
    <w:rsid w:val="0012303A"/>
    <w:rsid w:val="00123EC0"/>
    <w:rsid w:val="00124B56"/>
    <w:rsid w:val="00126292"/>
    <w:rsid w:val="001305B2"/>
    <w:rsid w:val="00132552"/>
    <w:rsid w:val="0013530A"/>
    <w:rsid w:val="00135910"/>
    <w:rsid w:val="0013612C"/>
    <w:rsid w:val="00136A69"/>
    <w:rsid w:val="00137504"/>
    <w:rsid w:val="00141C6B"/>
    <w:rsid w:val="00144ED5"/>
    <w:rsid w:val="0014549D"/>
    <w:rsid w:val="00145891"/>
    <w:rsid w:val="001503B4"/>
    <w:rsid w:val="00152DDE"/>
    <w:rsid w:val="0015472D"/>
    <w:rsid w:val="00156FF2"/>
    <w:rsid w:val="0015763B"/>
    <w:rsid w:val="001602DF"/>
    <w:rsid w:val="00160579"/>
    <w:rsid w:val="001649DC"/>
    <w:rsid w:val="00164BD8"/>
    <w:rsid w:val="00165038"/>
    <w:rsid w:val="001677A4"/>
    <w:rsid w:val="00170DD0"/>
    <w:rsid w:val="00171470"/>
    <w:rsid w:val="0017224B"/>
    <w:rsid w:val="001737DA"/>
    <w:rsid w:val="00173EC7"/>
    <w:rsid w:val="001758B4"/>
    <w:rsid w:val="001807A5"/>
    <w:rsid w:val="0018095F"/>
    <w:rsid w:val="001854AB"/>
    <w:rsid w:val="00186572"/>
    <w:rsid w:val="001877BC"/>
    <w:rsid w:val="00191602"/>
    <w:rsid w:val="0019278B"/>
    <w:rsid w:val="00193314"/>
    <w:rsid w:val="00193774"/>
    <w:rsid w:val="00193B41"/>
    <w:rsid w:val="001957DC"/>
    <w:rsid w:val="00195F72"/>
    <w:rsid w:val="00197C6B"/>
    <w:rsid w:val="001A1ABC"/>
    <w:rsid w:val="001A27AF"/>
    <w:rsid w:val="001A2C73"/>
    <w:rsid w:val="001A3B0C"/>
    <w:rsid w:val="001A551E"/>
    <w:rsid w:val="001A5801"/>
    <w:rsid w:val="001B0723"/>
    <w:rsid w:val="001B704D"/>
    <w:rsid w:val="001C1E68"/>
    <w:rsid w:val="001C209F"/>
    <w:rsid w:val="001C3825"/>
    <w:rsid w:val="001C543C"/>
    <w:rsid w:val="001C6CDB"/>
    <w:rsid w:val="001D13E2"/>
    <w:rsid w:val="001D242B"/>
    <w:rsid w:val="001D4CA5"/>
    <w:rsid w:val="001D5A8D"/>
    <w:rsid w:val="001D757B"/>
    <w:rsid w:val="001E101F"/>
    <w:rsid w:val="001E105E"/>
    <w:rsid w:val="001E1766"/>
    <w:rsid w:val="001E21A6"/>
    <w:rsid w:val="001E28A4"/>
    <w:rsid w:val="001E2946"/>
    <w:rsid w:val="001E2B16"/>
    <w:rsid w:val="001E30F0"/>
    <w:rsid w:val="001E453F"/>
    <w:rsid w:val="001E6C59"/>
    <w:rsid w:val="001E6D92"/>
    <w:rsid w:val="001F0265"/>
    <w:rsid w:val="001F0D73"/>
    <w:rsid w:val="001F2B6A"/>
    <w:rsid w:val="001F4683"/>
    <w:rsid w:val="001F4A09"/>
    <w:rsid w:val="001F4D9E"/>
    <w:rsid w:val="001F7396"/>
    <w:rsid w:val="002019A2"/>
    <w:rsid w:val="0020220B"/>
    <w:rsid w:val="00203ABB"/>
    <w:rsid w:val="002040D8"/>
    <w:rsid w:val="002059DA"/>
    <w:rsid w:val="00205F81"/>
    <w:rsid w:val="0020656F"/>
    <w:rsid w:val="00206941"/>
    <w:rsid w:val="00207286"/>
    <w:rsid w:val="002109A3"/>
    <w:rsid w:val="00210C60"/>
    <w:rsid w:val="0021182F"/>
    <w:rsid w:val="00211E41"/>
    <w:rsid w:val="00212FEB"/>
    <w:rsid w:val="00213302"/>
    <w:rsid w:val="00213CC8"/>
    <w:rsid w:val="00213E87"/>
    <w:rsid w:val="00215D1B"/>
    <w:rsid w:val="002163FC"/>
    <w:rsid w:val="0021723A"/>
    <w:rsid w:val="002179BB"/>
    <w:rsid w:val="00217E23"/>
    <w:rsid w:val="00220D29"/>
    <w:rsid w:val="00221F25"/>
    <w:rsid w:val="00226D50"/>
    <w:rsid w:val="0023039F"/>
    <w:rsid w:val="002305EB"/>
    <w:rsid w:val="0023149F"/>
    <w:rsid w:val="00233E28"/>
    <w:rsid w:val="0023529C"/>
    <w:rsid w:val="0024278F"/>
    <w:rsid w:val="0024297B"/>
    <w:rsid w:val="00242AC0"/>
    <w:rsid w:val="00243C7A"/>
    <w:rsid w:val="00243F99"/>
    <w:rsid w:val="00245616"/>
    <w:rsid w:val="00247D6E"/>
    <w:rsid w:val="00251130"/>
    <w:rsid w:val="0025299E"/>
    <w:rsid w:val="002541D7"/>
    <w:rsid w:val="0025547E"/>
    <w:rsid w:val="00255B0E"/>
    <w:rsid w:val="0025606E"/>
    <w:rsid w:val="002560F5"/>
    <w:rsid w:val="0025695C"/>
    <w:rsid w:val="002569B7"/>
    <w:rsid w:val="0026035B"/>
    <w:rsid w:val="00260760"/>
    <w:rsid w:val="00263613"/>
    <w:rsid w:val="002637DC"/>
    <w:rsid w:val="002664D4"/>
    <w:rsid w:val="0027001F"/>
    <w:rsid w:val="00270043"/>
    <w:rsid w:val="0027306A"/>
    <w:rsid w:val="00274F02"/>
    <w:rsid w:val="00275A4A"/>
    <w:rsid w:val="002801C6"/>
    <w:rsid w:val="002805D4"/>
    <w:rsid w:val="00280FB9"/>
    <w:rsid w:val="00282DE7"/>
    <w:rsid w:val="00283C74"/>
    <w:rsid w:val="00284411"/>
    <w:rsid w:val="00296CC5"/>
    <w:rsid w:val="002A02A4"/>
    <w:rsid w:val="002A1459"/>
    <w:rsid w:val="002A3031"/>
    <w:rsid w:val="002A340B"/>
    <w:rsid w:val="002A55B5"/>
    <w:rsid w:val="002A5950"/>
    <w:rsid w:val="002A6952"/>
    <w:rsid w:val="002A7665"/>
    <w:rsid w:val="002A7DD7"/>
    <w:rsid w:val="002B0D14"/>
    <w:rsid w:val="002B14C9"/>
    <w:rsid w:val="002B2483"/>
    <w:rsid w:val="002B2B6B"/>
    <w:rsid w:val="002B4D0B"/>
    <w:rsid w:val="002B5438"/>
    <w:rsid w:val="002B67BE"/>
    <w:rsid w:val="002C0955"/>
    <w:rsid w:val="002C126A"/>
    <w:rsid w:val="002C4A03"/>
    <w:rsid w:val="002C67C6"/>
    <w:rsid w:val="002C690B"/>
    <w:rsid w:val="002D000D"/>
    <w:rsid w:val="002D0203"/>
    <w:rsid w:val="002E0FDA"/>
    <w:rsid w:val="002E1687"/>
    <w:rsid w:val="002E4196"/>
    <w:rsid w:val="002E50CF"/>
    <w:rsid w:val="002E77D1"/>
    <w:rsid w:val="002E7965"/>
    <w:rsid w:val="002F1156"/>
    <w:rsid w:val="002F3EFE"/>
    <w:rsid w:val="002F41DD"/>
    <w:rsid w:val="002F5953"/>
    <w:rsid w:val="002F5D65"/>
    <w:rsid w:val="003007DE"/>
    <w:rsid w:val="003045B5"/>
    <w:rsid w:val="00304CE1"/>
    <w:rsid w:val="0030509D"/>
    <w:rsid w:val="00307132"/>
    <w:rsid w:val="00310168"/>
    <w:rsid w:val="00310C19"/>
    <w:rsid w:val="00311DE2"/>
    <w:rsid w:val="00312685"/>
    <w:rsid w:val="00314252"/>
    <w:rsid w:val="00314A5F"/>
    <w:rsid w:val="0031582B"/>
    <w:rsid w:val="00320895"/>
    <w:rsid w:val="0032155E"/>
    <w:rsid w:val="0032219D"/>
    <w:rsid w:val="00323B1F"/>
    <w:rsid w:val="003242E6"/>
    <w:rsid w:val="00330077"/>
    <w:rsid w:val="003349C3"/>
    <w:rsid w:val="003363DA"/>
    <w:rsid w:val="0033662C"/>
    <w:rsid w:val="003369D5"/>
    <w:rsid w:val="00340F6A"/>
    <w:rsid w:val="00341038"/>
    <w:rsid w:val="00342343"/>
    <w:rsid w:val="00342471"/>
    <w:rsid w:val="0034386B"/>
    <w:rsid w:val="00346559"/>
    <w:rsid w:val="00346FFE"/>
    <w:rsid w:val="00347ABD"/>
    <w:rsid w:val="00351A14"/>
    <w:rsid w:val="00353107"/>
    <w:rsid w:val="00353F4A"/>
    <w:rsid w:val="00356D08"/>
    <w:rsid w:val="00360431"/>
    <w:rsid w:val="00360501"/>
    <w:rsid w:val="00360945"/>
    <w:rsid w:val="0036529E"/>
    <w:rsid w:val="0036678D"/>
    <w:rsid w:val="0036774E"/>
    <w:rsid w:val="00367B32"/>
    <w:rsid w:val="003717E1"/>
    <w:rsid w:val="00375FFA"/>
    <w:rsid w:val="00377757"/>
    <w:rsid w:val="00380260"/>
    <w:rsid w:val="003815EF"/>
    <w:rsid w:val="00381876"/>
    <w:rsid w:val="00382573"/>
    <w:rsid w:val="00382EA8"/>
    <w:rsid w:val="0038770D"/>
    <w:rsid w:val="003879DF"/>
    <w:rsid w:val="00390F98"/>
    <w:rsid w:val="00391F5E"/>
    <w:rsid w:val="003944BA"/>
    <w:rsid w:val="00396844"/>
    <w:rsid w:val="00396A1E"/>
    <w:rsid w:val="00396A41"/>
    <w:rsid w:val="00396D76"/>
    <w:rsid w:val="003A16F5"/>
    <w:rsid w:val="003A1AF5"/>
    <w:rsid w:val="003A5719"/>
    <w:rsid w:val="003A6018"/>
    <w:rsid w:val="003A77A2"/>
    <w:rsid w:val="003A7EA6"/>
    <w:rsid w:val="003B004A"/>
    <w:rsid w:val="003B0303"/>
    <w:rsid w:val="003B1B5C"/>
    <w:rsid w:val="003B454A"/>
    <w:rsid w:val="003B482C"/>
    <w:rsid w:val="003C1617"/>
    <w:rsid w:val="003C1A52"/>
    <w:rsid w:val="003C3941"/>
    <w:rsid w:val="003C3FC0"/>
    <w:rsid w:val="003C4489"/>
    <w:rsid w:val="003C4D74"/>
    <w:rsid w:val="003D13A8"/>
    <w:rsid w:val="003D210A"/>
    <w:rsid w:val="003D3325"/>
    <w:rsid w:val="003D4331"/>
    <w:rsid w:val="003E12FD"/>
    <w:rsid w:val="003E1DFD"/>
    <w:rsid w:val="003E3B3B"/>
    <w:rsid w:val="003E51E4"/>
    <w:rsid w:val="003E62C0"/>
    <w:rsid w:val="003F39DA"/>
    <w:rsid w:val="003F3B62"/>
    <w:rsid w:val="003F7870"/>
    <w:rsid w:val="00400F38"/>
    <w:rsid w:val="00401D46"/>
    <w:rsid w:val="00402C1D"/>
    <w:rsid w:val="004030FF"/>
    <w:rsid w:val="00403929"/>
    <w:rsid w:val="004052B3"/>
    <w:rsid w:val="004057A4"/>
    <w:rsid w:val="00405A3A"/>
    <w:rsid w:val="00405A55"/>
    <w:rsid w:val="00411824"/>
    <w:rsid w:val="0041185F"/>
    <w:rsid w:val="00413A46"/>
    <w:rsid w:val="0041565D"/>
    <w:rsid w:val="004160BF"/>
    <w:rsid w:val="00417B11"/>
    <w:rsid w:val="0042095A"/>
    <w:rsid w:val="00421813"/>
    <w:rsid w:val="00421CE3"/>
    <w:rsid w:val="00422D8B"/>
    <w:rsid w:val="004233D8"/>
    <w:rsid w:val="00424982"/>
    <w:rsid w:val="00425C40"/>
    <w:rsid w:val="00427179"/>
    <w:rsid w:val="00432267"/>
    <w:rsid w:val="0043228A"/>
    <w:rsid w:val="00435C09"/>
    <w:rsid w:val="00435C52"/>
    <w:rsid w:val="00441C6F"/>
    <w:rsid w:val="00442C6B"/>
    <w:rsid w:val="00446826"/>
    <w:rsid w:val="00446B9D"/>
    <w:rsid w:val="00446BCA"/>
    <w:rsid w:val="004470A5"/>
    <w:rsid w:val="004517E9"/>
    <w:rsid w:val="00452ED1"/>
    <w:rsid w:val="00453487"/>
    <w:rsid w:val="004538E9"/>
    <w:rsid w:val="0045413F"/>
    <w:rsid w:val="00455DEA"/>
    <w:rsid w:val="00456C70"/>
    <w:rsid w:val="0045758D"/>
    <w:rsid w:val="004600E3"/>
    <w:rsid w:val="00460BDE"/>
    <w:rsid w:val="00462B45"/>
    <w:rsid w:val="00463388"/>
    <w:rsid w:val="00465192"/>
    <w:rsid w:val="004658BE"/>
    <w:rsid w:val="00465B26"/>
    <w:rsid w:val="00466449"/>
    <w:rsid w:val="00466DEB"/>
    <w:rsid w:val="00466E3B"/>
    <w:rsid w:val="00470009"/>
    <w:rsid w:val="00471235"/>
    <w:rsid w:val="004713D0"/>
    <w:rsid w:val="00471DEE"/>
    <w:rsid w:val="00472DAD"/>
    <w:rsid w:val="004745A7"/>
    <w:rsid w:val="00474F90"/>
    <w:rsid w:val="0047708F"/>
    <w:rsid w:val="00480C5E"/>
    <w:rsid w:val="00481378"/>
    <w:rsid w:val="00482220"/>
    <w:rsid w:val="004829F6"/>
    <w:rsid w:val="0048416E"/>
    <w:rsid w:val="004863CF"/>
    <w:rsid w:val="00487BFF"/>
    <w:rsid w:val="00490B0E"/>
    <w:rsid w:val="0049125E"/>
    <w:rsid w:val="004936AD"/>
    <w:rsid w:val="00497CE0"/>
    <w:rsid w:val="004A0A50"/>
    <w:rsid w:val="004A0DE6"/>
    <w:rsid w:val="004A2342"/>
    <w:rsid w:val="004A5AC2"/>
    <w:rsid w:val="004A64BC"/>
    <w:rsid w:val="004A7A04"/>
    <w:rsid w:val="004B04A3"/>
    <w:rsid w:val="004B0D15"/>
    <w:rsid w:val="004B5AAB"/>
    <w:rsid w:val="004B6B8B"/>
    <w:rsid w:val="004C11FF"/>
    <w:rsid w:val="004C162A"/>
    <w:rsid w:val="004C2741"/>
    <w:rsid w:val="004C2CDB"/>
    <w:rsid w:val="004C3A55"/>
    <w:rsid w:val="004C3C7A"/>
    <w:rsid w:val="004C445F"/>
    <w:rsid w:val="004C62BF"/>
    <w:rsid w:val="004C7760"/>
    <w:rsid w:val="004D1571"/>
    <w:rsid w:val="004D1B3C"/>
    <w:rsid w:val="004D1C2D"/>
    <w:rsid w:val="004D52B0"/>
    <w:rsid w:val="004D63B9"/>
    <w:rsid w:val="004D6ECC"/>
    <w:rsid w:val="004E0969"/>
    <w:rsid w:val="004E0D0A"/>
    <w:rsid w:val="004E3929"/>
    <w:rsid w:val="004E45BF"/>
    <w:rsid w:val="004E4B51"/>
    <w:rsid w:val="004E7392"/>
    <w:rsid w:val="004F0564"/>
    <w:rsid w:val="004F3E14"/>
    <w:rsid w:val="004F5F38"/>
    <w:rsid w:val="004F6B31"/>
    <w:rsid w:val="004F71AC"/>
    <w:rsid w:val="005014CA"/>
    <w:rsid w:val="00503F1C"/>
    <w:rsid w:val="00505C8C"/>
    <w:rsid w:val="005060F0"/>
    <w:rsid w:val="005066B0"/>
    <w:rsid w:val="00507DDC"/>
    <w:rsid w:val="00510055"/>
    <w:rsid w:val="00510D98"/>
    <w:rsid w:val="00512A1A"/>
    <w:rsid w:val="00515F55"/>
    <w:rsid w:val="00516E7E"/>
    <w:rsid w:val="00520290"/>
    <w:rsid w:val="00521F30"/>
    <w:rsid w:val="0052663C"/>
    <w:rsid w:val="005268DC"/>
    <w:rsid w:val="0052760B"/>
    <w:rsid w:val="00527AE5"/>
    <w:rsid w:val="00533E45"/>
    <w:rsid w:val="00534138"/>
    <w:rsid w:val="005346BD"/>
    <w:rsid w:val="0053545E"/>
    <w:rsid w:val="00535A0A"/>
    <w:rsid w:val="00537107"/>
    <w:rsid w:val="005372D6"/>
    <w:rsid w:val="00537CAD"/>
    <w:rsid w:val="0054012E"/>
    <w:rsid w:val="00540142"/>
    <w:rsid w:val="00540389"/>
    <w:rsid w:val="0054043E"/>
    <w:rsid w:val="005426FF"/>
    <w:rsid w:val="005434DF"/>
    <w:rsid w:val="00543E8C"/>
    <w:rsid w:val="005473D7"/>
    <w:rsid w:val="00547477"/>
    <w:rsid w:val="0054753C"/>
    <w:rsid w:val="0055033D"/>
    <w:rsid w:val="005529A2"/>
    <w:rsid w:val="0055361E"/>
    <w:rsid w:val="00553A82"/>
    <w:rsid w:val="00555A12"/>
    <w:rsid w:val="005578E7"/>
    <w:rsid w:val="0056136A"/>
    <w:rsid w:val="00561789"/>
    <w:rsid w:val="00561AE2"/>
    <w:rsid w:val="00564823"/>
    <w:rsid w:val="00564A61"/>
    <w:rsid w:val="005660FA"/>
    <w:rsid w:val="005665A0"/>
    <w:rsid w:val="00567747"/>
    <w:rsid w:val="0057202D"/>
    <w:rsid w:val="00573DAD"/>
    <w:rsid w:val="00575F82"/>
    <w:rsid w:val="00577553"/>
    <w:rsid w:val="00581F54"/>
    <w:rsid w:val="005827E2"/>
    <w:rsid w:val="0058315E"/>
    <w:rsid w:val="005845FA"/>
    <w:rsid w:val="00586BE9"/>
    <w:rsid w:val="00591C68"/>
    <w:rsid w:val="0059646F"/>
    <w:rsid w:val="005A0CCF"/>
    <w:rsid w:val="005A0F3F"/>
    <w:rsid w:val="005B1CBB"/>
    <w:rsid w:val="005B2119"/>
    <w:rsid w:val="005B4B46"/>
    <w:rsid w:val="005B5A5D"/>
    <w:rsid w:val="005B607F"/>
    <w:rsid w:val="005B6214"/>
    <w:rsid w:val="005B7642"/>
    <w:rsid w:val="005C0233"/>
    <w:rsid w:val="005C1731"/>
    <w:rsid w:val="005C2401"/>
    <w:rsid w:val="005C661F"/>
    <w:rsid w:val="005D1245"/>
    <w:rsid w:val="005D27D4"/>
    <w:rsid w:val="005D5D53"/>
    <w:rsid w:val="005D7401"/>
    <w:rsid w:val="005D746B"/>
    <w:rsid w:val="005E026A"/>
    <w:rsid w:val="005E36FB"/>
    <w:rsid w:val="005E4EDD"/>
    <w:rsid w:val="005E6713"/>
    <w:rsid w:val="005F0467"/>
    <w:rsid w:val="005F1252"/>
    <w:rsid w:val="005F3356"/>
    <w:rsid w:val="006000A9"/>
    <w:rsid w:val="006002EE"/>
    <w:rsid w:val="00601E0F"/>
    <w:rsid w:val="006020B1"/>
    <w:rsid w:val="006053F9"/>
    <w:rsid w:val="006070CA"/>
    <w:rsid w:val="00607B19"/>
    <w:rsid w:val="00610153"/>
    <w:rsid w:val="00611502"/>
    <w:rsid w:val="006117B9"/>
    <w:rsid w:val="00614FFD"/>
    <w:rsid w:val="00615E8B"/>
    <w:rsid w:val="00616C8A"/>
    <w:rsid w:val="00617CFC"/>
    <w:rsid w:val="00620C25"/>
    <w:rsid w:val="00624631"/>
    <w:rsid w:val="0062475C"/>
    <w:rsid w:val="00634778"/>
    <w:rsid w:val="00635036"/>
    <w:rsid w:val="00641437"/>
    <w:rsid w:val="00643CA8"/>
    <w:rsid w:val="006447B1"/>
    <w:rsid w:val="00645E3A"/>
    <w:rsid w:val="00650E20"/>
    <w:rsid w:val="006519A3"/>
    <w:rsid w:val="00651CBC"/>
    <w:rsid w:val="006525BD"/>
    <w:rsid w:val="006531E1"/>
    <w:rsid w:val="00654020"/>
    <w:rsid w:val="00654B1B"/>
    <w:rsid w:val="0065590C"/>
    <w:rsid w:val="00655D27"/>
    <w:rsid w:val="00656759"/>
    <w:rsid w:val="006602F1"/>
    <w:rsid w:val="006632C6"/>
    <w:rsid w:val="00664FAF"/>
    <w:rsid w:val="00665FCC"/>
    <w:rsid w:val="00666503"/>
    <w:rsid w:val="00673516"/>
    <w:rsid w:val="00675934"/>
    <w:rsid w:val="006770BC"/>
    <w:rsid w:val="00683D31"/>
    <w:rsid w:val="00684955"/>
    <w:rsid w:val="00685ABC"/>
    <w:rsid w:val="006865F4"/>
    <w:rsid w:val="00686BB3"/>
    <w:rsid w:val="00687463"/>
    <w:rsid w:val="00690FF3"/>
    <w:rsid w:val="00691CFC"/>
    <w:rsid w:val="00692D12"/>
    <w:rsid w:val="00693899"/>
    <w:rsid w:val="00695E3F"/>
    <w:rsid w:val="00697746"/>
    <w:rsid w:val="006A1378"/>
    <w:rsid w:val="006A1CF7"/>
    <w:rsid w:val="006A1EBE"/>
    <w:rsid w:val="006A7206"/>
    <w:rsid w:val="006A7B53"/>
    <w:rsid w:val="006B11CD"/>
    <w:rsid w:val="006B25D4"/>
    <w:rsid w:val="006B4115"/>
    <w:rsid w:val="006B42EB"/>
    <w:rsid w:val="006B4ABE"/>
    <w:rsid w:val="006B5816"/>
    <w:rsid w:val="006C25A4"/>
    <w:rsid w:val="006C2F4F"/>
    <w:rsid w:val="006C5269"/>
    <w:rsid w:val="006C67EB"/>
    <w:rsid w:val="006C6FB6"/>
    <w:rsid w:val="006D2161"/>
    <w:rsid w:val="006D2666"/>
    <w:rsid w:val="006D33B1"/>
    <w:rsid w:val="006D346D"/>
    <w:rsid w:val="006D3B34"/>
    <w:rsid w:val="006D3D21"/>
    <w:rsid w:val="006E1161"/>
    <w:rsid w:val="006E389C"/>
    <w:rsid w:val="006E6A6A"/>
    <w:rsid w:val="006F0970"/>
    <w:rsid w:val="006F0F9D"/>
    <w:rsid w:val="006F1D4C"/>
    <w:rsid w:val="006F4639"/>
    <w:rsid w:val="006F4E81"/>
    <w:rsid w:val="006F7271"/>
    <w:rsid w:val="00700A74"/>
    <w:rsid w:val="007041E5"/>
    <w:rsid w:val="0070460B"/>
    <w:rsid w:val="0070583F"/>
    <w:rsid w:val="00706D74"/>
    <w:rsid w:val="00711595"/>
    <w:rsid w:val="007131B5"/>
    <w:rsid w:val="00713BDF"/>
    <w:rsid w:val="00714DBF"/>
    <w:rsid w:val="0071507D"/>
    <w:rsid w:val="00715A94"/>
    <w:rsid w:val="00717542"/>
    <w:rsid w:val="00717598"/>
    <w:rsid w:val="00717C7A"/>
    <w:rsid w:val="0072282E"/>
    <w:rsid w:val="007229CC"/>
    <w:rsid w:val="00723B7A"/>
    <w:rsid w:val="007241EA"/>
    <w:rsid w:val="0072444D"/>
    <w:rsid w:val="00727AD5"/>
    <w:rsid w:val="00727F42"/>
    <w:rsid w:val="00730077"/>
    <w:rsid w:val="00733BB2"/>
    <w:rsid w:val="007360D4"/>
    <w:rsid w:val="00737395"/>
    <w:rsid w:val="00740735"/>
    <w:rsid w:val="007416AC"/>
    <w:rsid w:val="007425F0"/>
    <w:rsid w:val="00743985"/>
    <w:rsid w:val="00743AD4"/>
    <w:rsid w:val="00744618"/>
    <w:rsid w:val="00745A9C"/>
    <w:rsid w:val="00747763"/>
    <w:rsid w:val="007501B3"/>
    <w:rsid w:val="007505B1"/>
    <w:rsid w:val="00750733"/>
    <w:rsid w:val="00755806"/>
    <w:rsid w:val="00757C2E"/>
    <w:rsid w:val="00760206"/>
    <w:rsid w:val="007626D9"/>
    <w:rsid w:val="00763459"/>
    <w:rsid w:val="007636EB"/>
    <w:rsid w:val="00764769"/>
    <w:rsid w:val="00766AF4"/>
    <w:rsid w:val="00766B02"/>
    <w:rsid w:val="00767B42"/>
    <w:rsid w:val="00771F7F"/>
    <w:rsid w:val="007723A7"/>
    <w:rsid w:val="0077310A"/>
    <w:rsid w:val="0077491A"/>
    <w:rsid w:val="00776973"/>
    <w:rsid w:val="00777F0B"/>
    <w:rsid w:val="007807DB"/>
    <w:rsid w:val="00781A4B"/>
    <w:rsid w:val="007821FC"/>
    <w:rsid w:val="00782335"/>
    <w:rsid w:val="00795EAD"/>
    <w:rsid w:val="00796A37"/>
    <w:rsid w:val="007A2077"/>
    <w:rsid w:val="007B4DB5"/>
    <w:rsid w:val="007B641A"/>
    <w:rsid w:val="007B78B5"/>
    <w:rsid w:val="007B7C94"/>
    <w:rsid w:val="007C0B16"/>
    <w:rsid w:val="007C1C05"/>
    <w:rsid w:val="007C1C10"/>
    <w:rsid w:val="007C5772"/>
    <w:rsid w:val="007D2C1E"/>
    <w:rsid w:val="007D6993"/>
    <w:rsid w:val="007D6FE7"/>
    <w:rsid w:val="007D76F9"/>
    <w:rsid w:val="007E081D"/>
    <w:rsid w:val="007E309D"/>
    <w:rsid w:val="007E386C"/>
    <w:rsid w:val="007E464F"/>
    <w:rsid w:val="007E4FE2"/>
    <w:rsid w:val="007E531E"/>
    <w:rsid w:val="007E5698"/>
    <w:rsid w:val="007E76DF"/>
    <w:rsid w:val="007F1A00"/>
    <w:rsid w:val="007F1A84"/>
    <w:rsid w:val="007F1E32"/>
    <w:rsid w:val="007F2A41"/>
    <w:rsid w:val="007F5010"/>
    <w:rsid w:val="007F584B"/>
    <w:rsid w:val="007F630E"/>
    <w:rsid w:val="0080191B"/>
    <w:rsid w:val="008022C7"/>
    <w:rsid w:val="0080284B"/>
    <w:rsid w:val="00803EA6"/>
    <w:rsid w:val="0080494C"/>
    <w:rsid w:val="00806EB4"/>
    <w:rsid w:val="00810E71"/>
    <w:rsid w:val="00811DC6"/>
    <w:rsid w:val="00813AC1"/>
    <w:rsid w:val="008140CF"/>
    <w:rsid w:val="00814B1B"/>
    <w:rsid w:val="00820CC4"/>
    <w:rsid w:val="0082670A"/>
    <w:rsid w:val="00831C54"/>
    <w:rsid w:val="00832740"/>
    <w:rsid w:val="00834838"/>
    <w:rsid w:val="00836383"/>
    <w:rsid w:val="0084010D"/>
    <w:rsid w:val="00840909"/>
    <w:rsid w:val="0084267F"/>
    <w:rsid w:val="00843477"/>
    <w:rsid w:val="008454B9"/>
    <w:rsid w:val="00847324"/>
    <w:rsid w:val="00847F5C"/>
    <w:rsid w:val="0085272C"/>
    <w:rsid w:val="00854DCC"/>
    <w:rsid w:val="008552F1"/>
    <w:rsid w:val="0085742A"/>
    <w:rsid w:val="00860691"/>
    <w:rsid w:val="00861BDB"/>
    <w:rsid w:val="00862256"/>
    <w:rsid w:val="00862AFE"/>
    <w:rsid w:val="00862ED5"/>
    <w:rsid w:val="00863152"/>
    <w:rsid w:val="00863C13"/>
    <w:rsid w:val="008654FB"/>
    <w:rsid w:val="00866324"/>
    <w:rsid w:val="008678FD"/>
    <w:rsid w:val="008679D3"/>
    <w:rsid w:val="00871A1D"/>
    <w:rsid w:val="00872472"/>
    <w:rsid w:val="00872A76"/>
    <w:rsid w:val="00872B6C"/>
    <w:rsid w:val="0087336E"/>
    <w:rsid w:val="008736E7"/>
    <w:rsid w:val="00874FE2"/>
    <w:rsid w:val="00875343"/>
    <w:rsid w:val="00877C46"/>
    <w:rsid w:val="008809EA"/>
    <w:rsid w:val="00881946"/>
    <w:rsid w:val="00882B3F"/>
    <w:rsid w:val="0088302C"/>
    <w:rsid w:val="00884A3E"/>
    <w:rsid w:val="00884F34"/>
    <w:rsid w:val="008870EA"/>
    <w:rsid w:val="008877E3"/>
    <w:rsid w:val="00887895"/>
    <w:rsid w:val="00892409"/>
    <w:rsid w:val="00892E20"/>
    <w:rsid w:val="008A295D"/>
    <w:rsid w:val="008A44E7"/>
    <w:rsid w:val="008A73E9"/>
    <w:rsid w:val="008A7671"/>
    <w:rsid w:val="008A7BF9"/>
    <w:rsid w:val="008B46B7"/>
    <w:rsid w:val="008B4E46"/>
    <w:rsid w:val="008B609E"/>
    <w:rsid w:val="008C1B27"/>
    <w:rsid w:val="008C1C25"/>
    <w:rsid w:val="008C1E28"/>
    <w:rsid w:val="008C224A"/>
    <w:rsid w:val="008C3FEA"/>
    <w:rsid w:val="008C479C"/>
    <w:rsid w:val="008C493E"/>
    <w:rsid w:val="008C4BC4"/>
    <w:rsid w:val="008C7B0B"/>
    <w:rsid w:val="008D0482"/>
    <w:rsid w:val="008D76B2"/>
    <w:rsid w:val="008E04F4"/>
    <w:rsid w:val="008E0959"/>
    <w:rsid w:val="008E216A"/>
    <w:rsid w:val="008E3053"/>
    <w:rsid w:val="008E3CFD"/>
    <w:rsid w:val="008E53E1"/>
    <w:rsid w:val="008E5B7B"/>
    <w:rsid w:val="008E5BE7"/>
    <w:rsid w:val="008E650C"/>
    <w:rsid w:val="008E66F9"/>
    <w:rsid w:val="008E6F12"/>
    <w:rsid w:val="008F02FF"/>
    <w:rsid w:val="008F13C3"/>
    <w:rsid w:val="008F2AC2"/>
    <w:rsid w:val="008F2BCF"/>
    <w:rsid w:val="008F3E11"/>
    <w:rsid w:val="008F4515"/>
    <w:rsid w:val="008F45E8"/>
    <w:rsid w:val="00901686"/>
    <w:rsid w:val="00903234"/>
    <w:rsid w:val="00903ED8"/>
    <w:rsid w:val="009051B1"/>
    <w:rsid w:val="00906395"/>
    <w:rsid w:val="00910018"/>
    <w:rsid w:val="00912382"/>
    <w:rsid w:val="00912AB5"/>
    <w:rsid w:val="00913402"/>
    <w:rsid w:val="009154E6"/>
    <w:rsid w:val="00916967"/>
    <w:rsid w:val="0092093C"/>
    <w:rsid w:val="00922BAF"/>
    <w:rsid w:val="00922F90"/>
    <w:rsid w:val="00924249"/>
    <w:rsid w:val="00925EE6"/>
    <w:rsid w:val="009261CF"/>
    <w:rsid w:val="00931D94"/>
    <w:rsid w:val="00933D26"/>
    <w:rsid w:val="009361C0"/>
    <w:rsid w:val="00937093"/>
    <w:rsid w:val="009378C3"/>
    <w:rsid w:val="00942A18"/>
    <w:rsid w:val="009453E6"/>
    <w:rsid w:val="009467D7"/>
    <w:rsid w:val="00947198"/>
    <w:rsid w:val="0095171B"/>
    <w:rsid w:val="00953BFD"/>
    <w:rsid w:val="00954AD0"/>
    <w:rsid w:val="00955546"/>
    <w:rsid w:val="00962458"/>
    <w:rsid w:val="00962E51"/>
    <w:rsid w:val="0096360D"/>
    <w:rsid w:val="009654E0"/>
    <w:rsid w:val="00965D75"/>
    <w:rsid w:val="0096704B"/>
    <w:rsid w:val="00967129"/>
    <w:rsid w:val="00971F63"/>
    <w:rsid w:val="00972928"/>
    <w:rsid w:val="0097531C"/>
    <w:rsid w:val="00976C63"/>
    <w:rsid w:val="00976E29"/>
    <w:rsid w:val="00977750"/>
    <w:rsid w:val="009826A3"/>
    <w:rsid w:val="00983256"/>
    <w:rsid w:val="009848E7"/>
    <w:rsid w:val="009854A5"/>
    <w:rsid w:val="00986BA5"/>
    <w:rsid w:val="00987ECD"/>
    <w:rsid w:val="0099075B"/>
    <w:rsid w:val="00992EFC"/>
    <w:rsid w:val="00993AE1"/>
    <w:rsid w:val="00993CBA"/>
    <w:rsid w:val="0099413A"/>
    <w:rsid w:val="00995566"/>
    <w:rsid w:val="00995570"/>
    <w:rsid w:val="00995EC4"/>
    <w:rsid w:val="009A093A"/>
    <w:rsid w:val="009A24A4"/>
    <w:rsid w:val="009A7B2C"/>
    <w:rsid w:val="009A7E9A"/>
    <w:rsid w:val="009B0AE5"/>
    <w:rsid w:val="009B286A"/>
    <w:rsid w:val="009B3AA4"/>
    <w:rsid w:val="009B3EC0"/>
    <w:rsid w:val="009B5FD0"/>
    <w:rsid w:val="009B66E4"/>
    <w:rsid w:val="009B75E0"/>
    <w:rsid w:val="009C05C5"/>
    <w:rsid w:val="009C1188"/>
    <w:rsid w:val="009C1C57"/>
    <w:rsid w:val="009C5860"/>
    <w:rsid w:val="009C5C27"/>
    <w:rsid w:val="009C7423"/>
    <w:rsid w:val="009C77BC"/>
    <w:rsid w:val="009C78DE"/>
    <w:rsid w:val="009D0955"/>
    <w:rsid w:val="009D3593"/>
    <w:rsid w:val="009D4730"/>
    <w:rsid w:val="009D4FB1"/>
    <w:rsid w:val="009D5D55"/>
    <w:rsid w:val="009D70A6"/>
    <w:rsid w:val="009E1FDA"/>
    <w:rsid w:val="009E2D76"/>
    <w:rsid w:val="009E3952"/>
    <w:rsid w:val="009E411C"/>
    <w:rsid w:val="009E581F"/>
    <w:rsid w:val="009F043F"/>
    <w:rsid w:val="009F2753"/>
    <w:rsid w:val="009F3E07"/>
    <w:rsid w:val="009F40F5"/>
    <w:rsid w:val="009F5AF1"/>
    <w:rsid w:val="009F6088"/>
    <w:rsid w:val="009F649C"/>
    <w:rsid w:val="00A00E2D"/>
    <w:rsid w:val="00A013D7"/>
    <w:rsid w:val="00A026AF"/>
    <w:rsid w:val="00A03233"/>
    <w:rsid w:val="00A043D7"/>
    <w:rsid w:val="00A04D97"/>
    <w:rsid w:val="00A05E33"/>
    <w:rsid w:val="00A06DA5"/>
    <w:rsid w:val="00A07B82"/>
    <w:rsid w:val="00A10418"/>
    <w:rsid w:val="00A107DA"/>
    <w:rsid w:val="00A11D70"/>
    <w:rsid w:val="00A130F8"/>
    <w:rsid w:val="00A1312E"/>
    <w:rsid w:val="00A14F93"/>
    <w:rsid w:val="00A17B13"/>
    <w:rsid w:val="00A23616"/>
    <w:rsid w:val="00A23D9E"/>
    <w:rsid w:val="00A2458B"/>
    <w:rsid w:val="00A25F10"/>
    <w:rsid w:val="00A26361"/>
    <w:rsid w:val="00A27C66"/>
    <w:rsid w:val="00A304E7"/>
    <w:rsid w:val="00A30793"/>
    <w:rsid w:val="00A32FDA"/>
    <w:rsid w:val="00A333B0"/>
    <w:rsid w:val="00A33A02"/>
    <w:rsid w:val="00A353CE"/>
    <w:rsid w:val="00A357D8"/>
    <w:rsid w:val="00A359B9"/>
    <w:rsid w:val="00A40AD9"/>
    <w:rsid w:val="00A41031"/>
    <w:rsid w:val="00A41867"/>
    <w:rsid w:val="00A41C90"/>
    <w:rsid w:val="00A46092"/>
    <w:rsid w:val="00A469F5"/>
    <w:rsid w:val="00A46E8F"/>
    <w:rsid w:val="00A5339B"/>
    <w:rsid w:val="00A54F36"/>
    <w:rsid w:val="00A61216"/>
    <w:rsid w:val="00A61562"/>
    <w:rsid w:val="00A65F5E"/>
    <w:rsid w:val="00A66881"/>
    <w:rsid w:val="00A7197E"/>
    <w:rsid w:val="00A734CD"/>
    <w:rsid w:val="00A76D4A"/>
    <w:rsid w:val="00A81AC4"/>
    <w:rsid w:val="00A81EFE"/>
    <w:rsid w:val="00A82D0D"/>
    <w:rsid w:val="00A830AC"/>
    <w:rsid w:val="00A83207"/>
    <w:rsid w:val="00A87020"/>
    <w:rsid w:val="00A90072"/>
    <w:rsid w:val="00A9121A"/>
    <w:rsid w:val="00A91552"/>
    <w:rsid w:val="00A91A74"/>
    <w:rsid w:val="00A9218C"/>
    <w:rsid w:val="00A93049"/>
    <w:rsid w:val="00A93153"/>
    <w:rsid w:val="00A940A5"/>
    <w:rsid w:val="00A940A7"/>
    <w:rsid w:val="00A952E7"/>
    <w:rsid w:val="00A96288"/>
    <w:rsid w:val="00A967DE"/>
    <w:rsid w:val="00A96865"/>
    <w:rsid w:val="00AA029C"/>
    <w:rsid w:val="00AA0B81"/>
    <w:rsid w:val="00AA4D9C"/>
    <w:rsid w:val="00AA5880"/>
    <w:rsid w:val="00AA6424"/>
    <w:rsid w:val="00AB0274"/>
    <w:rsid w:val="00AB0A62"/>
    <w:rsid w:val="00AB3075"/>
    <w:rsid w:val="00AB36A9"/>
    <w:rsid w:val="00AB395E"/>
    <w:rsid w:val="00AB4503"/>
    <w:rsid w:val="00AB5440"/>
    <w:rsid w:val="00AB7A0B"/>
    <w:rsid w:val="00AC0B78"/>
    <w:rsid w:val="00AC28A8"/>
    <w:rsid w:val="00AC2CF0"/>
    <w:rsid w:val="00AC4360"/>
    <w:rsid w:val="00AC52B6"/>
    <w:rsid w:val="00AC5D88"/>
    <w:rsid w:val="00AC60EE"/>
    <w:rsid w:val="00AC6753"/>
    <w:rsid w:val="00AC6E12"/>
    <w:rsid w:val="00AC6FC8"/>
    <w:rsid w:val="00AC7FD3"/>
    <w:rsid w:val="00AD03CC"/>
    <w:rsid w:val="00AD1065"/>
    <w:rsid w:val="00AD2466"/>
    <w:rsid w:val="00AD24BC"/>
    <w:rsid w:val="00AD3286"/>
    <w:rsid w:val="00AD485C"/>
    <w:rsid w:val="00AD4F41"/>
    <w:rsid w:val="00AD7623"/>
    <w:rsid w:val="00AD7922"/>
    <w:rsid w:val="00AD7BFD"/>
    <w:rsid w:val="00AE0818"/>
    <w:rsid w:val="00AE1324"/>
    <w:rsid w:val="00AE1F6B"/>
    <w:rsid w:val="00AE3237"/>
    <w:rsid w:val="00AE3459"/>
    <w:rsid w:val="00AE4A17"/>
    <w:rsid w:val="00AE7C58"/>
    <w:rsid w:val="00AE7E70"/>
    <w:rsid w:val="00AF08FB"/>
    <w:rsid w:val="00AF4D0C"/>
    <w:rsid w:val="00AF6095"/>
    <w:rsid w:val="00AF7B8F"/>
    <w:rsid w:val="00B008A0"/>
    <w:rsid w:val="00B0573C"/>
    <w:rsid w:val="00B07344"/>
    <w:rsid w:val="00B11905"/>
    <w:rsid w:val="00B11C4C"/>
    <w:rsid w:val="00B131AA"/>
    <w:rsid w:val="00B13DC1"/>
    <w:rsid w:val="00B21C60"/>
    <w:rsid w:val="00B24CE1"/>
    <w:rsid w:val="00B26E7E"/>
    <w:rsid w:val="00B270F4"/>
    <w:rsid w:val="00B30E23"/>
    <w:rsid w:val="00B31161"/>
    <w:rsid w:val="00B31B90"/>
    <w:rsid w:val="00B33B63"/>
    <w:rsid w:val="00B35A6D"/>
    <w:rsid w:val="00B36B8A"/>
    <w:rsid w:val="00B407FE"/>
    <w:rsid w:val="00B40B2A"/>
    <w:rsid w:val="00B412D8"/>
    <w:rsid w:val="00B419F9"/>
    <w:rsid w:val="00B44323"/>
    <w:rsid w:val="00B447C7"/>
    <w:rsid w:val="00B45A03"/>
    <w:rsid w:val="00B45E96"/>
    <w:rsid w:val="00B469D1"/>
    <w:rsid w:val="00B50961"/>
    <w:rsid w:val="00B50BD2"/>
    <w:rsid w:val="00B51FC6"/>
    <w:rsid w:val="00B54645"/>
    <w:rsid w:val="00B54704"/>
    <w:rsid w:val="00B54AB1"/>
    <w:rsid w:val="00B55924"/>
    <w:rsid w:val="00B6073C"/>
    <w:rsid w:val="00B61D5C"/>
    <w:rsid w:val="00B65371"/>
    <w:rsid w:val="00B658B9"/>
    <w:rsid w:val="00B66B40"/>
    <w:rsid w:val="00B67EEC"/>
    <w:rsid w:val="00B72C73"/>
    <w:rsid w:val="00B734EC"/>
    <w:rsid w:val="00B7587F"/>
    <w:rsid w:val="00B75E9A"/>
    <w:rsid w:val="00B77228"/>
    <w:rsid w:val="00B7777C"/>
    <w:rsid w:val="00B82E70"/>
    <w:rsid w:val="00B83049"/>
    <w:rsid w:val="00B84453"/>
    <w:rsid w:val="00B84BA4"/>
    <w:rsid w:val="00B86410"/>
    <w:rsid w:val="00B876E3"/>
    <w:rsid w:val="00B91158"/>
    <w:rsid w:val="00B912E2"/>
    <w:rsid w:val="00B936D6"/>
    <w:rsid w:val="00B97FBF"/>
    <w:rsid w:val="00BA0310"/>
    <w:rsid w:val="00BA1800"/>
    <w:rsid w:val="00BA2869"/>
    <w:rsid w:val="00BA2B56"/>
    <w:rsid w:val="00BA3272"/>
    <w:rsid w:val="00BA335A"/>
    <w:rsid w:val="00BA3663"/>
    <w:rsid w:val="00BA3CBF"/>
    <w:rsid w:val="00BA3D56"/>
    <w:rsid w:val="00BA48FA"/>
    <w:rsid w:val="00BA5918"/>
    <w:rsid w:val="00BA5995"/>
    <w:rsid w:val="00BA72A6"/>
    <w:rsid w:val="00BB0A3A"/>
    <w:rsid w:val="00BB15A1"/>
    <w:rsid w:val="00BB17B3"/>
    <w:rsid w:val="00BB1EF4"/>
    <w:rsid w:val="00BB294F"/>
    <w:rsid w:val="00BB2E12"/>
    <w:rsid w:val="00BB3696"/>
    <w:rsid w:val="00BB5A76"/>
    <w:rsid w:val="00BB7074"/>
    <w:rsid w:val="00BC1CFD"/>
    <w:rsid w:val="00BC63DF"/>
    <w:rsid w:val="00BD0728"/>
    <w:rsid w:val="00BD17AE"/>
    <w:rsid w:val="00BD3813"/>
    <w:rsid w:val="00BD6AAB"/>
    <w:rsid w:val="00BD6F17"/>
    <w:rsid w:val="00BE25ED"/>
    <w:rsid w:val="00BE2D3C"/>
    <w:rsid w:val="00BE31C8"/>
    <w:rsid w:val="00BE3B0B"/>
    <w:rsid w:val="00BE458F"/>
    <w:rsid w:val="00BE5B12"/>
    <w:rsid w:val="00BE757A"/>
    <w:rsid w:val="00BF0559"/>
    <w:rsid w:val="00BF1CC9"/>
    <w:rsid w:val="00BF3373"/>
    <w:rsid w:val="00BF49A6"/>
    <w:rsid w:val="00C01748"/>
    <w:rsid w:val="00C01E28"/>
    <w:rsid w:val="00C02CA8"/>
    <w:rsid w:val="00C03FD2"/>
    <w:rsid w:val="00C04B8F"/>
    <w:rsid w:val="00C04E18"/>
    <w:rsid w:val="00C04E8D"/>
    <w:rsid w:val="00C05D69"/>
    <w:rsid w:val="00C17F79"/>
    <w:rsid w:val="00C2162B"/>
    <w:rsid w:val="00C21861"/>
    <w:rsid w:val="00C23B8B"/>
    <w:rsid w:val="00C24C7F"/>
    <w:rsid w:val="00C26EC4"/>
    <w:rsid w:val="00C27F3D"/>
    <w:rsid w:val="00C31180"/>
    <w:rsid w:val="00C318F5"/>
    <w:rsid w:val="00C32B7A"/>
    <w:rsid w:val="00C358C9"/>
    <w:rsid w:val="00C35A31"/>
    <w:rsid w:val="00C37214"/>
    <w:rsid w:val="00C4016E"/>
    <w:rsid w:val="00C40491"/>
    <w:rsid w:val="00C416A5"/>
    <w:rsid w:val="00C416C0"/>
    <w:rsid w:val="00C456CA"/>
    <w:rsid w:val="00C462AD"/>
    <w:rsid w:val="00C46476"/>
    <w:rsid w:val="00C51AD7"/>
    <w:rsid w:val="00C520B2"/>
    <w:rsid w:val="00C54065"/>
    <w:rsid w:val="00C542E0"/>
    <w:rsid w:val="00C54B7D"/>
    <w:rsid w:val="00C56517"/>
    <w:rsid w:val="00C5695E"/>
    <w:rsid w:val="00C5729B"/>
    <w:rsid w:val="00C5775C"/>
    <w:rsid w:val="00C57AA9"/>
    <w:rsid w:val="00C57C0B"/>
    <w:rsid w:val="00C60354"/>
    <w:rsid w:val="00C62C6A"/>
    <w:rsid w:val="00C64D44"/>
    <w:rsid w:val="00C6670A"/>
    <w:rsid w:val="00C66E29"/>
    <w:rsid w:val="00C707C2"/>
    <w:rsid w:val="00C7211A"/>
    <w:rsid w:val="00C743EB"/>
    <w:rsid w:val="00C7699B"/>
    <w:rsid w:val="00C80CE4"/>
    <w:rsid w:val="00C81746"/>
    <w:rsid w:val="00C823DA"/>
    <w:rsid w:val="00C82A2B"/>
    <w:rsid w:val="00C84F98"/>
    <w:rsid w:val="00C85B34"/>
    <w:rsid w:val="00C860DD"/>
    <w:rsid w:val="00C87175"/>
    <w:rsid w:val="00C87D6B"/>
    <w:rsid w:val="00C87E85"/>
    <w:rsid w:val="00C91B1F"/>
    <w:rsid w:val="00C92554"/>
    <w:rsid w:val="00C92D22"/>
    <w:rsid w:val="00C94870"/>
    <w:rsid w:val="00C94AE2"/>
    <w:rsid w:val="00C96F44"/>
    <w:rsid w:val="00C971ED"/>
    <w:rsid w:val="00CA01FE"/>
    <w:rsid w:val="00CA0DEC"/>
    <w:rsid w:val="00CA1C01"/>
    <w:rsid w:val="00CA33AC"/>
    <w:rsid w:val="00CA344E"/>
    <w:rsid w:val="00CA38BE"/>
    <w:rsid w:val="00CA38FE"/>
    <w:rsid w:val="00CA63E9"/>
    <w:rsid w:val="00CA6725"/>
    <w:rsid w:val="00CA6F99"/>
    <w:rsid w:val="00CB2361"/>
    <w:rsid w:val="00CB239D"/>
    <w:rsid w:val="00CB6401"/>
    <w:rsid w:val="00CC6E5F"/>
    <w:rsid w:val="00CD001A"/>
    <w:rsid w:val="00CD1DB5"/>
    <w:rsid w:val="00CD4E4C"/>
    <w:rsid w:val="00CD522D"/>
    <w:rsid w:val="00CD66A8"/>
    <w:rsid w:val="00CD7AF1"/>
    <w:rsid w:val="00CE07F0"/>
    <w:rsid w:val="00CE2A55"/>
    <w:rsid w:val="00CE49E6"/>
    <w:rsid w:val="00CE4E38"/>
    <w:rsid w:val="00CE512C"/>
    <w:rsid w:val="00CE54A7"/>
    <w:rsid w:val="00CE5C9D"/>
    <w:rsid w:val="00CF40A2"/>
    <w:rsid w:val="00CF414A"/>
    <w:rsid w:val="00CF4774"/>
    <w:rsid w:val="00CF69D4"/>
    <w:rsid w:val="00CF6EA0"/>
    <w:rsid w:val="00D00906"/>
    <w:rsid w:val="00D00E18"/>
    <w:rsid w:val="00D02552"/>
    <w:rsid w:val="00D02FD3"/>
    <w:rsid w:val="00D0685B"/>
    <w:rsid w:val="00D0750C"/>
    <w:rsid w:val="00D07CC6"/>
    <w:rsid w:val="00D10766"/>
    <w:rsid w:val="00D10850"/>
    <w:rsid w:val="00D111DE"/>
    <w:rsid w:val="00D139C9"/>
    <w:rsid w:val="00D14F94"/>
    <w:rsid w:val="00D218C2"/>
    <w:rsid w:val="00D2236E"/>
    <w:rsid w:val="00D24A1F"/>
    <w:rsid w:val="00D35F2B"/>
    <w:rsid w:val="00D36941"/>
    <w:rsid w:val="00D4003B"/>
    <w:rsid w:val="00D40565"/>
    <w:rsid w:val="00D444C1"/>
    <w:rsid w:val="00D454F2"/>
    <w:rsid w:val="00D45F8D"/>
    <w:rsid w:val="00D46C5B"/>
    <w:rsid w:val="00D50CD7"/>
    <w:rsid w:val="00D5127E"/>
    <w:rsid w:val="00D5196F"/>
    <w:rsid w:val="00D524E2"/>
    <w:rsid w:val="00D530DE"/>
    <w:rsid w:val="00D53391"/>
    <w:rsid w:val="00D54750"/>
    <w:rsid w:val="00D54E85"/>
    <w:rsid w:val="00D55A17"/>
    <w:rsid w:val="00D576D8"/>
    <w:rsid w:val="00D57D23"/>
    <w:rsid w:val="00D6369A"/>
    <w:rsid w:val="00D658DF"/>
    <w:rsid w:val="00D72415"/>
    <w:rsid w:val="00D72A60"/>
    <w:rsid w:val="00D7553F"/>
    <w:rsid w:val="00D755B8"/>
    <w:rsid w:val="00D765A3"/>
    <w:rsid w:val="00D76C0C"/>
    <w:rsid w:val="00D77F90"/>
    <w:rsid w:val="00D8365F"/>
    <w:rsid w:val="00D83688"/>
    <w:rsid w:val="00D869BD"/>
    <w:rsid w:val="00D86A12"/>
    <w:rsid w:val="00D92A87"/>
    <w:rsid w:val="00D92C91"/>
    <w:rsid w:val="00D94E6E"/>
    <w:rsid w:val="00D9576E"/>
    <w:rsid w:val="00D95AE1"/>
    <w:rsid w:val="00D971A8"/>
    <w:rsid w:val="00D97CA1"/>
    <w:rsid w:val="00DA2C2B"/>
    <w:rsid w:val="00DA5B38"/>
    <w:rsid w:val="00DB371D"/>
    <w:rsid w:val="00DB514C"/>
    <w:rsid w:val="00DB5BD9"/>
    <w:rsid w:val="00DB6417"/>
    <w:rsid w:val="00DB64B1"/>
    <w:rsid w:val="00DB72BD"/>
    <w:rsid w:val="00DC12DE"/>
    <w:rsid w:val="00DC1B47"/>
    <w:rsid w:val="00DC2F33"/>
    <w:rsid w:val="00DC485E"/>
    <w:rsid w:val="00DD14BB"/>
    <w:rsid w:val="00DD308B"/>
    <w:rsid w:val="00DD3BAE"/>
    <w:rsid w:val="00DD5133"/>
    <w:rsid w:val="00DD6EE0"/>
    <w:rsid w:val="00DD736F"/>
    <w:rsid w:val="00DE0F3B"/>
    <w:rsid w:val="00DE47F4"/>
    <w:rsid w:val="00DE4989"/>
    <w:rsid w:val="00DE6E83"/>
    <w:rsid w:val="00DE6E89"/>
    <w:rsid w:val="00DF0441"/>
    <w:rsid w:val="00DF0F05"/>
    <w:rsid w:val="00DF1FC2"/>
    <w:rsid w:val="00DF51B1"/>
    <w:rsid w:val="00DF5829"/>
    <w:rsid w:val="00DF7DB6"/>
    <w:rsid w:val="00DF7DDE"/>
    <w:rsid w:val="00E0327C"/>
    <w:rsid w:val="00E03D10"/>
    <w:rsid w:val="00E041C4"/>
    <w:rsid w:val="00E10174"/>
    <w:rsid w:val="00E108D3"/>
    <w:rsid w:val="00E10C61"/>
    <w:rsid w:val="00E12D6C"/>
    <w:rsid w:val="00E14751"/>
    <w:rsid w:val="00E207B6"/>
    <w:rsid w:val="00E20C3E"/>
    <w:rsid w:val="00E21350"/>
    <w:rsid w:val="00E22885"/>
    <w:rsid w:val="00E25F3E"/>
    <w:rsid w:val="00E34906"/>
    <w:rsid w:val="00E34E0B"/>
    <w:rsid w:val="00E35E16"/>
    <w:rsid w:val="00E364B9"/>
    <w:rsid w:val="00E36CC7"/>
    <w:rsid w:val="00E377CE"/>
    <w:rsid w:val="00E379BB"/>
    <w:rsid w:val="00E425B3"/>
    <w:rsid w:val="00E43661"/>
    <w:rsid w:val="00E43872"/>
    <w:rsid w:val="00E454F2"/>
    <w:rsid w:val="00E462AB"/>
    <w:rsid w:val="00E50046"/>
    <w:rsid w:val="00E527F5"/>
    <w:rsid w:val="00E53FF8"/>
    <w:rsid w:val="00E546B1"/>
    <w:rsid w:val="00E5561A"/>
    <w:rsid w:val="00E5630C"/>
    <w:rsid w:val="00E571C3"/>
    <w:rsid w:val="00E61695"/>
    <w:rsid w:val="00E626BD"/>
    <w:rsid w:val="00E635FD"/>
    <w:rsid w:val="00E64927"/>
    <w:rsid w:val="00E66359"/>
    <w:rsid w:val="00E7048D"/>
    <w:rsid w:val="00E714E3"/>
    <w:rsid w:val="00E72340"/>
    <w:rsid w:val="00E74F0D"/>
    <w:rsid w:val="00E7567C"/>
    <w:rsid w:val="00E75D68"/>
    <w:rsid w:val="00E8097F"/>
    <w:rsid w:val="00E81255"/>
    <w:rsid w:val="00E81874"/>
    <w:rsid w:val="00E8226A"/>
    <w:rsid w:val="00E8492D"/>
    <w:rsid w:val="00E858A7"/>
    <w:rsid w:val="00E85EFB"/>
    <w:rsid w:val="00E87889"/>
    <w:rsid w:val="00E9019B"/>
    <w:rsid w:val="00E93AB1"/>
    <w:rsid w:val="00EA3B64"/>
    <w:rsid w:val="00EA795A"/>
    <w:rsid w:val="00EB109C"/>
    <w:rsid w:val="00EB1A36"/>
    <w:rsid w:val="00EB1AE7"/>
    <w:rsid w:val="00EB42D7"/>
    <w:rsid w:val="00EB6E88"/>
    <w:rsid w:val="00EB7592"/>
    <w:rsid w:val="00EB77CA"/>
    <w:rsid w:val="00EC129C"/>
    <w:rsid w:val="00EC2E93"/>
    <w:rsid w:val="00EC4F14"/>
    <w:rsid w:val="00EC5026"/>
    <w:rsid w:val="00EC5BB0"/>
    <w:rsid w:val="00EC7307"/>
    <w:rsid w:val="00ED012B"/>
    <w:rsid w:val="00ED068F"/>
    <w:rsid w:val="00ED4079"/>
    <w:rsid w:val="00ED4CDD"/>
    <w:rsid w:val="00ED546B"/>
    <w:rsid w:val="00ED7400"/>
    <w:rsid w:val="00ED7D51"/>
    <w:rsid w:val="00EE031C"/>
    <w:rsid w:val="00EE0588"/>
    <w:rsid w:val="00EE0744"/>
    <w:rsid w:val="00EE0977"/>
    <w:rsid w:val="00EE1708"/>
    <w:rsid w:val="00EE1EEF"/>
    <w:rsid w:val="00EE2BA7"/>
    <w:rsid w:val="00EE2FEF"/>
    <w:rsid w:val="00EE32B2"/>
    <w:rsid w:val="00EE36BE"/>
    <w:rsid w:val="00EE3E5A"/>
    <w:rsid w:val="00EE3F68"/>
    <w:rsid w:val="00EE6C4E"/>
    <w:rsid w:val="00EF024F"/>
    <w:rsid w:val="00EF1548"/>
    <w:rsid w:val="00EF29D1"/>
    <w:rsid w:val="00EF5825"/>
    <w:rsid w:val="00EF5D14"/>
    <w:rsid w:val="00EF6263"/>
    <w:rsid w:val="00EF6E14"/>
    <w:rsid w:val="00EF6E48"/>
    <w:rsid w:val="00EF7C96"/>
    <w:rsid w:val="00F000D7"/>
    <w:rsid w:val="00F00B16"/>
    <w:rsid w:val="00F01182"/>
    <w:rsid w:val="00F019FB"/>
    <w:rsid w:val="00F03A06"/>
    <w:rsid w:val="00F06ED4"/>
    <w:rsid w:val="00F07E21"/>
    <w:rsid w:val="00F1764E"/>
    <w:rsid w:val="00F17B59"/>
    <w:rsid w:val="00F207F5"/>
    <w:rsid w:val="00F22A76"/>
    <w:rsid w:val="00F25119"/>
    <w:rsid w:val="00F30250"/>
    <w:rsid w:val="00F30E4F"/>
    <w:rsid w:val="00F316CE"/>
    <w:rsid w:val="00F324D2"/>
    <w:rsid w:val="00F33E1A"/>
    <w:rsid w:val="00F3475C"/>
    <w:rsid w:val="00F37284"/>
    <w:rsid w:val="00F41298"/>
    <w:rsid w:val="00F418E8"/>
    <w:rsid w:val="00F42D8B"/>
    <w:rsid w:val="00F4300F"/>
    <w:rsid w:val="00F46937"/>
    <w:rsid w:val="00F46998"/>
    <w:rsid w:val="00F51801"/>
    <w:rsid w:val="00F51A19"/>
    <w:rsid w:val="00F51BE1"/>
    <w:rsid w:val="00F5292C"/>
    <w:rsid w:val="00F538ED"/>
    <w:rsid w:val="00F53C79"/>
    <w:rsid w:val="00F54347"/>
    <w:rsid w:val="00F55310"/>
    <w:rsid w:val="00F61F6D"/>
    <w:rsid w:val="00F65954"/>
    <w:rsid w:val="00F667CC"/>
    <w:rsid w:val="00F66FD0"/>
    <w:rsid w:val="00F70AB5"/>
    <w:rsid w:val="00F70ABD"/>
    <w:rsid w:val="00F719EA"/>
    <w:rsid w:val="00F751A1"/>
    <w:rsid w:val="00F755E7"/>
    <w:rsid w:val="00F7637C"/>
    <w:rsid w:val="00F779FE"/>
    <w:rsid w:val="00F77B53"/>
    <w:rsid w:val="00F80140"/>
    <w:rsid w:val="00F80D48"/>
    <w:rsid w:val="00F81681"/>
    <w:rsid w:val="00F84101"/>
    <w:rsid w:val="00F861AE"/>
    <w:rsid w:val="00F93AF2"/>
    <w:rsid w:val="00F945D9"/>
    <w:rsid w:val="00F971C2"/>
    <w:rsid w:val="00FA048B"/>
    <w:rsid w:val="00FA1B46"/>
    <w:rsid w:val="00FA2B70"/>
    <w:rsid w:val="00FA2CEB"/>
    <w:rsid w:val="00FA2EBE"/>
    <w:rsid w:val="00FA53FA"/>
    <w:rsid w:val="00FA5C20"/>
    <w:rsid w:val="00FB2D3A"/>
    <w:rsid w:val="00FB71FC"/>
    <w:rsid w:val="00FB7ECA"/>
    <w:rsid w:val="00FC1304"/>
    <w:rsid w:val="00FC291C"/>
    <w:rsid w:val="00FC367B"/>
    <w:rsid w:val="00FC36F8"/>
    <w:rsid w:val="00FC7622"/>
    <w:rsid w:val="00FD032B"/>
    <w:rsid w:val="00FD0E41"/>
    <w:rsid w:val="00FD10DD"/>
    <w:rsid w:val="00FD2BFE"/>
    <w:rsid w:val="00FD471B"/>
    <w:rsid w:val="00FD506B"/>
    <w:rsid w:val="00FD52D8"/>
    <w:rsid w:val="00FD5324"/>
    <w:rsid w:val="00FD5475"/>
    <w:rsid w:val="00FE0753"/>
    <w:rsid w:val="00FE1D71"/>
    <w:rsid w:val="00FE3224"/>
    <w:rsid w:val="00FE50CD"/>
    <w:rsid w:val="00FE59C8"/>
    <w:rsid w:val="00FE6E83"/>
    <w:rsid w:val="00FE7EC1"/>
    <w:rsid w:val="00FF41B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801"/>
    <w:rPr>
      <w:sz w:val="24"/>
      <w:szCs w:val="24"/>
    </w:rPr>
  </w:style>
  <w:style w:type="paragraph" w:styleId="Heading1">
    <w:name w:val="heading 1"/>
    <w:basedOn w:val="Normal"/>
    <w:next w:val="Normal"/>
    <w:link w:val="Heading1Char"/>
    <w:qFormat/>
    <w:rsid w:val="00B45E96"/>
    <w:pPr>
      <w:jc w:val="center"/>
      <w:outlineLvl w:val="0"/>
    </w:pPr>
    <w:rPr>
      <w:b/>
      <w:sz w:val="32"/>
      <w:u w:val="single"/>
    </w:rPr>
  </w:style>
  <w:style w:type="paragraph" w:styleId="Heading2">
    <w:name w:val="heading 2"/>
    <w:basedOn w:val="Normal"/>
    <w:next w:val="Normal"/>
    <w:link w:val="Heading2Char"/>
    <w:qFormat/>
    <w:rsid w:val="00B45E96"/>
    <w:pPr>
      <w:keepNext/>
      <w:outlineLvl w:val="1"/>
    </w:pPr>
    <w:rPr>
      <w:bCs/>
      <w:u w:val="single"/>
    </w:rPr>
  </w:style>
  <w:style w:type="paragraph" w:styleId="Heading7">
    <w:name w:val="heading 7"/>
    <w:basedOn w:val="Normal"/>
    <w:next w:val="Normal"/>
    <w:qFormat/>
    <w:rsid w:val="00C462AD"/>
    <w:pPr>
      <w:spacing w:before="240" w:after="60"/>
      <w:outlineLvl w:val="6"/>
    </w:pPr>
  </w:style>
  <w:style w:type="paragraph" w:styleId="Heading8">
    <w:name w:val="heading 8"/>
    <w:basedOn w:val="Normal"/>
    <w:next w:val="Normal"/>
    <w:qFormat/>
    <w:rsid w:val="00C462AD"/>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rsid w:val="001A5801"/>
    <w:rPr>
      <w:rFonts w:ascii="Tahoma" w:hAnsi="Tahoma" w:cs="Tahoma"/>
      <w:sz w:val="16"/>
      <w:szCs w:val="16"/>
    </w:rPr>
  </w:style>
  <w:style w:type="character" w:customStyle="1" w:styleId="BalloonTextChar">
    <w:name w:val="Balloon Text Char"/>
    <w:basedOn w:val="DefaultParagraphFont"/>
    <w:uiPriority w:val="99"/>
    <w:semiHidden/>
    <w:rsid w:val="0068080A"/>
    <w:rPr>
      <w:rFonts w:ascii="Lucida Grande" w:hAnsi="Lucida Grande"/>
      <w:sz w:val="18"/>
      <w:szCs w:val="18"/>
    </w:rPr>
  </w:style>
  <w:style w:type="character" w:customStyle="1" w:styleId="BalloonTextChar0">
    <w:name w:val="Balloon Text Char"/>
    <w:basedOn w:val="DefaultParagraphFont"/>
    <w:uiPriority w:val="99"/>
    <w:semiHidden/>
    <w:rsid w:val="005E01FF"/>
    <w:rPr>
      <w:rFonts w:ascii="Lucida Grande" w:hAnsi="Lucida Grande"/>
      <w:sz w:val="18"/>
      <w:szCs w:val="18"/>
    </w:rPr>
  </w:style>
  <w:style w:type="character" w:customStyle="1" w:styleId="BalloonTextChar1">
    <w:name w:val="Balloon Text Char1"/>
    <w:basedOn w:val="DefaultParagraphFont"/>
    <w:link w:val="BalloonText"/>
    <w:uiPriority w:val="99"/>
    <w:semiHidden/>
    <w:rsid w:val="002B171A"/>
    <w:rPr>
      <w:rFonts w:ascii="Lucida Grande" w:hAnsi="Lucida Grande"/>
      <w:sz w:val="18"/>
      <w:szCs w:val="18"/>
    </w:rPr>
  </w:style>
  <w:style w:type="character" w:styleId="Hyperlink">
    <w:name w:val="Hyperlink"/>
    <w:uiPriority w:val="99"/>
    <w:rsid w:val="001A5801"/>
    <w:rPr>
      <w:color w:val="0000FF"/>
      <w:u w:val="single"/>
    </w:rPr>
  </w:style>
  <w:style w:type="paragraph" w:styleId="BodyText">
    <w:name w:val="Body Text"/>
    <w:basedOn w:val="Normal"/>
    <w:rsid w:val="001A5801"/>
    <w:rPr>
      <w:rFonts w:ascii="Arial" w:hAnsi="Arial" w:cs="Arial"/>
      <w:sz w:val="20"/>
      <w:szCs w:val="20"/>
    </w:rPr>
  </w:style>
  <w:style w:type="paragraph" w:styleId="Header">
    <w:name w:val="header"/>
    <w:basedOn w:val="Normal"/>
    <w:link w:val="HeaderChar"/>
    <w:rsid w:val="001A5801"/>
    <w:pPr>
      <w:tabs>
        <w:tab w:val="center" w:pos="4320"/>
        <w:tab w:val="right" w:pos="8640"/>
      </w:tabs>
    </w:pPr>
  </w:style>
  <w:style w:type="paragraph" w:styleId="Footer">
    <w:name w:val="footer"/>
    <w:basedOn w:val="Normal"/>
    <w:link w:val="FooterChar1"/>
    <w:rsid w:val="001A5801"/>
    <w:pPr>
      <w:tabs>
        <w:tab w:val="center" w:pos="4320"/>
        <w:tab w:val="right" w:pos="8640"/>
      </w:tabs>
    </w:pPr>
  </w:style>
  <w:style w:type="paragraph" w:styleId="BodyTextIndent">
    <w:name w:val="Body Text Indent"/>
    <w:basedOn w:val="Normal"/>
    <w:rsid w:val="001A5801"/>
    <w:pPr>
      <w:ind w:left="1440" w:hanging="1440"/>
    </w:pPr>
    <w:rPr>
      <w:rFonts w:ascii="Arial" w:hAnsi="Arial" w:cs="Arial"/>
      <w:b/>
      <w:bCs/>
      <w:sz w:val="20"/>
      <w:szCs w:val="20"/>
    </w:rPr>
  </w:style>
  <w:style w:type="paragraph" w:styleId="BodyText2">
    <w:name w:val="Body Text 2"/>
    <w:basedOn w:val="Normal"/>
    <w:rsid w:val="001A5801"/>
    <w:pPr>
      <w:jc w:val="both"/>
    </w:pPr>
    <w:rPr>
      <w:rFonts w:ascii="Arial" w:hAnsi="Arial" w:cs="Arial"/>
      <w:sz w:val="20"/>
      <w:szCs w:val="20"/>
    </w:rPr>
  </w:style>
  <w:style w:type="paragraph" w:styleId="DocumentMap">
    <w:name w:val="Document Map"/>
    <w:basedOn w:val="Normal"/>
    <w:semiHidden/>
    <w:rsid w:val="001A5801"/>
    <w:pPr>
      <w:shd w:val="clear" w:color="auto" w:fill="000080"/>
    </w:pPr>
    <w:rPr>
      <w:rFonts w:ascii="Tahoma" w:hAnsi="Tahoma" w:cs="Tahoma"/>
      <w:sz w:val="20"/>
      <w:szCs w:val="20"/>
    </w:rPr>
  </w:style>
  <w:style w:type="paragraph" w:styleId="PlainText">
    <w:name w:val="Plain Text"/>
    <w:basedOn w:val="Normal"/>
    <w:link w:val="PlainTextChar"/>
    <w:uiPriority w:val="99"/>
    <w:rsid w:val="00CC6E5F"/>
    <w:pPr>
      <w:spacing w:before="100" w:beforeAutospacing="1" w:after="100" w:afterAutospacing="1"/>
    </w:pPr>
  </w:style>
  <w:style w:type="paragraph" w:styleId="NormalWeb">
    <w:name w:val="Normal (Web)"/>
    <w:basedOn w:val="Normal"/>
    <w:uiPriority w:val="99"/>
    <w:rsid w:val="001854AB"/>
    <w:pPr>
      <w:spacing w:before="100" w:beforeAutospacing="1" w:after="100" w:afterAutospacing="1"/>
    </w:pPr>
  </w:style>
  <w:style w:type="paragraph" w:styleId="ListParagraph">
    <w:name w:val="List Paragraph"/>
    <w:basedOn w:val="Normal"/>
    <w:uiPriority w:val="34"/>
    <w:qFormat/>
    <w:rsid w:val="00396D76"/>
    <w:pPr>
      <w:ind w:left="720"/>
      <w:contextualSpacing/>
    </w:pPr>
  </w:style>
  <w:style w:type="character" w:customStyle="1" w:styleId="PlainTextChar">
    <w:name w:val="Plain Text Char"/>
    <w:link w:val="PlainText"/>
    <w:uiPriority w:val="99"/>
    <w:rsid w:val="003879DF"/>
    <w:rPr>
      <w:sz w:val="24"/>
      <w:szCs w:val="24"/>
    </w:rPr>
  </w:style>
  <w:style w:type="character" w:styleId="CommentReference">
    <w:name w:val="annotation reference"/>
    <w:rsid w:val="00B36B8A"/>
    <w:rPr>
      <w:sz w:val="16"/>
      <w:szCs w:val="16"/>
    </w:rPr>
  </w:style>
  <w:style w:type="paragraph" w:styleId="CommentText">
    <w:name w:val="annotation text"/>
    <w:basedOn w:val="Normal"/>
    <w:link w:val="CommentTextChar"/>
    <w:rsid w:val="00B36B8A"/>
    <w:rPr>
      <w:sz w:val="20"/>
      <w:szCs w:val="20"/>
    </w:rPr>
  </w:style>
  <w:style w:type="character" w:customStyle="1" w:styleId="CommentTextChar">
    <w:name w:val="Comment Text Char"/>
    <w:basedOn w:val="DefaultParagraphFont"/>
    <w:link w:val="CommentText"/>
    <w:rsid w:val="00B36B8A"/>
  </w:style>
  <w:style w:type="paragraph" w:styleId="CommentSubject">
    <w:name w:val="annotation subject"/>
    <w:basedOn w:val="CommentText"/>
    <w:next w:val="CommentText"/>
    <w:link w:val="CommentSubjectChar"/>
    <w:rsid w:val="00B36B8A"/>
    <w:rPr>
      <w:b/>
      <w:bCs/>
    </w:rPr>
  </w:style>
  <w:style w:type="character" w:customStyle="1" w:styleId="CommentSubjectChar">
    <w:name w:val="Comment Subject Char"/>
    <w:link w:val="CommentSubject"/>
    <w:rsid w:val="00B36B8A"/>
    <w:rPr>
      <w:b/>
      <w:bCs/>
    </w:rPr>
  </w:style>
  <w:style w:type="paragraph" w:styleId="FootnoteText">
    <w:name w:val="footnote text"/>
    <w:aliases w:val="Footnote Text Char,Footnote,12pt"/>
    <w:basedOn w:val="Normal"/>
    <w:link w:val="FootnoteTextChar1"/>
    <w:rsid w:val="00967129"/>
    <w:rPr>
      <w:sz w:val="20"/>
      <w:szCs w:val="20"/>
    </w:rPr>
  </w:style>
  <w:style w:type="character" w:customStyle="1" w:styleId="FootnoteTextChar1">
    <w:name w:val="Footnote Text Char1"/>
    <w:aliases w:val="Footnote Text Char Char,Footnote Char,12pt Char"/>
    <w:basedOn w:val="DefaultParagraphFont"/>
    <w:link w:val="FootnoteText"/>
    <w:rsid w:val="00967129"/>
  </w:style>
  <w:style w:type="character" w:styleId="FootnoteReference">
    <w:name w:val="footnote reference"/>
    <w:rsid w:val="00967129"/>
    <w:rPr>
      <w:vertAlign w:val="superscript"/>
    </w:rPr>
  </w:style>
  <w:style w:type="character" w:styleId="Strong">
    <w:name w:val="Strong"/>
    <w:uiPriority w:val="22"/>
    <w:qFormat/>
    <w:rsid w:val="00092501"/>
    <w:rPr>
      <w:b/>
      <w:bCs/>
    </w:rPr>
  </w:style>
  <w:style w:type="table" w:styleId="TableGrid">
    <w:name w:val="Table Grid"/>
    <w:basedOn w:val="TableNormal"/>
    <w:rsid w:val="00F33E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1">
    <w:name w:val="Footer Char1"/>
    <w:link w:val="Footer"/>
    <w:uiPriority w:val="99"/>
    <w:rsid w:val="00843477"/>
    <w:rPr>
      <w:sz w:val="24"/>
      <w:szCs w:val="24"/>
    </w:rPr>
  </w:style>
  <w:style w:type="paragraph" w:customStyle="1" w:styleId="NormalArial">
    <w:name w:val="Normal + Arial"/>
    <w:aliases w:val="Right:  -2.64 cm"/>
    <w:basedOn w:val="Normal"/>
    <w:uiPriority w:val="99"/>
    <w:rsid w:val="00312685"/>
    <w:pPr>
      <w:overflowPunct w:val="0"/>
      <w:autoSpaceDE w:val="0"/>
      <w:autoSpaceDN w:val="0"/>
      <w:adjustRightInd w:val="0"/>
      <w:ind w:right="-1497"/>
      <w:jc w:val="both"/>
      <w:textAlignment w:val="baseline"/>
    </w:pPr>
    <w:rPr>
      <w:rFonts w:ascii="Arial" w:hAnsi="Arial" w:cs="Arial"/>
      <w:sz w:val="20"/>
    </w:rPr>
  </w:style>
  <w:style w:type="paragraph" w:styleId="TOCHeading">
    <w:name w:val="TOC Heading"/>
    <w:basedOn w:val="Heading1"/>
    <w:next w:val="Normal"/>
    <w:uiPriority w:val="99"/>
    <w:qFormat/>
    <w:rsid w:val="00312685"/>
    <w:pPr>
      <w:keepLines/>
      <w:spacing w:before="480" w:line="276" w:lineRule="auto"/>
      <w:jc w:val="left"/>
      <w:outlineLvl w:val="9"/>
    </w:pPr>
    <w:rPr>
      <w:rFonts w:ascii="Cambria" w:hAnsi="Cambria"/>
      <w:color w:val="365F91"/>
      <w:sz w:val="28"/>
      <w:szCs w:val="28"/>
    </w:rPr>
  </w:style>
  <w:style w:type="paragraph" w:styleId="TOC2">
    <w:name w:val="toc 2"/>
    <w:basedOn w:val="Normal"/>
    <w:next w:val="Normal"/>
    <w:autoRedefine/>
    <w:uiPriority w:val="39"/>
    <w:rsid w:val="00312685"/>
    <w:pPr>
      <w:spacing w:before="240"/>
    </w:pPr>
    <w:rPr>
      <w:b/>
      <w:bCs/>
      <w:sz w:val="20"/>
      <w:szCs w:val="20"/>
    </w:rPr>
  </w:style>
  <w:style w:type="character" w:customStyle="1" w:styleId="Heading1Char">
    <w:name w:val="Heading 1 Char"/>
    <w:link w:val="Heading1"/>
    <w:rsid w:val="00B45E96"/>
    <w:rPr>
      <w:b/>
      <w:sz w:val="32"/>
      <w:szCs w:val="24"/>
      <w:u w:val="single"/>
    </w:rPr>
  </w:style>
  <w:style w:type="character" w:customStyle="1" w:styleId="Heading2Char">
    <w:name w:val="Heading 2 Char"/>
    <w:link w:val="Heading2"/>
    <w:rsid w:val="00B45E96"/>
    <w:rPr>
      <w:bCs/>
      <w:sz w:val="24"/>
      <w:szCs w:val="24"/>
      <w:u w:val="single"/>
    </w:rPr>
  </w:style>
  <w:style w:type="paragraph" w:styleId="TOC1">
    <w:name w:val="toc 1"/>
    <w:basedOn w:val="Normal"/>
    <w:next w:val="Normal"/>
    <w:autoRedefine/>
    <w:uiPriority w:val="39"/>
    <w:rsid w:val="00A04D97"/>
    <w:pPr>
      <w:tabs>
        <w:tab w:val="left" w:pos="480"/>
        <w:tab w:val="right" w:pos="9360"/>
      </w:tabs>
      <w:spacing w:before="360"/>
    </w:pPr>
    <w:rPr>
      <w:b/>
      <w:bCs/>
      <w:caps/>
      <w:noProof/>
    </w:rPr>
  </w:style>
  <w:style w:type="paragraph" w:styleId="EndnoteText">
    <w:name w:val="endnote text"/>
    <w:basedOn w:val="Normal"/>
    <w:link w:val="EndnoteTextChar"/>
    <w:uiPriority w:val="99"/>
    <w:semiHidden/>
    <w:unhideWhenUsed/>
    <w:rsid w:val="00090D90"/>
    <w:rPr>
      <w:sz w:val="20"/>
      <w:szCs w:val="20"/>
    </w:rPr>
  </w:style>
  <w:style w:type="character" w:customStyle="1" w:styleId="EndnoteTextChar">
    <w:name w:val="Endnote Text Char"/>
    <w:basedOn w:val="DefaultParagraphFont"/>
    <w:link w:val="EndnoteText"/>
    <w:uiPriority w:val="99"/>
    <w:semiHidden/>
    <w:rsid w:val="00090D90"/>
  </w:style>
  <w:style w:type="character" w:styleId="EndnoteReference">
    <w:name w:val="endnote reference"/>
    <w:uiPriority w:val="99"/>
    <w:semiHidden/>
    <w:unhideWhenUsed/>
    <w:rsid w:val="00090D90"/>
    <w:rPr>
      <w:vertAlign w:val="superscript"/>
    </w:rPr>
  </w:style>
  <w:style w:type="character" w:styleId="FollowedHyperlink">
    <w:name w:val="FollowedHyperlink"/>
    <w:uiPriority w:val="99"/>
    <w:semiHidden/>
    <w:unhideWhenUsed/>
    <w:rsid w:val="00976E29"/>
    <w:rPr>
      <w:color w:val="800080"/>
      <w:u w:val="single"/>
    </w:rPr>
  </w:style>
  <w:style w:type="paragraph" w:customStyle="1" w:styleId="H1">
    <w:name w:val="H1"/>
    <w:rsid w:val="000134CC"/>
    <w:pPr>
      <w:spacing w:before="60" w:after="60"/>
    </w:pPr>
    <w:rPr>
      <w:rFonts w:cs="Arial"/>
      <w:b/>
      <w:bCs/>
      <w:snapToGrid w:val="0"/>
      <w:kern w:val="32"/>
      <w:sz w:val="24"/>
      <w:szCs w:val="32"/>
      <w:lang w:val="en-GB"/>
    </w:rPr>
  </w:style>
  <w:style w:type="paragraph" w:customStyle="1" w:styleId="H2">
    <w:name w:val="H2"/>
    <w:rsid w:val="000134CC"/>
    <w:rPr>
      <w:rFonts w:cs="Arial"/>
      <w:b/>
      <w:bCs/>
      <w:iCs/>
      <w:snapToGrid w:val="0"/>
      <w:sz w:val="22"/>
      <w:szCs w:val="28"/>
      <w:lang w:val="en-GB"/>
    </w:rPr>
  </w:style>
  <w:style w:type="paragraph" w:customStyle="1" w:styleId="LOA">
    <w:name w:val="LOA"/>
    <w:basedOn w:val="Normal"/>
    <w:rsid w:val="007F2A41"/>
    <w:pPr>
      <w:widowControl w:val="0"/>
      <w:spacing w:before="120" w:after="120"/>
      <w:jc w:val="both"/>
    </w:pPr>
    <w:rPr>
      <w:rFonts w:ascii="Garamond" w:eastAsia="MS Mincho" w:hAnsi="Garamond" w:cs="Garamond"/>
      <w:sz w:val="22"/>
      <w:szCs w:val="22"/>
      <w:lang w:val="en-GB"/>
    </w:rPr>
  </w:style>
  <w:style w:type="paragraph" w:customStyle="1" w:styleId="Default">
    <w:name w:val="Default"/>
    <w:rsid w:val="007F2A41"/>
    <w:pPr>
      <w:widowControl w:val="0"/>
      <w:autoSpaceDE w:val="0"/>
      <w:autoSpaceDN w:val="0"/>
      <w:adjustRightInd w:val="0"/>
    </w:pPr>
    <w:rPr>
      <w:rFonts w:ascii="Arial" w:eastAsia="MS Mincho" w:hAnsi="Arial" w:cs="Arial"/>
      <w:color w:val="000000"/>
      <w:sz w:val="24"/>
      <w:szCs w:val="24"/>
    </w:rPr>
  </w:style>
  <w:style w:type="paragraph" w:customStyle="1" w:styleId="CM6">
    <w:name w:val="CM6"/>
    <w:basedOn w:val="Default"/>
    <w:next w:val="Default"/>
    <w:rsid w:val="007F2A41"/>
    <w:pPr>
      <w:spacing w:line="476" w:lineRule="atLeast"/>
    </w:pPr>
    <w:rPr>
      <w:color w:val="auto"/>
    </w:rPr>
  </w:style>
  <w:style w:type="paragraph" w:customStyle="1" w:styleId="Default1">
    <w:name w:val="Default1"/>
    <w:basedOn w:val="Default"/>
    <w:next w:val="Default"/>
    <w:rsid w:val="00BA72A6"/>
    <w:pPr>
      <w:widowControl/>
    </w:pPr>
    <w:rPr>
      <w:rFonts w:ascii="Garamond" w:eastAsia="Times New Roman" w:hAnsi="Garamond" w:cs="Times New Roman"/>
      <w:color w:val="auto"/>
    </w:rPr>
  </w:style>
  <w:style w:type="paragraph" w:customStyle="1" w:styleId="ListNumber1">
    <w:name w:val="List Number 1"/>
    <w:basedOn w:val="Default"/>
    <w:next w:val="Default"/>
    <w:rsid w:val="007807DB"/>
    <w:pPr>
      <w:widowControl/>
    </w:pPr>
    <w:rPr>
      <w:rFonts w:ascii="Calibri" w:eastAsia="Times New Roman" w:hAnsi="Calibri" w:cs="Times New Roman"/>
      <w:color w:val="auto"/>
    </w:rPr>
  </w:style>
  <w:style w:type="paragraph" w:customStyle="1" w:styleId="Paragrafoelenco1">
    <w:name w:val="Paragrafo elenco1"/>
    <w:basedOn w:val="Normal"/>
    <w:rsid w:val="00DF7DB6"/>
    <w:pPr>
      <w:spacing w:before="120" w:after="120"/>
      <w:ind w:left="720"/>
      <w:jc w:val="both"/>
    </w:pPr>
    <w:rPr>
      <w:rFonts w:ascii="Bell MT" w:hAnsi="Bell MT"/>
      <w:sz w:val="22"/>
      <w:szCs w:val="20"/>
    </w:rPr>
  </w:style>
  <w:style w:type="paragraph" w:customStyle="1" w:styleId="Bulletlevel1">
    <w:name w:val="Bullet level 1"/>
    <w:basedOn w:val="Normal"/>
    <w:rsid w:val="00DC1B47"/>
    <w:pPr>
      <w:numPr>
        <w:numId w:val="14"/>
      </w:numPr>
    </w:pPr>
    <w:rPr>
      <w:rFonts w:ascii="Cambria" w:hAnsi="Cambria"/>
      <w:sz w:val="23"/>
    </w:rPr>
  </w:style>
  <w:style w:type="paragraph" w:styleId="BodyText3">
    <w:name w:val="Body Text 3"/>
    <w:basedOn w:val="Normal"/>
    <w:rsid w:val="00421CE3"/>
    <w:pPr>
      <w:spacing w:after="120"/>
    </w:pPr>
    <w:rPr>
      <w:sz w:val="16"/>
      <w:szCs w:val="16"/>
    </w:rPr>
  </w:style>
  <w:style w:type="character" w:customStyle="1" w:styleId="HeaderChar">
    <w:name w:val="Header Char"/>
    <w:link w:val="Header"/>
    <w:locked/>
    <w:rsid w:val="00421CE3"/>
    <w:rPr>
      <w:sz w:val="24"/>
      <w:szCs w:val="24"/>
      <w:lang w:val="en-US" w:eastAsia="en-US" w:bidi="ar-SA"/>
    </w:rPr>
  </w:style>
  <w:style w:type="character" w:customStyle="1" w:styleId="FooterChar">
    <w:name w:val="Footer Char"/>
    <w:locked/>
    <w:rsid w:val="00421CE3"/>
    <w:rPr>
      <w:rFonts w:ascii="Cambria" w:hAnsi="Cambria" w:cs="Times New Roman"/>
      <w:sz w:val="24"/>
      <w:szCs w:val="24"/>
      <w:lang w:val="en-US" w:eastAsia="en-US"/>
    </w:rPr>
  </w:style>
  <w:style w:type="paragraph" w:customStyle="1" w:styleId="TableText">
    <w:name w:val="Table Text"/>
    <w:basedOn w:val="Normal"/>
    <w:rsid w:val="00421CE3"/>
    <w:pPr>
      <w:spacing w:before="20"/>
    </w:pPr>
    <w:rPr>
      <w:rFonts w:ascii="Garamond" w:eastAsia="MS Mincho" w:hAnsi="Garamond" w:cs="Garamond"/>
      <w:sz w:val="20"/>
      <w:szCs w:val="20"/>
      <w:lang w:val="en-GB"/>
    </w:rPr>
  </w:style>
  <w:style w:type="paragraph" w:styleId="TOC3">
    <w:name w:val="toc 3"/>
    <w:basedOn w:val="Normal"/>
    <w:next w:val="Normal"/>
    <w:autoRedefine/>
    <w:semiHidden/>
    <w:rsid w:val="001E1766"/>
    <w:pPr>
      <w:ind w:left="240"/>
    </w:pPr>
    <w:rPr>
      <w:sz w:val="20"/>
      <w:szCs w:val="20"/>
    </w:rPr>
  </w:style>
  <w:style w:type="paragraph" w:styleId="TOC4">
    <w:name w:val="toc 4"/>
    <w:basedOn w:val="Normal"/>
    <w:next w:val="Normal"/>
    <w:autoRedefine/>
    <w:semiHidden/>
    <w:rsid w:val="001E1766"/>
    <w:pPr>
      <w:ind w:left="480"/>
    </w:pPr>
    <w:rPr>
      <w:sz w:val="20"/>
      <w:szCs w:val="20"/>
    </w:rPr>
  </w:style>
  <w:style w:type="paragraph" w:styleId="TOC5">
    <w:name w:val="toc 5"/>
    <w:basedOn w:val="Normal"/>
    <w:next w:val="Normal"/>
    <w:autoRedefine/>
    <w:semiHidden/>
    <w:rsid w:val="001E1766"/>
    <w:pPr>
      <w:ind w:left="720"/>
    </w:pPr>
    <w:rPr>
      <w:sz w:val="20"/>
      <w:szCs w:val="20"/>
    </w:rPr>
  </w:style>
  <w:style w:type="paragraph" w:styleId="TOC6">
    <w:name w:val="toc 6"/>
    <w:basedOn w:val="Normal"/>
    <w:next w:val="Normal"/>
    <w:autoRedefine/>
    <w:semiHidden/>
    <w:rsid w:val="001E1766"/>
    <w:pPr>
      <w:ind w:left="960"/>
    </w:pPr>
    <w:rPr>
      <w:sz w:val="20"/>
      <w:szCs w:val="20"/>
    </w:rPr>
  </w:style>
  <w:style w:type="paragraph" w:styleId="TOC7">
    <w:name w:val="toc 7"/>
    <w:basedOn w:val="Normal"/>
    <w:next w:val="Normal"/>
    <w:autoRedefine/>
    <w:semiHidden/>
    <w:rsid w:val="001E1766"/>
    <w:pPr>
      <w:ind w:left="1200"/>
    </w:pPr>
    <w:rPr>
      <w:sz w:val="20"/>
      <w:szCs w:val="20"/>
    </w:rPr>
  </w:style>
  <w:style w:type="paragraph" w:styleId="TOC8">
    <w:name w:val="toc 8"/>
    <w:basedOn w:val="Normal"/>
    <w:next w:val="Normal"/>
    <w:autoRedefine/>
    <w:semiHidden/>
    <w:rsid w:val="001E1766"/>
    <w:pPr>
      <w:ind w:left="1440"/>
    </w:pPr>
    <w:rPr>
      <w:sz w:val="20"/>
      <w:szCs w:val="20"/>
    </w:rPr>
  </w:style>
  <w:style w:type="paragraph" w:styleId="TOC9">
    <w:name w:val="toc 9"/>
    <w:basedOn w:val="Normal"/>
    <w:next w:val="Normal"/>
    <w:autoRedefine/>
    <w:semiHidden/>
    <w:rsid w:val="001E1766"/>
    <w:pPr>
      <w:ind w:left="1680"/>
    </w:pPr>
    <w:rPr>
      <w:sz w:val="20"/>
      <w:szCs w:val="20"/>
    </w:rPr>
  </w:style>
  <w:style w:type="paragraph" w:customStyle="1" w:styleId="Clea">
    <w:name w:val="Clea"/>
    <w:basedOn w:val="Heading1"/>
    <w:rsid w:val="0031582B"/>
    <w:rPr>
      <w:rFonts w:cs="Calibri"/>
      <w:b w:val="0"/>
      <w:bCs/>
      <w:color w:val="000000"/>
      <w:sz w:val="22"/>
      <w:szCs w:val="22"/>
    </w:rPr>
  </w:style>
  <w:style w:type="character" w:styleId="PageNumber">
    <w:name w:val="page number"/>
    <w:basedOn w:val="DefaultParagraphFont"/>
    <w:rsid w:val="00AF4D0C"/>
  </w:style>
  <w:style w:type="paragraph" w:styleId="Title">
    <w:name w:val="Title"/>
    <w:basedOn w:val="Normal"/>
    <w:next w:val="Normal"/>
    <w:link w:val="TitleChar"/>
    <w:uiPriority w:val="10"/>
    <w:qFormat/>
    <w:rsid w:val="00B45E96"/>
    <w:pPr>
      <w:tabs>
        <w:tab w:val="left" w:pos="3360"/>
      </w:tabs>
      <w:spacing w:line="400" w:lineRule="exact"/>
      <w:jc w:val="right"/>
    </w:pPr>
    <w:rPr>
      <w:b/>
      <w:bCs/>
      <w:sz w:val="44"/>
      <w:szCs w:val="44"/>
      <w:lang w:eastAsia="ja-JP"/>
    </w:rPr>
  </w:style>
  <w:style w:type="character" w:customStyle="1" w:styleId="TitleChar">
    <w:name w:val="Title Char"/>
    <w:basedOn w:val="DefaultParagraphFont"/>
    <w:link w:val="Title"/>
    <w:uiPriority w:val="10"/>
    <w:rsid w:val="00B45E96"/>
    <w:rPr>
      <w:b/>
      <w:bCs/>
      <w:sz w:val="44"/>
      <w:szCs w:val="44"/>
      <w:lang w:eastAsia="ja-JP"/>
    </w:rPr>
  </w:style>
  <w:style w:type="paragraph" w:styleId="Subtitle">
    <w:name w:val="Subtitle"/>
    <w:basedOn w:val="Normal"/>
    <w:next w:val="Normal"/>
    <w:link w:val="SubtitleChar"/>
    <w:uiPriority w:val="11"/>
    <w:qFormat/>
    <w:rsid w:val="00B45E96"/>
    <w:pPr>
      <w:spacing w:line="400" w:lineRule="exact"/>
      <w:jc w:val="right"/>
    </w:pPr>
    <w:rPr>
      <w:b/>
      <w:sz w:val="32"/>
      <w:szCs w:val="32"/>
    </w:rPr>
  </w:style>
  <w:style w:type="character" w:customStyle="1" w:styleId="SubtitleChar">
    <w:name w:val="Subtitle Char"/>
    <w:basedOn w:val="DefaultParagraphFont"/>
    <w:link w:val="Subtitle"/>
    <w:uiPriority w:val="11"/>
    <w:rsid w:val="00B45E96"/>
    <w:rPr>
      <w:b/>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801"/>
    <w:rPr>
      <w:sz w:val="24"/>
      <w:szCs w:val="24"/>
    </w:rPr>
  </w:style>
  <w:style w:type="paragraph" w:styleId="Heading1">
    <w:name w:val="heading 1"/>
    <w:basedOn w:val="Normal"/>
    <w:next w:val="Normal"/>
    <w:link w:val="Heading1Char"/>
    <w:qFormat/>
    <w:rsid w:val="00B45E96"/>
    <w:pPr>
      <w:jc w:val="center"/>
      <w:outlineLvl w:val="0"/>
    </w:pPr>
    <w:rPr>
      <w:b/>
      <w:sz w:val="32"/>
      <w:u w:val="single"/>
    </w:rPr>
  </w:style>
  <w:style w:type="paragraph" w:styleId="Heading2">
    <w:name w:val="heading 2"/>
    <w:basedOn w:val="Normal"/>
    <w:next w:val="Normal"/>
    <w:link w:val="Heading2Char"/>
    <w:qFormat/>
    <w:rsid w:val="00B45E96"/>
    <w:pPr>
      <w:keepNext/>
      <w:outlineLvl w:val="1"/>
    </w:pPr>
    <w:rPr>
      <w:bCs/>
      <w:u w:val="single"/>
    </w:rPr>
  </w:style>
  <w:style w:type="paragraph" w:styleId="Heading7">
    <w:name w:val="heading 7"/>
    <w:basedOn w:val="Normal"/>
    <w:next w:val="Normal"/>
    <w:qFormat/>
    <w:rsid w:val="00C462AD"/>
    <w:pPr>
      <w:spacing w:before="240" w:after="60"/>
      <w:outlineLvl w:val="6"/>
    </w:pPr>
  </w:style>
  <w:style w:type="paragraph" w:styleId="Heading8">
    <w:name w:val="heading 8"/>
    <w:basedOn w:val="Normal"/>
    <w:next w:val="Normal"/>
    <w:qFormat/>
    <w:rsid w:val="00C462AD"/>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rsid w:val="001A5801"/>
    <w:rPr>
      <w:rFonts w:ascii="Tahoma" w:hAnsi="Tahoma" w:cs="Tahoma"/>
      <w:sz w:val="16"/>
      <w:szCs w:val="16"/>
    </w:rPr>
  </w:style>
  <w:style w:type="character" w:customStyle="1" w:styleId="BalloonTextChar">
    <w:name w:val="Balloon Text Char"/>
    <w:basedOn w:val="DefaultParagraphFont"/>
    <w:uiPriority w:val="99"/>
    <w:semiHidden/>
    <w:rsid w:val="0068080A"/>
    <w:rPr>
      <w:rFonts w:ascii="Lucida Grande" w:hAnsi="Lucida Grande"/>
      <w:sz w:val="18"/>
      <w:szCs w:val="18"/>
    </w:rPr>
  </w:style>
  <w:style w:type="character" w:customStyle="1" w:styleId="BalloonTextChar0">
    <w:name w:val="Balloon Text Char"/>
    <w:basedOn w:val="DefaultParagraphFont"/>
    <w:uiPriority w:val="99"/>
    <w:semiHidden/>
    <w:rsid w:val="005E01FF"/>
    <w:rPr>
      <w:rFonts w:ascii="Lucida Grande" w:hAnsi="Lucida Grande"/>
      <w:sz w:val="18"/>
      <w:szCs w:val="18"/>
    </w:rPr>
  </w:style>
  <w:style w:type="character" w:customStyle="1" w:styleId="BalloonTextChar1">
    <w:name w:val="Balloon Text Char1"/>
    <w:basedOn w:val="DefaultParagraphFont"/>
    <w:link w:val="BalloonText"/>
    <w:uiPriority w:val="99"/>
    <w:semiHidden/>
    <w:rsid w:val="002B171A"/>
    <w:rPr>
      <w:rFonts w:ascii="Lucida Grande" w:hAnsi="Lucida Grande"/>
      <w:sz w:val="18"/>
      <w:szCs w:val="18"/>
    </w:rPr>
  </w:style>
  <w:style w:type="character" w:styleId="Hyperlink">
    <w:name w:val="Hyperlink"/>
    <w:uiPriority w:val="99"/>
    <w:rsid w:val="001A5801"/>
    <w:rPr>
      <w:color w:val="0000FF"/>
      <w:u w:val="single"/>
    </w:rPr>
  </w:style>
  <w:style w:type="paragraph" w:styleId="BodyText">
    <w:name w:val="Body Text"/>
    <w:basedOn w:val="Normal"/>
    <w:rsid w:val="001A5801"/>
    <w:rPr>
      <w:rFonts w:ascii="Arial" w:hAnsi="Arial" w:cs="Arial"/>
      <w:sz w:val="20"/>
      <w:szCs w:val="20"/>
    </w:rPr>
  </w:style>
  <w:style w:type="paragraph" w:styleId="Header">
    <w:name w:val="header"/>
    <w:basedOn w:val="Normal"/>
    <w:link w:val="HeaderChar"/>
    <w:rsid w:val="001A5801"/>
    <w:pPr>
      <w:tabs>
        <w:tab w:val="center" w:pos="4320"/>
        <w:tab w:val="right" w:pos="8640"/>
      </w:tabs>
    </w:pPr>
  </w:style>
  <w:style w:type="paragraph" w:styleId="Footer">
    <w:name w:val="footer"/>
    <w:basedOn w:val="Normal"/>
    <w:link w:val="FooterChar1"/>
    <w:rsid w:val="001A5801"/>
    <w:pPr>
      <w:tabs>
        <w:tab w:val="center" w:pos="4320"/>
        <w:tab w:val="right" w:pos="8640"/>
      </w:tabs>
    </w:pPr>
  </w:style>
  <w:style w:type="paragraph" w:styleId="BodyTextIndent">
    <w:name w:val="Body Text Indent"/>
    <w:basedOn w:val="Normal"/>
    <w:rsid w:val="001A5801"/>
    <w:pPr>
      <w:ind w:left="1440" w:hanging="1440"/>
    </w:pPr>
    <w:rPr>
      <w:rFonts w:ascii="Arial" w:hAnsi="Arial" w:cs="Arial"/>
      <w:b/>
      <w:bCs/>
      <w:sz w:val="20"/>
      <w:szCs w:val="20"/>
    </w:rPr>
  </w:style>
  <w:style w:type="paragraph" w:styleId="BodyText2">
    <w:name w:val="Body Text 2"/>
    <w:basedOn w:val="Normal"/>
    <w:rsid w:val="001A5801"/>
    <w:pPr>
      <w:jc w:val="both"/>
    </w:pPr>
    <w:rPr>
      <w:rFonts w:ascii="Arial" w:hAnsi="Arial" w:cs="Arial"/>
      <w:sz w:val="20"/>
      <w:szCs w:val="20"/>
    </w:rPr>
  </w:style>
  <w:style w:type="paragraph" w:styleId="DocumentMap">
    <w:name w:val="Document Map"/>
    <w:basedOn w:val="Normal"/>
    <w:semiHidden/>
    <w:rsid w:val="001A5801"/>
    <w:pPr>
      <w:shd w:val="clear" w:color="auto" w:fill="000080"/>
    </w:pPr>
    <w:rPr>
      <w:rFonts w:ascii="Tahoma" w:hAnsi="Tahoma" w:cs="Tahoma"/>
      <w:sz w:val="20"/>
      <w:szCs w:val="20"/>
    </w:rPr>
  </w:style>
  <w:style w:type="paragraph" w:styleId="PlainText">
    <w:name w:val="Plain Text"/>
    <w:basedOn w:val="Normal"/>
    <w:link w:val="PlainTextChar"/>
    <w:uiPriority w:val="99"/>
    <w:rsid w:val="00CC6E5F"/>
    <w:pPr>
      <w:spacing w:before="100" w:beforeAutospacing="1" w:after="100" w:afterAutospacing="1"/>
    </w:pPr>
  </w:style>
  <w:style w:type="paragraph" w:styleId="NormalWeb">
    <w:name w:val="Normal (Web)"/>
    <w:basedOn w:val="Normal"/>
    <w:uiPriority w:val="99"/>
    <w:rsid w:val="001854AB"/>
    <w:pPr>
      <w:spacing w:before="100" w:beforeAutospacing="1" w:after="100" w:afterAutospacing="1"/>
    </w:pPr>
  </w:style>
  <w:style w:type="paragraph" w:styleId="ListParagraph">
    <w:name w:val="List Paragraph"/>
    <w:basedOn w:val="Normal"/>
    <w:uiPriority w:val="34"/>
    <w:qFormat/>
    <w:rsid w:val="00396D76"/>
    <w:pPr>
      <w:ind w:left="720"/>
      <w:contextualSpacing/>
    </w:pPr>
  </w:style>
  <w:style w:type="character" w:customStyle="1" w:styleId="PlainTextChar">
    <w:name w:val="Plain Text Char"/>
    <w:link w:val="PlainText"/>
    <w:uiPriority w:val="99"/>
    <w:rsid w:val="003879DF"/>
    <w:rPr>
      <w:sz w:val="24"/>
      <w:szCs w:val="24"/>
    </w:rPr>
  </w:style>
  <w:style w:type="character" w:styleId="CommentReference">
    <w:name w:val="annotation reference"/>
    <w:rsid w:val="00B36B8A"/>
    <w:rPr>
      <w:sz w:val="16"/>
      <w:szCs w:val="16"/>
    </w:rPr>
  </w:style>
  <w:style w:type="paragraph" w:styleId="CommentText">
    <w:name w:val="annotation text"/>
    <w:basedOn w:val="Normal"/>
    <w:link w:val="CommentTextChar"/>
    <w:rsid w:val="00B36B8A"/>
    <w:rPr>
      <w:sz w:val="20"/>
      <w:szCs w:val="20"/>
    </w:rPr>
  </w:style>
  <w:style w:type="character" w:customStyle="1" w:styleId="CommentTextChar">
    <w:name w:val="Comment Text Char"/>
    <w:basedOn w:val="DefaultParagraphFont"/>
    <w:link w:val="CommentText"/>
    <w:rsid w:val="00B36B8A"/>
  </w:style>
  <w:style w:type="paragraph" w:styleId="CommentSubject">
    <w:name w:val="annotation subject"/>
    <w:basedOn w:val="CommentText"/>
    <w:next w:val="CommentText"/>
    <w:link w:val="CommentSubjectChar"/>
    <w:rsid w:val="00B36B8A"/>
    <w:rPr>
      <w:b/>
      <w:bCs/>
    </w:rPr>
  </w:style>
  <w:style w:type="character" w:customStyle="1" w:styleId="CommentSubjectChar">
    <w:name w:val="Comment Subject Char"/>
    <w:link w:val="CommentSubject"/>
    <w:rsid w:val="00B36B8A"/>
    <w:rPr>
      <w:b/>
      <w:bCs/>
    </w:rPr>
  </w:style>
  <w:style w:type="paragraph" w:styleId="FootnoteText">
    <w:name w:val="footnote text"/>
    <w:aliases w:val="Footnote Text Char,Footnote,12pt"/>
    <w:basedOn w:val="Normal"/>
    <w:link w:val="FootnoteTextChar1"/>
    <w:rsid w:val="00967129"/>
    <w:rPr>
      <w:sz w:val="20"/>
      <w:szCs w:val="20"/>
    </w:rPr>
  </w:style>
  <w:style w:type="character" w:customStyle="1" w:styleId="FootnoteTextChar1">
    <w:name w:val="Footnote Text Char1"/>
    <w:aliases w:val="Footnote Text Char Char,Footnote Char,12pt Char"/>
    <w:basedOn w:val="DefaultParagraphFont"/>
    <w:link w:val="FootnoteText"/>
    <w:rsid w:val="00967129"/>
  </w:style>
  <w:style w:type="character" w:styleId="FootnoteReference">
    <w:name w:val="footnote reference"/>
    <w:rsid w:val="00967129"/>
    <w:rPr>
      <w:vertAlign w:val="superscript"/>
    </w:rPr>
  </w:style>
  <w:style w:type="character" w:styleId="Strong">
    <w:name w:val="Strong"/>
    <w:uiPriority w:val="22"/>
    <w:qFormat/>
    <w:rsid w:val="00092501"/>
    <w:rPr>
      <w:b/>
      <w:bCs/>
    </w:rPr>
  </w:style>
  <w:style w:type="table" w:styleId="TableGrid">
    <w:name w:val="Table Grid"/>
    <w:basedOn w:val="TableNormal"/>
    <w:rsid w:val="00F33E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1">
    <w:name w:val="Footer Char1"/>
    <w:link w:val="Footer"/>
    <w:uiPriority w:val="99"/>
    <w:rsid w:val="00843477"/>
    <w:rPr>
      <w:sz w:val="24"/>
      <w:szCs w:val="24"/>
    </w:rPr>
  </w:style>
  <w:style w:type="paragraph" w:customStyle="1" w:styleId="NormalArial">
    <w:name w:val="Normal + Arial"/>
    <w:aliases w:val="Right:  -2.64 cm"/>
    <w:basedOn w:val="Normal"/>
    <w:uiPriority w:val="99"/>
    <w:rsid w:val="00312685"/>
    <w:pPr>
      <w:overflowPunct w:val="0"/>
      <w:autoSpaceDE w:val="0"/>
      <w:autoSpaceDN w:val="0"/>
      <w:adjustRightInd w:val="0"/>
      <w:ind w:right="-1497"/>
      <w:jc w:val="both"/>
      <w:textAlignment w:val="baseline"/>
    </w:pPr>
    <w:rPr>
      <w:rFonts w:ascii="Arial" w:hAnsi="Arial" w:cs="Arial"/>
      <w:sz w:val="20"/>
    </w:rPr>
  </w:style>
  <w:style w:type="paragraph" w:styleId="TOCHeading">
    <w:name w:val="TOC Heading"/>
    <w:basedOn w:val="Heading1"/>
    <w:next w:val="Normal"/>
    <w:uiPriority w:val="99"/>
    <w:qFormat/>
    <w:rsid w:val="00312685"/>
    <w:pPr>
      <w:keepLines/>
      <w:spacing w:before="480" w:line="276" w:lineRule="auto"/>
      <w:jc w:val="left"/>
      <w:outlineLvl w:val="9"/>
    </w:pPr>
    <w:rPr>
      <w:rFonts w:ascii="Cambria" w:hAnsi="Cambria"/>
      <w:color w:val="365F91"/>
      <w:sz w:val="28"/>
      <w:szCs w:val="28"/>
    </w:rPr>
  </w:style>
  <w:style w:type="paragraph" w:styleId="TOC2">
    <w:name w:val="toc 2"/>
    <w:basedOn w:val="Normal"/>
    <w:next w:val="Normal"/>
    <w:autoRedefine/>
    <w:uiPriority w:val="39"/>
    <w:rsid w:val="00312685"/>
    <w:pPr>
      <w:spacing w:before="240"/>
    </w:pPr>
    <w:rPr>
      <w:b/>
      <w:bCs/>
      <w:sz w:val="20"/>
      <w:szCs w:val="20"/>
    </w:rPr>
  </w:style>
  <w:style w:type="character" w:customStyle="1" w:styleId="Heading1Char">
    <w:name w:val="Heading 1 Char"/>
    <w:link w:val="Heading1"/>
    <w:rsid w:val="00B45E96"/>
    <w:rPr>
      <w:b/>
      <w:sz w:val="32"/>
      <w:szCs w:val="24"/>
      <w:u w:val="single"/>
    </w:rPr>
  </w:style>
  <w:style w:type="character" w:customStyle="1" w:styleId="Heading2Char">
    <w:name w:val="Heading 2 Char"/>
    <w:link w:val="Heading2"/>
    <w:rsid w:val="00B45E96"/>
    <w:rPr>
      <w:bCs/>
      <w:sz w:val="24"/>
      <w:szCs w:val="24"/>
      <w:u w:val="single"/>
    </w:rPr>
  </w:style>
  <w:style w:type="paragraph" w:styleId="TOC1">
    <w:name w:val="toc 1"/>
    <w:basedOn w:val="Normal"/>
    <w:next w:val="Normal"/>
    <w:autoRedefine/>
    <w:uiPriority w:val="39"/>
    <w:rsid w:val="00A04D97"/>
    <w:pPr>
      <w:tabs>
        <w:tab w:val="left" w:pos="480"/>
        <w:tab w:val="right" w:pos="9360"/>
      </w:tabs>
      <w:spacing w:before="360"/>
    </w:pPr>
    <w:rPr>
      <w:b/>
      <w:bCs/>
      <w:caps/>
      <w:noProof/>
    </w:rPr>
  </w:style>
  <w:style w:type="paragraph" w:styleId="EndnoteText">
    <w:name w:val="endnote text"/>
    <w:basedOn w:val="Normal"/>
    <w:link w:val="EndnoteTextChar"/>
    <w:uiPriority w:val="99"/>
    <w:semiHidden/>
    <w:unhideWhenUsed/>
    <w:rsid w:val="00090D90"/>
    <w:rPr>
      <w:sz w:val="20"/>
      <w:szCs w:val="20"/>
    </w:rPr>
  </w:style>
  <w:style w:type="character" w:customStyle="1" w:styleId="EndnoteTextChar">
    <w:name w:val="Endnote Text Char"/>
    <w:basedOn w:val="DefaultParagraphFont"/>
    <w:link w:val="EndnoteText"/>
    <w:uiPriority w:val="99"/>
    <w:semiHidden/>
    <w:rsid w:val="00090D90"/>
  </w:style>
  <w:style w:type="character" w:styleId="EndnoteReference">
    <w:name w:val="endnote reference"/>
    <w:uiPriority w:val="99"/>
    <w:semiHidden/>
    <w:unhideWhenUsed/>
    <w:rsid w:val="00090D90"/>
    <w:rPr>
      <w:vertAlign w:val="superscript"/>
    </w:rPr>
  </w:style>
  <w:style w:type="character" w:styleId="FollowedHyperlink">
    <w:name w:val="FollowedHyperlink"/>
    <w:uiPriority w:val="99"/>
    <w:semiHidden/>
    <w:unhideWhenUsed/>
    <w:rsid w:val="00976E29"/>
    <w:rPr>
      <w:color w:val="800080"/>
      <w:u w:val="single"/>
    </w:rPr>
  </w:style>
  <w:style w:type="paragraph" w:customStyle="1" w:styleId="H1">
    <w:name w:val="H1"/>
    <w:rsid w:val="000134CC"/>
    <w:pPr>
      <w:spacing w:before="60" w:after="60"/>
    </w:pPr>
    <w:rPr>
      <w:rFonts w:cs="Arial"/>
      <w:b/>
      <w:bCs/>
      <w:snapToGrid w:val="0"/>
      <w:kern w:val="32"/>
      <w:sz w:val="24"/>
      <w:szCs w:val="32"/>
      <w:lang w:val="en-GB"/>
    </w:rPr>
  </w:style>
  <w:style w:type="paragraph" w:customStyle="1" w:styleId="H2">
    <w:name w:val="H2"/>
    <w:rsid w:val="000134CC"/>
    <w:rPr>
      <w:rFonts w:cs="Arial"/>
      <w:b/>
      <w:bCs/>
      <w:iCs/>
      <w:snapToGrid w:val="0"/>
      <w:sz w:val="22"/>
      <w:szCs w:val="28"/>
      <w:lang w:val="en-GB"/>
    </w:rPr>
  </w:style>
  <w:style w:type="paragraph" w:customStyle="1" w:styleId="LOA">
    <w:name w:val="LOA"/>
    <w:basedOn w:val="Normal"/>
    <w:rsid w:val="007F2A41"/>
    <w:pPr>
      <w:widowControl w:val="0"/>
      <w:spacing w:before="120" w:after="120"/>
      <w:jc w:val="both"/>
    </w:pPr>
    <w:rPr>
      <w:rFonts w:ascii="Garamond" w:eastAsia="MS Mincho" w:hAnsi="Garamond" w:cs="Garamond"/>
      <w:sz w:val="22"/>
      <w:szCs w:val="22"/>
      <w:lang w:val="en-GB"/>
    </w:rPr>
  </w:style>
  <w:style w:type="paragraph" w:customStyle="1" w:styleId="Default">
    <w:name w:val="Default"/>
    <w:rsid w:val="007F2A41"/>
    <w:pPr>
      <w:widowControl w:val="0"/>
      <w:autoSpaceDE w:val="0"/>
      <w:autoSpaceDN w:val="0"/>
      <w:adjustRightInd w:val="0"/>
    </w:pPr>
    <w:rPr>
      <w:rFonts w:ascii="Arial" w:eastAsia="MS Mincho" w:hAnsi="Arial" w:cs="Arial"/>
      <w:color w:val="000000"/>
      <w:sz w:val="24"/>
      <w:szCs w:val="24"/>
    </w:rPr>
  </w:style>
  <w:style w:type="paragraph" w:customStyle="1" w:styleId="CM6">
    <w:name w:val="CM6"/>
    <w:basedOn w:val="Default"/>
    <w:next w:val="Default"/>
    <w:rsid w:val="007F2A41"/>
    <w:pPr>
      <w:spacing w:line="476" w:lineRule="atLeast"/>
    </w:pPr>
    <w:rPr>
      <w:color w:val="auto"/>
    </w:rPr>
  </w:style>
  <w:style w:type="paragraph" w:customStyle="1" w:styleId="Default1">
    <w:name w:val="Default1"/>
    <w:basedOn w:val="Default"/>
    <w:next w:val="Default"/>
    <w:rsid w:val="00BA72A6"/>
    <w:pPr>
      <w:widowControl/>
    </w:pPr>
    <w:rPr>
      <w:rFonts w:ascii="Garamond" w:eastAsia="Times New Roman" w:hAnsi="Garamond" w:cs="Times New Roman"/>
      <w:color w:val="auto"/>
    </w:rPr>
  </w:style>
  <w:style w:type="paragraph" w:customStyle="1" w:styleId="ListNumber1">
    <w:name w:val="List Number 1"/>
    <w:basedOn w:val="Default"/>
    <w:next w:val="Default"/>
    <w:rsid w:val="007807DB"/>
    <w:pPr>
      <w:widowControl/>
    </w:pPr>
    <w:rPr>
      <w:rFonts w:ascii="Calibri" w:eastAsia="Times New Roman" w:hAnsi="Calibri" w:cs="Times New Roman"/>
      <w:color w:val="auto"/>
    </w:rPr>
  </w:style>
  <w:style w:type="paragraph" w:customStyle="1" w:styleId="Paragrafoelenco1">
    <w:name w:val="Paragrafo elenco1"/>
    <w:basedOn w:val="Normal"/>
    <w:rsid w:val="00DF7DB6"/>
    <w:pPr>
      <w:spacing w:before="120" w:after="120"/>
      <w:ind w:left="720"/>
      <w:jc w:val="both"/>
    </w:pPr>
    <w:rPr>
      <w:rFonts w:ascii="Bell MT" w:hAnsi="Bell MT"/>
      <w:sz w:val="22"/>
      <w:szCs w:val="20"/>
    </w:rPr>
  </w:style>
  <w:style w:type="paragraph" w:customStyle="1" w:styleId="Bulletlevel1">
    <w:name w:val="Bullet level 1"/>
    <w:basedOn w:val="Normal"/>
    <w:rsid w:val="00DC1B47"/>
    <w:pPr>
      <w:numPr>
        <w:numId w:val="14"/>
      </w:numPr>
    </w:pPr>
    <w:rPr>
      <w:rFonts w:ascii="Cambria" w:hAnsi="Cambria"/>
      <w:sz w:val="23"/>
    </w:rPr>
  </w:style>
  <w:style w:type="paragraph" w:styleId="BodyText3">
    <w:name w:val="Body Text 3"/>
    <w:basedOn w:val="Normal"/>
    <w:rsid w:val="00421CE3"/>
    <w:pPr>
      <w:spacing w:after="120"/>
    </w:pPr>
    <w:rPr>
      <w:sz w:val="16"/>
      <w:szCs w:val="16"/>
    </w:rPr>
  </w:style>
  <w:style w:type="character" w:customStyle="1" w:styleId="HeaderChar">
    <w:name w:val="Header Char"/>
    <w:link w:val="Header"/>
    <w:locked/>
    <w:rsid w:val="00421CE3"/>
    <w:rPr>
      <w:sz w:val="24"/>
      <w:szCs w:val="24"/>
      <w:lang w:val="en-US" w:eastAsia="en-US" w:bidi="ar-SA"/>
    </w:rPr>
  </w:style>
  <w:style w:type="character" w:customStyle="1" w:styleId="FooterChar">
    <w:name w:val="Footer Char"/>
    <w:locked/>
    <w:rsid w:val="00421CE3"/>
    <w:rPr>
      <w:rFonts w:ascii="Cambria" w:hAnsi="Cambria" w:cs="Times New Roman"/>
      <w:sz w:val="24"/>
      <w:szCs w:val="24"/>
      <w:lang w:val="en-US" w:eastAsia="en-US"/>
    </w:rPr>
  </w:style>
  <w:style w:type="paragraph" w:customStyle="1" w:styleId="TableText">
    <w:name w:val="Table Text"/>
    <w:basedOn w:val="Normal"/>
    <w:rsid w:val="00421CE3"/>
    <w:pPr>
      <w:spacing w:before="20"/>
    </w:pPr>
    <w:rPr>
      <w:rFonts w:ascii="Garamond" w:eastAsia="MS Mincho" w:hAnsi="Garamond" w:cs="Garamond"/>
      <w:sz w:val="20"/>
      <w:szCs w:val="20"/>
      <w:lang w:val="en-GB"/>
    </w:rPr>
  </w:style>
  <w:style w:type="paragraph" w:styleId="TOC3">
    <w:name w:val="toc 3"/>
    <w:basedOn w:val="Normal"/>
    <w:next w:val="Normal"/>
    <w:autoRedefine/>
    <w:semiHidden/>
    <w:rsid w:val="001E1766"/>
    <w:pPr>
      <w:ind w:left="240"/>
    </w:pPr>
    <w:rPr>
      <w:sz w:val="20"/>
      <w:szCs w:val="20"/>
    </w:rPr>
  </w:style>
  <w:style w:type="paragraph" w:styleId="TOC4">
    <w:name w:val="toc 4"/>
    <w:basedOn w:val="Normal"/>
    <w:next w:val="Normal"/>
    <w:autoRedefine/>
    <w:semiHidden/>
    <w:rsid w:val="001E1766"/>
    <w:pPr>
      <w:ind w:left="480"/>
    </w:pPr>
    <w:rPr>
      <w:sz w:val="20"/>
      <w:szCs w:val="20"/>
    </w:rPr>
  </w:style>
  <w:style w:type="paragraph" w:styleId="TOC5">
    <w:name w:val="toc 5"/>
    <w:basedOn w:val="Normal"/>
    <w:next w:val="Normal"/>
    <w:autoRedefine/>
    <w:semiHidden/>
    <w:rsid w:val="001E1766"/>
    <w:pPr>
      <w:ind w:left="720"/>
    </w:pPr>
    <w:rPr>
      <w:sz w:val="20"/>
      <w:szCs w:val="20"/>
    </w:rPr>
  </w:style>
  <w:style w:type="paragraph" w:styleId="TOC6">
    <w:name w:val="toc 6"/>
    <w:basedOn w:val="Normal"/>
    <w:next w:val="Normal"/>
    <w:autoRedefine/>
    <w:semiHidden/>
    <w:rsid w:val="001E1766"/>
    <w:pPr>
      <w:ind w:left="960"/>
    </w:pPr>
    <w:rPr>
      <w:sz w:val="20"/>
      <w:szCs w:val="20"/>
    </w:rPr>
  </w:style>
  <w:style w:type="paragraph" w:styleId="TOC7">
    <w:name w:val="toc 7"/>
    <w:basedOn w:val="Normal"/>
    <w:next w:val="Normal"/>
    <w:autoRedefine/>
    <w:semiHidden/>
    <w:rsid w:val="001E1766"/>
    <w:pPr>
      <w:ind w:left="1200"/>
    </w:pPr>
    <w:rPr>
      <w:sz w:val="20"/>
      <w:szCs w:val="20"/>
    </w:rPr>
  </w:style>
  <w:style w:type="paragraph" w:styleId="TOC8">
    <w:name w:val="toc 8"/>
    <w:basedOn w:val="Normal"/>
    <w:next w:val="Normal"/>
    <w:autoRedefine/>
    <w:semiHidden/>
    <w:rsid w:val="001E1766"/>
    <w:pPr>
      <w:ind w:left="1440"/>
    </w:pPr>
    <w:rPr>
      <w:sz w:val="20"/>
      <w:szCs w:val="20"/>
    </w:rPr>
  </w:style>
  <w:style w:type="paragraph" w:styleId="TOC9">
    <w:name w:val="toc 9"/>
    <w:basedOn w:val="Normal"/>
    <w:next w:val="Normal"/>
    <w:autoRedefine/>
    <w:semiHidden/>
    <w:rsid w:val="001E1766"/>
    <w:pPr>
      <w:ind w:left="1680"/>
    </w:pPr>
    <w:rPr>
      <w:sz w:val="20"/>
      <w:szCs w:val="20"/>
    </w:rPr>
  </w:style>
  <w:style w:type="paragraph" w:customStyle="1" w:styleId="Clea">
    <w:name w:val="Clea"/>
    <w:basedOn w:val="Heading1"/>
    <w:rsid w:val="0031582B"/>
    <w:rPr>
      <w:rFonts w:cs="Calibri"/>
      <w:b w:val="0"/>
      <w:bCs/>
      <w:color w:val="000000"/>
      <w:sz w:val="22"/>
      <w:szCs w:val="22"/>
    </w:rPr>
  </w:style>
  <w:style w:type="character" w:styleId="PageNumber">
    <w:name w:val="page number"/>
    <w:basedOn w:val="DefaultParagraphFont"/>
    <w:rsid w:val="00AF4D0C"/>
  </w:style>
  <w:style w:type="paragraph" w:styleId="Title">
    <w:name w:val="Title"/>
    <w:basedOn w:val="Normal"/>
    <w:next w:val="Normal"/>
    <w:link w:val="TitleChar"/>
    <w:uiPriority w:val="10"/>
    <w:qFormat/>
    <w:rsid w:val="00B45E96"/>
    <w:pPr>
      <w:tabs>
        <w:tab w:val="left" w:pos="3360"/>
      </w:tabs>
      <w:spacing w:line="400" w:lineRule="exact"/>
      <w:jc w:val="right"/>
    </w:pPr>
    <w:rPr>
      <w:b/>
      <w:bCs/>
      <w:sz w:val="44"/>
      <w:szCs w:val="44"/>
      <w:lang w:eastAsia="ja-JP"/>
    </w:rPr>
  </w:style>
  <w:style w:type="character" w:customStyle="1" w:styleId="TitleChar">
    <w:name w:val="Title Char"/>
    <w:basedOn w:val="DefaultParagraphFont"/>
    <w:link w:val="Title"/>
    <w:uiPriority w:val="10"/>
    <w:rsid w:val="00B45E96"/>
    <w:rPr>
      <w:b/>
      <w:bCs/>
      <w:sz w:val="44"/>
      <w:szCs w:val="44"/>
      <w:lang w:eastAsia="ja-JP"/>
    </w:rPr>
  </w:style>
  <w:style w:type="paragraph" w:styleId="Subtitle">
    <w:name w:val="Subtitle"/>
    <w:basedOn w:val="Normal"/>
    <w:next w:val="Normal"/>
    <w:link w:val="SubtitleChar"/>
    <w:uiPriority w:val="11"/>
    <w:qFormat/>
    <w:rsid w:val="00B45E96"/>
    <w:pPr>
      <w:spacing w:line="400" w:lineRule="exact"/>
      <w:jc w:val="right"/>
    </w:pPr>
    <w:rPr>
      <w:b/>
      <w:sz w:val="32"/>
      <w:szCs w:val="32"/>
    </w:rPr>
  </w:style>
  <w:style w:type="character" w:customStyle="1" w:styleId="SubtitleChar">
    <w:name w:val="Subtitle Char"/>
    <w:basedOn w:val="DefaultParagraphFont"/>
    <w:link w:val="Subtitle"/>
    <w:uiPriority w:val="11"/>
    <w:rsid w:val="00B45E96"/>
    <w:rPr>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666">
      <w:bodyDiv w:val="1"/>
      <w:marLeft w:val="0"/>
      <w:marRight w:val="0"/>
      <w:marTop w:val="0"/>
      <w:marBottom w:val="0"/>
      <w:divBdr>
        <w:top w:val="none" w:sz="0" w:space="0" w:color="auto"/>
        <w:left w:val="none" w:sz="0" w:space="0" w:color="auto"/>
        <w:bottom w:val="none" w:sz="0" w:space="0" w:color="auto"/>
        <w:right w:val="none" w:sz="0" w:space="0" w:color="auto"/>
      </w:divBdr>
    </w:div>
    <w:div w:id="70586840">
      <w:bodyDiv w:val="1"/>
      <w:marLeft w:val="0"/>
      <w:marRight w:val="0"/>
      <w:marTop w:val="0"/>
      <w:marBottom w:val="0"/>
      <w:divBdr>
        <w:top w:val="none" w:sz="0" w:space="0" w:color="auto"/>
        <w:left w:val="none" w:sz="0" w:space="0" w:color="auto"/>
        <w:bottom w:val="none" w:sz="0" w:space="0" w:color="auto"/>
        <w:right w:val="none" w:sz="0" w:space="0" w:color="auto"/>
      </w:divBdr>
    </w:div>
    <w:div w:id="103501814">
      <w:bodyDiv w:val="1"/>
      <w:marLeft w:val="0"/>
      <w:marRight w:val="0"/>
      <w:marTop w:val="0"/>
      <w:marBottom w:val="0"/>
      <w:divBdr>
        <w:top w:val="none" w:sz="0" w:space="0" w:color="auto"/>
        <w:left w:val="none" w:sz="0" w:space="0" w:color="auto"/>
        <w:bottom w:val="none" w:sz="0" w:space="0" w:color="auto"/>
        <w:right w:val="none" w:sz="0" w:space="0" w:color="auto"/>
      </w:divBdr>
    </w:div>
    <w:div w:id="205215507">
      <w:bodyDiv w:val="1"/>
      <w:marLeft w:val="0"/>
      <w:marRight w:val="0"/>
      <w:marTop w:val="0"/>
      <w:marBottom w:val="0"/>
      <w:divBdr>
        <w:top w:val="none" w:sz="0" w:space="0" w:color="auto"/>
        <w:left w:val="none" w:sz="0" w:space="0" w:color="auto"/>
        <w:bottom w:val="none" w:sz="0" w:space="0" w:color="auto"/>
        <w:right w:val="none" w:sz="0" w:space="0" w:color="auto"/>
      </w:divBdr>
    </w:div>
    <w:div w:id="304161994">
      <w:bodyDiv w:val="1"/>
      <w:marLeft w:val="0"/>
      <w:marRight w:val="0"/>
      <w:marTop w:val="0"/>
      <w:marBottom w:val="0"/>
      <w:divBdr>
        <w:top w:val="none" w:sz="0" w:space="0" w:color="auto"/>
        <w:left w:val="none" w:sz="0" w:space="0" w:color="auto"/>
        <w:bottom w:val="none" w:sz="0" w:space="0" w:color="auto"/>
        <w:right w:val="none" w:sz="0" w:space="0" w:color="auto"/>
      </w:divBdr>
    </w:div>
    <w:div w:id="363099638">
      <w:bodyDiv w:val="1"/>
      <w:marLeft w:val="0"/>
      <w:marRight w:val="0"/>
      <w:marTop w:val="0"/>
      <w:marBottom w:val="0"/>
      <w:divBdr>
        <w:top w:val="none" w:sz="0" w:space="0" w:color="auto"/>
        <w:left w:val="none" w:sz="0" w:space="0" w:color="auto"/>
        <w:bottom w:val="none" w:sz="0" w:space="0" w:color="auto"/>
        <w:right w:val="none" w:sz="0" w:space="0" w:color="auto"/>
      </w:divBdr>
    </w:div>
    <w:div w:id="410277288">
      <w:bodyDiv w:val="1"/>
      <w:marLeft w:val="0"/>
      <w:marRight w:val="0"/>
      <w:marTop w:val="0"/>
      <w:marBottom w:val="0"/>
      <w:divBdr>
        <w:top w:val="none" w:sz="0" w:space="0" w:color="auto"/>
        <w:left w:val="none" w:sz="0" w:space="0" w:color="auto"/>
        <w:bottom w:val="none" w:sz="0" w:space="0" w:color="auto"/>
        <w:right w:val="none" w:sz="0" w:space="0" w:color="auto"/>
      </w:divBdr>
    </w:div>
    <w:div w:id="519659251">
      <w:bodyDiv w:val="1"/>
      <w:marLeft w:val="0"/>
      <w:marRight w:val="0"/>
      <w:marTop w:val="0"/>
      <w:marBottom w:val="0"/>
      <w:divBdr>
        <w:top w:val="none" w:sz="0" w:space="0" w:color="auto"/>
        <w:left w:val="none" w:sz="0" w:space="0" w:color="auto"/>
        <w:bottom w:val="none" w:sz="0" w:space="0" w:color="auto"/>
        <w:right w:val="none" w:sz="0" w:space="0" w:color="auto"/>
      </w:divBdr>
    </w:div>
    <w:div w:id="656150508">
      <w:bodyDiv w:val="1"/>
      <w:marLeft w:val="0"/>
      <w:marRight w:val="0"/>
      <w:marTop w:val="0"/>
      <w:marBottom w:val="0"/>
      <w:divBdr>
        <w:top w:val="none" w:sz="0" w:space="0" w:color="auto"/>
        <w:left w:val="none" w:sz="0" w:space="0" w:color="auto"/>
        <w:bottom w:val="none" w:sz="0" w:space="0" w:color="auto"/>
        <w:right w:val="none" w:sz="0" w:space="0" w:color="auto"/>
      </w:divBdr>
      <w:divsChild>
        <w:div w:id="633608501">
          <w:marLeft w:val="0"/>
          <w:marRight w:val="0"/>
          <w:marTop w:val="0"/>
          <w:marBottom w:val="0"/>
          <w:divBdr>
            <w:top w:val="none" w:sz="0" w:space="0" w:color="auto"/>
            <w:left w:val="none" w:sz="0" w:space="0" w:color="auto"/>
            <w:bottom w:val="none" w:sz="0" w:space="0" w:color="auto"/>
            <w:right w:val="none" w:sz="0" w:space="0" w:color="auto"/>
          </w:divBdr>
        </w:div>
      </w:divsChild>
    </w:div>
    <w:div w:id="766775280">
      <w:bodyDiv w:val="1"/>
      <w:marLeft w:val="0"/>
      <w:marRight w:val="0"/>
      <w:marTop w:val="0"/>
      <w:marBottom w:val="0"/>
      <w:divBdr>
        <w:top w:val="none" w:sz="0" w:space="0" w:color="auto"/>
        <w:left w:val="none" w:sz="0" w:space="0" w:color="auto"/>
        <w:bottom w:val="none" w:sz="0" w:space="0" w:color="auto"/>
        <w:right w:val="none" w:sz="0" w:space="0" w:color="auto"/>
      </w:divBdr>
    </w:div>
    <w:div w:id="818885914">
      <w:bodyDiv w:val="1"/>
      <w:marLeft w:val="0"/>
      <w:marRight w:val="0"/>
      <w:marTop w:val="0"/>
      <w:marBottom w:val="0"/>
      <w:divBdr>
        <w:top w:val="none" w:sz="0" w:space="0" w:color="auto"/>
        <w:left w:val="none" w:sz="0" w:space="0" w:color="auto"/>
        <w:bottom w:val="none" w:sz="0" w:space="0" w:color="auto"/>
        <w:right w:val="none" w:sz="0" w:space="0" w:color="auto"/>
      </w:divBdr>
    </w:div>
    <w:div w:id="855265461">
      <w:bodyDiv w:val="1"/>
      <w:marLeft w:val="0"/>
      <w:marRight w:val="0"/>
      <w:marTop w:val="0"/>
      <w:marBottom w:val="0"/>
      <w:divBdr>
        <w:top w:val="none" w:sz="0" w:space="0" w:color="auto"/>
        <w:left w:val="none" w:sz="0" w:space="0" w:color="auto"/>
        <w:bottom w:val="none" w:sz="0" w:space="0" w:color="auto"/>
        <w:right w:val="none" w:sz="0" w:space="0" w:color="auto"/>
      </w:divBdr>
    </w:div>
    <w:div w:id="884022661">
      <w:bodyDiv w:val="1"/>
      <w:marLeft w:val="0"/>
      <w:marRight w:val="0"/>
      <w:marTop w:val="0"/>
      <w:marBottom w:val="0"/>
      <w:divBdr>
        <w:top w:val="none" w:sz="0" w:space="0" w:color="auto"/>
        <w:left w:val="none" w:sz="0" w:space="0" w:color="auto"/>
        <w:bottom w:val="none" w:sz="0" w:space="0" w:color="auto"/>
        <w:right w:val="none" w:sz="0" w:space="0" w:color="auto"/>
      </w:divBdr>
      <w:divsChild>
        <w:div w:id="782573281">
          <w:marLeft w:val="0"/>
          <w:marRight w:val="0"/>
          <w:marTop w:val="0"/>
          <w:marBottom w:val="0"/>
          <w:divBdr>
            <w:top w:val="none" w:sz="0" w:space="0" w:color="auto"/>
            <w:left w:val="none" w:sz="0" w:space="0" w:color="auto"/>
            <w:bottom w:val="none" w:sz="0" w:space="0" w:color="auto"/>
            <w:right w:val="none" w:sz="0" w:space="0" w:color="auto"/>
          </w:divBdr>
        </w:div>
      </w:divsChild>
    </w:div>
    <w:div w:id="1045982073">
      <w:bodyDiv w:val="1"/>
      <w:marLeft w:val="0"/>
      <w:marRight w:val="0"/>
      <w:marTop w:val="0"/>
      <w:marBottom w:val="0"/>
      <w:divBdr>
        <w:top w:val="none" w:sz="0" w:space="0" w:color="auto"/>
        <w:left w:val="none" w:sz="0" w:space="0" w:color="auto"/>
        <w:bottom w:val="none" w:sz="0" w:space="0" w:color="auto"/>
        <w:right w:val="none" w:sz="0" w:space="0" w:color="auto"/>
      </w:divBdr>
    </w:div>
    <w:div w:id="1106342194">
      <w:bodyDiv w:val="1"/>
      <w:marLeft w:val="0"/>
      <w:marRight w:val="0"/>
      <w:marTop w:val="0"/>
      <w:marBottom w:val="0"/>
      <w:divBdr>
        <w:top w:val="none" w:sz="0" w:space="0" w:color="auto"/>
        <w:left w:val="none" w:sz="0" w:space="0" w:color="auto"/>
        <w:bottom w:val="none" w:sz="0" w:space="0" w:color="auto"/>
        <w:right w:val="none" w:sz="0" w:space="0" w:color="auto"/>
      </w:divBdr>
    </w:div>
    <w:div w:id="1145708576">
      <w:bodyDiv w:val="1"/>
      <w:marLeft w:val="0"/>
      <w:marRight w:val="0"/>
      <w:marTop w:val="0"/>
      <w:marBottom w:val="0"/>
      <w:divBdr>
        <w:top w:val="none" w:sz="0" w:space="0" w:color="auto"/>
        <w:left w:val="none" w:sz="0" w:space="0" w:color="auto"/>
        <w:bottom w:val="none" w:sz="0" w:space="0" w:color="auto"/>
        <w:right w:val="none" w:sz="0" w:space="0" w:color="auto"/>
      </w:divBdr>
    </w:div>
    <w:div w:id="1291473889">
      <w:bodyDiv w:val="1"/>
      <w:marLeft w:val="0"/>
      <w:marRight w:val="0"/>
      <w:marTop w:val="0"/>
      <w:marBottom w:val="0"/>
      <w:divBdr>
        <w:top w:val="none" w:sz="0" w:space="0" w:color="auto"/>
        <w:left w:val="none" w:sz="0" w:space="0" w:color="auto"/>
        <w:bottom w:val="none" w:sz="0" w:space="0" w:color="auto"/>
        <w:right w:val="none" w:sz="0" w:space="0" w:color="auto"/>
      </w:divBdr>
      <w:divsChild>
        <w:div w:id="1693417213">
          <w:marLeft w:val="0"/>
          <w:marRight w:val="0"/>
          <w:marTop w:val="0"/>
          <w:marBottom w:val="360"/>
          <w:divBdr>
            <w:top w:val="none" w:sz="0" w:space="0" w:color="auto"/>
            <w:left w:val="none" w:sz="0" w:space="0" w:color="auto"/>
            <w:bottom w:val="none" w:sz="0" w:space="0" w:color="auto"/>
            <w:right w:val="none" w:sz="0" w:space="0" w:color="auto"/>
          </w:divBdr>
        </w:div>
      </w:divsChild>
    </w:div>
    <w:div w:id="1319840512">
      <w:bodyDiv w:val="1"/>
      <w:marLeft w:val="0"/>
      <w:marRight w:val="0"/>
      <w:marTop w:val="0"/>
      <w:marBottom w:val="0"/>
      <w:divBdr>
        <w:top w:val="none" w:sz="0" w:space="0" w:color="auto"/>
        <w:left w:val="none" w:sz="0" w:space="0" w:color="auto"/>
        <w:bottom w:val="none" w:sz="0" w:space="0" w:color="auto"/>
        <w:right w:val="none" w:sz="0" w:space="0" w:color="auto"/>
      </w:divBdr>
    </w:div>
    <w:div w:id="1334726386">
      <w:bodyDiv w:val="1"/>
      <w:marLeft w:val="0"/>
      <w:marRight w:val="0"/>
      <w:marTop w:val="0"/>
      <w:marBottom w:val="0"/>
      <w:divBdr>
        <w:top w:val="none" w:sz="0" w:space="0" w:color="auto"/>
        <w:left w:val="none" w:sz="0" w:space="0" w:color="auto"/>
        <w:bottom w:val="none" w:sz="0" w:space="0" w:color="auto"/>
        <w:right w:val="none" w:sz="0" w:space="0" w:color="auto"/>
      </w:divBdr>
    </w:div>
    <w:div w:id="1484930503">
      <w:bodyDiv w:val="1"/>
      <w:marLeft w:val="0"/>
      <w:marRight w:val="0"/>
      <w:marTop w:val="0"/>
      <w:marBottom w:val="0"/>
      <w:divBdr>
        <w:top w:val="none" w:sz="0" w:space="0" w:color="auto"/>
        <w:left w:val="none" w:sz="0" w:space="0" w:color="auto"/>
        <w:bottom w:val="none" w:sz="0" w:space="0" w:color="auto"/>
        <w:right w:val="none" w:sz="0" w:space="0" w:color="auto"/>
      </w:divBdr>
      <w:divsChild>
        <w:div w:id="1126585779">
          <w:marLeft w:val="0"/>
          <w:marRight w:val="0"/>
          <w:marTop w:val="0"/>
          <w:marBottom w:val="0"/>
          <w:divBdr>
            <w:top w:val="none" w:sz="0" w:space="0" w:color="auto"/>
            <w:left w:val="none" w:sz="0" w:space="0" w:color="auto"/>
            <w:bottom w:val="none" w:sz="0" w:space="0" w:color="auto"/>
            <w:right w:val="none" w:sz="0" w:space="0" w:color="auto"/>
          </w:divBdr>
          <w:divsChild>
            <w:div w:id="6095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739878">
      <w:bodyDiv w:val="1"/>
      <w:marLeft w:val="0"/>
      <w:marRight w:val="0"/>
      <w:marTop w:val="0"/>
      <w:marBottom w:val="0"/>
      <w:divBdr>
        <w:top w:val="none" w:sz="0" w:space="0" w:color="auto"/>
        <w:left w:val="none" w:sz="0" w:space="0" w:color="auto"/>
        <w:bottom w:val="none" w:sz="0" w:space="0" w:color="auto"/>
        <w:right w:val="none" w:sz="0" w:space="0" w:color="auto"/>
      </w:divBdr>
    </w:div>
    <w:div w:id="1592082034">
      <w:bodyDiv w:val="1"/>
      <w:marLeft w:val="0"/>
      <w:marRight w:val="0"/>
      <w:marTop w:val="0"/>
      <w:marBottom w:val="0"/>
      <w:divBdr>
        <w:top w:val="none" w:sz="0" w:space="0" w:color="auto"/>
        <w:left w:val="none" w:sz="0" w:space="0" w:color="auto"/>
        <w:bottom w:val="none" w:sz="0" w:space="0" w:color="auto"/>
        <w:right w:val="none" w:sz="0" w:space="0" w:color="auto"/>
      </w:divBdr>
    </w:div>
    <w:div w:id="1608392018">
      <w:bodyDiv w:val="1"/>
      <w:marLeft w:val="0"/>
      <w:marRight w:val="0"/>
      <w:marTop w:val="0"/>
      <w:marBottom w:val="0"/>
      <w:divBdr>
        <w:top w:val="none" w:sz="0" w:space="0" w:color="auto"/>
        <w:left w:val="none" w:sz="0" w:space="0" w:color="auto"/>
        <w:bottom w:val="none" w:sz="0" w:space="0" w:color="auto"/>
        <w:right w:val="none" w:sz="0" w:space="0" w:color="auto"/>
      </w:divBdr>
      <w:divsChild>
        <w:div w:id="1654872997">
          <w:marLeft w:val="0"/>
          <w:marRight w:val="0"/>
          <w:marTop w:val="0"/>
          <w:marBottom w:val="360"/>
          <w:divBdr>
            <w:top w:val="none" w:sz="0" w:space="0" w:color="auto"/>
            <w:left w:val="none" w:sz="0" w:space="0" w:color="auto"/>
            <w:bottom w:val="none" w:sz="0" w:space="0" w:color="auto"/>
            <w:right w:val="none" w:sz="0" w:space="0" w:color="auto"/>
          </w:divBdr>
        </w:div>
      </w:divsChild>
    </w:div>
    <w:div w:id="1709640040">
      <w:bodyDiv w:val="1"/>
      <w:marLeft w:val="0"/>
      <w:marRight w:val="0"/>
      <w:marTop w:val="0"/>
      <w:marBottom w:val="0"/>
      <w:divBdr>
        <w:top w:val="none" w:sz="0" w:space="0" w:color="auto"/>
        <w:left w:val="none" w:sz="0" w:space="0" w:color="auto"/>
        <w:bottom w:val="none" w:sz="0" w:space="0" w:color="auto"/>
        <w:right w:val="none" w:sz="0" w:space="0" w:color="auto"/>
      </w:divBdr>
    </w:div>
    <w:div w:id="1751806115">
      <w:bodyDiv w:val="1"/>
      <w:marLeft w:val="0"/>
      <w:marRight w:val="0"/>
      <w:marTop w:val="0"/>
      <w:marBottom w:val="0"/>
      <w:divBdr>
        <w:top w:val="none" w:sz="0" w:space="0" w:color="auto"/>
        <w:left w:val="none" w:sz="0" w:space="0" w:color="auto"/>
        <w:bottom w:val="none" w:sz="0" w:space="0" w:color="auto"/>
        <w:right w:val="none" w:sz="0" w:space="0" w:color="auto"/>
      </w:divBdr>
    </w:div>
    <w:div w:id="1796019748">
      <w:bodyDiv w:val="1"/>
      <w:marLeft w:val="0"/>
      <w:marRight w:val="0"/>
      <w:marTop w:val="0"/>
      <w:marBottom w:val="0"/>
      <w:divBdr>
        <w:top w:val="none" w:sz="0" w:space="0" w:color="auto"/>
        <w:left w:val="none" w:sz="0" w:space="0" w:color="auto"/>
        <w:bottom w:val="none" w:sz="0" w:space="0" w:color="auto"/>
        <w:right w:val="none" w:sz="0" w:space="0" w:color="auto"/>
      </w:divBdr>
      <w:divsChild>
        <w:div w:id="1269388967">
          <w:marLeft w:val="0"/>
          <w:marRight w:val="0"/>
          <w:marTop w:val="0"/>
          <w:marBottom w:val="360"/>
          <w:divBdr>
            <w:top w:val="none" w:sz="0" w:space="0" w:color="auto"/>
            <w:left w:val="none" w:sz="0" w:space="0" w:color="auto"/>
            <w:bottom w:val="none" w:sz="0" w:space="0" w:color="auto"/>
            <w:right w:val="none" w:sz="0" w:space="0" w:color="auto"/>
          </w:divBdr>
        </w:div>
      </w:divsChild>
    </w:div>
    <w:div w:id="1798255927">
      <w:bodyDiv w:val="1"/>
      <w:marLeft w:val="0"/>
      <w:marRight w:val="0"/>
      <w:marTop w:val="0"/>
      <w:marBottom w:val="0"/>
      <w:divBdr>
        <w:top w:val="none" w:sz="0" w:space="0" w:color="auto"/>
        <w:left w:val="none" w:sz="0" w:space="0" w:color="auto"/>
        <w:bottom w:val="none" w:sz="0" w:space="0" w:color="auto"/>
        <w:right w:val="none" w:sz="0" w:space="0" w:color="auto"/>
      </w:divBdr>
      <w:divsChild>
        <w:div w:id="1134103472">
          <w:marLeft w:val="0"/>
          <w:marRight w:val="0"/>
          <w:marTop w:val="0"/>
          <w:marBottom w:val="360"/>
          <w:divBdr>
            <w:top w:val="none" w:sz="0" w:space="0" w:color="auto"/>
            <w:left w:val="none" w:sz="0" w:space="0" w:color="auto"/>
            <w:bottom w:val="none" w:sz="0" w:space="0" w:color="auto"/>
            <w:right w:val="none" w:sz="0" w:space="0" w:color="auto"/>
          </w:divBdr>
        </w:div>
      </w:divsChild>
    </w:div>
    <w:div w:id="1801729041">
      <w:bodyDiv w:val="1"/>
      <w:marLeft w:val="0"/>
      <w:marRight w:val="0"/>
      <w:marTop w:val="0"/>
      <w:marBottom w:val="0"/>
      <w:divBdr>
        <w:top w:val="none" w:sz="0" w:space="0" w:color="auto"/>
        <w:left w:val="none" w:sz="0" w:space="0" w:color="auto"/>
        <w:bottom w:val="none" w:sz="0" w:space="0" w:color="auto"/>
        <w:right w:val="none" w:sz="0" w:space="0" w:color="auto"/>
      </w:divBdr>
    </w:div>
    <w:div w:id="1818959356">
      <w:bodyDiv w:val="1"/>
      <w:marLeft w:val="0"/>
      <w:marRight w:val="0"/>
      <w:marTop w:val="0"/>
      <w:marBottom w:val="0"/>
      <w:divBdr>
        <w:top w:val="none" w:sz="0" w:space="0" w:color="auto"/>
        <w:left w:val="none" w:sz="0" w:space="0" w:color="auto"/>
        <w:bottom w:val="none" w:sz="0" w:space="0" w:color="auto"/>
        <w:right w:val="none" w:sz="0" w:space="0" w:color="auto"/>
      </w:divBdr>
      <w:divsChild>
        <w:div w:id="1032455938">
          <w:marLeft w:val="0"/>
          <w:marRight w:val="0"/>
          <w:marTop w:val="0"/>
          <w:marBottom w:val="0"/>
          <w:divBdr>
            <w:top w:val="none" w:sz="0" w:space="0" w:color="auto"/>
            <w:left w:val="none" w:sz="0" w:space="0" w:color="auto"/>
            <w:bottom w:val="none" w:sz="0" w:space="0" w:color="auto"/>
            <w:right w:val="none" w:sz="0" w:space="0" w:color="auto"/>
          </w:divBdr>
        </w:div>
      </w:divsChild>
    </w:div>
    <w:div w:id="1839492143">
      <w:bodyDiv w:val="1"/>
      <w:marLeft w:val="0"/>
      <w:marRight w:val="0"/>
      <w:marTop w:val="0"/>
      <w:marBottom w:val="0"/>
      <w:divBdr>
        <w:top w:val="none" w:sz="0" w:space="0" w:color="auto"/>
        <w:left w:val="none" w:sz="0" w:space="0" w:color="auto"/>
        <w:bottom w:val="none" w:sz="0" w:space="0" w:color="auto"/>
        <w:right w:val="none" w:sz="0" w:space="0" w:color="auto"/>
      </w:divBdr>
    </w:div>
    <w:div w:id="1949772186">
      <w:bodyDiv w:val="1"/>
      <w:marLeft w:val="0"/>
      <w:marRight w:val="0"/>
      <w:marTop w:val="0"/>
      <w:marBottom w:val="0"/>
      <w:divBdr>
        <w:top w:val="none" w:sz="0" w:space="0" w:color="auto"/>
        <w:left w:val="none" w:sz="0" w:space="0" w:color="auto"/>
        <w:bottom w:val="none" w:sz="0" w:space="0" w:color="auto"/>
        <w:right w:val="none" w:sz="0" w:space="0" w:color="auto"/>
      </w:divBdr>
      <w:divsChild>
        <w:div w:id="224611770">
          <w:marLeft w:val="0"/>
          <w:marRight w:val="0"/>
          <w:marTop w:val="0"/>
          <w:marBottom w:val="360"/>
          <w:divBdr>
            <w:top w:val="none" w:sz="0" w:space="0" w:color="auto"/>
            <w:left w:val="none" w:sz="0" w:space="0" w:color="auto"/>
            <w:bottom w:val="none" w:sz="0" w:space="0" w:color="auto"/>
            <w:right w:val="none" w:sz="0" w:space="0" w:color="auto"/>
          </w:divBdr>
        </w:div>
      </w:divsChild>
    </w:div>
    <w:div w:id="2142724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ustomXml" Target="../customXml/item3.xml"/><Relationship Id="rId10" Type="http://schemas.openxmlformats.org/officeDocument/2006/relationships/image" Target="media/image2.png"/><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 Id="rId22"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mdtf.und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74D54F2-3AC1-4360-85C1-84FE1961015A}"/>
</file>

<file path=customXml/itemProps2.xml><?xml version="1.0" encoding="utf-8"?>
<ds:datastoreItem xmlns:ds="http://schemas.openxmlformats.org/officeDocument/2006/customXml" ds:itemID="{A51E6420-DC94-4D01-8B1E-9C41541BB52A}"/>
</file>

<file path=customXml/itemProps3.xml><?xml version="1.0" encoding="utf-8"?>
<ds:datastoreItem xmlns:ds="http://schemas.openxmlformats.org/officeDocument/2006/customXml" ds:itemID="{56D6F30D-AA07-41D8-99D6-CB19912870D9}"/>
</file>

<file path=customXml/itemProps4.xml><?xml version="1.0" encoding="utf-8"?>
<ds:datastoreItem xmlns:ds="http://schemas.openxmlformats.org/officeDocument/2006/customXml" ds:itemID="{A41C3DCE-81A9-44E8-8F50-A95D672FFC29}"/>
</file>

<file path=docProps/app.xml><?xml version="1.0" encoding="utf-8"?>
<Properties xmlns="http://schemas.openxmlformats.org/officeDocument/2006/extended-properties" xmlns:vt="http://schemas.openxmlformats.org/officeDocument/2006/docPropsVTypes">
  <Template>Normal.dotm</Template>
  <TotalTime>12</TotalTime>
  <Pages>18</Pages>
  <Words>5892</Words>
  <Characters>33585</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39399</CharactersWithSpaces>
  <SharedDoc>false</SharedDoc>
  <HLinks>
    <vt:vector size="96" baseType="variant">
      <vt:variant>
        <vt:i4>6619238</vt:i4>
      </vt:variant>
      <vt:variant>
        <vt:i4>87</vt:i4>
      </vt:variant>
      <vt:variant>
        <vt:i4>0</vt:i4>
      </vt:variant>
      <vt:variant>
        <vt:i4>5</vt:i4>
      </vt:variant>
      <vt:variant>
        <vt:lpwstr>http://microfinance-pasifika.org/infuse-access-points-in-timor-leste-as-of-31-dec-209.html</vt:lpwstr>
      </vt:variant>
      <vt:variant>
        <vt:lpwstr/>
      </vt:variant>
      <vt:variant>
        <vt:i4>7012471</vt:i4>
      </vt:variant>
      <vt:variant>
        <vt:i4>84</vt:i4>
      </vt:variant>
      <vt:variant>
        <vt:i4>0</vt:i4>
      </vt:variant>
      <vt:variant>
        <vt:i4>5</vt:i4>
      </vt:variant>
      <vt:variant>
        <vt:lpwstr>http://www.bancocentral.tl/Download/Instructions/Pub_Inst_6_2010_en.pdf</vt:lpwstr>
      </vt:variant>
      <vt:variant>
        <vt:lpwstr/>
      </vt:variant>
      <vt:variant>
        <vt:i4>1572914</vt:i4>
      </vt:variant>
      <vt:variant>
        <vt:i4>77</vt:i4>
      </vt:variant>
      <vt:variant>
        <vt:i4>0</vt:i4>
      </vt:variant>
      <vt:variant>
        <vt:i4>5</vt:i4>
      </vt:variant>
      <vt:variant>
        <vt:lpwstr/>
      </vt:variant>
      <vt:variant>
        <vt:lpwstr>_Toc288486054</vt:lpwstr>
      </vt:variant>
      <vt:variant>
        <vt:i4>1572914</vt:i4>
      </vt:variant>
      <vt:variant>
        <vt:i4>71</vt:i4>
      </vt:variant>
      <vt:variant>
        <vt:i4>0</vt:i4>
      </vt:variant>
      <vt:variant>
        <vt:i4>5</vt:i4>
      </vt:variant>
      <vt:variant>
        <vt:lpwstr/>
      </vt:variant>
      <vt:variant>
        <vt:lpwstr>_Toc288486053</vt:lpwstr>
      </vt:variant>
      <vt:variant>
        <vt:i4>1572914</vt:i4>
      </vt:variant>
      <vt:variant>
        <vt:i4>65</vt:i4>
      </vt:variant>
      <vt:variant>
        <vt:i4>0</vt:i4>
      </vt:variant>
      <vt:variant>
        <vt:i4>5</vt:i4>
      </vt:variant>
      <vt:variant>
        <vt:lpwstr/>
      </vt:variant>
      <vt:variant>
        <vt:lpwstr>_Toc288486052</vt:lpwstr>
      </vt:variant>
      <vt:variant>
        <vt:i4>1572914</vt:i4>
      </vt:variant>
      <vt:variant>
        <vt:i4>59</vt:i4>
      </vt:variant>
      <vt:variant>
        <vt:i4>0</vt:i4>
      </vt:variant>
      <vt:variant>
        <vt:i4>5</vt:i4>
      </vt:variant>
      <vt:variant>
        <vt:lpwstr/>
      </vt:variant>
      <vt:variant>
        <vt:lpwstr>_Toc288486051</vt:lpwstr>
      </vt:variant>
      <vt:variant>
        <vt:i4>1572914</vt:i4>
      </vt:variant>
      <vt:variant>
        <vt:i4>53</vt:i4>
      </vt:variant>
      <vt:variant>
        <vt:i4>0</vt:i4>
      </vt:variant>
      <vt:variant>
        <vt:i4>5</vt:i4>
      </vt:variant>
      <vt:variant>
        <vt:lpwstr/>
      </vt:variant>
      <vt:variant>
        <vt:lpwstr>_Toc288486050</vt:lpwstr>
      </vt:variant>
      <vt:variant>
        <vt:i4>1638450</vt:i4>
      </vt:variant>
      <vt:variant>
        <vt:i4>47</vt:i4>
      </vt:variant>
      <vt:variant>
        <vt:i4>0</vt:i4>
      </vt:variant>
      <vt:variant>
        <vt:i4>5</vt:i4>
      </vt:variant>
      <vt:variant>
        <vt:lpwstr/>
      </vt:variant>
      <vt:variant>
        <vt:lpwstr>_Toc288486049</vt:lpwstr>
      </vt:variant>
      <vt:variant>
        <vt:i4>1638450</vt:i4>
      </vt:variant>
      <vt:variant>
        <vt:i4>41</vt:i4>
      </vt:variant>
      <vt:variant>
        <vt:i4>0</vt:i4>
      </vt:variant>
      <vt:variant>
        <vt:i4>5</vt:i4>
      </vt:variant>
      <vt:variant>
        <vt:lpwstr/>
      </vt:variant>
      <vt:variant>
        <vt:lpwstr>_Toc288486048</vt:lpwstr>
      </vt:variant>
      <vt:variant>
        <vt:i4>1638450</vt:i4>
      </vt:variant>
      <vt:variant>
        <vt:i4>35</vt:i4>
      </vt:variant>
      <vt:variant>
        <vt:i4>0</vt:i4>
      </vt:variant>
      <vt:variant>
        <vt:i4>5</vt:i4>
      </vt:variant>
      <vt:variant>
        <vt:lpwstr/>
      </vt:variant>
      <vt:variant>
        <vt:lpwstr>_Toc288486047</vt:lpwstr>
      </vt:variant>
      <vt:variant>
        <vt:i4>1638450</vt:i4>
      </vt:variant>
      <vt:variant>
        <vt:i4>29</vt:i4>
      </vt:variant>
      <vt:variant>
        <vt:i4>0</vt:i4>
      </vt:variant>
      <vt:variant>
        <vt:i4>5</vt:i4>
      </vt:variant>
      <vt:variant>
        <vt:lpwstr/>
      </vt:variant>
      <vt:variant>
        <vt:lpwstr>_Toc288486046</vt:lpwstr>
      </vt:variant>
      <vt:variant>
        <vt:i4>1638450</vt:i4>
      </vt:variant>
      <vt:variant>
        <vt:i4>23</vt:i4>
      </vt:variant>
      <vt:variant>
        <vt:i4>0</vt:i4>
      </vt:variant>
      <vt:variant>
        <vt:i4>5</vt:i4>
      </vt:variant>
      <vt:variant>
        <vt:lpwstr/>
      </vt:variant>
      <vt:variant>
        <vt:lpwstr>_Toc288486045</vt:lpwstr>
      </vt:variant>
      <vt:variant>
        <vt:i4>1638450</vt:i4>
      </vt:variant>
      <vt:variant>
        <vt:i4>17</vt:i4>
      </vt:variant>
      <vt:variant>
        <vt:i4>0</vt:i4>
      </vt:variant>
      <vt:variant>
        <vt:i4>5</vt:i4>
      </vt:variant>
      <vt:variant>
        <vt:lpwstr/>
      </vt:variant>
      <vt:variant>
        <vt:lpwstr>_Toc288486044</vt:lpwstr>
      </vt:variant>
      <vt:variant>
        <vt:i4>1638450</vt:i4>
      </vt:variant>
      <vt:variant>
        <vt:i4>11</vt:i4>
      </vt:variant>
      <vt:variant>
        <vt:i4>0</vt:i4>
      </vt:variant>
      <vt:variant>
        <vt:i4>5</vt:i4>
      </vt:variant>
      <vt:variant>
        <vt:lpwstr/>
      </vt:variant>
      <vt:variant>
        <vt:lpwstr>_Toc288486043</vt:lpwstr>
      </vt:variant>
      <vt:variant>
        <vt:i4>1638450</vt:i4>
      </vt:variant>
      <vt:variant>
        <vt:i4>5</vt:i4>
      </vt:variant>
      <vt:variant>
        <vt:i4>0</vt:i4>
      </vt:variant>
      <vt:variant>
        <vt:i4>5</vt:i4>
      </vt:variant>
      <vt:variant>
        <vt:lpwstr/>
      </vt:variant>
      <vt:variant>
        <vt:lpwstr>_Toc288486042</vt:lpwstr>
      </vt:variant>
      <vt:variant>
        <vt:i4>655430</vt:i4>
      </vt:variant>
      <vt:variant>
        <vt:i4>0</vt:i4>
      </vt:variant>
      <vt:variant>
        <vt:i4>0</vt:i4>
      </vt:variant>
      <vt:variant>
        <vt:i4>5</vt:i4>
      </vt:variant>
      <vt:variant>
        <vt:lpwstr>http://mdtf.undp.org/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Dalia</dc:creator>
  <cp:lastModifiedBy>Jeff Fitzgibbon</cp:lastModifiedBy>
  <cp:revision>9</cp:revision>
  <cp:lastPrinted>2013-09-09T05:09:00Z</cp:lastPrinted>
  <dcterms:created xsi:type="dcterms:W3CDTF">2013-09-09T05:01:00Z</dcterms:created>
  <dcterms:modified xsi:type="dcterms:W3CDTF">2013-09-09T05:14:00Z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5" name="Order">
    <vt:r8>43600</vt:r8>
  </property>
  <property fmtid="{D5CDD505-2E9C-101B-9397-08002B2CF9AE}" pid="6" name="PublishingRollupImage">
    <vt:lpwstr/>
  </property>
  <property fmtid="{D5CDD505-2E9C-101B-9397-08002B2CF9AE}" pid="7" name="AusAIDAggregationLevel">
    <vt:lpwstr/>
  </property>
  <property fmtid="{D5CDD505-2E9C-101B-9397-08002B2CF9AE}" pid="9" name="PublishingContactEmail">
    <vt:lpwstr/>
  </property>
  <property fmtid="{D5CDD505-2E9C-101B-9397-08002B2CF9AE}" pid="10" name="AusAIDPageDescriptionMetadata">
    <vt:lpwstr/>
  </property>
  <property fmtid="{D5CDD505-2E9C-101B-9397-08002B2CF9AE}" pid="11" name="xd_Signature">
    <vt:bool>false</vt:bool>
  </property>
  <property fmtid="{D5CDD505-2E9C-101B-9397-08002B2CF9AE}" pid="13" name="xd_ProgID">
    <vt:lpwstr/>
  </property>
  <property fmtid="{D5CDD505-2E9C-101B-9397-08002B2CF9AE}" pid="14" name="PublishingContactPicture">
    <vt:lpwstr/>
  </property>
  <property fmtid="{D5CDD505-2E9C-101B-9397-08002B2CF9AE}" pid="15" name="PublishingVariationGroupID">
    <vt:lpwstr/>
  </property>
  <property fmtid="{D5CDD505-2E9C-101B-9397-08002B2CF9AE}" pid="16" name="AusAIDIdentifierMetadata">
    <vt:lpwstr/>
  </property>
  <property fmtid="{D5CDD505-2E9C-101B-9397-08002B2CF9AE}" pid="17" name="RSS Feed Link">
    <vt:lpwstr/>
  </property>
  <property fmtid="{D5CDD505-2E9C-101B-9397-08002B2CF9AE}" pid="18" name="PublishingVariationRelationshipLinkFieldID">
    <vt:lpwstr/>
  </property>
  <property fmtid="{D5CDD505-2E9C-101B-9397-08002B2CF9AE}" pid="19" name="PublishingContactName">
    <vt:lpwstr/>
  </property>
  <property fmtid="{D5CDD505-2E9C-101B-9397-08002B2CF9AE}" pid="20" name="_SourceUrl">
    <vt:lpwstr/>
  </property>
  <property fmtid="{D5CDD505-2E9C-101B-9397-08002B2CF9AE}" pid="21" name="_SharedFileIndex">
    <vt:lpwstr/>
  </property>
  <property fmtid="{D5CDD505-2E9C-101B-9397-08002B2CF9AE}" pid="22" name="Comments">
    <vt:lpwstr/>
  </property>
  <property fmtid="{D5CDD505-2E9C-101B-9397-08002B2CF9AE}" pid="23" name="PublishingPageLayout">
    <vt:lpwstr/>
  </property>
  <property fmtid="{D5CDD505-2E9C-101B-9397-08002B2CF9AE}" pid="24" name="AusAIDPageSubjectMetadata">
    <vt:lpwstr/>
  </property>
  <property fmtid="{D5CDD505-2E9C-101B-9397-08002B2CF9AE}" pid="25" name="AusAIDCategoryMetadata">
    <vt:lpwstr/>
  </property>
  <property fmtid="{D5CDD505-2E9C-101B-9397-08002B2CF9AE}" pid="26" name="AusAIDDocumentTypeMetaData">
    <vt:lpwstr/>
  </property>
  <property fmtid="{D5CDD505-2E9C-101B-9397-08002B2CF9AE}" pid="27" name="WCMSLanguage">
    <vt:lpwstr/>
  </property>
  <property fmtid="{D5CDD505-2E9C-101B-9397-08002B2CF9AE}" pid="28" name="TemplateUrl">
    <vt:lpwstr/>
  </property>
  <property fmtid="{D5CDD505-2E9C-101B-9397-08002B2CF9AE}" pid="29" name="Audience">
    <vt:lpwstr/>
  </property>
</Properties>
</file>